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D7B76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 </w:t>
      </w:r>
    </w:p>
    <w:p w14:paraId="76AD7C0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招　标　文　件</w:t>
      </w:r>
    </w:p>
    <w:p w14:paraId="015A6753">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223D62F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44A6ECF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5FA81A55">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2E8A92B1">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44808EF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6E44104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0201BB4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1F61DB4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63040733">
      <w:pPr>
        <w:pBdr>
          <w:top w:val="none" w:color="000000" w:sz="0" w:space="0"/>
          <w:left w:val="none" w:color="000000" w:sz="0" w:space="0"/>
          <w:bottom w:val="none" w:color="000000" w:sz="0" w:space="0"/>
          <w:right w:val="none" w:color="000000" w:sz="0" w:space="0"/>
        </w:pBdr>
        <w:spacing w:before="240" w:after="240"/>
        <w:ind w:left="0" w:right="0" w:firstLine="1285"/>
        <w:jc w:val="both"/>
      </w:pPr>
      <w:r>
        <w:rPr>
          <w:rFonts w:ascii="宋体" w:hAnsi="宋体" w:eastAsia="宋体" w:cs="宋体"/>
          <w:b/>
          <w:color w:val="000000"/>
          <w:sz w:val="32"/>
        </w:rPr>
        <w:t>项目名称：</w:t>
      </w:r>
      <w:r>
        <w:rPr>
          <w:rFonts w:hint="eastAsia" w:ascii="宋体" w:hAnsi="宋体" w:eastAsia="宋体" w:cs="宋体"/>
          <w:b/>
          <w:color w:val="000000"/>
          <w:sz w:val="32"/>
        </w:rPr>
        <w:t>扬州市生态科技新城环境卫生管理办公室杭集镇镇区“城市管家”一体化项目</w:t>
      </w:r>
    </w:p>
    <w:p w14:paraId="087C1042">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32"/>
        </w:rPr>
        <w:t>项目编号：</w:t>
      </w:r>
      <w:r>
        <w:rPr>
          <w:rFonts w:hint="eastAsia" w:ascii="宋体" w:hAnsi="宋体" w:eastAsia="宋体" w:cs="宋体"/>
          <w:b/>
          <w:color w:val="000000"/>
          <w:sz w:val="32"/>
        </w:rPr>
        <w:t>JSZC-321000-JZCG-G2026-0031</w:t>
      </w:r>
    </w:p>
    <w:p w14:paraId="43F5FF39">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p>
    <w:p w14:paraId="6A36B3F2">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r>
        <w:rPr>
          <w:rFonts w:ascii="宋体" w:hAnsi="宋体" w:eastAsia="宋体" w:cs="宋体"/>
          <w:color w:val="000000"/>
          <w:sz w:val="21"/>
        </w:rPr>
        <w:t>     </w:t>
      </w:r>
      <w:r>
        <w:rPr>
          <w:rFonts w:ascii="宋体" w:hAnsi="宋体" w:eastAsia="宋体" w:cs="宋体"/>
          <w:b/>
          <w:color w:val="000000"/>
          <w:sz w:val="30"/>
        </w:rPr>
        <w:t>   </w:t>
      </w:r>
      <w:r>
        <w:rPr>
          <w:rFonts w:ascii="Times New Roman" w:hAnsi="Times New Roman" w:eastAsia="Times New Roman" w:cs="Times New Roman"/>
          <w:color w:val="000000"/>
          <w:sz w:val="21"/>
        </w:rPr>
        <w:t>  </w:t>
      </w:r>
      <w:r>
        <w:rPr>
          <w:rFonts w:ascii="Times New Roman" w:hAnsi="Times New Roman" w:eastAsia="Times New Roman" w:cs="Times New Roman"/>
          <w:b/>
          <w:color w:val="000000"/>
          <w:sz w:val="30"/>
        </w:rPr>
        <w:t> </w:t>
      </w:r>
    </w:p>
    <w:p w14:paraId="6343F7D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EAE641C">
      <w:pPr>
        <w:pBdr>
          <w:top w:val="none" w:color="000000" w:sz="0" w:space="0"/>
          <w:left w:val="none" w:color="000000" w:sz="0" w:space="0"/>
          <w:bottom w:val="none" w:color="000000" w:sz="0" w:space="0"/>
          <w:right w:val="none" w:color="000000" w:sz="0" w:space="0"/>
        </w:pBdr>
        <w:tabs>
          <w:tab w:val="left" w:pos="5803"/>
        </w:tabs>
        <w:spacing w:before="0" w:after="0"/>
        <w:ind w:left="0" w:right="0" w:firstLine="0"/>
        <w:jc w:val="both"/>
      </w:pPr>
      <w:r>
        <w:rPr>
          <w:rFonts w:ascii="宋体" w:hAnsi="宋体" w:eastAsia="宋体" w:cs="宋体"/>
          <w:color w:val="000000"/>
          <w:sz w:val="24"/>
        </w:rPr>
        <w:t> </w:t>
      </w:r>
      <w:r>
        <w:tab/>
      </w:r>
    </w:p>
    <w:p w14:paraId="74F997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771E08D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01CE7B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3D21FD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B61110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扬州市公共资源交易中心</w:t>
      </w:r>
    </w:p>
    <w:p w14:paraId="0CAD746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hint="eastAsia" w:ascii="宋体" w:hAnsi="宋体" w:cs="宋体"/>
          <w:b/>
          <w:color w:val="000000"/>
          <w:sz w:val="32"/>
          <w:u w:val="single"/>
          <w:lang w:val="en-US" w:eastAsia="zh-CN"/>
        </w:rPr>
        <w:t>2026</w:t>
      </w:r>
      <w:r>
        <w:rPr>
          <w:rFonts w:ascii="宋体" w:hAnsi="宋体" w:eastAsia="宋体" w:cs="宋体"/>
          <w:b/>
          <w:color w:val="000000"/>
          <w:sz w:val="32"/>
        </w:rPr>
        <w:t>年</w:t>
      </w:r>
      <w:r>
        <w:rPr>
          <w:rFonts w:hint="eastAsia" w:ascii="宋体" w:hAnsi="宋体" w:cs="宋体"/>
          <w:b/>
          <w:color w:val="000000"/>
          <w:sz w:val="32"/>
          <w:u w:val="single"/>
          <w:lang w:val="en-US" w:eastAsia="zh-CN"/>
        </w:rPr>
        <w:t>7</w:t>
      </w:r>
      <w:r>
        <w:rPr>
          <w:rFonts w:ascii="宋体" w:hAnsi="宋体" w:eastAsia="宋体" w:cs="宋体"/>
          <w:b/>
          <w:color w:val="000000"/>
          <w:sz w:val="32"/>
        </w:rPr>
        <w:t>月</w:t>
      </w:r>
    </w:p>
    <w:p w14:paraId="36A60650">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                        </w:t>
      </w:r>
    </w:p>
    <w:p w14:paraId="47A40FAC">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44"/>
        </w:rPr>
        <w:sectPr>
          <w:headerReference r:id="rId3" w:type="default"/>
          <w:footerReference r:id="rId4" w:type="even"/>
          <w:pgSz w:w="11906" w:h="16838"/>
          <w:pgMar w:top="1418" w:right="1588" w:bottom="1418" w:left="1365" w:header="851" w:footer="907" w:gutter="0"/>
          <w:cols w:space="1701" w:num="1"/>
          <w:titlePg/>
          <w:docGrid w:linePitch="360" w:charSpace="0"/>
        </w:sectPr>
      </w:pPr>
    </w:p>
    <w:p w14:paraId="2D26802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总目录</w:t>
      </w:r>
    </w:p>
    <w:p w14:paraId="7719B74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b/>
          <w:color w:val="000000"/>
          <w:sz w:val="28"/>
        </w:rPr>
        <w:t> </w:t>
      </w:r>
    </w:p>
    <w:p w14:paraId="26373175">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投标邀请……………………………………</w:t>
      </w:r>
      <w:r>
        <w:rPr>
          <w:rFonts w:hint="eastAsia" w:ascii="黑体" w:hAnsi="黑体" w:eastAsia="黑体" w:cs="黑体"/>
          <w:color w:val="000000"/>
          <w:sz w:val="36"/>
          <w:lang w:val="en-US" w:eastAsia="zh-CN"/>
        </w:rPr>
        <w:t>2</w:t>
      </w:r>
    </w:p>
    <w:p w14:paraId="4B8599BD">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投标人须知…………………………………6</w:t>
      </w:r>
    </w:p>
    <w:p w14:paraId="69C60428">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合同文本……………………………………15</w:t>
      </w:r>
    </w:p>
    <w:p w14:paraId="6A84F04E">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采购需求……………………………………1</w:t>
      </w:r>
      <w:r>
        <w:rPr>
          <w:rFonts w:hint="eastAsia" w:ascii="黑体" w:hAnsi="黑体" w:eastAsia="黑体" w:cs="黑体"/>
          <w:color w:val="000000"/>
          <w:sz w:val="36"/>
          <w:lang w:val="en-US" w:eastAsia="zh-CN"/>
        </w:rPr>
        <w:t>8</w:t>
      </w:r>
    </w:p>
    <w:p w14:paraId="55DA2FA1">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评标方法与评标标准………………………</w:t>
      </w:r>
      <w:r>
        <w:rPr>
          <w:rFonts w:hint="eastAsia" w:ascii="黑体" w:hAnsi="黑体" w:eastAsia="黑体" w:cs="黑体"/>
          <w:color w:val="000000"/>
          <w:sz w:val="36"/>
          <w:lang w:val="en-US" w:eastAsia="zh-CN"/>
        </w:rPr>
        <w:t>63</w:t>
      </w:r>
    </w:p>
    <w:p w14:paraId="2C907862">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投标文件格式………………………………</w:t>
      </w:r>
      <w:r>
        <w:rPr>
          <w:rFonts w:hint="eastAsia" w:ascii="黑体" w:hAnsi="黑体" w:eastAsia="黑体" w:cs="黑体"/>
          <w:color w:val="000000"/>
          <w:sz w:val="36"/>
          <w:lang w:val="en-US" w:eastAsia="zh-CN"/>
        </w:rPr>
        <w:t>77</w:t>
      </w:r>
    </w:p>
    <w:p w14:paraId="5C67DE15">
      <w:pPr>
        <w:pBdr>
          <w:top w:val="none" w:color="000000" w:sz="0" w:space="0"/>
          <w:left w:val="none" w:color="000000" w:sz="0" w:space="0"/>
          <w:bottom w:val="none" w:color="000000" w:sz="0" w:space="0"/>
          <w:right w:val="none" w:color="000000" w:sz="0" w:space="0"/>
        </w:pBdr>
        <w:spacing w:before="210" w:after="57"/>
        <w:ind w:left="0" w:right="0" w:firstLine="0"/>
        <w:jc w:val="both"/>
      </w:pPr>
    </w:p>
    <w:p w14:paraId="027703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1928D1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E76D71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500CD6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931B95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9F3E49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735468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5A5BEE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44D14D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63CAC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03493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E98C5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20E311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A6D0E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502D5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9E693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24E69C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7D2E65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E38713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659D21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39B156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FF3B31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B8A295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22263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C113A6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7AA036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F5DB44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BD6CC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9B75CDD">
      <w:pPr>
        <w:pBdr>
          <w:top w:val="none" w:color="000000" w:sz="0" w:space="0"/>
          <w:left w:val="none" w:color="000000" w:sz="0" w:space="0"/>
          <w:bottom w:val="none" w:color="000000" w:sz="0" w:space="0"/>
          <w:right w:val="none" w:color="000000" w:sz="0" w:space="0"/>
        </w:pBdr>
        <w:tabs>
          <w:tab w:val="center" w:pos="4476"/>
        </w:tabs>
        <w:spacing w:before="240" w:after="240"/>
        <w:ind w:left="0" w:right="0" w:firstLine="0"/>
        <w:jc w:val="both"/>
      </w:pPr>
      <w:r>
        <w:rPr>
          <w:rFonts w:ascii="Times New Roman" w:hAnsi="Times New Roman" w:eastAsia="Times New Roman" w:cs="Times New Roman"/>
          <w:color w:val="000000"/>
          <w:sz w:val="21"/>
        </w:rPr>
        <w:t> </w:t>
      </w:r>
      <w:r>
        <w:tab/>
      </w:r>
    </w:p>
    <w:p w14:paraId="0E95281E">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color w:val="000000"/>
          <w:sz w:val="44"/>
        </w:rPr>
        <w:t> </w:t>
      </w:r>
    </w:p>
    <w:p w14:paraId="7D469AF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color w:val="000000"/>
          <w:sz w:val="44"/>
        </w:rPr>
        <w:t> </w:t>
      </w:r>
    </w:p>
    <w:p w14:paraId="6497CDD7">
      <w:pPr>
        <w:pStyle w:val="182"/>
      </w:pPr>
      <w:r>
        <w:rPr>
          <w:rStyle w:val="217"/>
          <w:rFonts w:ascii="黑体" w:hAnsi="黑体" w:eastAsia="黑体" w:cs="黑体"/>
        </w:rPr>
        <w:t>第一章 投标邀请</w:t>
      </w:r>
    </w:p>
    <w:p w14:paraId="3882356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受[</w:t>
      </w:r>
      <w:r>
        <w:rPr>
          <w:rFonts w:hint="eastAsia" w:ascii="宋体" w:hAnsi="宋体" w:eastAsia="宋体" w:cs="宋体"/>
          <w:color w:val="000000"/>
          <w:sz w:val="24"/>
        </w:rPr>
        <w:t>扬州市生态科技新城环境卫生管理办公室</w:t>
      </w:r>
      <w:r>
        <w:rPr>
          <w:rFonts w:ascii="宋体" w:hAnsi="宋体" w:eastAsia="宋体" w:cs="宋体"/>
          <w:color w:val="000000"/>
          <w:sz w:val="24"/>
        </w:rPr>
        <w:t>]的委托，扬州市公共资源交易中心就[</w:t>
      </w:r>
      <w:r>
        <w:rPr>
          <w:rFonts w:hint="eastAsia" w:ascii="宋体" w:hAnsi="宋体" w:eastAsia="宋体" w:cs="宋体"/>
          <w:color w:val="000000"/>
          <w:sz w:val="24"/>
        </w:rPr>
        <w:t>扬州市生态科技新城环境卫生管理办公室杭集镇镇区“城市管家”一体化项目</w:t>
      </w:r>
      <w:r>
        <w:rPr>
          <w:rFonts w:ascii="宋体" w:hAnsi="宋体" w:eastAsia="宋体" w:cs="宋体"/>
          <w:color w:val="000000"/>
          <w:sz w:val="24"/>
        </w:rPr>
        <w:t>](</w:t>
      </w:r>
      <w:r>
        <w:rPr>
          <w:rFonts w:hint="eastAsia" w:ascii="宋体" w:hAnsi="宋体" w:eastAsia="宋体" w:cs="宋体"/>
          <w:color w:val="000000"/>
          <w:sz w:val="24"/>
        </w:rPr>
        <w:t>JSZC-321000-JZCG-G2026-0031</w:t>
      </w:r>
      <w:r>
        <w:rPr>
          <w:rFonts w:ascii="宋体" w:hAnsi="宋体" w:eastAsia="宋体" w:cs="宋体"/>
          <w:color w:val="000000"/>
          <w:sz w:val="24"/>
        </w:rPr>
        <w:t>)项目进行公开招标采购，欢迎符合条件的供应商投标。</w:t>
      </w:r>
    </w:p>
    <w:p w14:paraId="6D315CFE">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项目概况</w:t>
      </w:r>
    </w:p>
    <w:p w14:paraId="3EB28CD4">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u w:val="single"/>
        </w:rPr>
        <w:t>扬州市生态科技新城环境卫生管理办公室杭集镇镇区“城市管家”一体化项目</w:t>
      </w:r>
      <w:r>
        <w:rPr>
          <w:rFonts w:hint="eastAsia" w:ascii="宋体" w:hAnsi="宋体" w:eastAsia="宋体" w:cs="宋体"/>
          <w:color w:val="000000"/>
          <w:sz w:val="24"/>
        </w:rPr>
        <w:t>）招标项目的潜在投标人可在</w:t>
      </w:r>
      <w:r>
        <w:rPr>
          <w:rFonts w:hint="eastAsia" w:ascii="宋体" w:hAnsi="宋体" w:eastAsia="宋体" w:cs="宋体"/>
          <w:color w:val="000000"/>
          <w:sz w:val="24"/>
          <w:u w:val="single"/>
        </w:rPr>
        <w:t>“江苏政府采购网”“扬州市政府采购网”</w:t>
      </w:r>
      <w:r>
        <w:rPr>
          <w:rFonts w:hint="eastAsia" w:ascii="宋体" w:hAnsi="宋体" w:eastAsia="宋体" w:cs="宋体"/>
          <w:color w:val="000000"/>
          <w:sz w:val="24"/>
        </w:rPr>
        <w:t>自行免费下载招标文件，并于</w:t>
      </w:r>
      <w:r>
        <w:rPr>
          <w:rFonts w:hint="eastAsia" w:ascii="宋体" w:hAnsi="宋体" w:eastAsia="宋体" w:cs="宋体"/>
          <w:color w:val="FF0000"/>
          <w:sz w:val="24"/>
          <w:highlight w:val="none"/>
          <w:u w:val="single"/>
        </w:rPr>
        <w:t>2026年0</w:t>
      </w:r>
      <w:r>
        <w:rPr>
          <w:rFonts w:hint="eastAsia" w:ascii="宋体" w:hAnsi="宋体" w:cs="宋体"/>
          <w:color w:val="FF0000"/>
          <w:sz w:val="24"/>
          <w:highlight w:val="none"/>
          <w:u w:val="single"/>
          <w:lang w:val="en-US" w:eastAsia="zh-CN"/>
        </w:rPr>
        <w:t>7</w:t>
      </w:r>
      <w:r>
        <w:rPr>
          <w:rFonts w:hint="eastAsia" w:ascii="宋体" w:hAnsi="宋体" w:eastAsia="宋体" w:cs="宋体"/>
          <w:color w:val="FF0000"/>
          <w:sz w:val="24"/>
          <w:highlight w:val="none"/>
          <w:u w:val="single"/>
        </w:rPr>
        <w:t>月</w:t>
      </w:r>
      <w:r>
        <w:rPr>
          <w:rFonts w:hint="eastAsia" w:ascii="宋体" w:hAnsi="宋体" w:cs="宋体"/>
          <w:color w:val="FF0000"/>
          <w:sz w:val="24"/>
          <w:highlight w:val="none"/>
          <w:u w:val="single"/>
          <w:lang w:val="en-US" w:eastAsia="zh-CN"/>
        </w:rPr>
        <w:t>28</w:t>
      </w:r>
      <w:r>
        <w:rPr>
          <w:rFonts w:hint="eastAsia" w:ascii="宋体" w:hAnsi="宋体" w:eastAsia="宋体" w:cs="宋体"/>
          <w:color w:val="FF0000"/>
          <w:sz w:val="24"/>
          <w:highlight w:val="none"/>
          <w:u w:val="single"/>
        </w:rPr>
        <w:t>日9点30分</w:t>
      </w:r>
      <w:r>
        <w:rPr>
          <w:rFonts w:hint="eastAsia" w:ascii="宋体" w:hAnsi="宋体" w:eastAsia="宋体" w:cs="宋体"/>
          <w:color w:val="000000"/>
          <w:sz w:val="24"/>
          <w:highlight w:val="none"/>
          <w:u w:val="single"/>
        </w:rPr>
        <w:t>（北京时间）</w:t>
      </w:r>
      <w:r>
        <w:rPr>
          <w:rFonts w:hint="eastAsia" w:ascii="宋体" w:hAnsi="宋体" w:eastAsia="宋体" w:cs="宋体"/>
          <w:color w:val="000000"/>
          <w:sz w:val="24"/>
        </w:rPr>
        <w:t>前递交投标文件。</w:t>
      </w:r>
    </w:p>
    <w:p w14:paraId="09BBDFE2">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一、项目基本情况</w:t>
      </w:r>
    </w:p>
    <w:p w14:paraId="3FEEF7F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1.项目编号：</w:t>
      </w:r>
      <w:r>
        <w:rPr>
          <w:rFonts w:hint="eastAsia" w:ascii="宋体" w:hAnsi="宋体" w:eastAsia="宋体" w:cs="宋体"/>
          <w:color w:val="000000"/>
          <w:sz w:val="24"/>
        </w:rPr>
        <w:t>JSZC-321000-JZCG-G2026-0031</w:t>
      </w:r>
    </w:p>
    <w:p w14:paraId="68E76E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2.项目名称：</w:t>
      </w:r>
      <w:r>
        <w:rPr>
          <w:rFonts w:hint="eastAsia" w:ascii="宋体" w:hAnsi="宋体" w:eastAsia="宋体" w:cs="宋体"/>
          <w:color w:val="000000"/>
          <w:sz w:val="24"/>
        </w:rPr>
        <w:t>扬州市生态科技新城环境卫生管理办公室杭集镇镇区“城市管家”一体化项目</w:t>
      </w:r>
    </w:p>
    <w:p w14:paraId="2F5AFC5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3.预算金额：</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65"/>
        <w:gridCol w:w="7694"/>
      </w:tblGrid>
      <w:tr w14:paraId="119F8D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1AF76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69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3A03A3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预算金额（人民币：万元）</w:t>
            </w:r>
          </w:p>
        </w:tc>
      </w:tr>
      <w:tr w14:paraId="34A099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BFF39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76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9DFB3F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hint="eastAsia" w:ascii="宋体" w:hAnsi="宋体" w:cs="宋体"/>
                <w:color w:val="000000"/>
                <w:sz w:val="24"/>
                <w:lang w:val="en-US" w:eastAsia="zh-CN"/>
              </w:rPr>
              <w:t>1025.345331（3年）</w:t>
            </w:r>
          </w:p>
        </w:tc>
      </w:tr>
      <w:tr w14:paraId="263DBD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F38709">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ascii="宋体" w:hAnsi="宋体" w:eastAsia="宋体" w:cs="宋体"/>
                <w:color w:val="000000"/>
                <w:sz w:val="24"/>
              </w:rPr>
              <w:t>2</w:t>
            </w:r>
          </w:p>
        </w:tc>
        <w:tc>
          <w:tcPr>
            <w:tcW w:w="76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CE05277">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hint="eastAsia" w:ascii="宋体" w:hAnsi="宋体" w:cs="宋体"/>
                <w:color w:val="000000"/>
                <w:sz w:val="24"/>
                <w:lang w:val="en-US" w:eastAsia="zh-CN"/>
              </w:rPr>
            </w:pPr>
            <w:r>
              <w:rPr>
                <w:rFonts w:hint="eastAsia" w:ascii="宋体" w:hAnsi="宋体" w:cs="宋体"/>
                <w:color w:val="000000"/>
                <w:sz w:val="24"/>
                <w:lang w:val="en-US" w:eastAsia="zh-CN"/>
              </w:rPr>
              <w:t>949.590528（3年）</w:t>
            </w:r>
          </w:p>
        </w:tc>
      </w:tr>
      <w:tr w14:paraId="7DA9D5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F6EC71">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hint="eastAsia" w:ascii="宋体" w:hAnsi="宋体" w:cs="宋体"/>
                <w:color w:val="000000"/>
                <w:sz w:val="24"/>
                <w:lang w:val="en-US" w:eastAsia="zh-CN"/>
              </w:rPr>
              <w:t>3</w:t>
            </w:r>
          </w:p>
        </w:tc>
        <w:tc>
          <w:tcPr>
            <w:tcW w:w="76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9BBBD8C">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hint="eastAsia" w:ascii="宋体" w:hAnsi="宋体" w:cs="宋体"/>
                <w:color w:val="000000"/>
                <w:sz w:val="24"/>
                <w:lang w:val="en-US" w:eastAsia="zh-CN"/>
              </w:rPr>
            </w:pPr>
            <w:r>
              <w:rPr>
                <w:rFonts w:hint="eastAsia" w:ascii="宋体" w:hAnsi="宋体" w:cs="宋体"/>
                <w:color w:val="000000"/>
                <w:sz w:val="24"/>
                <w:lang w:val="en-US" w:eastAsia="zh-CN"/>
              </w:rPr>
              <w:t>1130.55771（3年）</w:t>
            </w:r>
          </w:p>
        </w:tc>
      </w:tr>
      <w:tr w14:paraId="768771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3A4631">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hint="eastAsia" w:ascii="宋体" w:hAnsi="宋体" w:cs="宋体"/>
                <w:color w:val="000000"/>
                <w:sz w:val="24"/>
                <w:lang w:val="en-US" w:eastAsia="zh-CN"/>
              </w:rPr>
              <w:t>4</w:t>
            </w:r>
          </w:p>
        </w:tc>
        <w:tc>
          <w:tcPr>
            <w:tcW w:w="76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A9382B">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hint="eastAsia" w:ascii="宋体" w:hAnsi="宋体" w:cs="宋体"/>
                <w:color w:val="000000"/>
                <w:sz w:val="24"/>
                <w:lang w:val="en-US" w:eastAsia="zh-CN"/>
              </w:rPr>
            </w:pPr>
            <w:r>
              <w:rPr>
                <w:rFonts w:hint="eastAsia" w:ascii="宋体" w:hAnsi="宋体" w:cs="宋体"/>
                <w:color w:val="000000"/>
                <w:sz w:val="24"/>
                <w:lang w:val="en-US" w:eastAsia="zh-CN"/>
              </w:rPr>
              <w:t>432（3年）</w:t>
            </w:r>
          </w:p>
        </w:tc>
      </w:tr>
    </w:tbl>
    <w:p w14:paraId="58CD922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4.最高限价：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383"/>
        <w:gridCol w:w="3432"/>
        <w:gridCol w:w="4244"/>
      </w:tblGrid>
      <w:tr w14:paraId="108564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8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E85F5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343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496797E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是否设定最高限价（是/否）</w:t>
            </w:r>
          </w:p>
        </w:tc>
        <w:tc>
          <w:tcPr>
            <w:tcW w:w="42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3592D57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最高限价（人民币：万元）</w:t>
            </w:r>
          </w:p>
        </w:tc>
      </w:tr>
      <w:tr w14:paraId="256822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C3033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343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F76C24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w:t>
            </w:r>
          </w:p>
        </w:tc>
        <w:tc>
          <w:tcPr>
            <w:tcW w:w="42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297AB5C">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pPr>
            <w:r>
              <w:rPr>
                <w:rFonts w:hint="eastAsia" w:ascii="宋体" w:hAnsi="宋体" w:cs="宋体"/>
                <w:color w:val="000000"/>
                <w:sz w:val="24"/>
                <w:lang w:val="en-US" w:eastAsia="zh-CN"/>
              </w:rPr>
              <w:t>1025.345331（3年）</w:t>
            </w:r>
          </w:p>
        </w:tc>
      </w:tr>
      <w:tr w14:paraId="61C783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2D68122">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ascii="宋体" w:hAnsi="宋体" w:eastAsia="宋体" w:cs="宋体"/>
                <w:color w:val="000000"/>
                <w:sz w:val="24"/>
              </w:rPr>
              <w:t>2</w:t>
            </w:r>
          </w:p>
        </w:tc>
        <w:tc>
          <w:tcPr>
            <w:tcW w:w="343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47908E5">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ascii="宋体" w:hAnsi="宋体" w:eastAsia="宋体" w:cs="宋体"/>
                <w:color w:val="000000"/>
                <w:sz w:val="24"/>
              </w:rPr>
              <w:t>是</w:t>
            </w:r>
          </w:p>
        </w:tc>
        <w:tc>
          <w:tcPr>
            <w:tcW w:w="42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86B9D8">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hint="eastAsia" w:ascii="宋体" w:hAnsi="宋体" w:cs="宋体"/>
                <w:color w:val="000000"/>
                <w:sz w:val="24"/>
                <w:lang w:val="en-US" w:eastAsia="zh-CN"/>
              </w:rPr>
            </w:pPr>
            <w:r>
              <w:rPr>
                <w:rFonts w:hint="eastAsia" w:ascii="宋体" w:hAnsi="宋体" w:cs="宋体"/>
                <w:color w:val="000000"/>
                <w:sz w:val="24"/>
                <w:lang w:val="en-US" w:eastAsia="zh-CN"/>
              </w:rPr>
              <w:t>949.590528（3年）</w:t>
            </w:r>
          </w:p>
        </w:tc>
      </w:tr>
      <w:tr w14:paraId="2B3937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182A568">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hint="eastAsia" w:ascii="宋体" w:hAnsi="宋体" w:cs="宋体"/>
                <w:color w:val="000000"/>
                <w:sz w:val="24"/>
                <w:lang w:val="en-US" w:eastAsia="zh-CN"/>
              </w:rPr>
              <w:t>3</w:t>
            </w:r>
          </w:p>
        </w:tc>
        <w:tc>
          <w:tcPr>
            <w:tcW w:w="343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F59173B">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ascii="宋体" w:hAnsi="宋体" w:eastAsia="宋体" w:cs="宋体"/>
                <w:color w:val="000000"/>
                <w:sz w:val="24"/>
              </w:rPr>
              <w:t>是</w:t>
            </w:r>
          </w:p>
        </w:tc>
        <w:tc>
          <w:tcPr>
            <w:tcW w:w="42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70489F">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hint="eastAsia" w:ascii="宋体" w:hAnsi="宋体" w:cs="宋体"/>
                <w:color w:val="000000"/>
                <w:sz w:val="24"/>
                <w:lang w:val="en-US" w:eastAsia="zh-CN"/>
              </w:rPr>
            </w:pPr>
            <w:r>
              <w:rPr>
                <w:rFonts w:hint="eastAsia" w:ascii="宋体" w:hAnsi="宋体" w:cs="宋体"/>
                <w:color w:val="000000"/>
                <w:sz w:val="24"/>
                <w:lang w:val="en-US" w:eastAsia="zh-CN"/>
              </w:rPr>
              <w:t>1130.55771（3年）</w:t>
            </w:r>
          </w:p>
        </w:tc>
      </w:tr>
      <w:tr w14:paraId="578117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C319B7">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hint="eastAsia" w:ascii="宋体" w:hAnsi="宋体" w:cs="宋体"/>
                <w:color w:val="000000"/>
                <w:sz w:val="24"/>
                <w:lang w:val="en-US" w:eastAsia="zh-CN"/>
              </w:rPr>
              <w:t>4</w:t>
            </w:r>
          </w:p>
        </w:tc>
        <w:tc>
          <w:tcPr>
            <w:tcW w:w="343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C5E07D6">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4"/>
              </w:rPr>
            </w:pPr>
            <w:r>
              <w:rPr>
                <w:rFonts w:ascii="宋体" w:hAnsi="宋体" w:eastAsia="宋体" w:cs="宋体"/>
                <w:color w:val="000000"/>
                <w:sz w:val="24"/>
              </w:rPr>
              <w:t>是</w:t>
            </w:r>
          </w:p>
        </w:tc>
        <w:tc>
          <w:tcPr>
            <w:tcW w:w="42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FFC58DA">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hint="eastAsia" w:ascii="宋体" w:hAnsi="宋体" w:cs="宋体"/>
                <w:color w:val="000000"/>
                <w:sz w:val="24"/>
                <w:lang w:val="en-US" w:eastAsia="zh-CN"/>
              </w:rPr>
            </w:pPr>
            <w:r>
              <w:rPr>
                <w:rFonts w:hint="eastAsia" w:ascii="宋体" w:hAnsi="宋体" w:cs="宋体"/>
                <w:color w:val="000000"/>
                <w:sz w:val="24"/>
                <w:lang w:val="en-US" w:eastAsia="zh-CN"/>
              </w:rPr>
              <w:t>432（3年）</w:t>
            </w:r>
          </w:p>
        </w:tc>
      </w:tr>
    </w:tbl>
    <w:p w14:paraId="5DC0A667">
      <w:pPr>
        <w:pBdr>
          <w:top w:val="none" w:color="000000" w:sz="0" w:space="0"/>
          <w:left w:val="none" w:color="000000" w:sz="0" w:space="0"/>
          <w:bottom w:val="none" w:color="000000" w:sz="0" w:space="0"/>
          <w:right w:val="none" w:color="000000" w:sz="0" w:space="0"/>
        </w:pBdr>
        <w:spacing w:before="0" w:after="0" w:line="400" w:lineRule="atLeast"/>
        <w:ind w:left="0" w:firstLine="0"/>
        <w:jc w:val="both"/>
      </w:pPr>
      <w:r>
        <w:rPr>
          <w:rFonts w:ascii="宋体" w:hAnsi="宋体" w:eastAsia="宋体" w:cs="宋体"/>
          <w:color w:val="000000"/>
          <w:sz w:val="24"/>
        </w:rPr>
        <w:t xml:space="preserve">    5.采购需求（简介）：</w:t>
      </w:r>
      <w:r>
        <w:rPr>
          <w:rFonts w:hint="eastAsia" w:ascii="宋体" w:hAnsi="宋体" w:eastAsia="宋体" w:cs="宋体"/>
          <w:color w:val="000000"/>
          <w:sz w:val="24"/>
        </w:rPr>
        <w:t>本次招标包括杭集镇内主次干道清扫保洁（含深度保洁、重点区域降尘作业）及随路绿化养</w:t>
      </w:r>
      <w:r>
        <w:rPr>
          <w:rFonts w:hint="eastAsia" w:ascii="宋体" w:hAnsi="宋体" w:eastAsia="宋体" w:cs="宋体"/>
          <w:color w:val="000000"/>
          <w:sz w:val="24"/>
          <w:highlight w:val="none"/>
        </w:rPr>
        <w:t>护、生活垃圾（含一般工业固废）收运</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交通护栏等公共设施保洁、公厕保洁等服务</w:t>
      </w:r>
      <w:r>
        <w:rPr>
          <w:rFonts w:hint="eastAsia" w:ascii="宋体" w:hAnsi="宋体" w:eastAsia="宋体" w:cs="宋体"/>
          <w:color w:val="000000"/>
          <w:sz w:val="24"/>
        </w:rPr>
        <w:t>等服务</w:t>
      </w:r>
      <w:r>
        <w:rPr>
          <w:rFonts w:hint="eastAsia" w:ascii="宋体" w:hAnsi="宋体" w:cs="宋体"/>
          <w:color w:val="000000"/>
          <w:sz w:val="24"/>
          <w:lang w:eastAsia="zh-CN"/>
        </w:rPr>
        <w:t>。</w:t>
      </w:r>
      <w:r>
        <w:rPr>
          <w:rFonts w:hint="eastAsia" w:ascii="宋体" w:hAnsi="宋体" w:cs="宋体"/>
          <w:color w:val="000000"/>
          <w:sz w:val="24"/>
          <w:lang w:val="en-US" w:eastAsia="zh-CN"/>
        </w:rPr>
        <w:t>本项目</w:t>
      </w:r>
      <w:r>
        <w:rPr>
          <w:rFonts w:hint="eastAsia" w:ascii="宋体" w:hAnsi="宋体" w:eastAsia="宋体" w:cs="宋体"/>
          <w:color w:val="000000"/>
          <w:sz w:val="24"/>
        </w:rPr>
        <w:t>共分为四个包。包1：重点区域周边片区“城市管家”一体化作业，包2：东北部片区“城市管家”一体化作业，包3：东南部片区（含翟庄路）“城市管家”一体化作业，包4：镇区（北至328国道、南至G40、东至金湾路、西至廖家沟路）生活垃圾（含一般工业固废）收运及公厕保洁作业。本项目可兼投但不可兼中，开标评标顺序分包1至分包4。</w:t>
      </w:r>
      <w:r>
        <w:rPr>
          <w:rFonts w:ascii="宋体" w:hAnsi="宋体" w:eastAsia="宋体" w:cs="宋体"/>
          <w:color w:val="000000"/>
          <w:sz w:val="24"/>
        </w:rPr>
        <w:t>（详细内容见本招标文件第四章）</w:t>
      </w:r>
    </w:p>
    <w:p w14:paraId="2300340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6.合同履行期限：</w:t>
      </w:r>
      <w:r>
        <w:rPr>
          <w:rFonts w:hint="eastAsia" w:ascii="宋体" w:hAnsi="宋体" w:eastAsia="宋体" w:cs="宋体"/>
          <w:color w:val="000000"/>
          <w:sz w:val="24"/>
          <w:szCs w:val="24"/>
        </w:rPr>
        <w:t>合同签订之日起三年，</w:t>
      </w:r>
      <w:r>
        <w:rPr>
          <w:rFonts w:hint="eastAsia" w:ascii="宋体" w:hAnsi="宋体" w:cs="宋体"/>
          <w:color w:val="000000"/>
          <w:sz w:val="24"/>
          <w:szCs w:val="24"/>
          <w:lang w:val="en-US" w:eastAsia="zh-CN"/>
        </w:rPr>
        <w:t>投标按三年报价。</w:t>
      </w:r>
      <w:r>
        <w:rPr>
          <w:rFonts w:hint="eastAsia" w:ascii="宋体" w:hAnsi="宋体" w:eastAsia="宋体" w:cs="宋体"/>
          <w:color w:val="000000"/>
          <w:sz w:val="24"/>
          <w:szCs w:val="24"/>
        </w:rPr>
        <w:t>本项目合同首签一年，在当年评估合格的情况下，采购人和中标人签订下一年合同，每年合同签订金额为总报价/3年。</w:t>
      </w:r>
    </w:p>
    <w:p w14:paraId="241F4A97">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二、申请人的资格要求：</w:t>
      </w:r>
    </w:p>
    <w:p w14:paraId="3AC1781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（一）通用资格要求</w:t>
      </w:r>
    </w:p>
    <w:p w14:paraId="7B8CB0A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1.满足《中华人民共和国政府采购法》第二十二条规定，并提供下列材料：</w:t>
      </w:r>
    </w:p>
    <w:p w14:paraId="4810B4E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 法人或者其他组织的营业执照等证明文件，自然人的身份证明；</w:t>
      </w:r>
    </w:p>
    <w:p w14:paraId="17BFDBA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1.2 </w:t>
      </w:r>
      <w:r>
        <w:rPr>
          <w:rFonts w:hint="eastAsia" w:ascii="宋体" w:hAnsi="宋体" w:cs="宋体"/>
          <w:color w:val="000000"/>
          <w:sz w:val="24"/>
          <w:lang w:val="en-US" w:eastAsia="zh-CN"/>
        </w:rPr>
        <w:t>上一</w:t>
      </w:r>
      <w:r>
        <w:rPr>
          <w:rFonts w:ascii="宋体" w:hAnsi="宋体" w:eastAsia="宋体" w:cs="宋体"/>
          <w:color w:val="000000"/>
          <w:sz w:val="24"/>
        </w:rPr>
        <w:t>年度的财务状况报告（成立不满一年无需提供）；</w:t>
      </w:r>
    </w:p>
    <w:p w14:paraId="25843B1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03EB762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1.4具备履行合同所必需的设备和专业技术能力的书面声明；</w:t>
      </w:r>
    </w:p>
    <w:p w14:paraId="016D215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1.5参加政府采购活动前3年内在经营活动中没有重大违法记录的书面声明。</w:t>
      </w:r>
    </w:p>
    <w:p w14:paraId="6A4ED8B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 供应商信用承诺函。</w:t>
      </w:r>
    </w:p>
    <w:p w14:paraId="04F1183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172C11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3.落实政府采购政策需满足的资格要求：本项目采购包</w:t>
      </w:r>
      <w:r>
        <w:rPr>
          <w:rFonts w:hint="eastAsia" w:ascii="宋体" w:hAnsi="宋体" w:cs="宋体"/>
          <w:color w:val="000000"/>
          <w:sz w:val="24"/>
          <w:lang w:val="en-US" w:eastAsia="zh-CN"/>
        </w:rPr>
        <w:t>1至包4</w:t>
      </w:r>
      <w:r>
        <w:rPr>
          <w:rFonts w:ascii="宋体" w:hAnsi="宋体" w:eastAsia="宋体" w:cs="宋体"/>
          <w:color w:val="000000"/>
          <w:sz w:val="24"/>
        </w:rPr>
        <w:t>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0A91447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4.联合体投标</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12"/>
        <w:gridCol w:w="3644"/>
        <w:gridCol w:w="4015"/>
      </w:tblGrid>
      <w:tr w14:paraId="048AAD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1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A8493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36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71F5283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是否接受联合体投标（是/否）</w:t>
            </w:r>
          </w:p>
        </w:tc>
        <w:tc>
          <w:tcPr>
            <w:tcW w:w="40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3435E5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该采购包中联合体成员数量上限</w:t>
            </w:r>
          </w:p>
        </w:tc>
      </w:tr>
      <w:tr w14:paraId="79AB0E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3D252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ascii="宋体" w:hAnsi="宋体" w:eastAsia="宋体" w:cs="宋体"/>
                <w:color w:val="000000"/>
                <w:sz w:val="24"/>
              </w:rPr>
              <w:t>1</w:t>
            </w:r>
            <w:r>
              <w:rPr>
                <w:rFonts w:hint="eastAsia" w:ascii="宋体" w:hAnsi="宋体" w:cs="宋体"/>
                <w:color w:val="000000"/>
                <w:sz w:val="24"/>
                <w:lang w:val="en-US" w:eastAsia="zh-CN"/>
              </w:rPr>
              <w:t>-4</w:t>
            </w:r>
          </w:p>
        </w:tc>
        <w:tc>
          <w:tcPr>
            <w:tcW w:w="3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37B0F9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c>
          <w:tcPr>
            <w:tcW w:w="40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267B4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r>
    </w:tbl>
    <w:p w14:paraId="45B6162E">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5.进口产品投标</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12"/>
        <w:gridCol w:w="7650"/>
      </w:tblGrid>
      <w:tr w14:paraId="295199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2" w:hRule="atLeast"/>
        </w:trPr>
        <w:tc>
          <w:tcPr>
            <w:tcW w:w="131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B7610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65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18C4EA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是否接受进口产品投标（是/否）</w:t>
            </w:r>
          </w:p>
        </w:tc>
      </w:tr>
      <w:tr w14:paraId="7B2A86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16D75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ascii="宋体" w:hAnsi="宋体" w:eastAsia="宋体" w:cs="宋体"/>
                <w:color w:val="000000"/>
                <w:sz w:val="24"/>
              </w:rPr>
              <w:t>1</w:t>
            </w:r>
            <w:r>
              <w:rPr>
                <w:rFonts w:hint="eastAsia" w:ascii="宋体" w:hAnsi="宋体" w:cs="宋体"/>
                <w:color w:val="000000"/>
                <w:sz w:val="24"/>
                <w:lang w:val="en-US" w:eastAsia="zh-CN"/>
              </w:rPr>
              <w:t>-4</w:t>
            </w:r>
          </w:p>
        </w:tc>
        <w:tc>
          <w:tcPr>
            <w:tcW w:w="765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174F1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r>
    </w:tbl>
    <w:p w14:paraId="486ACE0F">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（二）本项目的特定资格要求</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39"/>
        <w:gridCol w:w="7614"/>
      </w:tblGrid>
      <w:tr w14:paraId="13F179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A30A9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61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0ABCBD8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特定资格要求</w:t>
            </w:r>
          </w:p>
        </w:tc>
      </w:tr>
      <w:tr w14:paraId="616A50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C38BF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ascii="宋体" w:hAnsi="宋体" w:eastAsia="宋体" w:cs="宋体"/>
                <w:color w:val="000000"/>
                <w:sz w:val="24"/>
              </w:rPr>
              <w:t>1</w:t>
            </w:r>
            <w:r>
              <w:rPr>
                <w:rFonts w:hint="eastAsia" w:ascii="宋体" w:hAnsi="宋体" w:cs="宋体"/>
                <w:color w:val="000000"/>
                <w:sz w:val="24"/>
                <w:lang w:val="en-US" w:eastAsia="zh-CN"/>
              </w:rPr>
              <w:t>-4</w:t>
            </w:r>
          </w:p>
        </w:tc>
        <w:tc>
          <w:tcPr>
            <w:tcW w:w="761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A3B540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无</w:t>
            </w:r>
          </w:p>
        </w:tc>
      </w:tr>
    </w:tbl>
    <w:p w14:paraId="00CF1C0D">
      <w:pPr>
        <w:pBdr>
          <w:top w:val="none" w:color="000000" w:sz="0" w:space="0"/>
          <w:left w:val="none" w:color="000000" w:sz="0" w:space="0"/>
          <w:bottom w:val="none" w:color="000000" w:sz="0" w:space="0"/>
          <w:right w:val="none" w:color="000000" w:sz="0" w:space="0"/>
        </w:pBdr>
        <w:spacing w:before="145" w:after="145"/>
        <w:ind w:left="0" w:right="0" w:firstLine="498"/>
        <w:jc w:val="both"/>
      </w:pPr>
      <w:r>
        <w:rPr>
          <w:rFonts w:ascii="宋体" w:hAnsi="宋体" w:eastAsia="宋体" w:cs="宋体"/>
          <w:b/>
          <w:color w:val="000000"/>
          <w:sz w:val="32"/>
        </w:rPr>
        <w:t>三、获取招标文件</w:t>
      </w:r>
    </w:p>
    <w:p w14:paraId="6D35FA29">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1.时间：自招标文件公告发布之日起5个工作日。</w:t>
      </w:r>
    </w:p>
    <w:p w14:paraId="49A4D288">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2.方式：在“江苏政府采购网、扬州市政府采购网”自行免费下载招标文件。</w:t>
      </w:r>
    </w:p>
    <w:p w14:paraId="21FF436C">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四、提交投标文件截止时间、开标时间和地点</w:t>
      </w:r>
    </w:p>
    <w:p w14:paraId="5AB544B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1.</w:t>
      </w:r>
      <w:r>
        <w:rPr>
          <w:rFonts w:ascii="宋体" w:hAnsi="宋体" w:eastAsia="宋体" w:cs="宋体"/>
          <w:color w:val="000000"/>
          <w:sz w:val="24"/>
          <w:u w:val="single"/>
        </w:rPr>
        <w:t> </w:t>
      </w:r>
      <w:r>
        <w:rPr>
          <w:rFonts w:ascii="宋体" w:hAnsi="宋体" w:eastAsia="宋体" w:cs="宋体"/>
          <w:color w:val="FF0000"/>
          <w:sz w:val="24"/>
          <w:u w:val="single"/>
        </w:rPr>
        <w:t>2025年</w:t>
      </w:r>
      <w:r>
        <w:rPr>
          <w:rFonts w:hint="eastAsia" w:ascii="宋体" w:hAnsi="宋体" w:cs="宋体"/>
          <w:color w:val="FF0000"/>
          <w:sz w:val="24"/>
          <w:u w:val="single"/>
          <w:lang w:val="en-US" w:eastAsia="zh-CN"/>
        </w:rPr>
        <w:t>7</w:t>
      </w:r>
      <w:r>
        <w:rPr>
          <w:rFonts w:ascii="宋体" w:hAnsi="宋体" w:eastAsia="宋体" w:cs="宋体"/>
          <w:color w:val="FF0000"/>
          <w:sz w:val="24"/>
          <w:u w:val="single"/>
        </w:rPr>
        <w:t>月</w:t>
      </w:r>
      <w:r>
        <w:rPr>
          <w:rFonts w:hint="eastAsia" w:ascii="宋体" w:hAnsi="宋体" w:cs="宋体"/>
          <w:color w:val="FF0000"/>
          <w:sz w:val="24"/>
          <w:u w:val="single"/>
          <w:lang w:val="en-US" w:eastAsia="zh-CN"/>
        </w:rPr>
        <w:t>28</w:t>
      </w:r>
      <w:r>
        <w:rPr>
          <w:rFonts w:ascii="宋体" w:hAnsi="宋体" w:eastAsia="宋体" w:cs="宋体"/>
          <w:color w:val="FF0000"/>
          <w:sz w:val="24"/>
          <w:u w:val="single"/>
        </w:rPr>
        <w:t>日</w:t>
      </w:r>
      <w:r>
        <w:rPr>
          <w:rFonts w:hint="eastAsia" w:ascii="宋体" w:hAnsi="宋体" w:cs="宋体"/>
          <w:color w:val="FF0000"/>
          <w:sz w:val="24"/>
          <w:u w:val="single"/>
          <w:lang w:val="en-US" w:eastAsia="zh-CN"/>
        </w:rPr>
        <w:t>09</w:t>
      </w:r>
      <w:r>
        <w:rPr>
          <w:rFonts w:ascii="宋体" w:hAnsi="宋体" w:eastAsia="宋体" w:cs="宋体"/>
          <w:color w:val="FF0000"/>
          <w:sz w:val="24"/>
          <w:u w:val="single"/>
        </w:rPr>
        <w:t>点</w:t>
      </w:r>
      <w:r>
        <w:rPr>
          <w:rFonts w:hint="eastAsia" w:ascii="宋体" w:hAnsi="宋体" w:cs="宋体"/>
          <w:color w:val="FF0000"/>
          <w:sz w:val="24"/>
          <w:u w:val="single"/>
          <w:lang w:val="en-US" w:eastAsia="zh-CN"/>
        </w:rPr>
        <w:t>30</w:t>
      </w:r>
      <w:r>
        <w:rPr>
          <w:rFonts w:ascii="宋体" w:hAnsi="宋体" w:eastAsia="宋体" w:cs="宋体"/>
          <w:color w:val="FF0000"/>
          <w:sz w:val="24"/>
          <w:u w:val="single"/>
        </w:rPr>
        <w:t>分</w:t>
      </w:r>
      <w:r>
        <w:rPr>
          <w:rFonts w:ascii="宋体" w:hAnsi="宋体" w:eastAsia="宋体" w:cs="宋体"/>
          <w:color w:val="000000"/>
          <w:sz w:val="24"/>
        </w:rPr>
        <w:t>（北京时间）</w:t>
      </w:r>
    </w:p>
    <w:p w14:paraId="43A312A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2.地点：“苏采云”政府采购交易系统。</w:t>
      </w:r>
    </w:p>
    <w:p w14:paraId="0EE2EA00">
      <w:pPr>
        <w:pBdr>
          <w:top w:val="none" w:color="000000" w:sz="0" w:space="0"/>
          <w:left w:val="none" w:color="000000" w:sz="0" w:space="0"/>
          <w:bottom w:val="none" w:color="000000" w:sz="0" w:space="0"/>
          <w:right w:val="none" w:color="000000" w:sz="0" w:space="0"/>
        </w:pBdr>
        <w:spacing w:before="145" w:after="145"/>
        <w:ind w:left="0" w:right="0" w:firstLine="498"/>
        <w:jc w:val="both"/>
      </w:pPr>
      <w:r>
        <w:rPr>
          <w:rFonts w:ascii="宋体" w:hAnsi="宋体" w:eastAsia="宋体" w:cs="宋体"/>
          <w:b/>
          <w:color w:val="000000"/>
          <w:sz w:val="32"/>
        </w:rPr>
        <w:t>五、公告期限</w:t>
      </w:r>
    </w:p>
    <w:p w14:paraId="192B3EE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自本公告发布之日起5个工作日。</w:t>
      </w:r>
    </w:p>
    <w:p w14:paraId="12B1305A">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六、其他补充事宜</w:t>
      </w:r>
    </w:p>
    <w:p w14:paraId="68688A0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无</w:t>
      </w:r>
    </w:p>
    <w:p w14:paraId="09522131">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七、本次招标联系方式</w:t>
      </w:r>
    </w:p>
    <w:p w14:paraId="51822D2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xml:space="preserve">    1.采购人信息</w:t>
      </w:r>
    </w:p>
    <w:p w14:paraId="3B52EFE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u w:val="single"/>
        </w:rPr>
        <w:t>扬州市生态科技新城环境卫生管理办公室</w:t>
      </w:r>
    </w:p>
    <w:p w14:paraId="3BDF8E3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t>扬州市生态科技新城泰安镇金泰西路100号</w:t>
      </w:r>
    </w:p>
    <w:p w14:paraId="351601C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lang w:val="en-US" w:eastAsia="zh-CN"/>
        </w:rPr>
        <w:t>李女士</w:t>
      </w:r>
    </w:p>
    <w:p w14:paraId="499C27D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u w:val="single"/>
        </w:rPr>
      </w:pPr>
      <w:r>
        <w:rPr>
          <w:rFonts w:hint="eastAsia" w:ascii="宋体" w:hAnsi="宋体"/>
          <w:color w:val="auto"/>
          <w:sz w:val="24"/>
          <w:szCs w:val="24"/>
          <w:highlight w:val="none"/>
        </w:rPr>
        <w:t>联系方式：</w:t>
      </w:r>
      <w:r>
        <w:rPr>
          <w:rFonts w:hint="eastAsia" w:ascii="宋体" w:hAnsi="宋体" w:cs="宋体"/>
          <w:color w:val="auto"/>
          <w:sz w:val="24"/>
          <w:szCs w:val="24"/>
          <w:highlight w:val="none"/>
          <w:u w:val="single"/>
        </w:rPr>
        <w:t>0514-87997786</w:t>
      </w:r>
    </w:p>
    <w:p w14:paraId="03C65B8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xml:space="preserve">    2.扬州市公共资源交易中心</w:t>
      </w:r>
    </w:p>
    <w:p w14:paraId="4026DCCF">
      <w:pPr>
        <w:pStyle w:val="185"/>
        <w:spacing w:before="145" w:after="145" w:line="400" w:lineRule="exact"/>
        <w:ind w:firstLine="498"/>
        <w:rPr>
          <w:rFonts w:ascii="宋体" w:hAnsi="宋体"/>
          <w:b w:val="0"/>
          <w:bCs w:val="0"/>
          <w:color w:val="000000"/>
          <w:sz w:val="24"/>
          <w:szCs w:val="24"/>
        </w:rPr>
      </w:pPr>
      <w:r>
        <w:rPr>
          <w:rFonts w:hint="eastAsia" w:ascii="宋体" w:hAnsi="宋体"/>
          <w:b w:val="0"/>
          <w:bCs w:val="0"/>
          <w:color w:val="000000"/>
          <w:sz w:val="24"/>
          <w:szCs w:val="24"/>
        </w:rPr>
        <w:t>地　址：</w:t>
      </w:r>
      <w:r>
        <w:rPr>
          <w:rFonts w:hint="eastAsia" w:ascii="宋体" w:hAnsi="宋体"/>
          <w:b w:val="0"/>
          <w:bCs w:val="0"/>
          <w:color w:val="000000"/>
          <w:sz w:val="24"/>
          <w:szCs w:val="24"/>
          <w:u w:val="single"/>
        </w:rPr>
        <w:t>扬州市文昌东路9号广陵新城市民中心1号楼5楼1529室</w:t>
      </w:r>
    </w:p>
    <w:p w14:paraId="16815B53">
      <w:pPr>
        <w:pStyle w:val="185"/>
        <w:spacing w:before="145" w:after="145" w:line="400" w:lineRule="exact"/>
        <w:ind w:firstLine="498"/>
        <w:rPr>
          <w:rFonts w:ascii="宋体" w:hAnsi="宋体"/>
          <w:b w:val="0"/>
          <w:bCs w:val="0"/>
          <w:color w:val="000000"/>
          <w:sz w:val="24"/>
          <w:szCs w:val="24"/>
        </w:rPr>
      </w:pPr>
      <w:r>
        <w:rPr>
          <w:rFonts w:hint="eastAsia" w:ascii="宋体" w:hAnsi="宋体"/>
          <w:b w:val="0"/>
          <w:bCs w:val="0"/>
          <w:color w:val="000000"/>
          <w:sz w:val="24"/>
          <w:szCs w:val="24"/>
        </w:rPr>
        <w:t>联系人：</w:t>
      </w:r>
      <w:r>
        <w:rPr>
          <w:rFonts w:hint="eastAsia" w:ascii="宋体" w:hAnsi="宋体"/>
          <w:b w:val="0"/>
          <w:bCs w:val="0"/>
          <w:color w:val="000000"/>
          <w:sz w:val="24"/>
          <w:szCs w:val="24"/>
          <w:u w:val="single"/>
        </w:rPr>
        <w:t>张自美</w:t>
      </w:r>
    </w:p>
    <w:p w14:paraId="39D2EE2F">
      <w:pPr>
        <w:pStyle w:val="185"/>
        <w:spacing w:before="145" w:after="145" w:line="400" w:lineRule="exact"/>
        <w:ind w:firstLine="498"/>
        <w:rPr>
          <w:rFonts w:ascii="宋体" w:hAnsi="宋体"/>
          <w:b w:val="0"/>
          <w:bCs w:val="0"/>
          <w:color w:val="000000"/>
          <w:sz w:val="24"/>
          <w:szCs w:val="24"/>
        </w:rPr>
      </w:pPr>
      <w:r>
        <w:rPr>
          <w:rFonts w:hint="eastAsia" w:ascii="宋体" w:hAnsi="宋体"/>
          <w:b w:val="0"/>
          <w:bCs w:val="0"/>
          <w:color w:val="000000"/>
          <w:sz w:val="24"/>
          <w:szCs w:val="24"/>
        </w:rPr>
        <w:t>联系方式：</w:t>
      </w:r>
      <w:r>
        <w:rPr>
          <w:rFonts w:hint="eastAsia" w:ascii="宋体" w:hAnsi="宋体"/>
          <w:b w:val="0"/>
          <w:bCs w:val="0"/>
          <w:color w:val="000000"/>
          <w:sz w:val="24"/>
          <w:szCs w:val="24"/>
          <w:u w:val="single"/>
        </w:rPr>
        <w:t>0514-82087195</w:t>
      </w:r>
    </w:p>
    <w:p w14:paraId="5FDA2299">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八、其他</w:t>
      </w:r>
    </w:p>
    <w:p w14:paraId="2318C8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具体办理指南和操作手册见链接：http://zfcg.yangzhou.gov.cn/xzzx/art/2023/art_4d7de1f7865f4a2894fc22bc452f94d8.html，请按《操作手册》要求制作、上传电子投标文件。</w:t>
      </w:r>
    </w:p>
    <w:p w14:paraId="217F4D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领取CA和办理电子签章（请至扬州市文昌东路9号广陵新城市民中心1号楼5楼办理，具体联系方式：18952716110）。</w:t>
      </w:r>
    </w:p>
    <w:p w14:paraId="6065B6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2. 有关本次招标的事项若存在变动或修改，敬请及时关注扬州市公共资源交易中心在“江苏政府采购网”、“扬州市政府采购网”发布的更正公告。</w:t>
      </w:r>
    </w:p>
    <w:p w14:paraId="46FAD7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3. 本次招标不收取投标保证金。</w:t>
      </w:r>
    </w:p>
    <w:p w14:paraId="3EE050CA">
      <w:pPr>
        <w:pBdr>
          <w:top w:val="none" w:color="000000" w:sz="0" w:space="0"/>
          <w:left w:val="none" w:color="000000" w:sz="0" w:space="0"/>
          <w:bottom w:val="none" w:color="000000" w:sz="0" w:space="0"/>
          <w:right w:val="none" w:color="000000" w:sz="0" w:space="0"/>
        </w:pBdr>
        <w:spacing w:before="0" w:after="0"/>
        <w:ind w:left="0" w:right="840" w:firstLine="0"/>
        <w:jc w:val="both"/>
      </w:pPr>
      <w:r>
        <w:rPr/>
        <w:br w:type="page" w:clear="all"/>
      </w:r>
    </w:p>
    <w:p w14:paraId="62B18A8B">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第二章 投标人须知</w:t>
      </w:r>
    </w:p>
    <w:p w14:paraId="76D6E115">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一、总则</w:t>
      </w:r>
    </w:p>
    <w:p w14:paraId="14B5CE3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1、招标方式</w:t>
      </w:r>
    </w:p>
    <w:p w14:paraId="654A82A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 本次招标采取公开招标方式，本招标文件仅适用于招标公告中所述项目。</w:t>
      </w:r>
    </w:p>
    <w:p w14:paraId="5F651D1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2、合格的投标人</w:t>
      </w:r>
    </w:p>
    <w:p w14:paraId="6A1204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2.1满足招标公告中供应商的资格要求的规定。</w:t>
      </w:r>
    </w:p>
    <w:p w14:paraId="4938C72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 满足本文件实质性要求的规定。</w:t>
      </w:r>
    </w:p>
    <w:p w14:paraId="2E0D578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3、适用法律</w:t>
      </w:r>
    </w:p>
    <w:p w14:paraId="586DA3A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3.1 本次招标及由此产生的合同受中华人民共和国有关的法律法规制约和保护。</w:t>
      </w:r>
    </w:p>
    <w:p w14:paraId="33BA793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4、投标费用</w:t>
      </w:r>
    </w:p>
    <w:p w14:paraId="0D0F04F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4.1 投标人应自行承担所有与参加投标有关的费用，无论投标过程中的做法和结果如何，扬州市公共资源交易中心（以下简称交易中心）在任何情况下均无义务和责任承担这些费用。</w:t>
      </w:r>
    </w:p>
    <w:p w14:paraId="1452408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4.2本次招标交易中心和采购人不收取标书工本费与中标服务费。</w:t>
      </w:r>
    </w:p>
    <w:p w14:paraId="3CF00E1D">
      <w:pPr>
        <w:pBdr>
          <w:top w:val="none" w:color="000000" w:sz="0" w:space="0"/>
          <w:left w:val="none" w:color="000000" w:sz="0" w:space="0"/>
          <w:bottom w:val="none" w:color="000000" w:sz="0" w:space="0"/>
          <w:right w:val="none" w:color="000000" w:sz="0" w:space="0"/>
        </w:pBdr>
        <w:spacing w:before="0" w:after="0" w:line="400" w:lineRule="atLeast"/>
        <w:ind w:left="0" w:right="0" w:firstLine="602"/>
        <w:jc w:val="both"/>
      </w:pPr>
      <w:r>
        <w:rPr>
          <w:rFonts w:ascii="黑体" w:hAnsi="黑体" w:eastAsia="黑体" w:cs="黑体"/>
          <w:b/>
          <w:color w:val="000000"/>
          <w:sz w:val="30"/>
        </w:rPr>
        <w:t>5、</w:t>
      </w:r>
      <w:r>
        <w:rPr>
          <w:rFonts w:ascii="黑体" w:hAnsi="黑体" w:eastAsia="黑体" w:cs="黑体"/>
          <w:color w:val="000000"/>
          <w:sz w:val="28"/>
        </w:rPr>
        <w:t>招标文件的约束力</w:t>
      </w:r>
    </w:p>
    <w:p w14:paraId="55192FE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5.1 投标人一旦参加本项目采购活动，即被认为接受了本招标文件的规定和约束。</w:t>
      </w:r>
    </w:p>
    <w:p w14:paraId="0A11E496">
      <w:pPr>
        <w:pBdr>
          <w:top w:val="none" w:color="000000" w:sz="0" w:space="0"/>
          <w:left w:val="none" w:color="000000" w:sz="0" w:space="0"/>
          <w:bottom w:val="none" w:color="000000" w:sz="0" w:space="0"/>
          <w:right w:val="none" w:color="000000" w:sz="0" w:space="0"/>
        </w:pBdr>
        <w:spacing w:before="145" w:after="145" w:line="400" w:lineRule="atLeast"/>
        <w:ind w:left="0" w:right="0" w:firstLine="321"/>
        <w:jc w:val="both"/>
      </w:pPr>
      <w:r>
        <w:rPr>
          <w:rFonts w:ascii="宋体" w:hAnsi="宋体" w:eastAsia="宋体" w:cs="宋体"/>
          <w:b/>
          <w:color w:val="000000"/>
          <w:sz w:val="32"/>
        </w:rPr>
        <w:t>二、招标文件</w:t>
      </w:r>
    </w:p>
    <w:p w14:paraId="349F9D3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6、招标文件构成</w:t>
      </w:r>
    </w:p>
    <w:p w14:paraId="5A8D13F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6.1 招标文件由以下部分组成：</w:t>
      </w:r>
    </w:p>
    <w:p w14:paraId="1EBFE0B8">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（1）投标邀请</w:t>
      </w:r>
    </w:p>
    <w:p w14:paraId="065665A9">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（2）投标人须知</w:t>
      </w:r>
    </w:p>
    <w:p w14:paraId="42B1037A">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（3）合同文本</w:t>
      </w:r>
    </w:p>
    <w:p w14:paraId="2440131E">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（4）采购需求</w:t>
      </w:r>
    </w:p>
    <w:p w14:paraId="64CF7115">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（5）评标方法与评标标准</w:t>
      </w:r>
    </w:p>
    <w:p w14:paraId="3024118B">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（6）投标文件格式</w:t>
      </w:r>
    </w:p>
    <w:p w14:paraId="732967B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请仔细检查招标文件是否齐全，如有缺漏请立即与交易中心联系解决。</w:t>
      </w:r>
    </w:p>
    <w:p w14:paraId="6792997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7C6D98">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7</w:t>
      </w:r>
      <w:r>
        <w:rPr>
          <w:rFonts w:ascii="黑体" w:hAnsi="黑体" w:eastAsia="黑体" w:cs="黑体"/>
          <w:color w:val="000000"/>
          <w:sz w:val="28"/>
        </w:rPr>
        <w:t>、招标文件的修改</w:t>
      </w:r>
    </w:p>
    <w:p w14:paraId="4F6168C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7.1 在投标截止时间前，交易中心可以对招标文件进行修改。</w:t>
      </w:r>
    </w:p>
    <w:p w14:paraId="06A946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7.2 交易中心有权按照法定的要求推迟投标截止日期和开标日期。</w:t>
      </w:r>
    </w:p>
    <w:p w14:paraId="57EA02C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7.3 招标文件的修改将在江苏政府采购网、扬州市政府采购网公布，补充文件将作为招标文件的组成部分，并对投标人具有约束力。</w:t>
      </w:r>
    </w:p>
    <w:p w14:paraId="1C6EB638">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三、投标文件的编制</w:t>
      </w:r>
    </w:p>
    <w:p w14:paraId="512812FF">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8</w:t>
      </w:r>
      <w:r>
        <w:rPr>
          <w:rFonts w:ascii="黑体" w:hAnsi="黑体" w:eastAsia="黑体" w:cs="黑体"/>
          <w:color w:val="000000"/>
          <w:sz w:val="28"/>
        </w:rPr>
        <w:t>、投标文件的语言及度量衡单位</w:t>
      </w:r>
    </w:p>
    <w:p w14:paraId="0CD73F6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8.1 投标人提交的投标文件以及投标人与交易中心就有关投标的所有来往通知、函件和文件均应使用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14:paraId="179A444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8.2 除技术性能另有规定外，投标文件所使用的度量衡单位，均须采用国家法定计量单位。</w:t>
      </w:r>
    </w:p>
    <w:p w14:paraId="5276AED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9</w:t>
      </w:r>
      <w:r>
        <w:rPr>
          <w:rFonts w:ascii="黑体" w:hAnsi="黑体" w:eastAsia="黑体" w:cs="黑体"/>
          <w:color w:val="000000"/>
          <w:sz w:val="28"/>
        </w:rPr>
        <w:t>、投标文件构成</w:t>
      </w:r>
    </w:p>
    <w:p w14:paraId="1F136CA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9.1 投标人编写的投标文件应包括基本目录、资格审查内容、符合性审查内容、价格扣除证明文件等部分。</w:t>
      </w:r>
    </w:p>
    <w:p w14:paraId="7BB8C23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9.2 如标书制作工具中格式和内容与“江苏政府采购网、扬州市政府采购网”发布的招标文件不一致，请以“江苏政府采购网、扬州市政府采购网”发布的招标文件为准。</w:t>
      </w:r>
    </w:p>
    <w:p w14:paraId="4BDC5DD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0</w:t>
      </w:r>
      <w:r>
        <w:rPr>
          <w:rFonts w:ascii="黑体" w:hAnsi="黑体" w:eastAsia="黑体" w:cs="黑体"/>
          <w:color w:val="000000"/>
          <w:sz w:val="28"/>
        </w:rPr>
        <w:t>、证明投标人及投标标的符合招标文件规定的文件</w:t>
      </w:r>
    </w:p>
    <w:p w14:paraId="154791B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10.1 投标人应按照招标文件要求提交证明文件，证明其投标标的符合招标文件规定。</w:t>
      </w:r>
    </w:p>
    <w:p w14:paraId="05E4262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10.2招标文件对证明文件无明确形式要求的，证明文件可以以文字资料、图纸和数据等形式提交。</w:t>
      </w:r>
    </w:p>
    <w:p w14:paraId="0509EA3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1</w:t>
      </w:r>
      <w:r>
        <w:rPr>
          <w:rFonts w:ascii="黑体" w:hAnsi="黑体" w:eastAsia="黑体" w:cs="黑体"/>
          <w:color w:val="000000"/>
          <w:sz w:val="28"/>
        </w:rPr>
        <w:t>、投标分项报价表</w:t>
      </w:r>
    </w:p>
    <w:p w14:paraId="0EC23F9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11.1 投标人按照招标文件规定格式填报投标分项报价表。</w:t>
      </w:r>
    </w:p>
    <w:p w14:paraId="5F72C00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11.2投标货币。投标文件中的单价和总价无特殊规定的采用人民币报价，以元为单位标注。招标文件中另有规定的按规定执行。</w:t>
      </w:r>
    </w:p>
    <w:p w14:paraId="19EA774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2</w:t>
      </w:r>
      <w:r>
        <w:rPr>
          <w:rFonts w:ascii="黑体" w:hAnsi="黑体" w:eastAsia="黑体" w:cs="黑体"/>
          <w:color w:val="000000"/>
          <w:sz w:val="28"/>
        </w:rPr>
        <w:t>、技术要求响应及偏离表、商务要求响应及偏离表</w:t>
      </w:r>
    </w:p>
    <w:p w14:paraId="59C217D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12.1 投标人需对招标文件中的技术要求与商务要求逐项作出响应或偏离，并说明原因。</w:t>
      </w:r>
    </w:p>
    <w:p w14:paraId="176D4B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12.2 投标人需按照招标文件要求，在投标文件中提供与技术要求和商务要求相关的证明材料。</w:t>
      </w:r>
    </w:p>
    <w:p w14:paraId="5591388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3</w:t>
      </w:r>
      <w:r>
        <w:rPr>
          <w:rFonts w:ascii="黑体" w:hAnsi="黑体" w:eastAsia="黑体" w:cs="黑体"/>
          <w:color w:val="000000"/>
          <w:sz w:val="28"/>
        </w:rPr>
        <w:t>、投标函和开标一览表</w:t>
      </w:r>
    </w:p>
    <w:p w14:paraId="5E0A8B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13.1 投标人应按照招标文件中提供的格式完整、正确填写投标函、开标一览表。</w:t>
      </w:r>
    </w:p>
    <w:p w14:paraId="6E6308D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w:t>
      </w:r>
    </w:p>
    <w:p w14:paraId="0D5A1DD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4</w:t>
      </w:r>
      <w:r>
        <w:rPr>
          <w:rFonts w:ascii="黑体" w:hAnsi="黑体" w:eastAsia="黑体" w:cs="黑体"/>
          <w:color w:val="000000"/>
          <w:sz w:val="28"/>
        </w:rPr>
        <w:t>、投标有效期</w:t>
      </w:r>
    </w:p>
    <w:p w14:paraId="74FA8D1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14.1 投标有效期为交易中心规定的开标之日后</w:t>
      </w:r>
      <w:r>
        <w:rPr>
          <w:rFonts w:ascii="宋体" w:hAnsi="宋体" w:eastAsia="宋体" w:cs="宋体"/>
          <w:b/>
          <w:color w:val="000000"/>
          <w:sz w:val="24"/>
          <w:u w:val="single"/>
        </w:rPr>
        <w:t>六十（60）天</w:t>
      </w:r>
      <w:r>
        <w:rPr>
          <w:rFonts w:ascii="宋体" w:hAnsi="宋体" w:eastAsia="宋体" w:cs="宋体"/>
          <w:color w:val="000000"/>
          <w:sz w:val="24"/>
        </w:rPr>
        <w:t>。投标有效期比规定短的将被视为未实质性响应招标文件而予以拒绝。</w:t>
      </w:r>
    </w:p>
    <w:p w14:paraId="00BC1D4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5</w:t>
      </w:r>
      <w:r>
        <w:rPr>
          <w:rFonts w:ascii="黑体" w:hAnsi="黑体" w:eastAsia="黑体" w:cs="黑体"/>
          <w:color w:val="000000"/>
          <w:sz w:val="28"/>
        </w:rPr>
        <w:t>、投标有效期的延长</w:t>
      </w:r>
    </w:p>
    <w:p w14:paraId="6F3C44A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643821BF">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四、投标文件的递交</w:t>
      </w:r>
    </w:p>
    <w:p w14:paraId="50A50F73">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黑体" w:hAnsi="黑体" w:eastAsia="黑体" w:cs="黑体"/>
          <w:color w:val="000000"/>
          <w:sz w:val="28"/>
        </w:rPr>
        <w:t>1</w:t>
      </w:r>
      <w:r>
        <w:rPr>
          <w:rFonts w:ascii="Arial" w:hAnsi="Arial" w:eastAsia="Arial" w:cs="Arial"/>
          <w:color w:val="000000"/>
          <w:sz w:val="28"/>
        </w:rPr>
        <w:t>6</w:t>
      </w:r>
      <w:r>
        <w:rPr>
          <w:rFonts w:ascii="黑体" w:hAnsi="黑体" w:eastAsia="黑体" w:cs="黑体"/>
          <w:color w:val="000000"/>
          <w:sz w:val="28"/>
        </w:rPr>
        <w:t>、电子投标文件的递交</w:t>
      </w:r>
    </w:p>
    <w:p w14:paraId="755677C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16.1 投标人应当按照《操作手册》规定，在投标截止时间前制作并上传电子投标文件。</w:t>
      </w:r>
    </w:p>
    <w:p w14:paraId="13AAEED2">
      <w:pPr>
        <w:pBdr>
          <w:top w:val="none" w:color="000000" w:sz="0" w:space="0"/>
          <w:left w:val="none" w:color="000000" w:sz="0" w:space="0"/>
          <w:bottom w:val="none" w:color="000000" w:sz="0" w:space="0"/>
          <w:right w:val="none" w:color="000000" w:sz="0" w:space="0"/>
        </w:pBdr>
        <w:spacing w:before="240" w:after="24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7</w:t>
      </w:r>
      <w:r>
        <w:rPr>
          <w:rFonts w:ascii="黑体" w:hAnsi="黑体" w:eastAsia="黑体" w:cs="黑体"/>
          <w:color w:val="000000"/>
          <w:sz w:val="28"/>
        </w:rPr>
        <w:t>、投标截止时间</w:t>
      </w:r>
    </w:p>
    <w:p w14:paraId="12AF02D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17.1 投标人上传电子投标文件的时间不得迟于招标公告中规定的投标截止时间。</w:t>
      </w:r>
    </w:p>
    <w:p w14:paraId="08AA844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投标人应充分考虑到网络环境、网络带宽等风险因素，如因投标人自身原因造成的电子投标文件上传不成功的按照本招标文件第二章第25.1.2条规定做无效投标处理。</w:t>
      </w:r>
    </w:p>
    <w:p w14:paraId="1C3DC36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17.2 交易中心可以按照规定，通过修改招标文件酌情延长投标截止时间，在此情况下，投标人的所有权利和义务以及投标人受制的截止时间均应以延长后新的截止时间为准。</w:t>
      </w:r>
    </w:p>
    <w:p w14:paraId="4A163F1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8</w:t>
      </w:r>
      <w:r>
        <w:rPr>
          <w:rFonts w:ascii="黑体" w:hAnsi="黑体" w:eastAsia="黑体" w:cs="黑体"/>
          <w:color w:val="000000"/>
          <w:sz w:val="28"/>
        </w:rPr>
        <w:t>、投标文件的拒收</w:t>
      </w:r>
    </w:p>
    <w:p w14:paraId="4DA7C16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18.1交易中心拒绝接收在其规定的投标截止时间后上传的任何投标文件。</w:t>
      </w:r>
    </w:p>
    <w:p w14:paraId="2EA5FDD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19</w:t>
      </w:r>
      <w:r>
        <w:rPr>
          <w:rFonts w:ascii="黑体" w:hAnsi="黑体" w:eastAsia="黑体" w:cs="黑体"/>
          <w:color w:val="000000"/>
          <w:sz w:val="28"/>
        </w:rPr>
        <w:t>、投标文件的撤回和修改</w:t>
      </w:r>
    </w:p>
    <w:p w14:paraId="12B1A00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 投标文件的撤回</w:t>
      </w:r>
    </w:p>
    <w:p w14:paraId="2F6138A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19.1.1 电子投标文件的撤回</w:t>
      </w:r>
    </w:p>
    <w:p w14:paraId="533C60C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投标人可在投标截止时间前，撤回其电子投标文件，具体操作方法见《操作手册》。</w:t>
      </w:r>
    </w:p>
    <w:p w14:paraId="487CE44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19.1.2 投标人撤回电子投标文件，则认为其不再参与本项目投标活动。</w:t>
      </w:r>
    </w:p>
    <w:p w14:paraId="629C0BF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 投标文件的修改</w:t>
      </w:r>
    </w:p>
    <w:p w14:paraId="123ADD5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19.2.1投标人可在投标截止时间前，对其电子投标文件进行修改，具体操作方法见《操作手册》。</w:t>
      </w:r>
    </w:p>
    <w:p w14:paraId="36585EF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19.2.2 在投标截止时间之后，投标人不得对其电子投标文件作任何修改。</w:t>
      </w:r>
    </w:p>
    <w:p w14:paraId="567D3B9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19.3 在投标截止时间至招标文件中规定的投标有效期满之间的这段时间内，投标人不得撤回其投标。</w:t>
      </w:r>
    </w:p>
    <w:p w14:paraId="52A861D3">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五、开标与评标</w:t>
      </w:r>
    </w:p>
    <w:p w14:paraId="6830DA3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0</w:t>
      </w:r>
      <w:r>
        <w:rPr>
          <w:rFonts w:ascii="黑体" w:hAnsi="黑体" w:eastAsia="黑体" w:cs="黑体"/>
          <w:color w:val="000000"/>
          <w:sz w:val="28"/>
        </w:rPr>
        <w:t>、开标</w:t>
      </w:r>
    </w:p>
    <w:p w14:paraId="45B9030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20.1 交易中心将在招标公告中规定的时间和地点组织公开开标。投标人应当按照《操作手册》规定，参加开标活动和在苏采云系统规定的时间内对投标文件进行解密。</w:t>
      </w:r>
    </w:p>
    <w:p w14:paraId="5931813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20.2开标仪式由交易中心组织。苏采云系统将自动对项目进行开标，并展示各投标人名称和投标价格。</w:t>
      </w:r>
    </w:p>
    <w:p w14:paraId="5479DB6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20.3投标人在开标过程中涉及到的投标文件解密、开标结果确认等工作，应按照《操作手册》规定执行。</w:t>
      </w:r>
    </w:p>
    <w:p w14:paraId="0E2B24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20.4投标人如果对开标过程和开标记录有疑义，应当根据《操作手册》规定提出，如苏采云系统中《开标记录表》宣布后5分钟内未提出的，视同认可开标结果。</w:t>
      </w:r>
    </w:p>
    <w:p w14:paraId="24D6BA8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1</w:t>
      </w:r>
      <w:r>
        <w:rPr>
          <w:rFonts w:ascii="黑体" w:hAnsi="黑体" w:eastAsia="黑体" w:cs="黑体"/>
          <w:color w:val="000000"/>
          <w:sz w:val="28"/>
        </w:rPr>
        <w:t>、评标委员会</w:t>
      </w:r>
    </w:p>
    <w:p w14:paraId="48AB283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 xml:space="preserve">    21.1开标后，交易中心将立即组织评标委员会（以下简称评委会）进行评标。</w:t>
      </w:r>
    </w:p>
    <w:p w14:paraId="6A79713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 xml:space="preserve">    21.2评委会由采购人代表和有关技术、经济等方面的专家组成，且人员构成符合政府采购有关规定。</w:t>
      </w:r>
    </w:p>
    <w:p w14:paraId="033F6FF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21.3评委会独立工作，负责评审所有投标文件并确定中标候选人。</w:t>
      </w:r>
    </w:p>
    <w:p w14:paraId="7407C0B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22、评标过程的保密与公正</w:t>
      </w:r>
    </w:p>
    <w:p w14:paraId="390C48B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22.1凡是与审查、澄清、评价和比较投标的有关资料以及授标建议等，采购人、评委、交易中心均不得向投标人或与评标无关的其他人员透露。</w:t>
      </w:r>
    </w:p>
    <w:p w14:paraId="6D5B505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22.2在评标过程中，投标人不得以任何行为影响评标过程，否则其投标文件将被作为无效投标文件。</w:t>
      </w:r>
    </w:p>
    <w:p w14:paraId="29ADFB2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22.3 交易中心和评委会不向未中标的投标人解释未中标原因，也不公布评标过程中的相关细节。</w:t>
      </w:r>
    </w:p>
    <w:p w14:paraId="15F9BE5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22.4 采用综合评分法的项目，未中标的投标人可于中标结果公告期限届满之日起通过苏采云系统查看自己的评审得分及排序情况。</w:t>
      </w:r>
    </w:p>
    <w:p w14:paraId="667C3C8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3</w:t>
      </w:r>
      <w:r>
        <w:rPr>
          <w:rFonts w:ascii="黑体" w:hAnsi="黑体" w:eastAsia="黑体" w:cs="黑体"/>
          <w:color w:val="000000"/>
          <w:sz w:val="28"/>
        </w:rPr>
        <w:t>、投标文件的澄清</w:t>
      </w:r>
    </w:p>
    <w:p w14:paraId="5F80E69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23.1评标期间，评委会对投标文件中含义不明确、同类问题表述不一致或者有明显文字和计算错误的内容，有权要求投标人作出必要的澄清、说明或者补正。</w:t>
      </w:r>
    </w:p>
    <w:p w14:paraId="7158AD9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投标人的澄清、说明或者补正不得超出投标文件的范围或者改变投标文件的实质性内容。</w:t>
      </w:r>
    </w:p>
    <w:p w14:paraId="575710F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评委会并非对每个投标人都做澄清要求。</w:t>
      </w:r>
    </w:p>
    <w:p w14:paraId="2B95923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F0B321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23.3接到评委会澄清、说明和补正要求的投标人如未按规定做出澄清、说明和补正，其风险由投标人自行承担。</w:t>
      </w:r>
    </w:p>
    <w:p w14:paraId="73D3355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4</w:t>
      </w:r>
      <w:r>
        <w:rPr>
          <w:rFonts w:ascii="黑体" w:hAnsi="黑体" w:eastAsia="黑体" w:cs="黑体"/>
          <w:color w:val="000000"/>
          <w:sz w:val="28"/>
        </w:rPr>
        <w:t>、对投标文件的初审</w:t>
      </w:r>
    </w:p>
    <w:p w14:paraId="46FC6D8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24.1投标文件初审分为资格审查和符合性审查。</w:t>
      </w:r>
    </w:p>
    <w:p w14:paraId="0A85993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24.1.1 资格审查：依据法律法规和招标文件的规定，由采购人对投标文件中的资格证明文件进行审查。资格审查的结论，采购人以书面形式向评委会进行反馈。</w:t>
      </w:r>
    </w:p>
    <w:p w14:paraId="739C1EB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14:paraId="3CC53C7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63722CE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24.1.2 符合性审查：依据招标文件的规定，由评委会从投标文件的有效性、完整性和对招标文件的响应程度进行审查，以确定是否对招标文件的实质性要求作出响应。</w:t>
      </w:r>
    </w:p>
    <w:p w14:paraId="26CEBB0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24.1.3 未通过资格审查或符合性审查的投标人，交易中心将在苏采云系统中告知未通过资格审查或符合性审查的原因，评审结束后，交易中心将不再告知未通过资格审查或符合性审查的原因。</w:t>
      </w:r>
    </w:p>
    <w:p w14:paraId="4504105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33A716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2961ED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24.3如果投标文件实质上没有响应招标文件的要求，评委会将予以拒绝，投标人不得通过修改或撤销不合要求的偏离或保留而使其投标成为实质性响应的投标。</w:t>
      </w:r>
    </w:p>
    <w:p w14:paraId="05BCE92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24.4评委会将对确定为实质性响应的投标进行进一步审核，是否有计算上或累加上的算术错误，修正错误的原则如下：</w:t>
      </w:r>
    </w:p>
    <w:p w14:paraId="4722A34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14:paraId="2F3397A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（2）大写金额和小写金额不一致的，以大写金额为准。</w:t>
      </w:r>
    </w:p>
    <w:p w14:paraId="5ADF840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14:paraId="5BA04D8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（4）总价金额与按单价汇总金额不一致的，以单价金额计算结果为准。</w:t>
      </w:r>
    </w:p>
    <w:p w14:paraId="26B87F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同时出现两种以上错误的，按照前款规定的顺序修正。</w:t>
      </w:r>
    </w:p>
    <w:p w14:paraId="6B36EE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24.5 评委会将按上述修正错误的方法调整投标文件中的投标报价，并通过苏采云系统告知投标人，调整后的价格应对投标人具有约束力。如果投标人不接受修正后的价格，则其投标将被拒绝。</w:t>
      </w:r>
    </w:p>
    <w:p w14:paraId="16A8DA9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24.6投标人在开、评标全过程中应保持通讯畅通，及时登录苏采云系统查阅、答复相关信息，并安排专人与交易中心及评委会联系。</w:t>
      </w:r>
    </w:p>
    <w:p w14:paraId="2B75DC2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5</w:t>
      </w:r>
      <w:r>
        <w:rPr>
          <w:rFonts w:ascii="黑体" w:hAnsi="黑体" w:eastAsia="黑体" w:cs="黑体"/>
          <w:color w:val="000000"/>
          <w:sz w:val="28"/>
        </w:rPr>
        <w:t>、无效投标条款和废标条款</w:t>
      </w:r>
    </w:p>
    <w:p w14:paraId="680C118B">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25.1无效投标条款</w:t>
      </w:r>
    </w:p>
    <w:p w14:paraId="498FBF4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 投标人在苏采云系统规定的时间内未成功解密电子投标文件的。</w:t>
      </w:r>
    </w:p>
    <w:p w14:paraId="621EF4A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25.1.2 投标人未按照招标文件要求上传电子投标文件的。</w:t>
      </w:r>
    </w:p>
    <w:p w14:paraId="574BA0A9">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25.1.3 投标人同一采购包提交两个（含两个）以上不同的投标报价的。</w:t>
      </w:r>
    </w:p>
    <w:p w14:paraId="79A82858">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25.1.4投标人不具备招标文件中规定资格要求的。</w:t>
      </w:r>
    </w:p>
    <w:p w14:paraId="23BFB5D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25.1.5投标人的报价超过了采购预算或最高限价的。</w:t>
      </w:r>
    </w:p>
    <w:p w14:paraId="6F01E11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rPr>
      </w:pPr>
      <w:r>
        <w:rPr>
          <w:rFonts w:ascii="宋体" w:hAnsi="宋体" w:eastAsia="宋体" w:cs="宋体"/>
          <w:color w:val="000000"/>
          <w:sz w:val="24"/>
        </w:rPr>
        <w:t>25.1.6未通过符合性审查的。</w:t>
      </w:r>
    </w:p>
    <w:p w14:paraId="4F20B72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szCs w:val="24"/>
        </w:rPr>
        <w:t>25.1.7不符合招标文件中规定的实质性要求的（本招标文件中斜体且有下划线部分为实质性要求）</w:t>
      </w:r>
    </w:p>
    <w:p w14:paraId="70418F4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p>
    <w:p w14:paraId="416D28F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25.1.9 投标文件含有采购人不能接受的附加条件的。</w:t>
      </w:r>
    </w:p>
    <w:p w14:paraId="270F49A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color w:val="000000"/>
          <w:sz w:val="24"/>
          <w:highlight w:val="none"/>
        </w:rPr>
        <w:t>25.1.10 异常低价投标（响应）</w:t>
      </w:r>
    </w:p>
    <w:p w14:paraId="07360344">
      <w:pPr>
        <w:pBdr>
          <w:top w:val="none" w:color="000000" w:sz="0" w:space="0"/>
          <w:left w:val="none" w:color="000000" w:sz="0" w:space="0"/>
          <w:bottom w:val="none" w:color="000000" w:sz="0" w:space="0"/>
          <w:right w:val="none" w:color="000000" w:sz="0" w:space="0"/>
        </w:pBdr>
        <w:shd w:val="clear" w:color="FFFFFF" w:fill="FFFFFF"/>
        <w:spacing w:before="0" w:after="0" w:line="479" w:lineRule="atLeast"/>
        <w:ind w:left="0" w:right="0" w:firstLine="480"/>
        <w:jc w:val="both"/>
        <w:rPr>
          <w:highlight w:val="none"/>
        </w:rPr>
      </w:pPr>
      <w:r>
        <w:rPr>
          <w:rFonts w:ascii="宋体" w:hAnsi="宋体" w:eastAsia="宋体" w:cs="宋体"/>
          <w:color w:val="000000"/>
          <w:sz w:val="24"/>
          <w:highlight w:val="none"/>
        </w:rPr>
        <w:t>25.1.10.1</w:t>
      </w:r>
      <w:r>
        <w:rPr>
          <w:rFonts w:ascii="宋体" w:hAnsi="宋体" w:eastAsia="宋体" w:cs="宋体"/>
          <w:color w:val="383838"/>
          <w:sz w:val="24"/>
          <w:highlight w:val="none"/>
        </w:rPr>
        <w:t>投标（响应）报价低于全部通过符合性审查供应商投标（响应）报价平均值5</w:t>
      </w:r>
      <w:r>
        <w:rPr>
          <w:rFonts w:hint="eastAsia" w:ascii="宋体" w:hAnsi="宋体" w:cs="宋体"/>
          <w:color w:val="383838"/>
          <w:sz w:val="24"/>
          <w:highlight w:val="none"/>
          <w:lang w:val="en-US" w:eastAsia="zh-CN"/>
        </w:rPr>
        <w:t>5</w:t>
      </w:r>
      <w:r>
        <w:rPr>
          <w:rFonts w:ascii="宋体" w:hAnsi="宋体" w:eastAsia="宋体" w:cs="宋体"/>
          <w:color w:val="383838"/>
          <w:sz w:val="24"/>
          <w:highlight w:val="none"/>
        </w:rPr>
        <w:t>%的，即投标（响应）报价&lt;全部通过符合性审查供应商投标（响应）报价平均值×5</w:t>
      </w:r>
      <w:r>
        <w:rPr>
          <w:rFonts w:hint="eastAsia" w:ascii="宋体" w:hAnsi="宋体" w:cs="宋体"/>
          <w:color w:val="383838"/>
          <w:sz w:val="24"/>
          <w:highlight w:val="none"/>
          <w:lang w:val="en-US" w:eastAsia="zh-CN"/>
        </w:rPr>
        <w:t>5</w:t>
      </w:r>
      <w:r>
        <w:rPr>
          <w:rFonts w:ascii="宋体" w:hAnsi="宋体" w:eastAsia="宋体" w:cs="宋体"/>
          <w:color w:val="383838"/>
          <w:sz w:val="24"/>
          <w:highlight w:val="none"/>
        </w:rPr>
        <w:t>%；</w:t>
      </w:r>
    </w:p>
    <w:p w14:paraId="3FEBD5DE">
      <w:pPr>
        <w:pBdr>
          <w:top w:val="none" w:color="000000" w:sz="0" w:space="0"/>
          <w:left w:val="none" w:color="000000" w:sz="0" w:space="0"/>
          <w:bottom w:val="none" w:color="000000" w:sz="0" w:space="0"/>
          <w:right w:val="none" w:color="000000" w:sz="0" w:space="0"/>
        </w:pBdr>
        <w:shd w:val="clear" w:color="FFFFFF" w:fill="FFFFFF"/>
        <w:spacing w:before="0" w:after="0" w:line="479" w:lineRule="atLeast"/>
        <w:ind w:left="0" w:right="0" w:firstLine="480"/>
        <w:jc w:val="both"/>
        <w:rPr>
          <w:highlight w:val="none"/>
        </w:rPr>
      </w:pPr>
      <w:r>
        <w:rPr>
          <w:rFonts w:ascii="宋体" w:hAnsi="宋体" w:eastAsia="宋体" w:cs="宋体"/>
          <w:color w:val="000000"/>
          <w:sz w:val="24"/>
          <w:highlight w:val="none"/>
        </w:rPr>
        <w:t>25.1.10.2</w:t>
      </w:r>
      <w:r>
        <w:rPr>
          <w:rFonts w:ascii="宋体" w:hAnsi="宋体" w:eastAsia="宋体" w:cs="宋体"/>
          <w:color w:val="383838"/>
          <w:sz w:val="24"/>
          <w:highlight w:val="none"/>
        </w:rPr>
        <w:t>投标（响应）报价低于通过符合性审查的次低报价供应商投标（响应）报价5</w:t>
      </w:r>
      <w:r>
        <w:rPr>
          <w:rFonts w:hint="eastAsia" w:ascii="宋体" w:hAnsi="宋体" w:cs="宋体"/>
          <w:color w:val="383838"/>
          <w:sz w:val="24"/>
          <w:highlight w:val="none"/>
          <w:lang w:val="en-US" w:eastAsia="zh-CN"/>
        </w:rPr>
        <w:t>5</w:t>
      </w:r>
      <w:r>
        <w:rPr>
          <w:rFonts w:ascii="宋体" w:hAnsi="宋体" w:eastAsia="宋体" w:cs="宋体"/>
          <w:color w:val="383838"/>
          <w:sz w:val="24"/>
          <w:highlight w:val="none"/>
        </w:rPr>
        <w:t>%的，即投标（响应）报价&lt;通过符合性审查的次低报价供应商投标（响应）报价×5</w:t>
      </w:r>
      <w:r>
        <w:rPr>
          <w:rFonts w:hint="eastAsia" w:ascii="宋体" w:hAnsi="宋体" w:cs="宋体"/>
          <w:color w:val="383838"/>
          <w:sz w:val="24"/>
          <w:highlight w:val="none"/>
          <w:lang w:val="en-US" w:eastAsia="zh-CN"/>
        </w:rPr>
        <w:t>5</w:t>
      </w:r>
      <w:r>
        <w:rPr>
          <w:rFonts w:ascii="宋体" w:hAnsi="宋体" w:eastAsia="宋体" w:cs="宋体"/>
          <w:color w:val="383838"/>
          <w:sz w:val="24"/>
          <w:highlight w:val="none"/>
        </w:rPr>
        <w:t>%；</w:t>
      </w:r>
    </w:p>
    <w:p w14:paraId="659056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color w:val="000000"/>
          <w:sz w:val="24"/>
          <w:highlight w:val="none"/>
        </w:rPr>
        <w:t xml:space="preserve">25.1.10.3投标（响应）报价低于采购项目最高限价 </w:t>
      </w:r>
      <w:r>
        <w:rPr>
          <w:rFonts w:hint="eastAsia" w:ascii="宋体" w:hAnsi="宋体" w:cs="宋体"/>
          <w:color w:val="000000"/>
          <w:sz w:val="24"/>
          <w:highlight w:val="none"/>
          <w:lang w:val="en-US" w:eastAsia="zh-CN"/>
        </w:rPr>
        <w:t>50</w:t>
      </w:r>
      <w:r>
        <w:rPr>
          <w:rFonts w:ascii="宋体" w:hAnsi="宋体" w:eastAsia="宋体" w:cs="宋体"/>
          <w:color w:val="000000"/>
          <w:sz w:val="24"/>
          <w:highlight w:val="none"/>
        </w:rPr>
        <w:t>% 的，即投标（响应）报价&lt;采购项目最高限价×</w:t>
      </w:r>
      <w:r>
        <w:rPr>
          <w:rFonts w:hint="eastAsia" w:ascii="宋体" w:hAnsi="宋体" w:cs="宋体"/>
          <w:color w:val="000000"/>
          <w:sz w:val="24"/>
          <w:highlight w:val="none"/>
          <w:lang w:val="en-US" w:eastAsia="zh-CN"/>
        </w:rPr>
        <w:t>50</w:t>
      </w:r>
      <w:r>
        <w:rPr>
          <w:rFonts w:ascii="宋体" w:hAnsi="宋体" w:eastAsia="宋体" w:cs="宋体"/>
          <w:color w:val="000000"/>
          <w:sz w:val="24"/>
          <w:highlight w:val="none"/>
        </w:rPr>
        <w:t>% ；</w:t>
      </w:r>
    </w:p>
    <w:p w14:paraId="4A5490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color w:val="000000"/>
          <w:sz w:val="24"/>
          <w:highlight w:val="none"/>
        </w:rPr>
        <w:t>25.1.10.4评审委员会认定的供应商报价过低、有可能影响产品质量或者不能诚信履约的其他情形。</w:t>
      </w:r>
    </w:p>
    <w:p w14:paraId="40CD14B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highlight w:val="none"/>
        </w:rPr>
        <w:t>25.1.10.5</w:t>
      </w:r>
      <w:r>
        <w:rPr>
          <w:rFonts w:ascii="宋体" w:hAnsi="宋体" w:eastAsia="宋体" w:cs="宋体"/>
          <w:color w:val="383838"/>
          <w:sz w:val="24"/>
          <w:highlight w:val="white"/>
        </w:rPr>
        <w:t>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给予相关供应商的合理时间一般</w:t>
      </w:r>
      <w:r>
        <w:rPr>
          <w:rFonts w:ascii="宋体" w:hAnsi="宋体" w:eastAsia="宋体" w:cs="宋体"/>
          <w:color w:val="FF0000"/>
          <w:sz w:val="24"/>
          <w:highlight w:val="white"/>
        </w:rPr>
        <w:t>不少于30分钟</w:t>
      </w:r>
      <w:r>
        <w:rPr>
          <w:rFonts w:ascii="宋体" w:hAnsi="宋体" w:eastAsia="宋体" w:cs="宋体"/>
          <w:color w:val="383838"/>
          <w:sz w:val="24"/>
          <w:highlight w:val="white"/>
        </w:rPr>
        <w:t>。其中，属于第3项情形，供应商已随投标（响应）文件一并提交相关书面说明及必要的证明材料的，在评审现场可不再重复提交。</w:t>
      </w:r>
    </w:p>
    <w:p w14:paraId="3085F5A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383838"/>
          <w:sz w:val="24"/>
          <w:highlight w:val="whit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F3159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highlight w:val="white"/>
        </w:rPr>
        <w:t>异常低价投标（响应）审查的启动原因、审查意见和审查结果应当在评审报告中记录，并随供应商提供的相关书面说明及证明材料，以及评审委员会有关互联网浏览、查询历史一并归档。</w:t>
      </w:r>
    </w:p>
    <w:p w14:paraId="641C3B5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25.1.11 投标文件未按照招标文件要求加盖CA电子公章的。</w:t>
      </w:r>
    </w:p>
    <w:p w14:paraId="7BC6890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25.1.12其他法律、法规及本招标文件规定的属无效投标的情形。</w:t>
      </w:r>
    </w:p>
    <w:p w14:paraId="7E4A413E">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25.2废标条款</w:t>
      </w:r>
    </w:p>
    <w:p w14:paraId="5BEE8513">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25.2.1符合专业条件的供应商或者对招标文件作实质响应的供应商不足三家的。</w:t>
      </w:r>
    </w:p>
    <w:p w14:paraId="73F27FE7">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25.2.2出现影响采购公正的违法、违规行为的。</w:t>
      </w:r>
    </w:p>
    <w:p w14:paraId="2111A267">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25.2.3因重大变故，采购任务取消的。</w:t>
      </w:r>
    </w:p>
    <w:p w14:paraId="09AFB337">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25.2.4评委会认定招标文件存在歧义、重大缺陷导致评审工作无法进行。</w:t>
      </w:r>
    </w:p>
    <w:p w14:paraId="39A3F3E2">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25.2.5 因苏采云系统系统故障原因造成开标不成功的。</w:t>
      </w:r>
    </w:p>
    <w:p w14:paraId="466A99AB">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25.3 投标截止时间结束后参加投标的供应商不足三家的处理：</w:t>
      </w:r>
    </w:p>
    <w:p w14:paraId="4AB690E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25.3.1如出现投标截止时间结束后参加投标的供应商或者在评标期间对招标文件做出实质响应的供应商不足三家情况，按政府采购相关规定执行。</w:t>
      </w:r>
    </w:p>
    <w:p w14:paraId="6CC20370">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六、定标</w:t>
      </w:r>
    </w:p>
    <w:p w14:paraId="214A803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26、确定中标单位</w:t>
      </w:r>
    </w:p>
    <w:p w14:paraId="1E59689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26.1中标候选人的选取原则和数量见招标文件第五章规定。 </w:t>
      </w:r>
    </w:p>
    <w:p w14:paraId="50EEDC8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26.2 采购人应根据评委会推荐的中标候选人确定中标供应商。</w:t>
      </w:r>
    </w:p>
    <w:p w14:paraId="4B9BBFA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26.3 交易中心将在“江苏政府采购网、扬州市政府采购网”发布中标公告，公告期限为1个工作日。</w:t>
      </w:r>
    </w:p>
    <w:p w14:paraId="78BA5AB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 若有充分证据证明，中标供应商出现下列情况之一的，一经查实，将被取消中标资格：</w:t>
      </w:r>
    </w:p>
    <w:p w14:paraId="0A2152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26.4.1提供虚假材料谋取中标的。</w:t>
      </w:r>
    </w:p>
    <w:p w14:paraId="3949F97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26.4.2向采购人、交易中心行贿或者提供其他不正当利益的。</w:t>
      </w:r>
    </w:p>
    <w:p w14:paraId="601C1D7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26.4.3属于本文件规定的无效条件，但在评标过程中又未被评委会发现的。</w:t>
      </w:r>
    </w:p>
    <w:p w14:paraId="3F9781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26.4.4与采购人或者其他供应商恶意串通的。</w:t>
      </w:r>
    </w:p>
    <w:p w14:paraId="2A46EA6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26.4.5采取不正当手段诋毁、排挤其他供应商的。</w:t>
      </w:r>
    </w:p>
    <w:p w14:paraId="1876321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 有下列情形之一的，视为投标人串通投标，投标无效：</w:t>
      </w:r>
    </w:p>
    <w:p w14:paraId="7C19CC9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26.5.1不同投标人的投标文件由同一单位或者个人编制。</w:t>
      </w:r>
    </w:p>
    <w:p w14:paraId="7615BB3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经查实，不同投标人的电子投标文件出自同一台电脑的：不同投标人的标书制作工具客户端标识码存在一致的；不同投标人从同一互联网协议地址上传投标文件的。</w:t>
      </w:r>
    </w:p>
    <w:p w14:paraId="575C1F8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26.5.2不同投标人委托同一单位或者个人办理投标事宜。</w:t>
      </w:r>
    </w:p>
    <w:p w14:paraId="533EF7D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26.5.3 不同投标人的投标文件载明的项目管理成员或者联系人员为同一人。</w:t>
      </w:r>
    </w:p>
    <w:p w14:paraId="4F52EF3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26.5.4不同投标人的投标文件异常一致或者投标报价呈规律性差异。</w:t>
      </w:r>
    </w:p>
    <w:p w14:paraId="3AA2C48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27、质疑处理</w:t>
      </w:r>
    </w:p>
    <w:p w14:paraId="2888260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27.1 提出质疑的供应商应当是参与所质疑项目采购活动的供应商。潜在供应商依法获取其可质疑的采购文件的，可以对采购文件提出质疑。</w:t>
      </w:r>
    </w:p>
    <w:p w14:paraId="5C27DD9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14:paraId="0F37F8D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27.2.1对可以质疑的采购文件提出质疑的，为收到采购文件之日或者采购文件公告期限届满之日；</w:t>
      </w:r>
    </w:p>
    <w:p w14:paraId="52B3BB8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27.2.2对采购过程提出质疑的，为各采购程序环节结束之日；</w:t>
      </w:r>
    </w:p>
    <w:p w14:paraId="6B4212B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27.2.3对中标或者成交结果提出质疑的，为中标或者成交结果公告期限届满之日。</w:t>
      </w:r>
    </w:p>
    <w:p w14:paraId="181B2AB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供应商应当在法定质疑期内一次性提出针对同一采购程序环节的质疑。供应商如在法定期限内对同一采购程序环节提出多次质疑的，交易中心、采购人将只对供应商第一次质疑作出答复。</w:t>
      </w:r>
    </w:p>
    <w:p w14:paraId="246AA66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27.3质疑函必须按照本招标文件中《质疑函范本》要求的格式和内容进行填写。供应商如组成联合体参加投标，则《质疑函范本》中要求签字、盖章、加盖公章之处，联合体各方均须按要求签字、盖章、加盖公章。</w:t>
      </w:r>
    </w:p>
    <w:p w14:paraId="4AF1F124">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27.4供应商（含潜在供应商）对与本项目有关的所有询问、质疑均请向采购人提出，由采购人负责答复。</w:t>
      </w:r>
    </w:p>
    <w:p w14:paraId="7B2B0AC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采购人及交易中心只接收以纸质原件形式送达的质疑,建议供应商尽量通过邮寄方式提交质疑（采购人和交易中心不接受无快递运单号的快递）。</w:t>
      </w:r>
    </w:p>
    <w:p w14:paraId="010ED0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质疑接收人及联系方式见招标文件第一章。</w:t>
      </w:r>
    </w:p>
    <w:p w14:paraId="038CBC5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 以下情形的质疑不予受理</w:t>
      </w:r>
    </w:p>
    <w:p w14:paraId="1CE352F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27.5.1 内容不符合《政府采购质疑和投诉办法》第十二条规定的质疑。</w:t>
      </w:r>
    </w:p>
    <w:p w14:paraId="1FC59C8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27.5.2 超出政府采购法定期限的质疑。</w:t>
      </w:r>
    </w:p>
    <w:p w14:paraId="5002676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27.5.3 以传真、电子邮件等方式递交的非原件形式的质疑。</w:t>
      </w:r>
    </w:p>
    <w:p w14:paraId="19CC2C2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27.5.4未参加投标活动的供应商或在投标活动中自身权益未受到损害的供应商所提出的质疑。</w:t>
      </w:r>
    </w:p>
    <w:p w14:paraId="5248D72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27.5.5供应商组成联合体参加投标，联合体中任何一方或多方未按要求签字、盖章、加盖公章的质疑。</w:t>
      </w:r>
    </w:p>
    <w:p w14:paraId="07B1022E">
      <w:pPr>
        <w:pBdr>
          <w:top w:val="none" w:color="000000" w:sz="0" w:space="0"/>
          <w:left w:val="none" w:color="000000" w:sz="0" w:space="0"/>
          <w:bottom w:val="none" w:color="000000" w:sz="0" w:space="0"/>
          <w:right w:val="none" w:color="000000" w:sz="0" w:space="0"/>
        </w:pBdr>
        <w:spacing w:before="0" w:after="0" w:line="400" w:lineRule="atLeast"/>
        <w:ind w:left="0" w:right="0" w:firstLine="468"/>
        <w:jc w:val="both"/>
      </w:pPr>
      <w:r>
        <w:rPr>
          <w:rFonts w:ascii="宋体" w:hAnsi="宋体" w:eastAsia="宋体" w:cs="宋体"/>
          <w:color w:val="000000"/>
          <w:sz w:val="24"/>
        </w:rPr>
        <w:t>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31FDB1CE">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28、中标通知书</w:t>
      </w:r>
    </w:p>
    <w:p w14:paraId="77C59741">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0B007483">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28.2中标通知书将是合同的一个组成部分。对采购人和中标供应商均具有法律效力。中标通知书发出后，采购人改变中标结果的，或者中标供应商放弃中标项目的，应当依法承担法律责任。</w:t>
      </w:r>
    </w:p>
    <w:p w14:paraId="7DC5EE6B">
      <w:pPr>
        <w:pBdr>
          <w:top w:val="none" w:color="000000" w:sz="0" w:space="0"/>
          <w:left w:val="none" w:color="000000" w:sz="0" w:space="0"/>
          <w:bottom w:val="none" w:color="000000" w:sz="0" w:space="0"/>
          <w:right w:val="none" w:color="000000" w:sz="0" w:space="0"/>
        </w:pBdr>
        <w:spacing w:before="145" w:after="145" w:line="400" w:lineRule="atLeast"/>
        <w:ind w:left="0" w:right="0" w:firstLine="0"/>
        <w:jc w:val="both"/>
      </w:pPr>
      <w:r>
        <w:rPr>
          <w:rFonts w:ascii="宋体" w:hAnsi="宋体" w:eastAsia="宋体" w:cs="宋体"/>
          <w:b/>
          <w:color w:val="000000"/>
          <w:sz w:val="32"/>
        </w:rPr>
        <w:t>七、授予合同</w:t>
      </w:r>
    </w:p>
    <w:p w14:paraId="6523E12A">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29、签订合同</w:t>
      </w:r>
    </w:p>
    <w:p w14:paraId="14F0EE81">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29.l中标供应商应当在中标通知书发出之日起三十日内，按照招标文件确定的事项与采购人签订政府采购合同。</w:t>
      </w:r>
    </w:p>
    <w:p w14:paraId="394D368C">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29.2招标文件、中标供应商的投标文件及招标过程中有关澄清、承诺文件均应作为合同附件。</w:t>
      </w:r>
    </w:p>
    <w:p w14:paraId="59180D0B">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62A6E605">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ascii="黑体" w:hAnsi="黑体" w:eastAsia="黑体" w:cs="黑体"/>
          <w:color w:val="000000"/>
          <w:sz w:val="30"/>
          <w:szCs w:val="30"/>
        </w:rPr>
      </w:pPr>
      <w:r>
        <w:rPr>
          <w:rFonts w:ascii="黑体" w:hAnsi="黑体" w:eastAsia="黑体" w:cs="黑体"/>
          <w:color w:val="000000"/>
          <w:sz w:val="30"/>
        </w:rPr>
        <w:t>30、政府采购履约资金扶持政策</w:t>
      </w:r>
    </w:p>
    <w:p w14:paraId="2015149A">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ascii="Times New Roman" w:hAnsi="Times New Roman" w:eastAsia="Times New Roman" w:cs="Times New Roman"/>
          <w:sz w:val="21"/>
          <w:szCs w:val="21"/>
        </w:rPr>
      </w:pPr>
      <w:r>
        <w:rPr>
          <w:rFonts w:ascii="宋体" w:hAnsi="宋体" w:eastAsia="宋体" w:cs="宋体"/>
          <w:color w:val="000000"/>
          <w:sz w:val="24"/>
        </w:rPr>
        <w:t>中标供应商可凭政府采购合同办理融资贷款，详情请见江苏政府采购网“政采贷”专栏。</w:t>
      </w:r>
    </w:p>
    <w:p w14:paraId="2A9D7AE2">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第三章 合同文本</w:t>
      </w:r>
    </w:p>
    <w:p w14:paraId="4CC8ADAD">
      <w:pPr>
        <w:pBdr>
          <w:top w:val="none" w:color="000000" w:sz="0" w:space="0"/>
          <w:left w:val="none" w:color="000000" w:sz="0" w:space="0"/>
          <w:bottom w:val="none" w:color="000000" w:sz="0" w:space="0"/>
          <w:right w:val="none" w:color="000000" w:sz="0" w:space="0"/>
        </w:pBdr>
        <w:spacing w:before="145" w:after="145"/>
        <w:ind w:left="0" w:right="0" w:firstLine="0"/>
        <w:jc w:val="center"/>
      </w:pPr>
      <w:r>
        <w:rPr>
          <w:rFonts w:ascii="宋体" w:hAnsi="宋体" w:eastAsia="宋体" w:cs="宋体"/>
          <w:b/>
          <w:color w:val="000000"/>
          <w:sz w:val="30"/>
        </w:rPr>
        <w:t> </w:t>
      </w:r>
    </w:p>
    <w:p w14:paraId="70982E7C">
      <w:pPr>
        <w:pBdr>
          <w:top w:val="none" w:color="000000" w:sz="0" w:space="0"/>
          <w:left w:val="none" w:color="000000" w:sz="0" w:space="0"/>
          <w:bottom w:val="none" w:color="000000" w:sz="0" w:space="0"/>
          <w:right w:val="none" w:color="000000" w:sz="0" w:space="0"/>
        </w:pBdr>
        <w:spacing w:before="145" w:after="145"/>
        <w:ind w:left="0" w:right="0" w:firstLine="0"/>
        <w:jc w:val="center"/>
      </w:pPr>
      <w:r>
        <w:rPr>
          <w:rFonts w:ascii="宋体" w:hAnsi="宋体" w:eastAsia="宋体" w:cs="宋体"/>
          <w:b/>
          <w:color w:val="000000"/>
          <w:sz w:val="30"/>
        </w:rPr>
        <w:t>江苏省政府采购合同（服务）（合同编号）</w:t>
      </w:r>
    </w:p>
    <w:p w14:paraId="36886B13">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项目名称：*****                   </w:t>
      </w:r>
    </w:p>
    <w:p w14:paraId="60094CF4">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项目编号：*****             </w:t>
      </w:r>
    </w:p>
    <w:p w14:paraId="01D4B08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采购包号：*****</w:t>
      </w:r>
    </w:p>
    <w:p w14:paraId="0D506614">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甲方：（买方/采购人）_________</w:t>
      </w:r>
    </w:p>
    <w:p w14:paraId="613DB146">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乙方：（卖方/中标供应商）_________</w:t>
      </w:r>
    </w:p>
    <w:p w14:paraId="5B1FCFB8">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   </w:t>
      </w:r>
      <w:r>
        <w:rPr>
          <w:rFonts w:ascii="宋体" w:hAnsi="宋体" w:eastAsia="宋体" w:cs="宋体"/>
          <w:color w:val="000000"/>
          <w:sz w:val="24"/>
        </w:rPr>
        <w:t>甲、乙双方根据扬州市公共资源交易中心</w:t>
      </w:r>
      <w:r>
        <w:rPr>
          <w:rFonts w:ascii="宋体" w:hAnsi="宋体" w:eastAsia="宋体" w:cs="宋体"/>
          <w:color w:val="000000"/>
          <w:sz w:val="24"/>
          <w:u w:val="single"/>
        </w:rPr>
        <w:t>         </w:t>
      </w:r>
      <w:r>
        <w:rPr>
          <w:rFonts w:ascii="宋体" w:hAnsi="宋体" w:eastAsia="宋体" w:cs="宋体"/>
          <w:color w:val="000000"/>
          <w:sz w:val="24"/>
        </w:rPr>
        <w:t>项目公开招标的结果，签署本合同。</w:t>
      </w:r>
    </w:p>
    <w:p w14:paraId="14399406">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一、合同内容</w:t>
      </w:r>
    </w:p>
    <w:p w14:paraId="75B023E4">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1.1 标的名称：</w:t>
      </w:r>
    </w:p>
    <w:p w14:paraId="408EEB9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1.2标的质量：</w:t>
      </w:r>
    </w:p>
    <w:p w14:paraId="3F343869">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1.3 标的数量（规模）：</w:t>
      </w:r>
    </w:p>
    <w:p w14:paraId="640AE98B">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 履行时间（期限）：</w:t>
      </w:r>
    </w:p>
    <w:p w14:paraId="1AEAC405">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1.5 履行地点：</w:t>
      </w:r>
    </w:p>
    <w:p w14:paraId="56223B7C">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1.6 履行方式：</w:t>
      </w:r>
    </w:p>
    <w:p w14:paraId="79E5C495">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二、合同金额</w:t>
      </w:r>
    </w:p>
    <w:p w14:paraId="13A4FDE7">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2.1 本合同金额为（大写）：________圆（________元）人民币或其他币种。</w:t>
      </w:r>
    </w:p>
    <w:p w14:paraId="69C4D059">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三、技术资料</w:t>
      </w:r>
    </w:p>
    <w:p w14:paraId="61A49EC2">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3.1乙方应按招标文件规定的时间向甲方提供服务（包含与服务相关的货物）的有关技术资料。</w:t>
      </w:r>
    </w:p>
    <w:p w14:paraId="1C00AD5E">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1C6BFCF">
      <w:pPr>
        <w:pBdr>
          <w:top w:val="none" w:color="000000" w:sz="0" w:space="0"/>
          <w:left w:val="none" w:color="000000" w:sz="0" w:space="0"/>
          <w:bottom w:val="none" w:color="000000" w:sz="0" w:space="0"/>
          <w:right w:val="none" w:color="000000" w:sz="0" w:space="0"/>
        </w:pBdr>
        <w:spacing w:before="120" w:after="120"/>
        <w:ind w:left="412" w:right="0" w:hanging="412"/>
        <w:jc w:val="both"/>
      </w:pPr>
      <w:r>
        <w:rPr>
          <w:rFonts w:ascii="宋体" w:hAnsi="宋体" w:eastAsia="宋体" w:cs="宋体"/>
          <w:b/>
          <w:color w:val="000000"/>
          <w:sz w:val="24"/>
        </w:rPr>
        <w:t>四、知识产权</w:t>
      </w:r>
    </w:p>
    <w:p w14:paraId="7301679C">
      <w:pPr>
        <w:pBdr>
          <w:top w:val="none" w:color="000000" w:sz="0" w:space="0"/>
          <w:left w:val="none" w:color="000000" w:sz="0" w:space="0"/>
          <w:bottom w:val="none" w:color="000000" w:sz="0" w:space="0"/>
          <w:right w:val="none" w:color="000000" w:sz="0" w:space="0"/>
        </w:pBdr>
        <w:spacing w:before="120" w:after="120"/>
        <w:ind w:left="408" w:right="0" w:hanging="408"/>
        <w:jc w:val="both"/>
      </w:pPr>
      <w:r>
        <w:rPr>
          <w:rFonts w:ascii="宋体" w:hAnsi="宋体" w:eastAsia="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52925E1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五、产权担保</w:t>
      </w:r>
    </w:p>
    <w:p w14:paraId="3DCFA250">
      <w:pPr>
        <w:pBdr>
          <w:top w:val="none" w:color="000000" w:sz="0" w:space="0"/>
          <w:left w:val="none" w:color="000000" w:sz="0" w:space="0"/>
          <w:bottom w:val="none" w:color="000000" w:sz="0" w:space="0"/>
          <w:right w:val="none" w:color="000000" w:sz="0" w:space="0"/>
        </w:pBdr>
        <w:spacing w:before="120" w:after="120"/>
        <w:ind w:left="408" w:right="0" w:hanging="408"/>
        <w:jc w:val="both"/>
      </w:pPr>
      <w:r>
        <w:rPr>
          <w:rFonts w:ascii="宋体" w:hAnsi="宋体" w:eastAsia="宋体" w:cs="宋体"/>
          <w:color w:val="000000"/>
          <w:sz w:val="24"/>
        </w:rPr>
        <w:t>5.1 乙方保证所交付的服务（包含与服务相关的货物）的所有权完全属于乙方且无任何抵押、查封等产权瑕疵。</w:t>
      </w:r>
    </w:p>
    <w:p w14:paraId="7319E0F8">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b/>
          <w:color w:val="000000"/>
          <w:sz w:val="24"/>
        </w:rPr>
        <w:t>六、履约保证金</w:t>
      </w:r>
    </w:p>
    <w:p w14:paraId="2D9E398D">
      <w:pPr>
        <w:pBdr>
          <w:top w:val="none" w:color="000000" w:sz="0" w:space="0"/>
          <w:left w:val="none" w:color="000000" w:sz="0" w:space="0"/>
          <w:bottom w:val="none" w:color="000000" w:sz="0" w:space="0"/>
          <w:right w:val="none" w:color="000000" w:sz="0" w:space="0"/>
        </w:pBdr>
        <w:spacing w:before="120" w:after="120"/>
        <w:ind w:left="408" w:right="0" w:hanging="408"/>
        <w:rPr>
          <w:highlight w:val="none"/>
        </w:rPr>
      </w:pPr>
      <w:r>
        <w:rPr>
          <w:rFonts w:ascii="宋体" w:hAnsi="宋体" w:eastAsia="宋体" w:cs="宋体"/>
          <w:color w:val="000000"/>
          <w:sz w:val="24"/>
          <w:highlight w:val="none"/>
        </w:rPr>
        <w:t>6.1 乙方交纳人民币___</w:t>
      </w:r>
      <w:r>
        <w:rPr>
          <w:rFonts w:ascii="宋体" w:hAnsi="宋体" w:eastAsia="宋体" w:cs="宋体"/>
          <w:color w:val="0000FF"/>
          <w:sz w:val="24"/>
          <w:highlight w:val="none"/>
          <w:u w:val="single"/>
        </w:rPr>
        <w:t>零</w:t>
      </w:r>
      <w:r>
        <w:rPr>
          <w:rFonts w:ascii="宋体" w:hAnsi="宋体" w:eastAsia="宋体" w:cs="宋体"/>
          <w:color w:val="000000"/>
          <w:sz w:val="24"/>
          <w:highlight w:val="none"/>
        </w:rPr>
        <w:t>______元作为本合同的履约保证金。（不得超过合同金额的10%）</w:t>
      </w:r>
    </w:p>
    <w:p w14:paraId="47B29177">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6.2合同履行结束后，甲方应及时退还交纳的履约保证金。</w:t>
      </w:r>
    </w:p>
    <w:p w14:paraId="1D16D893">
      <w:pPr>
        <w:pBdr>
          <w:top w:val="none" w:color="000000" w:sz="0" w:space="0"/>
          <w:left w:val="none" w:color="000000" w:sz="0" w:space="0"/>
          <w:bottom w:val="none" w:color="000000" w:sz="0" w:space="0"/>
          <w:right w:val="none" w:color="000000" w:sz="0" w:space="0"/>
        </w:pBdr>
        <w:spacing w:before="120" w:after="120"/>
        <w:ind w:left="408" w:right="0" w:hanging="408"/>
        <w:rPr>
          <w:rFonts w:ascii="宋体" w:hAnsi="宋体" w:eastAsia="宋体" w:cs="宋体"/>
          <w:color w:val="0000FF"/>
          <w:sz w:val="24"/>
        </w:rPr>
      </w:pPr>
      <w:r>
        <w:rPr>
          <w:rFonts w:ascii="宋体" w:hAnsi="宋体" w:eastAsia="宋体" w:cs="宋体"/>
          <w:color w:val="000000"/>
          <w:sz w:val="24"/>
        </w:rPr>
        <w:t>6.2.1履约保证金退还方式：</w:t>
      </w:r>
      <w:r>
        <w:rPr>
          <w:rFonts w:ascii="宋体" w:hAnsi="宋体" w:eastAsia="宋体" w:cs="宋体"/>
          <w:color w:val="0000FF"/>
          <w:sz w:val="24"/>
        </w:rPr>
        <w:t>无</w:t>
      </w:r>
    </w:p>
    <w:p w14:paraId="14F23357">
      <w:pPr>
        <w:pBdr>
          <w:top w:val="none" w:color="000000" w:sz="0" w:space="0"/>
          <w:left w:val="none" w:color="000000" w:sz="0" w:space="0"/>
          <w:bottom w:val="none" w:color="000000" w:sz="0" w:space="0"/>
          <w:right w:val="none" w:color="000000" w:sz="0" w:space="0"/>
        </w:pBdr>
        <w:spacing w:before="120" w:after="120"/>
        <w:ind w:left="408" w:right="0" w:hanging="408"/>
        <w:rPr>
          <w:rFonts w:ascii="宋体" w:hAnsi="宋体" w:eastAsia="宋体" w:cs="宋体"/>
          <w:color w:val="0000FF"/>
          <w:sz w:val="24"/>
        </w:rPr>
      </w:pPr>
      <w:r>
        <w:rPr>
          <w:rFonts w:ascii="宋体" w:hAnsi="宋体" w:eastAsia="宋体" w:cs="宋体"/>
          <w:color w:val="000000"/>
          <w:sz w:val="24"/>
        </w:rPr>
        <w:t>6.2.2履约保证金退还时间：</w:t>
      </w:r>
      <w:r>
        <w:rPr>
          <w:rFonts w:ascii="宋体" w:hAnsi="宋体" w:eastAsia="宋体" w:cs="宋体"/>
          <w:color w:val="0000FF"/>
          <w:sz w:val="24"/>
        </w:rPr>
        <w:t>无</w:t>
      </w:r>
    </w:p>
    <w:p w14:paraId="64A5857C">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6.2.3履约保证金退还条件：</w:t>
      </w:r>
      <w:r>
        <w:rPr>
          <w:rFonts w:ascii="宋体" w:hAnsi="宋体" w:eastAsia="宋体" w:cs="宋体"/>
          <w:color w:val="0000FF"/>
          <w:sz w:val="24"/>
        </w:rPr>
        <w:t>无</w:t>
      </w:r>
    </w:p>
    <w:p w14:paraId="5EC156F7">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6.2.4履约保证金不予退还的情形：</w:t>
      </w:r>
      <w:r>
        <w:rPr>
          <w:rFonts w:ascii="宋体" w:hAnsi="宋体" w:eastAsia="宋体" w:cs="宋体"/>
          <w:color w:val="0000FF"/>
          <w:sz w:val="24"/>
        </w:rPr>
        <w:t>无</w:t>
      </w:r>
    </w:p>
    <w:p w14:paraId="3717417B">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6.2.5履约保证金逾期退还的违约责任：</w:t>
      </w:r>
      <w:r>
        <w:rPr>
          <w:rFonts w:ascii="宋体" w:hAnsi="宋体" w:eastAsia="宋体" w:cs="宋体"/>
          <w:color w:val="0000FF"/>
          <w:sz w:val="24"/>
        </w:rPr>
        <w:t>无</w:t>
      </w:r>
    </w:p>
    <w:p w14:paraId="38396B00">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b/>
          <w:color w:val="000000"/>
          <w:sz w:val="24"/>
        </w:rPr>
        <w:t>七、合同转包或分包</w:t>
      </w:r>
    </w:p>
    <w:p w14:paraId="7EE542F5">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7.1乙方不得将合同标的转包给他人履行。</w:t>
      </w:r>
    </w:p>
    <w:p w14:paraId="153576BE">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7.2乙方不得将合同标的分包给他人履行。</w:t>
      </w:r>
    </w:p>
    <w:p w14:paraId="7A3005FB">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7.3乙方如有转包或未经甲方同意的分包行为，甲方有权解除合同。</w:t>
      </w:r>
    </w:p>
    <w:p w14:paraId="7113D915">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八、合同款项支付</w:t>
      </w:r>
    </w:p>
    <w:p w14:paraId="02C5BC46">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8.1合同款项的支付方式及进度安排</w:t>
      </w:r>
    </w:p>
    <w:p w14:paraId="11B006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480" w:firstLineChars="200"/>
        <w:jc w:val="both"/>
        <w:textAlignment w:val="auto"/>
        <w:rPr>
          <w:rFonts w:hint="eastAsia" w:ascii="宋体" w:hAnsi="宋体" w:eastAsia="宋体" w:cs="宋体"/>
          <w:color w:val="000000"/>
          <w:sz w:val="24"/>
          <w:u w:val="none"/>
        </w:rPr>
      </w:pPr>
      <w:r>
        <w:rPr>
          <w:rFonts w:hint="eastAsia" w:ascii="宋体" w:hAnsi="宋体" w:eastAsia="宋体" w:cs="宋体"/>
          <w:color w:val="000000"/>
          <w:sz w:val="24"/>
          <w:u w:val="none"/>
        </w:rPr>
        <w:t>合同签订</w:t>
      </w:r>
      <w:r>
        <w:rPr>
          <w:rFonts w:hint="eastAsia" w:ascii="宋体" w:hAnsi="宋体" w:cs="宋体"/>
          <w:color w:val="000000"/>
          <w:sz w:val="24"/>
          <w:u w:val="none"/>
          <w:lang w:eastAsia="zh-CN"/>
        </w:rPr>
        <w:t>，</w:t>
      </w:r>
      <w:r>
        <w:rPr>
          <w:rFonts w:hint="eastAsia" w:ascii="宋体" w:hAnsi="宋体" w:cs="宋体"/>
          <w:color w:val="000000"/>
          <w:sz w:val="24"/>
          <w:u w:val="none"/>
          <w:lang w:val="en-US" w:eastAsia="zh-CN"/>
        </w:rPr>
        <w:t>甲方自收到发票之日起支付乙方</w:t>
      </w:r>
      <w:r>
        <w:rPr>
          <w:rFonts w:hint="eastAsia" w:ascii="宋体" w:hAnsi="宋体" w:eastAsia="宋体" w:cs="宋体"/>
          <w:color w:val="000000"/>
          <w:sz w:val="24"/>
          <w:u w:val="none"/>
        </w:rPr>
        <w:t>一年合同总价30%</w:t>
      </w:r>
      <w:r>
        <w:rPr>
          <w:rFonts w:hint="eastAsia" w:ascii="宋体" w:hAnsi="宋体" w:cs="宋体"/>
          <w:color w:val="000000"/>
          <w:sz w:val="24"/>
          <w:u w:val="none"/>
          <w:lang w:val="en-US" w:eastAsia="zh-CN"/>
        </w:rPr>
        <w:t>的</w:t>
      </w:r>
      <w:r>
        <w:rPr>
          <w:rFonts w:hint="eastAsia" w:ascii="宋体" w:hAnsi="宋体" w:eastAsia="宋体" w:cs="宋体"/>
          <w:color w:val="000000"/>
          <w:sz w:val="24"/>
          <w:u w:val="none"/>
        </w:rPr>
        <w:t>预付款（预付款仅首年度支付）</w:t>
      </w:r>
      <w:r>
        <w:rPr>
          <w:rFonts w:hint="eastAsia" w:ascii="宋体" w:hAnsi="宋体" w:cs="宋体"/>
          <w:color w:val="000000"/>
          <w:sz w:val="24"/>
          <w:u w:val="none"/>
          <w:lang w:eastAsia="zh-CN"/>
        </w:rPr>
        <w:t>；</w:t>
      </w:r>
      <w:r>
        <w:rPr>
          <w:rFonts w:hint="eastAsia" w:ascii="宋体" w:hAnsi="宋体" w:eastAsia="宋体" w:cs="宋体"/>
          <w:color w:val="000000"/>
          <w:sz w:val="24"/>
          <w:u w:val="none"/>
        </w:rPr>
        <w:t>甲方按月度对乙方工作进行考核，根据考核结果以季度为</w:t>
      </w:r>
      <w:r>
        <w:rPr>
          <w:rFonts w:hint="eastAsia" w:ascii="宋体" w:hAnsi="宋体" w:cs="宋体"/>
          <w:color w:val="000000"/>
          <w:sz w:val="24"/>
          <w:u w:val="none"/>
          <w:lang w:val="en-US" w:eastAsia="zh-CN"/>
        </w:rPr>
        <w:t>周期</w:t>
      </w:r>
      <w:r>
        <w:rPr>
          <w:rFonts w:hint="eastAsia" w:ascii="宋体" w:hAnsi="宋体" w:eastAsia="宋体" w:cs="宋体"/>
          <w:color w:val="000000"/>
          <w:sz w:val="24"/>
          <w:u w:val="none"/>
        </w:rPr>
        <w:t>支付相应的费用（第一季度扣除预付款，不足部分第二季度扣除）。</w:t>
      </w:r>
    </w:p>
    <w:p w14:paraId="2BF203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480" w:firstLineChars="200"/>
        <w:jc w:val="both"/>
        <w:textAlignment w:val="auto"/>
        <w:rPr>
          <w:rFonts w:hint="eastAsia" w:ascii="宋体" w:hAnsi="宋体" w:eastAsia="宋体" w:cs="宋体"/>
          <w:color w:val="000000"/>
          <w:sz w:val="24"/>
          <w:szCs w:val="24"/>
          <w:u w:val="none"/>
        </w:rPr>
      </w:pPr>
      <w:r>
        <w:rPr>
          <w:rFonts w:hint="eastAsia" w:ascii="宋体" w:hAnsi="宋体" w:eastAsia="宋体" w:cs="宋体"/>
          <w:color w:val="000000"/>
          <w:sz w:val="24"/>
          <w:szCs w:val="24"/>
        </w:rPr>
        <w:t>上述款项，甲方</w:t>
      </w:r>
      <w:r>
        <w:rPr>
          <w:rFonts w:hint="eastAsia" w:ascii="宋体" w:hAnsi="宋体" w:eastAsia="宋体" w:cs="宋体"/>
          <w:color w:val="000000"/>
          <w:sz w:val="24"/>
          <w:szCs w:val="24"/>
          <w:lang w:val="en-US" w:eastAsia="zh-CN"/>
        </w:rPr>
        <w:t>自</w:t>
      </w:r>
      <w:r>
        <w:rPr>
          <w:rFonts w:hint="eastAsia" w:ascii="宋体" w:hAnsi="宋体" w:eastAsia="宋体" w:cs="宋体"/>
          <w:color w:val="000000"/>
          <w:sz w:val="24"/>
          <w:szCs w:val="24"/>
        </w:rPr>
        <w:t>收到乙方出具的发票之日起</w:t>
      </w:r>
      <w:r>
        <w:rPr>
          <w:rFonts w:hint="eastAsia" w:ascii="宋体" w:hAnsi="宋体" w:eastAsia="宋体" w:cs="宋体"/>
          <w:color w:val="000000"/>
          <w:sz w:val="24"/>
          <w:szCs w:val="24"/>
          <w:lang w:val="en-US" w:eastAsia="zh-CN"/>
        </w:rPr>
        <w:t>10个工作</w:t>
      </w:r>
      <w:r>
        <w:rPr>
          <w:rFonts w:hint="eastAsia" w:ascii="宋体" w:hAnsi="宋体" w:eastAsia="宋体" w:cs="宋体"/>
          <w:color w:val="000000"/>
          <w:sz w:val="24"/>
          <w:szCs w:val="24"/>
        </w:rPr>
        <w:t>日内支付。</w:t>
      </w:r>
    </w:p>
    <w:p w14:paraId="6B551FB0">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b/>
          <w:color w:val="000000"/>
          <w:sz w:val="24"/>
        </w:rPr>
        <w:t>九、税费</w:t>
      </w:r>
    </w:p>
    <w:p w14:paraId="6219988A">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9.1本合同执行中相关的一切税费均由乙方负担。</w:t>
      </w:r>
    </w:p>
    <w:p w14:paraId="5338F626">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十、项目验收</w:t>
      </w:r>
    </w:p>
    <w:p w14:paraId="38757AC4">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10.1甲方依法组织履约验收工作。</w:t>
      </w:r>
    </w:p>
    <w:p w14:paraId="2C0366CA">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F54A730">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10.3对于实际使用人和甲方分离的项目，甲方邀请实际使用人参与验收。</w:t>
      </w:r>
    </w:p>
    <w:p w14:paraId="4226AA55">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10.4如有必要，甲方邀请参加本项目的其他供应商或第三方专业机构及专家参与验收，相关意见将作为验收书的参考资料。</w:t>
      </w:r>
    </w:p>
    <w:p w14:paraId="4F67121E">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93EDC25">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6E351CD">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十一、违约责任</w:t>
      </w:r>
    </w:p>
    <w:p w14:paraId="44C729CC">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11.1甲方无正当理由拒绝接受乙方提供服务的，甲方向乙方偿付拒绝接受服务合同价款总值</w:t>
      </w:r>
      <w:r>
        <w:rPr>
          <w:rFonts w:ascii="宋体" w:hAnsi="宋体" w:eastAsia="宋体" w:cs="宋体"/>
          <w:color w:val="000000"/>
          <w:sz w:val="24"/>
          <w:u w:val="single"/>
        </w:rPr>
        <w:t>    </w:t>
      </w:r>
      <w:r>
        <w:rPr>
          <w:rFonts w:ascii="宋体" w:hAnsi="宋体" w:eastAsia="宋体" w:cs="宋体"/>
          <w:color w:val="000000"/>
          <w:sz w:val="24"/>
        </w:rPr>
        <w:t>的违约金。</w:t>
      </w:r>
    </w:p>
    <w:p w14:paraId="535F9C35">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11.2甲方无故逾期验收和办理合同款项支付手续的,甲方应按逾期付款总额</w:t>
      </w:r>
      <w:r>
        <w:rPr>
          <w:rFonts w:ascii="宋体" w:hAnsi="宋体" w:eastAsia="宋体" w:cs="宋体"/>
          <w:color w:val="000000"/>
          <w:sz w:val="24"/>
          <w:u w:val="single"/>
        </w:rPr>
        <w:t>    </w:t>
      </w:r>
      <w:r>
        <w:rPr>
          <w:rFonts w:ascii="宋体" w:hAnsi="宋体" w:eastAsia="宋体" w:cs="宋体"/>
          <w:color w:val="000000"/>
          <w:sz w:val="24"/>
        </w:rPr>
        <w:t>每日向乙方支付违约金。</w:t>
      </w:r>
    </w:p>
    <w:p w14:paraId="217F14BC">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w:t>
      </w:r>
      <w:r>
        <w:rPr>
          <w:rFonts w:ascii="宋体" w:hAnsi="宋体" w:eastAsia="宋体" w:cs="宋体"/>
          <w:color w:val="000000"/>
          <w:sz w:val="24"/>
        </w:rPr>
        <w:t xml:space="preserve">的违约金，如造成甲方损失超过违约金的，超出部分由乙方继续承担赔偿责任。 </w:t>
      </w:r>
    </w:p>
    <w:p w14:paraId="31386B7D">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11.4 乙方所提供服务的标准不符合合同规定及招标文件规定标准的，甲方有权拒绝接受服务，并可单方面解除合同。</w:t>
      </w:r>
    </w:p>
    <w:p w14:paraId="3316D4C0">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十二、不可抗力事件处理</w:t>
      </w:r>
    </w:p>
    <w:p w14:paraId="477972C7">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12.1在合同有效期内，任何一方因不可抗力事件导致不能履行合同，则合同履行期可延长，其延长期与不可抗力影响期相同。</w:t>
      </w:r>
    </w:p>
    <w:p w14:paraId="3032185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12.2不可抗力事件发生后，应立即通知对方，并寄送有关权威机构出具的证明。</w:t>
      </w:r>
    </w:p>
    <w:p w14:paraId="53DD827F">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12.3不可抗力事件延续120天以上，双方应通过友好协商，确定是否继续履行合同。</w:t>
      </w:r>
    </w:p>
    <w:p w14:paraId="094CBFFF">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十三、解决争议的方法</w:t>
      </w:r>
    </w:p>
    <w:p w14:paraId="34BC41A8">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13.1双方在签订、履行合同中所发生的一切争议，应通过友好协商解决。如协商不成，由甲方住所地人民法院管辖。</w:t>
      </w:r>
    </w:p>
    <w:p w14:paraId="2F423CAC">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十四、合同生效及其它</w:t>
      </w:r>
    </w:p>
    <w:p w14:paraId="27D7176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14.1合同经双方法定代表人或授权委托代表人签字并加盖单位公章后生效。</w:t>
      </w:r>
    </w:p>
    <w:p w14:paraId="6FDFF039">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14.2本合同未尽事宜，遵照中华人民共和国现行法律法规有关条文执行。</w:t>
      </w:r>
    </w:p>
    <w:p w14:paraId="13D3CCD4">
      <w:pPr>
        <w:pBdr>
          <w:top w:val="none" w:color="000000" w:sz="0" w:space="0"/>
          <w:left w:val="none" w:color="000000" w:sz="0" w:space="0"/>
          <w:bottom w:val="none" w:color="000000" w:sz="0" w:space="0"/>
          <w:right w:val="none" w:color="000000" w:sz="0" w:space="0"/>
        </w:pBdr>
        <w:spacing w:before="120" w:after="120"/>
        <w:ind w:left="480" w:right="0" w:hanging="480"/>
        <w:jc w:val="both"/>
        <w:rPr>
          <w:rFonts w:ascii="宋体" w:hAnsi="宋体" w:eastAsia="宋体" w:cs="宋体"/>
          <w:color w:val="000000"/>
          <w:sz w:val="24"/>
          <w:szCs w:val="24"/>
          <w:highlight w:val="none"/>
        </w:rPr>
      </w:pPr>
      <w:r>
        <w:rPr>
          <w:rFonts w:ascii="宋体" w:hAnsi="宋体" w:eastAsia="宋体" w:cs="宋体"/>
          <w:color w:val="000000"/>
          <w:sz w:val="24"/>
        </w:rPr>
        <w:t>14.3本合同正本一式两份，具有同等法律效力，甲方、乙方各执一份。</w:t>
      </w:r>
    </w:p>
    <w:p w14:paraId="55EFA8CB">
      <w:pPr>
        <w:pBdr>
          <w:top w:val="none" w:color="000000" w:sz="0" w:space="0"/>
          <w:left w:val="none" w:color="000000" w:sz="0" w:space="0"/>
          <w:bottom w:val="none" w:color="000000" w:sz="0" w:space="0"/>
          <w:right w:val="none" w:color="000000" w:sz="0" w:space="0"/>
        </w:pBdr>
        <w:spacing w:before="120" w:after="120"/>
        <w:ind w:left="0" w:right="0" w:firstLine="0"/>
        <w:jc w:val="both"/>
        <w:rPr>
          <w:rFonts w:ascii="宋体" w:hAnsi="宋体" w:eastAsia="宋体" w:cs="宋体"/>
          <w:color w:val="000000"/>
          <w:sz w:val="24"/>
          <w:szCs w:val="24"/>
          <w:highlight w:val="none"/>
        </w:rPr>
      </w:pPr>
    </w:p>
    <w:p w14:paraId="2F6719B0">
      <w:pPr>
        <w:pBdr>
          <w:top w:val="none" w:color="000000" w:sz="0" w:space="0"/>
          <w:left w:val="none" w:color="000000" w:sz="0" w:space="0"/>
          <w:bottom w:val="none" w:color="000000" w:sz="0" w:space="0"/>
          <w:right w:val="none" w:color="000000" w:sz="0" w:space="0"/>
        </w:pBdr>
        <w:spacing w:before="120" w:after="120"/>
        <w:ind w:left="0" w:right="0" w:firstLine="0"/>
        <w:jc w:val="both"/>
      </w:pP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4"/>
        <w:gridCol w:w="4584"/>
      </w:tblGrid>
      <w:tr w14:paraId="37D45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5188DD00">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甲方：</w:t>
            </w:r>
          </w:p>
        </w:tc>
        <w:tc>
          <w:tcPr>
            <w:tcW w:w="4584" w:type="dxa"/>
            <w:tcBorders>
              <w:top w:val="nil"/>
              <w:left w:val="nil"/>
              <w:bottom w:val="nil"/>
              <w:right w:val="nil"/>
            </w:tcBorders>
            <w:noWrap w:val="0"/>
          </w:tcPr>
          <w:p w14:paraId="76247D5C">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乙方：</w:t>
            </w:r>
          </w:p>
        </w:tc>
      </w:tr>
      <w:tr w14:paraId="220F0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228747B8">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地址： </w:t>
            </w:r>
          </w:p>
        </w:tc>
        <w:tc>
          <w:tcPr>
            <w:tcW w:w="4584" w:type="dxa"/>
            <w:tcBorders>
              <w:top w:val="nil"/>
              <w:left w:val="nil"/>
              <w:bottom w:val="nil"/>
              <w:right w:val="nil"/>
            </w:tcBorders>
            <w:noWrap w:val="0"/>
          </w:tcPr>
          <w:p w14:paraId="4EE16536">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地址：</w:t>
            </w:r>
          </w:p>
        </w:tc>
      </w:tr>
      <w:tr w14:paraId="6DE01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13AC396F">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法定代表人或授权代表：</w:t>
            </w:r>
          </w:p>
        </w:tc>
        <w:tc>
          <w:tcPr>
            <w:tcW w:w="4584" w:type="dxa"/>
            <w:tcBorders>
              <w:top w:val="nil"/>
              <w:left w:val="nil"/>
              <w:bottom w:val="nil"/>
              <w:right w:val="nil"/>
            </w:tcBorders>
            <w:noWrap w:val="0"/>
          </w:tcPr>
          <w:p w14:paraId="140B7D3B">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法定代表人或授权代表：</w:t>
            </w:r>
          </w:p>
        </w:tc>
      </w:tr>
      <w:tr w14:paraId="6D0E9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4584" w:type="dxa"/>
            <w:tcBorders>
              <w:top w:val="nil"/>
              <w:left w:val="nil"/>
              <w:bottom w:val="nil"/>
              <w:right w:val="nil"/>
            </w:tcBorders>
            <w:noWrap w:val="0"/>
          </w:tcPr>
          <w:p w14:paraId="7564CE13">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 xml:space="preserve">联系电话：    </w:t>
            </w:r>
          </w:p>
        </w:tc>
        <w:tc>
          <w:tcPr>
            <w:tcW w:w="4584" w:type="dxa"/>
            <w:tcBorders>
              <w:top w:val="nil"/>
              <w:left w:val="nil"/>
              <w:bottom w:val="nil"/>
              <w:right w:val="nil"/>
            </w:tcBorders>
            <w:noWrap w:val="0"/>
          </w:tcPr>
          <w:p w14:paraId="6D429395">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联系电话：</w:t>
            </w:r>
          </w:p>
        </w:tc>
      </w:tr>
    </w:tbl>
    <w:p w14:paraId="10586456">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color w:val="000000"/>
          <w:sz w:val="21"/>
        </w:rPr>
        <w:t>                </w:t>
      </w:r>
      <w:r>
        <w:rPr>
          <w:rFonts w:ascii="宋体" w:hAnsi="宋体" w:eastAsia="宋体" w:cs="宋体"/>
          <w:color w:val="000000"/>
          <w:sz w:val="24"/>
        </w:rPr>
        <w:t>签订日期：年  月 日</w:t>
      </w:r>
      <w:r>
        <w:rPr>
          <w:rFonts w:ascii="宋体" w:hAnsi="宋体" w:eastAsia="宋体" w:cs="宋体"/>
          <w:color w:val="000000"/>
          <w:sz w:val="24"/>
        </w:rPr>
        <w:br w:type="page" w:clear="all"/>
      </w:r>
    </w:p>
    <w:p w14:paraId="05FE886E">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第四章 采购需求</w:t>
      </w:r>
    </w:p>
    <w:p w14:paraId="78609BCF">
      <w:pPr>
        <w:pBdr>
          <w:top w:val="none" w:color="000000" w:sz="0" w:space="0"/>
          <w:left w:val="none" w:color="000000" w:sz="0" w:space="0"/>
          <w:bottom w:val="none" w:color="000000" w:sz="0" w:space="0"/>
          <w:right w:val="none" w:color="000000" w:sz="0" w:space="0"/>
        </w:pBdr>
        <w:spacing w:before="0" w:after="0"/>
        <w:ind w:left="500" w:leftChars="198" w:right="0" w:hanging="84" w:hangingChars="35"/>
        <w:jc w:val="both"/>
      </w:pPr>
      <w:r>
        <w:rPr>
          <w:rFonts w:ascii="宋体" w:hAnsi="宋体" w:eastAsia="宋体" w:cs="宋体"/>
          <w:b/>
          <w:color w:val="000000"/>
          <w:sz w:val="24"/>
        </w:rPr>
        <w:t>项目属性:服务类项目</w:t>
      </w:r>
    </w:p>
    <w:p w14:paraId="5CD5204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w:t>
      </w:r>
      <w:r>
        <w:rPr>
          <w:rFonts w:ascii="Times New Roman" w:hAnsi="Times New Roman" w:eastAsia="Times New Roman" w:cs="Times New Roman"/>
          <w:color w:val="000000"/>
          <w:sz w:val="24"/>
        </w:rPr>
        <w:t>.</w:t>
      </w:r>
      <w:r>
        <w:rPr>
          <w:rFonts w:ascii="宋体" w:hAnsi="宋体" w:eastAsia="宋体" w:cs="宋体"/>
          <w:color w:val="000000"/>
          <w:sz w:val="24"/>
        </w:rPr>
        <w:t>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本项目强制节能产品有：</w:t>
      </w:r>
      <w:r>
        <w:rPr>
          <w:rFonts w:ascii="宋体" w:hAnsi="宋体" w:eastAsia="宋体" w:cs="宋体"/>
          <w:color w:val="000000"/>
          <w:sz w:val="24"/>
          <w:u w:val="single"/>
        </w:rPr>
        <w:t> </w:t>
      </w:r>
      <w:r>
        <w:rPr>
          <w:rFonts w:ascii="Times New Roman" w:hAnsi="Times New Roman" w:eastAsia="Times New Roman" w:cs="Times New Roman"/>
          <w:color w:val="000000"/>
          <w:sz w:val="24"/>
          <w:u w:val="single"/>
        </w:rPr>
        <w:t>    </w:t>
      </w:r>
      <w:r>
        <w:rPr>
          <w:rFonts w:ascii="宋体" w:hAnsi="宋体" w:eastAsia="宋体" w:cs="宋体"/>
          <w:color w:val="000000"/>
          <w:sz w:val="24"/>
          <w:u w:val="single"/>
        </w:rPr>
        <w:t> </w:t>
      </w:r>
      <w:r>
        <w:rPr>
          <w:rFonts w:hint="eastAsia" w:ascii="宋体" w:hAnsi="宋体" w:cs="宋体"/>
          <w:color w:val="000000"/>
          <w:sz w:val="24"/>
          <w:u w:val="single"/>
          <w:lang w:val="en-US" w:eastAsia="zh-CN"/>
        </w:rPr>
        <w:t>无</w:t>
      </w:r>
      <w:r>
        <w:rPr>
          <w:rFonts w:ascii="宋体" w:hAnsi="宋体" w:eastAsia="宋体" w:cs="宋体"/>
          <w:color w:val="000000"/>
          <w:sz w:val="24"/>
          <w:u w:val="single"/>
        </w:rPr>
        <w:t>  </w:t>
      </w:r>
      <w:r>
        <w:rPr>
          <w:rFonts w:ascii="Times New Roman" w:hAnsi="Times New Roman" w:eastAsia="Times New Roman" w:cs="Times New Roman"/>
          <w:color w:val="000000"/>
          <w:sz w:val="24"/>
          <w:u w:val="single"/>
        </w:rPr>
        <w:t> </w:t>
      </w:r>
      <w:r>
        <w:rPr>
          <w:rFonts w:ascii="宋体" w:hAnsi="宋体" w:eastAsia="宋体" w:cs="宋体"/>
          <w:color w:val="000000"/>
          <w:sz w:val="24"/>
          <w:u w:val="single"/>
        </w:rPr>
        <w:t> </w:t>
      </w:r>
      <w:r>
        <w:rPr>
          <w:rFonts w:ascii="宋体" w:hAnsi="宋体" w:eastAsia="宋体" w:cs="宋体"/>
          <w:color w:val="000000"/>
          <w:sz w:val="24"/>
        </w:rPr>
        <w:t>。</w:t>
      </w:r>
    </w:p>
    <w:p w14:paraId="61F1D6F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Times New Roman" w:hAnsi="Times New Roman" w:eastAsia="Times New Roman" w:cs="Times New Roman"/>
          <w:color w:val="000000"/>
          <w:sz w:val="24"/>
        </w:rPr>
        <w:t>2.</w:t>
      </w:r>
      <w:r>
        <w:rPr>
          <w:rFonts w:ascii="宋体" w:hAnsi="宋体" w:eastAsia="宋体" w:cs="宋体"/>
          <w:color w:val="000000"/>
          <w:sz w:val="24"/>
        </w:rPr>
        <w:t>供应商对于投标产品的包装应按照“财办库〔</w:t>
      </w:r>
      <w:r>
        <w:rPr>
          <w:rFonts w:ascii="Times New Roman" w:hAnsi="Times New Roman" w:eastAsia="Times New Roman" w:cs="Times New Roman"/>
          <w:color w:val="000000"/>
          <w:sz w:val="24"/>
        </w:rPr>
        <w:t>2020</w:t>
      </w:r>
      <w:r>
        <w:rPr>
          <w:rFonts w:ascii="宋体" w:hAnsi="宋体" w:eastAsia="宋体" w:cs="宋体"/>
          <w:color w:val="000000"/>
          <w:sz w:val="24"/>
        </w:rPr>
        <w:t>〕</w:t>
      </w:r>
      <w:r>
        <w:rPr>
          <w:rFonts w:ascii="Times New Roman" w:hAnsi="Times New Roman" w:eastAsia="Times New Roman" w:cs="Times New Roman"/>
          <w:color w:val="000000"/>
          <w:sz w:val="24"/>
        </w:rPr>
        <w:t>123</w:t>
      </w:r>
      <w:r>
        <w:rPr>
          <w:rFonts w:ascii="宋体" w:hAnsi="宋体" w:eastAsia="宋体" w:cs="宋体"/>
          <w:color w:val="000000"/>
          <w:sz w:val="24"/>
        </w:rPr>
        <w:t>号《关于印发《商品包装政府采购需求标准（试行）》、《快递包装政府采购需求标准（试行）》的通知》”执行。</w:t>
      </w:r>
    </w:p>
    <w:p w14:paraId="2BCA394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3.采购标的清单</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06"/>
        <w:gridCol w:w="5603"/>
        <w:gridCol w:w="2250"/>
      </w:tblGrid>
      <w:tr w14:paraId="541434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68AA5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560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D7655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采购标的</w:t>
            </w:r>
          </w:p>
        </w:tc>
        <w:tc>
          <w:tcPr>
            <w:tcW w:w="225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9BCE7F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对应中小企业划分标准所属行业</w:t>
            </w:r>
          </w:p>
        </w:tc>
      </w:tr>
      <w:tr w14:paraId="4827F9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2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1612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5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DD31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r>
              <w:rPr>
                <w:rFonts w:hint="eastAsia" w:ascii="宋体" w:hAnsi="宋体"/>
                <w:color w:val="auto"/>
                <w:sz w:val="24"/>
                <w:szCs w:val="24"/>
                <w:highlight w:val="none"/>
                <w:lang w:val="en-US" w:eastAsia="zh-CN"/>
              </w:rPr>
              <w:t>重点区域周边片区“城市管家”一体化作业</w:t>
            </w:r>
          </w:p>
        </w:tc>
        <w:tc>
          <w:tcPr>
            <w:tcW w:w="22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DAD1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hint="default" w:ascii="宋体" w:hAnsi="宋体"/>
                <w:color w:val="auto"/>
                <w:kern w:val="2"/>
                <w:sz w:val="24"/>
                <w:szCs w:val="24"/>
                <w:highlight w:val="none"/>
              </w:rPr>
              <w:t>其他</w:t>
            </w:r>
            <w:r>
              <w:rPr>
                <w:rFonts w:hint="eastAsia" w:ascii="宋体" w:hAnsi="宋体"/>
                <w:color w:val="auto"/>
                <w:kern w:val="2"/>
                <w:sz w:val="24"/>
                <w:szCs w:val="24"/>
                <w:highlight w:val="none"/>
              </w:rPr>
              <w:t>未</w:t>
            </w:r>
            <w:r>
              <w:rPr>
                <w:rFonts w:hint="default" w:ascii="宋体" w:hAnsi="宋体"/>
                <w:color w:val="auto"/>
                <w:kern w:val="2"/>
                <w:sz w:val="24"/>
                <w:szCs w:val="24"/>
                <w:highlight w:val="none"/>
              </w:rPr>
              <w:t>列明行业</w:t>
            </w:r>
            <w:r>
              <w:rPr>
                <w:rFonts w:ascii="宋体" w:hAnsi="宋体" w:eastAsia="宋体" w:cs="宋体"/>
                <w:color w:val="000000"/>
                <w:sz w:val="24"/>
              </w:rPr>
              <w:t> </w:t>
            </w:r>
          </w:p>
        </w:tc>
      </w:tr>
      <w:tr w14:paraId="5F1A0E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5" w:hRule="atLeast"/>
        </w:trPr>
        <w:tc>
          <w:tcPr>
            <w:tcW w:w="12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33FF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5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C6F6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hint="eastAsia" w:ascii="宋体" w:hAnsi="宋体"/>
                <w:color w:val="auto"/>
                <w:sz w:val="24"/>
                <w:szCs w:val="24"/>
                <w:highlight w:val="none"/>
                <w:lang w:val="en-US" w:eastAsia="zh-CN"/>
              </w:rPr>
              <w:t>东北部片区“城市管家”一体化作业</w:t>
            </w:r>
            <w:r>
              <w:rPr>
                <w:rFonts w:ascii="宋体" w:hAnsi="宋体" w:eastAsia="宋体" w:cs="宋体"/>
                <w:color w:val="000000"/>
                <w:sz w:val="24"/>
              </w:rPr>
              <w:t> </w:t>
            </w:r>
          </w:p>
        </w:tc>
        <w:tc>
          <w:tcPr>
            <w:tcW w:w="22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5428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hint="default" w:ascii="宋体" w:hAnsi="宋体"/>
                <w:color w:val="auto"/>
                <w:kern w:val="2"/>
                <w:sz w:val="24"/>
                <w:szCs w:val="24"/>
                <w:highlight w:val="none"/>
              </w:rPr>
              <w:t>其他</w:t>
            </w:r>
            <w:r>
              <w:rPr>
                <w:rFonts w:hint="eastAsia" w:ascii="宋体" w:hAnsi="宋体"/>
                <w:color w:val="auto"/>
                <w:kern w:val="2"/>
                <w:sz w:val="24"/>
                <w:szCs w:val="24"/>
                <w:highlight w:val="none"/>
              </w:rPr>
              <w:t>未</w:t>
            </w:r>
            <w:r>
              <w:rPr>
                <w:rFonts w:hint="default" w:ascii="宋体" w:hAnsi="宋体"/>
                <w:color w:val="auto"/>
                <w:kern w:val="2"/>
                <w:sz w:val="24"/>
                <w:szCs w:val="24"/>
                <w:highlight w:val="none"/>
              </w:rPr>
              <w:t>列明行业</w:t>
            </w:r>
            <w:r>
              <w:rPr>
                <w:rFonts w:ascii="宋体" w:hAnsi="宋体" w:eastAsia="宋体" w:cs="宋体"/>
                <w:color w:val="000000"/>
                <w:sz w:val="24"/>
              </w:rPr>
              <w:t> </w:t>
            </w:r>
          </w:p>
        </w:tc>
      </w:tr>
      <w:tr w14:paraId="7D54A3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5" w:hRule="atLeast"/>
        </w:trPr>
        <w:tc>
          <w:tcPr>
            <w:tcW w:w="12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1AF4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3</w:t>
            </w:r>
          </w:p>
        </w:tc>
        <w:tc>
          <w:tcPr>
            <w:tcW w:w="5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56503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hint="eastAsia" w:ascii="宋体" w:hAnsi="宋体"/>
                <w:color w:val="auto"/>
                <w:sz w:val="24"/>
                <w:szCs w:val="24"/>
                <w:highlight w:val="none"/>
                <w:lang w:val="en-US" w:eastAsia="zh-CN"/>
              </w:rPr>
              <w:t>东南部片区（含翟庄路）“城市管家”一体化作业</w:t>
            </w:r>
          </w:p>
        </w:tc>
        <w:tc>
          <w:tcPr>
            <w:tcW w:w="22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3FF7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hint="default" w:ascii="宋体" w:hAnsi="宋体"/>
                <w:color w:val="auto"/>
                <w:kern w:val="2"/>
                <w:sz w:val="24"/>
                <w:szCs w:val="24"/>
                <w:highlight w:val="none"/>
              </w:rPr>
              <w:t>其他</w:t>
            </w:r>
            <w:r>
              <w:rPr>
                <w:rFonts w:hint="eastAsia" w:ascii="宋体" w:hAnsi="宋体"/>
                <w:color w:val="auto"/>
                <w:kern w:val="2"/>
                <w:sz w:val="24"/>
                <w:szCs w:val="24"/>
                <w:highlight w:val="none"/>
              </w:rPr>
              <w:t>未</w:t>
            </w:r>
            <w:r>
              <w:rPr>
                <w:rFonts w:hint="default" w:ascii="宋体" w:hAnsi="宋体"/>
                <w:color w:val="auto"/>
                <w:kern w:val="2"/>
                <w:sz w:val="24"/>
                <w:szCs w:val="24"/>
                <w:highlight w:val="none"/>
              </w:rPr>
              <w:t>列明行业</w:t>
            </w:r>
          </w:p>
        </w:tc>
      </w:tr>
      <w:tr w14:paraId="23E232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2" w:hRule="atLeast"/>
        </w:trPr>
        <w:tc>
          <w:tcPr>
            <w:tcW w:w="12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9FFA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lang w:eastAsia="zh-CN"/>
              </w:rPr>
            </w:pPr>
            <w:r>
              <w:rPr>
                <w:rFonts w:hint="eastAsia" w:ascii="宋体" w:hAnsi="宋体" w:cs="宋体"/>
                <w:color w:val="000000"/>
                <w:sz w:val="24"/>
                <w:lang w:val="en-US" w:eastAsia="zh-CN"/>
              </w:rPr>
              <w:t>4</w:t>
            </w:r>
          </w:p>
        </w:tc>
        <w:tc>
          <w:tcPr>
            <w:tcW w:w="5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BE37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hint="eastAsia" w:ascii="宋体" w:hAnsi="宋体"/>
                <w:color w:val="auto"/>
                <w:sz w:val="24"/>
                <w:szCs w:val="24"/>
                <w:highlight w:val="none"/>
                <w:lang w:val="en-US" w:eastAsia="zh-CN"/>
              </w:rPr>
              <w:t>镇区（北至328国道、南至G40、东至金湾路、西至廖家沟路）生活垃圾（含一般工业固废）收运及公厕保洁作业</w:t>
            </w:r>
          </w:p>
        </w:tc>
        <w:tc>
          <w:tcPr>
            <w:tcW w:w="22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23A5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hint="default" w:ascii="宋体" w:hAnsi="宋体"/>
                <w:color w:val="auto"/>
                <w:kern w:val="2"/>
                <w:sz w:val="24"/>
                <w:szCs w:val="24"/>
                <w:highlight w:val="none"/>
              </w:rPr>
              <w:t>其他</w:t>
            </w:r>
            <w:r>
              <w:rPr>
                <w:rFonts w:hint="eastAsia" w:ascii="宋体" w:hAnsi="宋体"/>
                <w:color w:val="auto"/>
                <w:kern w:val="2"/>
                <w:sz w:val="24"/>
                <w:szCs w:val="24"/>
                <w:highlight w:val="none"/>
              </w:rPr>
              <w:t>未</w:t>
            </w:r>
            <w:r>
              <w:rPr>
                <w:rFonts w:hint="default" w:ascii="宋体" w:hAnsi="宋体"/>
                <w:color w:val="auto"/>
                <w:kern w:val="2"/>
                <w:sz w:val="24"/>
                <w:szCs w:val="24"/>
                <w:highlight w:val="none"/>
              </w:rPr>
              <w:t>列明行业</w:t>
            </w:r>
            <w:r>
              <w:rPr>
                <w:rFonts w:ascii="Times New Roman" w:hAnsi="Times New Roman" w:eastAsia="Times New Roman" w:cs="Times New Roman"/>
                <w:color w:val="000000"/>
                <w:sz w:val="21"/>
              </w:rPr>
              <w:t> </w:t>
            </w:r>
          </w:p>
        </w:tc>
      </w:tr>
    </w:tbl>
    <w:p w14:paraId="33FF587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7BB818B">
      <w:pPr>
        <w:pBdr>
          <w:top w:val="none" w:color="000000" w:sz="0" w:space="0"/>
          <w:left w:val="none" w:color="000000" w:sz="0" w:space="0"/>
          <w:bottom w:val="none" w:color="000000" w:sz="0" w:space="0"/>
          <w:right w:val="none" w:color="000000" w:sz="0" w:space="0"/>
        </w:pBdr>
        <w:spacing w:before="0" w:after="0"/>
        <w:ind w:left="0" w:right="0" w:firstLine="480" w:firstLineChars="200"/>
        <w:jc w:val="both"/>
      </w:pPr>
      <w:r>
        <w:rPr>
          <w:rFonts w:hint="eastAsia" w:ascii="宋体" w:hAnsi="宋体" w:cs="宋体"/>
          <w:color w:val="000000"/>
          <w:sz w:val="24"/>
          <w:lang w:val="en-US" w:eastAsia="zh-CN"/>
        </w:rPr>
        <w:t>4.</w:t>
      </w:r>
      <w:r>
        <w:rPr>
          <w:rFonts w:ascii="宋体" w:hAnsi="宋体" w:eastAsia="宋体" w:cs="宋体"/>
          <w:color w:val="000000"/>
          <w:sz w:val="24"/>
        </w:rPr>
        <w:t>技术要求是指对采购标的功能和质量要求，包括性能、材料、结构、外观、安全，或者服务内容和标准等。其中</w:t>
      </w:r>
      <w:r>
        <w:rPr>
          <w:rFonts w:ascii="宋体" w:hAnsi="宋体" w:eastAsia="宋体" w:cs="宋体"/>
          <w:b/>
          <w:i/>
          <w:color w:val="FF0000"/>
          <w:sz w:val="24"/>
          <w:u w:val="single"/>
        </w:rPr>
        <w:t>斜体且有下划线部分</w:t>
      </w:r>
      <w:r>
        <w:rPr>
          <w:rFonts w:ascii="宋体" w:hAnsi="宋体" w:eastAsia="宋体" w:cs="宋体"/>
          <w:b/>
          <w:color w:val="FF0000"/>
          <w:sz w:val="24"/>
        </w:rPr>
        <w:t>为实质性要求。</w:t>
      </w:r>
    </w:p>
    <w:p w14:paraId="5F50A60B">
      <w:pPr>
        <w:keepNext w:val="0"/>
        <w:keepLines w:val="0"/>
        <w:pageBreakBefore w:val="0"/>
        <w:widowControl w:val="0"/>
        <w:shd w:val="clear"/>
        <w:kinsoku/>
        <w:wordWrap/>
        <w:overflowPunct/>
        <w:topLinePunct w:val="0"/>
        <w:autoSpaceDE/>
        <w:autoSpaceDN/>
        <w:bidi w:val="0"/>
        <w:adjustRightInd/>
        <w:snapToGrid/>
        <w:spacing w:line="440" w:lineRule="exact"/>
        <w:textAlignment w:val="auto"/>
        <w:rPr>
          <w:rFonts w:ascii="宋体" w:hAnsi="宋体" w:cs="宋体"/>
          <w:b/>
          <w:color w:val="auto"/>
          <w:sz w:val="24"/>
          <w:szCs w:val="24"/>
          <w:highlight w:val="none"/>
        </w:rPr>
      </w:pPr>
      <w:r>
        <w:rPr>
          <w:rFonts w:ascii="Times New Roman" w:hAnsi="Times New Roman" w:eastAsia="Times New Roman" w:cs="Times New Roman"/>
          <w:color w:val="000000"/>
          <w:sz w:val="24"/>
        </w:rPr>
        <w:t> </w:t>
      </w:r>
      <w:r>
        <w:rPr>
          <w:rFonts w:hint="eastAsia" w:ascii="宋体" w:hAnsi="宋体" w:cs="宋体"/>
          <w:b/>
          <w:color w:val="auto"/>
          <w:sz w:val="24"/>
          <w:szCs w:val="24"/>
          <w:highlight w:val="none"/>
        </w:rPr>
        <w:t>一、作业范围及作业内容</w:t>
      </w:r>
    </w:p>
    <w:p w14:paraId="52364A5A">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ascii="宋体" w:hAnsi="宋体"/>
          <w:bCs/>
          <w:iCs/>
          <w:color w:val="auto"/>
          <w:sz w:val="24"/>
          <w:szCs w:val="24"/>
          <w:highlight w:val="none"/>
        </w:rPr>
      </w:pPr>
      <w:r>
        <w:rPr>
          <w:rFonts w:hint="eastAsia" w:ascii="宋体" w:hAnsi="宋体"/>
          <w:bCs/>
          <w:iCs/>
          <w:color w:val="auto"/>
          <w:sz w:val="24"/>
          <w:szCs w:val="24"/>
          <w:highlight w:val="none"/>
        </w:rPr>
        <w:t>（一）作业范围</w:t>
      </w:r>
    </w:p>
    <w:p w14:paraId="0185BB55">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ascii="宋体" w:hAnsi="宋体" w:cs="宋体"/>
          <w:color w:val="auto"/>
          <w:highlight w:val="none"/>
          <w:shd w:val="clear"/>
        </w:rPr>
      </w:pPr>
      <w:r>
        <w:rPr>
          <w:rFonts w:hint="eastAsia" w:ascii="宋体" w:hAnsi="宋体"/>
          <w:bCs/>
          <w:iCs/>
          <w:color w:val="auto"/>
          <w:sz w:val="24"/>
          <w:szCs w:val="24"/>
          <w:highlight w:val="none"/>
        </w:rPr>
        <w:t>本项目共划分4个分包</w:t>
      </w:r>
      <w:r>
        <w:rPr>
          <w:rFonts w:hint="eastAsia" w:ascii="宋体" w:hAnsi="宋体"/>
          <w:bCs/>
          <w:iCs/>
          <w:color w:val="auto"/>
          <w:sz w:val="24"/>
          <w:szCs w:val="24"/>
          <w:highlight w:val="none"/>
          <w:lang w:eastAsia="zh-CN"/>
        </w:rPr>
        <w:t>，</w:t>
      </w:r>
      <w:r>
        <w:rPr>
          <w:rFonts w:hint="eastAsia" w:ascii="宋体" w:hAnsi="宋体"/>
          <w:b w:val="0"/>
          <w:bCs w:val="0"/>
          <w:iCs/>
          <w:color w:val="auto"/>
          <w:sz w:val="24"/>
          <w:szCs w:val="24"/>
          <w:highlight w:val="none"/>
        </w:rPr>
        <w:t>分包1：</w:t>
      </w:r>
      <w:r>
        <w:rPr>
          <w:rFonts w:hint="eastAsia" w:ascii="宋体" w:hAnsi="宋体"/>
          <w:b w:val="0"/>
          <w:bCs w:val="0"/>
          <w:iCs/>
          <w:color w:val="auto"/>
          <w:sz w:val="24"/>
          <w:szCs w:val="24"/>
          <w:highlight w:val="none"/>
          <w:lang w:eastAsia="zh-CN"/>
        </w:rPr>
        <w:t>重点区域</w:t>
      </w:r>
      <w:r>
        <w:rPr>
          <w:rFonts w:hint="eastAsia" w:ascii="宋体" w:hAnsi="宋体"/>
          <w:b w:val="0"/>
          <w:bCs w:val="0"/>
          <w:iCs/>
          <w:color w:val="auto"/>
          <w:sz w:val="24"/>
          <w:szCs w:val="24"/>
          <w:highlight w:val="none"/>
        </w:rPr>
        <w:t>周边片区“城市管家”一体化作业，分包2：东北部片区“城市管家”一体化作业，分包3：东南部片区（含翟庄路）“城市管家”一体化作业，分包4：</w:t>
      </w:r>
      <w:r>
        <w:rPr>
          <w:rFonts w:hint="eastAsia" w:ascii="宋体" w:hAnsi="宋体"/>
          <w:b w:val="0"/>
          <w:bCs w:val="0"/>
          <w:iCs/>
          <w:color w:val="auto"/>
          <w:sz w:val="24"/>
          <w:szCs w:val="24"/>
          <w:highlight w:val="none"/>
          <w:lang w:val="en-US" w:eastAsia="zh-CN"/>
        </w:rPr>
        <w:t>镇区</w:t>
      </w:r>
      <w:r>
        <w:rPr>
          <w:rFonts w:hint="eastAsia" w:ascii="宋体" w:hAnsi="宋体"/>
          <w:b w:val="0"/>
          <w:bCs w:val="0"/>
          <w:iCs/>
          <w:color w:val="auto"/>
          <w:sz w:val="24"/>
          <w:szCs w:val="24"/>
          <w:highlight w:val="none"/>
          <w:shd w:val="clear"/>
          <w:lang w:val="en-US" w:eastAsia="zh-CN"/>
        </w:rPr>
        <w:t>（北至328国道、南至G40、东至金湾路、西至廖家沟路）生活</w:t>
      </w:r>
      <w:r>
        <w:rPr>
          <w:rFonts w:hint="eastAsia" w:ascii="宋体" w:hAnsi="宋体"/>
          <w:b w:val="0"/>
          <w:bCs w:val="0"/>
          <w:iCs/>
          <w:color w:val="auto"/>
          <w:sz w:val="24"/>
          <w:szCs w:val="24"/>
          <w:highlight w:val="none"/>
          <w:shd w:val="clear"/>
        </w:rPr>
        <w:t>垃圾</w:t>
      </w:r>
      <w:r>
        <w:rPr>
          <w:rFonts w:hint="eastAsia" w:ascii="宋体" w:hAnsi="宋体"/>
          <w:b w:val="0"/>
          <w:bCs w:val="0"/>
          <w:iCs/>
          <w:color w:val="auto"/>
          <w:sz w:val="24"/>
          <w:szCs w:val="24"/>
          <w:highlight w:val="none"/>
          <w:shd w:val="clear"/>
          <w:lang w:eastAsia="zh-CN"/>
        </w:rPr>
        <w:t>（</w:t>
      </w:r>
      <w:r>
        <w:rPr>
          <w:rFonts w:hint="eastAsia" w:ascii="宋体" w:hAnsi="宋体"/>
          <w:b w:val="0"/>
          <w:bCs w:val="0"/>
          <w:iCs/>
          <w:color w:val="auto"/>
          <w:sz w:val="24"/>
          <w:szCs w:val="24"/>
          <w:highlight w:val="none"/>
          <w:shd w:val="clear"/>
          <w:lang w:val="en-US" w:eastAsia="zh-CN"/>
        </w:rPr>
        <w:t>含一般工业固废）收</w:t>
      </w:r>
      <w:r>
        <w:rPr>
          <w:rFonts w:hint="eastAsia" w:ascii="宋体" w:hAnsi="宋体"/>
          <w:b w:val="0"/>
          <w:bCs w:val="0"/>
          <w:iCs/>
          <w:color w:val="auto"/>
          <w:sz w:val="24"/>
          <w:szCs w:val="24"/>
          <w:highlight w:val="none"/>
          <w:shd w:val="clear"/>
        </w:rPr>
        <w:t>运及公厕保洁作业。</w:t>
      </w:r>
    </w:p>
    <w:p w14:paraId="3FDA57B4">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ascii="宋体" w:hAnsi="宋体"/>
          <w:bCs/>
          <w:iCs/>
          <w:color w:val="auto"/>
          <w:sz w:val="24"/>
          <w:szCs w:val="24"/>
          <w:highlight w:val="none"/>
        </w:rPr>
      </w:pPr>
      <w:r>
        <w:rPr>
          <w:rFonts w:hint="eastAsia" w:ascii="宋体" w:hAnsi="宋体"/>
          <w:bCs/>
          <w:iCs/>
          <w:color w:val="auto"/>
          <w:sz w:val="24"/>
          <w:szCs w:val="24"/>
          <w:highlight w:val="none"/>
        </w:rPr>
        <w:t>（二）作业内容</w:t>
      </w:r>
    </w:p>
    <w:p w14:paraId="16016D83">
      <w:pPr>
        <w:keepNext w:val="0"/>
        <w:keepLines w:val="0"/>
        <w:pageBreakBefore w:val="0"/>
        <w:widowControl w:val="0"/>
        <w:shd w:val="clear"/>
        <w:kinsoku/>
        <w:wordWrap/>
        <w:overflowPunct/>
        <w:topLinePunct w:val="0"/>
        <w:autoSpaceDE/>
        <w:autoSpaceDN/>
        <w:bidi w:val="0"/>
        <w:adjustRightInd/>
        <w:snapToGrid/>
        <w:spacing w:line="440" w:lineRule="exact"/>
        <w:ind w:firstLine="482"/>
        <w:textAlignment w:val="auto"/>
        <w:rPr>
          <w:rFonts w:hint="eastAsia" w:ascii="宋体" w:hAnsi="宋体"/>
          <w:b/>
          <w:bCs/>
          <w:iCs/>
          <w:color w:val="auto"/>
          <w:sz w:val="24"/>
          <w:szCs w:val="24"/>
          <w:highlight w:val="none"/>
        </w:rPr>
      </w:pPr>
      <w:r>
        <w:rPr>
          <w:rFonts w:hint="eastAsia" w:ascii="宋体" w:hAnsi="宋体"/>
          <w:b/>
          <w:bCs/>
          <w:iCs/>
          <w:color w:val="auto"/>
          <w:sz w:val="24"/>
          <w:szCs w:val="24"/>
          <w:highlight w:val="none"/>
        </w:rPr>
        <w:t>分包1：</w:t>
      </w:r>
      <w:r>
        <w:rPr>
          <w:rFonts w:hint="eastAsia" w:ascii="宋体" w:hAnsi="宋体"/>
          <w:b/>
          <w:bCs/>
          <w:iCs/>
          <w:color w:val="auto"/>
          <w:sz w:val="24"/>
          <w:szCs w:val="24"/>
          <w:highlight w:val="none"/>
          <w:lang w:eastAsia="zh-CN"/>
        </w:rPr>
        <w:t>重点区域</w:t>
      </w:r>
      <w:r>
        <w:rPr>
          <w:rFonts w:hint="eastAsia" w:ascii="宋体" w:hAnsi="宋体"/>
          <w:b/>
          <w:bCs/>
          <w:iCs/>
          <w:color w:val="auto"/>
          <w:sz w:val="24"/>
          <w:szCs w:val="24"/>
          <w:highlight w:val="none"/>
        </w:rPr>
        <w:t>周边片区“城市管家”一体化作业</w:t>
      </w:r>
    </w:p>
    <w:p w14:paraId="34B2A5C8">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eastAsia" w:ascii="宋体" w:hAnsi="宋体"/>
          <w:bCs/>
          <w:iCs/>
          <w:color w:val="auto"/>
          <w:sz w:val="24"/>
          <w:szCs w:val="24"/>
          <w:highlight w:val="none"/>
          <w:shd w:val="clear"/>
          <w:lang w:eastAsia="zh-CN"/>
        </w:rPr>
      </w:pPr>
      <w:r>
        <w:rPr>
          <w:rFonts w:hint="eastAsia" w:ascii="宋体" w:hAnsi="宋体"/>
          <w:b/>
          <w:bCs w:val="0"/>
          <w:iCs/>
          <w:color w:val="auto"/>
          <w:sz w:val="24"/>
          <w:szCs w:val="24"/>
          <w:highlight w:val="none"/>
          <w:lang w:eastAsia="zh-CN"/>
        </w:rPr>
        <w:t>（</w:t>
      </w:r>
      <w:r>
        <w:rPr>
          <w:rFonts w:hint="eastAsia" w:ascii="宋体" w:hAnsi="宋体"/>
          <w:b/>
          <w:bCs w:val="0"/>
          <w:iCs/>
          <w:color w:val="auto"/>
          <w:sz w:val="24"/>
          <w:szCs w:val="24"/>
          <w:highlight w:val="none"/>
          <w:lang w:val="en-US" w:eastAsia="zh-CN"/>
        </w:rPr>
        <w:t>1</w:t>
      </w:r>
      <w:r>
        <w:rPr>
          <w:rFonts w:hint="eastAsia" w:ascii="宋体" w:hAnsi="宋体"/>
          <w:b/>
          <w:bCs w:val="0"/>
          <w:iCs/>
          <w:color w:val="auto"/>
          <w:sz w:val="24"/>
          <w:szCs w:val="24"/>
          <w:highlight w:val="none"/>
          <w:lang w:eastAsia="zh-CN"/>
        </w:rPr>
        <w:t>）</w:t>
      </w:r>
      <w:r>
        <w:rPr>
          <w:rFonts w:hint="eastAsia" w:ascii="宋体" w:hAnsi="宋体"/>
          <w:b/>
          <w:bCs w:val="0"/>
          <w:iCs/>
          <w:color w:val="auto"/>
          <w:sz w:val="24"/>
          <w:szCs w:val="24"/>
          <w:highlight w:val="none"/>
          <w:lang w:val="en-US" w:eastAsia="zh-CN"/>
        </w:rPr>
        <w:t>道路保洁及绿化养护</w:t>
      </w:r>
      <w:r>
        <w:rPr>
          <w:rFonts w:hint="eastAsia" w:ascii="宋体" w:hAnsi="宋体"/>
          <w:bCs/>
          <w:iCs/>
          <w:color w:val="auto"/>
          <w:sz w:val="24"/>
          <w:szCs w:val="24"/>
          <w:highlight w:val="none"/>
          <w:lang w:val="en-US" w:eastAsia="zh-CN"/>
        </w:rPr>
        <w:t>：</w:t>
      </w:r>
      <w:r>
        <w:rPr>
          <w:rFonts w:hint="eastAsia" w:ascii="宋体" w:hAnsi="宋体"/>
          <w:bCs/>
          <w:iCs/>
          <w:color w:val="auto"/>
          <w:sz w:val="24"/>
          <w:szCs w:val="24"/>
          <w:highlight w:val="none"/>
          <w:lang w:eastAsia="zh-CN"/>
        </w:rPr>
        <w:t>重点区域</w:t>
      </w:r>
      <w:r>
        <w:rPr>
          <w:rFonts w:hint="eastAsia" w:ascii="宋体" w:hAnsi="宋体"/>
          <w:bCs/>
          <w:iCs/>
          <w:color w:val="auto"/>
          <w:sz w:val="24"/>
          <w:szCs w:val="24"/>
          <w:highlight w:val="none"/>
        </w:rPr>
        <w:t>周边片区内主次干</w:t>
      </w:r>
      <w:r>
        <w:rPr>
          <w:rFonts w:hint="eastAsia" w:ascii="宋体" w:hAnsi="宋体"/>
          <w:bCs/>
          <w:iCs/>
          <w:color w:val="auto"/>
          <w:sz w:val="24"/>
          <w:szCs w:val="24"/>
          <w:highlight w:val="none"/>
          <w:shd w:val="clear"/>
        </w:rPr>
        <w:t>道清扫保洁</w:t>
      </w:r>
      <w:r>
        <w:rPr>
          <w:rFonts w:hint="eastAsia" w:ascii="宋体" w:hAnsi="宋体"/>
          <w:color w:val="auto"/>
          <w:sz w:val="24"/>
          <w:szCs w:val="24"/>
          <w:highlight w:val="none"/>
          <w:shd w:val="clear"/>
        </w:rPr>
        <w:t>（含深度保洁</w:t>
      </w:r>
      <w:r>
        <w:rPr>
          <w:rFonts w:hint="eastAsia" w:ascii="宋体" w:hAnsi="宋体"/>
          <w:color w:val="auto"/>
          <w:sz w:val="24"/>
          <w:szCs w:val="24"/>
          <w:highlight w:val="none"/>
          <w:shd w:val="clear"/>
          <w:lang w:eastAsia="zh-CN"/>
        </w:rPr>
        <w:t>、</w:t>
      </w:r>
      <w:r>
        <w:rPr>
          <w:rFonts w:hint="eastAsia" w:ascii="宋体" w:hAnsi="宋体"/>
          <w:color w:val="auto"/>
          <w:sz w:val="24"/>
          <w:szCs w:val="24"/>
          <w:highlight w:val="none"/>
          <w:shd w:val="clear"/>
          <w:lang w:val="en-US" w:eastAsia="zh-CN"/>
        </w:rPr>
        <w:t>重点区域降尘作业</w:t>
      </w:r>
      <w:r>
        <w:rPr>
          <w:rFonts w:hint="eastAsia" w:ascii="宋体" w:hAnsi="宋体"/>
          <w:color w:val="auto"/>
          <w:sz w:val="24"/>
          <w:szCs w:val="24"/>
          <w:highlight w:val="none"/>
          <w:shd w:val="clear"/>
        </w:rPr>
        <w:t>）</w:t>
      </w:r>
      <w:r>
        <w:rPr>
          <w:rFonts w:hint="eastAsia" w:ascii="宋体" w:hAnsi="宋体"/>
          <w:bCs/>
          <w:iCs/>
          <w:color w:val="auto"/>
          <w:sz w:val="24"/>
          <w:szCs w:val="24"/>
          <w:highlight w:val="none"/>
          <w:shd w:val="clear"/>
        </w:rPr>
        <w:t>及随路绿化养护、交通护栏等公共设施保洁等服务项目</w:t>
      </w:r>
      <w:r>
        <w:rPr>
          <w:rFonts w:hint="eastAsia" w:ascii="宋体" w:hAnsi="宋体"/>
          <w:bCs/>
          <w:iCs/>
          <w:color w:val="auto"/>
          <w:sz w:val="24"/>
          <w:szCs w:val="24"/>
          <w:highlight w:val="none"/>
          <w:shd w:val="clear"/>
          <w:lang w:eastAsia="zh-CN"/>
        </w:rPr>
        <w:t>；</w:t>
      </w:r>
    </w:p>
    <w:p w14:paraId="6717996F">
      <w:pPr>
        <w:shd w:val="clear"/>
        <w:spacing w:line="360" w:lineRule="auto"/>
        <w:jc w:val="center"/>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重点区域</w:t>
      </w:r>
      <w:r>
        <w:rPr>
          <w:rFonts w:hint="eastAsia" w:ascii="宋体" w:hAnsi="宋体"/>
          <w:b/>
          <w:color w:val="auto"/>
          <w:sz w:val="24"/>
          <w:szCs w:val="24"/>
          <w:highlight w:val="none"/>
        </w:rPr>
        <w:t>周边片区“城市管家”一体化作业划分明细表</w:t>
      </w:r>
    </w:p>
    <w:tbl>
      <w:tblPr>
        <w:tblStyle w:val="28"/>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848"/>
        <w:gridCol w:w="1313"/>
        <w:gridCol w:w="1180"/>
        <w:gridCol w:w="1020"/>
        <w:gridCol w:w="1370"/>
        <w:gridCol w:w="830"/>
        <w:gridCol w:w="1490"/>
        <w:gridCol w:w="680"/>
      </w:tblGrid>
      <w:tr w14:paraId="7F59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blHeader/>
        </w:trPr>
        <w:tc>
          <w:tcPr>
            <w:tcW w:w="286" w:type="pct"/>
            <w:tcBorders>
              <w:tl2br w:val="nil"/>
              <w:tr2bl w:val="nil"/>
            </w:tcBorders>
            <w:shd w:val="clear" w:color="auto" w:fill="auto"/>
            <w:noWrap/>
            <w:vAlign w:val="center"/>
          </w:tcPr>
          <w:p w14:paraId="35B27CEE">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序号</w:t>
            </w:r>
          </w:p>
        </w:tc>
        <w:tc>
          <w:tcPr>
            <w:tcW w:w="457" w:type="pct"/>
            <w:tcBorders>
              <w:tl2br w:val="nil"/>
              <w:tr2bl w:val="nil"/>
            </w:tcBorders>
            <w:shd w:val="clear" w:color="auto" w:fill="auto"/>
            <w:noWrap/>
            <w:vAlign w:val="center"/>
          </w:tcPr>
          <w:p w14:paraId="2D99C66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作业</w:t>
            </w:r>
          </w:p>
          <w:p w14:paraId="13D4957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路段</w:t>
            </w:r>
          </w:p>
        </w:tc>
        <w:tc>
          <w:tcPr>
            <w:tcW w:w="708" w:type="pct"/>
            <w:tcBorders>
              <w:tl2br w:val="nil"/>
              <w:tr2bl w:val="nil"/>
            </w:tcBorders>
            <w:shd w:val="clear" w:color="auto" w:fill="auto"/>
            <w:noWrap/>
            <w:vAlign w:val="center"/>
          </w:tcPr>
          <w:p w14:paraId="519F2157">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起讫地点</w:t>
            </w:r>
          </w:p>
        </w:tc>
        <w:tc>
          <w:tcPr>
            <w:tcW w:w="637" w:type="pct"/>
            <w:tcBorders>
              <w:tl2br w:val="nil"/>
              <w:tr2bl w:val="nil"/>
            </w:tcBorders>
            <w:shd w:val="clear" w:color="auto" w:fill="auto"/>
            <w:noWrap/>
            <w:vAlign w:val="center"/>
          </w:tcPr>
          <w:p w14:paraId="43E4100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作业</w:t>
            </w:r>
          </w:p>
          <w:p w14:paraId="3FD8E75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频次</w:t>
            </w:r>
          </w:p>
        </w:tc>
        <w:tc>
          <w:tcPr>
            <w:tcW w:w="550" w:type="pct"/>
            <w:tcBorders>
              <w:tl2br w:val="nil"/>
              <w:tr2bl w:val="nil"/>
            </w:tcBorders>
            <w:vAlign w:val="center"/>
          </w:tcPr>
          <w:p w14:paraId="04ADDF5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保洁</w:t>
            </w:r>
          </w:p>
          <w:p w14:paraId="59B81E8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等级</w:t>
            </w:r>
          </w:p>
        </w:tc>
        <w:tc>
          <w:tcPr>
            <w:tcW w:w="739" w:type="pct"/>
            <w:tcBorders>
              <w:tl2br w:val="nil"/>
              <w:tr2bl w:val="nil"/>
            </w:tcBorders>
            <w:vAlign w:val="center"/>
          </w:tcPr>
          <w:p w14:paraId="3A205E0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保洁</w:t>
            </w:r>
            <w:r>
              <w:rPr>
                <w:rFonts w:hint="default" w:ascii="宋体" w:hAnsi="宋体" w:cs="宋体"/>
                <w:color w:val="auto"/>
                <w:kern w:val="2"/>
                <w:sz w:val="24"/>
                <w:szCs w:val="24"/>
                <w:highlight w:val="none"/>
              </w:rPr>
              <w:t>面积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eastAsia="zh-CN"/>
              </w:rPr>
              <w:t>）</w:t>
            </w:r>
          </w:p>
        </w:tc>
        <w:tc>
          <w:tcPr>
            <w:tcW w:w="448" w:type="pct"/>
            <w:tcBorders>
              <w:tl2br w:val="nil"/>
              <w:tr2bl w:val="nil"/>
            </w:tcBorders>
            <w:shd w:val="clear" w:color="auto" w:fill="auto"/>
            <w:vAlign w:val="center"/>
          </w:tcPr>
          <w:p w14:paraId="7AC2251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养护</w:t>
            </w:r>
            <w:r>
              <w:rPr>
                <w:rFonts w:hint="default" w:ascii="宋体" w:hAnsi="宋体" w:cs="宋体"/>
                <w:color w:val="auto"/>
                <w:kern w:val="2"/>
                <w:sz w:val="24"/>
                <w:szCs w:val="24"/>
                <w:highlight w:val="none"/>
              </w:rPr>
              <w:t>等级</w:t>
            </w:r>
          </w:p>
        </w:tc>
        <w:tc>
          <w:tcPr>
            <w:tcW w:w="804" w:type="pct"/>
            <w:tcBorders>
              <w:tl2br w:val="nil"/>
              <w:tr2bl w:val="nil"/>
            </w:tcBorders>
            <w:shd w:val="clear" w:color="auto" w:fill="auto"/>
            <w:vAlign w:val="center"/>
          </w:tcPr>
          <w:p w14:paraId="60C9B759">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绿化带</w:t>
            </w:r>
            <w:r>
              <w:rPr>
                <w:rFonts w:hint="default" w:ascii="宋体" w:hAnsi="宋体" w:cs="宋体"/>
                <w:color w:val="auto"/>
                <w:kern w:val="2"/>
                <w:sz w:val="24"/>
                <w:szCs w:val="24"/>
                <w:highlight w:val="none"/>
              </w:rPr>
              <w:t>面积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eastAsia="zh-CN"/>
              </w:rPr>
              <w:t>）</w:t>
            </w:r>
          </w:p>
        </w:tc>
        <w:tc>
          <w:tcPr>
            <w:tcW w:w="367" w:type="pct"/>
            <w:tcBorders>
              <w:tl2br w:val="nil"/>
              <w:tr2bl w:val="nil"/>
            </w:tcBorders>
            <w:vAlign w:val="center"/>
          </w:tcPr>
          <w:p w14:paraId="0BD9F2E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6F89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4A29027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w:t>
            </w:r>
          </w:p>
        </w:tc>
        <w:tc>
          <w:tcPr>
            <w:tcW w:w="457" w:type="pct"/>
            <w:tcBorders>
              <w:tl2br w:val="nil"/>
              <w:tr2bl w:val="nil"/>
            </w:tcBorders>
            <w:shd w:val="clear" w:color="auto" w:fill="auto"/>
            <w:noWrap/>
            <w:vAlign w:val="center"/>
          </w:tcPr>
          <w:p w14:paraId="3BAEA37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兴隆路</w:t>
            </w:r>
          </w:p>
        </w:tc>
        <w:tc>
          <w:tcPr>
            <w:tcW w:w="708" w:type="pct"/>
            <w:tcBorders>
              <w:tl2br w:val="nil"/>
              <w:tr2bl w:val="nil"/>
            </w:tcBorders>
            <w:shd w:val="clear" w:color="auto" w:fill="auto"/>
            <w:noWrap/>
            <w:vAlign w:val="center"/>
          </w:tcPr>
          <w:p w14:paraId="15CB4F2D">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曙光路—廖家沟路</w:t>
            </w:r>
          </w:p>
        </w:tc>
        <w:tc>
          <w:tcPr>
            <w:tcW w:w="637" w:type="pct"/>
            <w:vMerge w:val="restart"/>
            <w:tcBorders>
              <w:tl2br w:val="nil"/>
              <w:tr2bl w:val="nil"/>
            </w:tcBorders>
            <w:shd w:val="clear" w:color="auto" w:fill="auto"/>
            <w:noWrap/>
            <w:vAlign w:val="center"/>
          </w:tcPr>
          <w:p w14:paraId="1609026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（1）每日“2洗扫2冲水2清理”</w:t>
            </w:r>
          </w:p>
          <w:p w14:paraId="4FC16E64">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（2）每周1次路面深度清洗</w:t>
            </w:r>
          </w:p>
        </w:tc>
        <w:tc>
          <w:tcPr>
            <w:tcW w:w="550" w:type="pct"/>
            <w:tcBorders>
              <w:tl2br w:val="nil"/>
              <w:tr2bl w:val="nil"/>
            </w:tcBorders>
            <w:vAlign w:val="center"/>
          </w:tcPr>
          <w:p w14:paraId="4A8A057E">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05C7A6A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15012.69 </w:t>
            </w:r>
          </w:p>
        </w:tc>
        <w:tc>
          <w:tcPr>
            <w:tcW w:w="448" w:type="pct"/>
            <w:tcBorders>
              <w:tl2br w:val="nil"/>
              <w:tr2bl w:val="nil"/>
            </w:tcBorders>
            <w:shd w:val="clear" w:color="auto" w:fill="auto"/>
            <w:noWrap/>
            <w:vAlign w:val="center"/>
          </w:tcPr>
          <w:p w14:paraId="02D1557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二</w:t>
            </w:r>
            <w:r>
              <w:rPr>
                <w:rFonts w:hint="default" w:ascii="宋体" w:hAnsi="宋体" w:cs="宋体"/>
                <w:color w:val="auto"/>
                <w:kern w:val="2"/>
                <w:sz w:val="24"/>
                <w:szCs w:val="24"/>
                <w:highlight w:val="none"/>
              </w:rPr>
              <w:t>级</w:t>
            </w:r>
          </w:p>
        </w:tc>
        <w:tc>
          <w:tcPr>
            <w:tcW w:w="804" w:type="pct"/>
            <w:tcBorders>
              <w:tl2br w:val="nil"/>
              <w:tr2bl w:val="nil"/>
            </w:tcBorders>
            <w:shd w:val="clear" w:color="auto" w:fill="auto"/>
            <w:noWrap/>
            <w:vAlign w:val="center"/>
          </w:tcPr>
          <w:p w14:paraId="698C186C">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1752.72 </w:t>
            </w:r>
          </w:p>
        </w:tc>
        <w:tc>
          <w:tcPr>
            <w:tcW w:w="367" w:type="pct"/>
            <w:tcBorders>
              <w:tl2br w:val="nil"/>
              <w:tr2bl w:val="nil"/>
            </w:tcBorders>
            <w:vAlign w:val="center"/>
          </w:tcPr>
          <w:p w14:paraId="221E909C">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5424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25B79D6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2</w:t>
            </w:r>
          </w:p>
        </w:tc>
        <w:tc>
          <w:tcPr>
            <w:tcW w:w="457" w:type="pct"/>
            <w:tcBorders>
              <w:tl2br w:val="nil"/>
              <w:tr2bl w:val="nil"/>
            </w:tcBorders>
            <w:shd w:val="clear" w:color="auto" w:fill="auto"/>
            <w:noWrap/>
            <w:vAlign w:val="center"/>
          </w:tcPr>
          <w:p w14:paraId="5CCBB77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伟业路</w:t>
            </w:r>
          </w:p>
        </w:tc>
        <w:tc>
          <w:tcPr>
            <w:tcW w:w="708" w:type="pct"/>
            <w:tcBorders>
              <w:tl2br w:val="nil"/>
              <w:tr2bl w:val="nil"/>
            </w:tcBorders>
            <w:shd w:val="clear" w:color="auto" w:fill="auto"/>
            <w:noWrap/>
            <w:vAlign w:val="center"/>
          </w:tcPr>
          <w:p w14:paraId="1B25EF7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G328—G40</w:t>
            </w:r>
          </w:p>
        </w:tc>
        <w:tc>
          <w:tcPr>
            <w:tcW w:w="637" w:type="pct"/>
            <w:vMerge w:val="continue"/>
            <w:tcBorders>
              <w:tl2br w:val="nil"/>
              <w:tr2bl w:val="nil"/>
            </w:tcBorders>
            <w:shd w:val="clear" w:color="auto" w:fill="auto"/>
            <w:noWrap/>
            <w:vAlign w:val="center"/>
          </w:tcPr>
          <w:p w14:paraId="094127B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1A9D4F3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34603A4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93597.00 </w:t>
            </w:r>
          </w:p>
        </w:tc>
        <w:tc>
          <w:tcPr>
            <w:tcW w:w="448" w:type="pct"/>
            <w:tcBorders>
              <w:tl2br w:val="nil"/>
              <w:tr2bl w:val="nil"/>
            </w:tcBorders>
            <w:shd w:val="clear" w:color="auto" w:fill="auto"/>
            <w:noWrap/>
            <w:vAlign w:val="center"/>
          </w:tcPr>
          <w:p w14:paraId="02995ED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二</w:t>
            </w:r>
            <w:r>
              <w:rPr>
                <w:rFonts w:hint="default" w:ascii="宋体" w:hAnsi="宋体" w:cs="宋体"/>
                <w:color w:val="auto"/>
                <w:kern w:val="2"/>
                <w:sz w:val="24"/>
                <w:szCs w:val="24"/>
                <w:highlight w:val="none"/>
              </w:rPr>
              <w:t>级</w:t>
            </w:r>
          </w:p>
        </w:tc>
        <w:tc>
          <w:tcPr>
            <w:tcW w:w="804" w:type="pct"/>
            <w:tcBorders>
              <w:tl2br w:val="nil"/>
              <w:tr2bl w:val="nil"/>
            </w:tcBorders>
            <w:shd w:val="clear" w:color="auto" w:fill="auto"/>
            <w:noWrap/>
            <w:vAlign w:val="center"/>
          </w:tcPr>
          <w:p w14:paraId="2F97DC6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14684.00 </w:t>
            </w:r>
          </w:p>
        </w:tc>
        <w:tc>
          <w:tcPr>
            <w:tcW w:w="367" w:type="pct"/>
            <w:tcBorders>
              <w:tl2br w:val="nil"/>
              <w:tr2bl w:val="nil"/>
            </w:tcBorders>
            <w:vAlign w:val="center"/>
          </w:tcPr>
          <w:p w14:paraId="411472B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含路口面积</w:t>
            </w:r>
          </w:p>
        </w:tc>
      </w:tr>
      <w:tr w14:paraId="57D4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0E8917B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3</w:t>
            </w:r>
          </w:p>
        </w:tc>
        <w:tc>
          <w:tcPr>
            <w:tcW w:w="457" w:type="pct"/>
            <w:tcBorders>
              <w:tl2br w:val="nil"/>
              <w:tr2bl w:val="nil"/>
            </w:tcBorders>
            <w:shd w:val="clear" w:color="auto" w:fill="auto"/>
            <w:noWrap/>
            <w:vAlign w:val="center"/>
          </w:tcPr>
          <w:p w14:paraId="7360B4B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廖家沟路</w:t>
            </w:r>
          </w:p>
        </w:tc>
        <w:tc>
          <w:tcPr>
            <w:tcW w:w="708" w:type="pct"/>
            <w:tcBorders>
              <w:tl2br w:val="nil"/>
              <w:tr2bl w:val="nil"/>
            </w:tcBorders>
            <w:shd w:val="clear" w:color="auto" w:fill="auto"/>
            <w:noWrap/>
            <w:vAlign w:val="center"/>
          </w:tcPr>
          <w:p w14:paraId="4134A42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兴隆路—利民路</w:t>
            </w:r>
          </w:p>
        </w:tc>
        <w:tc>
          <w:tcPr>
            <w:tcW w:w="637" w:type="pct"/>
            <w:vMerge w:val="continue"/>
            <w:tcBorders>
              <w:tl2br w:val="nil"/>
              <w:tr2bl w:val="nil"/>
            </w:tcBorders>
            <w:shd w:val="clear" w:color="auto" w:fill="auto"/>
            <w:noWrap/>
            <w:vAlign w:val="center"/>
          </w:tcPr>
          <w:p w14:paraId="324B3A8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5BDC20F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5C24046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21100.29 </w:t>
            </w:r>
          </w:p>
        </w:tc>
        <w:tc>
          <w:tcPr>
            <w:tcW w:w="448" w:type="pct"/>
            <w:tcBorders>
              <w:tl2br w:val="nil"/>
              <w:tr2bl w:val="nil"/>
            </w:tcBorders>
            <w:shd w:val="clear" w:color="auto" w:fill="auto"/>
            <w:noWrap/>
            <w:vAlign w:val="center"/>
          </w:tcPr>
          <w:p w14:paraId="3B72B56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二</w:t>
            </w:r>
            <w:r>
              <w:rPr>
                <w:rFonts w:hint="default" w:ascii="宋体" w:hAnsi="宋体" w:cs="宋体"/>
                <w:color w:val="auto"/>
                <w:kern w:val="2"/>
                <w:sz w:val="24"/>
                <w:szCs w:val="24"/>
                <w:highlight w:val="none"/>
              </w:rPr>
              <w:t>级</w:t>
            </w:r>
          </w:p>
        </w:tc>
        <w:tc>
          <w:tcPr>
            <w:tcW w:w="804" w:type="pct"/>
            <w:tcBorders>
              <w:tl2br w:val="nil"/>
              <w:tr2bl w:val="nil"/>
            </w:tcBorders>
            <w:shd w:val="clear" w:color="auto" w:fill="auto"/>
            <w:noWrap/>
            <w:vAlign w:val="center"/>
          </w:tcPr>
          <w:p w14:paraId="1E49496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3307.00 </w:t>
            </w:r>
          </w:p>
        </w:tc>
        <w:tc>
          <w:tcPr>
            <w:tcW w:w="367" w:type="pct"/>
            <w:tcBorders>
              <w:tl2br w:val="nil"/>
              <w:tr2bl w:val="nil"/>
            </w:tcBorders>
            <w:vAlign w:val="center"/>
          </w:tcPr>
          <w:p w14:paraId="310B953F">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含路口面积</w:t>
            </w:r>
          </w:p>
        </w:tc>
      </w:tr>
      <w:tr w14:paraId="049C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39DDF67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4</w:t>
            </w:r>
          </w:p>
        </w:tc>
        <w:tc>
          <w:tcPr>
            <w:tcW w:w="457" w:type="pct"/>
            <w:tcBorders>
              <w:tl2br w:val="nil"/>
              <w:tr2bl w:val="nil"/>
            </w:tcBorders>
            <w:shd w:val="clear" w:color="auto" w:fill="auto"/>
            <w:noWrap/>
            <w:vAlign w:val="center"/>
          </w:tcPr>
          <w:p w14:paraId="6E0AD22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锦园路</w:t>
            </w:r>
          </w:p>
        </w:tc>
        <w:tc>
          <w:tcPr>
            <w:tcW w:w="708" w:type="pct"/>
            <w:tcBorders>
              <w:tl2br w:val="nil"/>
              <w:tr2bl w:val="nil"/>
            </w:tcBorders>
            <w:shd w:val="clear" w:color="auto" w:fill="auto"/>
            <w:noWrap/>
            <w:vAlign w:val="center"/>
          </w:tcPr>
          <w:p w14:paraId="5D838C2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伟业路—廖家沟路</w:t>
            </w:r>
          </w:p>
        </w:tc>
        <w:tc>
          <w:tcPr>
            <w:tcW w:w="637" w:type="pct"/>
            <w:vMerge w:val="continue"/>
            <w:tcBorders>
              <w:tl2br w:val="nil"/>
              <w:tr2bl w:val="nil"/>
            </w:tcBorders>
            <w:shd w:val="clear" w:color="auto" w:fill="auto"/>
            <w:noWrap/>
            <w:vAlign w:val="center"/>
          </w:tcPr>
          <w:p w14:paraId="05D7AC6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553407D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38FA704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5997.84 </w:t>
            </w:r>
          </w:p>
        </w:tc>
        <w:tc>
          <w:tcPr>
            <w:tcW w:w="448" w:type="pct"/>
            <w:tcBorders>
              <w:tl2br w:val="nil"/>
              <w:tr2bl w:val="nil"/>
            </w:tcBorders>
            <w:shd w:val="clear" w:color="auto" w:fill="auto"/>
            <w:noWrap/>
            <w:vAlign w:val="center"/>
          </w:tcPr>
          <w:p w14:paraId="759CB26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二级</w:t>
            </w:r>
          </w:p>
        </w:tc>
        <w:tc>
          <w:tcPr>
            <w:tcW w:w="804" w:type="pct"/>
            <w:tcBorders>
              <w:tl2br w:val="nil"/>
              <w:tr2bl w:val="nil"/>
            </w:tcBorders>
            <w:shd w:val="clear" w:color="auto" w:fill="auto"/>
            <w:noWrap/>
            <w:vAlign w:val="center"/>
          </w:tcPr>
          <w:p w14:paraId="5D4A426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1366.25 </w:t>
            </w:r>
          </w:p>
        </w:tc>
        <w:tc>
          <w:tcPr>
            <w:tcW w:w="367" w:type="pct"/>
            <w:tcBorders>
              <w:tl2br w:val="nil"/>
              <w:tr2bl w:val="nil"/>
            </w:tcBorders>
            <w:vAlign w:val="center"/>
          </w:tcPr>
          <w:p w14:paraId="69A199D3">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3EF24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4A6FE13A">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5</w:t>
            </w:r>
          </w:p>
        </w:tc>
        <w:tc>
          <w:tcPr>
            <w:tcW w:w="457" w:type="pct"/>
            <w:tcBorders>
              <w:tl2br w:val="nil"/>
              <w:tr2bl w:val="nil"/>
            </w:tcBorders>
            <w:shd w:val="clear" w:color="auto" w:fill="auto"/>
            <w:noWrap/>
            <w:vAlign w:val="center"/>
          </w:tcPr>
          <w:p w14:paraId="03729A88">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明园路</w:t>
            </w:r>
          </w:p>
        </w:tc>
        <w:tc>
          <w:tcPr>
            <w:tcW w:w="708" w:type="pct"/>
            <w:tcBorders>
              <w:tl2br w:val="nil"/>
              <w:tr2bl w:val="nil"/>
            </w:tcBorders>
            <w:shd w:val="clear" w:color="auto" w:fill="auto"/>
            <w:noWrap/>
            <w:vAlign w:val="center"/>
          </w:tcPr>
          <w:p w14:paraId="2F2958F7">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伟业路—廖家沟路</w:t>
            </w:r>
          </w:p>
        </w:tc>
        <w:tc>
          <w:tcPr>
            <w:tcW w:w="637" w:type="pct"/>
            <w:vMerge w:val="continue"/>
            <w:tcBorders>
              <w:tl2br w:val="nil"/>
              <w:tr2bl w:val="nil"/>
            </w:tcBorders>
            <w:shd w:val="clear" w:color="auto" w:fill="auto"/>
            <w:noWrap/>
            <w:vAlign w:val="center"/>
          </w:tcPr>
          <w:p w14:paraId="70B54ED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57C8179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3FD9631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5439.12 </w:t>
            </w:r>
          </w:p>
        </w:tc>
        <w:tc>
          <w:tcPr>
            <w:tcW w:w="448" w:type="pct"/>
            <w:tcBorders>
              <w:tl2br w:val="nil"/>
              <w:tr2bl w:val="nil"/>
            </w:tcBorders>
            <w:shd w:val="clear" w:color="auto" w:fill="auto"/>
            <w:noWrap/>
            <w:vAlign w:val="center"/>
          </w:tcPr>
          <w:p w14:paraId="370014A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二</w:t>
            </w:r>
            <w:r>
              <w:rPr>
                <w:rFonts w:hint="default" w:ascii="宋体" w:hAnsi="宋体" w:cs="宋体"/>
                <w:color w:val="auto"/>
                <w:kern w:val="2"/>
                <w:sz w:val="24"/>
                <w:szCs w:val="24"/>
                <w:highlight w:val="none"/>
              </w:rPr>
              <w:t>级</w:t>
            </w:r>
          </w:p>
        </w:tc>
        <w:tc>
          <w:tcPr>
            <w:tcW w:w="804" w:type="pct"/>
            <w:tcBorders>
              <w:tl2br w:val="nil"/>
              <w:tr2bl w:val="nil"/>
            </w:tcBorders>
            <w:shd w:val="clear" w:color="auto" w:fill="auto"/>
            <w:noWrap/>
            <w:vAlign w:val="center"/>
          </w:tcPr>
          <w:p w14:paraId="3232FAE6">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890.74 </w:t>
            </w:r>
          </w:p>
        </w:tc>
        <w:tc>
          <w:tcPr>
            <w:tcW w:w="367" w:type="pct"/>
            <w:tcBorders>
              <w:tl2br w:val="nil"/>
              <w:tr2bl w:val="nil"/>
            </w:tcBorders>
            <w:vAlign w:val="center"/>
          </w:tcPr>
          <w:p w14:paraId="59C95C78">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2D1E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2E523AB2">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w:t>
            </w:r>
          </w:p>
        </w:tc>
        <w:tc>
          <w:tcPr>
            <w:tcW w:w="457" w:type="pct"/>
            <w:tcBorders>
              <w:tl2br w:val="nil"/>
              <w:tr2bl w:val="nil"/>
            </w:tcBorders>
            <w:shd w:val="clear" w:color="auto" w:fill="auto"/>
            <w:noWrap/>
            <w:vAlign w:val="center"/>
          </w:tcPr>
          <w:p w14:paraId="2A9494CE">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竹园路</w:t>
            </w:r>
          </w:p>
        </w:tc>
        <w:tc>
          <w:tcPr>
            <w:tcW w:w="708" w:type="pct"/>
            <w:tcBorders>
              <w:tl2br w:val="nil"/>
              <w:tr2bl w:val="nil"/>
            </w:tcBorders>
            <w:shd w:val="clear" w:color="auto" w:fill="auto"/>
            <w:noWrap/>
            <w:vAlign w:val="center"/>
          </w:tcPr>
          <w:p w14:paraId="4B26F4A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河北侧、河南侧</w:t>
            </w:r>
          </w:p>
        </w:tc>
        <w:tc>
          <w:tcPr>
            <w:tcW w:w="637" w:type="pct"/>
            <w:vMerge w:val="continue"/>
            <w:tcBorders>
              <w:tl2br w:val="nil"/>
              <w:tr2bl w:val="nil"/>
            </w:tcBorders>
            <w:shd w:val="clear" w:color="auto" w:fill="auto"/>
            <w:noWrap/>
            <w:vAlign w:val="center"/>
          </w:tcPr>
          <w:p w14:paraId="2B01BB6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4814E39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1F27264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2451.57 </w:t>
            </w:r>
          </w:p>
        </w:tc>
        <w:tc>
          <w:tcPr>
            <w:tcW w:w="448" w:type="pct"/>
            <w:tcBorders>
              <w:tl2br w:val="nil"/>
              <w:tr2bl w:val="nil"/>
            </w:tcBorders>
            <w:shd w:val="clear" w:color="auto" w:fill="auto"/>
            <w:noWrap/>
            <w:vAlign w:val="center"/>
          </w:tcPr>
          <w:p w14:paraId="637E176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二</w:t>
            </w:r>
            <w:r>
              <w:rPr>
                <w:rFonts w:hint="default" w:ascii="宋体" w:hAnsi="宋体" w:cs="宋体"/>
                <w:color w:val="auto"/>
                <w:kern w:val="2"/>
                <w:sz w:val="24"/>
                <w:szCs w:val="24"/>
                <w:highlight w:val="none"/>
              </w:rPr>
              <w:t>级</w:t>
            </w:r>
          </w:p>
        </w:tc>
        <w:tc>
          <w:tcPr>
            <w:tcW w:w="804" w:type="pct"/>
            <w:tcBorders>
              <w:tl2br w:val="nil"/>
              <w:tr2bl w:val="nil"/>
            </w:tcBorders>
            <w:shd w:val="clear" w:color="auto" w:fill="auto"/>
            <w:noWrap/>
            <w:vAlign w:val="center"/>
          </w:tcPr>
          <w:p w14:paraId="40A6ABF4">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1314.44 </w:t>
            </w:r>
          </w:p>
        </w:tc>
        <w:tc>
          <w:tcPr>
            <w:tcW w:w="367" w:type="pct"/>
            <w:tcBorders>
              <w:tl2br w:val="nil"/>
              <w:tr2bl w:val="nil"/>
            </w:tcBorders>
            <w:vAlign w:val="center"/>
          </w:tcPr>
          <w:p w14:paraId="257B9C73">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47E3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04E165DD">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w:t>
            </w:r>
          </w:p>
        </w:tc>
        <w:tc>
          <w:tcPr>
            <w:tcW w:w="457" w:type="pct"/>
            <w:tcBorders>
              <w:tl2br w:val="nil"/>
              <w:tr2bl w:val="nil"/>
            </w:tcBorders>
            <w:shd w:val="clear" w:color="auto" w:fill="auto"/>
            <w:noWrap/>
            <w:vAlign w:val="center"/>
          </w:tcPr>
          <w:p w14:paraId="4AD935D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熙园路</w:t>
            </w:r>
          </w:p>
        </w:tc>
        <w:tc>
          <w:tcPr>
            <w:tcW w:w="708" w:type="pct"/>
            <w:tcBorders>
              <w:tl2br w:val="nil"/>
              <w:tr2bl w:val="nil"/>
            </w:tcBorders>
            <w:shd w:val="clear" w:color="auto" w:fill="auto"/>
            <w:noWrap/>
            <w:vAlign w:val="center"/>
          </w:tcPr>
          <w:p w14:paraId="079758C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伟业路—廖家沟路</w:t>
            </w:r>
          </w:p>
        </w:tc>
        <w:tc>
          <w:tcPr>
            <w:tcW w:w="637" w:type="pct"/>
            <w:vMerge w:val="continue"/>
            <w:tcBorders>
              <w:tl2br w:val="nil"/>
              <w:tr2bl w:val="nil"/>
            </w:tcBorders>
            <w:shd w:val="clear" w:color="auto" w:fill="auto"/>
            <w:noWrap/>
            <w:vAlign w:val="center"/>
          </w:tcPr>
          <w:p w14:paraId="056D781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35180FA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60A4C85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4733.00 </w:t>
            </w:r>
          </w:p>
        </w:tc>
        <w:tc>
          <w:tcPr>
            <w:tcW w:w="448" w:type="pct"/>
            <w:tcBorders>
              <w:tl2br w:val="nil"/>
              <w:tr2bl w:val="nil"/>
            </w:tcBorders>
            <w:shd w:val="clear" w:color="auto" w:fill="auto"/>
            <w:noWrap/>
            <w:vAlign w:val="center"/>
          </w:tcPr>
          <w:p w14:paraId="5593B6E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二级</w:t>
            </w:r>
          </w:p>
        </w:tc>
        <w:tc>
          <w:tcPr>
            <w:tcW w:w="804" w:type="pct"/>
            <w:tcBorders>
              <w:tl2br w:val="nil"/>
              <w:tr2bl w:val="nil"/>
            </w:tcBorders>
            <w:shd w:val="clear" w:color="auto" w:fill="auto"/>
            <w:noWrap/>
            <w:vAlign w:val="center"/>
          </w:tcPr>
          <w:p w14:paraId="7F53AAD7">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2645.00 </w:t>
            </w:r>
          </w:p>
        </w:tc>
        <w:tc>
          <w:tcPr>
            <w:tcW w:w="367" w:type="pct"/>
            <w:tcBorders>
              <w:tl2br w:val="nil"/>
              <w:tr2bl w:val="nil"/>
            </w:tcBorders>
            <w:vAlign w:val="center"/>
          </w:tcPr>
          <w:p w14:paraId="17C4AD76">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2A8A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E9E1F7A">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w:t>
            </w:r>
          </w:p>
        </w:tc>
        <w:tc>
          <w:tcPr>
            <w:tcW w:w="457" w:type="pct"/>
            <w:tcBorders>
              <w:tl2br w:val="nil"/>
              <w:tr2bl w:val="nil"/>
            </w:tcBorders>
            <w:shd w:val="clear" w:color="auto" w:fill="auto"/>
            <w:noWrap/>
            <w:vAlign w:val="center"/>
          </w:tcPr>
          <w:p w14:paraId="55FE177E">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利民路</w:t>
            </w:r>
          </w:p>
        </w:tc>
        <w:tc>
          <w:tcPr>
            <w:tcW w:w="708" w:type="pct"/>
            <w:tcBorders>
              <w:tl2br w:val="nil"/>
              <w:tr2bl w:val="nil"/>
            </w:tcBorders>
            <w:shd w:val="clear" w:color="auto" w:fill="auto"/>
            <w:noWrap/>
            <w:vAlign w:val="center"/>
          </w:tcPr>
          <w:p w14:paraId="0420741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曙光路—庄台（高铁线下）</w:t>
            </w:r>
          </w:p>
        </w:tc>
        <w:tc>
          <w:tcPr>
            <w:tcW w:w="637" w:type="pct"/>
            <w:vMerge w:val="continue"/>
            <w:tcBorders>
              <w:tl2br w:val="nil"/>
              <w:tr2bl w:val="nil"/>
            </w:tcBorders>
            <w:shd w:val="clear" w:color="auto" w:fill="auto"/>
            <w:noWrap/>
            <w:vAlign w:val="center"/>
          </w:tcPr>
          <w:p w14:paraId="5700ABF9">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0" w:type="pct"/>
            <w:tcBorders>
              <w:tl2br w:val="nil"/>
              <w:tr2bl w:val="nil"/>
            </w:tcBorders>
            <w:vAlign w:val="center"/>
          </w:tcPr>
          <w:p w14:paraId="6F692A2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一级</w:t>
            </w:r>
          </w:p>
        </w:tc>
        <w:tc>
          <w:tcPr>
            <w:tcW w:w="739" w:type="pct"/>
            <w:tcBorders>
              <w:tl2br w:val="nil"/>
              <w:tr2bl w:val="nil"/>
            </w:tcBorders>
            <w:vAlign w:val="center"/>
          </w:tcPr>
          <w:p w14:paraId="1E83AC8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24947.00 </w:t>
            </w:r>
          </w:p>
        </w:tc>
        <w:tc>
          <w:tcPr>
            <w:tcW w:w="448" w:type="pct"/>
            <w:tcBorders>
              <w:tl2br w:val="nil"/>
              <w:tr2bl w:val="nil"/>
            </w:tcBorders>
            <w:shd w:val="clear" w:color="auto" w:fill="auto"/>
            <w:noWrap/>
            <w:vAlign w:val="center"/>
          </w:tcPr>
          <w:p w14:paraId="20989BE9">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二</w:t>
            </w:r>
            <w:r>
              <w:rPr>
                <w:rFonts w:hint="default" w:ascii="宋体" w:hAnsi="宋体" w:cs="宋体"/>
                <w:color w:val="auto"/>
                <w:kern w:val="2"/>
                <w:sz w:val="24"/>
                <w:szCs w:val="24"/>
                <w:highlight w:val="none"/>
              </w:rPr>
              <w:t>级</w:t>
            </w:r>
          </w:p>
        </w:tc>
        <w:tc>
          <w:tcPr>
            <w:tcW w:w="804" w:type="pct"/>
            <w:tcBorders>
              <w:tl2br w:val="nil"/>
              <w:tr2bl w:val="nil"/>
            </w:tcBorders>
            <w:shd w:val="clear" w:color="auto" w:fill="auto"/>
            <w:noWrap/>
            <w:vAlign w:val="center"/>
          </w:tcPr>
          <w:p w14:paraId="54C8BBA5">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3092.00 </w:t>
            </w:r>
          </w:p>
        </w:tc>
        <w:tc>
          <w:tcPr>
            <w:tcW w:w="367" w:type="pct"/>
            <w:tcBorders>
              <w:tl2br w:val="nil"/>
              <w:tr2bl w:val="nil"/>
            </w:tcBorders>
            <w:vAlign w:val="center"/>
          </w:tcPr>
          <w:p w14:paraId="2C692A03">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5A76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08A65209">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9</w:t>
            </w:r>
          </w:p>
        </w:tc>
        <w:tc>
          <w:tcPr>
            <w:tcW w:w="1803" w:type="pct"/>
            <w:gridSpan w:val="3"/>
            <w:tcBorders>
              <w:tl2br w:val="nil"/>
              <w:tr2bl w:val="nil"/>
            </w:tcBorders>
            <w:shd w:val="clear" w:color="auto" w:fill="auto"/>
            <w:noWrap/>
            <w:vAlign w:val="center"/>
          </w:tcPr>
          <w:p w14:paraId="23363A93">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小计</w:t>
            </w:r>
          </w:p>
        </w:tc>
        <w:tc>
          <w:tcPr>
            <w:tcW w:w="550" w:type="pct"/>
            <w:tcBorders>
              <w:tl2br w:val="nil"/>
              <w:tr2bl w:val="nil"/>
            </w:tcBorders>
            <w:vAlign w:val="center"/>
          </w:tcPr>
          <w:p w14:paraId="27BDFC28">
            <w:pPr>
              <w:keepNext w:val="0"/>
              <w:keepLines w:val="0"/>
              <w:widowControl/>
              <w:suppressLineNumbers w:val="0"/>
              <w:shd w:val="clear"/>
              <w:spacing w:before="0" w:beforeAutospacing="0" w:after="0" w:afterAutospacing="0"/>
              <w:ind w:left="0" w:right="0"/>
              <w:jc w:val="center"/>
              <w:rPr>
                <w:rFonts w:hint="eastAsia" w:ascii="宋体" w:hAnsi="宋体" w:cs="宋体"/>
                <w:color w:val="auto"/>
                <w:kern w:val="2"/>
                <w:sz w:val="24"/>
                <w:szCs w:val="24"/>
                <w:highlight w:val="none"/>
                <w:lang w:val="en-US" w:eastAsia="zh-CN"/>
              </w:rPr>
            </w:pPr>
          </w:p>
        </w:tc>
        <w:tc>
          <w:tcPr>
            <w:tcW w:w="739" w:type="pct"/>
            <w:tcBorders>
              <w:tl2br w:val="nil"/>
              <w:tr2bl w:val="nil"/>
            </w:tcBorders>
            <w:vAlign w:val="center"/>
          </w:tcPr>
          <w:p w14:paraId="4ADBB36B">
            <w:pPr>
              <w:keepNext w:val="0"/>
              <w:keepLines w:val="0"/>
              <w:widowControl/>
              <w:suppressLineNumbers w:val="0"/>
              <w:shd w:val="clear"/>
              <w:spacing w:before="0" w:beforeAutospacing="0" w:after="0" w:afterAutospacing="0"/>
              <w:ind w:left="0" w:right="0"/>
              <w:jc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173278.51</w:t>
            </w:r>
          </w:p>
        </w:tc>
        <w:tc>
          <w:tcPr>
            <w:tcW w:w="448" w:type="pct"/>
            <w:tcBorders>
              <w:tl2br w:val="nil"/>
              <w:tr2bl w:val="nil"/>
            </w:tcBorders>
            <w:shd w:val="clear" w:color="auto" w:fill="auto"/>
            <w:noWrap/>
            <w:vAlign w:val="center"/>
          </w:tcPr>
          <w:p w14:paraId="04F7375F">
            <w:pPr>
              <w:keepNext w:val="0"/>
              <w:keepLines w:val="0"/>
              <w:widowControl/>
              <w:suppressLineNumbers w:val="0"/>
              <w:shd w:val="clear"/>
              <w:spacing w:before="0" w:beforeAutospacing="0" w:after="0" w:afterAutospacing="0"/>
              <w:ind w:left="0" w:right="0"/>
              <w:jc w:val="center"/>
              <w:rPr>
                <w:rFonts w:hint="eastAsia" w:ascii="宋体" w:hAnsi="宋体" w:cs="宋体"/>
                <w:color w:val="auto"/>
                <w:kern w:val="2"/>
                <w:sz w:val="24"/>
                <w:szCs w:val="24"/>
                <w:highlight w:val="none"/>
              </w:rPr>
            </w:pPr>
          </w:p>
        </w:tc>
        <w:tc>
          <w:tcPr>
            <w:tcW w:w="804" w:type="pct"/>
            <w:tcBorders>
              <w:tl2br w:val="nil"/>
              <w:tr2bl w:val="nil"/>
            </w:tcBorders>
            <w:shd w:val="clear" w:color="auto" w:fill="auto"/>
            <w:noWrap/>
            <w:vAlign w:val="center"/>
          </w:tcPr>
          <w:p w14:paraId="24AFFAA4">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29052.15</w:t>
            </w:r>
          </w:p>
        </w:tc>
        <w:tc>
          <w:tcPr>
            <w:tcW w:w="367" w:type="pct"/>
            <w:tcBorders>
              <w:tl2br w:val="nil"/>
              <w:tr2bl w:val="nil"/>
            </w:tcBorders>
            <w:vAlign w:val="center"/>
          </w:tcPr>
          <w:p w14:paraId="157144A9">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bl>
    <w:p w14:paraId="70BE8157">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default" w:ascii="微软雅黑" w:hAnsi="微软雅黑" w:eastAsia="微软雅黑" w:cs="微软雅黑"/>
          <w:bCs/>
          <w:iCs/>
          <w:color w:val="auto"/>
          <w:sz w:val="24"/>
          <w:szCs w:val="24"/>
          <w:highlight w:val="none"/>
          <w:lang w:val="en-US" w:eastAsia="zh-CN"/>
        </w:rPr>
      </w:pPr>
      <w:r>
        <w:rPr>
          <w:rFonts w:hint="eastAsia" w:ascii="宋体" w:hAnsi="宋体"/>
          <w:b/>
          <w:bCs w:val="0"/>
          <w:iCs/>
          <w:color w:val="auto"/>
          <w:sz w:val="24"/>
          <w:szCs w:val="24"/>
          <w:highlight w:val="none"/>
          <w:lang w:val="en-US" w:eastAsia="zh-CN"/>
        </w:rPr>
        <w:t>（2）</w:t>
      </w:r>
      <w:r>
        <w:rPr>
          <w:rFonts w:hint="eastAsia" w:ascii="宋体" w:hAnsi="宋体"/>
          <w:b/>
          <w:bCs w:val="0"/>
          <w:iCs/>
          <w:color w:val="auto"/>
          <w:sz w:val="24"/>
          <w:szCs w:val="24"/>
          <w:highlight w:val="none"/>
          <w:shd w:val="clear"/>
          <w:lang w:val="en-US" w:eastAsia="zh-CN"/>
        </w:rPr>
        <w:t>重点区域降尘作业（按需实施）</w:t>
      </w:r>
      <w:r>
        <w:rPr>
          <w:rFonts w:hint="eastAsia" w:ascii="宋体" w:hAnsi="宋体"/>
          <w:b/>
          <w:bCs w:val="0"/>
          <w:i/>
          <w:iCs w:val="0"/>
          <w:color w:val="auto"/>
          <w:sz w:val="24"/>
          <w:szCs w:val="24"/>
          <w:highlight w:val="none"/>
          <w:u w:val="single"/>
          <w:lang w:val="en-US" w:eastAsia="zh-CN"/>
        </w:rPr>
        <w:t>（此项作业以总价报价，结算时为固定单价、最终根据作业工作量按实结算，具体内容及要求详见分项报价表）</w:t>
      </w:r>
      <w:r>
        <w:rPr>
          <w:rFonts w:hint="eastAsia" w:ascii="宋体" w:hAnsi="宋体"/>
          <w:b/>
          <w:bCs w:val="0"/>
          <w:iCs/>
          <w:color w:val="auto"/>
          <w:sz w:val="24"/>
          <w:szCs w:val="24"/>
          <w:highlight w:val="none"/>
          <w:lang w:val="en-US" w:eastAsia="zh-CN"/>
        </w:rPr>
        <w:t>，为作业提供车辆机械，完成相关工作内容</w:t>
      </w:r>
      <w:r>
        <w:rPr>
          <w:rFonts w:hint="eastAsia" w:ascii="宋体" w:hAnsi="宋体"/>
          <w:bCs/>
          <w:iCs/>
          <w:color w:val="auto"/>
          <w:sz w:val="24"/>
          <w:szCs w:val="24"/>
          <w:highlight w:val="none"/>
          <w:lang w:val="en-US" w:eastAsia="zh-CN"/>
        </w:rPr>
        <w:t>：</w:t>
      </w:r>
    </w:p>
    <w:p w14:paraId="1EE57DF1">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eastAsia" w:ascii="微软雅黑" w:hAnsi="微软雅黑" w:eastAsia="微软雅黑" w:cs="微软雅黑"/>
          <w:b/>
          <w:bCs w:val="0"/>
          <w:iCs/>
          <w:color w:val="auto"/>
          <w:sz w:val="24"/>
          <w:szCs w:val="24"/>
          <w:highlight w:val="none"/>
          <w:lang w:val="en-US" w:eastAsia="zh-CN"/>
        </w:rPr>
      </w:pPr>
      <w:r>
        <w:rPr>
          <w:rFonts w:hint="eastAsia" w:ascii="微软雅黑" w:hAnsi="微软雅黑" w:eastAsia="微软雅黑" w:cs="微软雅黑"/>
          <w:b/>
          <w:bCs w:val="0"/>
          <w:iCs/>
          <w:color w:val="auto"/>
          <w:sz w:val="24"/>
          <w:szCs w:val="24"/>
          <w:highlight w:val="none"/>
          <w:lang w:val="en-US" w:eastAsia="zh-CN"/>
        </w:rPr>
        <w:t>工作内容：</w:t>
      </w:r>
    </w:p>
    <w:p w14:paraId="66B622AE">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default"/>
          <w:bCs/>
          <w:iCs/>
          <w:color w:val="auto"/>
          <w:sz w:val="24"/>
          <w:szCs w:val="24"/>
          <w:highlight w:val="none"/>
          <w:lang w:val="en-US" w:eastAsia="zh-CN"/>
        </w:rPr>
      </w:pPr>
      <w:r>
        <w:rPr>
          <w:rFonts w:hint="eastAsia" w:ascii="微软雅黑" w:hAnsi="微软雅黑" w:eastAsia="微软雅黑" w:cs="微软雅黑"/>
          <w:bCs/>
          <w:iCs/>
          <w:color w:val="auto"/>
          <w:sz w:val="24"/>
          <w:szCs w:val="24"/>
          <w:highlight w:val="none"/>
          <w:lang w:val="en-US" w:eastAsia="zh-CN"/>
        </w:rPr>
        <w:t>①</w:t>
      </w:r>
      <w:r>
        <w:rPr>
          <w:rFonts w:hint="eastAsia"/>
          <w:bCs/>
          <w:iCs/>
          <w:color w:val="auto"/>
          <w:sz w:val="24"/>
          <w:szCs w:val="24"/>
          <w:highlight w:val="none"/>
          <w:lang w:val="en-US" w:eastAsia="zh-CN"/>
        </w:rPr>
        <w:t>按需实施，服从实时调度，每月核算作业工作量。</w:t>
      </w:r>
    </w:p>
    <w:p w14:paraId="2CE4A6CF">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eastAsia"/>
          <w:bCs/>
          <w:iCs/>
          <w:color w:val="auto"/>
          <w:sz w:val="24"/>
          <w:szCs w:val="24"/>
          <w:highlight w:val="none"/>
        </w:rPr>
      </w:pPr>
      <w:r>
        <w:rPr>
          <w:rFonts w:hint="eastAsia" w:ascii="微软雅黑" w:hAnsi="微软雅黑" w:eastAsia="微软雅黑" w:cs="微软雅黑"/>
          <w:bCs/>
          <w:iCs/>
          <w:color w:val="auto"/>
          <w:sz w:val="24"/>
          <w:szCs w:val="24"/>
          <w:highlight w:val="none"/>
          <w:lang w:val="en-US" w:eastAsia="zh-CN"/>
        </w:rPr>
        <w:t>②</w:t>
      </w:r>
      <w:r>
        <w:rPr>
          <w:rFonts w:hint="eastAsia"/>
          <w:bCs/>
          <w:iCs/>
          <w:color w:val="auto"/>
          <w:sz w:val="24"/>
          <w:szCs w:val="24"/>
          <w:highlight w:val="none"/>
        </w:rPr>
        <w:t>根据每条道路保洁效果和积尘走航情况反馈，加大</w:t>
      </w:r>
      <w:r>
        <w:rPr>
          <w:rFonts w:hint="eastAsia"/>
          <w:bCs/>
          <w:iCs/>
          <w:color w:val="auto"/>
          <w:sz w:val="24"/>
          <w:szCs w:val="24"/>
          <w:highlight w:val="none"/>
          <w:lang w:val="en-US" w:eastAsia="zh-CN"/>
        </w:rPr>
        <w:t>降尘作业</w:t>
      </w:r>
      <w:r>
        <w:rPr>
          <w:rFonts w:hint="eastAsia"/>
          <w:bCs/>
          <w:iCs/>
          <w:color w:val="auto"/>
          <w:sz w:val="24"/>
          <w:szCs w:val="24"/>
          <w:highlight w:val="none"/>
        </w:rPr>
        <w:t>频次；重污染天气下，积极响应大气污染防治工作部署，对重点区域、重要道路增加1-2次深度保洁，不断提升道路保洁质效。</w:t>
      </w:r>
    </w:p>
    <w:p w14:paraId="1C78F18D">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eastAsia"/>
          <w:bCs/>
          <w:iCs/>
          <w:color w:val="auto"/>
          <w:sz w:val="24"/>
          <w:szCs w:val="24"/>
          <w:highlight w:val="none"/>
        </w:rPr>
      </w:pPr>
      <w:r>
        <w:rPr>
          <w:rFonts w:hint="eastAsia" w:ascii="微软雅黑" w:hAnsi="微软雅黑" w:eastAsia="微软雅黑" w:cs="微软雅黑"/>
          <w:bCs/>
          <w:iCs/>
          <w:color w:val="auto"/>
          <w:sz w:val="24"/>
          <w:szCs w:val="24"/>
          <w:highlight w:val="none"/>
          <w:lang w:val="en-US" w:eastAsia="zh-CN"/>
        </w:rPr>
        <w:t>③</w:t>
      </w:r>
      <w:r>
        <w:rPr>
          <w:rFonts w:hint="eastAsia"/>
          <w:bCs/>
          <w:iCs/>
          <w:color w:val="auto"/>
          <w:sz w:val="24"/>
          <w:szCs w:val="24"/>
          <w:highlight w:val="none"/>
        </w:rPr>
        <w:t>针对积尘均值、峰值连续3次超标的路段，现场踏勘，分析道路积尘超标原因，消除污染源，每日增加 1-2 次作业频次，加强巡查检查力度，确保问题整改到位，不再反复出现。</w:t>
      </w:r>
    </w:p>
    <w:p w14:paraId="03C8869A">
      <w:pPr>
        <w:keepNext w:val="0"/>
        <w:keepLines w:val="0"/>
        <w:pageBreakBefore w:val="0"/>
        <w:widowControl w:val="0"/>
        <w:shd w:val="clear"/>
        <w:kinsoku/>
        <w:wordWrap/>
        <w:overflowPunct/>
        <w:topLinePunct w:val="0"/>
        <w:autoSpaceDE/>
        <w:autoSpaceDN/>
        <w:bidi w:val="0"/>
        <w:adjustRightInd/>
        <w:snapToGrid/>
        <w:spacing w:line="440" w:lineRule="exact"/>
        <w:ind w:firstLine="480"/>
        <w:textAlignment w:val="auto"/>
        <w:rPr>
          <w:rFonts w:hint="eastAsia"/>
          <w:bCs/>
          <w:iCs/>
          <w:color w:val="auto"/>
          <w:sz w:val="24"/>
          <w:szCs w:val="24"/>
          <w:highlight w:val="none"/>
        </w:rPr>
      </w:pPr>
      <w:r>
        <w:rPr>
          <w:rFonts w:hint="eastAsia" w:ascii="微软雅黑" w:hAnsi="微软雅黑" w:eastAsia="微软雅黑" w:cs="微软雅黑"/>
          <w:bCs/>
          <w:iCs/>
          <w:color w:val="auto"/>
          <w:sz w:val="24"/>
          <w:szCs w:val="24"/>
          <w:highlight w:val="none"/>
          <w:lang w:val="en-US" w:eastAsia="zh-CN"/>
        </w:rPr>
        <w:t>④</w:t>
      </w:r>
      <w:r>
        <w:rPr>
          <w:rFonts w:hint="eastAsia"/>
          <w:bCs/>
          <w:iCs/>
          <w:color w:val="auto"/>
          <w:sz w:val="24"/>
          <w:szCs w:val="24"/>
          <w:highlight w:val="none"/>
        </w:rPr>
        <w:t>在市区道路深度保洁服务采购中，将道路积尘监测评估结果作为考核的重要依据；结果与作业经费挂钩</w:t>
      </w:r>
      <w:r>
        <w:rPr>
          <w:rFonts w:hint="eastAsia"/>
          <w:bCs/>
          <w:iCs/>
          <w:color w:val="auto"/>
          <w:sz w:val="24"/>
          <w:szCs w:val="24"/>
          <w:highlight w:val="none"/>
          <w:lang w:eastAsia="zh-CN"/>
        </w:rPr>
        <w:t>。</w:t>
      </w:r>
      <w:r>
        <w:rPr>
          <w:rFonts w:hint="eastAsia"/>
          <w:bCs/>
          <w:iCs/>
          <w:color w:val="auto"/>
          <w:sz w:val="24"/>
          <w:szCs w:val="24"/>
          <w:highlight w:val="none"/>
        </w:rPr>
        <w:t>（</w:t>
      </w:r>
      <w:r>
        <w:rPr>
          <w:rFonts w:hint="eastAsia"/>
          <w:bCs/>
          <w:iCs/>
          <w:color w:val="auto"/>
          <w:sz w:val="24"/>
          <w:szCs w:val="24"/>
          <w:highlight w:val="none"/>
          <w:lang w:val="en-US" w:eastAsia="zh-CN"/>
        </w:rPr>
        <w:t>详见</w:t>
      </w:r>
      <w:r>
        <w:rPr>
          <w:rFonts w:hint="eastAsia"/>
          <w:bCs/>
          <w:iCs/>
          <w:color w:val="auto"/>
          <w:sz w:val="24"/>
          <w:szCs w:val="24"/>
          <w:highlight w:val="none"/>
        </w:rPr>
        <w:t>服务评估细则）</w:t>
      </w:r>
    </w:p>
    <w:p w14:paraId="6E64E463">
      <w:pPr>
        <w:shd w:val="clear"/>
        <w:spacing w:before="120" w:line="360" w:lineRule="auto"/>
        <w:ind w:firstLine="482"/>
        <w:rPr>
          <w:rFonts w:ascii="宋体" w:hAnsi="宋体"/>
          <w:b/>
          <w:bCs/>
          <w:iCs/>
          <w:color w:val="auto"/>
          <w:sz w:val="24"/>
          <w:szCs w:val="24"/>
          <w:highlight w:val="none"/>
        </w:rPr>
      </w:pPr>
      <w:r>
        <w:rPr>
          <w:rFonts w:hint="eastAsia" w:ascii="宋体" w:hAnsi="宋体"/>
          <w:b/>
          <w:bCs/>
          <w:iCs/>
          <w:color w:val="auto"/>
          <w:sz w:val="24"/>
          <w:szCs w:val="24"/>
          <w:highlight w:val="none"/>
        </w:rPr>
        <w:t>分包</w:t>
      </w:r>
      <w:r>
        <w:rPr>
          <w:rFonts w:hint="eastAsia" w:ascii="宋体" w:hAnsi="宋体"/>
          <w:b/>
          <w:bCs/>
          <w:iCs/>
          <w:color w:val="auto"/>
          <w:sz w:val="24"/>
          <w:szCs w:val="24"/>
          <w:highlight w:val="none"/>
          <w:lang w:val="en-US" w:eastAsia="zh-CN"/>
        </w:rPr>
        <w:t>2</w:t>
      </w:r>
      <w:r>
        <w:rPr>
          <w:rFonts w:hint="eastAsia" w:ascii="宋体" w:hAnsi="宋体"/>
          <w:b/>
          <w:bCs/>
          <w:iCs/>
          <w:color w:val="auto"/>
          <w:sz w:val="24"/>
          <w:szCs w:val="24"/>
          <w:highlight w:val="none"/>
        </w:rPr>
        <w:t>：东北部片区“城市管家”一体化作业：</w:t>
      </w:r>
    </w:p>
    <w:p w14:paraId="45037A8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东北部片区内主次干道清扫保洁及随路绿化养护、交通护栏等公共设施保洁等服务项目。</w:t>
      </w:r>
    </w:p>
    <w:p w14:paraId="346B226C">
      <w:pPr>
        <w:shd w:val="clea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东北部片区“城市管家”一体化作业划分明细表</w:t>
      </w:r>
    </w:p>
    <w:tbl>
      <w:tblPr>
        <w:tblStyle w:val="28"/>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848"/>
        <w:gridCol w:w="1313"/>
        <w:gridCol w:w="1180"/>
        <w:gridCol w:w="1030"/>
        <w:gridCol w:w="1360"/>
        <w:gridCol w:w="830"/>
        <w:gridCol w:w="1490"/>
        <w:gridCol w:w="680"/>
      </w:tblGrid>
      <w:tr w14:paraId="2577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blHeader/>
        </w:trPr>
        <w:tc>
          <w:tcPr>
            <w:tcW w:w="286" w:type="pct"/>
            <w:tcBorders>
              <w:tl2br w:val="nil"/>
              <w:tr2bl w:val="nil"/>
            </w:tcBorders>
            <w:shd w:val="clear" w:color="auto" w:fill="auto"/>
            <w:noWrap/>
            <w:vAlign w:val="center"/>
          </w:tcPr>
          <w:p w14:paraId="31971F53">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序号</w:t>
            </w:r>
          </w:p>
        </w:tc>
        <w:tc>
          <w:tcPr>
            <w:tcW w:w="457" w:type="pct"/>
            <w:tcBorders>
              <w:tl2br w:val="nil"/>
              <w:tr2bl w:val="nil"/>
            </w:tcBorders>
            <w:shd w:val="clear" w:color="auto" w:fill="auto"/>
            <w:noWrap/>
            <w:vAlign w:val="center"/>
          </w:tcPr>
          <w:p w14:paraId="01AA03B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作业</w:t>
            </w:r>
          </w:p>
          <w:p w14:paraId="2FF63D1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路段</w:t>
            </w:r>
          </w:p>
        </w:tc>
        <w:tc>
          <w:tcPr>
            <w:tcW w:w="708" w:type="pct"/>
            <w:tcBorders>
              <w:tl2br w:val="nil"/>
              <w:tr2bl w:val="nil"/>
            </w:tcBorders>
            <w:shd w:val="clear" w:color="auto" w:fill="auto"/>
            <w:noWrap/>
            <w:vAlign w:val="center"/>
          </w:tcPr>
          <w:p w14:paraId="4A102B4F">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起讫地点</w:t>
            </w:r>
          </w:p>
        </w:tc>
        <w:tc>
          <w:tcPr>
            <w:tcW w:w="637" w:type="pct"/>
            <w:tcBorders>
              <w:tl2br w:val="nil"/>
              <w:tr2bl w:val="nil"/>
            </w:tcBorders>
            <w:shd w:val="clear" w:color="auto" w:fill="auto"/>
            <w:noWrap/>
            <w:vAlign w:val="center"/>
          </w:tcPr>
          <w:p w14:paraId="029578F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作业</w:t>
            </w:r>
          </w:p>
          <w:p w14:paraId="6CA7845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频次</w:t>
            </w:r>
          </w:p>
        </w:tc>
        <w:tc>
          <w:tcPr>
            <w:tcW w:w="556" w:type="pct"/>
            <w:tcBorders>
              <w:tl2br w:val="nil"/>
              <w:tr2bl w:val="nil"/>
            </w:tcBorders>
            <w:vAlign w:val="center"/>
          </w:tcPr>
          <w:p w14:paraId="0B23D92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保洁</w:t>
            </w:r>
          </w:p>
          <w:p w14:paraId="0C02DC8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等级</w:t>
            </w:r>
          </w:p>
        </w:tc>
        <w:tc>
          <w:tcPr>
            <w:tcW w:w="734" w:type="pct"/>
            <w:tcBorders>
              <w:tl2br w:val="nil"/>
              <w:tr2bl w:val="nil"/>
            </w:tcBorders>
            <w:vAlign w:val="center"/>
          </w:tcPr>
          <w:p w14:paraId="1A8156B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保洁</w:t>
            </w:r>
            <w:r>
              <w:rPr>
                <w:rFonts w:hint="default" w:ascii="宋体" w:hAnsi="宋体" w:cs="宋体"/>
                <w:color w:val="auto"/>
                <w:kern w:val="2"/>
                <w:sz w:val="24"/>
                <w:szCs w:val="24"/>
                <w:highlight w:val="none"/>
              </w:rPr>
              <w:t>面积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eastAsia="zh-CN"/>
              </w:rPr>
              <w:t>）</w:t>
            </w:r>
          </w:p>
        </w:tc>
        <w:tc>
          <w:tcPr>
            <w:tcW w:w="448" w:type="pct"/>
            <w:tcBorders>
              <w:tl2br w:val="nil"/>
              <w:tr2bl w:val="nil"/>
            </w:tcBorders>
            <w:shd w:val="clear" w:color="auto" w:fill="auto"/>
            <w:vAlign w:val="center"/>
          </w:tcPr>
          <w:p w14:paraId="12FFAA9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养护</w:t>
            </w:r>
            <w:r>
              <w:rPr>
                <w:rFonts w:hint="default" w:ascii="宋体" w:hAnsi="宋体" w:cs="宋体"/>
                <w:color w:val="auto"/>
                <w:kern w:val="2"/>
                <w:sz w:val="24"/>
                <w:szCs w:val="24"/>
                <w:highlight w:val="none"/>
              </w:rPr>
              <w:t>等级</w:t>
            </w:r>
          </w:p>
        </w:tc>
        <w:tc>
          <w:tcPr>
            <w:tcW w:w="804" w:type="pct"/>
            <w:tcBorders>
              <w:tl2br w:val="nil"/>
              <w:tr2bl w:val="nil"/>
            </w:tcBorders>
            <w:shd w:val="clear" w:color="auto" w:fill="auto"/>
            <w:vAlign w:val="center"/>
          </w:tcPr>
          <w:p w14:paraId="7C1A9B4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绿化带</w:t>
            </w:r>
            <w:r>
              <w:rPr>
                <w:rFonts w:hint="default" w:ascii="宋体" w:hAnsi="宋体" w:cs="宋体"/>
                <w:color w:val="auto"/>
                <w:kern w:val="2"/>
                <w:sz w:val="24"/>
                <w:szCs w:val="24"/>
                <w:highlight w:val="none"/>
              </w:rPr>
              <w:t>面积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eastAsia="zh-CN"/>
              </w:rPr>
              <w:t>）</w:t>
            </w:r>
          </w:p>
        </w:tc>
        <w:tc>
          <w:tcPr>
            <w:tcW w:w="367" w:type="pct"/>
            <w:tcBorders>
              <w:tl2br w:val="nil"/>
              <w:tr2bl w:val="nil"/>
            </w:tcBorders>
            <w:vAlign w:val="center"/>
          </w:tcPr>
          <w:p w14:paraId="415C773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3024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3B108463">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w:t>
            </w:r>
          </w:p>
        </w:tc>
        <w:tc>
          <w:tcPr>
            <w:tcW w:w="457" w:type="pct"/>
            <w:vMerge w:val="restart"/>
            <w:tcBorders>
              <w:tl2br w:val="nil"/>
              <w:tr2bl w:val="nil"/>
            </w:tcBorders>
            <w:shd w:val="clear" w:color="auto" w:fill="auto"/>
            <w:noWrap/>
            <w:vAlign w:val="center"/>
          </w:tcPr>
          <w:p w14:paraId="03FE4076">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四通路</w:t>
            </w:r>
          </w:p>
        </w:tc>
        <w:tc>
          <w:tcPr>
            <w:tcW w:w="708" w:type="pct"/>
            <w:tcBorders>
              <w:tl2br w:val="nil"/>
              <w:tr2bl w:val="nil"/>
            </w:tcBorders>
            <w:shd w:val="clear" w:color="auto" w:fill="auto"/>
            <w:noWrap/>
            <w:vAlign w:val="center"/>
          </w:tcPr>
          <w:p w14:paraId="538FEE2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九龙路—高速公路一大队东侧</w:t>
            </w:r>
          </w:p>
        </w:tc>
        <w:tc>
          <w:tcPr>
            <w:tcW w:w="637" w:type="pct"/>
            <w:vMerge w:val="restart"/>
            <w:tcBorders>
              <w:tl2br w:val="nil"/>
              <w:tr2bl w:val="nil"/>
            </w:tcBorders>
            <w:shd w:val="clear" w:color="auto" w:fill="auto"/>
            <w:noWrap/>
            <w:vAlign w:val="center"/>
          </w:tcPr>
          <w:p w14:paraId="1B1C6CD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（1）每日“1洗扫2冲水2清理”</w:t>
            </w:r>
          </w:p>
          <w:p w14:paraId="34384A24">
            <w:pPr>
              <w:keepNext w:val="0"/>
              <w:keepLines w:val="0"/>
              <w:widowControl/>
              <w:suppressLineNumbers w:val="0"/>
              <w:shd w:val="clear"/>
              <w:spacing w:before="0" w:beforeAutospacing="0" w:after="0" w:afterAutospacing="0"/>
              <w:ind w:left="0" w:right="0"/>
              <w:jc w:val="center"/>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（2）每月2次路面深度清洗</w:t>
            </w:r>
          </w:p>
        </w:tc>
        <w:tc>
          <w:tcPr>
            <w:tcW w:w="556" w:type="pct"/>
            <w:tcBorders>
              <w:tl2br w:val="nil"/>
              <w:tr2bl w:val="nil"/>
            </w:tcBorders>
            <w:vAlign w:val="center"/>
          </w:tcPr>
          <w:p w14:paraId="0FF679E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5799FC4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12221.00 </w:t>
            </w:r>
          </w:p>
        </w:tc>
        <w:tc>
          <w:tcPr>
            <w:tcW w:w="448" w:type="pct"/>
            <w:tcBorders>
              <w:tl2br w:val="nil"/>
              <w:tr2bl w:val="nil"/>
            </w:tcBorders>
            <w:shd w:val="clear" w:color="auto" w:fill="auto"/>
            <w:noWrap/>
            <w:vAlign w:val="center"/>
          </w:tcPr>
          <w:p w14:paraId="544B1A7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34ECB005">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27030.00 </w:t>
            </w:r>
          </w:p>
        </w:tc>
        <w:tc>
          <w:tcPr>
            <w:tcW w:w="367" w:type="pct"/>
            <w:tcBorders>
              <w:tl2br w:val="nil"/>
              <w:tr2bl w:val="nil"/>
            </w:tcBorders>
            <w:vAlign w:val="center"/>
          </w:tcPr>
          <w:p w14:paraId="25C026F7">
            <w:pPr>
              <w:keepNext w:val="0"/>
              <w:keepLines w:val="0"/>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shd w:val="clear"/>
                <w:lang w:val="en-US" w:eastAsia="zh-CN"/>
              </w:rPr>
              <w:t>绿地</w:t>
            </w:r>
          </w:p>
        </w:tc>
      </w:tr>
      <w:tr w14:paraId="5958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17B0680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w:t>
            </w:r>
          </w:p>
        </w:tc>
        <w:tc>
          <w:tcPr>
            <w:tcW w:w="457" w:type="pct"/>
            <w:vMerge w:val="continue"/>
            <w:tcBorders>
              <w:tl2br w:val="nil"/>
              <w:tr2bl w:val="nil"/>
            </w:tcBorders>
            <w:shd w:val="clear" w:color="auto" w:fill="auto"/>
            <w:noWrap/>
            <w:vAlign w:val="center"/>
          </w:tcPr>
          <w:p w14:paraId="4ECE817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08" w:type="pct"/>
            <w:tcBorders>
              <w:tl2br w:val="nil"/>
              <w:tr2bl w:val="nil"/>
            </w:tcBorders>
            <w:shd w:val="clear" w:color="auto" w:fill="auto"/>
            <w:noWrap/>
            <w:vAlign w:val="center"/>
          </w:tcPr>
          <w:p w14:paraId="4AD21E7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高速公路一大队东侧-杭集科技园二期项目主入口</w:t>
            </w:r>
          </w:p>
        </w:tc>
        <w:tc>
          <w:tcPr>
            <w:tcW w:w="637" w:type="pct"/>
            <w:vMerge w:val="continue"/>
            <w:tcBorders>
              <w:tl2br w:val="nil"/>
              <w:tr2bl w:val="nil"/>
            </w:tcBorders>
            <w:shd w:val="clear" w:color="auto" w:fill="auto"/>
            <w:noWrap/>
            <w:vAlign w:val="center"/>
          </w:tcPr>
          <w:p w14:paraId="305EAE4B">
            <w:pPr>
              <w:keepNext w:val="0"/>
              <w:keepLines w:val="0"/>
              <w:widowControl/>
              <w:suppressLineNumbers w:val="0"/>
              <w:shd w:val="clear"/>
              <w:spacing w:before="0" w:beforeAutospacing="0" w:after="0" w:afterAutospacing="0"/>
              <w:ind w:left="0" w:right="0"/>
              <w:jc w:val="center"/>
              <w:rPr>
                <w:rFonts w:hint="eastAsia" w:ascii="宋体" w:hAnsi="宋体" w:cs="宋体"/>
                <w:color w:val="auto"/>
                <w:kern w:val="2"/>
                <w:sz w:val="24"/>
                <w:szCs w:val="24"/>
                <w:highlight w:val="none"/>
              </w:rPr>
            </w:pPr>
          </w:p>
        </w:tc>
        <w:tc>
          <w:tcPr>
            <w:tcW w:w="556" w:type="pct"/>
            <w:tcBorders>
              <w:tl2br w:val="nil"/>
              <w:tr2bl w:val="nil"/>
            </w:tcBorders>
            <w:vAlign w:val="center"/>
          </w:tcPr>
          <w:p w14:paraId="7124493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0D0E6BB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9708.00 </w:t>
            </w:r>
          </w:p>
        </w:tc>
        <w:tc>
          <w:tcPr>
            <w:tcW w:w="448" w:type="pct"/>
            <w:tcBorders>
              <w:tl2br w:val="nil"/>
              <w:tr2bl w:val="nil"/>
            </w:tcBorders>
            <w:shd w:val="clear" w:color="auto" w:fill="auto"/>
            <w:noWrap/>
            <w:vAlign w:val="center"/>
          </w:tcPr>
          <w:p w14:paraId="42C0DCB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7832041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732.00 </w:t>
            </w:r>
          </w:p>
        </w:tc>
        <w:tc>
          <w:tcPr>
            <w:tcW w:w="367" w:type="pct"/>
            <w:tcBorders>
              <w:tl2br w:val="nil"/>
              <w:tr2bl w:val="nil"/>
            </w:tcBorders>
            <w:vAlign w:val="center"/>
          </w:tcPr>
          <w:p w14:paraId="728205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绿化暂未移交</w:t>
            </w:r>
          </w:p>
        </w:tc>
      </w:tr>
      <w:tr w14:paraId="06CF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044FBB9F">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3</w:t>
            </w:r>
          </w:p>
        </w:tc>
        <w:tc>
          <w:tcPr>
            <w:tcW w:w="457" w:type="pct"/>
            <w:vMerge w:val="continue"/>
            <w:tcBorders>
              <w:tl2br w:val="nil"/>
              <w:tr2bl w:val="nil"/>
            </w:tcBorders>
            <w:shd w:val="clear" w:color="auto" w:fill="auto"/>
            <w:noWrap/>
            <w:vAlign w:val="center"/>
          </w:tcPr>
          <w:p w14:paraId="09C44A0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p>
        </w:tc>
        <w:tc>
          <w:tcPr>
            <w:tcW w:w="708" w:type="pct"/>
            <w:tcBorders>
              <w:tl2br w:val="nil"/>
              <w:tr2bl w:val="nil"/>
            </w:tcBorders>
            <w:shd w:val="clear" w:color="auto" w:fill="auto"/>
            <w:noWrap/>
            <w:vAlign w:val="center"/>
          </w:tcPr>
          <w:p w14:paraId="4B39060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曙光路—伟业路</w:t>
            </w:r>
          </w:p>
        </w:tc>
        <w:tc>
          <w:tcPr>
            <w:tcW w:w="637" w:type="pct"/>
            <w:vMerge w:val="continue"/>
            <w:tcBorders>
              <w:tl2br w:val="nil"/>
              <w:tr2bl w:val="nil"/>
            </w:tcBorders>
            <w:shd w:val="clear" w:color="auto" w:fill="auto"/>
            <w:noWrap/>
            <w:vAlign w:val="center"/>
          </w:tcPr>
          <w:p w14:paraId="6C1A489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6F278D80">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4B87B220">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6400.00 </w:t>
            </w:r>
          </w:p>
        </w:tc>
        <w:tc>
          <w:tcPr>
            <w:tcW w:w="448" w:type="pct"/>
            <w:tcBorders>
              <w:tl2br w:val="nil"/>
              <w:tr2bl w:val="nil"/>
            </w:tcBorders>
            <w:shd w:val="clear" w:color="auto" w:fill="auto"/>
            <w:noWrap/>
            <w:vAlign w:val="center"/>
          </w:tcPr>
          <w:p w14:paraId="10C27806">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5530D38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12026.00 </w:t>
            </w:r>
          </w:p>
        </w:tc>
        <w:tc>
          <w:tcPr>
            <w:tcW w:w="367" w:type="pct"/>
            <w:tcBorders>
              <w:tl2br w:val="nil"/>
              <w:tr2bl w:val="nil"/>
            </w:tcBorders>
            <w:vAlign w:val="center"/>
          </w:tcPr>
          <w:p w14:paraId="1F32DA31">
            <w:pPr>
              <w:keepNext w:val="0"/>
              <w:keepLines w:val="0"/>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shd w:val="clear"/>
                <w:lang w:val="en-US" w:eastAsia="zh-CN"/>
              </w:rPr>
              <w:t>绿地</w:t>
            </w:r>
          </w:p>
        </w:tc>
      </w:tr>
      <w:tr w14:paraId="32C6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4BC7A099">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4</w:t>
            </w:r>
          </w:p>
        </w:tc>
        <w:tc>
          <w:tcPr>
            <w:tcW w:w="457" w:type="pct"/>
            <w:tcBorders>
              <w:tl2br w:val="nil"/>
              <w:tr2bl w:val="nil"/>
            </w:tcBorders>
            <w:shd w:val="clear" w:color="auto" w:fill="auto"/>
            <w:noWrap/>
            <w:vAlign w:val="center"/>
          </w:tcPr>
          <w:p w14:paraId="7FF5C62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三星路</w:t>
            </w:r>
          </w:p>
        </w:tc>
        <w:tc>
          <w:tcPr>
            <w:tcW w:w="708" w:type="pct"/>
            <w:tcBorders>
              <w:tl2br w:val="nil"/>
              <w:tr2bl w:val="nil"/>
            </w:tcBorders>
            <w:shd w:val="clear" w:color="auto" w:fill="auto"/>
            <w:noWrap/>
            <w:vAlign w:val="center"/>
          </w:tcPr>
          <w:p w14:paraId="35E06D7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曙光路—堤岸</w:t>
            </w:r>
          </w:p>
        </w:tc>
        <w:tc>
          <w:tcPr>
            <w:tcW w:w="637" w:type="pct"/>
            <w:vMerge w:val="continue"/>
            <w:tcBorders>
              <w:tl2br w:val="nil"/>
              <w:tr2bl w:val="nil"/>
            </w:tcBorders>
            <w:shd w:val="clear" w:color="auto" w:fill="auto"/>
            <w:noWrap/>
            <w:vAlign w:val="center"/>
          </w:tcPr>
          <w:p w14:paraId="62BD938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36B6B7B7">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35100F3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16640.00 </w:t>
            </w:r>
          </w:p>
        </w:tc>
        <w:tc>
          <w:tcPr>
            <w:tcW w:w="448" w:type="pct"/>
            <w:tcBorders>
              <w:tl2br w:val="nil"/>
              <w:tr2bl w:val="nil"/>
            </w:tcBorders>
            <w:shd w:val="clear" w:color="auto" w:fill="auto"/>
            <w:noWrap/>
            <w:vAlign w:val="center"/>
          </w:tcPr>
          <w:p w14:paraId="00BF242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4CC196D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1843.00 </w:t>
            </w:r>
          </w:p>
        </w:tc>
        <w:tc>
          <w:tcPr>
            <w:tcW w:w="367" w:type="pct"/>
            <w:tcBorders>
              <w:tl2br w:val="nil"/>
              <w:tr2bl w:val="nil"/>
            </w:tcBorders>
            <w:vAlign w:val="center"/>
          </w:tcPr>
          <w:p w14:paraId="1AF04B9D">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3EFD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05E9CE95">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5</w:t>
            </w:r>
          </w:p>
        </w:tc>
        <w:tc>
          <w:tcPr>
            <w:tcW w:w="457" w:type="pct"/>
            <w:tcBorders>
              <w:tl2br w:val="nil"/>
              <w:tr2bl w:val="nil"/>
            </w:tcBorders>
            <w:shd w:val="clear" w:color="auto" w:fill="auto"/>
            <w:noWrap/>
            <w:vAlign w:val="center"/>
          </w:tcPr>
          <w:p w14:paraId="1C6DDCAC">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嘉园路</w:t>
            </w:r>
          </w:p>
        </w:tc>
        <w:tc>
          <w:tcPr>
            <w:tcW w:w="708" w:type="pct"/>
            <w:tcBorders>
              <w:tl2br w:val="nil"/>
              <w:tr2bl w:val="nil"/>
            </w:tcBorders>
            <w:shd w:val="clear" w:color="auto" w:fill="auto"/>
            <w:noWrap/>
            <w:vAlign w:val="center"/>
          </w:tcPr>
          <w:p w14:paraId="0F7B60B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伟业路—高铁线</w:t>
            </w:r>
          </w:p>
        </w:tc>
        <w:tc>
          <w:tcPr>
            <w:tcW w:w="637" w:type="pct"/>
            <w:vMerge w:val="continue"/>
            <w:tcBorders>
              <w:tl2br w:val="nil"/>
              <w:tr2bl w:val="nil"/>
            </w:tcBorders>
            <w:shd w:val="clear" w:color="auto" w:fill="auto"/>
            <w:noWrap/>
            <w:vAlign w:val="center"/>
          </w:tcPr>
          <w:p w14:paraId="764DCA0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680F182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7DB87663">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3191.31 </w:t>
            </w:r>
          </w:p>
        </w:tc>
        <w:tc>
          <w:tcPr>
            <w:tcW w:w="448" w:type="pct"/>
            <w:tcBorders>
              <w:tl2br w:val="nil"/>
              <w:tr2bl w:val="nil"/>
            </w:tcBorders>
            <w:shd w:val="clear" w:color="auto" w:fill="auto"/>
            <w:noWrap/>
            <w:vAlign w:val="center"/>
          </w:tcPr>
          <w:p w14:paraId="19EF003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6AA3022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1669.70 </w:t>
            </w:r>
          </w:p>
        </w:tc>
        <w:tc>
          <w:tcPr>
            <w:tcW w:w="367" w:type="pct"/>
            <w:tcBorders>
              <w:tl2br w:val="nil"/>
              <w:tr2bl w:val="nil"/>
            </w:tcBorders>
            <w:vAlign w:val="center"/>
          </w:tcPr>
          <w:p w14:paraId="2BC67173">
            <w:pPr>
              <w:keepNext w:val="0"/>
              <w:keepLines w:val="0"/>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p>
        </w:tc>
      </w:tr>
      <w:tr w14:paraId="23ED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353292AC">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6</w:t>
            </w:r>
          </w:p>
        </w:tc>
        <w:tc>
          <w:tcPr>
            <w:tcW w:w="457" w:type="pct"/>
            <w:tcBorders>
              <w:tl2br w:val="nil"/>
              <w:tr2bl w:val="nil"/>
            </w:tcBorders>
            <w:shd w:val="clear" w:color="auto" w:fill="auto"/>
            <w:noWrap/>
            <w:vAlign w:val="center"/>
          </w:tcPr>
          <w:p w14:paraId="1708832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瑞安路</w:t>
            </w:r>
          </w:p>
        </w:tc>
        <w:tc>
          <w:tcPr>
            <w:tcW w:w="708" w:type="pct"/>
            <w:tcBorders>
              <w:tl2br w:val="nil"/>
              <w:tr2bl w:val="nil"/>
            </w:tcBorders>
            <w:shd w:val="clear" w:color="auto" w:fill="auto"/>
            <w:noWrap/>
            <w:vAlign w:val="center"/>
          </w:tcPr>
          <w:p w14:paraId="7E490756">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牙刷城内部道路</w:t>
            </w:r>
          </w:p>
        </w:tc>
        <w:tc>
          <w:tcPr>
            <w:tcW w:w="637" w:type="pct"/>
            <w:vMerge w:val="continue"/>
            <w:tcBorders>
              <w:tl2br w:val="nil"/>
              <w:tr2bl w:val="nil"/>
            </w:tcBorders>
            <w:shd w:val="clear" w:color="auto" w:fill="auto"/>
            <w:noWrap/>
            <w:vAlign w:val="center"/>
          </w:tcPr>
          <w:p w14:paraId="2FF6012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372E729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1468B640">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1654.00 </w:t>
            </w:r>
          </w:p>
        </w:tc>
        <w:tc>
          <w:tcPr>
            <w:tcW w:w="448" w:type="pct"/>
            <w:tcBorders>
              <w:tl2br w:val="nil"/>
              <w:tr2bl w:val="nil"/>
            </w:tcBorders>
            <w:shd w:val="clear" w:color="auto" w:fill="auto"/>
            <w:noWrap/>
            <w:vAlign w:val="center"/>
          </w:tcPr>
          <w:p w14:paraId="063CE378">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28A4099D">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367" w:type="pct"/>
            <w:tcBorders>
              <w:tl2br w:val="nil"/>
              <w:tr2bl w:val="nil"/>
            </w:tcBorders>
            <w:vAlign w:val="center"/>
          </w:tcPr>
          <w:p w14:paraId="082A22AC">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7DD2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5CF50E2">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w:t>
            </w:r>
          </w:p>
        </w:tc>
        <w:tc>
          <w:tcPr>
            <w:tcW w:w="457" w:type="pct"/>
            <w:tcBorders>
              <w:tl2br w:val="nil"/>
              <w:tr2bl w:val="nil"/>
            </w:tcBorders>
            <w:shd w:val="clear" w:color="auto" w:fill="auto"/>
            <w:noWrap/>
            <w:vAlign w:val="center"/>
          </w:tcPr>
          <w:p w14:paraId="43493A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牙刷城</w:t>
            </w:r>
          </w:p>
        </w:tc>
        <w:tc>
          <w:tcPr>
            <w:tcW w:w="708" w:type="pct"/>
            <w:tcBorders>
              <w:tl2br w:val="nil"/>
              <w:tr2bl w:val="nil"/>
            </w:tcBorders>
            <w:shd w:val="clear" w:color="auto" w:fill="auto"/>
            <w:noWrap/>
            <w:vAlign w:val="center"/>
          </w:tcPr>
          <w:p w14:paraId="6969654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三星路与曙光路西北角</w:t>
            </w:r>
          </w:p>
        </w:tc>
        <w:tc>
          <w:tcPr>
            <w:tcW w:w="637" w:type="pct"/>
            <w:vMerge w:val="continue"/>
            <w:tcBorders>
              <w:tl2br w:val="nil"/>
              <w:tr2bl w:val="nil"/>
            </w:tcBorders>
            <w:shd w:val="clear" w:color="auto" w:fill="auto"/>
            <w:noWrap/>
            <w:vAlign w:val="center"/>
          </w:tcPr>
          <w:p w14:paraId="2A3B9CC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3B5911A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164BA50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7847.58 </w:t>
            </w:r>
          </w:p>
        </w:tc>
        <w:tc>
          <w:tcPr>
            <w:tcW w:w="448" w:type="pct"/>
            <w:tcBorders>
              <w:tl2br w:val="nil"/>
              <w:tr2bl w:val="nil"/>
            </w:tcBorders>
            <w:shd w:val="clear" w:color="auto" w:fill="auto"/>
            <w:noWrap/>
            <w:vAlign w:val="center"/>
          </w:tcPr>
          <w:p w14:paraId="4FBFFFC3">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08DC0DBF">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1272.82 </w:t>
            </w:r>
          </w:p>
        </w:tc>
        <w:tc>
          <w:tcPr>
            <w:tcW w:w="367" w:type="pct"/>
            <w:tcBorders>
              <w:tl2br w:val="nil"/>
              <w:tr2bl w:val="nil"/>
            </w:tcBorders>
            <w:vAlign w:val="center"/>
          </w:tcPr>
          <w:p w14:paraId="296C8F6D">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4FD1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4FAB775A">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w:t>
            </w:r>
          </w:p>
        </w:tc>
        <w:tc>
          <w:tcPr>
            <w:tcW w:w="457" w:type="pct"/>
            <w:tcBorders>
              <w:tl2br w:val="nil"/>
              <w:tr2bl w:val="nil"/>
            </w:tcBorders>
            <w:shd w:val="clear" w:color="auto" w:fill="auto"/>
            <w:noWrap/>
            <w:vAlign w:val="center"/>
          </w:tcPr>
          <w:p w14:paraId="044DF65C">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三星路</w:t>
            </w:r>
          </w:p>
        </w:tc>
        <w:tc>
          <w:tcPr>
            <w:tcW w:w="708" w:type="pct"/>
            <w:tcBorders>
              <w:tl2br w:val="nil"/>
              <w:tr2bl w:val="nil"/>
            </w:tcBorders>
            <w:shd w:val="clear" w:color="auto" w:fill="auto"/>
            <w:noWrap/>
            <w:vAlign w:val="center"/>
          </w:tcPr>
          <w:p w14:paraId="5A3A9B1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三笑大道—曙光路</w:t>
            </w:r>
          </w:p>
        </w:tc>
        <w:tc>
          <w:tcPr>
            <w:tcW w:w="637" w:type="pct"/>
            <w:vMerge w:val="continue"/>
            <w:tcBorders>
              <w:tl2br w:val="nil"/>
              <w:tr2bl w:val="nil"/>
            </w:tcBorders>
            <w:shd w:val="clear" w:color="auto" w:fill="auto"/>
            <w:noWrap/>
            <w:vAlign w:val="center"/>
          </w:tcPr>
          <w:p w14:paraId="7971516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4116BB1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04C331C3">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7656.00 </w:t>
            </w:r>
          </w:p>
        </w:tc>
        <w:tc>
          <w:tcPr>
            <w:tcW w:w="448" w:type="pct"/>
            <w:tcBorders>
              <w:tl2br w:val="nil"/>
              <w:tr2bl w:val="nil"/>
            </w:tcBorders>
            <w:shd w:val="clear" w:color="auto" w:fill="auto"/>
            <w:noWrap/>
            <w:vAlign w:val="center"/>
          </w:tcPr>
          <w:p w14:paraId="4BE68710">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13B18D6D">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2296.00 </w:t>
            </w:r>
          </w:p>
        </w:tc>
        <w:tc>
          <w:tcPr>
            <w:tcW w:w="367" w:type="pct"/>
            <w:tcBorders>
              <w:tl2br w:val="nil"/>
              <w:tr2bl w:val="nil"/>
            </w:tcBorders>
            <w:vAlign w:val="center"/>
          </w:tcPr>
          <w:p w14:paraId="2280549D">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6C21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2D6C559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9</w:t>
            </w:r>
          </w:p>
        </w:tc>
        <w:tc>
          <w:tcPr>
            <w:tcW w:w="457" w:type="pct"/>
            <w:tcBorders>
              <w:tl2br w:val="nil"/>
              <w:tr2bl w:val="nil"/>
            </w:tcBorders>
            <w:shd w:val="clear" w:color="auto" w:fill="auto"/>
            <w:noWrap/>
            <w:vAlign w:val="center"/>
          </w:tcPr>
          <w:p w14:paraId="784ECE9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龙王路</w:t>
            </w:r>
          </w:p>
        </w:tc>
        <w:tc>
          <w:tcPr>
            <w:tcW w:w="708" w:type="pct"/>
            <w:tcBorders>
              <w:tl2br w:val="nil"/>
              <w:tr2bl w:val="nil"/>
            </w:tcBorders>
            <w:shd w:val="clear" w:color="auto" w:fill="auto"/>
            <w:noWrap/>
            <w:vAlign w:val="center"/>
          </w:tcPr>
          <w:p w14:paraId="21AEA75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金湾路—曙光路</w:t>
            </w:r>
          </w:p>
        </w:tc>
        <w:tc>
          <w:tcPr>
            <w:tcW w:w="637" w:type="pct"/>
            <w:vMerge w:val="continue"/>
            <w:tcBorders>
              <w:tl2br w:val="nil"/>
              <w:tr2bl w:val="nil"/>
            </w:tcBorders>
            <w:shd w:val="clear" w:color="auto" w:fill="auto"/>
            <w:noWrap/>
            <w:vAlign w:val="center"/>
          </w:tcPr>
          <w:p w14:paraId="46E9E79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5B04851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1D859F8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44128.04 </w:t>
            </w:r>
          </w:p>
        </w:tc>
        <w:tc>
          <w:tcPr>
            <w:tcW w:w="448" w:type="pct"/>
            <w:tcBorders>
              <w:tl2br w:val="nil"/>
              <w:tr2bl w:val="nil"/>
            </w:tcBorders>
            <w:shd w:val="clear" w:color="auto" w:fill="auto"/>
            <w:noWrap/>
            <w:vAlign w:val="center"/>
          </w:tcPr>
          <w:p w14:paraId="6E292940">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20E5AA3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19659.31 </w:t>
            </w:r>
          </w:p>
        </w:tc>
        <w:tc>
          <w:tcPr>
            <w:tcW w:w="367" w:type="pct"/>
            <w:tcBorders>
              <w:tl2br w:val="nil"/>
              <w:tr2bl w:val="nil"/>
            </w:tcBorders>
            <w:vAlign w:val="center"/>
          </w:tcPr>
          <w:p w14:paraId="2BBE595C">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412D6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35B1CB2">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10</w:t>
            </w:r>
          </w:p>
        </w:tc>
        <w:tc>
          <w:tcPr>
            <w:tcW w:w="457" w:type="pct"/>
            <w:tcBorders>
              <w:tl2br w:val="nil"/>
              <w:tr2bl w:val="nil"/>
            </w:tcBorders>
            <w:shd w:val="clear" w:color="auto" w:fill="auto"/>
            <w:noWrap/>
            <w:vAlign w:val="center"/>
          </w:tcPr>
          <w:p w14:paraId="476E7150">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翟庄路</w:t>
            </w:r>
          </w:p>
        </w:tc>
        <w:tc>
          <w:tcPr>
            <w:tcW w:w="708" w:type="pct"/>
            <w:tcBorders>
              <w:tl2br w:val="nil"/>
              <w:tr2bl w:val="nil"/>
            </w:tcBorders>
            <w:shd w:val="clear" w:color="auto" w:fill="auto"/>
            <w:noWrap/>
            <w:vAlign w:val="center"/>
          </w:tcPr>
          <w:p w14:paraId="4BA4F9E6">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金湾路—曙光路</w:t>
            </w:r>
          </w:p>
        </w:tc>
        <w:tc>
          <w:tcPr>
            <w:tcW w:w="637" w:type="pct"/>
            <w:vMerge w:val="continue"/>
            <w:tcBorders>
              <w:tl2br w:val="nil"/>
              <w:tr2bl w:val="nil"/>
            </w:tcBorders>
            <w:shd w:val="clear" w:color="auto" w:fill="auto"/>
            <w:noWrap/>
            <w:vAlign w:val="center"/>
          </w:tcPr>
          <w:p w14:paraId="7C1CADC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231494E7">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53702F2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47244.32 </w:t>
            </w:r>
          </w:p>
        </w:tc>
        <w:tc>
          <w:tcPr>
            <w:tcW w:w="448" w:type="pct"/>
            <w:tcBorders>
              <w:tl2br w:val="nil"/>
              <w:tr2bl w:val="nil"/>
            </w:tcBorders>
            <w:shd w:val="clear" w:color="auto" w:fill="auto"/>
            <w:noWrap/>
            <w:vAlign w:val="center"/>
          </w:tcPr>
          <w:p w14:paraId="3DA1D0D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65CCCDCD">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19894.92 </w:t>
            </w:r>
          </w:p>
        </w:tc>
        <w:tc>
          <w:tcPr>
            <w:tcW w:w="367" w:type="pct"/>
            <w:tcBorders>
              <w:tl2br w:val="nil"/>
              <w:tr2bl w:val="nil"/>
            </w:tcBorders>
            <w:vAlign w:val="center"/>
          </w:tcPr>
          <w:p w14:paraId="6CEF319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含小游园面积765㎡</w:t>
            </w:r>
          </w:p>
        </w:tc>
      </w:tr>
      <w:tr w14:paraId="0A8CE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3804175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11</w:t>
            </w:r>
          </w:p>
        </w:tc>
        <w:tc>
          <w:tcPr>
            <w:tcW w:w="457" w:type="pct"/>
            <w:tcBorders>
              <w:tl2br w:val="nil"/>
              <w:tr2bl w:val="nil"/>
            </w:tcBorders>
            <w:shd w:val="clear" w:color="auto" w:fill="auto"/>
            <w:noWrap/>
            <w:vAlign w:val="center"/>
          </w:tcPr>
          <w:p w14:paraId="333804F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曙光路</w:t>
            </w:r>
          </w:p>
        </w:tc>
        <w:tc>
          <w:tcPr>
            <w:tcW w:w="708" w:type="pct"/>
            <w:tcBorders>
              <w:tl2br w:val="nil"/>
              <w:tr2bl w:val="nil"/>
            </w:tcBorders>
            <w:shd w:val="clear" w:color="auto" w:fill="auto"/>
            <w:noWrap/>
            <w:vAlign w:val="center"/>
          </w:tcPr>
          <w:p w14:paraId="3FC4B9F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四通路—翟庄路</w:t>
            </w:r>
          </w:p>
        </w:tc>
        <w:tc>
          <w:tcPr>
            <w:tcW w:w="637" w:type="pct"/>
            <w:vMerge w:val="restart"/>
            <w:tcBorders>
              <w:tl2br w:val="nil"/>
              <w:tr2bl w:val="nil"/>
            </w:tcBorders>
            <w:shd w:val="clear" w:color="auto" w:fill="auto"/>
            <w:noWrap/>
            <w:vAlign w:val="center"/>
          </w:tcPr>
          <w:p w14:paraId="0F23B48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（1）每日“2洗扫2冲水2清理”</w:t>
            </w:r>
          </w:p>
          <w:p w14:paraId="4190956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（2）每周1次路面深度清洗</w:t>
            </w:r>
          </w:p>
        </w:tc>
        <w:tc>
          <w:tcPr>
            <w:tcW w:w="556" w:type="pct"/>
            <w:tcBorders>
              <w:tl2br w:val="nil"/>
              <w:tr2bl w:val="nil"/>
            </w:tcBorders>
            <w:vAlign w:val="center"/>
          </w:tcPr>
          <w:p w14:paraId="75968800">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一级</w:t>
            </w:r>
          </w:p>
        </w:tc>
        <w:tc>
          <w:tcPr>
            <w:tcW w:w="734" w:type="pct"/>
            <w:tcBorders>
              <w:tl2br w:val="nil"/>
              <w:tr2bl w:val="nil"/>
            </w:tcBorders>
            <w:vAlign w:val="center"/>
          </w:tcPr>
          <w:p w14:paraId="2254F6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42661.63 </w:t>
            </w:r>
          </w:p>
        </w:tc>
        <w:tc>
          <w:tcPr>
            <w:tcW w:w="448" w:type="pct"/>
            <w:tcBorders>
              <w:tl2br w:val="nil"/>
              <w:tr2bl w:val="nil"/>
            </w:tcBorders>
            <w:shd w:val="clear" w:color="auto" w:fill="auto"/>
            <w:noWrap/>
            <w:vAlign w:val="center"/>
          </w:tcPr>
          <w:p w14:paraId="3F09BE4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688F89D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22526.68 </w:t>
            </w:r>
          </w:p>
        </w:tc>
        <w:tc>
          <w:tcPr>
            <w:tcW w:w="367" w:type="pct"/>
            <w:tcBorders>
              <w:tl2br w:val="nil"/>
              <w:tr2bl w:val="nil"/>
            </w:tcBorders>
            <w:vAlign w:val="center"/>
          </w:tcPr>
          <w:p w14:paraId="4F29A936">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含小运河水面保洁</w:t>
            </w:r>
          </w:p>
        </w:tc>
      </w:tr>
      <w:tr w14:paraId="0E134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786001E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w:t>
            </w:r>
          </w:p>
        </w:tc>
        <w:tc>
          <w:tcPr>
            <w:tcW w:w="457" w:type="pct"/>
            <w:tcBorders>
              <w:tl2br w:val="nil"/>
              <w:tr2bl w:val="nil"/>
            </w:tcBorders>
            <w:shd w:val="clear" w:color="auto" w:fill="auto"/>
            <w:noWrap/>
            <w:vAlign w:val="center"/>
          </w:tcPr>
          <w:p w14:paraId="682677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三笑大道</w:t>
            </w:r>
          </w:p>
        </w:tc>
        <w:tc>
          <w:tcPr>
            <w:tcW w:w="708" w:type="pct"/>
            <w:tcBorders>
              <w:tl2br w:val="nil"/>
              <w:tr2bl w:val="nil"/>
            </w:tcBorders>
            <w:shd w:val="clear" w:color="auto" w:fill="auto"/>
            <w:noWrap/>
            <w:vAlign w:val="center"/>
          </w:tcPr>
          <w:p w14:paraId="51688D5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四通路—翟庄路</w:t>
            </w:r>
          </w:p>
        </w:tc>
        <w:tc>
          <w:tcPr>
            <w:tcW w:w="637" w:type="pct"/>
            <w:vMerge w:val="continue"/>
            <w:tcBorders>
              <w:tl2br w:val="nil"/>
              <w:tr2bl w:val="nil"/>
            </w:tcBorders>
            <w:shd w:val="clear" w:color="auto" w:fill="auto"/>
            <w:noWrap/>
            <w:vAlign w:val="center"/>
          </w:tcPr>
          <w:p w14:paraId="4FE6A73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3129421B">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一级</w:t>
            </w:r>
          </w:p>
        </w:tc>
        <w:tc>
          <w:tcPr>
            <w:tcW w:w="734" w:type="pct"/>
            <w:tcBorders>
              <w:tl2br w:val="nil"/>
              <w:tr2bl w:val="nil"/>
            </w:tcBorders>
            <w:vAlign w:val="center"/>
          </w:tcPr>
          <w:p w14:paraId="4A9E5C5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50235.58 </w:t>
            </w:r>
          </w:p>
        </w:tc>
        <w:tc>
          <w:tcPr>
            <w:tcW w:w="448" w:type="pct"/>
            <w:tcBorders>
              <w:tl2br w:val="nil"/>
              <w:tr2bl w:val="nil"/>
            </w:tcBorders>
            <w:shd w:val="clear" w:color="auto" w:fill="auto"/>
            <w:noWrap/>
            <w:vAlign w:val="center"/>
          </w:tcPr>
          <w:p w14:paraId="7BC49083">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7C9B699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6641.72 </w:t>
            </w:r>
          </w:p>
        </w:tc>
        <w:tc>
          <w:tcPr>
            <w:tcW w:w="367" w:type="pct"/>
            <w:tcBorders>
              <w:tl2br w:val="nil"/>
              <w:tr2bl w:val="nil"/>
            </w:tcBorders>
            <w:vAlign w:val="center"/>
          </w:tcPr>
          <w:p w14:paraId="33B6532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p>
        </w:tc>
      </w:tr>
      <w:tr w14:paraId="52C7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44F118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13</w:t>
            </w:r>
          </w:p>
        </w:tc>
        <w:tc>
          <w:tcPr>
            <w:tcW w:w="457" w:type="pct"/>
            <w:tcBorders>
              <w:tl2br w:val="nil"/>
              <w:tr2bl w:val="nil"/>
            </w:tcBorders>
            <w:shd w:val="clear" w:color="auto" w:fill="auto"/>
            <w:noWrap/>
            <w:vAlign w:val="center"/>
          </w:tcPr>
          <w:p w14:paraId="3AC1DF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兴园路</w:t>
            </w:r>
          </w:p>
        </w:tc>
        <w:tc>
          <w:tcPr>
            <w:tcW w:w="708" w:type="pct"/>
            <w:tcBorders>
              <w:tl2br w:val="nil"/>
              <w:tr2bl w:val="nil"/>
            </w:tcBorders>
            <w:shd w:val="clear" w:color="auto" w:fill="auto"/>
            <w:noWrap/>
            <w:vAlign w:val="center"/>
          </w:tcPr>
          <w:p w14:paraId="70340D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四通路—翟庄路</w:t>
            </w:r>
          </w:p>
        </w:tc>
        <w:tc>
          <w:tcPr>
            <w:tcW w:w="637" w:type="pct"/>
            <w:vMerge w:val="restart"/>
            <w:tcBorders>
              <w:tl2br w:val="nil"/>
              <w:tr2bl w:val="nil"/>
            </w:tcBorders>
            <w:shd w:val="clear" w:color="auto" w:fill="auto"/>
            <w:noWrap/>
            <w:vAlign w:val="center"/>
          </w:tcPr>
          <w:p w14:paraId="2F838D7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（1）每日“1洗扫2冲水2清理”</w:t>
            </w:r>
          </w:p>
          <w:p w14:paraId="41A5D00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（2）每月2次路面深度清洗</w:t>
            </w:r>
          </w:p>
        </w:tc>
        <w:tc>
          <w:tcPr>
            <w:tcW w:w="556" w:type="pct"/>
            <w:tcBorders>
              <w:tl2br w:val="nil"/>
              <w:tr2bl w:val="nil"/>
            </w:tcBorders>
            <w:vAlign w:val="center"/>
          </w:tcPr>
          <w:p w14:paraId="0F3A281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3F429E4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37264.81 </w:t>
            </w:r>
          </w:p>
        </w:tc>
        <w:tc>
          <w:tcPr>
            <w:tcW w:w="448" w:type="pct"/>
            <w:tcBorders>
              <w:tl2br w:val="nil"/>
              <w:tr2bl w:val="nil"/>
            </w:tcBorders>
            <w:shd w:val="clear" w:color="auto" w:fill="auto"/>
            <w:noWrap/>
            <w:vAlign w:val="center"/>
          </w:tcPr>
          <w:p w14:paraId="64C2BC1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379E3E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8493.45 </w:t>
            </w:r>
          </w:p>
        </w:tc>
        <w:tc>
          <w:tcPr>
            <w:tcW w:w="367" w:type="pct"/>
            <w:tcBorders>
              <w:tl2br w:val="nil"/>
              <w:tr2bl w:val="nil"/>
            </w:tcBorders>
            <w:vAlign w:val="center"/>
          </w:tcPr>
          <w:p w14:paraId="2BA4E2B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32"/>
                <w:szCs w:val="32"/>
                <w:highlight w:val="none"/>
              </w:rPr>
            </w:pPr>
          </w:p>
        </w:tc>
      </w:tr>
      <w:tr w14:paraId="7D0E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6EFD59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14</w:t>
            </w:r>
          </w:p>
        </w:tc>
        <w:tc>
          <w:tcPr>
            <w:tcW w:w="457" w:type="pct"/>
            <w:vMerge w:val="restart"/>
            <w:tcBorders>
              <w:tl2br w:val="nil"/>
              <w:tr2bl w:val="nil"/>
            </w:tcBorders>
            <w:shd w:val="clear" w:color="auto" w:fill="auto"/>
            <w:noWrap/>
            <w:vAlign w:val="center"/>
          </w:tcPr>
          <w:p w14:paraId="4DE423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嵇陈路</w:t>
            </w:r>
          </w:p>
        </w:tc>
        <w:tc>
          <w:tcPr>
            <w:tcW w:w="708" w:type="pct"/>
            <w:tcBorders>
              <w:tl2br w:val="nil"/>
              <w:tr2bl w:val="nil"/>
            </w:tcBorders>
            <w:shd w:val="clear" w:color="auto" w:fill="auto"/>
            <w:noWrap/>
            <w:vAlign w:val="center"/>
          </w:tcPr>
          <w:p w14:paraId="797DB05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兴园路—三笑大道</w:t>
            </w:r>
          </w:p>
        </w:tc>
        <w:tc>
          <w:tcPr>
            <w:tcW w:w="637" w:type="pct"/>
            <w:vMerge w:val="continue"/>
            <w:tcBorders>
              <w:tl2br w:val="nil"/>
              <w:tr2bl w:val="nil"/>
            </w:tcBorders>
            <w:shd w:val="clear" w:color="auto" w:fill="auto"/>
            <w:noWrap/>
            <w:vAlign w:val="center"/>
          </w:tcPr>
          <w:p w14:paraId="05DC849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5C6C4DEC">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71C465F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4180.00 </w:t>
            </w:r>
          </w:p>
        </w:tc>
        <w:tc>
          <w:tcPr>
            <w:tcW w:w="448" w:type="pct"/>
            <w:tcBorders>
              <w:tl2br w:val="nil"/>
              <w:tr2bl w:val="nil"/>
            </w:tcBorders>
            <w:shd w:val="clear" w:color="auto" w:fill="auto"/>
            <w:noWrap/>
            <w:vAlign w:val="center"/>
          </w:tcPr>
          <w:p w14:paraId="1B043EA9">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6DA6834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1480.00 </w:t>
            </w:r>
          </w:p>
        </w:tc>
        <w:tc>
          <w:tcPr>
            <w:tcW w:w="367" w:type="pct"/>
            <w:tcBorders>
              <w:tl2br w:val="nil"/>
              <w:tr2bl w:val="nil"/>
            </w:tcBorders>
            <w:vAlign w:val="center"/>
          </w:tcPr>
          <w:p w14:paraId="5D57960F">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6BDD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FAFD8E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15</w:t>
            </w:r>
          </w:p>
        </w:tc>
        <w:tc>
          <w:tcPr>
            <w:tcW w:w="457" w:type="pct"/>
            <w:vMerge w:val="continue"/>
            <w:tcBorders>
              <w:tl2br w:val="nil"/>
              <w:tr2bl w:val="nil"/>
            </w:tcBorders>
            <w:shd w:val="clear" w:color="auto" w:fill="auto"/>
            <w:noWrap/>
            <w:vAlign w:val="center"/>
          </w:tcPr>
          <w:p w14:paraId="7B81B2D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08" w:type="pct"/>
            <w:tcBorders>
              <w:tl2br w:val="nil"/>
              <w:tr2bl w:val="nil"/>
            </w:tcBorders>
            <w:shd w:val="clear" w:color="auto" w:fill="auto"/>
            <w:noWrap/>
            <w:vAlign w:val="center"/>
          </w:tcPr>
          <w:p w14:paraId="1730072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九龙路-智慧能源产业园</w:t>
            </w:r>
          </w:p>
        </w:tc>
        <w:tc>
          <w:tcPr>
            <w:tcW w:w="637" w:type="pct"/>
            <w:vMerge w:val="continue"/>
            <w:tcBorders>
              <w:tl2br w:val="nil"/>
              <w:tr2bl w:val="nil"/>
            </w:tcBorders>
            <w:shd w:val="clear" w:color="auto" w:fill="auto"/>
            <w:noWrap/>
            <w:vAlign w:val="center"/>
          </w:tcPr>
          <w:p w14:paraId="65CBB0D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482B3E7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7F1674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3600.00 </w:t>
            </w:r>
          </w:p>
        </w:tc>
        <w:tc>
          <w:tcPr>
            <w:tcW w:w="448" w:type="pct"/>
            <w:tcBorders>
              <w:tl2br w:val="nil"/>
              <w:tr2bl w:val="nil"/>
            </w:tcBorders>
            <w:shd w:val="clear" w:color="auto" w:fill="auto"/>
            <w:noWrap/>
            <w:vAlign w:val="center"/>
          </w:tcPr>
          <w:p w14:paraId="0B7686B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0A9382E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473.00 </w:t>
            </w:r>
          </w:p>
        </w:tc>
        <w:tc>
          <w:tcPr>
            <w:tcW w:w="367" w:type="pct"/>
            <w:tcBorders>
              <w:tl2br w:val="nil"/>
              <w:tr2bl w:val="nil"/>
            </w:tcBorders>
            <w:vAlign w:val="center"/>
          </w:tcPr>
          <w:p w14:paraId="244EFAA3">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绿化暂未移交</w:t>
            </w:r>
          </w:p>
        </w:tc>
      </w:tr>
      <w:tr w14:paraId="042E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092A592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16</w:t>
            </w:r>
          </w:p>
        </w:tc>
        <w:tc>
          <w:tcPr>
            <w:tcW w:w="457" w:type="pct"/>
            <w:vMerge w:val="restart"/>
            <w:tcBorders>
              <w:tl2br w:val="nil"/>
              <w:tr2bl w:val="nil"/>
            </w:tcBorders>
            <w:shd w:val="clear" w:color="auto" w:fill="auto"/>
            <w:noWrap/>
            <w:vAlign w:val="center"/>
          </w:tcPr>
          <w:p w14:paraId="2516160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通州路</w:t>
            </w:r>
          </w:p>
        </w:tc>
        <w:tc>
          <w:tcPr>
            <w:tcW w:w="708" w:type="pct"/>
            <w:tcBorders>
              <w:tl2br w:val="nil"/>
              <w:tr2bl w:val="nil"/>
            </w:tcBorders>
            <w:shd w:val="clear" w:color="auto" w:fill="auto"/>
            <w:noWrap/>
            <w:vAlign w:val="center"/>
          </w:tcPr>
          <w:p w14:paraId="7C5D751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四通路—翟庄路</w:t>
            </w:r>
          </w:p>
        </w:tc>
        <w:tc>
          <w:tcPr>
            <w:tcW w:w="637" w:type="pct"/>
            <w:vMerge w:val="continue"/>
            <w:tcBorders>
              <w:tl2br w:val="nil"/>
              <w:tr2bl w:val="nil"/>
            </w:tcBorders>
            <w:shd w:val="clear" w:color="auto" w:fill="auto"/>
            <w:noWrap/>
            <w:vAlign w:val="center"/>
          </w:tcPr>
          <w:p w14:paraId="5A0A729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7C211D6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7E238E8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26358.86 </w:t>
            </w:r>
          </w:p>
        </w:tc>
        <w:tc>
          <w:tcPr>
            <w:tcW w:w="448" w:type="pct"/>
            <w:tcBorders>
              <w:tl2br w:val="nil"/>
              <w:tr2bl w:val="nil"/>
            </w:tcBorders>
            <w:shd w:val="clear" w:color="auto" w:fill="auto"/>
            <w:noWrap/>
            <w:vAlign w:val="center"/>
          </w:tcPr>
          <w:p w14:paraId="5EDA6FD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6F2FE1C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8645.19 </w:t>
            </w:r>
          </w:p>
        </w:tc>
        <w:tc>
          <w:tcPr>
            <w:tcW w:w="367" w:type="pct"/>
            <w:tcBorders>
              <w:tl2br w:val="nil"/>
              <w:tr2bl w:val="nil"/>
            </w:tcBorders>
            <w:vAlign w:val="center"/>
          </w:tcPr>
          <w:p w14:paraId="2A5828E8">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p>
        </w:tc>
      </w:tr>
      <w:tr w14:paraId="297D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4486E8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17</w:t>
            </w:r>
          </w:p>
        </w:tc>
        <w:tc>
          <w:tcPr>
            <w:tcW w:w="457" w:type="pct"/>
            <w:vMerge w:val="continue"/>
            <w:tcBorders>
              <w:tl2br w:val="nil"/>
              <w:tr2bl w:val="nil"/>
            </w:tcBorders>
            <w:shd w:val="clear" w:color="auto" w:fill="auto"/>
            <w:noWrap/>
            <w:vAlign w:val="center"/>
          </w:tcPr>
          <w:p w14:paraId="16D4B20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08" w:type="pct"/>
            <w:tcBorders>
              <w:tl2br w:val="nil"/>
              <w:tr2bl w:val="nil"/>
            </w:tcBorders>
            <w:shd w:val="clear" w:color="auto" w:fill="auto"/>
            <w:noWrap/>
            <w:vAlign w:val="center"/>
          </w:tcPr>
          <w:p w14:paraId="6DEB9CA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联东u谷-四通路</w:t>
            </w:r>
          </w:p>
        </w:tc>
        <w:tc>
          <w:tcPr>
            <w:tcW w:w="637" w:type="pct"/>
            <w:vMerge w:val="continue"/>
            <w:tcBorders>
              <w:tl2br w:val="nil"/>
              <w:tr2bl w:val="nil"/>
            </w:tcBorders>
            <w:shd w:val="clear" w:color="auto" w:fill="auto"/>
            <w:noWrap/>
            <w:vAlign w:val="center"/>
          </w:tcPr>
          <w:p w14:paraId="224D72B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24BF07A5">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10551A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8135.00 </w:t>
            </w:r>
          </w:p>
        </w:tc>
        <w:tc>
          <w:tcPr>
            <w:tcW w:w="448" w:type="pct"/>
            <w:tcBorders>
              <w:tl2br w:val="nil"/>
              <w:tr2bl w:val="nil"/>
            </w:tcBorders>
            <w:shd w:val="clear" w:color="auto" w:fill="auto"/>
            <w:noWrap/>
            <w:vAlign w:val="center"/>
          </w:tcPr>
          <w:p w14:paraId="65977BAD">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53CCF0C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1093.00 </w:t>
            </w:r>
          </w:p>
        </w:tc>
        <w:tc>
          <w:tcPr>
            <w:tcW w:w="367" w:type="pct"/>
            <w:tcBorders>
              <w:tl2br w:val="nil"/>
              <w:tr2bl w:val="nil"/>
            </w:tcBorders>
            <w:vAlign w:val="center"/>
          </w:tcPr>
          <w:p w14:paraId="4CA927E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绿化暂未移交</w:t>
            </w:r>
          </w:p>
        </w:tc>
      </w:tr>
      <w:tr w14:paraId="18EA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C8E677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18</w:t>
            </w:r>
          </w:p>
        </w:tc>
        <w:tc>
          <w:tcPr>
            <w:tcW w:w="457" w:type="pct"/>
            <w:tcBorders>
              <w:tl2br w:val="nil"/>
              <w:tr2bl w:val="nil"/>
            </w:tcBorders>
            <w:shd w:val="clear" w:color="auto" w:fill="auto"/>
            <w:noWrap/>
            <w:vAlign w:val="center"/>
          </w:tcPr>
          <w:p w14:paraId="1485389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九龙路</w:t>
            </w:r>
          </w:p>
        </w:tc>
        <w:tc>
          <w:tcPr>
            <w:tcW w:w="708" w:type="pct"/>
            <w:tcBorders>
              <w:tl2br w:val="nil"/>
              <w:tr2bl w:val="nil"/>
            </w:tcBorders>
            <w:shd w:val="clear" w:color="auto" w:fill="auto"/>
            <w:noWrap/>
            <w:vAlign w:val="center"/>
          </w:tcPr>
          <w:p w14:paraId="0F203D8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四通路—翟庄路，含北端四通路延伸段</w:t>
            </w:r>
          </w:p>
        </w:tc>
        <w:tc>
          <w:tcPr>
            <w:tcW w:w="637" w:type="pct"/>
            <w:vMerge w:val="continue"/>
            <w:tcBorders>
              <w:tl2br w:val="nil"/>
              <w:tr2bl w:val="nil"/>
            </w:tcBorders>
            <w:shd w:val="clear" w:color="auto" w:fill="auto"/>
            <w:noWrap/>
            <w:vAlign w:val="center"/>
          </w:tcPr>
          <w:p w14:paraId="5BA60F1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56" w:type="pct"/>
            <w:tcBorders>
              <w:tl2br w:val="nil"/>
              <w:tr2bl w:val="nil"/>
            </w:tcBorders>
            <w:vAlign w:val="center"/>
          </w:tcPr>
          <w:p w14:paraId="6244E1AC">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34" w:type="pct"/>
            <w:tcBorders>
              <w:tl2br w:val="nil"/>
              <w:tr2bl w:val="nil"/>
            </w:tcBorders>
            <w:vAlign w:val="center"/>
          </w:tcPr>
          <w:p w14:paraId="1E42A8A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16028.19 </w:t>
            </w:r>
          </w:p>
        </w:tc>
        <w:tc>
          <w:tcPr>
            <w:tcW w:w="448" w:type="pct"/>
            <w:tcBorders>
              <w:tl2br w:val="nil"/>
              <w:tr2bl w:val="nil"/>
            </w:tcBorders>
            <w:shd w:val="clear" w:color="auto" w:fill="auto"/>
            <w:noWrap/>
            <w:vAlign w:val="center"/>
          </w:tcPr>
          <w:p w14:paraId="161362FD">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804" w:type="pct"/>
            <w:tcBorders>
              <w:tl2br w:val="nil"/>
              <w:tr2bl w:val="nil"/>
            </w:tcBorders>
            <w:shd w:val="clear" w:color="auto" w:fill="auto"/>
            <w:noWrap/>
            <w:vAlign w:val="center"/>
          </w:tcPr>
          <w:p w14:paraId="4718399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8983.08 </w:t>
            </w:r>
          </w:p>
        </w:tc>
        <w:tc>
          <w:tcPr>
            <w:tcW w:w="367" w:type="pct"/>
            <w:tcBorders>
              <w:tl2br w:val="nil"/>
              <w:tr2bl w:val="nil"/>
            </w:tcBorders>
            <w:vAlign w:val="center"/>
          </w:tcPr>
          <w:p w14:paraId="0E83BDDC">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p>
        </w:tc>
      </w:tr>
      <w:tr w14:paraId="3CA5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52AACC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19</w:t>
            </w:r>
          </w:p>
        </w:tc>
        <w:tc>
          <w:tcPr>
            <w:tcW w:w="1803" w:type="pct"/>
            <w:gridSpan w:val="3"/>
            <w:tcBorders>
              <w:tl2br w:val="nil"/>
              <w:tr2bl w:val="nil"/>
            </w:tcBorders>
            <w:shd w:val="clear" w:color="auto" w:fill="auto"/>
            <w:noWrap/>
            <w:vAlign w:val="center"/>
          </w:tcPr>
          <w:p w14:paraId="197E2D0C">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小计</w:t>
            </w:r>
          </w:p>
        </w:tc>
        <w:tc>
          <w:tcPr>
            <w:tcW w:w="556" w:type="pct"/>
            <w:tcBorders>
              <w:tl2br w:val="nil"/>
              <w:tr2bl w:val="nil"/>
            </w:tcBorders>
            <w:vAlign w:val="center"/>
          </w:tcPr>
          <w:p w14:paraId="2FF54DB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34" w:type="pct"/>
            <w:tcBorders>
              <w:tl2br w:val="nil"/>
              <w:tr2bl w:val="nil"/>
            </w:tcBorders>
            <w:vAlign w:val="center"/>
          </w:tcPr>
          <w:p w14:paraId="43BFCB72">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345154.32</w:t>
            </w:r>
          </w:p>
        </w:tc>
        <w:tc>
          <w:tcPr>
            <w:tcW w:w="448" w:type="pct"/>
            <w:tcBorders>
              <w:tl2br w:val="nil"/>
              <w:tr2bl w:val="nil"/>
            </w:tcBorders>
            <w:shd w:val="clear" w:color="auto" w:fill="auto"/>
            <w:noWrap/>
            <w:vAlign w:val="center"/>
          </w:tcPr>
          <w:p w14:paraId="399D2C3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04" w:type="pct"/>
            <w:tcBorders>
              <w:tl2br w:val="nil"/>
              <w:tr2bl w:val="nil"/>
            </w:tcBorders>
            <w:shd w:val="clear" w:color="auto" w:fill="auto"/>
            <w:noWrap/>
            <w:vAlign w:val="center"/>
          </w:tcPr>
          <w:p w14:paraId="78EDD2C6">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144759.86</w:t>
            </w:r>
          </w:p>
        </w:tc>
        <w:tc>
          <w:tcPr>
            <w:tcW w:w="367" w:type="pct"/>
            <w:tcBorders>
              <w:tl2br w:val="nil"/>
              <w:tr2bl w:val="nil"/>
            </w:tcBorders>
            <w:vAlign w:val="center"/>
          </w:tcPr>
          <w:p w14:paraId="6586891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29462EEC">
      <w:pPr>
        <w:shd w:val="clear"/>
        <w:spacing w:before="120" w:line="360" w:lineRule="auto"/>
        <w:ind w:firstLine="482"/>
        <w:rPr>
          <w:rFonts w:ascii="宋体" w:hAnsi="宋体"/>
          <w:b/>
          <w:bCs/>
          <w:iCs/>
          <w:color w:val="auto"/>
          <w:sz w:val="24"/>
          <w:szCs w:val="24"/>
          <w:highlight w:val="none"/>
        </w:rPr>
      </w:pPr>
      <w:r>
        <w:rPr>
          <w:rFonts w:hint="eastAsia" w:ascii="宋体" w:hAnsi="宋体"/>
          <w:b/>
          <w:bCs/>
          <w:iCs/>
          <w:color w:val="auto"/>
          <w:sz w:val="24"/>
          <w:szCs w:val="24"/>
          <w:highlight w:val="none"/>
        </w:rPr>
        <w:t>分包</w:t>
      </w:r>
      <w:r>
        <w:rPr>
          <w:rFonts w:hint="eastAsia" w:ascii="宋体" w:hAnsi="宋体"/>
          <w:b/>
          <w:bCs/>
          <w:iCs/>
          <w:color w:val="auto"/>
          <w:sz w:val="24"/>
          <w:szCs w:val="24"/>
          <w:highlight w:val="none"/>
          <w:lang w:val="en-US" w:eastAsia="zh-CN"/>
        </w:rPr>
        <w:t>3</w:t>
      </w:r>
      <w:r>
        <w:rPr>
          <w:rFonts w:hint="eastAsia" w:ascii="宋体" w:hAnsi="宋体"/>
          <w:b/>
          <w:bCs/>
          <w:iCs/>
          <w:color w:val="auto"/>
          <w:sz w:val="24"/>
          <w:szCs w:val="24"/>
          <w:highlight w:val="none"/>
        </w:rPr>
        <w:t>：东南部片区（含翟庄路）“城市管家”一体化作业</w:t>
      </w:r>
    </w:p>
    <w:p w14:paraId="4F7C73C1">
      <w:pPr>
        <w:shd w:val="clear"/>
        <w:spacing w:line="360" w:lineRule="auto"/>
        <w:ind w:firstLine="482"/>
        <w:rPr>
          <w:rFonts w:hint="eastAsia" w:ascii="宋体" w:hAnsi="宋体"/>
          <w:bCs/>
          <w:iCs/>
          <w:color w:val="auto"/>
          <w:sz w:val="24"/>
          <w:szCs w:val="24"/>
          <w:highlight w:val="none"/>
          <w:lang w:eastAsia="zh-CN"/>
        </w:rPr>
      </w:pPr>
      <w:r>
        <w:rPr>
          <w:rFonts w:hint="eastAsia" w:ascii="宋体" w:hAnsi="宋体"/>
          <w:bCs/>
          <w:iCs/>
          <w:color w:val="auto"/>
          <w:sz w:val="24"/>
          <w:szCs w:val="24"/>
          <w:highlight w:val="none"/>
        </w:rPr>
        <w:t>东南部片区（含翟庄路）内主次干道清扫保洁及随路绿化养护、交通护栏等公共设施保洁等服务项目</w:t>
      </w:r>
      <w:r>
        <w:rPr>
          <w:rFonts w:hint="eastAsia" w:ascii="宋体" w:hAnsi="宋体"/>
          <w:bCs/>
          <w:iCs/>
          <w:color w:val="auto"/>
          <w:sz w:val="24"/>
          <w:szCs w:val="24"/>
          <w:highlight w:val="none"/>
          <w:lang w:eastAsia="zh-CN"/>
        </w:rPr>
        <w:t>。</w:t>
      </w:r>
    </w:p>
    <w:p w14:paraId="31697604">
      <w:pPr>
        <w:shd w:val="clear"/>
        <w:spacing w:line="360" w:lineRule="auto"/>
        <w:jc w:val="center"/>
        <w:rPr>
          <w:rFonts w:hint="eastAsia" w:ascii="宋体" w:hAnsi="宋体"/>
          <w:b/>
          <w:color w:val="auto"/>
          <w:sz w:val="24"/>
          <w:szCs w:val="24"/>
          <w:highlight w:val="none"/>
        </w:rPr>
      </w:pPr>
      <w:r>
        <w:rPr>
          <w:rFonts w:hint="eastAsia" w:ascii="宋体" w:hAnsi="宋体"/>
          <w:b/>
          <w:color w:val="auto"/>
          <w:sz w:val="24"/>
          <w:szCs w:val="24"/>
          <w:highlight w:val="none"/>
        </w:rPr>
        <w:t>东南部片区（含翟庄路）“城市管家”一体化作业划分明细表</w:t>
      </w:r>
    </w:p>
    <w:tbl>
      <w:tblPr>
        <w:tblStyle w:val="28"/>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848"/>
        <w:gridCol w:w="1313"/>
        <w:gridCol w:w="1180"/>
        <w:gridCol w:w="980"/>
        <w:gridCol w:w="1410"/>
        <w:gridCol w:w="830"/>
        <w:gridCol w:w="1344"/>
        <w:gridCol w:w="826"/>
      </w:tblGrid>
      <w:tr w14:paraId="1C1D2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blHeader/>
        </w:trPr>
        <w:tc>
          <w:tcPr>
            <w:tcW w:w="286" w:type="pct"/>
            <w:tcBorders>
              <w:tl2br w:val="nil"/>
              <w:tr2bl w:val="nil"/>
            </w:tcBorders>
            <w:shd w:val="clear" w:color="auto" w:fill="auto"/>
            <w:noWrap/>
            <w:vAlign w:val="center"/>
          </w:tcPr>
          <w:p w14:paraId="2D7176BF">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序号</w:t>
            </w:r>
          </w:p>
        </w:tc>
        <w:tc>
          <w:tcPr>
            <w:tcW w:w="457" w:type="pct"/>
            <w:tcBorders>
              <w:tl2br w:val="nil"/>
              <w:tr2bl w:val="nil"/>
            </w:tcBorders>
            <w:shd w:val="clear" w:color="auto" w:fill="auto"/>
            <w:noWrap/>
            <w:vAlign w:val="center"/>
          </w:tcPr>
          <w:p w14:paraId="085939C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作业</w:t>
            </w:r>
          </w:p>
          <w:p w14:paraId="7B49C5A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路段</w:t>
            </w:r>
          </w:p>
        </w:tc>
        <w:tc>
          <w:tcPr>
            <w:tcW w:w="708" w:type="pct"/>
            <w:tcBorders>
              <w:tl2br w:val="nil"/>
              <w:tr2bl w:val="nil"/>
            </w:tcBorders>
            <w:shd w:val="clear" w:color="auto" w:fill="auto"/>
            <w:noWrap/>
            <w:vAlign w:val="center"/>
          </w:tcPr>
          <w:p w14:paraId="40A0B177">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起讫地点</w:t>
            </w:r>
          </w:p>
        </w:tc>
        <w:tc>
          <w:tcPr>
            <w:tcW w:w="637" w:type="pct"/>
            <w:tcBorders>
              <w:tl2br w:val="nil"/>
              <w:tr2bl w:val="nil"/>
            </w:tcBorders>
            <w:shd w:val="clear" w:color="auto" w:fill="auto"/>
            <w:noWrap/>
            <w:vAlign w:val="center"/>
          </w:tcPr>
          <w:p w14:paraId="6D84376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作业</w:t>
            </w:r>
          </w:p>
          <w:p w14:paraId="06BA0F5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频次</w:t>
            </w:r>
          </w:p>
        </w:tc>
        <w:tc>
          <w:tcPr>
            <w:tcW w:w="529" w:type="pct"/>
            <w:tcBorders>
              <w:tl2br w:val="nil"/>
              <w:tr2bl w:val="nil"/>
            </w:tcBorders>
            <w:vAlign w:val="center"/>
          </w:tcPr>
          <w:p w14:paraId="2295CA0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保洁</w:t>
            </w:r>
          </w:p>
          <w:p w14:paraId="5183318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等级</w:t>
            </w:r>
          </w:p>
        </w:tc>
        <w:tc>
          <w:tcPr>
            <w:tcW w:w="761" w:type="pct"/>
            <w:tcBorders>
              <w:tl2br w:val="nil"/>
              <w:tr2bl w:val="nil"/>
            </w:tcBorders>
            <w:vAlign w:val="center"/>
          </w:tcPr>
          <w:p w14:paraId="2B3BDEE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保洁</w:t>
            </w:r>
            <w:r>
              <w:rPr>
                <w:rFonts w:hint="default" w:ascii="宋体" w:hAnsi="宋体" w:cs="宋体"/>
                <w:color w:val="auto"/>
                <w:kern w:val="2"/>
                <w:sz w:val="24"/>
                <w:szCs w:val="24"/>
                <w:highlight w:val="none"/>
              </w:rPr>
              <w:t>面积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eastAsia="zh-CN"/>
              </w:rPr>
              <w:t>）</w:t>
            </w:r>
          </w:p>
        </w:tc>
        <w:tc>
          <w:tcPr>
            <w:tcW w:w="448" w:type="pct"/>
            <w:tcBorders>
              <w:tl2br w:val="nil"/>
              <w:tr2bl w:val="nil"/>
            </w:tcBorders>
            <w:shd w:val="clear" w:color="auto" w:fill="auto"/>
            <w:vAlign w:val="center"/>
          </w:tcPr>
          <w:p w14:paraId="662CAA8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养护</w:t>
            </w:r>
            <w:r>
              <w:rPr>
                <w:rFonts w:hint="default" w:ascii="宋体" w:hAnsi="宋体" w:cs="宋体"/>
                <w:color w:val="auto"/>
                <w:kern w:val="2"/>
                <w:sz w:val="24"/>
                <w:szCs w:val="24"/>
                <w:highlight w:val="none"/>
              </w:rPr>
              <w:t>等级</w:t>
            </w:r>
          </w:p>
        </w:tc>
        <w:tc>
          <w:tcPr>
            <w:tcW w:w="725" w:type="pct"/>
            <w:tcBorders>
              <w:tl2br w:val="nil"/>
              <w:tr2bl w:val="nil"/>
            </w:tcBorders>
            <w:shd w:val="clear" w:color="auto" w:fill="auto"/>
            <w:vAlign w:val="center"/>
          </w:tcPr>
          <w:p w14:paraId="1323882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绿化带</w:t>
            </w:r>
            <w:r>
              <w:rPr>
                <w:rFonts w:hint="default" w:ascii="宋体" w:hAnsi="宋体" w:cs="宋体"/>
                <w:color w:val="auto"/>
                <w:kern w:val="2"/>
                <w:sz w:val="24"/>
                <w:szCs w:val="24"/>
                <w:highlight w:val="none"/>
              </w:rPr>
              <w:t>面积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eastAsia="zh-CN"/>
              </w:rPr>
              <w:t>）</w:t>
            </w:r>
          </w:p>
        </w:tc>
        <w:tc>
          <w:tcPr>
            <w:tcW w:w="445" w:type="pct"/>
            <w:tcBorders>
              <w:tl2br w:val="nil"/>
              <w:tr2bl w:val="nil"/>
            </w:tcBorders>
            <w:vAlign w:val="center"/>
          </w:tcPr>
          <w:p w14:paraId="1710918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5EA7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784F4E42">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w:t>
            </w:r>
          </w:p>
        </w:tc>
        <w:tc>
          <w:tcPr>
            <w:tcW w:w="457" w:type="pct"/>
            <w:vMerge w:val="restart"/>
            <w:tcBorders>
              <w:tl2br w:val="nil"/>
              <w:tr2bl w:val="nil"/>
            </w:tcBorders>
            <w:shd w:val="clear" w:color="auto" w:fill="auto"/>
            <w:noWrap/>
            <w:vAlign w:val="center"/>
          </w:tcPr>
          <w:p w14:paraId="52B31C5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三笑大道</w:t>
            </w:r>
          </w:p>
        </w:tc>
        <w:tc>
          <w:tcPr>
            <w:tcW w:w="708" w:type="pct"/>
            <w:tcBorders>
              <w:tl2br w:val="nil"/>
              <w:tr2bl w:val="nil"/>
            </w:tcBorders>
            <w:shd w:val="clear" w:color="auto" w:fill="auto"/>
            <w:noWrap/>
            <w:vAlign w:val="center"/>
          </w:tcPr>
          <w:p w14:paraId="596A80D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翟庄路—杭府街</w:t>
            </w:r>
          </w:p>
        </w:tc>
        <w:tc>
          <w:tcPr>
            <w:tcW w:w="637" w:type="pct"/>
            <w:vMerge w:val="restart"/>
            <w:tcBorders>
              <w:tl2br w:val="nil"/>
              <w:tr2bl w:val="nil"/>
            </w:tcBorders>
            <w:shd w:val="clear" w:color="auto" w:fill="auto"/>
            <w:noWrap/>
            <w:vAlign w:val="center"/>
          </w:tcPr>
          <w:p w14:paraId="545D05B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（1）每日“2洗扫2冲水2清理”</w:t>
            </w:r>
          </w:p>
          <w:p w14:paraId="7E82E4DE">
            <w:pPr>
              <w:keepNext w:val="0"/>
              <w:keepLines w:val="0"/>
              <w:widowControl/>
              <w:suppressLineNumbers w:val="0"/>
              <w:shd w:val="clear"/>
              <w:spacing w:before="0" w:beforeAutospacing="0" w:after="0" w:afterAutospacing="0"/>
              <w:ind w:left="0" w:right="0"/>
              <w:jc w:val="center"/>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（2）每周1次路面深度清洗</w:t>
            </w:r>
          </w:p>
        </w:tc>
        <w:tc>
          <w:tcPr>
            <w:tcW w:w="529" w:type="pct"/>
            <w:tcBorders>
              <w:tl2br w:val="nil"/>
              <w:tr2bl w:val="nil"/>
            </w:tcBorders>
            <w:vAlign w:val="center"/>
          </w:tcPr>
          <w:p w14:paraId="31D9DEC6">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一级</w:t>
            </w:r>
          </w:p>
        </w:tc>
        <w:tc>
          <w:tcPr>
            <w:tcW w:w="761" w:type="pct"/>
            <w:tcBorders>
              <w:tl2br w:val="nil"/>
              <w:tr2bl w:val="nil"/>
            </w:tcBorders>
            <w:vAlign w:val="center"/>
          </w:tcPr>
          <w:p w14:paraId="430F81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72196.97 </w:t>
            </w:r>
          </w:p>
        </w:tc>
        <w:tc>
          <w:tcPr>
            <w:tcW w:w="448" w:type="pct"/>
            <w:tcBorders>
              <w:tl2br w:val="nil"/>
              <w:tr2bl w:val="nil"/>
            </w:tcBorders>
            <w:shd w:val="clear" w:color="auto" w:fill="auto"/>
            <w:noWrap/>
            <w:vAlign w:val="center"/>
          </w:tcPr>
          <w:p w14:paraId="6236BD17">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51E8A297">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9545.26 </w:t>
            </w:r>
          </w:p>
        </w:tc>
        <w:tc>
          <w:tcPr>
            <w:tcW w:w="445" w:type="pct"/>
            <w:tcBorders>
              <w:tl2br w:val="nil"/>
              <w:tr2bl w:val="nil"/>
            </w:tcBorders>
            <w:vAlign w:val="center"/>
          </w:tcPr>
          <w:p w14:paraId="3F851C7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含路口面积</w:t>
            </w:r>
          </w:p>
        </w:tc>
      </w:tr>
      <w:tr w14:paraId="04ED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00027C3">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2</w:t>
            </w:r>
          </w:p>
        </w:tc>
        <w:tc>
          <w:tcPr>
            <w:tcW w:w="457" w:type="pct"/>
            <w:vMerge w:val="continue"/>
            <w:tcBorders>
              <w:tl2br w:val="nil"/>
              <w:tr2bl w:val="nil"/>
            </w:tcBorders>
            <w:shd w:val="clear" w:color="auto" w:fill="auto"/>
            <w:noWrap/>
            <w:vAlign w:val="center"/>
          </w:tcPr>
          <w:p w14:paraId="68A905C2">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p>
        </w:tc>
        <w:tc>
          <w:tcPr>
            <w:tcW w:w="708" w:type="pct"/>
            <w:tcBorders>
              <w:tl2br w:val="nil"/>
              <w:tr2bl w:val="nil"/>
            </w:tcBorders>
            <w:shd w:val="clear" w:color="auto" w:fill="auto"/>
            <w:noWrap/>
            <w:vAlign w:val="center"/>
          </w:tcPr>
          <w:p w14:paraId="34AFC69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富民路-吴州路</w:t>
            </w:r>
          </w:p>
        </w:tc>
        <w:tc>
          <w:tcPr>
            <w:tcW w:w="637" w:type="pct"/>
            <w:vMerge w:val="continue"/>
            <w:tcBorders>
              <w:tl2br w:val="nil"/>
              <w:tr2bl w:val="nil"/>
            </w:tcBorders>
            <w:shd w:val="clear" w:color="auto" w:fill="auto"/>
            <w:noWrap/>
            <w:vAlign w:val="center"/>
          </w:tcPr>
          <w:p w14:paraId="63AF283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53BA4CC9">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一级</w:t>
            </w:r>
          </w:p>
        </w:tc>
        <w:tc>
          <w:tcPr>
            <w:tcW w:w="761" w:type="pct"/>
            <w:tcBorders>
              <w:tl2br w:val="nil"/>
              <w:tr2bl w:val="nil"/>
            </w:tcBorders>
            <w:vAlign w:val="center"/>
          </w:tcPr>
          <w:p w14:paraId="6A88398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48246.10 </w:t>
            </w:r>
          </w:p>
        </w:tc>
        <w:tc>
          <w:tcPr>
            <w:tcW w:w="448" w:type="pct"/>
            <w:tcBorders>
              <w:tl2br w:val="nil"/>
              <w:tr2bl w:val="nil"/>
            </w:tcBorders>
            <w:shd w:val="clear" w:color="auto" w:fill="auto"/>
            <w:noWrap/>
            <w:vAlign w:val="center"/>
          </w:tcPr>
          <w:p w14:paraId="6FAD80B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167E0AE6">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12790.40 </w:t>
            </w:r>
          </w:p>
        </w:tc>
        <w:tc>
          <w:tcPr>
            <w:tcW w:w="445" w:type="pct"/>
            <w:tcBorders>
              <w:tl2br w:val="nil"/>
              <w:tr2bl w:val="nil"/>
            </w:tcBorders>
            <w:vAlign w:val="center"/>
          </w:tcPr>
          <w:p w14:paraId="1B39603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绿化暂未移交</w:t>
            </w:r>
          </w:p>
        </w:tc>
      </w:tr>
      <w:tr w14:paraId="2AA2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3DC2F1F">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3</w:t>
            </w:r>
          </w:p>
        </w:tc>
        <w:tc>
          <w:tcPr>
            <w:tcW w:w="457" w:type="pct"/>
            <w:tcBorders>
              <w:tl2br w:val="nil"/>
              <w:tr2bl w:val="nil"/>
            </w:tcBorders>
            <w:shd w:val="clear" w:color="auto" w:fill="auto"/>
            <w:noWrap/>
            <w:vAlign w:val="center"/>
          </w:tcPr>
          <w:p w14:paraId="1EE2A80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w:t>
            </w:r>
          </w:p>
        </w:tc>
        <w:tc>
          <w:tcPr>
            <w:tcW w:w="708" w:type="pct"/>
            <w:tcBorders>
              <w:tl2br w:val="nil"/>
              <w:tr2bl w:val="nil"/>
            </w:tcBorders>
            <w:shd w:val="clear" w:color="auto" w:fill="auto"/>
            <w:noWrap/>
            <w:vAlign w:val="center"/>
          </w:tcPr>
          <w:p w14:paraId="00580B3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翟庄路—G40</w:t>
            </w:r>
          </w:p>
        </w:tc>
        <w:tc>
          <w:tcPr>
            <w:tcW w:w="637" w:type="pct"/>
            <w:vMerge w:val="continue"/>
            <w:tcBorders>
              <w:tl2br w:val="nil"/>
              <w:tr2bl w:val="nil"/>
            </w:tcBorders>
            <w:shd w:val="clear" w:color="auto" w:fill="auto"/>
            <w:noWrap/>
            <w:vAlign w:val="center"/>
          </w:tcPr>
          <w:p w14:paraId="33E4FD2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03F10EA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一级</w:t>
            </w:r>
          </w:p>
        </w:tc>
        <w:tc>
          <w:tcPr>
            <w:tcW w:w="761" w:type="pct"/>
            <w:tcBorders>
              <w:tl2br w:val="nil"/>
              <w:tr2bl w:val="nil"/>
            </w:tcBorders>
            <w:vAlign w:val="center"/>
          </w:tcPr>
          <w:p w14:paraId="07EC3002">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78500.34 </w:t>
            </w:r>
          </w:p>
        </w:tc>
        <w:tc>
          <w:tcPr>
            <w:tcW w:w="448" w:type="pct"/>
            <w:tcBorders>
              <w:tl2br w:val="nil"/>
              <w:tr2bl w:val="nil"/>
            </w:tcBorders>
            <w:shd w:val="clear" w:color="auto" w:fill="auto"/>
            <w:noWrap/>
            <w:vAlign w:val="center"/>
          </w:tcPr>
          <w:p w14:paraId="335053F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1C6DF05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16928.91 </w:t>
            </w:r>
          </w:p>
        </w:tc>
        <w:tc>
          <w:tcPr>
            <w:tcW w:w="445" w:type="pct"/>
            <w:tcBorders>
              <w:tl2br w:val="nil"/>
              <w:tr2bl w:val="nil"/>
            </w:tcBorders>
            <w:vAlign w:val="center"/>
          </w:tcPr>
          <w:p w14:paraId="2BBBA413">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lang w:val="en-US"/>
              </w:rPr>
            </w:pPr>
            <w:r>
              <w:rPr>
                <w:rFonts w:hint="eastAsia" w:ascii="宋体" w:hAnsi="宋体" w:eastAsia="宋体" w:cs="宋体"/>
                <w:i w:val="0"/>
                <w:iCs w:val="0"/>
                <w:color w:val="auto"/>
                <w:kern w:val="0"/>
                <w:sz w:val="24"/>
                <w:szCs w:val="24"/>
                <w:highlight w:val="none"/>
                <w:u w:val="none"/>
                <w:lang w:val="en-US" w:eastAsia="zh-CN" w:bidi="ar"/>
              </w:rPr>
              <w:t>含路口面积</w:t>
            </w:r>
            <w:r>
              <w:rPr>
                <w:rFonts w:hint="eastAsia" w:ascii="宋体" w:hAnsi="宋体" w:cs="宋体"/>
                <w:i w:val="0"/>
                <w:iCs w:val="0"/>
                <w:color w:val="auto"/>
                <w:kern w:val="0"/>
                <w:sz w:val="24"/>
                <w:szCs w:val="24"/>
                <w:highlight w:val="none"/>
                <w:u w:val="none"/>
                <w:lang w:val="en-US" w:eastAsia="zh-CN" w:bidi="ar"/>
              </w:rPr>
              <w:t>,含小运河（翟庄路至利民路）水面保洁</w:t>
            </w:r>
          </w:p>
        </w:tc>
      </w:tr>
      <w:tr w14:paraId="32DD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7403768">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4</w:t>
            </w:r>
          </w:p>
        </w:tc>
        <w:tc>
          <w:tcPr>
            <w:tcW w:w="457" w:type="pct"/>
            <w:tcBorders>
              <w:tl2br w:val="nil"/>
              <w:tr2bl w:val="nil"/>
            </w:tcBorders>
            <w:shd w:val="clear" w:color="auto" w:fill="auto"/>
            <w:noWrap/>
            <w:vAlign w:val="center"/>
          </w:tcPr>
          <w:p w14:paraId="1C9C574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翟庄路</w:t>
            </w:r>
          </w:p>
        </w:tc>
        <w:tc>
          <w:tcPr>
            <w:tcW w:w="708" w:type="pct"/>
            <w:tcBorders>
              <w:tl2br w:val="nil"/>
              <w:tr2bl w:val="nil"/>
            </w:tcBorders>
            <w:shd w:val="clear" w:color="auto" w:fill="auto"/>
            <w:noWrap/>
            <w:vAlign w:val="center"/>
          </w:tcPr>
          <w:p w14:paraId="58CCECD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曙光路—伟业路</w:t>
            </w:r>
          </w:p>
        </w:tc>
        <w:tc>
          <w:tcPr>
            <w:tcW w:w="637" w:type="pct"/>
            <w:vMerge w:val="restart"/>
            <w:tcBorders>
              <w:tl2br w:val="nil"/>
              <w:tr2bl w:val="nil"/>
            </w:tcBorders>
            <w:shd w:val="clear" w:color="auto" w:fill="auto"/>
            <w:noWrap/>
            <w:vAlign w:val="center"/>
          </w:tcPr>
          <w:p w14:paraId="3593E04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（1）每日“1洗扫2冲水2清理”</w:t>
            </w:r>
          </w:p>
          <w:p w14:paraId="6E285C4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（2）每月2次路面深度清洗</w:t>
            </w:r>
          </w:p>
        </w:tc>
        <w:tc>
          <w:tcPr>
            <w:tcW w:w="529" w:type="pct"/>
            <w:tcBorders>
              <w:tl2br w:val="nil"/>
              <w:tr2bl w:val="nil"/>
            </w:tcBorders>
            <w:vAlign w:val="center"/>
          </w:tcPr>
          <w:p w14:paraId="6766A69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425EAEE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14492.00 </w:t>
            </w:r>
          </w:p>
        </w:tc>
        <w:tc>
          <w:tcPr>
            <w:tcW w:w="448" w:type="pct"/>
            <w:tcBorders>
              <w:tl2br w:val="nil"/>
              <w:tr2bl w:val="nil"/>
            </w:tcBorders>
            <w:shd w:val="clear" w:color="auto" w:fill="auto"/>
            <w:noWrap/>
            <w:vAlign w:val="center"/>
          </w:tcPr>
          <w:p w14:paraId="359E124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23F88221">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4827.00 </w:t>
            </w:r>
          </w:p>
        </w:tc>
        <w:tc>
          <w:tcPr>
            <w:tcW w:w="445" w:type="pct"/>
            <w:tcBorders>
              <w:tl2br w:val="nil"/>
              <w:tr2bl w:val="nil"/>
            </w:tcBorders>
            <w:vAlign w:val="center"/>
          </w:tcPr>
          <w:p w14:paraId="0446E398">
            <w:pPr>
              <w:keepNext w:val="0"/>
              <w:keepLines w:val="0"/>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含路口面积</w:t>
            </w:r>
          </w:p>
        </w:tc>
      </w:tr>
      <w:tr w14:paraId="4D05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6ACFFF3">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5</w:t>
            </w:r>
          </w:p>
        </w:tc>
        <w:tc>
          <w:tcPr>
            <w:tcW w:w="457" w:type="pct"/>
            <w:vMerge w:val="restart"/>
            <w:tcBorders>
              <w:tl2br w:val="nil"/>
              <w:tr2bl w:val="nil"/>
            </w:tcBorders>
            <w:shd w:val="clear" w:color="auto" w:fill="auto"/>
            <w:noWrap/>
            <w:vAlign w:val="center"/>
          </w:tcPr>
          <w:p w14:paraId="517EF922">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富民路</w:t>
            </w:r>
          </w:p>
        </w:tc>
        <w:tc>
          <w:tcPr>
            <w:tcW w:w="708" w:type="pct"/>
            <w:tcBorders>
              <w:tl2br w:val="nil"/>
              <w:tr2bl w:val="nil"/>
            </w:tcBorders>
            <w:shd w:val="clear" w:color="auto" w:fill="auto"/>
            <w:noWrap/>
            <w:vAlign w:val="center"/>
          </w:tcPr>
          <w:p w14:paraId="7C3AEB9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曙光路—伟业路</w:t>
            </w:r>
          </w:p>
        </w:tc>
        <w:tc>
          <w:tcPr>
            <w:tcW w:w="637" w:type="pct"/>
            <w:vMerge w:val="continue"/>
            <w:tcBorders>
              <w:tl2br w:val="nil"/>
              <w:tr2bl w:val="nil"/>
            </w:tcBorders>
            <w:shd w:val="clear" w:color="auto" w:fill="auto"/>
            <w:noWrap/>
            <w:vAlign w:val="center"/>
          </w:tcPr>
          <w:p w14:paraId="24D915A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1A77F57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3C15A05A">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7651.00 </w:t>
            </w:r>
          </w:p>
        </w:tc>
        <w:tc>
          <w:tcPr>
            <w:tcW w:w="448" w:type="pct"/>
            <w:tcBorders>
              <w:tl2br w:val="nil"/>
              <w:tr2bl w:val="nil"/>
            </w:tcBorders>
            <w:shd w:val="clear" w:color="auto" w:fill="auto"/>
            <w:noWrap/>
            <w:vAlign w:val="center"/>
          </w:tcPr>
          <w:p w14:paraId="178B331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1EFFB65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104.00 </w:t>
            </w:r>
          </w:p>
        </w:tc>
        <w:tc>
          <w:tcPr>
            <w:tcW w:w="445" w:type="pct"/>
            <w:tcBorders>
              <w:tl2br w:val="nil"/>
              <w:tr2bl w:val="nil"/>
            </w:tcBorders>
            <w:vAlign w:val="center"/>
          </w:tcPr>
          <w:p w14:paraId="33B3F425">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02740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F79595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w:t>
            </w:r>
          </w:p>
        </w:tc>
        <w:tc>
          <w:tcPr>
            <w:tcW w:w="457" w:type="pct"/>
            <w:vMerge w:val="continue"/>
            <w:tcBorders>
              <w:tl2br w:val="nil"/>
              <w:tr2bl w:val="nil"/>
            </w:tcBorders>
            <w:shd w:val="clear" w:color="auto" w:fill="auto"/>
            <w:noWrap/>
            <w:vAlign w:val="center"/>
          </w:tcPr>
          <w:p w14:paraId="7E74E9C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08" w:type="pct"/>
            <w:tcBorders>
              <w:tl2br w:val="nil"/>
              <w:tr2bl w:val="nil"/>
            </w:tcBorders>
            <w:shd w:val="clear" w:color="auto" w:fill="auto"/>
            <w:noWrap/>
            <w:vAlign w:val="center"/>
          </w:tcPr>
          <w:p w14:paraId="47006B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杭集幼儿园—曙光路</w:t>
            </w:r>
          </w:p>
        </w:tc>
        <w:tc>
          <w:tcPr>
            <w:tcW w:w="637" w:type="pct"/>
            <w:vMerge w:val="continue"/>
            <w:tcBorders>
              <w:tl2br w:val="nil"/>
              <w:tr2bl w:val="nil"/>
            </w:tcBorders>
            <w:shd w:val="clear" w:color="auto" w:fill="auto"/>
            <w:noWrap/>
            <w:vAlign w:val="center"/>
          </w:tcPr>
          <w:p w14:paraId="489E96B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46580B99">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713A2B1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7758.00 </w:t>
            </w:r>
          </w:p>
        </w:tc>
        <w:tc>
          <w:tcPr>
            <w:tcW w:w="448" w:type="pct"/>
            <w:tcBorders>
              <w:tl2br w:val="nil"/>
              <w:tr2bl w:val="nil"/>
            </w:tcBorders>
            <w:shd w:val="clear" w:color="auto" w:fill="auto"/>
            <w:noWrap/>
            <w:vAlign w:val="center"/>
          </w:tcPr>
          <w:p w14:paraId="3A27BBC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1A81788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249.00 </w:t>
            </w:r>
          </w:p>
        </w:tc>
        <w:tc>
          <w:tcPr>
            <w:tcW w:w="445" w:type="pct"/>
            <w:tcBorders>
              <w:tl2br w:val="nil"/>
              <w:tr2bl w:val="nil"/>
            </w:tcBorders>
            <w:vAlign w:val="center"/>
          </w:tcPr>
          <w:p w14:paraId="4E23D1EA">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3E7F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5D1347B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w:t>
            </w:r>
          </w:p>
        </w:tc>
        <w:tc>
          <w:tcPr>
            <w:tcW w:w="457" w:type="pct"/>
            <w:vMerge w:val="restart"/>
            <w:tcBorders>
              <w:tl2br w:val="nil"/>
              <w:tr2bl w:val="nil"/>
            </w:tcBorders>
            <w:shd w:val="clear" w:color="auto" w:fill="auto"/>
            <w:noWrap/>
            <w:vAlign w:val="center"/>
          </w:tcPr>
          <w:p w14:paraId="02B393EF">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杭府街</w:t>
            </w:r>
          </w:p>
        </w:tc>
        <w:tc>
          <w:tcPr>
            <w:tcW w:w="708" w:type="pct"/>
            <w:tcBorders>
              <w:tl2br w:val="nil"/>
              <w:tr2bl w:val="nil"/>
            </w:tcBorders>
            <w:shd w:val="clear" w:color="auto" w:fill="auto"/>
            <w:noWrap/>
            <w:vAlign w:val="center"/>
          </w:tcPr>
          <w:p w14:paraId="3D2799F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曙光路—伟业路</w:t>
            </w:r>
          </w:p>
        </w:tc>
        <w:tc>
          <w:tcPr>
            <w:tcW w:w="637" w:type="pct"/>
            <w:vMerge w:val="continue"/>
            <w:tcBorders>
              <w:tl2br w:val="nil"/>
              <w:tr2bl w:val="nil"/>
            </w:tcBorders>
            <w:shd w:val="clear" w:color="auto" w:fill="auto"/>
            <w:noWrap/>
            <w:vAlign w:val="center"/>
          </w:tcPr>
          <w:p w14:paraId="1194274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75F01368">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296BC0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9753.00 </w:t>
            </w:r>
          </w:p>
        </w:tc>
        <w:tc>
          <w:tcPr>
            <w:tcW w:w="448" w:type="pct"/>
            <w:tcBorders>
              <w:tl2br w:val="nil"/>
              <w:tr2bl w:val="nil"/>
            </w:tcBorders>
            <w:shd w:val="clear" w:color="auto" w:fill="auto"/>
            <w:noWrap/>
            <w:vAlign w:val="center"/>
          </w:tcPr>
          <w:p w14:paraId="5E4965D8">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26563F03">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kern w:val="0"/>
                <w:sz w:val="24"/>
                <w:szCs w:val="24"/>
                <w:highlight w:val="none"/>
                <w:u w:val="none"/>
                <w:lang w:val="en-US" w:eastAsia="zh-CN" w:bidi="ar"/>
              </w:rPr>
            </w:pPr>
          </w:p>
        </w:tc>
        <w:tc>
          <w:tcPr>
            <w:tcW w:w="445" w:type="pct"/>
            <w:tcBorders>
              <w:tl2br w:val="nil"/>
              <w:tr2bl w:val="nil"/>
            </w:tcBorders>
            <w:vAlign w:val="center"/>
          </w:tcPr>
          <w:p w14:paraId="4CAAD0E8">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235BB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C7D9655">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w:t>
            </w:r>
          </w:p>
        </w:tc>
        <w:tc>
          <w:tcPr>
            <w:tcW w:w="457" w:type="pct"/>
            <w:vMerge w:val="continue"/>
            <w:tcBorders>
              <w:tl2br w:val="nil"/>
              <w:tr2bl w:val="nil"/>
            </w:tcBorders>
            <w:shd w:val="clear" w:color="auto" w:fill="auto"/>
            <w:noWrap/>
            <w:vAlign w:val="center"/>
          </w:tcPr>
          <w:p w14:paraId="26A6F545">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p>
        </w:tc>
        <w:tc>
          <w:tcPr>
            <w:tcW w:w="708" w:type="pct"/>
            <w:tcBorders>
              <w:tl2br w:val="nil"/>
              <w:tr2bl w:val="nil"/>
            </w:tcBorders>
            <w:shd w:val="clear" w:color="auto" w:fill="auto"/>
            <w:noWrap/>
            <w:vAlign w:val="center"/>
          </w:tcPr>
          <w:p w14:paraId="14ECC538">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三笑大道—曙光路</w:t>
            </w:r>
          </w:p>
        </w:tc>
        <w:tc>
          <w:tcPr>
            <w:tcW w:w="637" w:type="pct"/>
            <w:vMerge w:val="continue"/>
            <w:tcBorders>
              <w:tl2br w:val="nil"/>
              <w:tr2bl w:val="nil"/>
            </w:tcBorders>
            <w:shd w:val="clear" w:color="auto" w:fill="auto"/>
            <w:noWrap/>
            <w:vAlign w:val="center"/>
          </w:tcPr>
          <w:p w14:paraId="3B468D6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360F712C">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276AA544">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6394.00 </w:t>
            </w:r>
          </w:p>
        </w:tc>
        <w:tc>
          <w:tcPr>
            <w:tcW w:w="448" w:type="pct"/>
            <w:tcBorders>
              <w:tl2br w:val="nil"/>
              <w:tr2bl w:val="nil"/>
            </w:tcBorders>
            <w:shd w:val="clear" w:color="auto" w:fill="auto"/>
            <w:noWrap/>
            <w:vAlign w:val="center"/>
          </w:tcPr>
          <w:p w14:paraId="5B5B687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1CE2F69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1537.00 </w:t>
            </w:r>
          </w:p>
        </w:tc>
        <w:tc>
          <w:tcPr>
            <w:tcW w:w="445" w:type="pct"/>
            <w:tcBorders>
              <w:tl2br w:val="nil"/>
              <w:tr2bl w:val="nil"/>
            </w:tcBorders>
            <w:vAlign w:val="center"/>
          </w:tcPr>
          <w:p w14:paraId="694C7E20">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3C9F3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71F3DDE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9</w:t>
            </w:r>
          </w:p>
        </w:tc>
        <w:tc>
          <w:tcPr>
            <w:tcW w:w="457" w:type="pct"/>
            <w:vMerge w:val="restart"/>
            <w:tcBorders>
              <w:tl2br w:val="nil"/>
              <w:tr2bl w:val="nil"/>
            </w:tcBorders>
            <w:shd w:val="clear" w:color="auto" w:fill="auto"/>
            <w:noWrap/>
            <w:vAlign w:val="center"/>
          </w:tcPr>
          <w:p w14:paraId="470AE86C">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园丁路</w:t>
            </w:r>
          </w:p>
        </w:tc>
        <w:tc>
          <w:tcPr>
            <w:tcW w:w="708" w:type="pct"/>
            <w:tcBorders>
              <w:tl2br w:val="nil"/>
              <w:tr2bl w:val="nil"/>
            </w:tcBorders>
            <w:shd w:val="clear" w:color="auto" w:fill="auto"/>
            <w:noWrap/>
            <w:vAlign w:val="center"/>
          </w:tcPr>
          <w:p w14:paraId="6EB96FE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曙光路—伟业路</w:t>
            </w:r>
          </w:p>
        </w:tc>
        <w:tc>
          <w:tcPr>
            <w:tcW w:w="637" w:type="pct"/>
            <w:vMerge w:val="continue"/>
            <w:tcBorders>
              <w:tl2br w:val="nil"/>
              <w:tr2bl w:val="nil"/>
            </w:tcBorders>
            <w:shd w:val="clear" w:color="auto" w:fill="auto"/>
            <w:noWrap/>
            <w:vAlign w:val="center"/>
          </w:tcPr>
          <w:p w14:paraId="084CEA7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3E2D5198">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17A91A0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2209.42 </w:t>
            </w:r>
          </w:p>
        </w:tc>
        <w:tc>
          <w:tcPr>
            <w:tcW w:w="448" w:type="pct"/>
            <w:tcBorders>
              <w:tl2br w:val="nil"/>
              <w:tr2bl w:val="nil"/>
            </w:tcBorders>
            <w:shd w:val="clear" w:color="auto" w:fill="auto"/>
            <w:noWrap/>
            <w:vAlign w:val="center"/>
          </w:tcPr>
          <w:p w14:paraId="637583E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60E46AF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kern w:val="0"/>
                <w:sz w:val="24"/>
                <w:szCs w:val="24"/>
                <w:highlight w:val="none"/>
                <w:u w:val="none"/>
                <w:lang w:val="en-US" w:eastAsia="zh-CN" w:bidi="ar"/>
              </w:rPr>
            </w:pPr>
          </w:p>
        </w:tc>
        <w:tc>
          <w:tcPr>
            <w:tcW w:w="445" w:type="pct"/>
            <w:tcBorders>
              <w:tl2br w:val="nil"/>
              <w:tr2bl w:val="nil"/>
            </w:tcBorders>
            <w:vAlign w:val="center"/>
          </w:tcPr>
          <w:p w14:paraId="5B3AB006">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60DF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3B5E0912">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10</w:t>
            </w:r>
          </w:p>
        </w:tc>
        <w:tc>
          <w:tcPr>
            <w:tcW w:w="457" w:type="pct"/>
            <w:vMerge w:val="continue"/>
            <w:tcBorders>
              <w:tl2br w:val="nil"/>
              <w:tr2bl w:val="nil"/>
            </w:tcBorders>
            <w:shd w:val="clear" w:color="auto" w:fill="auto"/>
            <w:noWrap/>
            <w:vAlign w:val="center"/>
          </w:tcPr>
          <w:p w14:paraId="565E91A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p>
        </w:tc>
        <w:tc>
          <w:tcPr>
            <w:tcW w:w="708" w:type="pct"/>
            <w:tcBorders>
              <w:tl2br w:val="nil"/>
              <w:tr2bl w:val="nil"/>
            </w:tcBorders>
            <w:shd w:val="clear" w:color="auto" w:fill="auto"/>
            <w:noWrap/>
            <w:vAlign w:val="center"/>
          </w:tcPr>
          <w:p w14:paraId="427BD60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曙光路-九圩路</w:t>
            </w:r>
          </w:p>
        </w:tc>
        <w:tc>
          <w:tcPr>
            <w:tcW w:w="637" w:type="pct"/>
            <w:vMerge w:val="continue"/>
            <w:tcBorders>
              <w:tl2br w:val="nil"/>
              <w:tr2bl w:val="nil"/>
            </w:tcBorders>
            <w:shd w:val="clear" w:color="auto" w:fill="auto"/>
            <w:noWrap/>
            <w:vAlign w:val="center"/>
          </w:tcPr>
          <w:p w14:paraId="42F3ABF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2A16AF55">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7AEFEFAB">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1891.37 </w:t>
            </w:r>
          </w:p>
        </w:tc>
        <w:tc>
          <w:tcPr>
            <w:tcW w:w="448" w:type="pct"/>
            <w:tcBorders>
              <w:tl2br w:val="nil"/>
              <w:tr2bl w:val="nil"/>
            </w:tcBorders>
            <w:shd w:val="clear" w:color="auto" w:fill="auto"/>
            <w:noWrap/>
            <w:vAlign w:val="center"/>
          </w:tcPr>
          <w:p w14:paraId="77B0549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4F66BB8B">
            <w:pPr>
              <w:keepNext w:val="0"/>
              <w:keepLines w:val="0"/>
              <w:suppressLineNumbers w:val="0"/>
              <w:shd w:val="clear"/>
              <w:spacing w:before="0" w:beforeAutospacing="0" w:after="0" w:afterAutospacing="0"/>
              <w:ind w:left="0" w:right="0"/>
              <w:jc w:val="center"/>
              <w:rPr>
                <w:rFonts w:hint="eastAsia" w:ascii="宋体" w:hAnsi="宋体" w:cs="宋体"/>
                <w:color w:val="auto"/>
                <w:kern w:val="2"/>
                <w:sz w:val="24"/>
                <w:szCs w:val="24"/>
                <w:highlight w:val="none"/>
              </w:rPr>
            </w:pPr>
          </w:p>
        </w:tc>
        <w:tc>
          <w:tcPr>
            <w:tcW w:w="445" w:type="pct"/>
            <w:tcBorders>
              <w:tl2br w:val="nil"/>
              <w:tr2bl w:val="nil"/>
            </w:tcBorders>
            <w:vAlign w:val="center"/>
          </w:tcPr>
          <w:p w14:paraId="44A09342">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4FF2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5D669A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11</w:t>
            </w:r>
          </w:p>
        </w:tc>
        <w:tc>
          <w:tcPr>
            <w:tcW w:w="457" w:type="pct"/>
            <w:vMerge w:val="restart"/>
            <w:tcBorders>
              <w:tl2br w:val="nil"/>
              <w:tr2bl w:val="nil"/>
            </w:tcBorders>
            <w:shd w:val="clear" w:color="auto" w:fill="auto"/>
            <w:noWrap/>
            <w:vAlign w:val="center"/>
          </w:tcPr>
          <w:p w14:paraId="05BBF155">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兴园路</w:t>
            </w:r>
          </w:p>
        </w:tc>
        <w:tc>
          <w:tcPr>
            <w:tcW w:w="708" w:type="pct"/>
            <w:tcBorders>
              <w:tl2br w:val="nil"/>
              <w:tr2bl w:val="nil"/>
            </w:tcBorders>
            <w:shd w:val="clear" w:color="auto" w:fill="auto"/>
            <w:noWrap/>
            <w:vAlign w:val="center"/>
          </w:tcPr>
          <w:p w14:paraId="647DCA2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翟庄路—新生路</w:t>
            </w:r>
          </w:p>
        </w:tc>
        <w:tc>
          <w:tcPr>
            <w:tcW w:w="637" w:type="pct"/>
            <w:vMerge w:val="continue"/>
            <w:tcBorders>
              <w:tl2br w:val="nil"/>
              <w:tr2bl w:val="nil"/>
            </w:tcBorders>
            <w:shd w:val="clear" w:color="auto" w:fill="auto"/>
            <w:noWrap/>
            <w:vAlign w:val="center"/>
          </w:tcPr>
          <w:p w14:paraId="4412B15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05E1EAC6">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0A619CF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29533.53 </w:t>
            </w:r>
          </w:p>
        </w:tc>
        <w:tc>
          <w:tcPr>
            <w:tcW w:w="448" w:type="pct"/>
            <w:tcBorders>
              <w:tl2br w:val="nil"/>
              <w:tr2bl w:val="nil"/>
            </w:tcBorders>
            <w:shd w:val="clear" w:color="auto" w:fill="auto"/>
            <w:noWrap/>
            <w:vAlign w:val="center"/>
          </w:tcPr>
          <w:p w14:paraId="68EAADAE">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168E93A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6731.32 </w:t>
            </w:r>
          </w:p>
        </w:tc>
        <w:tc>
          <w:tcPr>
            <w:tcW w:w="445" w:type="pct"/>
            <w:tcBorders>
              <w:tl2br w:val="nil"/>
              <w:tr2bl w:val="nil"/>
            </w:tcBorders>
            <w:vAlign w:val="center"/>
          </w:tcPr>
          <w:p w14:paraId="27E8EB4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含路口面积</w:t>
            </w:r>
          </w:p>
        </w:tc>
      </w:tr>
      <w:tr w14:paraId="5B606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2A44FB8D">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w:t>
            </w:r>
          </w:p>
        </w:tc>
        <w:tc>
          <w:tcPr>
            <w:tcW w:w="457" w:type="pct"/>
            <w:vMerge w:val="continue"/>
            <w:tcBorders>
              <w:tl2br w:val="nil"/>
              <w:tr2bl w:val="nil"/>
            </w:tcBorders>
            <w:shd w:val="clear" w:color="auto" w:fill="auto"/>
            <w:noWrap/>
            <w:vAlign w:val="center"/>
          </w:tcPr>
          <w:p w14:paraId="0E53DAAC">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p>
        </w:tc>
        <w:tc>
          <w:tcPr>
            <w:tcW w:w="708" w:type="pct"/>
            <w:tcBorders>
              <w:tl2br w:val="nil"/>
              <w:tr2bl w:val="nil"/>
            </w:tcBorders>
            <w:shd w:val="clear" w:color="auto" w:fill="auto"/>
            <w:noWrap/>
            <w:vAlign w:val="center"/>
          </w:tcPr>
          <w:p w14:paraId="4A02039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新生路-利民路</w:t>
            </w:r>
          </w:p>
        </w:tc>
        <w:tc>
          <w:tcPr>
            <w:tcW w:w="637" w:type="pct"/>
            <w:vMerge w:val="continue"/>
            <w:tcBorders>
              <w:tl2br w:val="nil"/>
              <w:tr2bl w:val="nil"/>
            </w:tcBorders>
            <w:shd w:val="clear" w:color="auto" w:fill="auto"/>
            <w:noWrap/>
            <w:vAlign w:val="center"/>
          </w:tcPr>
          <w:p w14:paraId="12D7511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485F7599">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18C1B31C">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10080.00 </w:t>
            </w:r>
          </w:p>
        </w:tc>
        <w:tc>
          <w:tcPr>
            <w:tcW w:w="448" w:type="pct"/>
            <w:tcBorders>
              <w:tl2br w:val="nil"/>
              <w:tr2bl w:val="nil"/>
            </w:tcBorders>
            <w:shd w:val="clear" w:color="auto" w:fill="auto"/>
            <w:noWrap/>
            <w:vAlign w:val="center"/>
          </w:tcPr>
          <w:p w14:paraId="23B20A13">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293230FF">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1551.46 </w:t>
            </w:r>
          </w:p>
        </w:tc>
        <w:tc>
          <w:tcPr>
            <w:tcW w:w="445" w:type="pct"/>
            <w:tcBorders>
              <w:tl2br w:val="nil"/>
              <w:tr2bl w:val="nil"/>
            </w:tcBorders>
            <w:vAlign w:val="center"/>
          </w:tcPr>
          <w:p w14:paraId="5025EACD">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7290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2591ED79">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13</w:t>
            </w:r>
          </w:p>
        </w:tc>
        <w:tc>
          <w:tcPr>
            <w:tcW w:w="457" w:type="pct"/>
            <w:tcBorders>
              <w:tl2br w:val="nil"/>
              <w:tr2bl w:val="nil"/>
            </w:tcBorders>
            <w:shd w:val="clear" w:color="auto" w:fill="auto"/>
            <w:noWrap/>
            <w:vAlign w:val="center"/>
          </w:tcPr>
          <w:p w14:paraId="1E3A032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通州路</w:t>
            </w:r>
          </w:p>
        </w:tc>
        <w:tc>
          <w:tcPr>
            <w:tcW w:w="708" w:type="pct"/>
            <w:tcBorders>
              <w:tl2br w:val="nil"/>
              <w:tr2bl w:val="nil"/>
            </w:tcBorders>
            <w:shd w:val="clear" w:color="auto" w:fill="auto"/>
            <w:noWrap/>
            <w:vAlign w:val="center"/>
          </w:tcPr>
          <w:p w14:paraId="226E1522">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翟庄路—小桥</w:t>
            </w:r>
          </w:p>
        </w:tc>
        <w:tc>
          <w:tcPr>
            <w:tcW w:w="637" w:type="pct"/>
            <w:vMerge w:val="continue"/>
            <w:tcBorders>
              <w:tl2br w:val="nil"/>
              <w:tr2bl w:val="nil"/>
            </w:tcBorders>
            <w:shd w:val="clear" w:color="auto" w:fill="auto"/>
            <w:noWrap/>
            <w:vAlign w:val="center"/>
          </w:tcPr>
          <w:p w14:paraId="482965B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793E6FAF">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79D93EBD">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20959.05 </w:t>
            </w:r>
          </w:p>
        </w:tc>
        <w:tc>
          <w:tcPr>
            <w:tcW w:w="448" w:type="pct"/>
            <w:tcBorders>
              <w:tl2br w:val="nil"/>
              <w:tr2bl w:val="nil"/>
            </w:tcBorders>
            <w:shd w:val="clear" w:color="auto" w:fill="auto"/>
            <w:noWrap/>
            <w:vAlign w:val="center"/>
          </w:tcPr>
          <w:p w14:paraId="1474E072">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20142CB6">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6874.15 </w:t>
            </w:r>
          </w:p>
        </w:tc>
        <w:tc>
          <w:tcPr>
            <w:tcW w:w="445" w:type="pct"/>
            <w:tcBorders>
              <w:tl2br w:val="nil"/>
              <w:tr2bl w:val="nil"/>
            </w:tcBorders>
            <w:vAlign w:val="center"/>
          </w:tcPr>
          <w:p w14:paraId="73351A07">
            <w:pPr>
              <w:keepNext w:val="0"/>
              <w:keepLines w:val="0"/>
              <w:widowControl/>
              <w:suppressLineNumbers w:val="0"/>
              <w:shd w:val="clear"/>
              <w:spacing w:before="0" w:beforeAutospacing="0" w:after="0" w:afterAutospacing="0"/>
              <w:ind w:left="0" w:right="0"/>
              <w:jc w:val="center"/>
              <w:textAlignment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含路口面积</w:t>
            </w:r>
          </w:p>
        </w:tc>
      </w:tr>
      <w:tr w14:paraId="18BB7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70C1A7F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14</w:t>
            </w:r>
          </w:p>
        </w:tc>
        <w:tc>
          <w:tcPr>
            <w:tcW w:w="457" w:type="pct"/>
            <w:tcBorders>
              <w:tl2br w:val="nil"/>
              <w:tr2bl w:val="nil"/>
            </w:tcBorders>
            <w:shd w:val="clear" w:color="auto" w:fill="auto"/>
            <w:noWrap/>
            <w:vAlign w:val="center"/>
          </w:tcPr>
          <w:p w14:paraId="59F8D61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高露洁路</w:t>
            </w:r>
          </w:p>
        </w:tc>
        <w:tc>
          <w:tcPr>
            <w:tcW w:w="708" w:type="pct"/>
            <w:tcBorders>
              <w:tl2br w:val="nil"/>
              <w:tr2bl w:val="nil"/>
            </w:tcBorders>
            <w:shd w:val="clear" w:color="auto" w:fill="auto"/>
            <w:noWrap/>
            <w:vAlign w:val="center"/>
          </w:tcPr>
          <w:p w14:paraId="3A540DD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翟庄路—琼花大道</w:t>
            </w:r>
          </w:p>
        </w:tc>
        <w:tc>
          <w:tcPr>
            <w:tcW w:w="637" w:type="pct"/>
            <w:vMerge w:val="continue"/>
            <w:tcBorders>
              <w:tl2br w:val="nil"/>
              <w:tr2bl w:val="nil"/>
            </w:tcBorders>
            <w:shd w:val="clear" w:color="auto" w:fill="auto"/>
            <w:noWrap/>
            <w:vAlign w:val="center"/>
          </w:tcPr>
          <w:p w14:paraId="54BE954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44855C62">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6939724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36910.33 </w:t>
            </w:r>
          </w:p>
        </w:tc>
        <w:tc>
          <w:tcPr>
            <w:tcW w:w="448" w:type="pct"/>
            <w:tcBorders>
              <w:tl2br w:val="nil"/>
              <w:tr2bl w:val="nil"/>
            </w:tcBorders>
            <w:shd w:val="clear" w:color="auto" w:fill="auto"/>
            <w:noWrap/>
            <w:vAlign w:val="center"/>
          </w:tcPr>
          <w:p w14:paraId="616934A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3503AF6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9454.13 </w:t>
            </w:r>
          </w:p>
        </w:tc>
        <w:tc>
          <w:tcPr>
            <w:tcW w:w="445" w:type="pct"/>
            <w:tcBorders>
              <w:tl2br w:val="nil"/>
              <w:tr2bl w:val="nil"/>
            </w:tcBorders>
            <w:vAlign w:val="center"/>
          </w:tcPr>
          <w:p w14:paraId="68D71F19">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含路口面积</w:t>
            </w:r>
          </w:p>
        </w:tc>
      </w:tr>
      <w:tr w14:paraId="45C6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2309224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15</w:t>
            </w:r>
          </w:p>
        </w:tc>
        <w:tc>
          <w:tcPr>
            <w:tcW w:w="457" w:type="pct"/>
            <w:tcBorders>
              <w:tl2br w:val="nil"/>
              <w:tr2bl w:val="nil"/>
            </w:tcBorders>
            <w:shd w:val="clear" w:color="auto" w:fill="auto"/>
            <w:noWrap/>
            <w:vAlign w:val="center"/>
          </w:tcPr>
          <w:p w14:paraId="63AE91E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琼花大道</w:t>
            </w:r>
          </w:p>
        </w:tc>
        <w:tc>
          <w:tcPr>
            <w:tcW w:w="708" w:type="pct"/>
            <w:tcBorders>
              <w:tl2br w:val="nil"/>
              <w:tr2bl w:val="nil"/>
            </w:tcBorders>
            <w:shd w:val="clear" w:color="auto" w:fill="auto"/>
            <w:noWrap/>
            <w:vAlign w:val="center"/>
          </w:tcPr>
          <w:p w14:paraId="2E255D9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金湾路—曙光路</w:t>
            </w:r>
          </w:p>
        </w:tc>
        <w:tc>
          <w:tcPr>
            <w:tcW w:w="637" w:type="pct"/>
            <w:vMerge w:val="continue"/>
            <w:tcBorders>
              <w:tl2br w:val="nil"/>
              <w:tr2bl w:val="nil"/>
            </w:tcBorders>
            <w:shd w:val="clear" w:color="auto" w:fill="auto"/>
            <w:noWrap/>
            <w:vAlign w:val="center"/>
          </w:tcPr>
          <w:p w14:paraId="204C828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30FE12F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2D8A78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47523.82 </w:t>
            </w:r>
          </w:p>
        </w:tc>
        <w:tc>
          <w:tcPr>
            <w:tcW w:w="448" w:type="pct"/>
            <w:tcBorders>
              <w:tl2br w:val="nil"/>
              <w:tr2bl w:val="nil"/>
            </w:tcBorders>
            <w:shd w:val="clear" w:color="auto" w:fill="auto"/>
            <w:noWrap/>
            <w:vAlign w:val="center"/>
          </w:tcPr>
          <w:p w14:paraId="38E83153">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0358DB8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24758.00 </w:t>
            </w:r>
          </w:p>
        </w:tc>
        <w:tc>
          <w:tcPr>
            <w:tcW w:w="445" w:type="pct"/>
            <w:tcBorders>
              <w:tl2br w:val="nil"/>
              <w:tr2bl w:val="nil"/>
            </w:tcBorders>
            <w:vAlign w:val="center"/>
          </w:tcPr>
          <w:p w14:paraId="611D0818">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654D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17ECFE32">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16</w:t>
            </w:r>
          </w:p>
        </w:tc>
        <w:tc>
          <w:tcPr>
            <w:tcW w:w="457" w:type="pct"/>
            <w:tcBorders>
              <w:tl2br w:val="nil"/>
              <w:tr2bl w:val="nil"/>
            </w:tcBorders>
            <w:shd w:val="clear" w:color="auto" w:fill="auto"/>
            <w:noWrap/>
            <w:vAlign w:val="center"/>
          </w:tcPr>
          <w:p w14:paraId="5A4B0BD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袜厂路</w:t>
            </w:r>
          </w:p>
        </w:tc>
        <w:tc>
          <w:tcPr>
            <w:tcW w:w="708" w:type="pct"/>
            <w:tcBorders>
              <w:tl2br w:val="nil"/>
              <w:tr2bl w:val="nil"/>
            </w:tcBorders>
            <w:shd w:val="clear" w:color="auto" w:fill="auto"/>
            <w:noWrap/>
            <w:vAlign w:val="center"/>
          </w:tcPr>
          <w:p w14:paraId="2B4F0A6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富民路—杭府街</w:t>
            </w:r>
          </w:p>
        </w:tc>
        <w:tc>
          <w:tcPr>
            <w:tcW w:w="637" w:type="pct"/>
            <w:vMerge w:val="continue"/>
            <w:tcBorders>
              <w:tl2br w:val="nil"/>
              <w:tr2bl w:val="nil"/>
            </w:tcBorders>
            <w:shd w:val="clear" w:color="auto" w:fill="auto"/>
            <w:noWrap/>
            <w:vAlign w:val="center"/>
          </w:tcPr>
          <w:p w14:paraId="3EBE686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478C9297">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3BC3B75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3946.00 </w:t>
            </w:r>
          </w:p>
        </w:tc>
        <w:tc>
          <w:tcPr>
            <w:tcW w:w="448" w:type="pct"/>
            <w:tcBorders>
              <w:tl2br w:val="nil"/>
              <w:tr2bl w:val="nil"/>
            </w:tcBorders>
            <w:shd w:val="clear" w:color="auto" w:fill="auto"/>
            <w:noWrap/>
            <w:vAlign w:val="center"/>
          </w:tcPr>
          <w:p w14:paraId="2690DF8F">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2CEC453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kern w:val="0"/>
                <w:sz w:val="24"/>
                <w:szCs w:val="24"/>
                <w:highlight w:val="none"/>
                <w:u w:val="none"/>
                <w:lang w:val="en-US" w:eastAsia="zh-CN" w:bidi="ar"/>
              </w:rPr>
            </w:pPr>
          </w:p>
        </w:tc>
        <w:tc>
          <w:tcPr>
            <w:tcW w:w="445" w:type="pct"/>
            <w:tcBorders>
              <w:tl2br w:val="nil"/>
              <w:tr2bl w:val="nil"/>
            </w:tcBorders>
            <w:vAlign w:val="center"/>
          </w:tcPr>
          <w:p w14:paraId="7085A569">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356B1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9D8544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17</w:t>
            </w:r>
          </w:p>
        </w:tc>
        <w:tc>
          <w:tcPr>
            <w:tcW w:w="457" w:type="pct"/>
            <w:tcBorders>
              <w:tl2br w:val="nil"/>
              <w:tr2bl w:val="nil"/>
            </w:tcBorders>
            <w:shd w:val="clear" w:color="auto" w:fill="auto"/>
            <w:noWrap/>
            <w:vAlign w:val="center"/>
          </w:tcPr>
          <w:p w14:paraId="4875EE6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九圩路</w:t>
            </w:r>
          </w:p>
        </w:tc>
        <w:tc>
          <w:tcPr>
            <w:tcW w:w="708" w:type="pct"/>
            <w:tcBorders>
              <w:tl2br w:val="nil"/>
              <w:tr2bl w:val="nil"/>
            </w:tcBorders>
            <w:shd w:val="clear" w:color="auto" w:fill="auto"/>
            <w:noWrap/>
            <w:vAlign w:val="center"/>
          </w:tcPr>
          <w:p w14:paraId="2F10D20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杭府街—G40</w:t>
            </w:r>
          </w:p>
        </w:tc>
        <w:tc>
          <w:tcPr>
            <w:tcW w:w="637" w:type="pct"/>
            <w:vMerge w:val="continue"/>
            <w:tcBorders>
              <w:tl2br w:val="nil"/>
              <w:tr2bl w:val="nil"/>
            </w:tcBorders>
            <w:shd w:val="clear" w:color="auto" w:fill="auto"/>
            <w:noWrap/>
            <w:vAlign w:val="center"/>
          </w:tcPr>
          <w:p w14:paraId="21D46B6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3A9FFE58">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747AC38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7562.00 </w:t>
            </w:r>
          </w:p>
        </w:tc>
        <w:tc>
          <w:tcPr>
            <w:tcW w:w="448" w:type="pct"/>
            <w:tcBorders>
              <w:tl2br w:val="nil"/>
              <w:tr2bl w:val="nil"/>
            </w:tcBorders>
            <w:shd w:val="clear" w:color="auto" w:fill="auto"/>
            <w:noWrap/>
            <w:vAlign w:val="center"/>
          </w:tcPr>
          <w:p w14:paraId="5EBEE43B">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0B949F4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kern w:val="0"/>
                <w:sz w:val="24"/>
                <w:szCs w:val="24"/>
                <w:highlight w:val="none"/>
                <w:u w:val="none"/>
                <w:lang w:val="en-US" w:eastAsia="zh-CN" w:bidi="ar"/>
              </w:rPr>
            </w:pPr>
          </w:p>
        </w:tc>
        <w:tc>
          <w:tcPr>
            <w:tcW w:w="445" w:type="pct"/>
            <w:tcBorders>
              <w:tl2br w:val="nil"/>
              <w:tr2bl w:val="nil"/>
            </w:tcBorders>
            <w:vAlign w:val="center"/>
          </w:tcPr>
          <w:p w14:paraId="7E1C52FF">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00FA4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78813B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18</w:t>
            </w:r>
          </w:p>
        </w:tc>
        <w:tc>
          <w:tcPr>
            <w:tcW w:w="457" w:type="pct"/>
            <w:tcBorders>
              <w:tl2br w:val="nil"/>
              <w:tr2bl w:val="nil"/>
            </w:tcBorders>
            <w:shd w:val="clear" w:color="auto" w:fill="auto"/>
            <w:noWrap/>
            <w:vAlign w:val="center"/>
          </w:tcPr>
          <w:p w14:paraId="2FC284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杭集创业园</w:t>
            </w:r>
          </w:p>
        </w:tc>
        <w:tc>
          <w:tcPr>
            <w:tcW w:w="708" w:type="pct"/>
            <w:tcBorders>
              <w:tl2br w:val="nil"/>
              <w:tr2bl w:val="nil"/>
            </w:tcBorders>
            <w:shd w:val="clear" w:color="auto" w:fill="auto"/>
            <w:noWrap/>
            <w:vAlign w:val="center"/>
          </w:tcPr>
          <w:p w14:paraId="3F50D13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兴园路——通州道</w:t>
            </w:r>
          </w:p>
        </w:tc>
        <w:tc>
          <w:tcPr>
            <w:tcW w:w="637" w:type="pct"/>
            <w:vMerge w:val="continue"/>
            <w:tcBorders>
              <w:tl2br w:val="nil"/>
              <w:tr2bl w:val="nil"/>
            </w:tcBorders>
            <w:shd w:val="clear" w:color="auto" w:fill="auto"/>
            <w:noWrap/>
            <w:vAlign w:val="center"/>
          </w:tcPr>
          <w:p w14:paraId="7129BBA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0C58B90C">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0FA963D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22614.43 </w:t>
            </w:r>
          </w:p>
        </w:tc>
        <w:tc>
          <w:tcPr>
            <w:tcW w:w="448" w:type="pct"/>
            <w:tcBorders>
              <w:tl2br w:val="nil"/>
              <w:tr2bl w:val="nil"/>
            </w:tcBorders>
            <w:shd w:val="clear" w:color="auto" w:fill="auto"/>
            <w:noWrap/>
            <w:vAlign w:val="center"/>
          </w:tcPr>
          <w:p w14:paraId="3663C2AB">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7B1673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661.15 </w:t>
            </w:r>
          </w:p>
        </w:tc>
        <w:tc>
          <w:tcPr>
            <w:tcW w:w="445" w:type="pct"/>
            <w:tcBorders>
              <w:tl2br w:val="nil"/>
              <w:tr2bl w:val="nil"/>
            </w:tcBorders>
            <w:vAlign w:val="center"/>
          </w:tcPr>
          <w:p w14:paraId="5DC952E8">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7B5F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1013F53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19</w:t>
            </w:r>
          </w:p>
        </w:tc>
        <w:tc>
          <w:tcPr>
            <w:tcW w:w="457" w:type="pct"/>
            <w:tcBorders>
              <w:tl2br w:val="nil"/>
              <w:tr2bl w:val="nil"/>
            </w:tcBorders>
            <w:shd w:val="clear" w:color="auto" w:fill="auto"/>
            <w:noWrap/>
            <w:vAlign w:val="center"/>
          </w:tcPr>
          <w:p w14:paraId="037545D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杭集中心小学西门前</w:t>
            </w:r>
          </w:p>
        </w:tc>
        <w:tc>
          <w:tcPr>
            <w:tcW w:w="708" w:type="pct"/>
            <w:tcBorders>
              <w:tl2br w:val="nil"/>
              <w:tr2bl w:val="nil"/>
            </w:tcBorders>
            <w:shd w:val="clear" w:color="auto" w:fill="auto"/>
            <w:noWrap/>
            <w:vAlign w:val="center"/>
          </w:tcPr>
          <w:p w14:paraId="0E1EC4B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西门-曙光路</w:t>
            </w:r>
          </w:p>
        </w:tc>
        <w:tc>
          <w:tcPr>
            <w:tcW w:w="637" w:type="pct"/>
            <w:vMerge w:val="continue"/>
            <w:tcBorders>
              <w:tl2br w:val="nil"/>
              <w:tr2bl w:val="nil"/>
            </w:tcBorders>
            <w:shd w:val="clear" w:color="auto" w:fill="auto"/>
            <w:noWrap/>
            <w:vAlign w:val="center"/>
          </w:tcPr>
          <w:p w14:paraId="1C1F675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05A0A717">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5089F76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1552.13 </w:t>
            </w:r>
          </w:p>
        </w:tc>
        <w:tc>
          <w:tcPr>
            <w:tcW w:w="448" w:type="pct"/>
            <w:tcBorders>
              <w:tl2br w:val="nil"/>
              <w:tr2bl w:val="nil"/>
            </w:tcBorders>
            <w:shd w:val="clear" w:color="auto" w:fill="auto"/>
            <w:noWrap/>
            <w:vAlign w:val="center"/>
          </w:tcPr>
          <w:p w14:paraId="12D2B079">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5A2D427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1070.08 </w:t>
            </w:r>
          </w:p>
        </w:tc>
        <w:tc>
          <w:tcPr>
            <w:tcW w:w="445" w:type="pct"/>
            <w:tcBorders>
              <w:tl2br w:val="nil"/>
              <w:tr2bl w:val="nil"/>
            </w:tcBorders>
            <w:vAlign w:val="center"/>
          </w:tcPr>
          <w:p w14:paraId="206CB75A">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7494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175F5A6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20</w:t>
            </w:r>
          </w:p>
        </w:tc>
        <w:tc>
          <w:tcPr>
            <w:tcW w:w="457" w:type="pct"/>
            <w:tcBorders>
              <w:tl2br w:val="nil"/>
              <w:tr2bl w:val="nil"/>
            </w:tcBorders>
            <w:shd w:val="clear" w:color="auto" w:fill="auto"/>
            <w:noWrap/>
            <w:vAlign w:val="center"/>
          </w:tcPr>
          <w:p w14:paraId="797E578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杭集中心广场北侧道路</w:t>
            </w:r>
          </w:p>
        </w:tc>
        <w:tc>
          <w:tcPr>
            <w:tcW w:w="708" w:type="pct"/>
            <w:tcBorders>
              <w:tl2br w:val="nil"/>
              <w:tr2bl w:val="nil"/>
            </w:tcBorders>
            <w:shd w:val="clear" w:color="auto" w:fill="auto"/>
            <w:noWrap/>
            <w:vAlign w:val="center"/>
          </w:tcPr>
          <w:p w14:paraId="6E91966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曙光路-三笑大道</w:t>
            </w:r>
          </w:p>
        </w:tc>
        <w:tc>
          <w:tcPr>
            <w:tcW w:w="637" w:type="pct"/>
            <w:vMerge w:val="continue"/>
            <w:tcBorders>
              <w:tl2br w:val="nil"/>
              <w:tr2bl w:val="nil"/>
            </w:tcBorders>
            <w:shd w:val="clear" w:color="auto" w:fill="auto"/>
            <w:noWrap/>
            <w:vAlign w:val="center"/>
          </w:tcPr>
          <w:p w14:paraId="7C78C0E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c>
          <w:tcPr>
            <w:tcW w:w="529" w:type="pct"/>
            <w:tcBorders>
              <w:tl2br w:val="nil"/>
              <w:tr2bl w:val="nil"/>
            </w:tcBorders>
            <w:vAlign w:val="center"/>
          </w:tcPr>
          <w:p w14:paraId="4A5C1891">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二级</w:t>
            </w:r>
          </w:p>
        </w:tc>
        <w:tc>
          <w:tcPr>
            <w:tcW w:w="761" w:type="pct"/>
            <w:tcBorders>
              <w:tl2br w:val="nil"/>
              <w:tr2bl w:val="nil"/>
            </w:tcBorders>
            <w:vAlign w:val="center"/>
          </w:tcPr>
          <w:p w14:paraId="70BCE10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2910.68 </w:t>
            </w:r>
          </w:p>
        </w:tc>
        <w:tc>
          <w:tcPr>
            <w:tcW w:w="448" w:type="pct"/>
            <w:tcBorders>
              <w:tl2br w:val="nil"/>
              <w:tr2bl w:val="nil"/>
            </w:tcBorders>
            <w:shd w:val="clear" w:color="auto" w:fill="auto"/>
            <w:noWrap/>
            <w:vAlign w:val="center"/>
          </w:tcPr>
          <w:p w14:paraId="74C7E16D">
            <w:pPr>
              <w:keepNext w:val="0"/>
              <w:keepLines w:val="0"/>
              <w:widowControl/>
              <w:suppressLineNumbers w:val="0"/>
              <w:shd w:val="clear"/>
              <w:spacing w:before="0" w:beforeAutospacing="0" w:after="0" w:afterAutospacing="0"/>
              <w:ind w:left="0" w:right="0"/>
              <w:jc w:val="center"/>
              <w:textAlignment w:val="center"/>
              <w:rPr>
                <w:rFonts w:hint="eastAsia" w:ascii="宋体" w:hAnsi="宋体" w:cs="宋体"/>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二级</w:t>
            </w:r>
          </w:p>
        </w:tc>
        <w:tc>
          <w:tcPr>
            <w:tcW w:w="725" w:type="pct"/>
            <w:tcBorders>
              <w:tl2br w:val="nil"/>
              <w:tr2bl w:val="nil"/>
            </w:tcBorders>
            <w:shd w:val="clear" w:color="auto" w:fill="auto"/>
            <w:noWrap/>
            <w:vAlign w:val="center"/>
          </w:tcPr>
          <w:p w14:paraId="4248E93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kern w:val="0"/>
                <w:sz w:val="24"/>
                <w:szCs w:val="24"/>
                <w:highlight w:val="none"/>
                <w:u w:val="none"/>
                <w:lang w:val="en-US" w:eastAsia="zh-CN" w:bidi="ar"/>
              </w:rPr>
            </w:pPr>
          </w:p>
        </w:tc>
        <w:tc>
          <w:tcPr>
            <w:tcW w:w="445" w:type="pct"/>
            <w:tcBorders>
              <w:tl2br w:val="nil"/>
              <w:tr2bl w:val="nil"/>
            </w:tcBorders>
            <w:vAlign w:val="center"/>
          </w:tcPr>
          <w:p w14:paraId="7028D3F7">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r w14:paraId="172A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86" w:type="pct"/>
            <w:tcBorders>
              <w:tl2br w:val="nil"/>
              <w:tr2bl w:val="nil"/>
            </w:tcBorders>
            <w:shd w:val="clear" w:color="auto" w:fill="auto"/>
            <w:noWrap/>
            <w:vAlign w:val="center"/>
          </w:tcPr>
          <w:p w14:paraId="6559F90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21</w:t>
            </w:r>
          </w:p>
        </w:tc>
        <w:tc>
          <w:tcPr>
            <w:tcW w:w="1803" w:type="pct"/>
            <w:gridSpan w:val="3"/>
            <w:tcBorders>
              <w:tl2br w:val="nil"/>
              <w:tr2bl w:val="nil"/>
            </w:tcBorders>
            <w:shd w:val="clear" w:color="auto" w:fill="auto"/>
            <w:noWrap/>
            <w:vAlign w:val="center"/>
          </w:tcPr>
          <w:p w14:paraId="0B78A016">
            <w:pPr>
              <w:keepNext w:val="0"/>
              <w:keepLines w:val="0"/>
              <w:widowControl/>
              <w:suppressLineNumbers w:val="0"/>
              <w:shd w:val="clear"/>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小计</w:t>
            </w:r>
          </w:p>
        </w:tc>
        <w:tc>
          <w:tcPr>
            <w:tcW w:w="529" w:type="pct"/>
            <w:tcBorders>
              <w:tl2br w:val="nil"/>
              <w:tr2bl w:val="nil"/>
            </w:tcBorders>
            <w:vAlign w:val="center"/>
          </w:tcPr>
          <w:p w14:paraId="4B592BB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61" w:type="pct"/>
            <w:tcBorders>
              <w:tl2br w:val="nil"/>
              <w:tr2bl w:val="nil"/>
            </w:tcBorders>
            <w:vAlign w:val="center"/>
          </w:tcPr>
          <w:p w14:paraId="33F147C7">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432684.17</w:t>
            </w:r>
          </w:p>
        </w:tc>
        <w:tc>
          <w:tcPr>
            <w:tcW w:w="448" w:type="pct"/>
            <w:tcBorders>
              <w:tl2br w:val="nil"/>
              <w:tr2bl w:val="nil"/>
            </w:tcBorders>
            <w:shd w:val="clear" w:color="auto" w:fill="auto"/>
            <w:noWrap/>
            <w:vAlign w:val="center"/>
          </w:tcPr>
          <w:p w14:paraId="5B2532E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25" w:type="pct"/>
            <w:tcBorders>
              <w:tl2br w:val="nil"/>
              <w:tr2bl w:val="nil"/>
            </w:tcBorders>
            <w:shd w:val="clear" w:color="auto" w:fill="auto"/>
            <w:noWrap/>
            <w:vAlign w:val="center"/>
          </w:tcPr>
          <w:p w14:paraId="3D9CF1F0">
            <w:pPr>
              <w:keepNext w:val="0"/>
              <w:keepLines w:val="0"/>
              <w:suppressLineNumbers w:val="0"/>
              <w:shd w:val="clear"/>
              <w:spacing w:before="0" w:beforeAutospacing="0" w:after="0" w:afterAutospacing="0"/>
              <w:ind w:left="0" w:right="0"/>
              <w:jc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97081.87</w:t>
            </w:r>
          </w:p>
        </w:tc>
        <w:tc>
          <w:tcPr>
            <w:tcW w:w="445" w:type="pct"/>
            <w:tcBorders>
              <w:tl2br w:val="nil"/>
              <w:tr2bl w:val="nil"/>
            </w:tcBorders>
            <w:vAlign w:val="center"/>
          </w:tcPr>
          <w:p w14:paraId="468DCD18">
            <w:pPr>
              <w:keepNext w:val="0"/>
              <w:keepLines w:val="0"/>
              <w:suppressLineNumbers w:val="0"/>
              <w:shd w:val="clear"/>
              <w:spacing w:before="0" w:beforeAutospacing="0" w:after="0" w:afterAutospacing="0"/>
              <w:ind w:left="0" w:right="0"/>
              <w:jc w:val="center"/>
              <w:rPr>
                <w:rFonts w:hint="default" w:ascii="宋体" w:hAnsi="宋体" w:cs="宋体"/>
                <w:color w:val="auto"/>
                <w:kern w:val="2"/>
                <w:sz w:val="24"/>
                <w:szCs w:val="24"/>
                <w:highlight w:val="none"/>
              </w:rPr>
            </w:pPr>
          </w:p>
        </w:tc>
      </w:tr>
    </w:tbl>
    <w:p w14:paraId="05F4D91C">
      <w:pPr>
        <w:shd w:val="clear"/>
        <w:spacing w:before="120" w:line="360" w:lineRule="auto"/>
        <w:ind w:firstLine="482"/>
        <w:rPr>
          <w:rFonts w:ascii="宋体" w:hAnsi="宋体"/>
          <w:b/>
          <w:bCs/>
          <w:iCs/>
          <w:color w:val="auto"/>
          <w:sz w:val="24"/>
          <w:szCs w:val="24"/>
          <w:highlight w:val="none"/>
        </w:rPr>
      </w:pPr>
      <w:r>
        <w:rPr>
          <w:rFonts w:hint="eastAsia" w:ascii="宋体" w:hAnsi="宋体"/>
          <w:b/>
          <w:bCs/>
          <w:iCs/>
          <w:color w:val="auto"/>
          <w:sz w:val="24"/>
          <w:szCs w:val="24"/>
          <w:highlight w:val="none"/>
        </w:rPr>
        <w:t>分包4：镇区</w:t>
      </w:r>
      <w:r>
        <w:rPr>
          <w:rFonts w:hint="eastAsia" w:ascii="宋体" w:hAnsi="宋体"/>
          <w:b/>
          <w:bCs/>
          <w:iCs/>
          <w:color w:val="auto"/>
          <w:sz w:val="24"/>
          <w:szCs w:val="24"/>
          <w:highlight w:val="none"/>
          <w:shd w:val="clear"/>
          <w:lang w:val="en-US" w:eastAsia="zh-CN"/>
        </w:rPr>
        <w:t>（北至328国道、南至G40、东至金湾路、西至廖家沟路）</w:t>
      </w:r>
      <w:r>
        <w:rPr>
          <w:rFonts w:hint="eastAsia" w:ascii="宋体" w:hAnsi="宋体"/>
          <w:b/>
          <w:bCs/>
          <w:iCs/>
          <w:color w:val="auto"/>
          <w:sz w:val="24"/>
          <w:szCs w:val="24"/>
          <w:highlight w:val="none"/>
          <w:lang w:val="en-US" w:eastAsia="zh-CN"/>
        </w:rPr>
        <w:t>生活垃圾（含一般工业固废）收运</w:t>
      </w:r>
      <w:r>
        <w:rPr>
          <w:rFonts w:hint="eastAsia" w:ascii="宋体" w:hAnsi="宋体"/>
          <w:b/>
          <w:bCs/>
          <w:iCs/>
          <w:color w:val="auto"/>
          <w:sz w:val="24"/>
          <w:szCs w:val="24"/>
          <w:highlight w:val="none"/>
        </w:rPr>
        <w:t>及公厕保洁作业：</w:t>
      </w:r>
    </w:p>
    <w:p w14:paraId="71C159A9">
      <w:pPr>
        <w:shd w:val="clea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镇区</w:t>
      </w:r>
      <w:r>
        <w:rPr>
          <w:rFonts w:hint="eastAsia" w:ascii="宋体" w:hAnsi="宋体"/>
          <w:b/>
          <w:color w:val="auto"/>
          <w:sz w:val="24"/>
          <w:szCs w:val="24"/>
          <w:highlight w:val="none"/>
          <w:lang w:val="en-US" w:eastAsia="zh-CN"/>
        </w:rPr>
        <w:t>生活垃圾（含一般工业固废）收运</w:t>
      </w:r>
      <w:r>
        <w:rPr>
          <w:rFonts w:hint="eastAsia" w:ascii="宋体" w:hAnsi="宋体"/>
          <w:b/>
          <w:color w:val="auto"/>
          <w:sz w:val="24"/>
          <w:szCs w:val="24"/>
          <w:highlight w:val="none"/>
        </w:rPr>
        <w:t>及公厕保洁作业划分明细表</w:t>
      </w:r>
    </w:p>
    <w:tbl>
      <w:tblPr>
        <w:tblStyle w:val="2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747"/>
        <w:gridCol w:w="1024"/>
        <w:gridCol w:w="632"/>
        <w:gridCol w:w="2932"/>
        <w:gridCol w:w="1559"/>
        <w:gridCol w:w="1559"/>
        <w:gridCol w:w="11"/>
      </w:tblGrid>
      <w:tr w14:paraId="42590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880" w:hRule="atLeast"/>
        </w:trPr>
        <w:tc>
          <w:tcPr>
            <w:tcW w:w="7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C0405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序号 </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4408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区域</w:t>
            </w:r>
          </w:p>
        </w:tc>
        <w:tc>
          <w:tcPr>
            <w:tcW w:w="19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FBFA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EEBD">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bCs/>
                <w:i w:val="0"/>
                <w:iCs w:val="0"/>
                <w:color w:val="auto"/>
                <w:kern w:val="2"/>
                <w:sz w:val="24"/>
                <w:szCs w:val="24"/>
                <w:highlight w:val="none"/>
                <w:u w:val="none"/>
                <w:lang w:val="en-US"/>
              </w:rPr>
            </w:pPr>
            <w:r>
              <w:rPr>
                <w:rFonts w:hint="eastAsia" w:ascii="宋体" w:hAnsi="宋体" w:cs="宋体"/>
                <w:b/>
                <w:bCs/>
                <w:i w:val="0"/>
                <w:iCs w:val="0"/>
                <w:color w:val="auto"/>
                <w:kern w:val="0"/>
                <w:sz w:val="24"/>
                <w:szCs w:val="24"/>
                <w:highlight w:val="none"/>
                <w:u w:val="none"/>
                <w:lang w:val="en-US" w:eastAsia="zh-CN" w:bidi="ar"/>
              </w:rPr>
              <w:t>范围/数量</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F253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0873E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780" w:hRule="atLeast"/>
        </w:trPr>
        <w:tc>
          <w:tcPr>
            <w:tcW w:w="7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42CE6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6FEEE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镇区</w:t>
            </w:r>
          </w:p>
        </w:tc>
        <w:tc>
          <w:tcPr>
            <w:tcW w:w="19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BD3F5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生活垃圾（含一般工业固废）收运</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30FD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b w:val="0"/>
                <w:bCs w:val="0"/>
                <w:color w:val="auto"/>
                <w:kern w:val="2"/>
                <w:sz w:val="24"/>
                <w:szCs w:val="24"/>
                <w:highlight w:val="none"/>
                <w:lang w:val="en-US" w:eastAsia="zh-CN"/>
              </w:rPr>
              <w:t>镇区域内所有企业产生的生活垃圾、</w:t>
            </w:r>
            <w:r>
              <w:rPr>
                <w:rFonts w:hint="eastAsia" w:ascii="宋体" w:hAnsi="宋体" w:cs="宋体"/>
                <w:b w:val="0"/>
                <w:bCs w:val="0"/>
                <w:color w:val="auto"/>
                <w:kern w:val="2"/>
                <w:sz w:val="24"/>
                <w:szCs w:val="24"/>
                <w:highlight w:val="none"/>
                <w:lang w:val="en-US" w:eastAsia="zh-CN"/>
              </w:rPr>
              <w:t>一般工业固废；</w:t>
            </w:r>
            <w:r>
              <w:rPr>
                <w:rFonts w:hint="eastAsia" w:ascii="宋体" w:hAnsi="宋体" w:eastAsia="宋体" w:cs="宋体"/>
                <w:b w:val="0"/>
                <w:bCs w:val="0"/>
                <w:color w:val="auto"/>
                <w:kern w:val="2"/>
                <w:sz w:val="24"/>
                <w:szCs w:val="24"/>
                <w:highlight w:val="none"/>
                <w:lang w:val="en-US" w:eastAsia="zh-CN"/>
              </w:rPr>
              <w:t>所有沿街商铺产生的</w:t>
            </w:r>
            <w:r>
              <w:rPr>
                <w:rFonts w:hint="eastAsia" w:ascii="宋体" w:hAnsi="宋体" w:cs="宋体"/>
                <w:b w:val="0"/>
                <w:bCs w:val="0"/>
                <w:color w:val="auto"/>
                <w:kern w:val="2"/>
                <w:sz w:val="24"/>
                <w:szCs w:val="24"/>
                <w:highlight w:val="none"/>
                <w:lang w:val="en-US" w:eastAsia="zh-CN"/>
              </w:rPr>
              <w:t>生活垃圾；</w:t>
            </w:r>
            <w:r>
              <w:rPr>
                <w:rFonts w:hint="eastAsia" w:ascii="宋体" w:hAnsi="宋体" w:eastAsia="宋体" w:cs="宋体"/>
                <w:b w:val="0"/>
                <w:bCs w:val="0"/>
                <w:color w:val="auto"/>
                <w:kern w:val="2"/>
                <w:sz w:val="24"/>
                <w:szCs w:val="24"/>
                <w:highlight w:val="none"/>
                <w:lang w:val="en-US" w:eastAsia="zh-CN"/>
              </w:rPr>
              <w:t>每条路段垃圾桶。</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8517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9406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 w:type="pct"/>
          <w:trHeight w:val="780" w:hRule="atLeast"/>
        </w:trPr>
        <w:tc>
          <w:tcPr>
            <w:tcW w:w="7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D542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51F6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kern w:val="2"/>
                <w:sz w:val="24"/>
                <w:szCs w:val="24"/>
                <w:highlight w:val="none"/>
                <w:u w:val="none"/>
              </w:rPr>
            </w:pPr>
          </w:p>
        </w:tc>
        <w:tc>
          <w:tcPr>
            <w:tcW w:w="19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AA82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公厕保洁</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C0EB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4257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单位：座</w:t>
            </w:r>
          </w:p>
        </w:tc>
      </w:tr>
      <w:tr w14:paraId="1EC3A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000" w:type="pct"/>
            <w:gridSpan w:val="8"/>
            <w:tcBorders>
              <w:top w:val="nil"/>
              <w:left w:val="nil"/>
              <w:bottom w:val="nil"/>
              <w:right w:val="nil"/>
            </w:tcBorders>
            <w:shd w:val="clear" w:color="auto" w:fill="auto"/>
            <w:noWrap/>
            <w:vAlign w:val="center"/>
          </w:tcPr>
          <w:p w14:paraId="43AECD72">
            <w:pPr>
              <w:keepNext w:val="0"/>
              <w:keepLines w:val="0"/>
              <w:pageBreakBefore w:val="0"/>
              <w:widowControl/>
              <w:suppressLineNumbers w:val="0"/>
              <w:shd w:val="clear"/>
              <w:kinsoku/>
              <w:wordWrap/>
              <w:overflowPunct/>
              <w:topLinePunct w:val="0"/>
              <w:autoSpaceDE/>
              <w:autoSpaceDN/>
              <w:bidi w:val="0"/>
              <w:adjustRightInd/>
              <w:snapToGrid/>
              <w:spacing w:before="181" w:beforeLines="50" w:beforeAutospacing="0" w:after="181" w:afterLines="50" w:afterAutospacing="0"/>
              <w:ind w:left="0" w:right="0"/>
              <w:jc w:val="center"/>
              <w:textAlignment w:val="center"/>
              <w:rPr>
                <w:rFonts w:hint="default" w:ascii="方正小标宋简体" w:hAnsi="方正小标宋简体" w:eastAsia="方正小标宋简体" w:cs="方正小标宋简体"/>
                <w:i w:val="0"/>
                <w:iCs w:val="0"/>
                <w:color w:val="auto"/>
                <w:kern w:val="2"/>
                <w:sz w:val="36"/>
                <w:szCs w:val="36"/>
                <w:highlight w:val="none"/>
                <w:u w:val="none"/>
              </w:rPr>
            </w:pPr>
            <w:r>
              <w:rPr>
                <w:rFonts w:hint="default" w:ascii="宋体" w:hAnsi="宋体"/>
                <w:b/>
                <w:color w:val="auto"/>
                <w:kern w:val="2"/>
                <w:sz w:val="24"/>
                <w:szCs w:val="24"/>
                <w:highlight w:val="none"/>
                <w:lang w:val="en-US" w:eastAsia="zh-CN"/>
              </w:rPr>
              <w:t>杭集镇公厕点位</w:t>
            </w:r>
          </w:p>
        </w:tc>
      </w:tr>
      <w:tr w14:paraId="3D4B5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9A9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0B15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点位</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154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地址</w:t>
            </w:r>
          </w:p>
        </w:tc>
      </w:tr>
      <w:tr w14:paraId="00669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72C3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2067B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双都广场公厕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D7A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双都广场</w:t>
            </w:r>
          </w:p>
        </w:tc>
      </w:tr>
      <w:tr w14:paraId="5CDB4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265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F7A82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哈慈公厕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902F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哈慈</w:t>
            </w:r>
          </w:p>
        </w:tc>
      </w:tr>
      <w:tr w14:paraId="1A775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A6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87766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市民广场公厕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DC4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市民广场</w:t>
            </w:r>
          </w:p>
        </w:tc>
      </w:tr>
      <w:tr w14:paraId="68205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FCD1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9B1E2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小游园公厕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BD2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曙光路（市民广场公厕对面）</w:t>
            </w:r>
          </w:p>
        </w:tc>
      </w:tr>
      <w:tr w14:paraId="2F0AA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CF28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5E47E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油石厂公厕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4E2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油石厂</w:t>
            </w:r>
          </w:p>
        </w:tc>
      </w:tr>
      <w:tr w14:paraId="772A3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C36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34B6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疏导点公厕</w:t>
            </w:r>
          </w:p>
          <w:p w14:paraId="3B04AE4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（老菜场）</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EC05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老菜场</w:t>
            </w:r>
          </w:p>
        </w:tc>
      </w:tr>
      <w:tr w14:paraId="5ADF2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E3D8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D4776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兰庄公厕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C41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兰庄</w:t>
            </w:r>
          </w:p>
        </w:tc>
      </w:tr>
      <w:tr w14:paraId="3110D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92BE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31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3C8E6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袜厂路公厕</w:t>
            </w:r>
          </w:p>
        </w:tc>
        <w:tc>
          <w:tcPr>
            <w:tcW w:w="330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FB1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杭府街东村内</w:t>
            </w:r>
          </w:p>
        </w:tc>
      </w:tr>
    </w:tbl>
    <w:p w14:paraId="24AFE217">
      <w:pPr>
        <w:shd w:val="clear"/>
        <w:spacing w:before="120"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注：水电费、设施维修费由杭集高新区（杭集镇）负责。</w:t>
      </w:r>
    </w:p>
    <w:p w14:paraId="5949AAA3">
      <w:pPr>
        <w:shd w:val="clear"/>
        <w:spacing w:before="120"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二、本项目</w:t>
      </w:r>
      <w:r>
        <w:rPr>
          <w:rFonts w:hint="eastAsia" w:ascii="宋体" w:hAnsi="宋体" w:cs="宋体"/>
          <w:b/>
          <w:color w:val="auto"/>
          <w:sz w:val="24"/>
          <w:szCs w:val="24"/>
          <w:highlight w:val="none"/>
          <w:lang w:val="en-US" w:eastAsia="zh-CN"/>
        </w:rPr>
        <w:t>总体要求</w:t>
      </w:r>
    </w:p>
    <w:p w14:paraId="28E1E314">
      <w:pPr>
        <w:shd w:val="clear"/>
        <w:spacing w:line="360" w:lineRule="auto"/>
        <w:ind w:firstLine="480"/>
        <w:rPr>
          <w:rFonts w:hint="default" w:ascii="宋体" w:hAnsi="宋体" w:cs="宋体"/>
          <w:b/>
          <w:color w:val="auto"/>
          <w:sz w:val="24"/>
          <w:szCs w:val="24"/>
          <w:highlight w:val="green"/>
          <w:lang w:val="en-US" w:eastAsia="zh-CN"/>
        </w:rPr>
      </w:pPr>
      <w:r>
        <w:rPr>
          <w:rFonts w:hint="eastAsia" w:ascii="宋体" w:hAnsi="宋体"/>
          <w:bCs/>
          <w:iCs/>
          <w:color w:val="auto"/>
          <w:sz w:val="24"/>
          <w:szCs w:val="24"/>
          <w:highlight w:val="none"/>
          <w:lang w:eastAsia="zh-CN"/>
        </w:rPr>
        <w:t>项目作业总体要求、服务目标：紧扣为采购人提供服务保障，营造整洁、安全、文明的城市管理环境。服务范围及作业内容：包括各包范围内杭集镇内主次干道清扫保洁（含深度保洁、重点区域降尘作业）及随路绿化养护、交通护栏等公共设施保洁、生活垃圾（含一般工业固废）收运、公厕保洁等服务项目。按照“一体化、规模化、市场化、标准化”原则和“一路带两侧，墙到墙、边到边、全覆盖”要求，推进项目作业。</w:t>
      </w:r>
    </w:p>
    <w:p w14:paraId="7594A4AB">
      <w:pPr>
        <w:shd w:val="clear"/>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三、作业服务</w:t>
      </w:r>
      <w:r>
        <w:rPr>
          <w:rFonts w:hint="eastAsia" w:ascii="宋体" w:hAnsi="宋体"/>
          <w:b/>
          <w:bCs/>
          <w:iCs/>
          <w:color w:val="auto"/>
          <w:sz w:val="24"/>
          <w:szCs w:val="24"/>
          <w:highlight w:val="none"/>
          <w:lang w:val="en-US" w:eastAsia="zh-CN"/>
        </w:rPr>
        <w:t>要求</w:t>
      </w:r>
    </w:p>
    <w:p w14:paraId="7C4BAAE5">
      <w:pPr>
        <w:shd w:val="clear"/>
        <w:spacing w:line="360" w:lineRule="auto"/>
        <w:ind w:firstLine="482" w:firstLineChars="200"/>
        <w:rPr>
          <w:rFonts w:hint="default"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（一）包1至包3：</w:t>
      </w:r>
    </w:p>
    <w:p w14:paraId="3519CB7F">
      <w:pPr>
        <w:shd w:val="clear"/>
        <w:spacing w:line="360" w:lineRule="auto"/>
        <w:ind w:left="482"/>
        <w:rPr>
          <w:rFonts w:hint="eastAsia"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1、主次干道清扫保洁</w:t>
      </w:r>
    </w:p>
    <w:p w14:paraId="3CD8F33C">
      <w:pPr>
        <w:shd w:val="clear"/>
        <w:spacing w:line="360" w:lineRule="auto"/>
        <w:ind w:left="482"/>
        <w:rPr>
          <w:rFonts w:hint="eastAsia"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rPr>
        <w:t>（1）作业</w:t>
      </w:r>
      <w:r>
        <w:rPr>
          <w:rFonts w:hint="eastAsia" w:ascii="宋体" w:hAnsi="宋体"/>
          <w:b/>
          <w:bCs/>
          <w:iCs/>
          <w:color w:val="auto"/>
          <w:sz w:val="24"/>
          <w:szCs w:val="24"/>
          <w:highlight w:val="none"/>
          <w:shd w:val="clear"/>
          <w:lang w:val="en-US" w:eastAsia="zh-CN"/>
        </w:rPr>
        <w:t>方式</w:t>
      </w:r>
    </w:p>
    <w:p w14:paraId="30A555E7">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①</w:t>
      </w:r>
      <w:r>
        <w:rPr>
          <w:rFonts w:hint="eastAsia" w:ascii="宋体" w:hAnsi="宋体" w:eastAsia="宋体" w:cs="宋体"/>
          <w:bCs/>
          <w:iCs/>
          <w:color w:val="auto"/>
          <w:sz w:val="24"/>
          <w:szCs w:val="24"/>
          <w:highlight w:val="none"/>
        </w:rPr>
        <w:t>道路保洁作业方式：采用</w:t>
      </w:r>
      <w:r>
        <w:rPr>
          <w:rFonts w:hint="eastAsia" w:ascii="宋体" w:hAnsi="宋体" w:cs="宋体"/>
          <w:bCs/>
          <w:iCs/>
          <w:strike w:val="0"/>
          <w:dstrike w:val="0"/>
          <w:color w:val="auto"/>
          <w:sz w:val="24"/>
          <w:szCs w:val="24"/>
          <w:highlight w:val="none"/>
          <w:shd w:val="clear"/>
          <w:lang w:val="en-US" w:eastAsia="zh-CN"/>
        </w:rPr>
        <w:t>联合作业</w:t>
      </w:r>
      <w:r>
        <w:rPr>
          <w:rFonts w:hint="eastAsia" w:ascii="宋体" w:hAnsi="宋体" w:eastAsia="宋体" w:cs="宋体"/>
          <w:bCs/>
          <w:iCs/>
          <w:color w:val="auto"/>
          <w:sz w:val="24"/>
          <w:szCs w:val="24"/>
          <w:highlight w:val="none"/>
        </w:rPr>
        <w:t>加人工的方式，机械为主、人工为辅，根据</w:t>
      </w:r>
    </w:p>
    <w:p w14:paraId="423846F6">
      <w:pPr>
        <w:shd w:val="clear"/>
        <w:spacing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道路等级在清扫保洁时间内实施清扫保洁，及时解决道路脏污和飘浮物等现象。</w:t>
      </w:r>
    </w:p>
    <w:p w14:paraId="1E459576">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②</w:t>
      </w:r>
      <w:r>
        <w:rPr>
          <w:rFonts w:hint="eastAsia" w:ascii="宋体" w:hAnsi="宋体" w:eastAsia="宋体" w:cs="宋体"/>
          <w:bCs/>
          <w:iCs/>
          <w:color w:val="auto"/>
          <w:sz w:val="24"/>
          <w:szCs w:val="24"/>
          <w:highlight w:val="none"/>
        </w:rPr>
        <w:t>必须无条件完成节假日、重大检查、重要保障任务及突击任务时的高标准清扫保洁工作，并保质保量按时完成各级下达的各项工作任务。</w:t>
      </w:r>
    </w:p>
    <w:p w14:paraId="2FE19CE9">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③及时处理道路上地面、墙面、公共设施上的“牛皮癣”，并不得在清除“牛皮癣”时损坏公共设施，在采用覆盖手段清除时，要注意覆盖颜色、形状、大小须与周边环境协调。</w:t>
      </w:r>
    </w:p>
    <w:p w14:paraId="04242531">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④严禁将清扫垃圾倒至窨井或绿化带内，每周对道路两侧下水道口、窨井口进行清理。</w:t>
      </w:r>
    </w:p>
    <w:p w14:paraId="22135ED5">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⑤清扫保洁全覆盖，保洁范围到边到墙，道路干净整洁，无垃圾、无卫生死角，路面见本色，可视范围内无“牛皮癣”小广告，无油污，具体可参照以下控制指标。</w:t>
      </w:r>
    </w:p>
    <w:p w14:paraId="37728B8F">
      <w:pPr>
        <w:shd w:val="clear"/>
        <w:spacing w:line="360" w:lineRule="auto"/>
        <w:ind w:firstLine="2880"/>
        <w:rPr>
          <w:rFonts w:ascii="宋体" w:hAnsi="宋体"/>
          <w:bCs/>
          <w:iCs/>
          <w:color w:val="auto"/>
          <w:sz w:val="24"/>
          <w:szCs w:val="24"/>
          <w:highlight w:val="none"/>
        </w:rPr>
      </w:pPr>
      <w:r>
        <w:rPr>
          <w:rFonts w:hint="eastAsia" w:ascii="宋体" w:hAnsi="宋体"/>
          <w:bCs/>
          <w:iCs/>
          <w:color w:val="auto"/>
          <w:sz w:val="24"/>
          <w:szCs w:val="24"/>
          <w:highlight w:val="none"/>
        </w:rPr>
        <w:t>城市道路路面废弃物控制指标</w:t>
      </w:r>
    </w:p>
    <w:tbl>
      <w:tblPr>
        <w:tblStyle w:val="28"/>
        <w:tblW w:w="105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4"/>
        <w:gridCol w:w="1701"/>
        <w:gridCol w:w="1686"/>
        <w:gridCol w:w="1143"/>
        <w:gridCol w:w="1707"/>
        <w:gridCol w:w="1701"/>
        <w:gridCol w:w="1540"/>
      </w:tblGrid>
      <w:tr w14:paraId="28D31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jc w:val="center"/>
        </w:trPr>
        <w:tc>
          <w:tcPr>
            <w:tcW w:w="1094" w:type="dxa"/>
            <w:tcBorders>
              <w:top w:val="single" w:color="000000" w:sz="2" w:space="0"/>
              <w:left w:val="single" w:color="000000" w:sz="2" w:space="0"/>
              <w:bottom w:val="single" w:color="000000" w:sz="2" w:space="0"/>
              <w:right w:val="single" w:color="000000" w:sz="2" w:space="0"/>
            </w:tcBorders>
            <w:vAlign w:val="center"/>
          </w:tcPr>
          <w:p w14:paraId="649F7494">
            <w:pPr>
              <w:keepNext w:val="0"/>
              <w:keepLines w:val="0"/>
              <w:suppressLineNumbers w:val="0"/>
              <w:shd w:val="clear"/>
              <w:spacing w:before="290" w:beforeAutospacing="0" w:after="0" w:afterAutospacing="0" w:line="360" w:lineRule="auto"/>
              <w:ind w:left="0" w:right="0" w:firstLine="138"/>
              <w:jc w:val="center"/>
              <w:rPr>
                <w:rFonts w:hint="default" w:ascii="宋体" w:hAnsi="宋体" w:cs="Arial"/>
                <w:color w:val="auto"/>
                <w:kern w:val="2"/>
                <w:sz w:val="24"/>
                <w:szCs w:val="24"/>
                <w:highlight w:val="none"/>
              </w:rPr>
            </w:pPr>
            <w:r>
              <w:rPr>
                <w:rFonts w:hint="eastAsia" w:ascii="宋体" w:hAnsi="宋体" w:cs="宋体"/>
                <w:color w:val="auto"/>
                <w:spacing w:val="-2"/>
                <w:kern w:val="2"/>
                <w:sz w:val="24"/>
                <w:szCs w:val="24"/>
                <w:highlight w:val="none"/>
              </w:rPr>
              <w:t>清扫保洁等级</w:t>
            </w:r>
          </w:p>
        </w:tc>
        <w:tc>
          <w:tcPr>
            <w:tcW w:w="1701" w:type="dxa"/>
            <w:tcBorders>
              <w:top w:val="single" w:color="000000" w:sz="2" w:space="0"/>
              <w:left w:val="single" w:color="000000" w:sz="2" w:space="0"/>
              <w:bottom w:val="single" w:color="000000" w:sz="2" w:space="0"/>
              <w:right w:val="single" w:color="000000" w:sz="2" w:space="0"/>
            </w:tcBorders>
            <w:vAlign w:val="center"/>
          </w:tcPr>
          <w:p w14:paraId="70461691">
            <w:pPr>
              <w:keepNext w:val="0"/>
              <w:keepLines w:val="0"/>
              <w:suppressLineNumbers w:val="0"/>
              <w:shd w:val="clear"/>
              <w:spacing w:before="0" w:beforeAutospacing="0" w:after="0" w:afterAutospacing="0" w:line="360" w:lineRule="auto"/>
              <w:ind w:left="0" w:right="130" w:firstLine="238"/>
              <w:jc w:val="center"/>
              <w:rPr>
                <w:rFonts w:hint="default" w:ascii="宋体" w:hAnsi="宋体" w:cs="宋体"/>
                <w:color w:val="auto"/>
                <w:spacing w:val="-1"/>
                <w:kern w:val="2"/>
                <w:sz w:val="24"/>
                <w:szCs w:val="24"/>
                <w:highlight w:val="none"/>
              </w:rPr>
            </w:pPr>
            <w:r>
              <w:rPr>
                <w:rFonts w:hint="eastAsia" w:ascii="宋体" w:hAnsi="宋体" w:cs="宋体"/>
                <w:color w:val="auto"/>
                <w:spacing w:val="-1"/>
                <w:kern w:val="2"/>
                <w:sz w:val="24"/>
                <w:szCs w:val="24"/>
                <w:highlight w:val="none"/>
              </w:rPr>
              <w:t>果皮</w:t>
            </w:r>
          </w:p>
          <w:p w14:paraId="47E6B42F">
            <w:pPr>
              <w:keepNext w:val="0"/>
              <w:keepLines w:val="0"/>
              <w:suppressLineNumbers w:val="0"/>
              <w:shd w:val="clear"/>
              <w:spacing w:before="0" w:beforeAutospacing="0" w:after="0" w:afterAutospacing="0" w:line="360" w:lineRule="auto"/>
              <w:ind w:left="0" w:right="130" w:firstLine="236"/>
              <w:jc w:val="center"/>
              <w:rPr>
                <w:rFonts w:hint="default" w:ascii="宋体" w:hAnsi="宋体" w:cs="Arial"/>
                <w:color w:val="auto"/>
                <w:kern w:val="2"/>
                <w:sz w:val="24"/>
                <w:szCs w:val="24"/>
                <w:highlight w:val="none"/>
              </w:rPr>
            </w:pPr>
            <w:r>
              <w:rPr>
                <w:rFonts w:hint="eastAsia" w:ascii="宋体" w:hAnsi="宋体" w:cs="宋体"/>
                <w:color w:val="auto"/>
                <w:spacing w:val="-2"/>
                <w:kern w:val="2"/>
                <w:sz w:val="24"/>
                <w:szCs w:val="24"/>
                <w:highlight w:val="none"/>
              </w:rPr>
              <w:t>（</w:t>
            </w:r>
            <w:r>
              <w:rPr>
                <w:rFonts w:hint="eastAsia" w:ascii="宋体" w:hAnsi="宋体" w:cs="Arial"/>
                <w:color w:val="auto"/>
                <w:spacing w:val="-2"/>
                <w:kern w:val="2"/>
                <w:sz w:val="24"/>
                <w:szCs w:val="24"/>
                <w:highlight w:val="none"/>
              </w:rPr>
              <w:t>片</w:t>
            </w:r>
            <w:r>
              <w:rPr>
                <w:rFonts w:hint="default" w:ascii="宋体" w:hAnsi="宋体" w:cs="Arial"/>
                <w:color w:val="auto"/>
                <w:spacing w:val="-2"/>
                <w:kern w:val="2"/>
                <w:sz w:val="24"/>
                <w:szCs w:val="24"/>
                <w:highlight w:val="none"/>
              </w:rPr>
              <w:t>/</w:t>
            </w:r>
            <w:r>
              <w:rPr>
                <w:rFonts w:hint="eastAsia" w:ascii="宋体" w:hAnsi="宋体" w:cs="Arial"/>
                <w:color w:val="auto"/>
                <w:spacing w:val="-2"/>
                <w:kern w:val="2"/>
                <w:sz w:val="24"/>
                <w:szCs w:val="24"/>
                <w:highlight w:val="none"/>
              </w:rPr>
              <w:t>1000</w:t>
            </w:r>
            <w:r>
              <w:rPr>
                <w:rFonts w:hint="default" w:ascii="宋体" w:hAnsi="宋体" w:cs="Arial"/>
                <w:color w:val="auto"/>
                <w:spacing w:val="-2"/>
                <w:kern w:val="2"/>
                <w:sz w:val="24"/>
                <w:szCs w:val="24"/>
                <w:highlight w:val="none"/>
              </w:rPr>
              <w:t>m²</w:t>
            </w:r>
            <w:r>
              <w:rPr>
                <w:rFonts w:hint="eastAsia" w:ascii="宋体" w:hAnsi="宋体" w:cs="宋体"/>
                <w:color w:val="auto"/>
                <w:spacing w:val="-2"/>
                <w:kern w:val="2"/>
                <w:sz w:val="24"/>
                <w:szCs w:val="24"/>
                <w:highlight w:val="none"/>
              </w:rPr>
              <w:t>）</w:t>
            </w:r>
          </w:p>
        </w:tc>
        <w:tc>
          <w:tcPr>
            <w:tcW w:w="1686" w:type="dxa"/>
            <w:tcBorders>
              <w:top w:val="single" w:color="000000" w:sz="2" w:space="0"/>
              <w:left w:val="single" w:color="000000" w:sz="2" w:space="0"/>
              <w:bottom w:val="single" w:color="000000" w:sz="2" w:space="0"/>
              <w:right w:val="single" w:color="000000" w:sz="2" w:space="0"/>
            </w:tcBorders>
            <w:vAlign w:val="center"/>
          </w:tcPr>
          <w:p w14:paraId="6CD3C120">
            <w:pPr>
              <w:keepNext w:val="0"/>
              <w:keepLines w:val="0"/>
              <w:suppressLineNumbers w:val="0"/>
              <w:shd w:val="clear"/>
              <w:spacing w:before="0" w:beforeAutospacing="0" w:after="0" w:afterAutospacing="0" w:line="360" w:lineRule="auto"/>
              <w:ind w:left="114" w:right="101"/>
              <w:jc w:val="center"/>
              <w:rPr>
                <w:rFonts w:hint="default" w:ascii="宋体" w:hAnsi="宋体" w:cs="宋体"/>
                <w:color w:val="auto"/>
                <w:spacing w:val="-1"/>
                <w:kern w:val="2"/>
                <w:sz w:val="24"/>
                <w:szCs w:val="24"/>
                <w:highlight w:val="none"/>
              </w:rPr>
            </w:pPr>
            <w:r>
              <w:rPr>
                <w:rFonts w:hint="eastAsia" w:ascii="宋体" w:hAnsi="宋体" w:cs="宋体"/>
                <w:color w:val="auto"/>
                <w:spacing w:val="-1"/>
                <w:kern w:val="2"/>
                <w:sz w:val="24"/>
                <w:szCs w:val="24"/>
                <w:highlight w:val="none"/>
              </w:rPr>
              <w:t>纸屑、塑膜</w:t>
            </w:r>
          </w:p>
          <w:p w14:paraId="4C658906">
            <w:pPr>
              <w:keepNext w:val="0"/>
              <w:keepLines w:val="0"/>
              <w:suppressLineNumbers w:val="0"/>
              <w:shd w:val="clear"/>
              <w:spacing w:before="0" w:beforeAutospacing="0" w:after="0" w:afterAutospacing="0" w:line="360" w:lineRule="auto"/>
              <w:ind w:left="114" w:right="101"/>
              <w:jc w:val="center"/>
              <w:rPr>
                <w:rFonts w:hint="default" w:ascii="宋体" w:hAnsi="宋体" w:cs="Arial"/>
                <w:color w:val="auto"/>
                <w:spacing w:val="-8"/>
                <w:kern w:val="2"/>
                <w:sz w:val="24"/>
                <w:szCs w:val="24"/>
                <w:highlight w:val="none"/>
              </w:rPr>
            </w:pPr>
            <w:r>
              <w:rPr>
                <w:rFonts w:hint="eastAsia" w:ascii="宋体" w:hAnsi="宋体" w:cs="Arial"/>
                <w:color w:val="auto"/>
                <w:spacing w:val="-1"/>
                <w:kern w:val="2"/>
                <w:sz w:val="24"/>
                <w:szCs w:val="24"/>
                <w:highlight w:val="none"/>
              </w:rPr>
              <w:t>（</w:t>
            </w:r>
            <w:r>
              <w:rPr>
                <w:rFonts w:hint="eastAsia" w:ascii="宋体" w:hAnsi="宋体" w:cs="Arial"/>
                <w:color w:val="auto"/>
                <w:spacing w:val="-2"/>
                <w:kern w:val="2"/>
                <w:sz w:val="24"/>
                <w:szCs w:val="24"/>
                <w:highlight w:val="none"/>
              </w:rPr>
              <w:t>片</w:t>
            </w:r>
            <w:r>
              <w:rPr>
                <w:rFonts w:hint="default" w:ascii="宋体" w:hAnsi="宋体" w:cs="Arial"/>
                <w:color w:val="auto"/>
                <w:spacing w:val="-2"/>
                <w:kern w:val="2"/>
                <w:sz w:val="24"/>
                <w:szCs w:val="24"/>
                <w:highlight w:val="none"/>
              </w:rPr>
              <w:t>/</w:t>
            </w:r>
            <w:r>
              <w:rPr>
                <w:rFonts w:hint="eastAsia" w:ascii="宋体" w:hAnsi="宋体" w:cs="Arial"/>
                <w:color w:val="auto"/>
                <w:spacing w:val="-2"/>
                <w:kern w:val="2"/>
                <w:sz w:val="24"/>
                <w:szCs w:val="24"/>
                <w:highlight w:val="none"/>
              </w:rPr>
              <w:t>1000</w:t>
            </w:r>
            <w:r>
              <w:rPr>
                <w:rFonts w:hint="default" w:ascii="宋体" w:hAnsi="宋体" w:cs="Arial"/>
                <w:color w:val="auto"/>
                <w:spacing w:val="-2"/>
                <w:kern w:val="2"/>
                <w:sz w:val="24"/>
                <w:szCs w:val="24"/>
                <w:highlight w:val="none"/>
              </w:rPr>
              <w:t>m²</w:t>
            </w:r>
            <w:r>
              <w:rPr>
                <w:rFonts w:hint="eastAsia" w:ascii="宋体" w:hAnsi="宋体" w:cs="Arial"/>
                <w:color w:val="auto"/>
                <w:spacing w:val="-1"/>
                <w:kern w:val="2"/>
                <w:sz w:val="24"/>
                <w:szCs w:val="24"/>
                <w:highlight w:val="none"/>
              </w:rPr>
              <w:t>）</w:t>
            </w:r>
          </w:p>
        </w:tc>
        <w:tc>
          <w:tcPr>
            <w:tcW w:w="1143" w:type="dxa"/>
            <w:tcBorders>
              <w:top w:val="single" w:color="000000" w:sz="2" w:space="0"/>
              <w:left w:val="single" w:color="000000" w:sz="2" w:space="0"/>
              <w:bottom w:val="single" w:color="000000" w:sz="2" w:space="0"/>
              <w:right w:val="single" w:color="000000" w:sz="2" w:space="0"/>
            </w:tcBorders>
            <w:vAlign w:val="center"/>
          </w:tcPr>
          <w:p w14:paraId="05BC5D3E">
            <w:pPr>
              <w:keepNext w:val="0"/>
              <w:keepLines w:val="0"/>
              <w:suppressLineNumbers w:val="0"/>
              <w:shd w:val="clear"/>
              <w:spacing w:before="0" w:beforeAutospacing="0" w:after="0" w:afterAutospacing="0" w:line="360" w:lineRule="auto"/>
              <w:ind w:left="114" w:right="101"/>
              <w:jc w:val="center"/>
              <w:rPr>
                <w:rFonts w:hint="default" w:ascii="宋体" w:hAnsi="宋体" w:cs="Arial"/>
                <w:color w:val="auto"/>
                <w:kern w:val="2"/>
                <w:sz w:val="24"/>
                <w:szCs w:val="24"/>
                <w:highlight w:val="none"/>
              </w:rPr>
            </w:pPr>
            <w:r>
              <w:rPr>
                <w:rFonts w:hint="eastAsia" w:ascii="宋体" w:hAnsi="宋体" w:cs="宋体"/>
                <w:color w:val="auto"/>
                <w:spacing w:val="-8"/>
                <w:kern w:val="2"/>
                <w:sz w:val="24"/>
                <w:szCs w:val="24"/>
                <w:highlight w:val="none"/>
              </w:rPr>
              <w:t>烟蒂（个</w:t>
            </w:r>
            <w:r>
              <w:rPr>
                <w:rFonts w:hint="default" w:ascii="宋体" w:hAnsi="宋体" w:cs="Arial"/>
                <w:color w:val="auto"/>
                <w:spacing w:val="-8"/>
                <w:kern w:val="2"/>
                <w:sz w:val="24"/>
                <w:szCs w:val="24"/>
                <w:highlight w:val="none"/>
              </w:rPr>
              <w:t>/</w:t>
            </w:r>
            <w:r>
              <w:rPr>
                <w:rFonts w:hint="eastAsia" w:ascii="宋体" w:hAnsi="宋体" w:cs="Arial"/>
                <w:color w:val="auto"/>
                <w:spacing w:val="-8"/>
                <w:kern w:val="2"/>
                <w:sz w:val="24"/>
                <w:szCs w:val="24"/>
                <w:highlight w:val="none"/>
              </w:rPr>
              <w:t>1000</w:t>
            </w:r>
            <w:r>
              <w:rPr>
                <w:rFonts w:hint="default" w:ascii="宋体" w:hAnsi="宋体" w:cs="Arial"/>
                <w:color w:val="auto"/>
                <w:spacing w:val="-8"/>
                <w:kern w:val="2"/>
                <w:sz w:val="24"/>
                <w:szCs w:val="24"/>
                <w:highlight w:val="none"/>
              </w:rPr>
              <w:t>m²</w:t>
            </w:r>
            <w:r>
              <w:rPr>
                <w:rFonts w:hint="eastAsia" w:ascii="宋体" w:hAnsi="宋体" w:cs="宋体"/>
                <w:color w:val="auto"/>
                <w:spacing w:val="-5"/>
                <w:kern w:val="2"/>
                <w:sz w:val="24"/>
                <w:szCs w:val="24"/>
                <w:highlight w:val="none"/>
              </w:rPr>
              <w:t>）</w:t>
            </w:r>
          </w:p>
        </w:tc>
        <w:tc>
          <w:tcPr>
            <w:tcW w:w="1707" w:type="dxa"/>
            <w:tcBorders>
              <w:top w:val="single" w:color="000000" w:sz="2" w:space="0"/>
              <w:left w:val="single" w:color="000000" w:sz="2" w:space="0"/>
              <w:bottom w:val="single" w:color="000000" w:sz="2" w:space="0"/>
              <w:right w:val="single" w:color="000000" w:sz="2" w:space="0"/>
            </w:tcBorders>
            <w:vAlign w:val="center"/>
          </w:tcPr>
          <w:p w14:paraId="2F575B0F">
            <w:pPr>
              <w:keepNext w:val="0"/>
              <w:keepLines w:val="0"/>
              <w:suppressLineNumbers w:val="0"/>
              <w:shd w:val="clear"/>
              <w:spacing w:before="0" w:beforeAutospacing="0" w:after="0" w:afterAutospacing="0" w:line="360" w:lineRule="auto"/>
              <w:ind w:left="238" w:right="144" w:hanging="238"/>
              <w:jc w:val="center"/>
              <w:rPr>
                <w:rFonts w:hint="default" w:ascii="宋体" w:hAnsi="宋体" w:cs="Arial"/>
                <w:color w:val="auto"/>
                <w:spacing w:val="-1"/>
                <w:kern w:val="2"/>
                <w:sz w:val="24"/>
                <w:szCs w:val="24"/>
                <w:highlight w:val="none"/>
              </w:rPr>
            </w:pPr>
            <w:r>
              <w:rPr>
                <w:rFonts w:hint="eastAsia" w:ascii="宋体" w:hAnsi="宋体" w:cs="Arial"/>
                <w:color w:val="auto"/>
                <w:spacing w:val="-1"/>
                <w:kern w:val="2"/>
                <w:sz w:val="24"/>
                <w:szCs w:val="24"/>
                <w:highlight w:val="none"/>
              </w:rPr>
              <w:t>痰迹</w:t>
            </w:r>
          </w:p>
          <w:p w14:paraId="67F8B8AB">
            <w:pPr>
              <w:keepNext w:val="0"/>
              <w:keepLines w:val="0"/>
              <w:suppressLineNumbers w:val="0"/>
              <w:shd w:val="clear"/>
              <w:spacing w:before="0" w:beforeAutospacing="0" w:after="0" w:afterAutospacing="0" w:line="360" w:lineRule="auto"/>
              <w:ind w:left="238" w:right="144" w:hanging="238"/>
              <w:jc w:val="center"/>
              <w:rPr>
                <w:rFonts w:hint="default" w:ascii="宋体" w:hAnsi="宋体" w:cs="Arial"/>
                <w:color w:val="auto"/>
                <w:spacing w:val="-1"/>
                <w:kern w:val="2"/>
                <w:sz w:val="24"/>
                <w:szCs w:val="24"/>
                <w:highlight w:val="none"/>
              </w:rPr>
            </w:pPr>
            <w:r>
              <w:rPr>
                <w:rFonts w:hint="eastAsia" w:ascii="宋体" w:hAnsi="宋体" w:cs="Arial"/>
                <w:color w:val="auto"/>
                <w:spacing w:val="-1"/>
                <w:kern w:val="2"/>
                <w:sz w:val="24"/>
                <w:szCs w:val="24"/>
                <w:highlight w:val="none"/>
              </w:rPr>
              <w:t>（处/1000</w:t>
            </w:r>
            <w:r>
              <w:rPr>
                <w:rFonts w:hint="default" w:ascii="宋体" w:hAnsi="宋体" w:cs="Arial"/>
                <w:color w:val="auto"/>
                <w:spacing w:val="-8"/>
                <w:kern w:val="2"/>
                <w:sz w:val="24"/>
                <w:szCs w:val="24"/>
                <w:highlight w:val="none"/>
              </w:rPr>
              <w:t>m²</w:t>
            </w:r>
            <w:r>
              <w:rPr>
                <w:rFonts w:hint="eastAsia" w:ascii="宋体" w:hAnsi="宋体" w:cs="Arial"/>
                <w:color w:val="auto"/>
                <w:spacing w:val="-1"/>
                <w:kern w:val="2"/>
                <w:sz w:val="24"/>
                <w:szCs w:val="24"/>
                <w:highlight w:val="none"/>
              </w:rPr>
              <w:t>）</w:t>
            </w:r>
          </w:p>
        </w:tc>
        <w:tc>
          <w:tcPr>
            <w:tcW w:w="1701" w:type="dxa"/>
            <w:tcBorders>
              <w:top w:val="single" w:color="000000" w:sz="2" w:space="0"/>
              <w:left w:val="single" w:color="000000" w:sz="2" w:space="0"/>
              <w:bottom w:val="single" w:color="000000" w:sz="2" w:space="0"/>
              <w:right w:val="single" w:color="000000" w:sz="2" w:space="0"/>
            </w:tcBorders>
            <w:vAlign w:val="center"/>
          </w:tcPr>
          <w:p w14:paraId="06BBAD04">
            <w:pPr>
              <w:keepNext w:val="0"/>
              <w:keepLines w:val="0"/>
              <w:suppressLineNumbers w:val="0"/>
              <w:shd w:val="clear"/>
              <w:spacing w:before="0" w:beforeAutospacing="0" w:after="0" w:afterAutospacing="0" w:line="360" w:lineRule="auto"/>
              <w:ind w:left="0" w:right="144"/>
              <w:jc w:val="center"/>
              <w:rPr>
                <w:rFonts w:hint="default" w:ascii="宋体" w:hAnsi="宋体" w:cs="宋体"/>
                <w:color w:val="auto"/>
                <w:spacing w:val="-1"/>
                <w:kern w:val="2"/>
                <w:sz w:val="24"/>
                <w:szCs w:val="24"/>
                <w:highlight w:val="none"/>
              </w:rPr>
            </w:pPr>
            <w:r>
              <w:rPr>
                <w:rFonts w:hint="eastAsia" w:ascii="宋体" w:hAnsi="宋体" w:cs="宋体"/>
                <w:color w:val="auto"/>
                <w:spacing w:val="-1"/>
                <w:kern w:val="2"/>
                <w:sz w:val="24"/>
                <w:szCs w:val="24"/>
                <w:highlight w:val="none"/>
              </w:rPr>
              <w:t>污水</w:t>
            </w:r>
          </w:p>
          <w:p w14:paraId="54B35328">
            <w:pPr>
              <w:keepNext w:val="0"/>
              <w:keepLines w:val="0"/>
              <w:suppressLineNumbers w:val="0"/>
              <w:shd w:val="clear"/>
              <w:spacing w:before="0" w:beforeAutospacing="0" w:after="0" w:afterAutospacing="0" w:line="360" w:lineRule="auto"/>
              <w:ind w:left="0" w:right="144"/>
              <w:jc w:val="center"/>
              <w:rPr>
                <w:rFonts w:hint="default" w:ascii="宋体" w:hAnsi="宋体" w:cs="Arial"/>
                <w:color w:val="auto"/>
                <w:kern w:val="2"/>
                <w:sz w:val="24"/>
                <w:szCs w:val="24"/>
                <w:highlight w:val="none"/>
              </w:rPr>
            </w:pPr>
            <w:r>
              <w:rPr>
                <w:rFonts w:hint="eastAsia" w:ascii="宋体" w:hAnsi="宋体" w:cs="宋体"/>
                <w:color w:val="auto"/>
                <w:spacing w:val="-1"/>
                <w:kern w:val="2"/>
                <w:sz w:val="24"/>
                <w:szCs w:val="24"/>
                <w:highlight w:val="none"/>
              </w:rPr>
              <w:t>（</w:t>
            </w:r>
            <w:r>
              <w:rPr>
                <w:rFonts w:hint="default" w:ascii="宋体" w:hAnsi="宋体" w:cs="Arial"/>
                <w:color w:val="auto"/>
                <w:spacing w:val="-1"/>
                <w:kern w:val="2"/>
                <w:sz w:val="24"/>
                <w:szCs w:val="24"/>
                <w:highlight w:val="none"/>
              </w:rPr>
              <w:t>m²/</w:t>
            </w:r>
            <w:r>
              <w:rPr>
                <w:rFonts w:hint="eastAsia" w:ascii="宋体" w:hAnsi="宋体" w:cs="Arial"/>
                <w:color w:val="auto"/>
                <w:spacing w:val="-1"/>
                <w:kern w:val="2"/>
                <w:sz w:val="24"/>
                <w:szCs w:val="24"/>
                <w:highlight w:val="none"/>
              </w:rPr>
              <w:t>10</w:t>
            </w:r>
            <w:r>
              <w:rPr>
                <w:rFonts w:hint="default" w:ascii="宋体" w:hAnsi="宋体" w:cs="Arial"/>
                <w:color w:val="auto"/>
                <w:spacing w:val="-1"/>
                <w:kern w:val="2"/>
                <w:sz w:val="24"/>
                <w:szCs w:val="24"/>
                <w:highlight w:val="none"/>
              </w:rPr>
              <w:t>00m²</w:t>
            </w:r>
            <w:r>
              <w:rPr>
                <w:rFonts w:hint="eastAsia" w:ascii="宋体" w:hAnsi="宋体" w:cs="宋体"/>
                <w:color w:val="auto"/>
                <w:spacing w:val="-1"/>
                <w:kern w:val="2"/>
                <w:sz w:val="24"/>
                <w:szCs w:val="24"/>
                <w:highlight w:val="none"/>
              </w:rPr>
              <w:t>）</w:t>
            </w:r>
          </w:p>
        </w:tc>
        <w:tc>
          <w:tcPr>
            <w:tcW w:w="1540" w:type="dxa"/>
            <w:tcBorders>
              <w:top w:val="single" w:color="000000" w:sz="2" w:space="0"/>
              <w:left w:val="single" w:color="000000" w:sz="2" w:space="0"/>
              <w:bottom w:val="single" w:color="000000" w:sz="2" w:space="0"/>
              <w:right w:val="single" w:color="000000" w:sz="2" w:space="0"/>
            </w:tcBorders>
            <w:vAlign w:val="center"/>
          </w:tcPr>
          <w:p w14:paraId="6E33E11C">
            <w:pPr>
              <w:keepNext w:val="0"/>
              <w:keepLines w:val="0"/>
              <w:suppressLineNumbers w:val="0"/>
              <w:shd w:val="clear"/>
              <w:spacing w:before="0" w:beforeAutospacing="0" w:after="0" w:afterAutospacing="0" w:line="360" w:lineRule="auto"/>
              <w:ind w:left="0" w:right="179"/>
              <w:jc w:val="center"/>
              <w:rPr>
                <w:rFonts w:hint="default" w:ascii="宋体" w:hAnsi="宋体" w:cs="Arial"/>
                <w:color w:val="auto"/>
                <w:spacing w:val="-3"/>
                <w:kern w:val="2"/>
                <w:sz w:val="24"/>
                <w:szCs w:val="24"/>
                <w:highlight w:val="none"/>
              </w:rPr>
            </w:pPr>
            <w:r>
              <w:rPr>
                <w:rFonts w:hint="eastAsia" w:ascii="宋体" w:hAnsi="宋体" w:cs="Arial"/>
                <w:color w:val="auto"/>
                <w:spacing w:val="-3"/>
                <w:kern w:val="2"/>
                <w:sz w:val="24"/>
                <w:szCs w:val="24"/>
                <w:highlight w:val="none"/>
              </w:rPr>
              <w:t>其他</w:t>
            </w:r>
          </w:p>
          <w:p w14:paraId="3FAEE85A">
            <w:pPr>
              <w:keepNext w:val="0"/>
              <w:keepLines w:val="0"/>
              <w:suppressLineNumbers w:val="0"/>
              <w:shd w:val="clear"/>
              <w:spacing w:before="0" w:beforeAutospacing="0" w:after="0" w:afterAutospacing="0" w:line="360" w:lineRule="auto"/>
              <w:ind w:left="0" w:right="179"/>
              <w:jc w:val="center"/>
              <w:rPr>
                <w:rFonts w:hint="default" w:ascii="宋体" w:hAnsi="宋体" w:cs="Arial"/>
                <w:color w:val="auto"/>
                <w:kern w:val="2"/>
                <w:sz w:val="24"/>
                <w:szCs w:val="24"/>
                <w:highlight w:val="none"/>
              </w:rPr>
            </w:pPr>
            <w:r>
              <w:rPr>
                <w:rFonts w:hint="eastAsia" w:ascii="宋体" w:hAnsi="宋体" w:cs="宋体"/>
                <w:color w:val="auto"/>
                <w:spacing w:val="-4"/>
                <w:kern w:val="2"/>
                <w:sz w:val="24"/>
                <w:szCs w:val="24"/>
                <w:highlight w:val="none"/>
              </w:rPr>
              <w:t>（</w:t>
            </w:r>
            <w:r>
              <w:rPr>
                <w:rFonts w:hint="eastAsia" w:ascii="宋体" w:hAnsi="宋体" w:cs="Arial"/>
                <w:color w:val="auto"/>
                <w:spacing w:val="-4"/>
                <w:kern w:val="2"/>
                <w:sz w:val="24"/>
                <w:szCs w:val="24"/>
                <w:highlight w:val="none"/>
              </w:rPr>
              <w:t>处</w:t>
            </w:r>
            <w:r>
              <w:rPr>
                <w:rFonts w:hint="default" w:ascii="宋体" w:hAnsi="宋体" w:cs="Arial"/>
                <w:color w:val="auto"/>
                <w:spacing w:val="-4"/>
                <w:kern w:val="2"/>
                <w:sz w:val="24"/>
                <w:szCs w:val="24"/>
                <w:highlight w:val="none"/>
              </w:rPr>
              <w:t>/</w:t>
            </w:r>
            <w:r>
              <w:rPr>
                <w:rFonts w:hint="eastAsia" w:ascii="宋体" w:hAnsi="宋体" w:cs="Arial"/>
                <w:color w:val="auto"/>
                <w:spacing w:val="-4"/>
                <w:kern w:val="2"/>
                <w:sz w:val="24"/>
                <w:szCs w:val="24"/>
                <w:highlight w:val="none"/>
              </w:rPr>
              <w:t>1000</w:t>
            </w:r>
            <w:r>
              <w:rPr>
                <w:rFonts w:hint="default" w:ascii="宋体" w:hAnsi="宋体" w:cs="Arial"/>
                <w:color w:val="auto"/>
                <w:spacing w:val="-4"/>
                <w:kern w:val="2"/>
                <w:sz w:val="24"/>
                <w:szCs w:val="24"/>
                <w:highlight w:val="none"/>
              </w:rPr>
              <w:t>m²</w:t>
            </w:r>
            <w:r>
              <w:rPr>
                <w:rFonts w:hint="eastAsia" w:ascii="宋体" w:hAnsi="宋体" w:cs="宋体"/>
                <w:color w:val="auto"/>
                <w:spacing w:val="-4"/>
                <w:kern w:val="2"/>
                <w:sz w:val="24"/>
                <w:szCs w:val="24"/>
                <w:highlight w:val="none"/>
              </w:rPr>
              <w:t>）</w:t>
            </w:r>
          </w:p>
        </w:tc>
      </w:tr>
      <w:tr w14:paraId="6DE03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jc w:val="center"/>
        </w:trPr>
        <w:tc>
          <w:tcPr>
            <w:tcW w:w="1094" w:type="dxa"/>
            <w:tcBorders>
              <w:top w:val="single" w:color="000000" w:sz="2" w:space="0"/>
              <w:left w:val="single" w:color="000000" w:sz="2" w:space="0"/>
              <w:bottom w:val="single" w:color="000000" w:sz="2" w:space="0"/>
              <w:right w:val="single" w:color="000000" w:sz="2" w:space="0"/>
            </w:tcBorders>
            <w:vAlign w:val="center"/>
          </w:tcPr>
          <w:p w14:paraId="383FC655">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spacing w:val="-2"/>
                <w:kern w:val="2"/>
                <w:sz w:val="24"/>
                <w:szCs w:val="24"/>
                <w:highlight w:val="none"/>
              </w:rPr>
            </w:pPr>
            <w:r>
              <w:rPr>
                <w:rFonts w:hint="eastAsia" w:ascii="宋体" w:hAnsi="宋体" w:cs="宋体"/>
                <w:color w:val="auto"/>
                <w:kern w:val="2"/>
                <w:sz w:val="24"/>
                <w:szCs w:val="24"/>
                <w:highlight w:val="none"/>
              </w:rPr>
              <w:t>一级</w:t>
            </w:r>
          </w:p>
        </w:tc>
        <w:tc>
          <w:tcPr>
            <w:tcW w:w="1701" w:type="dxa"/>
            <w:tcBorders>
              <w:top w:val="single" w:color="000000" w:sz="2" w:space="0"/>
              <w:left w:val="single" w:color="000000" w:sz="2" w:space="0"/>
              <w:bottom w:val="single" w:color="000000" w:sz="2" w:space="0"/>
              <w:right w:val="single" w:color="000000" w:sz="2" w:space="0"/>
            </w:tcBorders>
            <w:vAlign w:val="center"/>
          </w:tcPr>
          <w:p w14:paraId="1DF10C13">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spacing w:val="-10"/>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4</w:t>
            </w:r>
          </w:p>
        </w:tc>
        <w:tc>
          <w:tcPr>
            <w:tcW w:w="1686" w:type="dxa"/>
            <w:tcBorders>
              <w:top w:val="single" w:color="000000" w:sz="2" w:space="0"/>
              <w:left w:val="single" w:color="000000" w:sz="2" w:space="0"/>
              <w:bottom w:val="single" w:color="000000" w:sz="2" w:space="0"/>
              <w:right w:val="single" w:color="000000" w:sz="2" w:space="0"/>
            </w:tcBorders>
            <w:vAlign w:val="center"/>
          </w:tcPr>
          <w:p w14:paraId="7E9932F9">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spacing w:val="-10"/>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4</w:t>
            </w:r>
          </w:p>
        </w:tc>
        <w:tc>
          <w:tcPr>
            <w:tcW w:w="1143" w:type="dxa"/>
            <w:tcBorders>
              <w:top w:val="single" w:color="000000" w:sz="2" w:space="0"/>
              <w:left w:val="single" w:color="000000" w:sz="2" w:space="0"/>
              <w:bottom w:val="single" w:color="000000" w:sz="2" w:space="0"/>
              <w:right w:val="single" w:color="000000" w:sz="2" w:space="0"/>
            </w:tcBorders>
            <w:vAlign w:val="center"/>
          </w:tcPr>
          <w:p w14:paraId="43ECC365">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spacing w:val="-10"/>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4</w:t>
            </w:r>
          </w:p>
        </w:tc>
        <w:tc>
          <w:tcPr>
            <w:tcW w:w="1707" w:type="dxa"/>
            <w:tcBorders>
              <w:top w:val="single" w:color="000000" w:sz="2" w:space="0"/>
              <w:left w:val="single" w:color="000000" w:sz="2" w:space="0"/>
              <w:bottom w:val="single" w:color="000000" w:sz="2" w:space="0"/>
              <w:right w:val="single" w:color="000000" w:sz="2" w:space="0"/>
            </w:tcBorders>
            <w:vAlign w:val="center"/>
          </w:tcPr>
          <w:p w14:paraId="5A27B290">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4</w:t>
            </w:r>
          </w:p>
        </w:tc>
        <w:tc>
          <w:tcPr>
            <w:tcW w:w="1701" w:type="dxa"/>
            <w:tcBorders>
              <w:top w:val="single" w:color="000000" w:sz="2" w:space="0"/>
              <w:left w:val="single" w:color="000000" w:sz="2" w:space="0"/>
              <w:bottom w:val="single" w:color="000000" w:sz="2" w:space="0"/>
              <w:right w:val="single" w:color="000000" w:sz="2" w:space="0"/>
            </w:tcBorders>
            <w:vAlign w:val="center"/>
          </w:tcPr>
          <w:p w14:paraId="5C95C419">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kern w:val="2"/>
                <w:sz w:val="24"/>
                <w:szCs w:val="24"/>
                <w:highlight w:val="none"/>
              </w:rPr>
            </w:pPr>
            <w:r>
              <w:rPr>
                <w:rFonts w:hint="eastAsia" w:ascii="宋体" w:hAnsi="宋体" w:cs="宋体"/>
                <w:color w:val="auto"/>
                <w:kern w:val="2"/>
                <w:sz w:val="24"/>
                <w:szCs w:val="24"/>
                <w:highlight w:val="none"/>
              </w:rPr>
              <w:t>无</w:t>
            </w:r>
          </w:p>
        </w:tc>
        <w:tc>
          <w:tcPr>
            <w:tcW w:w="1540" w:type="dxa"/>
            <w:tcBorders>
              <w:top w:val="single" w:color="000000" w:sz="2" w:space="0"/>
              <w:left w:val="single" w:color="000000" w:sz="2" w:space="0"/>
              <w:bottom w:val="single" w:color="000000" w:sz="2" w:space="0"/>
              <w:right w:val="single" w:color="000000" w:sz="2" w:space="0"/>
            </w:tcBorders>
            <w:vAlign w:val="center"/>
          </w:tcPr>
          <w:p w14:paraId="64A8F202">
            <w:pPr>
              <w:keepNext w:val="0"/>
              <w:keepLines w:val="0"/>
              <w:suppressLineNumbers w:val="0"/>
              <w:shd w:val="clear"/>
              <w:spacing w:before="109" w:beforeAutospacing="0" w:after="0" w:afterAutospacing="0" w:line="360" w:lineRule="auto"/>
              <w:ind w:left="0" w:right="0"/>
              <w:jc w:val="center"/>
              <w:rPr>
                <w:rFonts w:hint="default" w:ascii="宋体" w:hAnsi="宋体" w:cs="Arial"/>
                <w:color w:val="auto"/>
                <w:spacing w:val="-7"/>
                <w:kern w:val="2"/>
                <w:sz w:val="24"/>
                <w:szCs w:val="24"/>
                <w:highlight w:val="none"/>
              </w:rPr>
            </w:pPr>
            <w:r>
              <w:rPr>
                <w:rFonts w:hint="eastAsia" w:ascii="宋体" w:hAnsi="宋体" w:cs="Arial"/>
                <w:color w:val="auto"/>
                <w:kern w:val="2"/>
                <w:sz w:val="24"/>
                <w:szCs w:val="24"/>
                <w:highlight w:val="none"/>
              </w:rPr>
              <w:t>无</w:t>
            </w:r>
          </w:p>
        </w:tc>
      </w:tr>
      <w:tr w14:paraId="6C0FD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1094" w:type="dxa"/>
            <w:tcBorders>
              <w:top w:val="single" w:color="000000" w:sz="2" w:space="0"/>
              <w:left w:val="single" w:color="000000" w:sz="2" w:space="0"/>
              <w:bottom w:val="single" w:color="000000" w:sz="2" w:space="0"/>
              <w:right w:val="single" w:color="000000" w:sz="2" w:space="0"/>
            </w:tcBorders>
            <w:vAlign w:val="center"/>
          </w:tcPr>
          <w:p w14:paraId="75255BCF">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eastAsia" w:ascii="宋体" w:hAnsi="宋体" w:cs="宋体"/>
                <w:color w:val="auto"/>
                <w:kern w:val="2"/>
                <w:sz w:val="24"/>
                <w:szCs w:val="24"/>
                <w:highlight w:val="none"/>
              </w:rPr>
              <w:t>二级</w:t>
            </w:r>
          </w:p>
        </w:tc>
        <w:tc>
          <w:tcPr>
            <w:tcW w:w="1701" w:type="dxa"/>
            <w:tcBorders>
              <w:top w:val="single" w:color="000000" w:sz="2" w:space="0"/>
              <w:left w:val="single" w:color="000000" w:sz="2" w:space="0"/>
              <w:bottom w:val="single" w:color="000000" w:sz="2" w:space="0"/>
              <w:right w:val="single" w:color="000000" w:sz="2" w:space="0"/>
            </w:tcBorders>
            <w:vAlign w:val="center"/>
          </w:tcPr>
          <w:p w14:paraId="1C8D0405">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6</w:t>
            </w:r>
          </w:p>
        </w:tc>
        <w:tc>
          <w:tcPr>
            <w:tcW w:w="1686" w:type="dxa"/>
            <w:tcBorders>
              <w:top w:val="single" w:color="000000" w:sz="2" w:space="0"/>
              <w:left w:val="single" w:color="000000" w:sz="2" w:space="0"/>
              <w:bottom w:val="single" w:color="000000" w:sz="2" w:space="0"/>
              <w:right w:val="single" w:color="000000" w:sz="2" w:space="0"/>
            </w:tcBorders>
            <w:vAlign w:val="center"/>
          </w:tcPr>
          <w:p w14:paraId="0B1AE0C7">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6</w:t>
            </w:r>
          </w:p>
        </w:tc>
        <w:tc>
          <w:tcPr>
            <w:tcW w:w="1143" w:type="dxa"/>
            <w:tcBorders>
              <w:top w:val="single" w:color="000000" w:sz="2" w:space="0"/>
              <w:left w:val="single" w:color="000000" w:sz="2" w:space="0"/>
              <w:bottom w:val="single" w:color="000000" w:sz="2" w:space="0"/>
              <w:right w:val="single" w:color="000000" w:sz="2" w:space="0"/>
            </w:tcBorders>
            <w:vAlign w:val="center"/>
          </w:tcPr>
          <w:p w14:paraId="79D5029A">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8</w:t>
            </w:r>
          </w:p>
        </w:tc>
        <w:tc>
          <w:tcPr>
            <w:tcW w:w="1707" w:type="dxa"/>
            <w:tcBorders>
              <w:top w:val="single" w:color="000000" w:sz="2" w:space="0"/>
              <w:left w:val="single" w:color="000000" w:sz="2" w:space="0"/>
              <w:bottom w:val="single" w:color="000000" w:sz="2" w:space="0"/>
              <w:right w:val="single" w:color="000000" w:sz="2" w:space="0"/>
            </w:tcBorders>
            <w:vAlign w:val="center"/>
          </w:tcPr>
          <w:p w14:paraId="7BEB3214">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8</w:t>
            </w:r>
          </w:p>
        </w:tc>
        <w:tc>
          <w:tcPr>
            <w:tcW w:w="1701" w:type="dxa"/>
            <w:tcBorders>
              <w:top w:val="single" w:color="000000" w:sz="2" w:space="0"/>
              <w:left w:val="single" w:color="000000" w:sz="2" w:space="0"/>
              <w:bottom w:val="single" w:color="000000" w:sz="2" w:space="0"/>
              <w:right w:val="single" w:color="000000" w:sz="2" w:space="0"/>
            </w:tcBorders>
            <w:vAlign w:val="center"/>
          </w:tcPr>
          <w:p w14:paraId="1A7C0FD2">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0.5</w:t>
            </w:r>
          </w:p>
        </w:tc>
        <w:tc>
          <w:tcPr>
            <w:tcW w:w="1540" w:type="dxa"/>
            <w:tcBorders>
              <w:top w:val="single" w:color="000000" w:sz="2" w:space="0"/>
              <w:left w:val="single" w:color="000000" w:sz="2" w:space="0"/>
              <w:bottom w:val="single" w:color="000000" w:sz="2" w:space="0"/>
              <w:right w:val="single" w:color="000000" w:sz="2" w:space="0"/>
            </w:tcBorders>
            <w:vAlign w:val="center"/>
          </w:tcPr>
          <w:p w14:paraId="0F05F6A1">
            <w:pPr>
              <w:keepNext w:val="0"/>
              <w:keepLines w:val="0"/>
              <w:suppressLineNumbers w:val="0"/>
              <w:shd w:val="clear"/>
              <w:spacing w:before="112"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2</w:t>
            </w:r>
          </w:p>
        </w:tc>
      </w:tr>
      <w:tr w14:paraId="57809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094" w:type="dxa"/>
            <w:tcBorders>
              <w:top w:val="single" w:color="000000" w:sz="2" w:space="0"/>
              <w:left w:val="single" w:color="000000" w:sz="2" w:space="0"/>
              <w:bottom w:val="single" w:color="000000" w:sz="2" w:space="0"/>
              <w:right w:val="single" w:color="000000" w:sz="2" w:space="0"/>
            </w:tcBorders>
            <w:vAlign w:val="center"/>
          </w:tcPr>
          <w:p w14:paraId="5A670F1C">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eastAsia" w:ascii="宋体" w:hAnsi="宋体" w:cs="宋体"/>
                <w:color w:val="auto"/>
                <w:kern w:val="2"/>
                <w:sz w:val="24"/>
                <w:szCs w:val="24"/>
                <w:highlight w:val="none"/>
              </w:rPr>
              <w:t>三级</w:t>
            </w:r>
          </w:p>
        </w:tc>
        <w:tc>
          <w:tcPr>
            <w:tcW w:w="1701" w:type="dxa"/>
            <w:tcBorders>
              <w:top w:val="single" w:color="000000" w:sz="2" w:space="0"/>
              <w:left w:val="single" w:color="000000" w:sz="2" w:space="0"/>
              <w:bottom w:val="single" w:color="000000" w:sz="2" w:space="0"/>
              <w:right w:val="single" w:color="000000" w:sz="2" w:space="0"/>
            </w:tcBorders>
            <w:vAlign w:val="center"/>
          </w:tcPr>
          <w:p w14:paraId="01045F37">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8</w:t>
            </w:r>
          </w:p>
        </w:tc>
        <w:tc>
          <w:tcPr>
            <w:tcW w:w="1686" w:type="dxa"/>
            <w:tcBorders>
              <w:top w:val="single" w:color="000000" w:sz="2" w:space="0"/>
              <w:left w:val="single" w:color="000000" w:sz="2" w:space="0"/>
              <w:bottom w:val="single" w:color="000000" w:sz="2" w:space="0"/>
              <w:right w:val="single" w:color="000000" w:sz="2" w:space="0"/>
            </w:tcBorders>
            <w:vAlign w:val="center"/>
          </w:tcPr>
          <w:p w14:paraId="3D7171E9">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10</w:t>
            </w:r>
          </w:p>
        </w:tc>
        <w:tc>
          <w:tcPr>
            <w:tcW w:w="1143" w:type="dxa"/>
            <w:tcBorders>
              <w:top w:val="single" w:color="000000" w:sz="2" w:space="0"/>
              <w:left w:val="single" w:color="000000" w:sz="2" w:space="0"/>
              <w:bottom w:val="single" w:color="000000" w:sz="2" w:space="0"/>
              <w:right w:val="single" w:color="000000" w:sz="2" w:space="0"/>
            </w:tcBorders>
            <w:vAlign w:val="center"/>
          </w:tcPr>
          <w:p w14:paraId="29379336">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10</w:t>
            </w:r>
          </w:p>
        </w:tc>
        <w:tc>
          <w:tcPr>
            <w:tcW w:w="1707" w:type="dxa"/>
            <w:tcBorders>
              <w:top w:val="single" w:color="000000" w:sz="2" w:space="0"/>
              <w:left w:val="single" w:color="000000" w:sz="2" w:space="0"/>
              <w:bottom w:val="single" w:color="000000" w:sz="2" w:space="0"/>
              <w:right w:val="single" w:color="000000" w:sz="2" w:space="0"/>
            </w:tcBorders>
            <w:vAlign w:val="center"/>
          </w:tcPr>
          <w:p w14:paraId="4435E41F">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10</w:t>
            </w:r>
          </w:p>
        </w:tc>
        <w:tc>
          <w:tcPr>
            <w:tcW w:w="1701" w:type="dxa"/>
            <w:tcBorders>
              <w:top w:val="single" w:color="000000" w:sz="2" w:space="0"/>
              <w:left w:val="single" w:color="000000" w:sz="2" w:space="0"/>
              <w:bottom w:val="single" w:color="000000" w:sz="2" w:space="0"/>
              <w:right w:val="single" w:color="000000" w:sz="2" w:space="0"/>
            </w:tcBorders>
            <w:vAlign w:val="center"/>
          </w:tcPr>
          <w:p w14:paraId="28A22A0D">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1.5</w:t>
            </w:r>
          </w:p>
        </w:tc>
        <w:tc>
          <w:tcPr>
            <w:tcW w:w="1540" w:type="dxa"/>
            <w:tcBorders>
              <w:top w:val="single" w:color="000000" w:sz="2" w:space="0"/>
              <w:left w:val="single" w:color="000000" w:sz="2" w:space="0"/>
              <w:bottom w:val="single" w:color="000000" w:sz="2" w:space="0"/>
              <w:right w:val="single" w:color="000000" w:sz="2" w:space="0"/>
            </w:tcBorders>
            <w:vAlign w:val="center"/>
          </w:tcPr>
          <w:p w14:paraId="1A8370EA">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6</w:t>
            </w:r>
          </w:p>
        </w:tc>
      </w:tr>
      <w:tr w14:paraId="68373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1094" w:type="dxa"/>
            <w:tcBorders>
              <w:top w:val="single" w:color="000000" w:sz="2" w:space="0"/>
              <w:left w:val="single" w:color="000000" w:sz="2" w:space="0"/>
              <w:bottom w:val="single" w:color="000000" w:sz="2" w:space="0"/>
              <w:right w:val="single" w:color="000000" w:sz="2" w:space="0"/>
            </w:tcBorders>
            <w:vAlign w:val="center"/>
          </w:tcPr>
          <w:p w14:paraId="39B451B6">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eastAsia" w:ascii="宋体" w:hAnsi="宋体" w:cs="宋体"/>
                <w:color w:val="auto"/>
                <w:kern w:val="2"/>
                <w:sz w:val="24"/>
                <w:szCs w:val="24"/>
                <w:highlight w:val="none"/>
              </w:rPr>
              <w:t>四级（背街小巷）</w:t>
            </w:r>
          </w:p>
        </w:tc>
        <w:tc>
          <w:tcPr>
            <w:tcW w:w="1701" w:type="dxa"/>
            <w:tcBorders>
              <w:top w:val="single" w:color="000000" w:sz="2" w:space="0"/>
              <w:left w:val="single" w:color="000000" w:sz="2" w:space="0"/>
              <w:bottom w:val="single" w:color="000000" w:sz="2" w:space="0"/>
              <w:right w:val="single" w:color="000000" w:sz="2" w:space="0"/>
            </w:tcBorders>
            <w:vAlign w:val="center"/>
          </w:tcPr>
          <w:p w14:paraId="7EF954F8">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10</w:t>
            </w:r>
          </w:p>
        </w:tc>
        <w:tc>
          <w:tcPr>
            <w:tcW w:w="1686" w:type="dxa"/>
            <w:tcBorders>
              <w:top w:val="single" w:color="000000" w:sz="2" w:space="0"/>
              <w:left w:val="single" w:color="000000" w:sz="2" w:space="0"/>
              <w:bottom w:val="single" w:color="000000" w:sz="2" w:space="0"/>
              <w:right w:val="single" w:color="000000" w:sz="2" w:space="0"/>
            </w:tcBorders>
            <w:vAlign w:val="center"/>
          </w:tcPr>
          <w:p w14:paraId="4794BF68">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12</w:t>
            </w:r>
          </w:p>
        </w:tc>
        <w:tc>
          <w:tcPr>
            <w:tcW w:w="1143" w:type="dxa"/>
            <w:tcBorders>
              <w:top w:val="single" w:color="000000" w:sz="2" w:space="0"/>
              <w:left w:val="single" w:color="000000" w:sz="2" w:space="0"/>
              <w:bottom w:val="single" w:color="000000" w:sz="2" w:space="0"/>
              <w:right w:val="single" w:color="000000" w:sz="2" w:space="0"/>
            </w:tcBorders>
            <w:vAlign w:val="center"/>
          </w:tcPr>
          <w:p w14:paraId="55D370C7">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15</w:t>
            </w:r>
          </w:p>
        </w:tc>
        <w:tc>
          <w:tcPr>
            <w:tcW w:w="1707" w:type="dxa"/>
            <w:tcBorders>
              <w:top w:val="single" w:color="000000" w:sz="2" w:space="0"/>
              <w:left w:val="single" w:color="000000" w:sz="2" w:space="0"/>
              <w:bottom w:val="single" w:color="000000" w:sz="2" w:space="0"/>
              <w:right w:val="single" w:color="000000" w:sz="2" w:space="0"/>
            </w:tcBorders>
            <w:vAlign w:val="center"/>
          </w:tcPr>
          <w:p w14:paraId="7EFB926F">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15</w:t>
            </w:r>
          </w:p>
        </w:tc>
        <w:tc>
          <w:tcPr>
            <w:tcW w:w="1701" w:type="dxa"/>
            <w:tcBorders>
              <w:top w:val="single" w:color="000000" w:sz="2" w:space="0"/>
              <w:left w:val="single" w:color="000000" w:sz="2" w:space="0"/>
              <w:bottom w:val="single" w:color="000000" w:sz="2" w:space="0"/>
              <w:right w:val="single" w:color="000000" w:sz="2" w:space="0"/>
            </w:tcBorders>
            <w:vAlign w:val="center"/>
          </w:tcPr>
          <w:p w14:paraId="140C50D6">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2</w:t>
            </w:r>
          </w:p>
        </w:tc>
        <w:tc>
          <w:tcPr>
            <w:tcW w:w="1540" w:type="dxa"/>
            <w:tcBorders>
              <w:top w:val="single" w:color="000000" w:sz="2" w:space="0"/>
              <w:left w:val="single" w:color="000000" w:sz="2" w:space="0"/>
              <w:bottom w:val="single" w:color="000000" w:sz="2" w:space="0"/>
              <w:right w:val="single" w:color="000000" w:sz="2" w:space="0"/>
            </w:tcBorders>
            <w:vAlign w:val="center"/>
          </w:tcPr>
          <w:p w14:paraId="5CF880BF">
            <w:pPr>
              <w:keepNext w:val="0"/>
              <w:keepLines w:val="0"/>
              <w:suppressLineNumbers w:val="0"/>
              <w:shd w:val="clear"/>
              <w:spacing w:before="110" w:beforeAutospacing="0" w:after="0" w:afterAutospacing="0" w:line="360" w:lineRule="auto"/>
              <w:ind w:left="0" w:right="0"/>
              <w:jc w:val="center"/>
              <w:rPr>
                <w:rFonts w:hint="default" w:ascii="宋体" w:hAnsi="宋体" w:cs="Arial"/>
                <w:color w:val="auto"/>
                <w:kern w:val="2"/>
                <w:sz w:val="24"/>
                <w:szCs w:val="24"/>
                <w:highlight w:val="none"/>
              </w:rPr>
            </w:pPr>
            <w:r>
              <w:rPr>
                <w:rFonts w:hint="default" w:ascii="宋体" w:hAnsi="宋体" w:cs="Arial"/>
                <w:color w:val="auto"/>
                <w:kern w:val="2"/>
                <w:sz w:val="24"/>
                <w:szCs w:val="24"/>
                <w:highlight w:val="none"/>
              </w:rPr>
              <w:t>≤</w:t>
            </w:r>
            <w:r>
              <w:rPr>
                <w:rFonts w:hint="eastAsia" w:ascii="宋体" w:hAnsi="宋体" w:cs="Arial"/>
                <w:color w:val="auto"/>
                <w:kern w:val="2"/>
                <w:sz w:val="24"/>
                <w:szCs w:val="24"/>
                <w:highlight w:val="none"/>
              </w:rPr>
              <w:t>8</w:t>
            </w:r>
          </w:p>
        </w:tc>
      </w:tr>
    </w:tbl>
    <w:p w14:paraId="45C7EF7F">
      <w:pPr>
        <w:shd w:val="clear"/>
        <w:spacing w:before="120"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⑥交叉路段、延伸段距离</w:t>
      </w:r>
    </w:p>
    <w:p w14:paraId="186EA6FA">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1.分界桥：向前延伸30米。</w:t>
      </w:r>
    </w:p>
    <w:p w14:paraId="46FBBFBC">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w:t>
      </w:r>
      <w:r>
        <w:rPr>
          <w:rFonts w:hint="eastAsia" w:ascii="宋体" w:hAnsi="宋体" w:eastAsia="宋体" w:cs="宋体"/>
          <w:bCs/>
          <w:iCs/>
          <w:color w:val="auto"/>
          <w:sz w:val="24"/>
          <w:szCs w:val="24"/>
          <w:highlight w:val="none"/>
          <w:lang w:val="en-US" w:eastAsia="zh-CN"/>
        </w:rPr>
        <w:t>.</w:t>
      </w:r>
      <w:r>
        <w:rPr>
          <w:rFonts w:hint="eastAsia" w:ascii="宋体" w:hAnsi="宋体" w:eastAsia="宋体" w:cs="宋体"/>
          <w:bCs/>
          <w:iCs/>
          <w:color w:val="auto"/>
          <w:sz w:val="24"/>
          <w:szCs w:val="24"/>
          <w:highlight w:val="none"/>
        </w:rPr>
        <w:t>公界交叉路口：道路边界向外侧延伸30米。</w:t>
      </w:r>
    </w:p>
    <w:p w14:paraId="12F4F13A">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3</w:t>
      </w:r>
      <w:r>
        <w:rPr>
          <w:rFonts w:hint="eastAsia" w:ascii="宋体" w:hAnsi="宋体" w:eastAsia="宋体" w:cs="宋体"/>
          <w:bCs/>
          <w:iCs/>
          <w:color w:val="auto"/>
          <w:sz w:val="24"/>
          <w:szCs w:val="24"/>
          <w:highlight w:val="none"/>
          <w:lang w:eastAsia="zh-CN"/>
        </w:rPr>
        <w:t>.</w:t>
      </w:r>
      <w:r>
        <w:rPr>
          <w:rFonts w:hint="eastAsia" w:ascii="宋体" w:hAnsi="宋体" w:eastAsia="宋体" w:cs="宋体"/>
          <w:bCs/>
          <w:iCs/>
          <w:color w:val="auto"/>
          <w:sz w:val="24"/>
          <w:szCs w:val="24"/>
          <w:highlight w:val="none"/>
        </w:rPr>
        <w:t>分界路：道路中间线向旁边延伸5米。</w:t>
      </w:r>
    </w:p>
    <w:p w14:paraId="7D005035">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w:t>
      </w:r>
      <w:r>
        <w:rPr>
          <w:rFonts w:hint="eastAsia" w:ascii="宋体" w:hAnsi="宋体" w:eastAsia="宋体" w:cs="宋体"/>
          <w:bCs/>
          <w:iCs/>
          <w:color w:val="auto"/>
          <w:sz w:val="24"/>
          <w:szCs w:val="24"/>
          <w:highlight w:val="none"/>
          <w:lang w:eastAsia="zh-CN"/>
        </w:rPr>
        <w:t>.</w:t>
      </w:r>
      <w:r>
        <w:rPr>
          <w:rFonts w:hint="eastAsia" w:ascii="宋体" w:hAnsi="宋体" w:eastAsia="宋体" w:cs="宋体"/>
          <w:bCs/>
          <w:iCs/>
          <w:color w:val="auto"/>
          <w:sz w:val="24"/>
          <w:szCs w:val="24"/>
          <w:highlight w:val="none"/>
        </w:rPr>
        <w:t>分界巷道：道路两侧巷道内延伸30米。</w:t>
      </w:r>
    </w:p>
    <w:p w14:paraId="398B9D3A">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“一路带两侧，墙到墙、边到边、全覆盖”要求。</w:t>
      </w:r>
    </w:p>
    <w:p w14:paraId="2754C063">
      <w:pPr>
        <w:shd w:val="clear"/>
        <w:spacing w:line="360" w:lineRule="auto"/>
        <w:ind w:left="198"/>
        <w:rPr>
          <w:rFonts w:hint="eastAsia"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rPr>
        <w:t>（2）作业</w:t>
      </w:r>
      <w:r>
        <w:rPr>
          <w:rFonts w:hint="eastAsia" w:ascii="宋体" w:hAnsi="宋体"/>
          <w:b/>
          <w:bCs/>
          <w:iCs/>
          <w:color w:val="auto"/>
          <w:sz w:val="24"/>
          <w:szCs w:val="24"/>
          <w:highlight w:val="none"/>
          <w:shd w:val="clear"/>
          <w:lang w:val="en-US" w:eastAsia="zh-CN"/>
        </w:rPr>
        <w:t>要求</w:t>
      </w:r>
    </w:p>
    <w:p w14:paraId="740F5030">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default"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1.一体化作业方式主要包括洗扫、冲水、清理、深度清洗。洗扫作业组合运用洗扫车、小型洗扫车、护栏清洗车等；冲水作业组合运用冲水车、小型冲水车等；清理作业运用小型保洁车开展保洁；路面深度清洗重点运用冲水车、深度清洗车等开展组合式保洁作业，确保路面见底色、标线见本色。一级道路每日“2洗扫2冲水2清理”，每周1次路面深度清洗；二级道路每日“1洗扫2冲水2清理”，每月2次路面深度清洗；三级道路每日“1洗扫1冲水2清理”；小街巷以人工保洁为主，道路保洁后实行尘量抽样检测；同时结合大气污染防控要求进行作业。</w:t>
      </w:r>
    </w:p>
    <w:p w14:paraId="5991ADC9">
      <w:pPr>
        <w:shd w:val="clear"/>
        <w:spacing w:line="360" w:lineRule="auto"/>
        <w:ind w:firstLine="482" w:firstLineChars="200"/>
        <w:rPr>
          <w:rFonts w:hint="default" w:ascii="宋体" w:hAnsi="宋体"/>
          <w:b/>
          <w:bCs/>
          <w:iCs/>
          <w:color w:val="auto"/>
          <w:sz w:val="24"/>
          <w:szCs w:val="24"/>
          <w:highlight w:val="none"/>
          <w:lang w:val="en-US" w:eastAsia="zh-CN"/>
        </w:rPr>
      </w:pPr>
      <w:r>
        <w:rPr>
          <w:rFonts w:hint="eastAsia" w:ascii="宋体" w:hAnsi="宋体" w:cs="宋体"/>
          <w:b/>
          <w:bCs/>
          <w:iCs/>
          <w:color w:val="auto"/>
          <w:sz w:val="24"/>
          <w:szCs w:val="24"/>
          <w:highlight w:val="none"/>
          <w:lang w:val="en-US" w:eastAsia="zh-CN"/>
        </w:rPr>
        <w:t>2.</w:t>
      </w:r>
      <w:r>
        <w:rPr>
          <w:rFonts w:hint="eastAsia" w:ascii="宋体" w:hAnsi="宋体" w:eastAsia="宋体" w:cs="宋体"/>
          <w:b/>
          <w:bCs/>
          <w:iCs/>
          <w:color w:val="auto"/>
          <w:sz w:val="24"/>
          <w:szCs w:val="24"/>
          <w:highlight w:val="none"/>
          <w:lang w:val="en-US" w:eastAsia="zh-CN"/>
        </w:rPr>
        <w:t>重</w:t>
      </w:r>
      <w:r>
        <w:rPr>
          <w:rFonts w:hint="eastAsia" w:ascii="宋体" w:hAnsi="宋体"/>
          <w:b/>
          <w:bCs/>
          <w:iCs/>
          <w:color w:val="auto"/>
          <w:sz w:val="24"/>
          <w:szCs w:val="24"/>
          <w:highlight w:val="none"/>
          <w:lang w:val="en-US" w:eastAsia="zh-CN"/>
        </w:rPr>
        <w:t>点区域降尘作业要求：</w:t>
      </w:r>
    </w:p>
    <w:p w14:paraId="10205E1F">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（1）2</w:t>
      </w:r>
      <w:r>
        <w:rPr>
          <w:rFonts w:hint="eastAsia" w:ascii="宋体" w:hAnsi="宋体" w:eastAsia="宋体" w:cs="宋体"/>
          <w:bCs/>
          <w:iCs/>
          <w:color w:val="auto"/>
          <w:sz w:val="24"/>
          <w:szCs w:val="24"/>
          <w:highlight w:val="none"/>
          <w:lang w:val="en-US" w:eastAsia="zh-CN"/>
        </w:rPr>
        <w:t>公里范围内主次干道需按一级道路保洁；</w:t>
      </w:r>
    </w:p>
    <w:p w14:paraId="1E19184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（2）</w:t>
      </w:r>
      <w:r>
        <w:rPr>
          <w:rFonts w:hint="eastAsia" w:ascii="宋体" w:hAnsi="宋体" w:eastAsia="宋体" w:cs="宋体"/>
          <w:bCs/>
          <w:iCs/>
          <w:color w:val="auto"/>
          <w:sz w:val="24"/>
          <w:szCs w:val="24"/>
          <w:highlight w:val="none"/>
          <w:lang w:val="en-US" w:eastAsia="zh-CN"/>
        </w:rPr>
        <w:t>行道树、绿化带内草木叶片</w:t>
      </w:r>
      <w:r>
        <w:rPr>
          <w:rFonts w:hint="eastAsia" w:ascii="宋体" w:hAnsi="宋体" w:eastAsia="宋体" w:cs="宋体"/>
          <w:bCs/>
          <w:iCs/>
          <w:color w:val="auto"/>
          <w:sz w:val="24"/>
          <w:szCs w:val="24"/>
          <w:highlight w:val="none"/>
          <w:shd w:val="clear"/>
          <w:lang w:val="en-US" w:eastAsia="zh-CN"/>
        </w:rPr>
        <w:t>根据现状或调度进行冲洗</w:t>
      </w:r>
      <w:r>
        <w:rPr>
          <w:rFonts w:hint="eastAsia" w:ascii="宋体" w:hAnsi="宋体" w:eastAsia="宋体" w:cs="宋体"/>
          <w:bCs/>
          <w:iCs/>
          <w:color w:val="auto"/>
          <w:sz w:val="24"/>
          <w:szCs w:val="24"/>
          <w:highlight w:val="none"/>
          <w:lang w:val="en-US" w:eastAsia="zh-CN"/>
        </w:rPr>
        <w:t>；</w:t>
      </w:r>
    </w:p>
    <w:p w14:paraId="6FFDB6E6">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（3）</w:t>
      </w:r>
      <w:r>
        <w:rPr>
          <w:rFonts w:hint="eastAsia" w:ascii="宋体" w:hAnsi="宋体" w:eastAsia="宋体" w:cs="宋体"/>
          <w:bCs/>
          <w:iCs/>
          <w:color w:val="auto"/>
          <w:sz w:val="24"/>
          <w:szCs w:val="24"/>
          <w:highlight w:val="none"/>
          <w:lang w:val="en-US" w:eastAsia="zh-CN"/>
        </w:rPr>
        <w:t>严格落实一级道路每日“2洗扫2冲水2清理”，每周1次路面深度清洗，达到1微克以下</w:t>
      </w:r>
      <w:r>
        <w:rPr>
          <w:rFonts w:hint="eastAsia" w:ascii="宋体" w:hAnsi="宋体" w:eastAsia="宋体" w:cs="宋体"/>
          <w:bCs/>
          <w:iCs/>
          <w:color w:val="auto"/>
          <w:sz w:val="24"/>
          <w:szCs w:val="24"/>
          <w:highlight w:val="none"/>
          <w:shd w:val="clear"/>
          <w:lang w:val="en-US" w:eastAsia="zh-CN"/>
        </w:rPr>
        <w:t>的要求</w:t>
      </w:r>
      <w:r>
        <w:rPr>
          <w:rFonts w:hint="eastAsia" w:ascii="宋体" w:hAnsi="宋体" w:eastAsia="宋体" w:cs="宋体"/>
          <w:bCs/>
          <w:iCs/>
          <w:color w:val="auto"/>
          <w:sz w:val="24"/>
          <w:szCs w:val="24"/>
          <w:highlight w:val="none"/>
          <w:lang w:val="en-US" w:eastAsia="zh-CN"/>
        </w:rPr>
        <w:t>；</w:t>
      </w:r>
    </w:p>
    <w:p w14:paraId="4E445041">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（4）3</w:t>
      </w:r>
      <w:r>
        <w:rPr>
          <w:rFonts w:hint="eastAsia" w:ascii="宋体" w:hAnsi="宋体" w:eastAsia="宋体" w:cs="宋体"/>
          <w:bCs/>
          <w:iCs/>
          <w:color w:val="auto"/>
          <w:sz w:val="24"/>
          <w:szCs w:val="24"/>
          <w:highlight w:val="none"/>
          <w:lang w:val="en-US" w:eastAsia="zh-CN"/>
        </w:rPr>
        <w:t>公里范围内主次干道需按2级道路保洁；</w:t>
      </w:r>
      <w:r>
        <w:rPr>
          <w:rFonts w:hint="eastAsia" w:ascii="宋体" w:hAnsi="宋体" w:cs="宋体"/>
          <w:bCs/>
          <w:iCs/>
          <w:color w:val="auto"/>
          <w:sz w:val="24"/>
          <w:szCs w:val="24"/>
          <w:highlight w:val="none"/>
          <w:lang w:val="en-US" w:eastAsia="zh-CN"/>
        </w:rPr>
        <w:t xml:space="preserve">  </w:t>
      </w:r>
    </w:p>
    <w:p w14:paraId="694B292F">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lang w:val="en-US" w:eastAsia="zh-CN"/>
        </w:rPr>
      </w:pPr>
      <w:r>
        <w:rPr>
          <w:rFonts w:hint="eastAsia" w:ascii="宋体" w:hAnsi="宋体" w:cs="宋体"/>
          <w:bCs/>
          <w:iCs/>
          <w:color w:val="auto"/>
          <w:sz w:val="24"/>
          <w:szCs w:val="24"/>
          <w:highlight w:val="none"/>
          <w:lang w:val="en-US" w:eastAsia="zh-CN"/>
        </w:rPr>
        <w:t>（5）</w:t>
      </w:r>
      <w:r>
        <w:rPr>
          <w:rFonts w:hint="eastAsia" w:ascii="宋体" w:hAnsi="宋体" w:eastAsia="宋体" w:cs="宋体"/>
          <w:bCs/>
          <w:iCs/>
          <w:color w:val="auto"/>
          <w:sz w:val="24"/>
          <w:szCs w:val="24"/>
          <w:highlight w:val="none"/>
          <w:lang w:val="en-US" w:eastAsia="zh-CN"/>
        </w:rPr>
        <w:t>严格落实二级道路每日“1洗扫2冲水2清理”，每月2次路面深度清洗，达到2微克以下。</w:t>
      </w:r>
    </w:p>
    <w:p w14:paraId="731CD354">
      <w:pPr>
        <w:shd w:val="clear"/>
        <w:spacing w:line="360" w:lineRule="auto"/>
        <w:ind w:left="198"/>
        <w:rPr>
          <w:rFonts w:ascii="宋体" w:hAnsi="宋体"/>
          <w:b/>
          <w:bCs/>
          <w:iCs/>
          <w:color w:val="auto"/>
          <w:sz w:val="24"/>
          <w:szCs w:val="24"/>
          <w:highlight w:val="none"/>
        </w:rPr>
      </w:pPr>
      <w:r>
        <w:rPr>
          <w:rFonts w:hint="eastAsia" w:ascii="宋体" w:hAnsi="宋体"/>
          <w:b/>
          <w:bCs/>
          <w:iCs/>
          <w:color w:val="auto"/>
          <w:sz w:val="24"/>
          <w:szCs w:val="24"/>
          <w:highlight w:val="none"/>
        </w:rPr>
        <w:t>（3）作业时间</w:t>
      </w:r>
    </w:p>
    <w:p w14:paraId="12E98D03">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w:t>
      </w:r>
      <w:r>
        <w:rPr>
          <w:rFonts w:hint="eastAsia" w:ascii="宋体" w:hAnsi="宋体"/>
          <w:bCs/>
          <w:iCs/>
          <w:color w:val="auto"/>
          <w:sz w:val="24"/>
          <w:szCs w:val="24"/>
          <w:highlight w:val="none"/>
        </w:rPr>
        <w:t>洗扫作业：</w:t>
      </w:r>
    </w:p>
    <w:p w14:paraId="6279DA21">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第一遍在7:00前完成</w:t>
      </w:r>
    </w:p>
    <w:p w14:paraId="76C443FE">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第二遍在12:00至16:00完成</w:t>
      </w:r>
    </w:p>
    <w:p w14:paraId="5BEA59BB">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rPr>
        <w:t>冲水作业：</w:t>
      </w:r>
    </w:p>
    <w:p w14:paraId="11A588D7">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第一遍在7:00前完成</w:t>
      </w:r>
    </w:p>
    <w:p w14:paraId="7FCDE05E">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第二遍在12:00至16:00完成</w:t>
      </w:r>
    </w:p>
    <w:p w14:paraId="6A432701">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3.清理作业：</w:t>
      </w:r>
    </w:p>
    <w:p w14:paraId="0578E965">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第一遍在7:00至12:00完成</w:t>
      </w:r>
    </w:p>
    <w:p w14:paraId="20AC9C61">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第二遍在14:00至19:00完成</w:t>
      </w:r>
    </w:p>
    <w:p w14:paraId="432876DD">
      <w:pPr>
        <w:shd w:val="clear"/>
        <w:spacing w:line="360" w:lineRule="auto"/>
        <w:ind w:firstLine="480"/>
        <w:rPr>
          <w:rFonts w:hint="default"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4.夜间作业：</w:t>
      </w:r>
      <w:r>
        <w:rPr>
          <w:rFonts w:hint="default" w:ascii="宋体" w:hAnsi="宋体"/>
          <w:bCs/>
          <w:iCs/>
          <w:color w:val="auto"/>
          <w:sz w:val="24"/>
          <w:szCs w:val="24"/>
          <w:highlight w:val="none"/>
          <w:lang w:val="en-US" w:eastAsia="zh-CN"/>
        </w:rPr>
        <w:t>一、二级道路每周夜间冲洗不得少于2次，慢车道、人行道、护栏使用中小型高压冲洗车辆（护栏清洗车）实行同步冲洗（冲洗时间为凌晨</w:t>
      </w:r>
      <w:r>
        <w:rPr>
          <w:rFonts w:hint="eastAsia" w:ascii="宋体" w:hAnsi="宋体"/>
          <w:bCs/>
          <w:iCs/>
          <w:color w:val="auto"/>
          <w:sz w:val="24"/>
          <w:szCs w:val="24"/>
          <w:highlight w:val="none"/>
          <w:lang w:val="en-US" w:eastAsia="zh-CN"/>
        </w:rPr>
        <w:t>0</w:t>
      </w:r>
      <w:r>
        <w:rPr>
          <w:rFonts w:hint="default" w:ascii="宋体" w:hAnsi="宋体"/>
          <w:bCs/>
          <w:iCs/>
          <w:color w:val="auto"/>
          <w:sz w:val="24"/>
          <w:szCs w:val="24"/>
          <w:highlight w:val="none"/>
          <w:lang w:val="en-US" w:eastAsia="zh-CN"/>
        </w:rPr>
        <w:t>:00—4:00）。路面油污使用自备冲洗车辆随产随洗；所有道路按照采购人要求进行日常雾炮洒水降尘作业。</w:t>
      </w:r>
      <w:r>
        <w:rPr>
          <w:rFonts w:hint="default" w:ascii="宋体" w:hAnsi="宋体"/>
          <w:bCs/>
          <w:iCs/>
          <w:color w:val="auto"/>
          <w:sz w:val="24"/>
          <w:szCs w:val="24"/>
          <w:highlight w:val="none"/>
          <w:shd w:val="clear"/>
          <w:lang w:val="en-US" w:eastAsia="zh-CN"/>
        </w:rPr>
        <w:t>机械化作业要避开早晚交通出行高峰(高峰时段:早7:00-9:00、晚17:00-19:00)。当气温</w:t>
      </w:r>
      <w:r>
        <w:rPr>
          <w:rFonts w:hint="eastAsia" w:ascii="宋体" w:hAnsi="宋体"/>
          <w:bCs/>
          <w:iCs/>
          <w:color w:val="auto"/>
          <w:sz w:val="24"/>
          <w:szCs w:val="24"/>
          <w:highlight w:val="none"/>
          <w:shd w:val="clear"/>
          <w:lang w:val="en-US" w:eastAsia="zh-CN"/>
        </w:rPr>
        <w:t>≤</w:t>
      </w:r>
      <w:r>
        <w:rPr>
          <w:rFonts w:hint="default" w:ascii="宋体" w:hAnsi="宋体"/>
          <w:bCs/>
          <w:iCs/>
          <w:color w:val="auto"/>
          <w:sz w:val="24"/>
          <w:szCs w:val="24"/>
          <w:highlight w:val="none"/>
          <w:shd w:val="clear"/>
          <w:lang w:val="en-US" w:eastAsia="zh-CN"/>
        </w:rPr>
        <w:t>5</w:t>
      </w:r>
      <w:r>
        <w:rPr>
          <w:rFonts w:hint="eastAsia" w:ascii="宋体" w:hAnsi="宋体"/>
          <w:bCs/>
          <w:iCs/>
          <w:color w:val="auto"/>
          <w:sz w:val="24"/>
          <w:szCs w:val="24"/>
          <w:highlight w:val="none"/>
          <w:shd w:val="clear"/>
          <w:lang w:val="en-US" w:eastAsia="zh-CN"/>
        </w:rPr>
        <w:t>℃</w:t>
      </w:r>
      <w:r>
        <w:rPr>
          <w:rFonts w:hint="default" w:ascii="宋体" w:hAnsi="宋体"/>
          <w:bCs/>
          <w:iCs/>
          <w:color w:val="auto"/>
          <w:sz w:val="24"/>
          <w:szCs w:val="24"/>
          <w:highlight w:val="none"/>
          <w:shd w:val="clear"/>
          <w:lang w:val="en-US" w:eastAsia="zh-CN"/>
        </w:rPr>
        <w:t>时，暂停桥面、坡道、高架的冲洗及清洗作业</w:t>
      </w:r>
      <w:r>
        <w:rPr>
          <w:rFonts w:hint="eastAsia" w:ascii="宋体" w:hAnsi="宋体"/>
          <w:bCs/>
          <w:iCs/>
          <w:color w:val="auto"/>
          <w:sz w:val="24"/>
          <w:szCs w:val="24"/>
          <w:highlight w:val="none"/>
          <w:shd w:val="clear"/>
          <w:lang w:val="en-US" w:eastAsia="zh-CN"/>
        </w:rPr>
        <w:t>；</w:t>
      </w:r>
      <w:r>
        <w:rPr>
          <w:rFonts w:hint="default" w:ascii="宋体" w:hAnsi="宋体"/>
          <w:bCs/>
          <w:iCs/>
          <w:color w:val="auto"/>
          <w:sz w:val="24"/>
          <w:szCs w:val="24"/>
          <w:highlight w:val="none"/>
          <w:shd w:val="clear"/>
          <w:lang w:val="en-US" w:eastAsia="zh-CN"/>
        </w:rPr>
        <w:t>当气温</w:t>
      </w:r>
      <w:r>
        <w:rPr>
          <w:rFonts w:hint="eastAsia" w:ascii="宋体" w:hAnsi="宋体"/>
          <w:bCs/>
          <w:iCs/>
          <w:color w:val="auto"/>
          <w:sz w:val="24"/>
          <w:szCs w:val="24"/>
          <w:highlight w:val="none"/>
          <w:shd w:val="clear"/>
          <w:lang w:val="en-US" w:eastAsia="zh-CN"/>
        </w:rPr>
        <w:t>≤</w:t>
      </w:r>
      <w:r>
        <w:rPr>
          <w:rFonts w:hint="default" w:ascii="宋体" w:hAnsi="宋体"/>
          <w:bCs/>
          <w:iCs/>
          <w:color w:val="auto"/>
          <w:sz w:val="24"/>
          <w:szCs w:val="24"/>
          <w:highlight w:val="none"/>
          <w:shd w:val="clear"/>
          <w:lang w:val="en-US" w:eastAsia="zh-CN"/>
        </w:rPr>
        <w:t>2</w:t>
      </w:r>
      <w:r>
        <w:rPr>
          <w:rFonts w:hint="eastAsia" w:ascii="宋体" w:hAnsi="宋体"/>
          <w:bCs/>
          <w:iCs/>
          <w:color w:val="auto"/>
          <w:sz w:val="24"/>
          <w:szCs w:val="24"/>
          <w:highlight w:val="none"/>
          <w:shd w:val="clear"/>
          <w:lang w:val="en-US" w:eastAsia="zh-CN"/>
        </w:rPr>
        <w:t>℃</w:t>
      </w:r>
      <w:r>
        <w:rPr>
          <w:rFonts w:hint="default" w:ascii="宋体" w:hAnsi="宋体"/>
          <w:bCs/>
          <w:iCs/>
          <w:color w:val="auto"/>
          <w:sz w:val="24"/>
          <w:szCs w:val="24"/>
          <w:highlight w:val="none"/>
          <w:shd w:val="clear"/>
          <w:lang w:val="en-US" w:eastAsia="zh-CN"/>
        </w:rPr>
        <w:t>时，所有路面冲洗及清洗作业停止，道路清扫采用不喷水作业方式。</w:t>
      </w:r>
      <w:r>
        <w:rPr>
          <w:rFonts w:hint="default" w:ascii="宋体" w:hAnsi="宋体"/>
          <w:bCs/>
          <w:iCs/>
          <w:color w:val="auto"/>
          <w:sz w:val="24"/>
          <w:szCs w:val="24"/>
          <w:highlight w:val="none"/>
          <w:lang w:val="en-US" w:eastAsia="zh-CN"/>
        </w:rPr>
        <w:t>大气污染防治重要点位周边3公里道路按照大气污染防治要求实施道路深度保洁、洒水雾炮降尘作业等。</w:t>
      </w:r>
    </w:p>
    <w:p w14:paraId="60CECCE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5.</w:t>
      </w:r>
      <w:r>
        <w:rPr>
          <w:rFonts w:hint="eastAsia" w:ascii="宋体" w:hAnsi="宋体"/>
          <w:bCs/>
          <w:iCs/>
          <w:color w:val="auto"/>
          <w:sz w:val="24"/>
          <w:szCs w:val="24"/>
          <w:highlight w:val="none"/>
        </w:rPr>
        <w:t>“牛皮癣”清除：夜间产生的“牛皮癣”，早晨7：30分之前清除，白天产生的“牛皮癣”2小时内清除。</w:t>
      </w:r>
    </w:p>
    <w:p w14:paraId="600938B6">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6.</w:t>
      </w:r>
      <w:r>
        <w:rPr>
          <w:rFonts w:hint="eastAsia" w:ascii="宋体" w:hAnsi="宋体"/>
          <w:bCs/>
          <w:iCs/>
          <w:color w:val="auto"/>
          <w:sz w:val="24"/>
          <w:szCs w:val="24"/>
          <w:highlight w:val="none"/>
        </w:rPr>
        <w:t>其他作业：绿岛、绿化带、树池、树坑的保洁与道路保洁同步进行。</w:t>
      </w:r>
    </w:p>
    <w:p w14:paraId="19CF4962">
      <w:pPr>
        <w:shd w:val="clear"/>
        <w:spacing w:line="360" w:lineRule="auto"/>
        <w:ind w:firstLine="480"/>
        <w:rPr>
          <w:rFonts w:hint="eastAsia" w:ascii="宋体" w:hAnsi="宋体"/>
          <w:bCs/>
          <w:iCs/>
          <w:color w:val="auto"/>
          <w:sz w:val="24"/>
          <w:szCs w:val="24"/>
          <w:highlight w:val="none"/>
        </w:rPr>
      </w:pPr>
      <w:r>
        <w:rPr>
          <w:rFonts w:hint="eastAsia" w:ascii="宋体" w:hAnsi="宋体"/>
          <w:bCs/>
          <w:iCs/>
          <w:color w:val="auto"/>
          <w:sz w:val="24"/>
          <w:szCs w:val="24"/>
          <w:highlight w:val="none"/>
          <w:lang w:val="en-US" w:eastAsia="zh-CN"/>
        </w:rPr>
        <w:t>7.</w:t>
      </w:r>
      <w:r>
        <w:rPr>
          <w:rFonts w:hint="eastAsia" w:ascii="宋体" w:hAnsi="宋体"/>
          <w:bCs/>
          <w:iCs/>
          <w:color w:val="auto"/>
          <w:sz w:val="24"/>
          <w:szCs w:val="24"/>
          <w:highlight w:val="none"/>
        </w:rPr>
        <w:t>中标人应配合采购人开展各类创建活动，配合属地开展的有关活动</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必须无条件完成节假日、重大检查、重要保障任务及突击任务时的清扫保洁工作，并保质保量按时完成各级下达的各项工作任务。</w:t>
      </w:r>
    </w:p>
    <w:p w14:paraId="6013E591">
      <w:pPr>
        <w:shd w:val="clear"/>
        <w:spacing w:line="360" w:lineRule="auto"/>
        <w:ind w:left="198"/>
        <w:rPr>
          <w:rFonts w:ascii="宋体" w:hAnsi="宋体"/>
          <w:b/>
          <w:bCs/>
          <w:iCs/>
          <w:color w:val="auto"/>
          <w:sz w:val="24"/>
          <w:szCs w:val="24"/>
          <w:highlight w:val="none"/>
        </w:rPr>
      </w:pPr>
      <w:r>
        <w:rPr>
          <w:rFonts w:hint="eastAsia" w:ascii="宋体" w:hAnsi="宋体"/>
          <w:b/>
          <w:bCs/>
          <w:iCs/>
          <w:color w:val="auto"/>
          <w:sz w:val="24"/>
          <w:szCs w:val="24"/>
          <w:highlight w:val="none"/>
        </w:rPr>
        <w:t>（4）作业频次</w:t>
      </w:r>
    </w:p>
    <w:p w14:paraId="21FB5D2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w:t>
      </w:r>
      <w:r>
        <w:rPr>
          <w:rFonts w:hint="eastAsia" w:ascii="宋体" w:hAnsi="宋体"/>
          <w:bCs/>
          <w:iCs/>
          <w:color w:val="auto"/>
          <w:sz w:val="24"/>
          <w:szCs w:val="24"/>
          <w:highlight w:val="none"/>
        </w:rPr>
        <w:t>快车道保洁、慢车道（混合车道）：详见作业划分明细表</w:t>
      </w:r>
    </w:p>
    <w:p w14:paraId="113B3035">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2</w:t>
      </w:r>
      <w:r>
        <w:rPr>
          <w:rFonts w:hint="eastAsia" w:ascii="宋体" w:hAnsi="宋体"/>
          <w:bCs/>
          <w:iCs/>
          <w:color w:val="auto"/>
          <w:sz w:val="24"/>
          <w:szCs w:val="24"/>
          <w:highlight w:val="none"/>
          <w:lang w:val="en-US" w:eastAsia="zh-CN"/>
        </w:rPr>
        <w:t>.</w:t>
      </w:r>
      <w:r>
        <w:rPr>
          <w:rFonts w:hint="eastAsia" w:ascii="宋体" w:hAnsi="宋体"/>
          <w:bCs/>
          <w:iCs/>
          <w:color w:val="auto"/>
          <w:sz w:val="24"/>
          <w:szCs w:val="24"/>
          <w:highlight w:val="none"/>
        </w:rPr>
        <w:t>人行道</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按要求配备相应数量的小型洗扫车及一定数量的小型高压冲洗车，每周冲洗两次。</w:t>
      </w:r>
    </w:p>
    <w:p w14:paraId="7DF62830">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lang w:val="en-US" w:eastAsia="zh-CN"/>
        </w:rPr>
        <w:t>3.</w:t>
      </w:r>
      <w:r>
        <w:rPr>
          <w:rFonts w:hint="eastAsia" w:ascii="宋体" w:hAnsi="宋体"/>
          <w:bCs/>
          <w:iCs/>
          <w:color w:val="auto"/>
          <w:sz w:val="24"/>
          <w:szCs w:val="24"/>
          <w:highlight w:val="none"/>
        </w:rPr>
        <w:t>绿化带（岛）</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行道树穴保洁</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每日巡回保洁，见脏扫脏</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确保干净整洁，无垃圾、无烟头、无飘浮物、无动物粪便等</w:t>
      </w:r>
      <w:r>
        <w:rPr>
          <w:rFonts w:hint="eastAsia" w:ascii="宋体" w:hAnsi="宋体"/>
          <w:bCs/>
          <w:iCs/>
          <w:color w:val="auto"/>
          <w:sz w:val="24"/>
          <w:szCs w:val="24"/>
          <w:highlight w:val="none"/>
          <w:lang w:eastAsia="zh-CN"/>
        </w:rPr>
        <w:t>。</w:t>
      </w:r>
    </w:p>
    <w:p w14:paraId="3C1F8CFA">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4.道路两侧垃圾容器的保洁</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每日定期清洗，确保垃圾容器保持干净整洁，无破损状况，箱体至少一日一擦，三日一洗，收运后箱门及时锁闭到位。每周消杀一次垃圾容器，无蚊蝇、无异味，夏季高温需要每天消杀。</w:t>
      </w:r>
    </w:p>
    <w:p w14:paraId="7E049222">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iCs/>
          <w:color w:val="auto"/>
          <w:sz w:val="24"/>
          <w:szCs w:val="24"/>
          <w:highlight w:val="none"/>
        </w:rPr>
      </w:pPr>
      <w:r>
        <w:rPr>
          <w:rFonts w:hint="eastAsia" w:ascii="宋体" w:hAnsi="宋体"/>
          <w:bCs/>
          <w:iCs/>
          <w:color w:val="auto"/>
          <w:sz w:val="24"/>
          <w:szCs w:val="24"/>
          <w:highlight w:val="none"/>
          <w:lang w:val="en-US" w:eastAsia="zh-CN"/>
        </w:rPr>
        <w:t>5.</w:t>
      </w:r>
      <w:r>
        <w:rPr>
          <w:rFonts w:hint="eastAsia" w:ascii="宋体" w:hAnsi="宋体"/>
          <w:bCs/>
          <w:iCs/>
          <w:color w:val="auto"/>
          <w:sz w:val="24"/>
          <w:szCs w:val="24"/>
          <w:highlight w:val="none"/>
        </w:rPr>
        <w:t>道路沿街巷道保洁</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每日巡回保洁，确保沿街巷道无垃圾、无烟头、无飘浮物、无杂草、无动物粪便等。</w:t>
      </w:r>
    </w:p>
    <w:p w14:paraId="702B46C9">
      <w:pPr>
        <w:shd w:val="clear"/>
        <w:spacing w:line="360" w:lineRule="auto"/>
        <w:ind w:left="482"/>
        <w:rPr>
          <w:rFonts w:hint="eastAsia"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2、交通护栏等公共设施保洁</w:t>
      </w:r>
    </w:p>
    <w:p w14:paraId="216D95F7">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（1）护栏清洗作业</w:t>
      </w:r>
    </w:p>
    <w:p w14:paraId="58D9D9C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1 \* GB3 \* MERGEFORMAT </w:instrText>
      </w:r>
      <w:r>
        <w:rPr>
          <w:rFonts w:hint="eastAsia" w:ascii="宋体" w:hAnsi="宋体"/>
          <w:bCs/>
          <w:iCs/>
          <w:color w:val="auto"/>
          <w:sz w:val="24"/>
          <w:szCs w:val="24"/>
          <w:highlight w:val="none"/>
        </w:rPr>
        <w:fldChar w:fldCharType="separate"/>
      </w:r>
      <w:r>
        <w:rPr>
          <w:color w:val="auto"/>
          <w:highlight w:val="none"/>
        </w:rPr>
        <w:t>①</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配置护栏清洗车，每周清洗护栏，确保护栏干净整洁。交通护栏表面无“牛皮癣”，无明显灰尘、污迹。</w:t>
      </w:r>
    </w:p>
    <w:p w14:paraId="08A1ECF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2 \* GB3 \* MERGEFORMAT </w:instrText>
      </w:r>
      <w:r>
        <w:rPr>
          <w:rFonts w:hint="eastAsia" w:ascii="宋体" w:hAnsi="宋体"/>
          <w:bCs/>
          <w:iCs/>
          <w:color w:val="auto"/>
          <w:sz w:val="24"/>
          <w:szCs w:val="24"/>
          <w:highlight w:val="none"/>
        </w:rPr>
        <w:fldChar w:fldCharType="separate"/>
      </w:r>
      <w:r>
        <w:rPr>
          <w:color w:val="auto"/>
          <w:highlight w:val="none"/>
        </w:rPr>
        <w:t>②</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工作标准：护栏清洗必须达到“目测无污痕、擦拭无污垢、秩序整齐划一”标准。</w:t>
      </w:r>
    </w:p>
    <w:p w14:paraId="579D40A2">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3 \* GB3 \* MERGEFORMAT </w:instrText>
      </w:r>
      <w:r>
        <w:rPr>
          <w:rFonts w:hint="eastAsia" w:ascii="宋体" w:hAnsi="宋体"/>
          <w:bCs/>
          <w:iCs/>
          <w:color w:val="auto"/>
          <w:sz w:val="24"/>
          <w:szCs w:val="24"/>
          <w:highlight w:val="none"/>
        </w:rPr>
        <w:fldChar w:fldCharType="separate"/>
      </w:r>
      <w:r>
        <w:rPr>
          <w:color w:val="auto"/>
          <w:highlight w:val="none"/>
        </w:rPr>
        <w:t>③</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道路护栏符合车洗条件的，一周定时清洗一次，清洗保洁作业时间尽量错过交通高峰时间段进行，遇旅游旺季和重大活动、节假日，护栏要随时保持清洁。不具备车洗条件的道路护栏，采取人工作业，定期清洁。</w:t>
      </w:r>
    </w:p>
    <w:p w14:paraId="63EDD00C">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w:t>
      </w:r>
      <w:r>
        <w:rPr>
          <w:rFonts w:hint="eastAsia" w:ascii="宋体" w:hAnsi="宋体"/>
          <w:b/>
          <w:bCs/>
          <w:iCs/>
          <w:color w:val="auto"/>
          <w:sz w:val="24"/>
          <w:szCs w:val="24"/>
          <w:highlight w:val="none"/>
          <w:lang w:val="en-US" w:eastAsia="zh-CN"/>
        </w:rPr>
        <w:t>2</w:t>
      </w:r>
      <w:r>
        <w:rPr>
          <w:rFonts w:hint="eastAsia" w:ascii="宋体" w:hAnsi="宋体"/>
          <w:b/>
          <w:bCs/>
          <w:iCs/>
          <w:color w:val="auto"/>
          <w:sz w:val="24"/>
          <w:szCs w:val="24"/>
          <w:highlight w:val="none"/>
        </w:rPr>
        <w:t>）环卫基础设施管理</w:t>
      </w:r>
    </w:p>
    <w:p w14:paraId="6469838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1 \* GB3 \* MERGEFORMAT </w:instrText>
      </w:r>
      <w:r>
        <w:rPr>
          <w:rFonts w:hint="eastAsia" w:ascii="宋体" w:hAnsi="宋体"/>
          <w:bCs/>
          <w:iCs/>
          <w:color w:val="auto"/>
          <w:sz w:val="24"/>
          <w:szCs w:val="24"/>
          <w:highlight w:val="none"/>
        </w:rPr>
        <w:fldChar w:fldCharType="separate"/>
      </w:r>
      <w:r>
        <w:rPr>
          <w:color w:val="auto"/>
          <w:highlight w:val="none"/>
        </w:rPr>
        <w:t>①</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果壳箱、公交站台等其他公共设施表面无乱张贴、无乱涂乱画，无明显灰尘。</w:t>
      </w:r>
    </w:p>
    <w:p w14:paraId="6EF5782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2 \* GB3 \* MERGEFORMAT </w:instrText>
      </w:r>
      <w:r>
        <w:rPr>
          <w:rFonts w:hint="eastAsia" w:ascii="宋体" w:hAnsi="宋体"/>
          <w:bCs/>
          <w:iCs/>
          <w:color w:val="auto"/>
          <w:sz w:val="24"/>
          <w:szCs w:val="24"/>
          <w:highlight w:val="none"/>
        </w:rPr>
        <w:fldChar w:fldCharType="separate"/>
      </w:r>
      <w:r>
        <w:rPr>
          <w:color w:val="auto"/>
          <w:highlight w:val="none"/>
        </w:rPr>
        <w:t>②</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垃圾容器定位设置，摆放整齐。设置点周围2m内外部整洁，无散落、存留垃圾和污水。</w:t>
      </w:r>
    </w:p>
    <w:p w14:paraId="108CB4B4">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fldChar w:fldCharType="begin"/>
      </w:r>
      <w:r>
        <w:rPr>
          <w:rFonts w:hint="eastAsia" w:ascii="宋体" w:hAnsi="宋体"/>
          <w:bCs/>
          <w:iCs/>
          <w:color w:val="auto"/>
          <w:sz w:val="24"/>
          <w:szCs w:val="24"/>
          <w:highlight w:val="none"/>
        </w:rPr>
        <w:instrText xml:space="preserve"> = 3 \* GB3 \* MERGEFORMAT </w:instrText>
      </w:r>
      <w:r>
        <w:rPr>
          <w:rFonts w:hint="eastAsia" w:ascii="宋体" w:hAnsi="宋体"/>
          <w:bCs/>
          <w:iCs/>
          <w:color w:val="auto"/>
          <w:sz w:val="24"/>
          <w:szCs w:val="24"/>
          <w:highlight w:val="none"/>
        </w:rPr>
        <w:fldChar w:fldCharType="separate"/>
      </w:r>
      <w:r>
        <w:rPr>
          <w:color w:val="auto"/>
          <w:highlight w:val="none"/>
        </w:rPr>
        <w:t>③</w:t>
      </w:r>
      <w:r>
        <w:rPr>
          <w:rFonts w:hint="eastAsia" w:ascii="宋体" w:hAnsi="宋体"/>
          <w:bCs/>
          <w:iCs/>
          <w:color w:val="auto"/>
          <w:sz w:val="24"/>
          <w:szCs w:val="24"/>
          <w:highlight w:val="none"/>
        </w:rPr>
        <w:fldChar w:fldCharType="end"/>
      </w:r>
      <w:r>
        <w:rPr>
          <w:rFonts w:hint="eastAsia" w:ascii="宋体" w:hAnsi="宋体"/>
          <w:bCs/>
          <w:iCs/>
          <w:color w:val="auto"/>
          <w:sz w:val="24"/>
          <w:szCs w:val="24"/>
          <w:highlight w:val="none"/>
        </w:rPr>
        <w:t>垃圾容器无残缺、破损，应封闭，外体整洁，收集构筑物内外墙无明显积灰、污物。</w:t>
      </w:r>
    </w:p>
    <w:p w14:paraId="4069D6FF">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4 \* GB3 \* MERGEFORMAT </w:instrText>
      </w:r>
      <w:r>
        <w:rPr>
          <w:rFonts w:hint="eastAsia" w:ascii="宋体" w:hAnsi="宋体"/>
          <w:bCs/>
          <w:iCs/>
          <w:color w:val="auto"/>
          <w:sz w:val="24"/>
          <w:szCs w:val="24"/>
          <w:highlight w:val="none"/>
          <w:lang w:val="en-US" w:eastAsia="zh-CN"/>
        </w:rPr>
        <w:fldChar w:fldCharType="separate"/>
      </w:r>
      <w:r>
        <w:rPr>
          <w:color w:val="auto"/>
          <w:highlight w:val="none"/>
        </w:rPr>
        <w:t>④</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按照分类要求设置分类收集容器。</w:t>
      </w:r>
    </w:p>
    <w:p w14:paraId="5EF307B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5 \* GB3 \* MERGEFORMAT </w:instrText>
      </w:r>
      <w:r>
        <w:rPr>
          <w:rFonts w:hint="eastAsia" w:ascii="宋体" w:hAnsi="宋体"/>
          <w:bCs/>
          <w:iCs/>
          <w:color w:val="auto"/>
          <w:sz w:val="24"/>
          <w:szCs w:val="24"/>
          <w:highlight w:val="none"/>
          <w:lang w:val="en-US" w:eastAsia="zh-CN"/>
        </w:rPr>
        <w:fldChar w:fldCharType="separate"/>
      </w:r>
      <w:r>
        <w:rPr>
          <w:color w:val="auto"/>
          <w:highlight w:val="none"/>
        </w:rPr>
        <w:t>⑤</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垃圾容器定时擦拭、清洗。</w:t>
      </w:r>
    </w:p>
    <w:p w14:paraId="138E6AE9">
      <w:pPr>
        <w:shd w:val="clear"/>
        <w:spacing w:line="360" w:lineRule="auto"/>
        <w:ind w:left="482"/>
        <w:rPr>
          <w:rFonts w:hint="default"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3、随路绿化养护</w:t>
      </w:r>
    </w:p>
    <w:p w14:paraId="409DF56A">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（1）作业要求</w:t>
      </w:r>
    </w:p>
    <w:p w14:paraId="7773E3B8">
      <w:pPr>
        <w:shd w:val="clear"/>
        <w:spacing w:line="360" w:lineRule="auto"/>
        <w:ind w:left="482"/>
        <w:jc w:val="center"/>
        <w:rPr>
          <w:rFonts w:ascii="宋体" w:hAnsi="宋体"/>
          <w:b/>
          <w:bCs/>
          <w:iCs/>
          <w:color w:val="auto"/>
          <w:sz w:val="24"/>
          <w:szCs w:val="24"/>
          <w:highlight w:val="none"/>
        </w:rPr>
      </w:pPr>
      <w:r>
        <w:rPr>
          <w:rFonts w:hint="eastAsia" w:ascii="宋体" w:hAnsi="宋体"/>
          <w:b/>
          <w:bCs/>
          <w:iCs/>
          <w:color w:val="auto"/>
          <w:sz w:val="24"/>
          <w:szCs w:val="24"/>
          <w:highlight w:val="none"/>
        </w:rPr>
        <w:t>扬州市城市园林绿化养护管理分级标准</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134"/>
        <w:gridCol w:w="2500"/>
        <w:gridCol w:w="2500"/>
        <w:gridCol w:w="103"/>
        <w:gridCol w:w="2398"/>
      </w:tblGrid>
      <w:tr w14:paraId="3321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blHeader/>
        </w:trPr>
        <w:tc>
          <w:tcPr>
            <w:tcW w:w="1668" w:type="dxa"/>
            <w:gridSpan w:val="2"/>
            <w:vAlign w:val="center"/>
          </w:tcPr>
          <w:p w14:paraId="53D9ACE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管护类别</w:t>
            </w:r>
          </w:p>
        </w:tc>
        <w:tc>
          <w:tcPr>
            <w:tcW w:w="2500" w:type="dxa"/>
            <w:vAlign w:val="center"/>
          </w:tcPr>
          <w:p w14:paraId="3389650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一级养护管理绿地</w:t>
            </w:r>
          </w:p>
        </w:tc>
        <w:tc>
          <w:tcPr>
            <w:tcW w:w="2500" w:type="dxa"/>
            <w:vAlign w:val="center"/>
          </w:tcPr>
          <w:p w14:paraId="6D2CBB2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二级养护管理绿地</w:t>
            </w:r>
          </w:p>
        </w:tc>
        <w:tc>
          <w:tcPr>
            <w:tcW w:w="2501" w:type="dxa"/>
            <w:gridSpan w:val="2"/>
            <w:vAlign w:val="center"/>
          </w:tcPr>
          <w:p w14:paraId="7005419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三级养护管理绿地</w:t>
            </w:r>
          </w:p>
        </w:tc>
      </w:tr>
      <w:tr w14:paraId="1788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3F316E5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一</w:t>
            </w:r>
          </w:p>
          <w:p w14:paraId="0AF79CB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植</w:t>
            </w:r>
          </w:p>
          <w:p w14:paraId="121D1C1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物</w:t>
            </w:r>
          </w:p>
          <w:p w14:paraId="746EDFA6">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养</w:t>
            </w:r>
          </w:p>
          <w:p w14:paraId="336422A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护</w:t>
            </w:r>
          </w:p>
        </w:tc>
        <w:tc>
          <w:tcPr>
            <w:tcW w:w="1134" w:type="dxa"/>
            <w:vAlign w:val="center"/>
          </w:tcPr>
          <w:p w14:paraId="385BCB4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乔木</w:t>
            </w:r>
          </w:p>
        </w:tc>
        <w:tc>
          <w:tcPr>
            <w:tcW w:w="2500" w:type="dxa"/>
          </w:tcPr>
          <w:p w14:paraId="7B64060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生长健壮，树冠完整美观。</w:t>
            </w:r>
          </w:p>
          <w:p w14:paraId="1476E0E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分枝点合适，枝条粗壮，无枯枝死杈；主侧枝分布匀称、数量适宜；内膛不乱，通风透光。行道树不歪斜(造型树除外)，叶片大小、颜色正常，无黄叶、焦叶、卷叶。</w:t>
            </w:r>
          </w:p>
          <w:p w14:paraId="2BB38E1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无缺株、死株。无可视的病虫危害症状，被害株率≤2%，地下害虫≤2 头/㎡。</w:t>
            </w:r>
          </w:p>
        </w:tc>
        <w:tc>
          <w:tcPr>
            <w:tcW w:w="2500" w:type="dxa"/>
          </w:tcPr>
          <w:p w14:paraId="489EAF7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生长正常，树冠基本完整，树形较优美。</w:t>
            </w:r>
          </w:p>
          <w:p w14:paraId="4643775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分枝点较合适，基本无枯枝死杈；主侧枝分布均称、数量适宜，内膛不乱，通风透光。树木基本不歪斜(造型树木除外)。叶片大小，颜色正常，无明显黄叶、焦叶、卷叶</w:t>
            </w:r>
          </w:p>
          <w:p w14:paraId="012DE78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基本无可视的病虫危害症状被害株率≤5%。</w:t>
            </w:r>
          </w:p>
        </w:tc>
        <w:tc>
          <w:tcPr>
            <w:tcW w:w="2501" w:type="dxa"/>
            <w:gridSpan w:val="2"/>
          </w:tcPr>
          <w:p w14:paraId="1283000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生长正常，树冠完整。</w:t>
            </w:r>
          </w:p>
          <w:p w14:paraId="13A146AB">
            <w:pPr>
              <w:keepNext w:val="0"/>
              <w:keepLines w:val="0"/>
              <w:suppressLineNumbers w:val="0"/>
              <w:shd w:val="clear"/>
              <w:spacing w:before="0" w:beforeAutospacing="0" w:after="0" w:afterAutospacing="0" w:line="240" w:lineRule="auto"/>
              <w:ind w:left="0" w:right="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无明显枯枝死杈，主侧枝分布匀称，枝条粗壮，修剪合理；树木无明显歪斜(造型树木除外)。</w:t>
            </w:r>
          </w:p>
          <w:p w14:paraId="69FC3440">
            <w:pPr>
              <w:keepNext w:val="0"/>
              <w:keepLines w:val="0"/>
              <w:suppressLineNumbers w:val="0"/>
              <w:shd w:val="clear"/>
              <w:spacing w:before="0" w:beforeAutospacing="0" w:after="0" w:afterAutospacing="0" w:line="240" w:lineRule="auto"/>
              <w:ind w:left="0" w:right="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叶片大小、颜色正常，有黄叶、焦叶和卷叶的株数不超过 10%，正常叶片保存率在85%以上。</w:t>
            </w:r>
          </w:p>
          <w:p w14:paraId="1EE218F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无明显可视的病虫危害症状，被害株率≤10%。</w:t>
            </w:r>
          </w:p>
        </w:tc>
      </w:tr>
      <w:tr w14:paraId="3D45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18F00E9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239D1BB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行道树</w:t>
            </w:r>
          </w:p>
        </w:tc>
        <w:tc>
          <w:tcPr>
            <w:tcW w:w="2500" w:type="dxa"/>
            <w:vAlign w:val="center"/>
          </w:tcPr>
          <w:p w14:paraId="6E1C59F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树形完整、树冠舒展，分枝点偏差在正负10cm 内；保留3级及以上分枝，长势良好，无徒长枝、病虫枝、交叉枝、重叠枝、下垂枝、扭伤枝、萌蘖枝、枯枝以及烂头等。</w:t>
            </w:r>
          </w:p>
          <w:p w14:paraId="6EE22D1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树穴有平整盖板或种植地被植物、覆盖植物树皮碎屑，黄土不裸露，树穴设施完好。</w:t>
            </w:r>
          </w:p>
          <w:p w14:paraId="5AD0E60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补植的行道树品种与原行道树一致，规格适宜，一般为：落叶树种的胸径在 15cm 以下，常绿树种的胸径在12cm 以下。</w:t>
            </w:r>
          </w:p>
          <w:p w14:paraId="1E15D6E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无可视的病虫危害症状，被害株率≤2%，地下害虫≤2 头/ ㎡。</w:t>
            </w:r>
          </w:p>
        </w:tc>
        <w:tc>
          <w:tcPr>
            <w:tcW w:w="2500" w:type="dxa"/>
            <w:vAlign w:val="center"/>
          </w:tcPr>
          <w:p w14:paraId="24D9E3C5">
            <w:pPr>
              <w:keepNext w:val="0"/>
              <w:keepLines w:val="0"/>
              <w:suppressLineNumbers w:val="0"/>
              <w:shd w:val="clear"/>
              <w:spacing w:before="0" w:beforeAutospacing="0" w:after="0" w:afterAutospacing="0" w:line="240" w:lineRule="auto"/>
              <w:ind w:left="0" w:right="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树形、树冠舒展，分枝点偏差在正负20cm内；保留2级及以上分枝，长势良好，无明显徒长枝、病虫枝、交叉枝、重叠枝、下垂枝、扭伤枝、萌蘖枝、枯枝以及烂头等。</w:t>
            </w:r>
          </w:p>
          <w:p w14:paraId="52EF3AF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行道树树穴有平整盖板或种植地被植物，黄土基本不裸露，设施基本完好。</w:t>
            </w:r>
          </w:p>
          <w:p w14:paraId="28D1415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补植的行道树品种与原行道树一致，规格适宜，一般为:落叶树种的胸径在 15cm 以下，常绿树种的胸径在 12cm 以下。</w:t>
            </w:r>
          </w:p>
          <w:p w14:paraId="151BF18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 ≤5%。</w:t>
            </w:r>
          </w:p>
        </w:tc>
        <w:tc>
          <w:tcPr>
            <w:tcW w:w="2501" w:type="dxa"/>
            <w:gridSpan w:val="2"/>
            <w:vAlign w:val="center"/>
          </w:tcPr>
          <w:p w14:paraId="3440EAF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树形、树冠舒展，分枝点偏差在正负30cm内；保留1级及以上分枝，长势良好，无明显徒长枝、病虫枝、交叉枝、重叠枝、下垂枝、扭伤枝、萌蘖枝、枯枝以及烂头等。</w:t>
            </w:r>
          </w:p>
          <w:p w14:paraId="1B0FAFF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行道树树穴裸露土地不明显。</w:t>
            </w:r>
          </w:p>
          <w:p w14:paraId="6697837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补植的行道树品种与原行道树一致，规格适宜，一般为:落叶树种的胸径在15cm 以下，常绿树种的胸径在 12cm 以下。</w:t>
            </w:r>
          </w:p>
          <w:p w14:paraId="565B2F3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无明显可视的病虫危害症状，被害株率≤10%。</w:t>
            </w:r>
          </w:p>
        </w:tc>
      </w:tr>
      <w:tr w14:paraId="0FC6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118E8CB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70523EF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花灌木</w:t>
            </w:r>
          </w:p>
        </w:tc>
        <w:tc>
          <w:tcPr>
            <w:tcW w:w="2500" w:type="dxa"/>
          </w:tcPr>
          <w:p w14:paraId="4F9404E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花灌木株形丰满，枝叶茂密，开花适时，无缺株，花后修剪及时合理。</w:t>
            </w:r>
          </w:p>
          <w:p w14:paraId="6766937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无可视的病虫危害症状，被害株率≤2%，地下害虫≤2 头/㎡。</w:t>
            </w:r>
          </w:p>
        </w:tc>
        <w:tc>
          <w:tcPr>
            <w:tcW w:w="2500" w:type="dxa"/>
            <w:vAlign w:val="center"/>
          </w:tcPr>
          <w:p w14:paraId="1A664C8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花灌木开花适时、正常，花后修剪及时。</w:t>
            </w:r>
          </w:p>
          <w:p w14:paraId="6F4A012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基本无可视的病虫危害症状，被害株率≤5%。</w:t>
            </w:r>
          </w:p>
        </w:tc>
        <w:tc>
          <w:tcPr>
            <w:tcW w:w="2501" w:type="dxa"/>
            <w:gridSpan w:val="2"/>
            <w:vAlign w:val="center"/>
          </w:tcPr>
          <w:p w14:paraId="7F8C4C9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花灌木开花适时，花后修剪及时。</w:t>
            </w:r>
          </w:p>
          <w:p w14:paraId="0703FB0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病虫害防治较及时，被害株率≤10%。</w:t>
            </w:r>
          </w:p>
        </w:tc>
      </w:tr>
      <w:tr w14:paraId="53C4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22C5B4B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AEE459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绿篱(模纹、色块等)</w:t>
            </w:r>
          </w:p>
        </w:tc>
        <w:tc>
          <w:tcPr>
            <w:tcW w:w="2500" w:type="dxa"/>
            <w:vAlign w:val="center"/>
          </w:tcPr>
          <w:p w14:paraId="18491EC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绿篱、模纹和色块等修剪及时。绿篱线条清晰，同类观赏面规则，整齐一致；模纹和色块线条流畅、主要观赏面圆润饱满，符合设计要求。</w:t>
            </w:r>
          </w:p>
          <w:p w14:paraId="537FF91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枝叶茂密，造型优美。造型树木根据不同的生长特性及时摘心、攀扎。</w:t>
            </w:r>
          </w:p>
          <w:p w14:paraId="75CDCFF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无可视的病虫危害症状，被害株率≤2%，地下害虫≤2头/㎡。</w:t>
            </w:r>
          </w:p>
        </w:tc>
        <w:tc>
          <w:tcPr>
            <w:tcW w:w="2500" w:type="dxa"/>
            <w:vAlign w:val="center"/>
          </w:tcPr>
          <w:p w14:paraId="11F42EA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绿篱、模纹和色块等修剪较及时，枝叶茂密，造型优美，整齐一致</w:t>
            </w:r>
          </w:p>
          <w:p w14:paraId="4E3DB60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 5%。</w:t>
            </w:r>
          </w:p>
        </w:tc>
        <w:tc>
          <w:tcPr>
            <w:tcW w:w="2501" w:type="dxa"/>
            <w:gridSpan w:val="2"/>
            <w:vAlign w:val="center"/>
          </w:tcPr>
          <w:p w14:paraId="3CAD9B8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绿篱、模纹和色块等枝叶正常了能定期修剪。</w:t>
            </w:r>
          </w:p>
          <w:p w14:paraId="5E35347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无明显可视的病虫危害症状，被害面积≤10%。</w:t>
            </w:r>
          </w:p>
        </w:tc>
      </w:tr>
      <w:tr w14:paraId="611B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3808A87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0322A46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水生</w:t>
            </w:r>
          </w:p>
          <w:p w14:paraId="52FF5C71">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植物</w:t>
            </w:r>
          </w:p>
        </w:tc>
        <w:tc>
          <w:tcPr>
            <w:tcW w:w="2500" w:type="dxa"/>
            <w:vAlign w:val="center"/>
          </w:tcPr>
          <w:p w14:paraId="15398DE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水生植物密度适宜，花期正常、花色鲜艳美观，无影响景观的干枯叶、残花等。</w:t>
            </w:r>
          </w:p>
          <w:p w14:paraId="04001E7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 2%。</w:t>
            </w:r>
          </w:p>
        </w:tc>
        <w:tc>
          <w:tcPr>
            <w:tcW w:w="2500" w:type="dxa"/>
            <w:vAlign w:val="center"/>
          </w:tcPr>
          <w:p w14:paraId="2D109E4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 xml:space="preserve">水生植物密度适宜，花期、花色正常，无明显影响景观的干枯叶、残花等。   </w:t>
            </w:r>
          </w:p>
          <w:p w14:paraId="179E560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基本无可视的病虫危害症状，被害株率≤5%。</w:t>
            </w:r>
          </w:p>
        </w:tc>
        <w:tc>
          <w:tcPr>
            <w:tcW w:w="2501" w:type="dxa"/>
            <w:gridSpan w:val="2"/>
            <w:vAlign w:val="center"/>
          </w:tcPr>
          <w:p w14:paraId="4FB9689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水生植物能够正常生长、开花。</w:t>
            </w:r>
          </w:p>
          <w:p w14:paraId="6691452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无明显可视的病虫危害症状，被害面积≤10%。</w:t>
            </w:r>
          </w:p>
        </w:tc>
      </w:tr>
      <w:tr w14:paraId="6907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7677E52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2A7A37D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攀缘</w:t>
            </w:r>
          </w:p>
          <w:p w14:paraId="35C9AC81">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植物</w:t>
            </w:r>
          </w:p>
        </w:tc>
        <w:tc>
          <w:tcPr>
            <w:tcW w:w="2500" w:type="dxa"/>
            <w:vAlign w:val="center"/>
          </w:tcPr>
          <w:p w14:paraId="49E118E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根据不同植物的攀缘特点，及时采取相应的技术措施，生长旺盛。</w:t>
            </w:r>
          </w:p>
          <w:p w14:paraId="7EBD6A9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及时清除枯枝，疏删老弱藤蔓；</w:t>
            </w:r>
          </w:p>
          <w:p w14:paraId="4B4620A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开花的攀缘植物适时开花。无可视的病虫危害症状，被害株率≤2%。</w:t>
            </w:r>
          </w:p>
        </w:tc>
        <w:tc>
          <w:tcPr>
            <w:tcW w:w="2500" w:type="dxa"/>
            <w:vAlign w:val="center"/>
          </w:tcPr>
          <w:p w14:paraId="7D50DA8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根据不同植物的攀缘特点，能及时采取相应的技术措施，生长良好</w:t>
            </w:r>
          </w:p>
          <w:p w14:paraId="05D922E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及时清除枯枝，疏删老弱藤蔓；开花的攀缘植物能适时开花。</w:t>
            </w:r>
          </w:p>
          <w:p w14:paraId="4C48AE5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基本无可视的病虫危害症状，被害株率≤5%。</w:t>
            </w:r>
          </w:p>
        </w:tc>
        <w:tc>
          <w:tcPr>
            <w:tcW w:w="2501" w:type="dxa"/>
            <w:gridSpan w:val="2"/>
            <w:vAlign w:val="center"/>
          </w:tcPr>
          <w:p w14:paraId="79B93C3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开花的攀缘植物能适时开花。</w:t>
            </w:r>
          </w:p>
          <w:p w14:paraId="6AF0D66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无明显可视的病虫危害症状，被害面积≤10%。</w:t>
            </w:r>
          </w:p>
        </w:tc>
      </w:tr>
      <w:tr w14:paraId="5942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0B28729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C3D549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竹类</w:t>
            </w:r>
          </w:p>
        </w:tc>
        <w:tc>
          <w:tcPr>
            <w:tcW w:w="2500" w:type="dxa"/>
            <w:vAlign w:val="center"/>
          </w:tcPr>
          <w:p w14:paraId="7D53185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竹林保持适宜密度，通风透光，生长健壮、叶色正常，及时清除老鞭、砍伐后的竹蔸、干枯株等。</w:t>
            </w:r>
          </w:p>
          <w:p w14:paraId="5131475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无可视的病虫危害症状，被害株率≤2%，地下害虫≤2头/㎡。</w:t>
            </w:r>
          </w:p>
        </w:tc>
        <w:tc>
          <w:tcPr>
            <w:tcW w:w="2500" w:type="dxa"/>
            <w:vAlign w:val="center"/>
          </w:tcPr>
          <w:p w14:paraId="632BBD2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竹林保持较适宜密度,通风透光良好、生长较健壮，叶色基本正常，能及时清除老鞭、砍伐后的竹蔸、干枯株等。</w:t>
            </w:r>
          </w:p>
          <w:p w14:paraId="020AFCF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基本无可视的病虫危害症状，被害株率≤5%，地下害虫≤5 头/㎡。</w:t>
            </w:r>
          </w:p>
        </w:tc>
        <w:tc>
          <w:tcPr>
            <w:tcW w:w="2501" w:type="dxa"/>
            <w:gridSpan w:val="2"/>
            <w:vAlign w:val="center"/>
          </w:tcPr>
          <w:p w14:paraId="4CC8138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竹林生长、叶色基本正常，能定期清除老鞭、砍伐后的竹蔸、干枯株等。</w:t>
            </w:r>
          </w:p>
          <w:p w14:paraId="0A3A4A7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无明显可视的病虫危害症状，被害株率≤10%，地下害虫≤10头/㎡。</w:t>
            </w:r>
          </w:p>
        </w:tc>
      </w:tr>
      <w:tr w14:paraId="14C7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175F082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5A5CA0B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地被</w:t>
            </w:r>
          </w:p>
          <w:p w14:paraId="6142ABD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花卉</w:t>
            </w:r>
          </w:p>
        </w:tc>
        <w:tc>
          <w:tcPr>
            <w:tcW w:w="2500" w:type="dxa"/>
            <w:vAlign w:val="center"/>
          </w:tcPr>
          <w:p w14:paraId="364BBB4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多年生地被植物(含花境)和露地一、二年生花卉生长健壮，株行距适宜，色彩鲜艳，花期整齐，图案清晰。</w:t>
            </w:r>
          </w:p>
          <w:p w14:paraId="2D33F51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无缺株、倒伏，残花量不大于10%。</w:t>
            </w:r>
          </w:p>
          <w:p w14:paraId="1623C80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无可视的病虫危害症状，被害株率≤2%，地下害虫≤2头/㎡。</w:t>
            </w:r>
          </w:p>
        </w:tc>
        <w:tc>
          <w:tcPr>
            <w:tcW w:w="2500" w:type="dxa"/>
            <w:vAlign w:val="center"/>
          </w:tcPr>
          <w:p w14:paraId="4122409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多年生地被植物(含花境)和露地一、二年生花卉栽植轮廓较清晰、美观，覆盖率 98%以上。</w:t>
            </w:r>
          </w:p>
          <w:p w14:paraId="74F4835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无明显残缺、残花、残叶、杂草等,残花量不大于15%。</w:t>
            </w:r>
          </w:p>
          <w:p w14:paraId="35CD422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基本无可视的病虫危害症状，被害面积≤5%，地下害虫≤5 头/㎡。</w:t>
            </w:r>
          </w:p>
        </w:tc>
        <w:tc>
          <w:tcPr>
            <w:tcW w:w="2501" w:type="dxa"/>
            <w:gridSpan w:val="2"/>
            <w:vAlign w:val="center"/>
          </w:tcPr>
          <w:p w14:paraId="7681078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多年生地被植物覆盖率 90%以上。生长正常，开花适时。</w:t>
            </w:r>
          </w:p>
          <w:p w14:paraId="28960B4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无明显可视的病虫危害症状，被害面积≤10%，地下害虫≤10 头/㎡。</w:t>
            </w:r>
          </w:p>
        </w:tc>
      </w:tr>
      <w:tr w14:paraId="7E69F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53E2DEC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9650843">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草坪</w:t>
            </w:r>
          </w:p>
        </w:tc>
        <w:tc>
          <w:tcPr>
            <w:tcW w:w="2500" w:type="dxa"/>
            <w:vAlign w:val="center"/>
          </w:tcPr>
          <w:p w14:paraId="1D5E636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草坪外观整齐，边缘线清晰，生长旺盛，草根不裸露；无可视斑秃；生长季节不枯黄，修剪及时，绿地内杂草率≤2%。</w:t>
            </w:r>
          </w:p>
          <w:p w14:paraId="493B013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无可视的病虫危害症状，被害株率≤2%，地下害虫≤2头/㎡。</w:t>
            </w:r>
          </w:p>
        </w:tc>
        <w:tc>
          <w:tcPr>
            <w:tcW w:w="2500" w:type="dxa"/>
            <w:vAlign w:val="center"/>
          </w:tcPr>
          <w:p w14:paraId="7EFCDE6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草坪覆盖率 95%以上，单块斑秃面积不超过 0.2㎡或10㎡绿地内斑秃面积不超过3块；草坪内杂草率≤10%。</w:t>
            </w:r>
          </w:p>
          <w:p w14:paraId="62C1C81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草坪绿色期:冷季型草坪不得少于 260天,暖季型草坪不得少于170天。</w:t>
            </w:r>
          </w:p>
          <w:p w14:paraId="0C72B71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基本无可视的病虫危害症状，被害面积≤5%，地下害虫≤5 头/㎡。</w:t>
            </w:r>
          </w:p>
        </w:tc>
        <w:tc>
          <w:tcPr>
            <w:tcW w:w="2501" w:type="dxa"/>
            <w:gridSpan w:val="2"/>
            <w:vAlign w:val="center"/>
          </w:tcPr>
          <w:p w14:paraId="76AB058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草坪覆盖率 90%以上，单块斑秃面积不超过 0.3㎡或10 ㎡绿地内斑秃面积不超过4块；草坪内杂草率≤15%。</w:t>
            </w:r>
          </w:p>
          <w:p w14:paraId="7456A0D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草坪绿色期:冷季型草坪不得少于 240 天，暖季型草坪不得少于 160 天。</w:t>
            </w:r>
          </w:p>
          <w:p w14:paraId="40F1DD8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无明显可视的病虫危害症状，被害面积≤10%，地下害虫≤10 头/㎡。</w:t>
            </w:r>
          </w:p>
        </w:tc>
      </w:tr>
      <w:tr w14:paraId="01F7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469D8CC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279FA5A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花坛</w:t>
            </w:r>
          </w:p>
          <w:p w14:paraId="0E30731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花带</w:t>
            </w:r>
          </w:p>
        </w:tc>
        <w:tc>
          <w:tcPr>
            <w:tcW w:w="2500" w:type="dxa"/>
            <w:vAlign w:val="center"/>
          </w:tcPr>
          <w:p w14:paraId="68528C8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轮廓清晰，整齐美观，色彩艳丽，无残缺，无残花败叶。花卉生长健壮，色彩鲜艳，株行距适宜，花期整齐，图案清晰。</w:t>
            </w:r>
          </w:p>
        </w:tc>
        <w:tc>
          <w:tcPr>
            <w:tcW w:w="2500" w:type="dxa"/>
            <w:vAlign w:val="center"/>
          </w:tcPr>
          <w:p w14:paraId="72F1ED6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轮廓清晰，整齐美观，适时开花，无残缺。花卉生长良好，花期基本一致，无枯枝残花。</w:t>
            </w:r>
          </w:p>
        </w:tc>
        <w:tc>
          <w:tcPr>
            <w:tcW w:w="2501" w:type="dxa"/>
            <w:gridSpan w:val="2"/>
            <w:vAlign w:val="center"/>
          </w:tcPr>
          <w:p w14:paraId="48BF0FE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轮廓基本清晰、整齐美观，无残缺。花卉生长基本正常，枯枝残花清除及时。</w:t>
            </w:r>
          </w:p>
        </w:tc>
      </w:tr>
      <w:tr w14:paraId="3653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4F0F0313">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二</w:t>
            </w:r>
          </w:p>
          <w:p w14:paraId="001AAF5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设施维护</w:t>
            </w:r>
          </w:p>
        </w:tc>
        <w:tc>
          <w:tcPr>
            <w:tcW w:w="1134" w:type="dxa"/>
            <w:vAlign w:val="center"/>
          </w:tcPr>
          <w:p w14:paraId="457F003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古建筑</w:t>
            </w:r>
          </w:p>
        </w:tc>
        <w:tc>
          <w:tcPr>
            <w:tcW w:w="2500" w:type="dxa"/>
            <w:vAlign w:val="center"/>
          </w:tcPr>
          <w:p w14:paraId="73470E5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外观完整；构件、陈设清洁、完好；墙面、屋面、地面无污染无渗漏；及时维修，无安全隐患。</w:t>
            </w:r>
          </w:p>
          <w:p w14:paraId="41322B3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c>
          <w:tcPr>
            <w:tcW w:w="5001" w:type="dxa"/>
            <w:gridSpan w:val="3"/>
            <w:vAlign w:val="center"/>
          </w:tcPr>
          <w:p w14:paraId="04BB882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外观完整；构件、陈设较清洁、较完好；墙面、屋面、地面基本无污染、无渗漏；定期维修，无安全隐患。</w:t>
            </w:r>
          </w:p>
          <w:p w14:paraId="186686F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r>
      <w:tr w14:paraId="7965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216C9D3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AF59D4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仿古</w:t>
            </w:r>
          </w:p>
          <w:p w14:paraId="4A029431">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建筑</w:t>
            </w:r>
          </w:p>
        </w:tc>
        <w:tc>
          <w:tcPr>
            <w:tcW w:w="2500" w:type="dxa"/>
            <w:vAlign w:val="center"/>
          </w:tcPr>
          <w:p w14:paraId="1082709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外观完整；构件、陈设清洁完好；墙面、屋面、地面无污染、无渗漏；管道无堵塞及锈蚀；及时维修，无安全隐患。</w:t>
            </w:r>
          </w:p>
          <w:p w14:paraId="23501D7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c>
          <w:tcPr>
            <w:tcW w:w="2500" w:type="dxa"/>
            <w:vAlign w:val="center"/>
          </w:tcPr>
          <w:p w14:paraId="7B4B7F2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外观完整；构件、陈设较清洁、较完好；墙面、屋面、地面基本无污染、无渗漏；管道无堵塞、基本无锈蚀；定期维修，无安全隐患。</w:t>
            </w:r>
          </w:p>
          <w:p w14:paraId="268D165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c>
          <w:tcPr>
            <w:tcW w:w="2501" w:type="dxa"/>
            <w:gridSpan w:val="2"/>
            <w:vAlign w:val="center"/>
          </w:tcPr>
          <w:p w14:paraId="1D3A7B2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外观基本完整；构件、陈设较清洁、基本完好；墙面、屋面、地面无明显污染、无明显渗漏；管道无堵塞、无明显锈蚀；常规维修，无安全隐患。</w:t>
            </w:r>
          </w:p>
          <w:p w14:paraId="0492B58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r>
      <w:tr w14:paraId="269A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4764C42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0C720D8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现代</w:t>
            </w:r>
          </w:p>
          <w:p w14:paraId="7B6FC46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建筑</w:t>
            </w:r>
          </w:p>
        </w:tc>
        <w:tc>
          <w:tcPr>
            <w:tcW w:w="2500" w:type="dxa"/>
            <w:vAlign w:val="center"/>
          </w:tcPr>
          <w:p w14:paraId="539895E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外观完整，外貌整洁；设施清洁、完好，设备安全运行；墙面、屋面、地面及时粉刷、清洗；无污染、无渗漏；管道无堵塞及锈蚀；及时维修，无安全隐患。</w:t>
            </w:r>
          </w:p>
          <w:p w14:paraId="642A5B5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防火、防雪、防台风暴雨等保护措施落实有效。</w:t>
            </w:r>
          </w:p>
        </w:tc>
        <w:tc>
          <w:tcPr>
            <w:tcW w:w="2500" w:type="dxa"/>
            <w:vAlign w:val="center"/>
          </w:tcPr>
          <w:p w14:paraId="13D9C7E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外观完整，外貌较整洁，定期粉刷、清洗；设施清洁、完好，设备安全运行；墙面、屋面、地面及时粉刷、清洗，基本无污染、无渗漏；管道无堵塞、基本无锈蚀；定期维修，无安全隐患。</w:t>
            </w:r>
          </w:p>
          <w:p w14:paraId="2094C87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防火、防雪、防台风暴雨等保护措施落实有效。</w:t>
            </w:r>
          </w:p>
        </w:tc>
        <w:tc>
          <w:tcPr>
            <w:tcW w:w="2501" w:type="dxa"/>
            <w:gridSpan w:val="2"/>
            <w:vAlign w:val="center"/>
          </w:tcPr>
          <w:p w14:paraId="73DFF41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外观完整，外貌较干净；设施干净、基本完好，设备安全运行；墙面、屋面、地面定期进行粉刷、清洗，基本无污染、无渗漏；管道无堵塞、无明显锈蚀；常规维修，无安全隐患。</w:t>
            </w:r>
          </w:p>
          <w:p w14:paraId="1FB604A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防火、防雪、防台风暴雨等保护措施落实有效。</w:t>
            </w:r>
          </w:p>
        </w:tc>
      </w:tr>
      <w:tr w14:paraId="1CA0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3C409C9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13BBBBA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假山</w:t>
            </w:r>
          </w:p>
        </w:tc>
        <w:tc>
          <w:tcPr>
            <w:tcW w:w="2500" w:type="dxa"/>
            <w:vAlign w:val="center"/>
          </w:tcPr>
          <w:p w14:paraId="143223C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假山叠石完整、稳固、安全。禁止攀爬的假山有醒目标志和防护设施；假山周围 10m 及石缝内无影响安全和景观的杂草、杂物，种植穴不空缺；假山及孤赏石表面无乱涂乱刻痕迹。</w:t>
            </w:r>
          </w:p>
        </w:tc>
        <w:tc>
          <w:tcPr>
            <w:tcW w:w="2500" w:type="dxa"/>
            <w:vAlign w:val="center"/>
          </w:tcPr>
          <w:p w14:paraId="4566207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假山叠石完整、稳固、安全。禁止攀爬的假山有醒目标志和防护设施；假山周围 5m 及石缝内无影响安全和景观的杂草、杂物；假山及孤赏石表面基本无乱涂乱刻痕迹。</w:t>
            </w:r>
          </w:p>
        </w:tc>
        <w:tc>
          <w:tcPr>
            <w:tcW w:w="2501" w:type="dxa"/>
            <w:gridSpan w:val="2"/>
            <w:vAlign w:val="center"/>
          </w:tcPr>
          <w:p w14:paraId="680D98F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假山叠石完整、稳固、安全。禁止攀爬的假山有醒目标志和防护设施；假山周围 5m 及石缝内无影响安全和景观的杂草、杂物；假山及孤赏石表面无明显的乱涂乱刻痕迹。</w:t>
            </w:r>
          </w:p>
        </w:tc>
      </w:tr>
      <w:tr w14:paraId="28BD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6AD736F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7AA8A35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花坛</w:t>
            </w:r>
          </w:p>
        </w:tc>
        <w:tc>
          <w:tcPr>
            <w:tcW w:w="2500" w:type="dxa"/>
            <w:vAlign w:val="center"/>
          </w:tcPr>
          <w:p w14:paraId="025E11C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花坛表面整洁、无破损；叠石花坛的叠石无松动。补缝颜色与石材接近，无明显色差</w:t>
            </w:r>
          </w:p>
        </w:tc>
        <w:tc>
          <w:tcPr>
            <w:tcW w:w="2500" w:type="dxa"/>
            <w:vAlign w:val="center"/>
          </w:tcPr>
          <w:p w14:paraId="7C9FAB2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花坛表面整洁、基本无破损；叠石花坛的叠石基本无松动。补缝颜色与石材基本接近。</w:t>
            </w:r>
          </w:p>
        </w:tc>
        <w:tc>
          <w:tcPr>
            <w:tcW w:w="2501" w:type="dxa"/>
            <w:gridSpan w:val="2"/>
            <w:vAlign w:val="center"/>
          </w:tcPr>
          <w:p w14:paraId="1AC650B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花坛表面整洁、无明显破损；叠石花坛的叠石无明显松动。补缝颜色与石材基本接近。</w:t>
            </w:r>
          </w:p>
        </w:tc>
      </w:tr>
      <w:tr w14:paraId="5DC9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55B41F7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5F3118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雕塑</w:t>
            </w:r>
          </w:p>
        </w:tc>
        <w:tc>
          <w:tcPr>
            <w:tcW w:w="2500" w:type="dxa"/>
            <w:vAlign w:val="center"/>
          </w:tcPr>
          <w:p w14:paraId="7E00AE76">
            <w:pPr>
              <w:keepNext w:val="0"/>
              <w:keepLines w:val="0"/>
              <w:suppressLineNumbers w:val="0"/>
              <w:shd w:val="clear"/>
              <w:spacing w:before="0" w:beforeAutospacing="0" w:after="0" w:afterAutospacing="0" w:line="240" w:lineRule="auto"/>
              <w:ind w:left="0" w:right="0" w:firstLine="20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雕塑结构、基础安全完整。表面清洁无垢，无刻写痕迹。</w:t>
            </w:r>
          </w:p>
        </w:tc>
        <w:tc>
          <w:tcPr>
            <w:tcW w:w="2500" w:type="dxa"/>
            <w:vAlign w:val="center"/>
          </w:tcPr>
          <w:p w14:paraId="127377B1">
            <w:pPr>
              <w:keepNext w:val="0"/>
              <w:keepLines w:val="0"/>
              <w:suppressLineNumbers w:val="0"/>
              <w:shd w:val="clear"/>
              <w:spacing w:before="0" w:beforeAutospacing="0" w:after="0" w:afterAutospacing="0" w:line="240" w:lineRule="auto"/>
              <w:ind w:left="0" w:right="0" w:firstLine="20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雕塑结构、基础安全完整。表面基本清洁无垢，无刻写痕迹。</w:t>
            </w:r>
          </w:p>
        </w:tc>
        <w:tc>
          <w:tcPr>
            <w:tcW w:w="2501" w:type="dxa"/>
            <w:gridSpan w:val="2"/>
            <w:vAlign w:val="center"/>
          </w:tcPr>
          <w:p w14:paraId="1D707726">
            <w:pPr>
              <w:keepNext w:val="0"/>
              <w:keepLines w:val="0"/>
              <w:suppressLineNumbers w:val="0"/>
              <w:shd w:val="clear"/>
              <w:spacing w:before="0" w:beforeAutospacing="0" w:after="0" w:afterAutospacing="0" w:line="240" w:lineRule="auto"/>
              <w:ind w:left="0" w:right="0" w:firstLine="20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雕塑结构、基础安全完整，表面基本清洁，无明显污垢，无明显刻写痕迹。</w:t>
            </w:r>
          </w:p>
        </w:tc>
      </w:tr>
      <w:tr w14:paraId="1D1F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0906940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55FB81D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喷泉(水景设施)</w:t>
            </w:r>
          </w:p>
        </w:tc>
        <w:tc>
          <w:tcPr>
            <w:tcW w:w="2500" w:type="dxa"/>
            <w:vAlign w:val="center"/>
          </w:tcPr>
          <w:p w14:paraId="05FC0505">
            <w:pPr>
              <w:keepNext w:val="0"/>
              <w:keepLines w:val="0"/>
              <w:suppressLineNumbers w:val="0"/>
              <w:shd w:val="clear"/>
              <w:spacing w:before="0" w:beforeAutospacing="0" w:after="0" w:afterAutospacing="0" w:line="240" w:lineRule="auto"/>
              <w:ind w:left="0" w:right="0" w:firstLine="20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设备按照规定检查维护，损坏部件及时更换，确保安全运行。喷嘴无堵塞，喷涌效果好，景观优良；循环、动力及水位控制设施完好，运行正常。</w:t>
            </w:r>
          </w:p>
        </w:tc>
        <w:tc>
          <w:tcPr>
            <w:tcW w:w="5001" w:type="dxa"/>
            <w:gridSpan w:val="3"/>
            <w:vAlign w:val="center"/>
          </w:tcPr>
          <w:p w14:paraId="3C0223CA">
            <w:pPr>
              <w:keepNext w:val="0"/>
              <w:keepLines w:val="0"/>
              <w:suppressLineNumbers w:val="0"/>
              <w:shd w:val="clear"/>
              <w:spacing w:before="0" w:beforeAutospacing="0" w:after="0" w:afterAutospacing="0" w:line="240" w:lineRule="auto"/>
              <w:ind w:left="0" w:right="0" w:firstLine="20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设备按照规定检查维护，损坏部件及时更换，确保安全运行。</w:t>
            </w:r>
          </w:p>
          <w:p w14:paraId="757B861B">
            <w:pPr>
              <w:keepNext w:val="0"/>
              <w:keepLines w:val="0"/>
              <w:suppressLineNumbers w:val="0"/>
              <w:shd w:val="clear"/>
              <w:spacing w:before="0" w:beforeAutospacing="0" w:after="0" w:afterAutospacing="0" w:line="240" w:lineRule="auto"/>
              <w:ind w:left="0" w:right="0" w:firstLine="20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喷嘴基本无堵塞，喷涌效果较好，基本保证景观质量；循环、动力及水位控制设施完好，运行正常。</w:t>
            </w:r>
          </w:p>
        </w:tc>
      </w:tr>
      <w:tr w14:paraId="51C32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2A39385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4B8A4BD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栏杆</w:t>
            </w:r>
          </w:p>
        </w:tc>
        <w:tc>
          <w:tcPr>
            <w:tcW w:w="2500" w:type="dxa"/>
            <w:vAlign w:val="center"/>
          </w:tcPr>
          <w:p w14:paraId="5F23FAD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完整、清洁、无缺损，无刻划痕迹。</w:t>
            </w:r>
          </w:p>
          <w:p w14:paraId="2190966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竹、木材质无腐朽，金属类材质无锈蚀，无安全隐患。</w:t>
            </w:r>
          </w:p>
        </w:tc>
        <w:tc>
          <w:tcPr>
            <w:tcW w:w="2500" w:type="dxa"/>
            <w:vAlign w:val="center"/>
          </w:tcPr>
          <w:p w14:paraId="7A54CBB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完整、清洁、无缺损，基本无刻划痕迹。</w:t>
            </w:r>
          </w:p>
          <w:p w14:paraId="20E7A13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竹、木材质基本无腐朽，金属类材质基本无锈蚀，无安全隐患。</w:t>
            </w:r>
          </w:p>
        </w:tc>
        <w:tc>
          <w:tcPr>
            <w:tcW w:w="2501" w:type="dxa"/>
            <w:gridSpan w:val="2"/>
            <w:vAlign w:val="center"/>
          </w:tcPr>
          <w:p w14:paraId="204ED8E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完整、清洁、无缺损，无明显刻划痕迹。</w:t>
            </w:r>
          </w:p>
          <w:p w14:paraId="084E1B4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竹、木材质无明显腐朽，金属类材质无明显锈蚀，无安全隐患。</w:t>
            </w:r>
          </w:p>
        </w:tc>
      </w:tr>
      <w:tr w14:paraId="04C6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287B8C9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40DC9BA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桌凳</w:t>
            </w:r>
          </w:p>
        </w:tc>
        <w:tc>
          <w:tcPr>
            <w:tcW w:w="2500" w:type="dxa"/>
            <w:vAlign w:val="center"/>
          </w:tcPr>
          <w:p w14:paraId="0C9C89D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桌凳表面清洁。</w:t>
            </w:r>
          </w:p>
          <w:p w14:paraId="3CFC316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竹木类材料无腐朽，其他类材料无锈蚀。无刻划。安全坚固，无松动，无缺损。</w:t>
            </w:r>
          </w:p>
        </w:tc>
        <w:tc>
          <w:tcPr>
            <w:tcW w:w="2500" w:type="dxa"/>
            <w:vAlign w:val="center"/>
          </w:tcPr>
          <w:p w14:paraId="01A0FAC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桌凳表面清洁。</w:t>
            </w:r>
          </w:p>
          <w:p w14:paraId="4594310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竹木类基本无腐朽，其他类材料基本无锈蚀。无刻划。安全坚固，无松动，基本无缺损。</w:t>
            </w:r>
          </w:p>
        </w:tc>
        <w:tc>
          <w:tcPr>
            <w:tcW w:w="2501" w:type="dxa"/>
            <w:gridSpan w:val="2"/>
            <w:vAlign w:val="center"/>
          </w:tcPr>
          <w:p w14:paraId="0D9D89C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桌凳表面基本清洁。</w:t>
            </w:r>
          </w:p>
          <w:p w14:paraId="787AEE4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竹木类无明显腐朽，其他类材料，无明显锈蚀和刻划。安全坚固，无松动，基本无缺损。</w:t>
            </w:r>
          </w:p>
        </w:tc>
      </w:tr>
      <w:tr w14:paraId="62D6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64B8FFB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79F0FBD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围墙</w:t>
            </w:r>
          </w:p>
        </w:tc>
        <w:tc>
          <w:tcPr>
            <w:tcW w:w="2500" w:type="dxa"/>
            <w:vAlign w:val="center"/>
          </w:tcPr>
          <w:p w14:paraId="04C2EEE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外观整洁、完整；墙面、顶面无污染、无渗漏；及时维修，无安全隐患。</w:t>
            </w:r>
          </w:p>
          <w:p w14:paraId="11ABCB7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c>
          <w:tcPr>
            <w:tcW w:w="2500" w:type="dxa"/>
            <w:vAlign w:val="center"/>
          </w:tcPr>
          <w:p w14:paraId="73860EF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外观完整；墙面、顶面基本无污染、无渗漏；定期维修，无安全隐患。</w:t>
            </w:r>
          </w:p>
          <w:p w14:paraId="01A36C1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c>
          <w:tcPr>
            <w:tcW w:w="2501" w:type="dxa"/>
            <w:gridSpan w:val="2"/>
            <w:vAlign w:val="center"/>
          </w:tcPr>
          <w:p w14:paraId="5951B4D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外观基本完整；墙面、顶面无明显污染、基本无渗漏；常规维修，无安全隐患。</w:t>
            </w:r>
          </w:p>
          <w:p w14:paraId="776E367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防火、防雪、防台风暴雨、防蚁等保护措施落实有效。</w:t>
            </w:r>
          </w:p>
        </w:tc>
      </w:tr>
      <w:tr w14:paraId="2ECC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2F651DA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7C2C9C8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园路</w:t>
            </w:r>
          </w:p>
        </w:tc>
        <w:tc>
          <w:tcPr>
            <w:tcW w:w="2500" w:type="dxa"/>
            <w:vAlign w:val="center"/>
          </w:tcPr>
          <w:p w14:paraId="607C7BF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侧石及盖板坚固无松动，无缺损；盖板平整，无坑洼、沉陷、倾覆、腐朽、锈蚀；池体整洁。</w:t>
            </w:r>
          </w:p>
        </w:tc>
        <w:tc>
          <w:tcPr>
            <w:tcW w:w="2500" w:type="dxa"/>
            <w:vAlign w:val="center"/>
          </w:tcPr>
          <w:p w14:paraId="0AA4CD2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侧石及盖板坚固无松动，无缺损；盖板基本平整，无明显坑洼沉陷、倾覆、腐朽、锈蚀；池体基本整洁。</w:t>
            </w:r>
          </w:p>
        </w:tc>
        <w:tc>
          <w:tcPr>
            <w:tcW w:w="2501" w:type="dxa"/>
            <w:gridSpan w:val="2"/>
            <w:vAlign w:val="center"/>
          </w:tcPr>
          <w:p w14:paraId="1E60913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侧石及盖板无明显松动，无明显缺损；盖板基本平整，无明显坑洼、沉陷、倾覆、腐朽、锈蚀；池体基本整洁。</w:t>
            </w:r>
          </w:p>
        </w:tc>
      </w:tr>
      <w:tr w14:paraId="5106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36D74AC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0581DEA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桥梁</w:t>
            </w:r>
          </w:p>
        </w:tc>
        <w:tc>
          <w:tcPr>
            <w:tcW w:w="2500" w:type="dxa"/>
            <w:vAlign w:val="center"/>
          </w:tcPr>
          <w:p w14:paraId="7165555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桥面平整，无坑洼，排水通畅。栏杆无缺损，墩台无混凝土剥落、露筋等。</w:t>
            </w:r>
          </w:p>
          <w:p w14:paraId="42CEC55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桥梁限高、限载及相关交通和安全警示标志清晰齐全；雨雪冰冻季节防范措施落实有效。</w:t>
            </w:r>
          </w:p>
        </w:tc>
        <w:tc>
          <w:tcPr>
            <w:tcW w:w="2500" w:type="dxa"/>
            <w:vAlign w:val="center"/>
          </w:tcPr>
          <w:p w14:paraId="511AE38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桥面基本平整，无明显坑洼破损，排水基本通畅。栏杆无缺损，墩台无明显混凝土剥落、露筋等。</w:t>
            </w:r>
          </w:p>
          <w:p w14:paraId="19214E9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桥梁限高、限载及相关交通和安全警示标志清晰齐全；雨雪冰冻季节防范措施落实有效。</w:t>
            </w:r>
          </w:p>
        </w:tc>
        <w:tc>
          <w:tcPr>
            <w:tcW w:w="2501" w:type="dxa"/>
            <w:gridSpan w:val="2"/>
            <w:vAlign w:val="center"/>
          </w:tcPr>
          <w:p w14:paraId="4972318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桥面基本平整，有少量坑洼破损，排水基本通畅。栏杆无缺损，墩台有少量混凝土剥落、露筋等，但不影响安全和使用。</w:t>
            </w:r>
          </w:p>
          <w:p w14:paraId="5621719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桥梁限高、限载及相关交通和安全警示标志清晰齐全；雨雪冰冻季节防范措施落实有效。</w:t>
            </w:r>
          </w:p>
        </w:tc>
      </w:tr>
      <w:tr w14:paraId="310D2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075DAC73">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7FC808D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停车场</w:t>
            </w:r>
          </w:p>
        </w:tc>
        <w:tc>
          <w:tcPr>
            <w:tcW w:w="2500" w:type="dxa"/>
            <w:vAlign w:val="center"/>
          </w:tcPr>
          <w:p w14:paraId="393EFFE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场地平整、无坑洼，环境清洁，排水良好，车位标志清晰。</w:t>
            </w:r>
          </w:p>
          <w:p w14:paraId="3BD831E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乔木枝下高满足停车需要，无影响驾驶视线的植物枝叶，</w:t>
            </w:r>
          </w:p>
          <w:p w14:paraId="282454F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收费明示。</w:t>
            </w:r>
          </w:p>
        </w:tc>
        <w:tc>
          <w:tcPr>
            <w:tcW w:w="2500" w:type="dxa"/>
            <w:vAlign w:val="center"/>
          </w:tcPr>
          <w:p w14:paraId="1D58065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场地较平整、清洁，排水基本通畅，车位标志清晰。</w:t>
            </w:r>
          </w:p>
          <w:p w14:paraId="773AA80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乔木枝下高满足停车需要，无影响驾驶视线的植物枝叶。</w:t>
            </w:r>
          </w:p>
          <w:p w14:paraId="118E095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收费明示。</w:t>
            </w:r>
          </w:p>
        </w:tc>
        <w:tc>
          <w:tcPr>
            <w:tcW w:w="2501" w:type="dxa"/>
            <w:gridSpan w:val="2"/>
            <w:vAlign w:val="center"/>
          </w:tcPr>
          <w:p w14:paraId="4B83FB0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场地基本平整、清洁，排水较通畅，有车位标志。</w:t>
            </w:r>
          </w:p>
          <w:p w14:paraId="300AAB7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乔木枝下高满足停车需要，无影响驾驶视线的植物枝叶，</w:t>
            </w:r>
          </w:p>
          <w:p w14:paraId="0A8146E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收费明示。</w:t>
            </w:r>
          </w:p>
        </w:tc>
      </w:tr>
      <w:tr w14:paraId="543FE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7FCFA35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2F95328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土底</w:t>
            </w:r>
          </w:p>
          <w:p w14:paraId="05579876">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水体</w:t>
            </w:r>
          </w:p>
        </w:tc>
        <w:tc>
          <w:tcPr>
            <w:tcW w:w="2500" w:type="dxa"/>
            <w:vAlign w:val="center"/>
          </w:tcPr>
          <w:p w14:paraId="1A6D433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水质符合地表水环境质量标准的要求；水面清洁，无漂浮物。</w:t>
            </w:r>
          </w:p>
          <w:p w14:paraId="4660783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安全警示标志设置规范、齐全。</w:t>
            </w:r>
          </w:p>
          <w:p w14:paraId="374AD63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水体排灌等设施完好，运行正常。</w:t>
            </w:r>
          </w:p>
          <w:p w14:paraId="237E9C8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驳岸安全稳固、整齐美观，无缺损。</w:t>
            </w:r>
          </w:p>
        </w:tc>
        <w:tc>
          <w:tcPr>
            <w:tcW w:w="2500" w:type="dxa"/>
            <w:vAlign w:val="center"/>
          </w:tcPr>
          <w:p w14:paraId="70F75D3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水质符合地表水环境质量标准的要求；水面清洁，基本无漂浮物。</w:t>
            </w:r>
          </w:p>
          <w:p w14:paraId="0113F48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安全警示标志设置齐全。</w:t>
            </w:r>
          </w:p>
          <w:p w14:paraId="21288BC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水体排灌等设施完好，运行正常。</w:t>
            </w:r>
          </w:p>
          <w:p w14:paraId="3152C85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驳岸安全稳固、整齐美观，无明显缺损。</w:t>
            </w:r>
          </w:p>
        </w:tc>
        <w:tc>
          <w:tcPr>
            <w:tcW w:w="2501" w:type="dxa"/>
            <w:gridSpan w:val="2"/>
            <w:vAlign w:val="center"/>
          </w:tcPr>
          <w:p w14:paraId="365D9BE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水质符合地表水环境质量标准的要求；水面清洁，无明显漂浮物。</w:t>
            </w:r>
          </w:p>
          <w:p w14:paraId="7EE0DED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安全警示标志设置齐全。</w:t>
            </w:r>
          </w:p>
          <w:p w14:paraId="791EAB3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水体排灌等设施基本完好，运行基本正常。</w:t>
            </w:r>
          </w:p>
          <w:p w14:paraId="6A0A459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驳岸安全稳固，有少量缺损，但不影响安全使用。</w:t>
            </w:r>
          </w:p>
        </w:tc>
      </w:tr>
      <w:tr w14:paraId="16FE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523C390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4D1692D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非土底水体</w:t>
            </w:r>
          </w:p>
        </w:tc>
        <w:tc>
          <w:tcPr>
            <w:tcW w:w="2500" w:type="dxa"/>
            <w:vAlign w:val="center"/>
          </w:tcPr>
          <w:p w14:paraId="72E6BC3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水质符合地表水环境质量标准的相应要求；水面清洁，无漂浮物。</w:t>
            </w:r>
          </w:p>
          <w:p w14:paraId="51A8634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安全警示标志设置规范、齐全。</w:t>
            </w:r>
          </w:p>
          <w:p w14:paraId="5AA2945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池底、池岸安全稳固，各类面层无缺损。</w:t>
            </w:r>
          </w:p>
        </w:tc>
        <w:tc>
          <w:tcPr>
            <w:tcW w:w="2500" w:type="dxa"/>
            <w:vAlign w:val="center"/>
          </w:tcPr>
          <w:p w14:paraId="6742FC0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水质符合地表水环境质量标准的相应要求；水面清洁，基本无漂浮物。</w:t>
            </w:r>
          </w:p>
          <w:p w14:paraId="0B60472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安全警示标志设置齐全。</w:t>
            </w:r>
          </w:p>
          <w:p w14:paraId="3057648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池底、池岸安全稳固，各类面层基本无缺损。</w:t>
            </w:r>
          </w:p>
        </w:tc>
        <w:tc>
          <w:tcPr>
            <w:tcW w:w="2501" w:type="dxa"/>
            <w:gridSpan w:val="2"/>
            <w:vAlign w:val="center"/>
          </w:tcPr>
          <w:p w14:paraId="75CB56B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水质符合地表水环境质量标准的相应要求；水面清洁，无明显漂浮物。</w:t>
            </w:r>
          </w:p>
          <w:p w14:paraId="47800EA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安全警示标志设置齐全。</w:t>
            </w:r>
          </w:p>
          <w:p w14:paraId="359297F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池底、池岸安全稳固，各类面层无明显缺损。</w:t>
            </w:r>
          </w:p>
        </w:tc>
      </w:tr>
      <w:tr w14:paraId="21A4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7ECC37A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70D58B4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公共卫生间</w:t>
            </w:r>
          </w:p>
        </w:tc>
        <w:tc>
          <w:tcPr>
            <w:tcW w:w="2500" w:type="dxa"/>
            <w:vAlign w:val="center"/>
          </w:tcPr>
          <w:p w14:paraId="79DF864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室内地面保持清洁，无垃圾、积水。便器无污物外溢、漏水。味强度不高于0级；保持通风，目测无蚊蝇。</w:t>
            </w:r>
          </w:p>
          <w:p w14:paraId="1E06A55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无障碍通道、蹲位、洗手池以及其它各类设施齐全，使用正常。</w:t>
            </w:r>
          </w:p>
          <w:p w14:paraId="20B4464C">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墙面及隔离板无乱贴乱画痕迹；引导标识醒目。</w:t>
            </w:r>
          </w:p>
        </w:tc>
        <w:tc>
          <w:tcPr>
            <w:tcW w:w="5001" w:type="dxa"/>
            <w:gridSpan w:val="3"/>
            <w:vAlign w:val="center"/>
          </w:tcPr>
          <w:p w14:paraId="6207757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室内地面保持清洁，无垃圾、积水。便器无污物外溢、漏水。</w:t>
            </w:r>
          </w:p>
          <w:p w14:paraId="5140A28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臭味强度不高于1级；保持通风，目测基本无蚊蝇。</w:t>
            </w:r>
          </w:p>
          <w:p w14:paraId="47DD0A5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无障碍通道、蹲位及其它各类设施齐全；使用基本正常。</w:t>
            </w:r>
          </w:p>
          <w:p w14:paraId="0C3D866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墙面及隔离板基本无乱贴乱画痕迹；引导标识清晰。</w:t>
            </w:r>
          </w:p>
        </w:tc>
      </w:tr>
      <w:tr w14:paraId="15F8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1A920D23">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45AC8B2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垃圾桶</w:t>
            </w:r>
          </w:p>
        </w:tc>
        <w:tc>
          <w:tcPr>
            <w:tcW w:w="2500" w:type="dxa"/>
            <w:vAlign w:val="center"/>
          </w:tcPr>
          <w:p w14:paraId="6F59629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外观清洁、完整，内壁无污垢陈渍，箱内无陈积垃圾；分类设置。</w:t>
            </w:r>
          </w:p>
        </w:tc>
        <w:tc>
          <w:tcPr>
            <w:tcW w:w="2603" w:type="dxa"/>
            <w:gridSpan w:val="2"/>
            <w:vAlign w:val="center"/>
          </w:tcPr>
          <w:p w14:paraId="3683C01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外观清洁、完整，内壁无明显污垢陈渍，箱内无陈积垃圾；分类设置，</w:t>
            </w:r>
          </w:p>
        </w:tc>
        <w:tc>
          <w:tcPr>
            <w:tcW w:w="2398" w:type="dxa"/>
            <w:vAlign w:val="center"/>
          </w:tcPr>
          <w:p w14:paraId="462F1E0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外观基本清洁、完整，内壁无明显污垢陈渍，箱内基本无陈积垃圾。</w:t>
            </w:r>
          </w:p>
        </w:tc>
      </w:tr>
      <w:tr w14:paraId="35000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2BCD571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63BFBE0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供电、照明</w:t>
            </w:r>
          </w:p>
        </w:tc>
        <w:tc>
          <w:tcPr>
            <w:tcW w:w="2500" w:type="dxa"/>
            <w:vAlign w:val="center"/>
          </w:tcPr>
          <w:p w14:paraId="15D3DDA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输配电运行正常，使用安全。</w:t>
            </w:r>
          </w:p>
          <w:p w14:paraId="220D5B2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各类照明设施完好(完好率≥95%)、清洁、安全；亮灯率≥98%。</w:t>
            </w:r>
          </w:p>
          <w:p w14:paraId="50F179C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入地管线标志明显，档案图纸齐全。</w:t>
            </w:r>
          </w:p>
        </w:tc>
        <w:tc>
          <w:tcPr>
            <w:tcW w:w="2603" w:type="dxa"/>
            <w:gridSpan w:val="2"/>
            <w:vAlign w:val="center"/>
          </w:tcPr>
          <w:p w14:paraId="7CA1428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输配电运行正常，使用安全。</w:t>
            </w:r>
          </w:p>
          <w:p w14:paraId="66D6E6A5">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各类照明设施基本完好( 完好率≥90%)、清洁、安全；亮灯率≥96%。</w:t>
            </w:r>
          </w:p>
          <w:p w14:paraId="020A4A0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入地管线标志明显，档案图纸完整。</w:t>
            </w:r>
          </w:p>
        </w:tc>
        <w:tc>
          <w:tcPr>
            <w:tcW w:w="2398" w:type="dxa"/>
            <w:vAlign w:val="center"/>
          </w:tcPr>
          <w:p w14:paraId="30C94AA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输配电运行正常，使用安全。</w:t>
            </w:r>
          </w:p>
          <w:p w14:paraId="5D531CE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各类照明设施基本完好(完好率≥90%)、清洁、安全；亮灯率≥90%</w:t>
            </w:r>
          </w:p>
          <w:p w14:paraId="32BFA0F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入地管线标志明显，档案图纸完整。</w:t>
            </w:r>
          </w:p>
        </w:tc>
      </w:tr>
      <w:tr w14:paraId="3159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534" w:type="dxa"/>
            <w:vMerge w:val="continue"/>
            <w:vAlign w:val="center"/>
          </w:tcPr>
          <w:p w14:paraId="5CF4AB7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5F9BE69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弱电</w:t>
            </w:r>
          </w:p>
        </w:tc>
        <w:tc>
          <w:tcPr>
            <w:tcW w:w="2500" w:type="dxa"/>
            <w:vAlign w:val="center"/>
          </w:tcPr>
          <w:p w14:paraId="7DEBFD2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各类弱电系统设备完好，使用正常。</w:t>
            </w:r>
          </w:p>
        </w:tc>
        <w:tc>
          <w:tcPr>
            <w:tcW w:w="5001" w:type="dxa"/>
            <w:gridSpan w:val="3"/>
            <w:vAlign w:val="center"/>
          </w:tcPr>
          <w:p w14:paraId="512A6F1B">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各类弱电系统设备基本完好，能正常使用。</w:t>
            </w:r>
          </w:p>
        </w:tc>
      </w:tr>
      <w:tr w14:paraId="4CB2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75ABCC86">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53086C7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给排水</w:t>
            </w:r>
          </w:p>
        </w:tc>
        <w:tc>
          <w:tcPr>
            <w:tcW w:w="2500" w:type="dxa"/>
            <w:vAlign w:val="center"/>
          </w:tcPr>
          <w:p w14:paraId="43FA48B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管道通畅；外露的给排水等设施清洁、完整。井盖、井篦安放平稳，与井框吻合，无倾覆。</w:t>
            </w:r>
          </w:p>
          <w:p w14:paraId="0F93A29F">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防汛、消防等设备完好，使用正常。</w:t>
            </w:r>
          </w:p>
        </w:tc>
        <w:tc>
          <w:tcPr>
            <w:tcW w:w="5001" w:type="dxa"/>
            <w:gridSpan w:val="3"/>
            <w:vAlign w:val="center"/>
          </w:tcPr>
          <w:p w14:paraId="6968558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管道基本畅通；外露的给排水等设施清洁、完整。井盖、井安放基本平稳，与井框吻合，无倾覆。</w:t>
            </w:r>
          </w:p>
          <w:p w14:paraId="5FEF016E">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防汛、消防等设备完好、使用正常。</w:t>
            </w:r>
          </w:p>
        </w:tc>
      </w:tr>
      <w:tr w14:paraId="3C0D2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66AB55B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08D9ED0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标识</w:t>
            </w:r>
          </w:p>
        </w:tc>
        <w:tc>
          <w:tcPr>
            <w:tcW w:w="2500" w:type="dxa"/>
            <w:vAlign w:val="center"/>
          </w:tcPr>
          <w:p w14:paraId="39EE2F9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牌示齐全、完整、整洁，文字及图案清晰。</w:t>
            </w:r>
          </w:p>
        </w:tc>
        <w:tc>
          <w:tcPr>
            <w:tcW w:w="2603" w:type="dxa"/>
            <w:gridSpan w:val="2"/>
            <w:vAlign w:val="center"/>
          </w:tcPr>
          <w:p w14:paraId="18C2750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牌示基本齐全，较整洁，文字及图案清晰。</w:t>
            </w:r>
          </w:p>
        </w:tc>
        <w:tc>
          <w:tcPr>
            <w:tcW w:w="2398" w:type="dxa"/>
            <w:vAlign w:val="center"/>
          </w:tcPr>
          <w:p w14:paraId="55E13A6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牌示基本齐全，无明显污文字及图案能辨识。</w:t>
            </w:r>
          </w:p>
        </w:tc>
      </w:tr>
      <w:tr w14:paraId="20D9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6E6EA3D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6AAC32F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游乐、健身设施</w:t>
            </w:r>
          </w:p>
        </w:tc>
        <w:tc>
          <w:tcPr>
            <w:tcW w:w="7501" w:type="dxa"/>
            <w:gridSpan w:val="4"/>
            <w:vAlign w:val="center"/>
          </w:tcPr>
          <w:p w14:paraId="5FF9FF23">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所有设施明示生产单位及使用要求、操作规程；维护管理人员经培训合格，持证上岗。</w:t>
            </w:r>
          </w:p>
          <w:p w14:paraId="0FC79B92">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设施按照规定检查维护，安全运转；管理档案清晰完整。</w:t>
            </w:r>
          </w:p>
          <w:p w14:paraId="587F0DB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环境整洁。</w:t>
            </w:r>
          </w:p>
        </w:tc>
      </w:tr>
      <w:tr w14:paraId="134E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688E1BB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593971D3">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广播</w:t>
            </w:r>
          </w:p>
          <w:p w14:paraId="308214D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音响</w:t>
            </w:r>
          </w:p>
        </w:tc>
        <w:tc>
          <w:tcPr>
            <w:tcW w:w="2500" w:type="dxa"/>
            <w:vAlign w:val="center"/>
          </w:tcPr>
          <w:p w14:paraId="075B805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外壳完整、稳固、清洁。</w:t>
            </w:r>
          </w:p>
          <w:p w14:paraId="3ECA6AD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设备完好。</w:t>
            </w:r>
          </w:p>
          <w:p w14:paraId="29F5D47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适时广播，白天音响小于55 分贝，晚间小于 45 分贝。</w:t>
            </w:r>
          </w:p>
        </w:tc>
        <w:tc>
          <w:tcPr>
            <w:tcW w:w="5001" w:type="dxa"/>
            <w:gridSpan w:val="3"/>
            <w:vAlign w:val="center"/>
          </w:tcPr>
          <w:p w14:paraId="294C9810">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外壳较完整、稳固、清洁。</w:t>
            </w:r>
          </w:p>
          <w:p w14:paraId="7B35A33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设备基本完好，不影响安全、正常使用。</w:t>
            </w:r>
          </w:p>
          <w:p w14:paraId="19B1A41A">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适时广播，白天音响小于 55 分贝，晚间小于 45 分贝。</w:t>
            </w:r>
          </w:p>
        </w:tc>
      </w:tr>
      <w:tr w14:paraId="6814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35EE44E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15C871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减灾</w:t>
            </w:r>
          </w:p>
        </w:tc>
        <w:tc>
          <w:tcPr>
            <w:tcW w:w="7501" w:type="dxa"/>
            <w:gridSpan w:val="4"/>
            <w:vAlign w:val="center"/>
          </w:tcPr>
          <w:p w14:paraId="7E9B38A9">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各种防灾避险等设施完好，防灾避险通道畅通。</w:t>
            </w:r>
          </w:p>
          <w:p w14:paraId="0B5BD8D4">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值班、巡视、应急预案等防灾避险措施落实。</w:t>
            </w:r>
          </w:p>
        </w:tc>
      </w:tr>
      <w:tr w14:paraId="7D7E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1A4E7AA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三</w:t>
            </w:r>
          </w:p>
          <w:p w14:paraId="6510A45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其他管理</w:t>
            </w:r>
          </w:p>
        </w:tc>
        <w:tc>
          <w:tcPr>
            <w:tcW w:w="1134" w:type="dxa"/>
            <w:vAlign w:val="center"/>
          </w:tcPr>
          <w:p w14:paraId="02711FF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整体</w:t>
            </w:r>
          </w:p>
          <w:p w14:paraId="177DB17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面貌</w:t>
            </w:r>
          </w:p>
        </w:tc>
        <w:tc>
          <w:tcPr>
            <w:tcW w:w="2500" w:type="dxa"/>
            <w:vAlign w:val="center"/>
          </w:tcPr>
          <w:p w14:paraId="3CCFEB5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绿地(含水面)整洁，无条状、块状污染物，点状污染物每100㎡≤2 处；无杂物，无树枝、树叶、草屑等生产垃圾，无擅自搭棚、摆摊设点等现象；植被、地被等基本无人为破坏；建筑(构筑)及设施完好，安全使用；水面无异味。</w:t>
            </w:r>
          </w:p>
        </w:tc>
        <w:tc>
          <w:tcPr>
            <w:tcW w:w="2500" w:type="dxa"/>
            <w:vAlign w:val="center"/>
          </w:tcPr>
          <w:p w14:paraId="5498734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绿地(含水面)较整洁，基本无条状和块状污染物，点状污染物每100㎡≤4处;基本无杂物，无明显树枝、树叶、草屑等生产垃圾,无擅自搭棚、摆摊设点等现象；建筑(构筑)及设施基本完好，安全使用；水面无异味。</w:t>
            </w:r>
          </w:p>
        </w:tc>
        <w:tc>
          <w:tcPr>
            <w:tcW w:w="2501" w:type="dxa"/>
            <w:gridSpan w:val="2"/>
            <w:vAlign w:val="center"/>
          </w:tcPr>
          <w:p w14:paraId="0214E246">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绿地(含水面)基本整洁，无明显杂物，无明显白色污染(树挂)，无明显树枝、树叶、草屑等生产垃圾积存，无擅自搭棚、摆摊设点等现象；建筑(构筑)及设施基本完好，安全使用；水面无明显异味。</w:t>
            </w:r>
          </w:p>
        </w:tc>
      </w:tr>
      <w:tr w14:paraId="7FCAC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16A69DC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3050FCB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人员</w:t>
            </w:r>
          </w:p>
          <w:p w14:paraId="11A31E1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着装</w:t>
            </w:r>
          </w:p>
        </w:tc>
        <w:tc>
          <w:tcPr>
            <w:tcW w:w="2500" w:type="dxa"/>
            <w:vAlign w:val="center"/>
          </w:tcPr>
          <w:p w14:paraId="03EAA7A8">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在岗的养护、保洁、安保等人员统一着装，衣帽整齐，佩戴工号牌，且有所属单位的明显标志。</w:t>
            </w:r>
          </w:p>
        </w:tc>
        <w:tc>
          <w:tcPr>
            <w:tcW w:w="2500" w:type="dxa"/>
            <w:vAlign w:val="center"/>
          </w:tcPr>
          <w:p w14:paraId="7BE50487">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在岗工作人员能统一着装，衣帽整齐。</w:t>
            </w:r>
          </w:p>
        </w:tc>
        <w:tc>
          <w:tcPr>
            <w:tcW w:w="2501" w:type="dxa"/>
            <w:gridSpan w:val="2"/>
            <w:vAlign w:val="center"/>
          </w:tcPr>
          <w:p w14:paraId="7B7F22C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w:t>
            </w:r>
          </w:p>
        </w:tc>
      </w:tr>
      <w:tr w14:paraId="26042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vAlign w:val="center"/>
          </w:tcPr>
          <w:p w14:paraId="52B26F1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p>
        </w:tc>
        <w:tc>
          <w:tcPr>
            <w:tcW w:w="1134" w:type="dxa"/>
            <w:vAlign w:val="center"/>
          </w:tcPr>
          <w:p w14:paraId="4BC6DCC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技术</w:t>
            </w:r>
          </w:p>
          <w:p w14:paraId="45CAA7D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档案</w:t>
            </w:r>
          </w:p>
        </w:tc>
        <w:tc>
          <w:tcPr>
            <w:tcW w:w="2500" w:type="dxa"/>
            <w:vAlign w:val="center"/>
          </w:tcPr>
          <w:p w14:paraId="39C7AF3D">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养护管理技术档案健全，记录清晰，并有专人负责。</w:t>
            </w:r>
          </w:p>
        </w:tc>
        <w:tc>
          <w:tcPr>
            <w:tcW w:w="5001" w:type="dxa"/>
            <w:gridSpan w:val="3"/>
            <w:vAlign w:val="center"/>
          </w:tcPr>
          <w:p w14:paraId="2A174C91">
            <w:pPr>
              <w:keepNext w:val="0"/>
              <w:keepLines w:val="0"/>
              <w:suppressLineNumbers w:val="0"/>
              <w:shd w:val="clear"/>
              <w:spacing w:before="0" w:beforeAutospacing="0" w:after="0" w:afterAutospacing="0" w:line="240" w:lineRule="auto"/>
              <w:ind w:left="0" w:right="0" w:firstLine="480"/>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建立养护管理技术档案，记录清晰。</w:t>
            </w:r>
          </w:p>
        </w:tc>
      </w:tr>
    </w:tbl>
    <w:p w14:paraId="55D3FE7A">
      <w:pPr>
        <w:shd w:val="clear"/>
        <w:spacing w:before="120"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一月份：全年中气温最低的月份，露地树木处于休眠状态。</w:t>
      </w:r>
    </w:p>
    <w:p w14:paraId="0FB9D72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1、冬季修剪：全面展开对落叶树木的整形修剪作业；大小乔木上的枯枝，伤残枝，病虫枝及妨碍架空线和建筑物的枝杈进行修剪。</w:t>
      </w:r>
    </w:p>
    <w:p w14:paraId="304280C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2、行道树检查：及时检查行道树绑扎，立桩情况，发现松绑，铅丝嵌皮，摇桩等情况时立即整改。</w:t>
      </w:r>
    </w:p>
    <w:p w14:paraId="18697A7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防治害虫：冬季是消灭园林害虫的有利季节。可在树下疏松的土中挖集刺蛾的虫蛹，虫茧，在指定地点集中烧死。1月中旬的时候，蚧壳虫类开始活动，但这时候行动迟缓，可以采取刮除树干上的幼虫的方法。在冬季防治害虫，往往有事半功倍的效果。</w:t>
      </w:r>
    </w:p>
    <w:p w14:paraId="5E2BB33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4、绿地养护：绿地、花坛等地要注意挑除大型野草；草坪要及时挑草，切边；绿地内要注意防冻浇水。</w:t>
      </w:r>
    </w:p>
    <w:p w14:paraId="572831DA">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二月份：气温较上月有所回升，树木仍处于休眠状态。 </w:t>
      </w:r>
    </w:p>
    <w:p w14:paraId="298E591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1、养护基本与一月份相同。</w:t>
      </w:r>
    </w:p>
    <w:p w14:paraId="043E1826">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2、修剪：继续对大小乔木的枯枝，病枝进行修剪。月底以前，把各种树木修剪完。</w:t>
      </w:r>
    </w:p>
    <w:p w14:paraId="2871354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3、防治害虫：继续以防刺蛾和蚧壳虫为主。</w:t>
      </w:r>
    </w:p>
    <w:p w14:paraId="0A0CDD61">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三月份：气温继续上升，中旬以后树木开始萌芽，下旬有些树木开花。 </w:t>
      </w:r>
    </w:p>
    <w:p w14:paraId="66BE5B2C">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植树：春季是植树的有利时机。土壤解冻后，应立即抓紧时机植树。植大小乔木前作好规划设计，事先挖(刨)好树坑，要做到随挖，随运，随种，随浇水。种植灌木时也应做到随挖，随运，随种，并充分浇水，以提高苗木存活率。</w:t>
      </w:r>
    </w:p>
    <w:p w14:paraId="7962FBF1">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2、春灌：因春季干旱多风，蒸发量大，为防止春旱，对绿地等应及时浇水。</w:t>
      </w:r>
    </w:p>
    <w:p w14:paraId="66A4879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3、施肥：土壤解冻后，对植物施用基肥并灌水。</w:t>
      </w:r>
    </w:p>
    <w:p w14:paraId="5653A95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4、防治病虫害：本月是防治病虫害的关键时刻。一些苗木出现了煤污病，瓜子黄杨卷叶螟也出现了(采用喷洒杀螟松等农药进行防治)。防治刺蛾，可以继续采用挖蛹方法。</w:t>
      </w:r>
    </w:p>
    <w:p w14:paraId="13B5167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四月份：气温继续上升，树木均萌芽开花或展叶开始进入生长旺盛期。 </w:t>
      </w:r>
    </w:p>
    <w:p w14:paraId="4628088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1、继续植树：四月上旬应抓紧时间种植萌芽晚的树木，对冬季死亡的灌木(杜鹃，红花继木等)应及时拔除补种，对新种树木要充分浇水。</w:t>
      </w:r>
    </w:p>
    <w:p w14:paraId="0C82E68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2、灌水：继续对养护绿地进行及时的浇水。</w:t>
      </w:r>
    </w:p>
    <w:p w14:paraId="1373CD3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3、施肥：对草坪，灌木结合灌水，追施速效氮肥，或者根据需要进行叶面喷施。</w:t>
      </w:r>
    </w:p>
    <w:p w14:paraId="1DD0E6CF">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4、修剪：剪除冬，春季干枯的枝条，可以修剪常绿绿篱。</w:t>
      </w:r>
    </w:p>
    <w:p w14:paraId="6140CF34">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5、防治病虫害：（1）蚧壳虫在第二次蜕皮后陆续转移到树皮裂缝内，树洞，树干基部，墙角等处分泌白色蜡质薄茧化蛹，可以用硬竹扫帚扫除，然后在指定地点集中深埋或浸泡。或者采用喷洒杀螟松等农药的方法；（2）天牛开始活动了，可以采用嫁接刀或自制钢丝挑除幼虫，但是伤口要做到越小越好；（3）其它病虫害的防治工作。</w:t>
      </w:r>
    </w:p>
    <w:p w14:paraId="4C7175B0">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6、绿地内养护：注意大型绿地内的杂草及攀援植物的挑除。对草坪也要进行挑草及切边工作。</w:t>
      </w:r>
    </w:p>
    <w:p w14:paraId="289B068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7、草花：迎五一替换冬季草花，注意做好浇水工作。</w:t>
      </w:r>
    </w:p>
    <w:p w14:paraId="2E78D0CC">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五月份：气温急骤上升，树木生长迅速。 </w:t>
      </w:r>
    </w:p>
    <w:p w14:paraId="18AFFA22">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1、浇水：树木展叶盛期，需水量很大，应适时浇水。</w:t>
      </w:r>
    </w:p>
    <w:p w14:paraId="41530C2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2、修剪：修剪残花、行道树进行第一次的剥芽修剪。</w:t>
      </w:r>
    </w:p>
    <w:p w14:paraId="5FBFAA69">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防治病虫害：继续以捕捉天牛为主。刺蛾第一代孵化，但尚未达到危害程度，根据养护区内的实际情况做出相应措施。由蚧壳虫，蚜虫等引起的煤污病也进入了盛发期(在紫薇，海桐，夹竹桃等上)，在五月中，下旬喷洒10-20倍的松脂合剂及50%三硫磷乳剂1500-2000倍液以防治病害及杀死虫害。(其它可用杀虫素，花保等农药)</w:t>
      </w:r>
    </w:p>
    <w:p w14:paraId="122D5D41">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六月份：气温高 </w:t>
      </w:r>
    </w:p>
    <w:p w14:paraId="4FB3B1D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1、浇水：植物需水量大，要及时浇水，不能“看天吃饭”。</w:t>
      </w:r>
    </w:p>
    <w:p w14:paraId="69AD7F3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2、施肥：结合松土除草，施肥，浇水以达到最好的效果。</w:t>
      </w:r>
    </w:p>
    <w:p w14:paraId="3B20E18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3、修剪：继续对行道树进行剥芽除蘖工作。对绿篱，球类及部分花灌木实施修剪。</w:t>
      </w:r>
    </w:p>
    <w:p w14:paraId="501181A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4、排水工作：有大雨天气时要注意低洼处的排水工作。</w:t>
      </w:r>
    </w:p>
    <w:p w14:paraId="0C1A256A">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5、防治病虫害：六月中，下旬刺蛾进入孵化盛期，应及时采取措施，现基本采用50%杀螟松乳剂500-800倍液喷洒。(或用复合BT乳剂进行喷施)继续对天牛进行人工捕捉。</w:t>
      </w:r>
    </w:p>
    <w:p w14:paraId="101605BF">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6、做好树木防汛防台前的检查工作，对松动，倾斜的树木进行扶正，加固及重新绑扎。</w:t>
      </w:r>
    </w:p>
    <w:p w14:paraId="6E7ECE1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七月份：气温最高，中旬以后会出现大风大雨情况。 </w:t>
      </w:r>
    </w:p>
    <w:p w14:paraId="74A998A2">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1、移植常绿树：雨季期间，水分充足，可以移植针叶树和竹类，但要注意天气变化，一旦碰到高温要及时浇水。</w:t>
      </w:r>
    </w:p>
    <w:p w14:paraId="5D188BB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2、排涝：大雨过后要及时排涝。</w:t>
      </w:r>
    </w:p>
    <w:p w14:paraId="23C1B17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3、施追肥：在下雨前干施氮肥等速效肥。</w:t>
      </w:r>
    </w:p>
    <w:p w14:paraId="3866787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行道树：进行防台剥芽修剪，对与电线有影响的树枝一律修剪，并对树桩逐个检查，发现松垮，不稳立即扶正绑紧。事先做好劳动力组织、物资材料、工具设备等方面的准备，并随时派人检查，发现险情及时处理。</w:t>
      </w:r>
    </w:p>
    <w:p w14:paraId="0B698AEA">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5、防治病虫害：继续对天牛及刺蛾进行防治。防治天牛可以采用50%杀螟(或果树宝，或园科三号)然后封住洞口，也可达到很好的效果。香樟樟巢、螟要及时的剪除，并销毁虫巢，以免再次危害。</w:t>
      </w:r>
    </w:p>
    <w:p w14:paraId="03253291">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八月份：仍为雨季 </w:t>
      </w:r>
    </w:p>
    <w:p w14:paraId="394C62CB">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1、排涝：大雨过后，对低洼积水处要及时排涝。</w:t>
      </w:r>
    </w:p>
    <w:p w14:paraId="35177E2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2、行道树防台工作：继续做好行道树的防台工作。</w:t>
      </w:r>
    </w:p>
    <w:p w14:paraId="10AB0224">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3、修剪：除一般树木夏修外，要对绿篱进行造型修剪。</w:t>
      </w:r>
    </w:p>
    <w:p w14:paraId="6869A15B">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4、中耕除草：杂草生长也旺盛，要及时的除草，并可结合除草进行施肥。</w:t>
      </w:r>
    </w:p>
    <w:p w14:paraId="16DC1631">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5、防治病虫害：捕捉天牛为主，注意根部的天牛捕捉。蚜虫危害，香樟樟巢、螟要及时防治。潮湿天气要注意白粉病及腐烂病，要及时采取措施。</w:t>
      </w:r>
    </w:p>
    <w:p w14:paraId="75A5EBAA">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九月份：气温有所下降，迎国庆做好相关工作。 </w:t>
      </w:r>
    </w:p>
    <w:p w14:paraId="6A65D046">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1、修剪：迎接国庆工作，行道树三级分叉以下剥芽。绿篱造型修剪。绿地内除草，草坪切边，及时清理死树，做到树木青枝绿叶，绿地干净整齐。</w:t>
      </w:r>
    </w:p>
    <w:p w14:paraId="2544E4A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2、施肥：对一些生长较弱，枝条不够充实的树木，应追施一些磷，钾肥。</w:t>
      </w:r>
    </w:p>
    <w:p w14:paraId="2ED69E2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3、草花：迎国庆，草花更换，选择颜色鲜艳的草花品种，注意浇水要充足。</w:t>
      </w:r>
    </w:p>
    <w:p w14:paraId="103CE960">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4、防治病虫害：穿孔病为发病高峰，采用50%多菌灵1000倍液防止侵染。天牛开始转向根部危害，注意根部天牛的捕捉。对杨，柳上的木蠹蛾也要及时防治。做好其它病虫害的防治工作。</w:t>
      </w:r>
    </w:p>
    <w:p w14:paraId="7BEF5BC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5、节前做好各类绿化设施的检查工作。</w:t>
      </w:r>
    </w:p>
    <w:p w14:paraId="28C2BC0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十月份：气温下降，十月下旬进入初冬，树木开始落叶，陆续进入休眠期。</w:t>
      </w:r>
    </w:p>
    <w:p w14:paraId="172CF2F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1、做好秋季植树的准备，下旬耐寒树木一落叶，就可以开始栽植。</w:t>
      </w:r>
    </w:p>
    <w:p w14:paraId="681E94F1">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2、绿地养护：及时去除死树，及时浇水。绿地，草坪挑草切边工作要做好。草花生长不良的要施肥。</w:t>
      </w:r>
    </w:p>
    <w:p w14:paraId="16982DCC">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3、防治病虫害：继续捕捉根部天牛。香樟樟巢螟也要注意观察防治。</w:t>
      </w:r>
    </w:p>
    <w:p w14:paraId="693241FC">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十一月份：土壤开始夜冻日化，进入隆冬季节。 </w:t>
      </w:r>
    </w:p>
    <w:p w14:paraId="23A474A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1、植树：继续栽植耐寒植物，土壤冻结前完成。</w:t>
      </w:r>
    </w:p>
    <w:p w14:paraId="3EA294BB">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2、翻土：对绿地土壤翻土，暴露准备越冬的害虫。</w:t>
      </w:r>
    </w:p>
    <w:p w14:paraId="6404C00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3、浇水：对干，板结的土壤浇水，要在封冻前完成。</w:t>
      </w:r>
    </w:p>
    <w:p w14:paraId="180AEFA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4、病虫害防治各种害虫在下旬准备过冬，防治任务相对较轻。</w:t>
      </w:r>
    </w:p>
    <w:p w14:paraId="53C470FA">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 xml:space="preserve">十二月份：低气温，开始冬季养护工作。 </w:t>
      </w:r>
    </w:p>
    <w:p w14:paraId="0B79272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1、冬季修剪：对些常绿乔木，灌木进行修剪。</w:t>
      </w:r>
    </w:p>
    <w:p w14:paraId="4204AA0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2、消灭越冬病虫害。</w:t>
      </w:r>
    </w:p>
    <w:p w14:paraId="14C0A5D0">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3、做好明年调整工作准备：待落叶植物落叶以后，对养护区进行观察，绘制要调整的方位。</w:t>
      </w:r>
    </w:p>
    <w:p w14:paraId="548C4D28">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（1）修剪：乔木1-2次，花灌木2-3次，绿篱1-2次/2月，草坪6-8次/年。</w:t>
      </w:r>
    </w:p>
    <w:p w14:paraId="0124012B">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（2）及时清理死树，枯枝，发现死亡苗木，1个工作日内书面上报，经主管部门审批后，2日内清除。</w:t>
      </w:r>
    </w:p>
    <w:p w14:paraId="137F1FC6">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（3）施肥：新植乔木每年一次，其它乔木每二年一次，花灌木每年2-3次，草坪每年1-2次。</w:t>
      </w:r>
    </w:p>
    <w:p w14:paraId="2998673D">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（4）浇水：根据植物生长需要和旱情及时浇足水分、及时排水防涝，根据情况每年冬季1-2次、夏季确保养护范围内绿化1-2天/次，高温季行道树等随路绿化确保1次/天，浇水需结合根部漫灌和树干保湿。</w:t>
      </w:r>
    </w:p>
    <w:p w14:paraId="4221FCA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（5）病虫害防治：结合实际情况，病虫害高发</w:t>
      </w:r>
      <w:r>
        <w:rPr>
          <w:rFonts w:hint="eastAsia" w:ascii="宋体" w:hAnsi="宋体"/>
          <w:bCs/>
          <w:iCs/>
          <w:color w:val="auto"/>
          <w:sz w:val="24"/>
          <w:szCs w:val="24"/>
          <w:highlight w:val="none"/>
          <w:lang w:val="en-US" w:eastAsia="zh-CN"/>
        </w:rPr>
        <w:t>期</w:t>
      </w:r>
      <w:r>
        <w:rPr>
          <w:rFonts w:hint="eastAsia" w:ascii="宋体" w:hAnsi="宋体"/>
          <w:bCs/>
          <w:iCs/>
          <w:color w:val="auto"/>
          <w:sz w:val="24"/>
          <w:szCs w:val="24"/>
          <w:highlight w:val="none"/>
        </w:rPr>
        <w:t>2-3次/月。</w:t>
      </w:r>
    </w:p>
    <w:p w14:paraId="616A7E3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（6）行道树及时扶正，新补植行道树及时进行支撑。</w:t>
      </w:r>
    </w:p>
    <w:p w14:paraId="047C8A9B">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（7）花坛（台）、绿化带等松土、除草8次以上。</w:t>
      </w:r>
    </w:p>
    <w:p w14:paraId="264C590D">
      <w:pPr>
        <w:shd w:val="clear"/>
        <w:spacing w:line="360" w:lineRule="auto"/>
        <w:ind w:left="482"/>
        <w:rPr>
          <w:rFonts w:hint="eastAsia" w:ascii="宋体" w:hAnsi="宋体"/>
          <w:bCs/>
          <w:iCs/>
          <w:color w:val="auto"/>
          <w:sz w:val="24"/>
          <w:szCs w:val="24"/>
          <w:highlight w:val="none"/>
        </w:rPr>
      </w:pPr>
      <w:r>
        <w:rPr>
          <w:rFonts w:hint="eastAsia" w:ascii="宋体" w:hAnsi="宋体"/>
          <w:bCs/>
          <w:iCs/>
          <w:color w:val="auto"/>
          <w:sz w:val="24"/>
          <w:szCs w:val="24"/>
          <w:highlight w:val="none"/>
        </w:rPr>
        <w:t>（8）树穴、花池、绿带及时保洁，及时清除树枝上悬挂杂物。</w:t>
      </w:r>
    </w:p>
    <w:p w14:paraId="60EECC32">
      <w:pPr>
        <w:shd w:val="clear"/>
        <w:spacing w:line="360" w:lineRule="auto"/>
        <w:ind w:left="482"/>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4、作业车辆配备</w:t>
      </w:r>
    </w:p>
    <w:p w14:paraId="252A0179">
      <w:pPr>
        <w:shd w:val="clear"/>
        <w:spacing w:line="360" w:lineRule="auto"/>
        <w:ind w:firstLine="482"/>
        <w:rPr>
          <w:rFonts w:ascii="宋体" w:hAnsi="宋体"/>
          <w:b/>
          <w:bCs/>
          <w:iCs/>
          <w:color w:val="auto"/>
          <w:sz w:val="24"/>
          <w:szCs w:val="24"/>
          <w:highlight w:val="none"/>
        </w:rPr>
      </w:pPr>
      <w:r>
        <w:rPr>
          <w:rFonts w:hint="eastAsia" w:ascii="宋体" w:hAnsi="宋体"/>
          <w:b/>
          <w:bCs/>
          <w:iCs/>
          <w:color w:val="auto"/>
          <w:sz w:val="24"/>
          <w:szCs w:val="24"/>
          <w:highlight w:val="none"/>
        </w:rPr>
        <w:t>分包1：</w:t>
      </w:r>
      <w:r>
        <w:rPr>
          <w:rFonts w:hint="eastAsia" w:ascii="宋体" w:hAnsi="宋体"/>
          <w:b/>
          <w:bCs/>
          <w:iCs/>
          <w:color w:val="auto"/>
          <w:sz w:val="24"/>
          <w:szCs w:val="24"/>
          <w:highlight w:val="none"/>
          <w:lang w:eastAsia="zh-CN"/>
        </w:rPr>
        <w:t>重点区域</w:t>
      </w:r>
      <w:r>
        <w:rPr>
          <w:rFonts w:hint="eastAsia" w:ascii="宋体" w:hAnsi="宋体"/>
          <w:b/>
          <w:bCs/>
          <w:iCs/>
          <w:color w:val="auto"/>
          <w:sz w:val="24"/>
          <w:szCs w:val="24"/>
          <w:highlight w:val="none"/>
        </w:rPr>
        <w:t>周边片区</w:t>
      </w:r>
    </w:p>
    <w:p w14:paraId="5F906B9E">
      <w:pPr>
        <w:shd w:val="clear"/>
        <w:spacing w:line="360" w:lineRule="auto"/>
        <w:jc w:val="center"/>
        <w:rPr>
          <w:rFonts w:ascii="宋体" w:hAnsi="宋体"/>
          <w:b/>
          <w:bCs/>
          <w:iCs/>
          <w:color w:val="auto"/>
          <w:sz w:val="24"/>
          <w:szCs w:val="24"/>
          <w:highlight w:val="none"/>
        </w:rPr>
      </w:pPr>
      <w:r>
        <w:rPr>
          <w:rFonts w:ascii="宋体" w:hAnsi="宋体"/>
          <w:b/>
          <w:bCs/>
          <w:iCs/>
          <w:color w:val="auto"/>
          <w:sz w:val="24"/>
          <w:szCs w:val="24"/>
          <w:highlight w:val="none"/>
        </w:rPr>
        <w:t>车辆配置表</w:t>
      </w:r>
    </w:p>
    <w:p w14:paraId="223CCC8E">
      <w:pPr>
        <w:shd w:val="clear"/>
        <w:spacing w:line="360" w:lineRule="auto"/>
        <w:ind w:firstLine="482" w:firstLineChars="200"/>
        <w:jc w:val="both"/>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lang w:val="en-US" w:eastAsia="zh-CN"/>
        </w:rPr>
        <w:t>1</w:t>
      </w: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lang w:val="en-US" w:eastAsia="zh-CN"/>
        </w:rPr>
        <w:t>道路保洁、绿化养护</w:t>
      </w:r>
    </w:p>
    <w:tbl>
      <w:tblPr>
        <w:tblStyle w:val="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3486"/>
        <w:gridCol w:w="1008"/>
        <w:gridCol w:w="1488"/>
        <w:gridCol w:w="2456"/>
      </w:tblGrid>
      <w:tr w14:paraId="44C7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5" w:type="pct"/>
            <w:shd w:val="clear" w:color="auto" w:fill="auto"/>
            <w:vAlign w:val="center"/>
          </w:tcPr>
          <w:p w14:paraId="56679D2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序号</w:t>
            </w:r>
          </w:p>
        </w:tc>
        <w:tc>
          <w:tcPr>
            <w:tcW w:w="1902" w:type="pct"/>
            <w:shd w:val="clear" w:color="auto" w:fill="auto"/>
            <w:vAlign w:val="center"/>
          </w:tcPr>
          <w:p w14:paraId="68C4D202">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车辆名称</w:t>
            </w:r>
          </w:p>
        </w:tc>
        <w:tc>
          <w:tcPr>
            <w:tcW w:w="550" w:type="pct"/>
            <w:shd w:val="clear" w:color="auto" w:fill="auto"/>
            <w:vAlign w:val="center"/>
          </w:tcPr>
          <w:p w14:paraId="6CA5E85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数量</w:t>
            </w:r>
          </w:p>
        </w:tc>
        <w:tc>
          <w:tcPr>
            <w:tcW w:w="812" w:type="pct"/>
            <w:shd w:val="clear" w:color="auto" w:fill="auto"/>
            <w:vAlign w:val="center"/>
          </w:tcPr>
          <w:p w14:paraId="5E0639D7">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驾驶员</w:t>
            </w:r>
          </w:p>
        </w:tc>
        <w:tc>
          <w:tcPr>
            <w:tcW w:w="1340" w:type="pct"/>
            <w:vAlign w:val="center"/>
          </w:tcPr>
          <w:p w14:paraId="5EE1FB9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4584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4F7985AA">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1</w:t>
            </w:r>
          </w:p>
        </w:tc>
        <w:tc>
          <w:tcPr>
            <w:tcW w:w="1902" w:type="pct"/>
            <w:shd w:val="clear" w:color="auto" w:fill="auto"/>
            <w:vAlign w:val="center"/>
          </w:tcPr>
          <w:p w14:paraId="291948C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新能源重型</w:t>
            </w:r>
            <w:r>
              <w:rPr>
                <w:rFonts w:hint="default" w:ascii="宋体" w:hAnsi="宋体" w:cs="宋体"/>
                <w:color w:val="auto"/>
                <w:kern w:val="2"/>
                <w:sz w:val="24"/>
                <w:szCs w:val="24"/>
                <w:highlight w:val="none"/>
              </w:rPr>
              <w:t>洗扫车</w:t>
            </w:r>
          </w:p>
        </w:tc>
        <w:tc>
          <w:tcPr>
            <w:tcW w:w="550" w:type="pct"/>
            <w:shd w:val="clear" w:color="auto" w:fill="auto"/>
            <w:vAlign w:val="center"/>
          </w:tcPr>
          <w:p w14:paraId="1D0A200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12" w:type="pct"/>
            <w:shd w:val="clear" w:color="auto" w:fill="auto"/>
            <w:vAlign w:val="center"/>
          </w:tcPr>
          <w:p w14:paraId="6ACF9F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40" w:type="pct"/>
            <w:vMerge w:val="restart"/>
            <w:vAlign w:val="center"/>
          </w:tcPr>
          <w:p w14:paraId="0B19D9F2">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安装定位及视频监控等装置，与</w:t>
            </w:r>
            <w:r>
              <w:rPr>
                <w:rFonts w:hint="eastAsia" w:ascii="宋体" w:hAnsi="宋体" w:cs="宋体"/>
                <w:color w:val="auto"/>
                <w:kern w:val="2"/>
                <w:sz w:val="24"/>
                <w:szCs w:val="24"/>
                <w:highlight w:val="none"/>
                <w:lang w:val="en-US" w:eastAsia="zh-CN"/>
              </w:rPr>
              <w:t>区级</w:t>
            </w:r>
            <w:r>
              <w:rPr>
                <w:rFonts w:hint="eastAsia" w:ascii="宋体" w:hAnsi="宋体" w:cs="宋体"/>
                <w:color w:val="auto"/>
                <w:kern w:val="2"/>
                <w:sz w:val="24"/>
                <w:szCs w:val="24"/>
                <w:highlight w:val="none"/>
              </w:rPr>
              <w:t>管理部门监管系统联网</w:t>
            </w:r>
            <w:r>
              <w:rPr>
                <w:rFonts w:hint="eastAsia" w:ascii="宋体" w:hAnsi="宋体" w:cs="宋体"/>
                <w:color w:val="auto"/>
                <w:kern w:val="2"/>
                <w:sz w:val="24"/>
                <w:szCs w:val="24"/>
                <w:highlight w:val="none"/>
                <w:lang w:eastAsia="zh-CN"/>
              </w:rPr>
              <w:t>。</w:t>
            </w:r>
          </w:p>
        </w:tc>
      </w:tr>
      <w:tr w14:paraId="2A968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395" w:type="pct"/>
            <w:shd w:val="clear" w:color="auto" w:fill="auto"/>
            <w:vAlign w:val="center"/>
          </w:tcPr>
          <w:p w14:paraId="2611500A">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2</w:t>
            </w:r>
          </w:p>
        </w:tc>
        <w:tc>
          <w:tcPr>
            <w:tcW w:w="1902" w:type="pct"/>
            <w:shd w:val="clear" w:color="auto" w:fill="auto"/>
            <w:vAlign w:val="center"/>
          </w:tcPr>
          <w:p w14:paraId="27F846BB">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新能源</w:t>
            </w:r>
            <w:r>
              <w:rPr>
                <w:rFonts w:hint="eastAsia" w:ascii="宋体" w:hAnsi="宋体" w:cs="宋体"/>
                <w:color w:val="auto"/>
                <w:kern w:val="2"/>
                <w:sz w:val="24"/>
                <w:szCs w:val="24"/>
                <w:highlight w:val="none"/>
              </w:rPr>
              <w:t>中型洒水车</w:t>
            </w:r>
          </w:p>
        </w:tc>
        <w:tc>
          <w:tcPr>
            <w:tcW w:w="550" w:type="pct"/>
            <w:shd w:val="clear" w:color="auto" w:fill="auto"/>
            <w:vAlign w:val="center"/>
          </w:tcPr>
          <w:p w14:paraId="7F759F2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12" w:type="pct"/>
            <w:shd w:val="clear" w:color="auto" w:fill="auto"/>
            <w:vAlign w:val="center"/>
          </w:tcPr>
          <w:p w14:paraId="106CB4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40" w:type="pct"/>
            <w:vMerge w:val="continue"/>
          </w:tcPr>
          <w:p w14:paraId="075856E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7C14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114D825D">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3</w:t>
            </w:r>
          </w:p>
        </w:tc>
        <w:tc>
          <w:tcPr>
            <w:tcW w:w="3486" w:type="dxa"/>
            <w:shd w:val="clear" w:color="auto" w:fill="auto"/>
            <w:vAlign w:val="center"/>
          </w:tcPr>
          <w:p w14:paraId="134EA135">
            <w:pPr>
              <w:keepNext w:val="0"/>
              <w:keepLines w:val="0"/>
              <w:widowControl/>
              <w:suppressLineNumbers w:val="0"/>
              <w:shd w:val="clear" w:color="auto"/>
              <w:spacing w:before="0" w:beforeAutospacing="0" w:after="0" w:afterAutospacing="0" w:line="540" w:lineRule="exact"/>
              <w:ind w:left="0" w:right="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除雪</w:t>
            </w:r>
            <w:r>
              <w:rPr>
                <w:rFonts w:hint="eastAsia" w:ascii="宋体" w:hAnsi="宋体" w:cs="宋体"/>
                <w:color w:val="auto"/>
                <w:sz w:val="24"/>
                <w:szCs w:val="24"/>
                <w:highlight w:val="none"/>
                <w:lang w:val="en-US" w:eastAsia="zh-CN"/>
              </w:rPr>
              <w:t>车</w:t>
            </w:r>
          </w:p>
          <w:p w14:paraId="0B615E21">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rPr>
              <w:t>雪铲、滚刷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装载机等）</w:t>
            </w:r>
          </w:p>
        </w:tc>
        <w:tc>
          <w:tcPr>
            <w:tcW w:w="1008" w:type="dxa"/>
            <w:shd w:val="clear" w:color="auto" w:fill="auto"/>
            <w:vAlign w:val="center"/>
          </w:tcPr>
          <w:p w14:paraId="5DD43F9F">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rPr>
            </w:pPr>
            <w:r>
              <w:rPr>
                <w:rFonts w:hint="eastAsia" w:ascii="宋体" w:hAnsi="宋体" w:cs="宋体"/>
                <w:color w:val="auto"/>
                <w:sz w:val="24"/>
                <w:szCs w:val="24"/>
                <w:highlight w:val="none"/>
                <w:lang w:val="en-US" w:eastAsia="zh-CN"/>
              </w:rPr>
              <w:t>1套</w:t>
            </w:r>
          </w:p>
        </w:tc>
        <w:tc>
          <w:tcPr>
            <w:tcW w:w="812" w:type="pct"/>
            <w:shd w:val="clear" w:color="auto" w:fill="auto"/>
            <w:vAlign w:val="center"/>
          </w:tcPr>
          <w:p w14:paraId="4354BA6E">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40" w:type="pct"/>
            <w:vMerge w:val="restart"/>
            <w:vAlign w:val="center"/>
          </w:tcPr>
          <w:p w14:paraId="5D8C798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2"/>
                <w:sz w:val="24"/>
                <w:szCs w:val="24"/>
                <w:highlight w:val="none"/>
                <w:lang w:val="en-US" w:eastAsia="zh-CN"/>
              </w:rPr>
            </w:pPr>
            <w:r>
              <w:rPr>
                <w:rFonts w:hint="eastAsia" w:ascii="宋体" w:hAnsi="宋体"/>
                <w:b/>
                <w:bCs w:val="0"/>
                <w:color w:val="auto"/>
                <w:kern w:val="2"/>
                <w:sz w:val="24"/>
                <w:szCs w:val="24"/>
                <w:highlight w:val="none"/>
                <w:lang w:val="en-US" w:eastAsia="zh-CN"/>
              </w:rPr>
              <w:t>采购人需要时提供作业设备</w:t>
            </w:r>
          </w:p>
        </w:tc>
      </w:tr>
      <w:tr w14:paraId="289B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19A8EF2D">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w:t>
            </w:r>
          </w:p>
        </w:tc>
        <w:tc>
          <w:tcPr>
            <w:tcW w:w="1902" w:type="pct"/>
            <w:shd w:val="clear" w:color="auto" w:fill="auto"/>
            <w:vAlign w:val="center"/>
          </w:tcPr>
          <w:p w14:paraId="01AAF590">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sz w:val="24"/>
                <w:szCs w:val="24"/>
                <w:highlight w:val="none"/>
                <w:lang w:val="en-US" w:eastAsia="zh-CN"/>
              </w:rPr>
              <w:t>融雪撒布机</w:t>
            </w:r>
          </w:p>
        </w:tc>
        <w:tc>
          <w:tcPr>
            <w:tcW w:w="550" w:type="pct"/>
            <w:shd w:val="clear" w:color="auto" w:fill="auto"/>
            <w:vAlign w:val="center"/>
          </w:tcPr>
          <w:p w14:paraId="607A5EF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1部</w:t>
            </w:r>
          </w:p>
        </w:tc>
        <w:tc>
          <w:tcPr>
            <w:tcW w:w="812" w:type="pct"/>
            <w:shd w:val="clear" w:color="auto" w:fill="auto"/>
            <w:vAlign w:val="center"/>
          </w:tcPr>
          <w:p w14:paraId="4D071180">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40" w:type="pct"/>
            <w:vMerge w:val="continue"/>
          </w:tcPr>
          <w:p w14:paraId="45BE49F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59C9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5" w:type="pct"/>
            <w:shd w:val="clear" w:color="auto" w:fill="auto"/>
            <w:vAlign w:val="center"/>
          </w:tcPr>
          <w:p w14:paraId="22EDD7FD">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5</w:t>
            </w:r>
          </w:p>
        </w:tc>
        <w:tc>
          <w:tcPr>
            <w:tcW w:w="1902" w:type="pct"/>
            <w:shd w:val="clear" w:color="auto" w:fill="auto"/>
            <w:vAlign w:val="center"/>
          </w:tcPr>
          <w:p w14:paraId="3CB2012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小型高压冲洗车</w:t>
            </w:r>
          </w:p>
        </w:tc>
        <w:tc>
          <w:tcPr>
            <w:tcW w:w="550" w:type="pct"/>
            <w:shd w:val="clear" w:color="auto" w:fill="auto"/>
            <w:vAlign w:val="center"/>
          </w:tcPr>
          <w:p w14:paraId="183E299A">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2</w:t>
            </w:r>
            <w:r>
              <w:rPr>
                <w:rFonts w:hint="eastAsia" w:ascii="宋体" w:hAnsi="宋体" w:cs="宋体"/>
                <w:color w:val="auto"/>
                <w:kern w:val="2"/>
                <w:sz w:val="24"/>
                <w:szCs w:val="24"/>
                <w:highlight w:val="none"/>
              </w:rPr>
              <w:t>辆</w:t>
            </w:r>
          </w:p>
        </w:tc>
        <w:tc>
          <w:tcPr>
            <w:tcW w:w="812" w:type="pct"/>
            <w:shd w:val="clear" w:color="auto" w:fill="auto"/>
            <w:vAlign w:val="center"/>
          </w:tcPr>
          <w:p w14:paraId="3C2571B8">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2名</w:t>
            </w:r>
          </w:p>
        </w:tc>
        <w:tc>
          <w:tcPr>
            <w:tcW w:w="1340" w:type="pct"/>
          </w:tcPr>
          <w:p w14:paraId="53E447C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5299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5" w:type="pct"/>
            <w:shd w:val="clear" w:color="auto" w:fill="auto"/>
            <w:vAlign w:val="center"/>
          </w:tcPr>
          <w:p w14:paraId="064EABD0">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w:t>
            </w:r>
          </w:p>
        </w:tc>
        <w:tc>
          <w:tcPr>
            <w:tcW w:w="1902" w:type="pct"/>
            <w:shd w:val="clear" w:color="auto" w:fill="auto"/>
            <w:vAlign w:val="center"/>
          </w:tcPr>
          <w:p w14:paraId="66460BC6">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rPr>
              <w:t>新能源小型慢车道清扫车</w:t>
            </w:r>
          </w:p>
        </w:tc>
        <w:tc>
          <w:tcPr>
            <w:tcW w:w="550" w:type="pct"/>
            <w:shd w:val="clear" w:color="auto" w:fill="auto"/>
            <w:vAlign w:val="center"/>
          </w:tcPr>
          <w:p w14:paraId="20CD720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3辆</w:t>
            </w:r>
          </w:p>
        </w:tc>
        <w:tc>
          <w:tcPr>
            <w:tcW w:w="812" w:type="pct"/>
            <w:shd w:val="clear" w:color="auto" w:fill="auto"/>
            <w:vAlign w:val="center"/>
          </w:tcPr>
          <w:p w14:paraId="1D69576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3名</w:t>
            </w:r>
          </w:p>
        </w:tc>
        <w:tc>
          <w:tcPr>
            <w:tcW w:w="1340" w:type="pct"/>
          </w:tcPr>
          <w:p w14:paraId="3FCF8EB9">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p>
        </w:tc>
      </w:tr>
    </w:tbl>
    <w:p w14:paraId="551BEB55">
      <w:pPr>
        <w:shd w:val="clear"/>
        <w:spacing w:before="120" w:after="120" w:line="360" w:lineRule="auto"/>
        <w:ind w:firstLine="241"/>
        <w:rPr>
          <w:rFonts w:ascii="宋体" w:hAnsi="宋体"/>
          <w:b/>
          <w:bCs/>
          <w:iCs/>
          <w:color w:val="auto"/>
          <w:sz w:val="24"/>
          <w:szCs w:val="24"/>
          <w:highlight w:val="none"/>
        </w:rPr>
      </w:pPr>
      <w:r>
        <w:rPr>
          <w:rFonts w:hint="eastAsia" w:ascii="宋体" w:hAnsi="宋体"/>
          <w:b/>
          <w:bCs/>
          <w:iCs/>
          <w:color w:val="auto"/>
          <w:sz w:val="24"/>
          <w:szCs w:val="24"/>
          <w:highlight w:val="none"/>
        </w:rPr>
        <w:t>注：以上有关车辆重型、中型、</w:t>
      </w:r>
      <w:r>
        <w:rPr>
          <w:rFonts w:hint="eastAsia" w:ascii="宋体" w:hAnsi="宋体"/>
          <w:b/>
          <w:bCs/>
          <w:iCs/>
          <w:color w:val="auto"/>
          <w:sz w:val="24"/>
          <w:szCs w:val="24"/>
          <w:highlight w:val="none"/>
          <w:lang w:val="en-US" w:eastAsia="zh-CN"/>
        </w:rPr>
        <w:t>小</w:t>
      </w:r>
      <w:r>
        <w:rPr>
          <w:rFonts w:hint="eastAsia" w:ascii="宋体" w:hAnsi="宋体"/>
          <w:b/>
          <w:bCs/>
          <w:iCs/>
          <w:color w:val="auto"/>
          <w:sz w:val="24"/>
          <w:szCs w:val="24"/>
          <w:highlight w:val="none"/>
        </w:rPr>
        <w:t>型等划分，以车辆行驶证上标明的车辆类型为准。</w:t>
      </w:r>
    </w:p>
    <w:p w14:paraId="48872E2B">
      <w:pPr>
        <w:shd w:val="clear"/>
        <w:spacing w:before="120" w:after="120" w:line="360" w:lineRule="auto"/>
        <w:ind w:firstLine="482"/>
        <w:rPr>
          <w:rFonts w:hint="default" w:ascii="宋体" w:hAnsi="宋体"/>
          <w:b/>
          <w:bCs/>
          <w:iCs/>
          <w:color w:val="auto"/>
          <w:sz w:val="24"/>
          <w:szCs w:val="24"/>
          <w:highlight w:val="none"/>
          <w:shd w:val="clear" w:fill="FBD4B4" w:themeFill="accent6" w:themeFillTint="66"/>
          <w:lang w:val="en-US" w:eastAsia="zh-CN"/>
        </w:rPr>
      </w:pP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lang w:val="en-US" w:eastAsia="zh-CN"/>
        </w:rPr>
        <w:t>2</w:t>
      </w: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shd w:val="clear"/>
          <w:lang w:val="en-US" w:eastAsia="zh-CN"/>
        </w:rPr>
        <w:t>重点区域降尘作业</w:t>
      </w:r>
      <w:r>
        <w:rPr>
          <w:rFonts w:hint="eastAsia" w:ascii="宋体" w:hAnsi="宋体"/>
          <w:b/>
          <w:bCs/>
          <w:iCs/>
          <w:color w:val="FF0000"/>
          <w:sz w:val="24"/>
          <w:szCs w:val="24"/>
          <w:highlight w:val="none"/>
          <w:shd w:val="clear"/>
          <w:lang w:val="en-US" w:eastAsia="zh-CN"/>
        </w:rPr>
        <w:t>（按需实施，费用按实结算）</w:t>
      </w:r>
    </w:p>
    <w:tbl>
      <w:tblPr>
        <w:tblStyle w:val="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3470"/>
        <w:gridCol w:w="1019"/>
        <w:gridCol w:w="1500"/>
        <w:gridCol w:w="2444"/>
      </w:tblGrid>
      <w:tr w14:paraId="773B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8" w:type="pct"/>
            <w:shd w:val="clear" w:color="auto" w:fill="auto"/>
            <w:vAlign w:val="center"/>
          </w:tcPr>
          <w:p w14:paraId="578891F2">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序号</w:t>
            </w:r>
          </w:p>
        </w:tc>
        <w:tc>
          <w:tcPr>
            <w:tcW w:w="1893" w:type="pct"/>
            <w:shd w:val="clear" w:color="auto" w:fill="auto"/>
            <w:vAlign w:val="center"/>
          </w:tcPr>
          <w:p w14:paraId="0C6660E0">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车辆名称</w:t>
            </w:r>
          </w:p>
        </w:tc>
        <w:tc>
          <w:tcPr>
            <w:tcW w:w="556" w:type="pct"/>
            <w:shd w:val="clear" w:color="auto" w:fill="auto"/>
            <w:vAlign w:val="center"/>
          </w:tcPr>
          <w:p w14:paraId="3E1569AE">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数量</w:t>
            </w:r>
          </w:p>
        </w:tc>
        <w:tc>
          <w:tcPr>
            <w:tcW w:w="818" w:type="pct"/>
            <w:shd w:val="clear" w:color="auto" w:fill="auto"/>
          </w:tcPr>
          <w:p w14:paraId="693A8327">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驾驶员</w:t>
            </w:r>
          </w:p>
        </w:tc>
        <w:tc>
          <w:tcPr>
            <w:tcW w:w="1333" w:type="pct"/>
          </w:tcPr>
          <w:p w14:paraId="1A93953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0726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398" w:type="pct"/>
            <w:shd w:val="clear" w:color="auto" w:fill="auto"/>
            <w:vAlign w:val="center"/>
          </w:tcPr>
          <w:p w14:paraId="637A0106">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w:t>
            </w:r>
          </w:p>
        </w:tc>
        <w:tc>
          <w:tcPr>
            <w:tcW w:w="1893" w:type="pct"/>
            <w:shd w:val="clear" w:color="auto" w:fill="auto"/>
            <w:vAlign w:val="center"/>
          </w:tcPr>
          <w:p w14:paraId="33D86D38">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新能源</w:t>
            </w:r>
            <w:r>
              <w:rPr>
                <w:rFonts w:hint="eastAsia" w:ascii="宋体" w:hAnsi="宋体"/>
                <w:color w:val="auto"/>
                <w:kern w:val="2"/>
                <w:sz w:val="24"/>
                <w:szCs w:val="24"/>
                <w:highlight w:val="none"/>
                <w:lang w:val="zh-CN"/>
              </w:rPr>
              <w:t>重型</w:t>
            </w:r>
            <w:r>
              <w:rPr>
                <w:rFonts w:hint="eastAsia" w:ascii="宋体" w:hAnsi="宋体" w:cs="宋体"/>
                <w:color w:val="auto"/>
                <w:kern w:val="2"/>
                <w:sz w:val="24"/>
                <w:szCs w:val="24"/>
                <w:highlight w:val="none"/>
              </w:rPr>
              <w:t>洒水车</w:t>
            </w:r>
          </w:p>
        </w:tc>
        <w:tc>
          <w:tcPr>
            <w:tcW w:w="556" w:type="pct"/>
            <w:shd w:val="clear" w:color="auto" w:fill="auto"/>
            <w:vAlign w:val="center"/>
          </w:tcPr>
          <w:p w14:paraId="5E55933D">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18" w:type="pct"/>
            <w:shd w:val="clear" w:color="auto" w:fill="auto"/>
            <w:vAlign w:val="center"/>
          </w:tcPr>
          <w:p w14:paraId="4CCD7EF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restart"/>
            <w:vAlign w:val="center"/>
          </w:tcPr>
          <w:p w14:paraId="57207003">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360" w:lineRule="auto"/>
              <w:ind w:left="0" w:right="0"/>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rPr>
              <w:t>安装定位及视频监控等装置，与</w:t>
            </w:r>
            <w:r>
              <w:rPr>
                <w:rFonts w:hint="eastAsia" w:ascii="宋体" w:hAnsi="宋体" w:cs="宋体"/>
                <w:color w:val="auto"/>
                <w:kern w:val="2"/>
                <w:sz w:val="24"/>
                <w:szCs w:val="24"/>
                <w:highlight w:val="none"/>
                <w:lang w:val="en-US" w:eastAsia="zh-CN"/>
              </w:rPr>
              <w:t>区级</w:t>
            </w:r>
            <w:r>
              <w:rPr>
                <w:rFonts w:hint="eastAsia" w:ascii="宋体" w:hAnsi="宋体" w:cs="宋体"/>
                <w:color w:val="auto"/>
                <w:kern w:val="2"/>
                <w:sz w:val="24"/>
                <w:szCs w:val="24"/>
                <w:highlight w:val="none"/>
              </w:rPr>
              <w:t>管理部门监管系统联网</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shd w:val="clear"/>
                <w:lang w:val="en-US" w:eastAsia="zh-CN"/>
              </w:rPr>
              <w:t>深度保洁车作业范围为全镇区一二级主次干道，每周完成1次全覆盖作业。</w:t>
            </w:r>
          </w:p>
        </w:tc>
      </w:tr>
      <w:tr w14:paraId="05EE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8" w:type="pct"/>
            <w:shd w:val="clear" w:color="auto" w:fill="auto"/>
            <w:vAlign w:val="center"/>
          </w:tcPr>
          <w:p w14:paraId="241E13BE">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w:t>
            </w:r>
          </w:p>
        </w:tc>
        <w:tc>
          <w:tcPr>
            <w:tcW w:w="1893" w:type="pct"/>
            <w:shd w:val="clear" w:color="auto" w:fill="auto"/>
            <w:vAlign w:val="center"/>
          </w:tcPr>
          <w:p w14:paraId="7766830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深度保洁车</w:t>
            </w:r>
          </w:p>
        </w:tc>
        <w:tc>
          <w:tcPr>
            <w:tcW w:w="556" w:type="pct"/>
            <w:shd w:val="clear" w:color="auto" w:fill="auto"/>
            <w:vAlign w:val="center"/>
          </w:tcPr>
          <w:p w14:paraId="35EB0673">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1辆</w:t>
            </w:r>
          </w:p>
        </w:tc>
        <w:tc>
          <w:tcPr>
            <w:tcW w:w="818" w:type="pct"/>
            <w:shd w:val="clear" w:color="auto" w:fill="auto"/>
          </w:tcPr>
          <w:p w14:paraId="6CC87B03">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continue"/>
          </w:tcPr>
          <w:p w14:paraId="2A9031C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700E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8" w:type="pct"/>
            <w:shd w:val="clear" w:color="auto" w:fill="auto"/>
            <w:vAlign w:val="center"/>
          </w:tcPr>
          <w:p w14:paraId="5F9D081C">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w:t>
            </w:r>
          </w:p>
        </w:tc>
        <w:tc>
          <w:tcPr>
            <w:tcW w:w="1893" w:type="pct"/>
            <w:shd w:val="clear" w:color="auto" w:fill="auto"/>
            <w:vAlign w:val="center"/>
          </w:tcPr>
          <w:p w14:paraId="3A6F7BA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新能源重型雾炮车（降尘车）</w:t>
            </w:r>
          </w:p>
        </w:tc>
        <w:tc>
          <w:tcPr>
            <w:tcW w:w="556" w:type="pct"/>
            <w:shd w:val="clear" w:color="auto" w:fill="auto"/>
            <w:vAlign w:val="center"/>
          </w:tcPr>
          <w:p w14:paraId="6931399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2</w:t>
            </w:r>
            <w:r>
              <w:rPr>
                <w:rFonts w:hint="eastAsia" w:ascii="宋体" w:hAnsi="宋体" w:cs="宋体"/>
                <w:color w:val="auto"/>
                <w:kern w:val="2"/>
                <w:sz w:val="24"/>
                <w:szCs w:val="24"/>
                <w:highlight w:val="none"/>
              </w:rPr>
              <w:t>辆</w:t>
            </w:r>
          </w:p>
        </w:tc>
        <w:tc>
          <w:tcPr>
            <w:tcW w:w="818" w:type="pct"/>
            <w:shd w:val="clear" w:color="auto" w:fill="auto"/>
          </w:tcPr>
          <w:p w14:paraId="2D4C7878">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4名</w:t>
            </w:r>
          </w:p>
        </w:tc>
        <w:tc>
          <w:tcPr>
            <w:tcW w:w="1333" w:type="pct"/>
            <w:vMerge w:val="continue"/>
          </w:tcPr>
          <w:p w14:paraId="6893EF7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31DD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8" w:type="pct"/>
            <w:shd w:val="clear" w:color="auto" w:fill="auto"/>
            <w:vAlign w:val="center"/>
          </w:tcPr>
          <w:p w14:paraId="2D75F074">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w:t>
            </w:r>
          </w:p>
        </w:tc>
        <w:tc>
          <w:tcPr>
            <w:tcW w:w="1893" w:type="pct"/>
            <w:shd w:val="clear" w:color="auto" w:fill="auto"/>
            <w:vAlign w:val="center"/>
          </w:tcPr>
          <w:p w14:paraId="491B4CA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重型雾炮车（降尘车）</w:t>
            </w:r>
          </w:p>
        </w:tc>
        <w:tc>
          <w:tcPr>
            <w:tcW w:w="556" w:type="pct"/>
            <w:shd w:val="clear" w:color="auto" w:fill="auto"/>
            <w:vAlign w:val="center"/>
          </w:tcPr>
          <w:p w14:paraId="4CBCBFAE">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1辆</w:t>
            </w:r>
          </w:p>
        </w:tc>
        <w:tc>
          <w:tcPr>
            <w:tcW w:w="818" w:type="pct"/>
            <w:shd w:val="clear" w:color="auto" w:fill="auto"/>
            <w:vAlign w:val="center"/>
          </w:tcPr>
          <w:p w14:paraId="05FCEAA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2名</w:t>
            </w:r>
          </w:p>
        </w:tc>
        <w:tc>
          <w:tcPr>
            <w:tcW w:w="1333" w:type="pct"/>
            <w:vMerge w:val="continue"/>
          </w:tcPr>
          <w:p w14:paraId="0B6040E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bl>
    <w:p w14:paraId="37A1EC7B">
      <w:pPr>
        <w:keepNext w:val="0"/>
        <w:keepLines w:val="0"/>
        <w:pageBreakBefore w:val="0"/>
        <w:widowControl w:val="0"/>
        <w:shd w:val="clear"/>
        <w:kinsoku/>
        <w:wordWrap/>
        <w:overflowPunct/>
        <w:topLinePunct w:val="0"/>
        <w:autoSpaceDE/>
        <w:autoSpaceDN/>
        <w:bidi w:val="0"/>
        <w:adjustRightInd/>
        <w:snapToGrid/>
        <w:spacing w:before="73" w:beforeLines="20" w:line="360" w:lineRule="auto"/>
        <w:ind w:firstLine="244"/>
        <w:textAlignment w:val="auto"/>
        <w:rPr>
          <w:rFonts w:hint="eastAsia" w:ascii="宋体" w:hAnsi="宋体"/>
          <w:b/>
          <w:bCs/>
          <w:iCs/>
          <w:color w:val="auto"/>
          <w:sz w:val="24"/>
          <w:szCs w:val="24"/>
          <w:highlight w:val="none"/>
        </w:rPr>
      </w:pPr>
      <w:r>
        <w:rPr>
          <w:rFonts w:hint="eastAsia" w:ascii="宋体" w:hAnsi="宋体"/>
          <w:b/>
          <w:bCs/>
          <w:iCs/>
          <w:color w:val="auto"/>
          <w:sz w:val="24"/>
          <w:szCs w:val="24"/>
          <w:highlight w:val="none"/>
        </w:rPr>
        <w:t>注：以上有关车辆重型、中型、</w:t>
      </w:r>
      <w:r>
        <w:rPr>
          <w:rFonts w:hint="eastAsia" w:ascii="宋体" w:hAnsi="宋体"/>
          <w:b/>
          <w:bCs/>
          <w:iCs/>
          <w:color w:val="auto"/>
          <w:sz w:val="24"/>
          <w:szCs w:val="24"/>
          <w:highlight w:val="none"/>
          <w:lang w:val="en-US" w:eastAsia="zh-CN"/>
        </w:rPr>
        <w:t>小</w:t>
      </w:r>
      <w:r>
        <w:rPr>
          <w:rFonts w:hint="eastAsia" w:ascii="宋体" w:hAnsi="宋体"/>
          <w:b/>
          <w:bCs/>
          <w:iCs/>
          <w:color w:val="auto"/>
          <w:sz w:val="24"/>
          <w:szCs w:val="24"/>
          <w:highlight w:val="none"/>
        </w:rPr>
        <w:t>型等划分，以车辆行驶证上标明的车辆类型为准。</w:t>
      </w:r>
    </w:p>
    <w:p w14:paraId="156754EE">
      <w:pPr>
        <w:shd w:val="clear"/>
        <w:spacing w:before="120" w:after="120" w:line="360" w:lineRule="auto"/>
        <w:ind w:firstLine="482"/>
        <w:rPr>
          <w:rFonts w:ascii="宋体" w:hAnsi="宋体"/>
          <w:b/>
          <w:bCs/>
          <w:iCs/>
          <w:color w:val="auto"/>
          <w:sz w:val="24"/>
          <w:szCs w:val="24"/>
          <w:highlight w:val="none"/>
        </w:rPr>
      </w:pPr>
      <w:r>
        <w:rPr>
          <w:rFonts w:hint="eastAsia" w:ascii="宋体" w:hAnsi="宋体"/>
          <w:b/>
          <w:bCs/>
          <w:iCs/>
          <w:color w:val="auto"/>
          <w:sz w:val="24"/>
          <w:szCs w:val="24"/>
          <w:highlight w:val="none"/>
        </w:rPr>
        <w:t>分包</w:t>
      </w:r>
      <w:r>
        <w:rPr>
          <w:rFonts w:hint="eastAsia" w:ascii="宋体" w:hAnsi="宋体"/>
          <w:b/>
          <w:bCs/>
          <w:iCs/>
          <w:color w:val="auto"/>
          <w:sz w:val="24"/>
          <w:szCs w:val="24"/>
          <w:highlight w:val="none"/>
          <w:lang w:val="en-US" w:eastAsia="zh-CN"/>
        </w:rPr>
        <w:t>2</w:t>
      </w:r>
      <w:r>
        <w:rPr>
          <w:rFonts w:hint="eastAsia" w:ascii="宋体" w:hAnsi="宋体"/>
          <w:b/>
          <w:bCs/>
          <w:iCs/>
          <w:color w:val="auto"/>
          <w:sz w:val="24"/>
          <w:szCs w:val="24"/>
          <w:highlight w:val="none"/>
        </w:rPr>
        <w:t xml:space="preserve">：东北部片区 </w:t>
      </w:r>
    </w:p>
    <w:p w14:paraId="1DF1A8F1">
      <w:pPr>
        <w:shd w:val="clear"/>
        <w:spacing w:line="360" w:lineRule="auto"/>
        <w:jc w:val="center"/>
        <w:rPr>
          <w:rFonts w:ascii="宋体" w:hAnsi="宋体"/>
          <w:b/>
          <w:bCs/>
          <w:iCs/>
          <w:color w:val="auto"/>
          <w:sz w:val="24"/>
          <w:szCs w:val="24"/>
          <w:highlight w:val="none"/>
        </w:rPr>
      </w:pPr>
      <w:r>
        <w:rPr>
          <w:rFonts w:ascii="宋体" w:hAnsi="宋体"/>
          <w:b/>
          <w:bCs/>
          <w:iCs/>
          <w:color w:val="auto"/>
          <w:sz w:val="24"/>
          <w:szCs w:val="24"/>
          <w:highlight w:val="none"/>
        </w:rPr>
        <w:t>车辆配置表</w:t>
      </w:r>
    </w:p>
    <w:tbl>
      <w:tblPr>
        <w:tblStyle w:val="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3463"/>
        <w:gridCol w:w="1032"/>
        <w:gridCol w:w="1500"/>
        <w:gridCol w:w="2444"/>
      </w:tblGrid>
      <w:tr w14:paraId="0EDD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5" w:type="pct"/>
            <w:shd w:val="clear" w:color="auto" w:fill="auto"/>
            <w:vAlign w:val="center"/>
          </w:tcPr>
          <w:p w14:paraId="562C885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序号</w:t>
            </w:r>
          </w:p>
        </w:tc>
        <w:tc>
          <w:tcPr>
            <w:tcW w:w="1889" w:type="pct"/>
            <w:shd w:val="clear" w:color="auto" w:fill="auto"/>
            <w:vAlign w:val="center"/>
          </w:tcPr>
          <w:p w14:paraId="6E263720">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车辆名称</w:t>
            </w:r>
          </w:p>
        </w:tc>
        <w:tc>
          <w:tcPr>
            <w:tcW w:w="563" w:type="pct"/>
            <w:shd w:val="clear" w:color="auto" w:fill="auto"/>
            <w:vAlign w:val="center"/>
          </w:tcPr>
          <w:p w14:paraId="1675524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数量</w:t>
            </w:r>
          </w:p>
        </w:tc>
        <w:tc>
          <w:tcPr>
            <w:tcW w:w="818" w:type="pct"/>
            <w:shd w:val="clear" w:color="auto" w:fill="auto"/>
            <w:vAlign w:val="center"/>
          </w:tcPr>
          <w:p w14:paraId="1AB01927">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驾驶员</w:t>
            </w:r>
          </w:p>
        </w:tc>
        <w:tc>
          <w:tcPr>
            <w:tcW w:w="1333" w:type="pct"/>
          </w:tcPr>
          <w:p w14:paraId="24B568A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4E97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35238A0F">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1</w:t>
            </w:r>
          </w:p>
        </w:tc>
        <w:tc>
          <w:tcPr>
            <w:tcW w:w="1889" w:type="pct"/>
            <w:shd w:val="clear" w:color="auto" w:fill="auto"/>
            <w:vAlign w:val="center"/>
          </w:tcPr>
          <w:p w14:paraId="131C717D">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新能源</w:t>
            </w:r>
            <w:r>
              <w:rPr>
                <w:rFonts w:hint="default" w:ascii="宋体" w:hAnsi="宋体" w:cs="宋体"/>
                <w:color w:val="auto"/>
                <w:kern w:val="2"/>
                <w:sz w:val="24"/>
                <w:szCs w:val="24"/>
                <w:highlight w:val="none"/>
              </w:rPr>
              <w:t>重型洗扫车</w:t>
            </w:r>
          </w:p>
        </w:tc>
        <w:tc>
          <w:tcPr>
            <w:tcW w:w="563" w:type="pct"/>
            <w:shd w:val="clear" w:color="auto" w:fill="auto"/>
            <w:vAlign w:val="center"/>
          </w:tcPr>
          <w:p w14:paraId="5DA7AF8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18" w:type="pct"/>
            <w:shd w:val="clear" w:color="auto" w:fill="auto"/>
            <w:vAlign w:val="center"/>
          </w:tcPr>
          <w:p w14:paraId="7F761F6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restart"/>
            <w:vAlign w:val="center"/>
          </w:tcPr>
          <w:p w14:paraId="398E37F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安装定位及视频监控等装置，与</w:t>
            </w:r>
            <w:r>
              <w:rPr>
                <w:rFonts w:hint="eastAsia" w:ascii="宋体" w:hAnsi="宋体" w:cs="宋体"/>
                <w:color w:val="auto"/>
                <w:kern w:val="2"/>
                <w:sz w:val="24"/>
                <w:szCs w:val="24"/>
                <w:highlight w:val="none"/>
                <w:lang w:val="en-US" w:eastAsia="zh-CN"/>
              </w:rPr>
              <w:t>区级</w:t>
            </w:r>
            <w:r>
              <w:rPr>
                <w:rFonts w:hint="eastAsia" w:ascii="宋体" w:hAnsi="宋体" w:cs="宋体"/>
                <w:color w:val="auto"/>
                <w:kern w:val="2"/>
                <w:sz w:val="24"/>
                <w:szCs w:val="24"/>
                <w:highlight w:val="none"/>
              </w:rPr>
              <w:t>管理部门监管系统联网</w:t>
            </w:r>
          </w:p>
        </w:tc>
      </w:tr>
      <w:tr w14:paraId="68BC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5668C1E5">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2</w:t>
            </w:r>
          </w:p>
        </w:tc>
        <w:tc>
          <w:tcPr>
            <w:tcW w:w="1889" w:type="pct"/>
            <w:shd w:val="clear" w:color="auto" w:fill="auto"/>
            <w:vAlign w:val="center"/>
          </w:tcPr>
          <w:p w14:paraId="671854F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新能源重型雾炮车（降尘车）</w:t>
            </w:r>
          </w:p>
        </w:tc>
        <w:tc>
          <w:tcPr>
            <w:tcW w:w="563" w:type="pct"/>
            <w:shd w:val="clear" w:color="auto" w:fill="auto"/>
            <w:vAlign w:val="center"/>
          </w:tcPr>
          <w:p w14:paraId="58C06F52">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1辆</w:t>
            </w:r>
          </w:p>
        </w:tc>
        <w:tc>
          <w:tcPr>
            <w:tcW w:w="818" w:type="pct"/>
            <w:shd w:val="clear" w:color="auto" w:fill="auto"/>
            <w:vAlign w:val="center"/>
          </w:tcPr>
          <w:p w14:paraId="7C35F1DA">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continue"/>
          </w:tcPr>
          <w:p w14:paraId="0AABFF2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2"/>
                <w:sz w:val="24"/>
                <w:szCs w:val="24"/>
                <w:highlight w:val="none"/>
              </w:rPr>
            </w:pPr>
          </w:p>
        </w:tc>
      </w:tr>
      <w:tr w14:paraId="02674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5" w:type="pct"/>
            <w:shd w:val="clear" w:color="auto" w:fill="auto"/>
            <w:vAlign w:val="center"/>
          </w:tcPr>
          <w:p w14:paraId="481E4A5F">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3</w:t>
            </w:r>
          </w:p>
        </w:tc>
        <w:tc>
          <w:tcPr>
            <w:tcW w:w="1889" w:type="pct"/>
            <w:shd w:val="clear" w:color="auto" w:fill="auto"/>
            <w:vAlign w:val="center"/>
          </w:tcPr>
          <w:p w14:paraId="7B4F14E0">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新能源</w:t>
            </w:r>
            <w:r>
              <w:rPr>
                <w:rFonts w:hint="eastAsia" w:ascii="宋体" w:hAnsi="宋体" w:cs="宋体"/>
                <w:color w:val="auto"/>
                <w:kern w:val="2"/>
                <w:sz w:val="24"/>
                <w:szCs w:val="24"/>
                <w:highlight w:val="none"/>
              </w:rPr>
              <w:t>中型洒水车</w:t>
            </w:r>
          </w:p>
        </w:tc>
        <w:tc>
          <w:tcPr>
            <w:tcW w:w="563" w:type="pct"/>
            <w:shd w:val="clear" w:color="auto" w:fill="auto"/>
            <w:vAlign w:val="center"/>
          </w:tcPr>
          <w:p w14:paraId="19F92802">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1辆</w:t>
            </w:r>
          </w:p>
        </w:tc>
        <w:tc>
          <w:tcPr>
            <w:tcW w:w="818" w:type="pct"/>
            <w:shd w:val="clear" w:color="auto" w:fill="auto"/>
            <w:vAlign w:val="center"/>
          </w:tcPr>
          <w:p w14:paraId="0D994FF2">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continue"/>
          </w:tcPr>
          <w:p w14:paraId="196D800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2"/>
                <w:sz w:val="24"/>
                <w:szCs w:val="24"/>
                <w:highlight w:val="none"/>
              </w:rPr>
            </w:pPr>
          </w:p>
        </w:tc>
      </w:tr>
      <w:tr w14:paraId="204F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395" w:type="pct"/>
            <w:shd w:val="clear" w:color="auto" w:fill="auto"/>
            <w:vAlign w:val="center"/>
          </w:tcPr>
          <w:p w14:paraId="77A5FD7F">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4</w:t>
            </w:r>
          </w:p>
        </w:tc>
        <w:tc>
          <w:tcPr>
            <w:tcW w:w="1889" w:type="pct"/>
            <w:shd w:val="clear" w:color="auto" w:fill="auto"/>
            <w:vAlign w:val="center"/>
          </w:tcPr>
          <w:p w14:paraId="20BFD8B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护栏清洗车</w:t>
            </w:r>
          </w:p>
        </w:tc>
        <w:tc>
          <w:tcPr>
            <w:tcW w:w="563" w:type="pct"/>
            <w:shd w:val="clear" w:color="auto" w:fill="auto"/>
            <w:vAlign w:val="center"/>
          </w:tcPr>
          <w:p w14:paraId="0095B8E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18" w:type="pct"/>
            <w:vAlign w:val="center"/>
          </w:tcPr>
          <w:p w14:paraId="75046A35">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restart"/>
            <w:vAlign w:val="center"/>
          </w:tcPr>
          <w:p w14:paraId="7180441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b/>
                <w:bCs w:val="0"/>
                <w:color w:val="auto"/>
                <w:kern w:val="2"/>
                <w:sz w:val="24"/>
                <w:szCs w:val="24"/>
                <w:highlight w:val="none"/>
                <w:lang w:val="en-US" w:eastAsia="zh-CN"/>
              </w:rPr>
              <w:t>采购人需要时提供作业设备</w:t>
            </w:r>
          </w:p>
        </w:tc>
      </w:tr>
      <w:tr w14:paraId="5D50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3EFD3C33">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5</w:t>
            </w:r>
          </w:p>
        </w:tc>
        <w:tc>
          <w:tcPr>
            <w:tcW w:w="3463" w:type="dxa"/>
            <w:shd w:val="clear" w:color="auto" w:fill="auto"/>
            <w:vAlign w:val="center"/>
          </w:tcPr>
          <w:p w14:paraId="6E1D11EA">
            <w:pPr>
              <w:keepNext w:val="0"/>
              <w:keepLines w:val="0"/>
              <w:widowControl/>
              <w:suppressLineNumbers w:val="0"/>
              <w:shd w:val="clear" w:color="auto"/>
              <w:spacing w:before="0" w:beforeAutospacing="0" w:after="0" w:afterAutospacing="0" w:line="540" w:lineRule="exact"/>
              <w:ind w:left="0" w:right="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除雪</w:t>
            </w:r>
            <w:r>
              <w:rPr>
                <w:rFonts w:hint="eastAsia" w:ascii="宋体" w:hAnsi="宋体" w:cs="宋体"/>
                <w:color w:val="auto"/>
                <w:sz w:val="24"/>
                <w:szCs w:val="24"/>
                <w:highlight w:val="none"/>
                <w:lang w:val="en-US" w:eastAsia="zh-CN"/>
              </w:rPr>
              <w:t>车</w:t>
            </w:r>
          </w:p>
          <w:p w14:paraId="1DBF4496">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rPr>
              <w:t>雪铲、滚刷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装载机等）</w:t>
            </w:r>
          </w:p>
        </w:tc>
        <w:tc>
          <w:tcPr>
            <w:tcW w:w="1032" w:type="dxa"/>
            <w:shd w:val="clear" w:color="auto" w:fill="auto"/>
            <w:vAlign w:val="center"/>
          </w:tcPr>
          <w:p w14:paraId="381F80EA">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rPr>
            </w:pPr>
            <w:r>
              <w:rPr>
                <w:rFonts w:hint="eastAsia" w:ascii="宋体" w:hAnsi="宋体" w:cs="宋体"/>
                <w:color w:val="auto"/>
                <w:sz w:val="24"/>
                <w:szCs w:val="24"/>
                <w:highlight w:val="none"/>
                <w:lang w:val="en-US" w:eastAsia="zh-CN"/>
              </w:rPr>
              <w:t>1套</w:t>
            </w:r>
          </w:p>
        </w:tc>
        <w:tc>
          <w:tcPr>
            <w:tcW w:w="818" w:type="pct"/>
            <w:vAlign w:val="center"/>
          </w:tcPr>
          <w:p w14:paraId="66938586">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continue"/>
          </w:tcPr>
          <w:p w14:paraId="426CB8CA">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r>
      <w:tr w14:paraId="6247A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5" w:type="pct"/>
            <w:shd w:val="clear" w:color="auto" w:fill="auto"/>
            <w:vAlign w:val="center"/>
          </w:tcPr>
          <w:p w14:paraId="24F795F0">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w:t>
            </w:r>
          </w:p>
        </w:tc>
        <w:tc>
          <w:tcPr>
            <w:tcW w:w="3463" w:type="dxa"/>
            <w:shd w:val="clear" w:color="auto" w:fill="auto"/>
            <w:vAlign w:val="center"/>
          </w:tcPr>
          <w:p w14:paraId="7DE702EA">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lang w:val="en-US" w:eastAsia="zh-CN"/>
              </w:rPr>
            </w:pPr>
            <w:r>
              <w:rPr>
                <w:rFonts w:hint="eastAsia" w:ascii="宋体" w:hAnsi="宋体" w:cs="宋体"/>
                <w:color w:val="auto"/>
                <w:sz w:val="24"/>
                <w:szCs w:val="24"/>
                <w:highlight w:val="none"/>
                <w:lang w:val="en-US" w:eastAsia="zh-CN"/>
              </w:rPr>
              <w:t>融雪撒布机</w:t>
            </w:r>
          </w:p>
        </w:tc>
        <w:tc>
          <w:tcPr>
            <w:tcW w:w="1032" w:type="dxa"/>
            <w:shd w:val="clear" w:color="auto" w:fill="auto"/>
            <w:vAlign w:val="center"/>
          </w:tcPr>
          <w:p w14:paraId="5A29D604">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lang w:val="en-US" w:eastAsia="zh-CN"/>
              </w:rPr>
            </w:pPr>
            <w:r>
              <w:rPr>
                <w:rFonts w:hint="eastAsia" w:ascii="宋体" w:hAnsi="宋体" w:cs="宋体"/>
                <w:color w:val="auto"/>
                <w:sz w:val="24"/>
                <w:szCs w:val="24"/>
                <w:highlight w:val="none"/>
                <w:lang w:val="en-US" w:eastAsia="zh-CN"/>
              </w:rPr>
              <w:t>1部</w:t>
            </w:r>
          </w:p>
        </w:tc>
        <w:tc>
          <w:tcPr>
            <w:tcW w:w="818" w:type="pct"/>
            <w:vAlign w:val="center"/>
          </w:tcPr>
          <w:p w14:paraId="22F8A1AD">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33" w:type="pct"/>
            <w:vMerge w:val="continue"/>
          </w:tcPr>
          <w:p w14:paraId="1D5CF2E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610A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5" w:type="pct"/>
            <w:shd w:val="clear" w:color="auto" w:fill="auto"/>
            <w:vAlign w:val="center"/>
          </w:tcPr>
          <w:p w14:paraId="6CA46E8A">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w:t>
            </w:r>
          </w:p>
        </w:tc>
        <w:tc>
          <w:tcPr>
            <w:tcW w:w="1889" w:type="pct"/>
            <w:shd w:val="clear" w:color="auto" w:fill="auto"/>
            <w:vAlign w:val="center"/>
          </w:tcPr>
          <w:p w14:paraId="7D77ED8E">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新能源小型慢车道清扫车</w:t>
            </w:r>
          </w:p>
        </w:tc>
        <w:tc>
          <w:tcPr>
            <w:tcW w:w="563" w:type="pct"/>
            <w:shd w:val="clear" w:color="auto" w:fill="auto"/>
            <w:vAlign w:val="center"/>
          </w:tcPr>
          <w:p w14:paraId="1A474106">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3</w:t>
            </w:r>
            <w:r>
              <w:rPr>
                <w:rFonts w:hint="eastAsia" w:ascii="宋体" w:hAnsi="宋体" w:cs="宋体"/>
                <w:color w:val="auto"/>
                <w:kern w:val="2"/>
                <w:sz w:val="24"/>
                <w:szCs w:val="24"/>
                <w:highlight w:val="none"/>
              </w:rPr>
              <w:t>辆</w:t>
            </w:r>
          </w:p>
        </w:tc>
        <w:tc>
          <w:tcPr>
            <w:tcW w:w="818" w:type="pct"/>
            <w:vAlign w:val="center"/>
          </w:tcPr>
          <w:p w14:paraId="4F887A3B">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3名</w:t>
            </w:r>
          </w:p>
        </w:tc>
        <w:tc>
          <w:tcPr>
            <w:tcW w:w="1333" w:type="pct"/>
          </w:tcPr>
          <w:p w14:paraId="4E009A8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bl>
    <w:p w14:paraId="542E1B5A">
      <w:pPr>
        <w:shd w:val="clear"/>
        <w:spacing w:before="120" w:after="120" w:line="360" w:lineRule="auto"/>
        <w:ind w:firstLine="241"/>
        <w:rPr>
          <w:rFonts w:ascii="宋体" w:hAnsi="宋体"/>
          <w:b/>
          <w:bCs/>
          <w:iCs/>
          <w:color w:val="auto"/>
          <w:sz w:val="24"/>
          <w:szCs w:val="24"/>
          <w:highlight w:val="none"/>
        </w:rPr>
      </w:pPr>
      <w:r>
        <w:rPr>
          <w:rFonts w:hint="eastAsia" w:ascii="宋体" w:hAnsi="宋体"/>
          <w:b/>
          <w:bCs/>
          <w:iCs/>
          <w:color w:val="auto"/>
          <w:sz w:val="24"/>
          <w:szCs w:val="24"/>
          <w:highlight w:val="none"/>
        </w:rPr>
        <w:t>注：以上有关车辆重型、中型、</w:t>
      </w:r>
      <w:r>
        <w:rPr>
          <w:rFonts w:hint="eastAsia" w:ascii="宋体" w:hAnsi="宋体"/>
          <w:b/>
          <w:bCs/>
          <w:iCs/>
          <w:color w:val="auto"/>
          <w:sz w:val="24"/>
          <w:szCs w:val="24"/>
          <w:highlight w:val="none"/>
          <w:lang w:val="en-US" w:eastAsia="zh-CN"/>
        </w:rPr>
        <w:t>小</w:t>
      </w:r>
      <w:r>
        <w:rPr>
          <w:rFonts w:hint="eastAsia" w:ascii="宋体" w:hAnsi="宋体"/>
          <w:b/>
          <w:bCs/>
          <w:iCs/>
          <w:color w:val="auto"/>
          <w:sz w:val="24"/>
          <w:szCs w:val="24"/>
          <w:highlight w:val="none"/>
        </w:rPr>
        <w:t>型等划分，以车辆行驶证上标明的车辆类型为准。</w:t>
      </w:r>
    </w:p>
    <w:p w14:paraId="1C48ACF8">
      <w:pPr>
        <w:shd w:val="clear"/>
        <w:spacing w:before="120" w:after="120" w:line="360" w:lineRule="auto"/>
        <w:ind w:firstLine="482"/>
        <w:rPr>
          <w:rFonts w:ascii="宋体" w:hAnsi="宋体"/>
          <w:b/>
          <w:bCs/>
          <w:iCs/>
          <w:color w:val="auto"/>
          <w:sz w:val="24"/>
          <w:szCs w:val="24"/>
          <w:highlight w:val="none"/>
        </w:rPr>
      </w:pPr>
      <w:r>
        <w:rPr>
          <w:rFonts w:hint="eastAsia" w:ascii="宋体" w:hAnsi="宋体"/>
          <w:b/>
          <w:bCs/>
          <w:iCs/>
          <w:color w:val="auto"/>
          <w:sz w:val="24"/>
          <w:szCs w:val="24"/>
          <w:highlight w:val="none"/>
        </w:rPr>
        <w:t>分包</w:t>
      </w:r>
      <w:r>
        <w:rPr>
          <w:rFonts w:hint="eastAsia" w:ascii="宋体" w:hAnsi="宋体"/>
          <w:b/>
          <w:bCs/>
          <w:iCs/>
          <w:color w:val="auto"/>
          <w:sz w:val="24"/>
          <w:szCs w:val="24"/>
          <w:highlight w:val="none"/>
          <w:lang w:val="en-US" w:eastAsia="zh-CN"/>
        </w:rPr>
        <w:t>3</w:t>
      </w: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rPr>
        <w:t>东南部片区（含翟庄路）</w:t>
      </w:r>
    </w:p>
    <w:p w14:paraId="5048AC30">
      <w:pPr>
        <w:shd w:val="clear"/>
        <w:spacing w:line="360" w:lineRule="auto"/>
        <w:jc w:val="center"/>
        <w:rPr>
          <w:rFonts w:ascii="宋体" w:hAnsi="宋体"/>
          <w:b/>
          <w:bCs/>
          <w:iCs/>
          <w:color w:val="auto"/>
          <w:sz w:val="24"/>
          <w:szCs w:val="24"/>
          <w:highlight w:val="none"/>
        </w:rPr>
      </w:pPr>
      <w:r>
        <w:rPr>
          <w:rFonts w:ascii="宋体" w:hAnsi="宋体"/>
          <w:b/>
          <w:bCs/>
          <w:iCs/>
          <w:color w:val="auto"/>
          <w:sz w:val="24"/>
          <w:szCs w:val="24"/>
          <w:highlight w:val="none"/>
        </w:rPr>
        <w:t>车辆配置表</w:t>
      </w:r>
    </w:p>
    <w:tbl>
      <w:tblPr>
        <w:tblStyle w:val="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3462"/>
        <w:gridCol w:w="1030"/>
        <w:gridCol w:w="1512"/>
        <w:gridCol w:w="2432"/>
      </w:tblGrid>
      <w:tr w14:paraId="2B855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6" w:type="pct"/>
            <w:shd w:val="clear" w:color="auto" w:fill="auto"/>
            <w:vAlign w:val="center"/>
          </w:tcPr>
          <w:p w14:paraId="505C1F2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序号</w:t>
            </w:r>
          </w:p>
        </w:tc>
        <w:tc>
          <w:tcPr>
            <w:tcW w:w="1889" w:type="pct"/>
            <w:shd w:val="clear" w:color="auto" w:fill="auto"/>
            <w:vAlign w:val="center"/>
          </w:tcPr>
          <w:p w14:paraId="454F462C">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车辆名称</w:t>
            </w:r>
          </w:p>
        </w:tc>
        <w:tc>
          <w:tcPr>
            <w:tcW w:w="562" w:type="pct"/>
            <w:shd w:val="clear" w:color="auto" w:fill="auto"/>
            <w:vAlign w:val="center"/>
          </w:tcPr>
          <w:p w14:paraId="1430CBE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数量</w:t>
            </w:r>
          </w:p>
        </w:tc>
        <w:tc>
          <w:tcPr>
            <w:tcW w:w="825" w:type="pct"/>
            <w:shd w:val="clear" w:color="auto" w:fill="auto"/>
            <w:vAlign w:val="center"/>
          </w:tcPr>
          <w:p w14:paraId="7E356E10">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驾驶员</w:t>
            </w:r>
          </w:p>
        </w:tc>
        <w:tc>
          <w:tcPr>
            <w:tcW w:w="1327" w:type="pct"/>
          </w:tcPr>
          <w:p w14:paraId="778D4075">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09A2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6" w:type="pct"/>
            <w:shd w:val="clear" w:color="auto" w:fill="auto"/>
            <w:vAlign w:val="center"/>
          </w:tcPr>
          <w:p w14:paraId="23C7454D">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1</w:t>
            </w:r>
          </w:p>
        </w:tc>
        <w:tc>
          <w:tcPr>
            <w:tcW w:w="1889" w:type="pct"/>
            <w:shd w:val="clear" w:color="auto" w:fill="auto"/>
            <w:vAlign w:val="center"/>
          </w:tcPr>
          <w:p w14:paraId="18C0B5EB">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新能源</w:t>
            </w:r>
            <w:r>
              <w:rPr>
                <w:rFonts w:hint="default" w:ascii="宋体" w:hAnsi="宋体" w:cs="宋体"/>
                <w:color w:val="auto"/>
                <w:kern w:val="2"/>
                <w:sz w:val="24"/>
                <w:szCs w:val="24"/>
                <w:highlight w:val="none"/>
              </w:rPr>
              <w:t>重型洗扫车</w:t>
            </w:r>
          </w:p>
        </w:tc>
        <w:tc>
          <w:tcPr>
            <w:tcW w:w="562" w:type="pct"/>
            <w:shd w:val="clear" w:color="auto" w:fill="auto"/>
            <w:vAlign w:val="center"/>
          </w:tcPr>
          <w:p w14:paraId="5235ACED">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25" w:type="pct"/>
            <w:shd w:val="clear" w:color="auto" w:fill="auto"/>
            <w:vAlign w:val="center"/>
          </w:tcPr>
          <w:p w14:paraId="7DED9902">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restart"/>
            <w:vAlign w:val="center"/>
          </w:tcPr>
          <w:p w14:paraId="57C8D3C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安装定位及视频监控等装置，与</w:t>
            </w:r>
            <w:r>
              <w:rPr>
                <w:rFonts w:hint="eastAsia" w:ascii="宋体" w:hAnsi="宋体" w:cs="宋体"/>
                <w:color w:val="auto"/>
                <w:kern w:val="2"/>
                <w:sz w:val="24"/>
                <w:szCs w:val="24"/>
                <w:highlight w:val="none"/>
                <w:lang w:val="en-US" w:eastAsia="zh-CN"/>
              </w:rPr>
              <w:t>区级</w:t>
            </w:r>
            <w:r>
              <w:rPr>
                <w:rFonts w:hint="eastAsia" w:ascii="宋体" w:hAnsi="宋体" w:cs="宋体"/>
                <w:color w:val="auto"/>
                <w:kern w:val="2"/>
                <w:sz w:val="24"/>
                <w:szCs w:val="24"/>
                <w:highlight w:val="none"/>
              </w:rPr>
              <w:t>管理部门监管系统联网</w:t>
            </w:r>
          </w:p>
        </w:tc>
      </w:tr>
      <w:tr w14:paraId="5D3C7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6" w:type="pct"/>
            <w:shd w:val="clear" w:color="auto" w:fill="auto"/>
            <w:vAlign w:val="center"/>
          </w:tcPr>
          <w:p w14:paraId="08395EB8">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2</w:t>
            </w:r>
          </w:p>
        </w:tc>
        <w:tc>
          <w:tcPr>
            <w:tcW w:w="1889" w:type="pct"/>
            <w:shd w:val="clear" w:color="auto" w:fill="auto"/>
            <w:vAlign w:val="center"/>
          </w:tcPr>
          <w:p w14:paraId="10F92CC7">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新能源重型雾炮车（降尘车）</w:t>
            </w:r>
          </w:p>
        </w:tc>
        <w:tc>
          <w:tcPr>
            <w:tcW w:w="562" w:type="pct"/>
            <w:shd w:val="clear" w:color="auto" w:fill="auto"/>
            <w:vAlign w:val="center"/>
          </w:tcPr>
          <w:p w14:paraId="0CB38BB3">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1辆</w:t>
            </w:r>
          </w:p>
        </w:tc>
        <w:tc>
          <w:tcPr>
            <w:tcW w:w="825" w:type="pct"/>
            <w:shd w:val="clear" w:color="auto" w:fill="auto"/>
            <w:vAlign w:val="center"/>
          </w:tcPr>
          <w:p w14:paraId="09A41449">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continue"/>
          </w:tcPr>
          <w:p w14:paraId="734191D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2"/>
                <w:sz w:val="24"/>
                <w:szCs w:val="24"/>
                <w:highlight w:val="none"/>
              </w:rPr>
            </w:pPr>
          </w:p>
        </w:tc>
      </w:tr>
      <w:tr w14:paraId="60F26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6" w:type="pct"/>
            <w:shd w:val="clear" w:color="auto" w:fill="auto"/>
            <w:vAlign w:val="center"/>
          </w:tcPr>
          <w:p w14:paraId="290BBDCB">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3</w:t>
            </w:r>
          </w:p>
        </w:tc>
        <w:tc>
          <w:tcPr>
            <w:tcW w:w="1889" w:type="pct"/>
            <w:shd w:val="clear" w:color="auto" w:fill="auto"/>
            <w:vAlign w:val="center"/>
          </w:tcPr>
          <w:p w14:paraId="789109F4">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新能源</w:t>
            </w:r>
            <w:r>
              <w:rPr>
                <w:rFonts w:hint="eastAsia" w:ascii="宋体" w:hAnsi="宋体" w:cs="宋体"/>
                <w:color w:val="auto"/>
                <w:kern w:val="2"/>
                <w:sz w:val="24"/>
                <w:szCs w:val="24"/>
                <w:highlight w:val="none"/>
              </w:rPr>
              <w:t>中型洒水车</w:t>
            </w:r>
          </w:p>
        </w:tc>
        <w:tc>
          <w:tcPr>
            <w:tcW w:w="562" w:type="pct"/>
            <w:shd w:val="clear" w:color="auto" w:fill="auto"/>
            <w:vAlign w:val="center"/>
          </w:tcPr>
          <w:p w14:paraId="05C1B939">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1辆</w:t>
            </w:r>
          </w:p>
        </w:tc>
        <w:tc>
          <w:tcPr>
            <w:tcW w:w="825" w:type="pct"/>
            <w:shd w:val="clear" w:color="auto" w:fill="auto"/>
            <w:vAlign w:val="center"/>
          </w:tcPr>
          <w:p w14:paraId="204DC6D2">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continue"/>
          </w:tcPr>
          <w:p w14:paraId="6F5E166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cs="宋体"/>
                <w:color w:val="auto"/>
                <w:kern w:val="2"/>
                <w:sz w:val="24"/>
                <w:szCs w:val="24"/>
                <w:highlight w:val="none"/>
              </w:rPr>
            </w:pPr>
          </w:p>
        </w:tc>
      </w:tr>
      <w:tr w14:paraId="415E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6" w:type="pct"/>
            <w:shd w:val="clear" w:color="auto" w:fill="auto"/>
            <w:vAlign w:val="center"/>
          </w:tcPr>
          <w:p w14:paraId="663344C0">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4</w:t>
            </w:r>
          </w:p>
        </w:tc>
        <w:tc>
          <w:tcPr>
            <w:tcW w:w="1889" w:type="pct"/>
            <w:shd w:val="clear" w:color="auto" w:fill="auto"/>
            <w:vAlign w:val="center"/>
          </w:tcPr>
          <w:p w14:paraId="49B1A5E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新能源</w:t>
            </w:r>
            <w:r>
              <w:rPr>
                <w:rFonts w:hint="default" w:ascii="宋体" w:hAnsi="宋体" w:cs="宋体"/>
                <w:color w:val="auto"/>
                <w:kern w:val="2"/>
                <w:sz w:val="24"/>
                <w:szCs w:val="24"/>
                <w:highlight w:val="none"/>
              </w:rPr>
              <w:t>中</w:t>
            </w:r>
            <w:r>
              <w:rPr>
                <w:rFonts w:hint="eastAsia" w:ascii="宋体" w:hAnsi="宋体" w:cs="宋体"/>
                <w:color w:val="auto"/>
                <w:kern w:val="2"/>
                <w:sz w:val="24"/>
                <w:szCs w:val="24"/>
                <w:highlight w:val="none"/>
              </w:rPr>
              <w:t>型</w:t>
            </w:r>
            <w:r>
              <w:rPr>
                <w:rFonts w:hint="default" w:ascii="宋体" w:hAnsi="宋体" w:cs="宋体"/>
                <w:color w:val="auto"/>
                <w:kern w:val="2"/>
                <w:sz w:val="24"/>
                <w:szCs w:val="24"/>
                <w:highlight w:val="none"/>
              </w:rPr>
              <w:t>洗扫车</w:t>
            </w:r>
          </w:p>
        </w:tc>
        <w:tc>
          <w:tcPr>
            <w:tcW w:w="562" w:type="pct"/>
            <w:shd w:val="clear" w:color="auto" w:fill="auto"/>
            <w:vAlign w:val="center"/>
          </w:tcPr>
          <w:p w14:paraId="776232C9">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25" w:type="pct"/>
            <w:shd w:val="clear" w:color="auto" w:fill="auto"/>
            <w:vAlign w:val="center"/>
          </w:tcPr>
          <w:p w14:paraId="776584B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restart"/>
            <w:vAlign w:val="center"/>
          </w:tcPr>
          <w:p w14:paraId="4B83ABF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b/>
                <w:bCs w:val="0"/>
                <w:color w:val="auto"/>
                <w:kern w:val="2"/>
                <w:sz w:val="24"/>
                <w:szCs w:val="24"/>
                <w:highlight w:val="none"/>
                <w:lang w:val="en-US" w:eastAsia="zh-CN"/>
              </w:rPr>
              <w:t>采购人需要时提供作业设备</w:t>
            </w:r>
          </w:p>
        </w:tc>
      </w:tr>
      <w:tr w14:paraId="58819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6" w:type="pct"/>
            <w:shd w:val="clear" w:color="auto" w:fill="auto"/>
            <w:vAlign w:val="center"/>
          </w:tcPr>
          <w:p w14:paraId="2639407C">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5</w:t>
            </w:r>
          </w:p>
        </w:tc>
        <w:tc>
          <w:tcPr>
            <w:tcW w:w="1889" w:type="pct"/>
            <w:shd w:val="clear" w:color="auto" w:fill="auto"/>
            <w:vAlign w:val="center"/>
          </w:tcPr>
          <w:p w14:paraId="70F05CA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护栏清洗车</w:t>
            </w:r>
          </w:p>
        </w:tc>
        <w:tc>
          <w:tcPr>
            <w:tcW w:w="562" w:type="pct"/>
            <w:shd w:val="clear" w:color="auto" w:fill="auto"/>
            <w:vAlign w:val="center"/>
          </w:tcPr>
          <w:p w14:paraId="6059CA6A">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辆</w:t>
            </w:r>
          </w:p>
        </w:tc>
        <w:tc>
          <w:tcPr>
            <w:tcW w:w="825" w:type="pct"/>
            <w:shd w:val="clear" w:color="auto" w:fill="auto"/>
            <w:vAlign w:val="center"/>
          </w:tcPr>
          <w:p w14:paraId="12DAACEA">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continue"/>
          </w:tcPr>
          <w:p w14:paraId="371C413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5857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6" w:type="pct"/>
            <w:shd w:val="clear" w:color="auto" w:fill="auto"/>
            <w:vAlign w:val="center"/>
          </w:tcPr>
          <w:p w14:paraId="51FDF0AC">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6</w:t>
            </w:r>
          </w:p>
        </w:tc>
        <w:tc>
          <w:tcPr>
            <w:tcW w:w="3462" w:type="dxa"/>
            <w:shd w:val="clear" w:color="auto" w:fill="auto"/>
            <w:vAlign w:val="center"/>
          </w:tcPr>
          <w:p w14:paraId="50D868EC">
            <w:pPr>
              <w:keepNext w:val="0"/>
              <w:keepLines w:val="0"/>
              <w:widowControl/>
              <w:suppressLineNumbers w:val="0"/>
              <w:shd w:val="clear" w:color="auto"/>
              <w:spacing w:before="0" w:beforeAutospacing="0" w:after="0" w:afterAutospacing="0" w:line="540" w:lineRule="exact"/>
              <w:ind w:left="0" w:right="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除雪</w:t>
            </w:r>
            <w:r>
              <w:rPr>
                <w:rFonts w:hint="eastAsia" w:ascii="宋体" w:hAnsi="宋体" w:cs="宋体"/>
                <w:color w:val="auto"/>
                <w:sz w:val="24"/>
                <w:szCs w:val="24"/>
                <w:highlight w:val="none"/>
                <w:lang w:val="en-US" w:eastAsia="zh-CN"/>
              </w:rPr>
              <w:t>车</w:t>
            </w:r>
          </w:p>
          <w:p w14:paraId="045DCF15">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rPr>
              <w:t>雪铲、滚刷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装载机等）</w:t>
            </w:r>
          </w:p>
        </w:tc>
        <w:tc>
          <w:tcPr>
            <w:tcW w:w="1030" w:type="dxa"/>
            <w:shd w:val="clear" w:color="auto" w:fill="auto"/>
            <w:vAlign w:val="center"/>
          </w:tcPr>
          <w:p w14:paraId="2089CA02">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rPr>
            </w:pPr>
            <w:r>
              <w:rPr>
                <w:rFonts w:hint="eastAsia" w:ascii="宋体" w:hAnsi="宋体" w:cs="宋体"/>
                <w:color w:val="auto"/>
                <w:sz w:val="24"/>
                <w:szCs w:val="24"/>
                <w:highlight w:val="none"/>
                <w:lang w:val="en-US" w:eastAsia="zh-CN"/>
              </w:rPr>
              <w:t>1套</w:t>
            </w:r>
          </w:p>
        </w:tc>
        <w:tc>
          <w:tcPr>
            <w:tcW w:w="825" w:type="pct"/>
            <w:shd w:val="clear" w:color="auto" w:fill="auto"/>
            <w:vAlign w:val="center"/>
          </w:tcPr>
          <w:p w14:paraId="4EF8D522">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continue"/>
          </w:tcPr>
          <w:p w14:paraId="3A824868">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1D60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396" w:type="pct"/>
            <w:shd w:val="clear" w:color="auto" w:fill="auto"/>
            <w:vAlign w:val="center"/>
          </w:tcPr>
          <w:p w14:paraId="4DAD493E">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w:t>
            </w:r>
          </w:p>
        </w:tc>
        <w:tc>
          <w:tcPr>
            <w:tcW w:w="3462" w:type="dxa"/>
            <w:shd w:val="clear" w:color="auto" w:fill="auto"/>
            <w:vAlign w:val="center"/>
          </w:tcPr>
          <w:p w14:paraId="5AC91A5E">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lang w:val="en-US" w:eastAsia="zh-CN"/>
              </w:rPr>
            </w:pPr>
            <w:r>
              <w:rPr>
                <w:rFonts w:hint="eastAsia" w:ascii="宋体" w:hAnsi="宋体" w:cs="宋体"/>
                <w:color w:val="auto"/>
                <w:sz w:val="24"/>
                <w:szCs w:val="24"/>
                <w:highlight w:val="none"/>
                <w:lang w:val="en-US" w:eastAsia="zh-CN"/>
              </w:rPr>
              <w:t>融雪撒布机</w:t>
            </w:r>
          </w:p>
        </w:tc>
        <w:tc>
          <w:tcPr>
            <w:tcW w:w="1030" w:type="dxa"/>
            <w:shd w:val="clear" w:color="auto" w:fill="auto"/>
            <w:vAlign w:val="center"/>
          </w:tcPr>
          <w:p w14:paraId="1C80E1C4">
            <w:pPr>
              <w:keepNext w:val="0"/>
              <w:keepLines w:val="0"/>
              <w:widowControl/>
              <w:suppressLineNumbers w:val="0"/>
              <w:shd w:val="clear" w:color="auto"/>
              <w:spacing w:before="0" w:beforeAutospacing="0" w:after="0" w:afterAutospacing="0" w:line="540" w:lineRule="exact"/>
              <w:ind w:left="0" w:leftChars="0" w:right="0" w:rightChars="0"/>
              <w:jc w:val="center"/>
              <w:rPr>
                <w:rFonts w:hint="default" w:ascii="宋体" w:hAnsi="宋体" w:cs="宋体"/>
                <w:color w:val="auto"/>
                <w:kern w:val="2"/>
                <w:sz w:val="24"/>
                <w:szCs w:val="24"/>
                <w:highlight w:val="none"/>
                <w:lang w:val="en-US" w:eastAsia="zh-CN"/>
              </w:rPr>
            </w:pPr>
            <w:r>
              <w:rPr>
                <w:rFonts w:hint="eastAsia" w:ascii="宋体" w:hAnsi="宋体" w:cs="宋体"/>
                <w:color w:val="auto"/>
                <w:sz w:val="24"/>
                <w:szCs w:val="24"/>
                <w:highlight w:val="none"/>
                <w:lang w:val="en-US" w:eastAsia="zh-CN"/>
              </w:rPr>
              <w:t>1部</w:t>
            </w:r>
          </w:p>
        </w:tc>
        <w:tc>
          <w:tcPr>
            <w:tcW w:w="825" w:type="pct"/>
            <w:shd w:val="clear" w:color="auto" w:fill="auto"/>
            <w:vAlign w:val="center"/>
          </w:tcPr>
          <w:p w14:paraId="56BAD472">
            <w:pPr>
              <w:keepNext w:val="0"/>
              <w:keepLines w:val="0"/>
              <w:widowControl/>
              <w:suppressLineNumbers w:val="0"/>
              <w:shd w:val="clear"/>
              <w:spacing w:before="0" w:beforeAutospacing="0" w:after="0" w:afterAutospacing="0" w:line="540" w:lineRule="exact"/>
              <w:ind w:left="0" w:right="0"/>
              <w:jc w:val="center"/>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327" w:type="pct"/>
            <w:vMerge w:val="continue"/>
          </w:tcPr>
          <w:p w14:paraId="1CF5F00E">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r w14:paraId="31929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396" w:type="pct"/>
            <w:shd w:val="clear" w:color="auto" w:fill="auto"/>
            <w:vAlign w:val="center"/>
          </w:tcPr>
          <w:p w14:paraId="70B2F7E8">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8</w:t>
            </w:r>
          </w:p>
        </w:tc>
        <w:tc>
          <w:tcPr>
            <w:tcW w:w="1889" w:type="pct"/>
            <w:shd w:val="clear" w:color="auto" w:fill="auto"/>
            <w:vAlign w:val="center"/>
          </w:tcPr>
          <w:p w14:paraId="745073B9">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rPr>
              <w:t>新能源小型慢车道清扫车</w:t>
            </w:r>
          </w:p>
        </w:tc>
        <w:tc>
          <w:tcPr>
            <w:tcW w:w="562" w:type="pct"/>
            <w:shd w:val="clear" w:color="auto" w:fill="auto"/>
            <w:vAlign w:val="center"/>
          </w:tcPr>
          <w:p w14:paraId="07AAE6D1">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3</w:t>
            </w:r>
            <w:r>
              <w:rPr>
                <w:rFonts w:hint="eastAsia" w:ascii="宋体" w:hAnsi="宋体" w:cs="宋体"/>
                <w:color w:val="auto"/>
                <w:kern w:val="2"/>
                <w:sz w:val="24"/>
                <w:szCs w:val="24"/>
                <w:highlight w:val="none"/>
              </w:rPr>
              <w:t>辆</w:t>
            </w:r>
          </w:p>
        </w:tc>
        <w:tc>
          <w:tcPr>
            <w:tcW w:w="825" w:type="pct"/>
            <w:vAlign w:val="center"/>
          </w:tcPr>
          <w:p w14:paraId="41CC7739">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3名</w:t>
            </w:r>
          </w:p>
        </w:tc>
        <w:tc>
          <w:tcPr>
            <w:tcW w:w="1327" w:type="pct"/>
          </w:tcPr>
          <w:p w14:paraId="429C6EF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p>
        </w:tc>
      </w:tr>
    </w:tbl>
    <w:p w14:paraId="478BBB30">
      <w:pPr>
        <w:shd w:val="clear"/>
        <w:spacing w:before="120" w:after="120" w:line="360" w:lineRule="auto"/>
        <w:ind w:firstLine="482"/>
        <w:rPr>
          <w:rFonts w:hint="eastAsia" w:ascii="宋体" w:hAnsi="宋体"/>
          <w:b/>
          <w:bCs/>
          <w:iCs/>
          <w:color w:val="auto"/>
          <w:sz w:val="24"/>
          <w:szCs w:val="24"/>
          <w:highlight w:val="none"/>
        </w:rPr>
      </w:pPr>
      <w:r>
        <w:rPr>
          <w:rFonts w:hint="eastAsia" w:ascii="宋体" w:hAnsi="宋体"/>
          <w:b/>
          <w:bCs/>
          <w:iCs/>
          <w:color w:val="auto"/>
          <w:sz w:val="24"/>
          <w:szCs w:val="24"/>
          <w:highlight w:val="none"/>
        </w:rPr>
        <w:t>注：以上有关车辆重型、中型、</w:t>
      </w:r>
      <w:r>
        <w:rPr>
          <w:rFonts w:hint="eastAsia" w:ascii="宋体" w:hAnsi="宋体"/>
          <w:b/>
          <w:bCs/>
          <w:iCs/>
          <w:color w:val="auto"/>
          <w:sz w:val="24"/>
          <w:szCs w:val="24"/>
          <w:highlight w:val="none"/>
          <w:lang w:val="en-US" w:eastAsia="zh-CN"/>
        </w:rPr>
        <w:t>小</w:t>
      </w:r>
      <w:r>
        <w:rPr>
          <w:rFonts w:hint="eastAsia" w:ascii="宋体" w:hAnsi="宋体"/>
          <w:b/>
          <w:bCs/>
          <w:iCs/>
          <w:color w:val="auto"/>
          <w:sz w:val="24"/>
          <w:szCs w:val="24"/>
          <w:highlight w:val="none"/>
        </w:rPr>
        <w:t>型等划分，以车辆行驶证上标明的车辆类型为准。</w:t>
      </w:r>
    </w:p>
    <w:p w14:paraId="54F4F2ED">
      <w:pPr>
        <w:keepNext w:val="0"/>
        <w:keepLines w:val="0"/>
        <w:pageBreakBefore w:val="0"/>
        <w:widowControl w:val="0"/>
        <w:shd w:val="clear"/>
        <w:kinsoku/>
        <w:wordWrap/>
        <w:overflowPunct/>
        <w:topLinePunct w:val="0"/>
        <w:autoSpaceDE/>
        <w:autoSpaceDN/>
        <w:bidi w:val="0"/>
        <w:adjustRightInd/>
        <w:snapToGrid/>
        <w:spacing w:before="181" w:beforeLines="50" w:line="360" w:lineRule="auto"/>
        <w:ind w:left="437"/>
        <w:textAlignment w:val="auto"/>
        <w:rPr>
          <w:rFonts w:hint="default" w:ascii="宋体" w:hAnsi="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以上车辆要求：</w:t>
      </w:r>
    </w:p>
    <w:p w14:paraId="0C0ECF4F">
      <w:pPr>
        <w:shd w:val="clear"/>
        <w:spacing w:line="360" w:lineRule="auto"/>
        <w:ind w:left="437"/>
        <w:rPr>
          <w:rFonts w:hint="eastAsia" w:ascii="宋体" w:hAnsi="宋体"/>
          <w:bCs/>
          <w:iCs/>
          <w:color w:val="auto"/>
          <w:sz w:val="24"/>
          <w:szCs w:val="24"/>
          <w:highlight w:val="none"/>
        </w:rPr>
      </w:pPr>
      <w:r>
        <w:rPr>
          <w:rFonts w:hint="eastAsia" w:ascii="宋体" w:hAnsi="宋体"/>
          <w:bCs/>
          <w:iCs/>
          <w:color w:val="auto"/>
          <w:sz w:val="24"/>
          <w:szCs w:val="24"/>
          <w:highlight w:val="none"/>
        </w:rPr>
        <w:t>1、信息化监管</w:t>
      </w:r>
    </w:p>
    <w:p w14:paraId="3D68FF7B">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各片区作业单位将机械化作业信息统一接入市区“城市管家”一体化作业信息监</w:t>
      </w:r>
    </w:p>
    <w:p w14:paraId="213BAEF1">
      <w:pPr>
        <w:shd w:val="clear"/>
        <w:spacing w:line="360" w:lineRule="auto"/>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rPr>
        <w:t>管系统，其中机械化作业车辆按规定实行定车、定路段作业并安装定位系统、视频摄像头等监控装置。市区一体化信息监管系统实时监测作业轨迹、作业过程、作业质效等</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所有车辆均需按照环卫办要求加装GPS和相关传感设备并接入采购人指定平台，所产生的费用由车辆所有人承担</w:t>
      </w:r>
      <w:r>
        <w:rPr>
          <w:rFonts w:hint="eastAsia" w:ascii="宋体" w:hAnsi="宋体"/>
          <w:bCs/>
          <w:iCs/>
          <w:color w:val="auto"/>
          <w:sz w:val="24"/>
          <w:szCs w:val="24"/>
          <w:highlight w:val="none"/>
          <w:lang w:eastAsia="zh-CN"/>
        </w:rPr>
        <w:t>。</w:t>
      </w:r>
    </w:p>
    <w:p w14:paraId="43693866">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2、车辆基本要求</w:t>
      </w:r>
    </w:p>
    <w:p w14:paraId="4B64B49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Cs/>
          <w:iCs/>
          <w:color w:val="auto"/>
          <w:sz w:val="24"/>
          <w:szCs w:val="24"/>
          <w:highlight w:val="none"/>
          <w:lang w:eastAsia="zh-CN"/>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1</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所有作业车辆</w:t>
      </w:r>
      <w:r>
        <w:rPr>
          <w:rFonts w:hint="eastAsia" w:ascii="宋体" w:hAnsi="宋体"/>
          <w:bCs/>
          <w:iCs/>
          <w:color w:val="auto"/>
          <w:sz w:val="24"/>
          <w:szCs w:val="24"/>
          <w:highlight w:val="none"/>
          <w:lang w:eastAsia="zh-CN"/>
        </w:rPr>
        <w:t>根据</w:t>
      </w:r>
      <w:r>
        <w:rPr>
          <w:rFonts w:hint="eastAsia" w:ascii="宋体" w:hAnsi="宋体"/>
          <w:bCs/>
          <w:iCs/>
          <w:color w:val="auto"/>
          <w:sz w:val="24"/>
          <w:szCs w:val="24"/>
          <w:highlight w:val="none"/>
          <w:lang w:val="en-US" w:eastAsia="zh-CN"/>
        </w:rPr>
        <w:t>采购人</w:t>
      </w:r>
      <w:r>
        <w:rPr>
          <w:rFonts w:hint="eastAsia" w:ascii="宋体" w:hAnsi="宋体"/>
          <w:bCs/>
          <w:iCs/>
          <w:color w:val="auto"/>
          <w:sz w:val="24"/>
          <w:szCs w:val="24"/>
          <w:highlight w:val="none"/>
          <w:lang w:eastAsia="zh-CN"/>
        </w:rPr>
        <w:t>要求喷涂标识。</w:t>
      </w:r>
    </w:p>
    <w:p w14:paraId="2D4BF8E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rPr>
        <w:t>）投入本项目的车辆必须符合国家标准，车况良好，保险齐全有效，数量车</w:t>
      </w:r>
    </w:p>
    <w:p w14:paraId="15548AC5">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ascii="宋体" w:hAnsi="宋体"/>
          <w:bCs/>
          <w:iCs/>
          <w:color w:val="auto"/>
          <w:sz w:val="24"/>
          <w:szCs w:val="24"/>
          <w:highlight w:val="none"/>
        </w:rPr>
      </w:pPr>
      <w:r>
        <w:rPr>
          <w:rFonts w:hint="eastAsia" w:ascii="宋体" w:hAnsi="宋体"/>
          <w:bCs/>
          <w:iCs/>
          <w:color w:val="auto"/>
          <w:sz w:val="24"/>
          <w:szCs w:val="24"/>
          <w:highlight w:val="none"/>
        </w:rPr>
        <w:t>型满足招标文件要求。</w:t>
      </w:r>
    </w:p>
    <w:p w14:paraId="145C82F0">
      <w:pPr>
        <w:shd w:val="clear"/>
        <w:spacing w:line="360" w:lineRule="auto"/>
        <w:ind w:left="437"/>
        <w:rPr>
          <w:rFonts w:hint="eastAsia" w:ascii="宋体" w:hAnsi="宋体"/>
          <w:bCs/>
          <w:iCs/>
          <w:color w:val="FF0000"/>
          <w:sz w:val="24"/>
          <w:szCs w:val="24"/>
          <w:highlight w:val="none"/>
          <w:lang w:eastAsia="zh-CN"/>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3</w:t>
      </w:r>
      <w:r>
        <w:rPr>
          <w:rFonts w:hint="eastAsia" w:ascii="宋体" w:hAnsi="宋体"/>
          <w:bCs/>
          <w:iCs/>
          <w:color w:val="auto"/>
          <w:sz w:val="24"/>
          <w:szCs w:val="24"/>
          <w:highlight w:val="none"/>
        </w:rPr>
        <w:t>）新能源车辆标准、比例</w:t>
      </w:r>
      <w:r>
        <w:rPr>
          <w:rFonts w:hint="eastAsia" w:ascii="宋体" w:hAnsi="宋体"/>
          <w:bCs/>
          <w:iCs/>
          <w:color w:val="FF0000"/>
          <w:sz w:val="24"/>
          <w:szCs w:val="24"/>
          <w:highlight w:val="none"/>
          <w:lang w:eastAsia="zh-CN"/>
        </w:rPr>
        <w:t>（</w:t>
      </w:r>
      <w:r>
        <w:rPr>
          <w:rFonts w:hint="eastAsia" w:ascii="宋体" w:hAnsi="宋体"/>
          <w:bCs/>
          <w:iCs/>
          <w:color w:val="FF0000"/>
          <w:sz w:val="24"/>
          <w:szCs w:val="24"/>
          <w:highlight w:val="none"/>
          <w:lang w:val="en-US" w:eastAsia="zh-CN"/>
        </w:rPr>
        <w:t>在需要具备行驶证的作业车辆中占比不低于80%</w:t>
      </w:r>
      <w:r>
        <w:rPr>
          <w:rFonts w:hint="eastAsia" w:ascii="宋体" w:hAnsi="宋体"/>
          <w:bCs/>
          <w:iCs/>
          <w:color w:val="FF0000"/>
          <w:sz w:val="24"/>
          <w:szCs w:val="24"/>
          <w:highlight w:val="none"/>
          <w:lang w:eastAsia="zh-CN"/>
        </w:rPr>
        <w:t>）</w:t>
      </w:r>
    </w:p>
    <w:p w14:paraId="54A11668">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应符合国家、省市文件规定要求，垃圾收运车辆需满足办理保险等合法手续，配置三轮或四轮分类后上装垃圾车。</w:t>
      </w:r>
    </w:p>
    <w:p w14:paraId="1474BAD0">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4</w:t>
      </w:r>
      <w:r>
        <w:rPr>
          <w:rFonts w:hint="eastAsia" w:ascii="宋体" w:hAnsi="宋体"/>
          <w:bCs/>
          <w:iCs/>
          <w:color w:val="auto"/>
          <w:sz w:val="24"/>
          <w:szCs w:val="24"/>
          <w:highlight w:val="none"/>
        </w:rPr>
        <w:t>）车辆定人定岗管理，遵守交通规则，加强安全教育，杜绝安全事故发生。</w:t>
      </w:r>
    </w:p>
    <w:p w14:paraId="3D048E7C">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5</w:t>
      </w:r>
      <w:r>
        <w:rPr>
          <w:rFonts w:hint="eastAsia" w:ascii="宋体" w:hAnsi="宋体"/>
          <w:bCs/>
          <w:iCs/>
          <w:color w:val="auto"/>
          <w:sz w:val="24"/>
          <w:szCs w:val="24"/>
          <w:highlight w:val="none"/>
        </w:rPr>
        <w:t>）确保车容车貌，车辆进出站必须冲洗干净，车外无油迹、无积灰、无掉漆，</w:t>
      </w:r>
    </w:p>
    <w:p w14:paraId="4815F3F2">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车内无杂物、无垃圾、无与工作无关的物品；所有作业车辆均需按环卫部门要求进行车辆统一涂装。</w:t>
      </w:r>
    </w:p>
    <w:p w14:paraId="74D0A86C">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6</w:t>
      </w:r>
      <w:r>
        <w:rPr>
          <w:rFonts w:hint="eastAsia" w:ascii="宋体" w:hAnsi="宋体"/>
          <w:bCs/>
          <w:iCs/>
          <w:color w:val="auto"/>
          <w:sz w:val="24"/>
          <w:szCs w:val="24"/>
          <w:highlight w:val="none"/>
        </w:rPr>
        <w:t>）服务本项目的车辆，作业时间段不得离开作业范围。</w:t>
      </w:r>
    </w:p>
    <w:p w14:paraId="71A34308">
      <w:pPr>
        <w:shd w:val="clear"/>
        <w:spacing w:line="360" w:lineRule="auto"/>
        <w:ind w:firstLine="480" w:firstLineChars="200"/>
        <w:rPr>
          <w:rFonts w:hint="eastAsia"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7</w:t>
      </w:r>
      <w:r>
        <w:rPr>
          <w:rFonts w:hint="eastAsia" w:ascii="宋体" w:hAnsi="宋体"/>
          <w:bCs/>
          <w:iCs/>
          <w:color w:val="auto"/>
          <w:sz w:val="24"/>
          <w:szCs w:val="24"/>
          <w:highlight w:val="none"/>
        </w:rPr>
        <w:t>）所有作业车辆需在环卫办备案</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车辆应及时保养，若发生车辆维修、损坏或其他不可抗力的因素导致车辆无法作业的情况应及时报备并无缝衔接调整应急车辆，确保作业不受影响。</w:t>
      </w:r>
    </w:p>
    <w:p w14:paraId="0863D7B7">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8</w:t>
      </w:r>
      <w:r>
        <w:rPr>
          <w:rFonts w:hint="eastAsia" w:ascii="宋体" w:hAnsi="宋体"/>
          <w:bCs/>
          <w:iCs/>
          <w:color w:val="auto"/>
          <w:sz w:val="24"/>
          <w:szCs w:val="24"/>
          <w:highlight w:val="none"/>
        </w:rPr>
        <w:t>）车辆及时投保，大型机械化作业车辆第三方责任险保额不低于300万元/辆</w:t>
      </w:r>
    </w:p>
    <w:p w14:paraId="7F7DA21E">
      <w:pPr>
        <w:shd w:val="clear"/>
        <w:spacing w:line="360" w:lineRule="auto"/>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rPr>
        <w:t>（明确车辆），中小型机械化作业车辆保额不低于200万元/辆（明确车辆），小型电动作业车辆保额不低于30万元/辆（明确车辆）</w:t>
      </w:r>
      <w:r>
        <w:rPr>
          <w:rFonts w:hint="eastAsia" w:ascii="宋体" w:hAnsi="宋体"/>
          <w:bCs/>
          <w:iCs/>
          <w:color w:val="auto"/>
          <w:sz w:val="24"/>
          <w:szCs w:val="24"/>
          <w:highlight w:val="none"/>
          <w:lang w:val="en-US" w:eastAsia="zh-CN"/>
        </w:rPr>
        <w:t>。</w:t>
      </w:r>
    </w:p>
    <w:p w14:paraId="0EE36690">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9</w:t>
      </w:r>
      <w:r>
        <w:rPr>
          <w:rFonts w:hint="eastAsia" w:ascii="宋体" w:hAnsi="宋体"/>
          <w:bCs/>
          <w:iCs/>
          <w:color w:val="auto"/>
          <w:sz w:val="24"/>
          <w:szCs w:val="24"/>
          <w:highlight w:val="none"/>
        </w:rPr>
        <w:t>）重大活动保障全天候巡回机械化清扫保洁。</w:t>
      </w:r>
    </w:p>
    <w:p w14:paraId="269D7A46">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0</w:t>
      </w:r>
      <w:r>
        <w:rPr>
          <w:rFonts w:hint="eastAsia" w:ascii="宋体" w:hAnsi="宋体"/>
          <w:bCs/>
          <w:iCs/>
          <w:color w:val="auto"/>
          <w:sz w:val="24"/>
          <w:szCs w:val="24"/>
          <w:highlight w:val="none"/>
        </w:rPr>
        <w:t>）运行</w:t>
      </w:r>
      <w:r>
        <w:rPr>
          <w:rFonts w:hint="eastAsia" w:ascii="宋体" w:hAnsi="宋体"/>
          <w:bCs/>
          <w:iCs/>
          <w:color w:val="auto"/>
          <w:sz w:val="24"/>
          <w:szCs w:val="24"/>
          <w:highlight w:val="none"/>
          <w:lang w:val="en-US" w:eastAsia="zh-CN"/>
        </w:rPr>
        <w:t>台账</w:t>
      </w:r>
      <w:r>
        <w:rPr>
          <w:rFonts w:hint="eastAsia" w:ascii="宋体" w:hAnsi="宋体"/>
          <w:bCs/>
          <w:iCs/>
          <w:color w:val="auto"/>
          <w:sz w:val="24"/>
          <w:szCs w:val="24"/>
          <w:highlight w:val="none"/>
        </w:rPr>
        <w:t>完整，随时备查。</w:t>
      </w:r>
    </w:p>
    <w:p w14:paraId="50B2A03D">
      <w:pPr>
        <w:shd w:val="clear"/>
        <w:spacing w:line="360" w:lineRule="auto"/>
        <w:ind w:left="437"/>
        <w:rPr>
          <w:rFonts w:hint="eastAsia"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1</w:t>
      </w:r>
      <w:r>
        <w:rPr>
          <w:rFonts w:hint="eastAsia" w:ascii="宋体" w:hAnsi="宋体"/>
          <w:bCs/>
          <w:iCs/>
          <w:color w:val="auto"/>
          <w:sz w:val="24"/>
          <w:szCs w:val="24"/>
          <w:highlight w:val="none"/>
        </w:rPr>
        <w:t>）所有车辆需在服务区域内使用，不得窜岗窜区域。</w:t>
      </w:r>
    </w:p>
    <w:p w14:paraId="0707FE86">
      <w:pPr>
        <w:shd w:val="clear"/>
        <w:spacing w:line="360" w:lineRule="auto"/>
        <w:ind w:left="437"/>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12</w:t>
      </w:r>
      <w:r>
        <w:rPr>
          <w:rFonts w:hint="eastAsia" w:ascii="宋体" w:hAnsi="宋体"/>
          <w:bCs/>
          <w:iCs/>
          <w:color w:val="auto"/>
          <w:sz w:val="24"/>
          <w:szCs w:val="24"/>
          <w:highlight w:val="none"/>
          <w:lang w:eastAsia="zh-CN"/>
        </w:rPr>
        <w:t>）投标文件中，多功能降尘车（雾炮车）需提供具体参数证明资料。</w:t>
      </w:r>
    </w:p>
    <w:p w14:paraId="788FD87F">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3、中、重型车辆作业要求</w:t>
      </w:r>
    </w:p>
    <w:p w14:paraId="2BD60618">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（1）作业时须开启警示灯和示宽灯，夜间禁鸣，洒水作业日间必须播放提示音乐。</w:t>
      </w:r>
    </w:p>
    <w:p w14:paraId="790B6DC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（2）所有机械化作业必须双侧同时开启，严禁单边作业（除特殊情况下的冲洗作业）。</w:t>
      </w:r>
    </w:p>
    <w:p w14:paraId="2E3723A7">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iCs/>
          <w:color w:val="auto"/>
          <w:sz w:val="24"/>
          <w:szCs w:val="24"/>
          <w:highlight w:val="none"/>
        </w:rPr>
      </w:pPr>
      <w:r>
        <w:rPr>
          <w:rFonts w:hint="eastAsia" w:ascii="宋体" w:hAnsi="宋体"/>
          <w:bCs/>
          <w:iCs/>
          <w:color w:val="auto"/>
          <w:sz w:val="24"/>
          <w:szCs w:val="24"/>
          <w:highlight w:val="none"/>
        </w:rPr>
        <w:t>（3）作业人员必须按照规定的时间、线路、频次和作业模式作业；作业时应穿戴统一的、具有明显警示标识的工作服，并保持着装整洁，不得有滞留马路和加油加水超时等情况。</w:t>
      </w:r>
    </w:p>
    <w:p w14:paraId="2D9EA863">
      <w:pPr>
        <w:shd w:val="clear"/>
        <w:tabs>
          <w:tab w:val="left" w:pos="0"/>
        </w:tabs>
        <w:spacing w:line="360" w:lineRule="auto"/>
        <w:ind w:firstLine="480"/>
        <w:rPr>
          <w:rFonts w:hint="eastAsia"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eastAsia="zh-CN"/>
        </w:rPr>
        <w:t>（</w:t>
      </w:r>
      <w:r>
        <w:rPr>
          <w:rFonts w:hint="eastAsia" w:ascii="宋体" w:hAnsi="宋体" w:cs="宋体"/>
          <w:b w:val="0"/>
          <w:bCs/>
          <w:i w:val="0"/>
          <w:iCs w:val="0"/>
          <w:color w:val="auto"/>
          <w:sz w:val="24"/>
          <w:szCs w:val="24"/>
          <w:highlight w:val="none"/>
          <w:u w:val="none"/>
          <w:lang w:val="en-US" w:eastAsia="zh-CN"/>
        </w:rPr>
        <w:t>4</w:t>
      </w:r>
      <w:r>
        <w:rPr>
          <w:rFonts w:hint="eastAsia" w:ascii="宋体" w:hAnsi="宋体" w:cs="宋体"/>
          <w:b w:val="0"/>
          <w:bCs/>
          <w:i w:val="0"/>
          <w:iCs w:val="0"/>
          <w:color w:val="auto"/>
          <w:sz w:val="24"/>
          <w:szCs w:val="24"/>
          <w:highlight w:val="none"/>
          <w:u w:val="none"/>
          <w:lang w:eastAsia="zh-CN"/>
        </w:rPr>
        <w:t>）</w:t>
      </w:r>
      <w:r>
        <w:rPr>
          <w:rFonts w:hint="eastAsia" w:ascii="宋体" w:hAnsi="宋体" w:cs="宋体"/>
          <w:b w:val="0"/>
          <w:bCs/>
          <w:i w:val="0"/>
          <w:iCs w:val="0"/>
          <w:color w:val="auto"/>
          <w:sz w:val="24"/>
          <w:szCs w:val="24"/>
          <w:highlight w:val="none"/>
          <w:u w:val="none"/>
          <w:lang w:val="en-US" w:eastAsia="zh-CN"/>
        </w:rPr>
        <w:t>交通安全：</w:t>
      </w:r>
    </w:p>
    <w:p w14:paraId="0333D995">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在作业要特别注意交通安全，严禁闯红灯和逆向。一定要在有交通警示牌和警示标志的情况下进行作业，并在必要时使用交通锥和警示灯以确保车辆和行人能够清楚地看到作业区域。</w:t>
      </w:r>
    </w:p>
    <w:p w14:paraId="47A45F8B">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（5）</w:t>
      </w:r>
      <w:r>
        <w:rPr>
          <w:rFonts w:hint="default" w:ascii="宋体" w:hAnsi="宋体" w:cs="宋体"/>
          <w:b w:val="0"/>
          <w:bCs/>
          <w:i w:val="0"/>
          <w:iCs w:val="0"/>
          <w:color w:val="auto"/>
          <w:sz w:val="24"/>
          <w:szCs w:val="24"/>
          <w:highlight w:val="none"/>
          <w:u w:val="none"/>
          <w:lang w:val="en-US" w:eastAsia="zh-CN"/>
        </w:rPr>
        <w:t>车辆安全</w:t>
      </w:r>
    </w:p>
    <w:p w14:paraId="7A234FA8">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作业车辆须按照国家法律法规的要求办理合法、齐全的证件；在禁行路段作业的，需按照交警局的规定办理相关证件手续。作业车辆须安装规格统一的安全防护装置，粘贴车身反光标识，并根据作业类别设置相应的安全防护标志和设施。定期组织对作业车辆安全性能进行检查、及时维修，确保车辆安全行驶；加强日常维护保养，注重车容车貌车况检查，对不能使用或有安全隐患的车辆及时维修或更换零件，确保车辆保持良好的工作性能，排除一切安全隐患。发生安全事故，中标人须承担一切法律、经济责任。</w:t>
      </w:r>
    </w:p>
    <w:p w14:paraId="69AB3E22">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（6）</w:t>
      </w:r>
      <w:r>
        <w:rPr>
          <w:rFonts w:hint="default" w:ascii="宋体" w:hAnsi="宋体" w:cs="宋体"/>
          <w:b w:val="0"/>
          <w:bCs/>
          <w:i w:val="0"/>
          <w:iCs w:val="0"/>
          <w:color w:val="auto"/>
          <w:sz w:val="24"/>
          <w:szCs w:val="24"/>
          <w:highlight w:val="none"/>
          <w:u w:val="none"/>
          <w:lang w:val="en-US" w:eastAsia="zh-CN"/>
        </w:rPr>
        <w:t>机械设备操作及维护</w:t>
      </w:r>
    </w:p>
    <w:p w14:paraId="48850E5C">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对员工进行机械设备操作培训，一般性养护机械和器具等应经过专业技术培训，并由熟练掌握操作技能的人员操作。高空作业时按照移动式作业要求设置临时性占道作业的安全标识；高空作业车使用前应做好各个部位的检查，支放平衡，操作过程中派专人监护，发现问题及时处理。定期组织安全检查，对作业设备和工作场所进行检查，对机械设备进行定期维护，及时发现并排除安全隐患。</w:t>
      </w:r>
    </w:p>
    <w:p w14:paraId="3EF8EBB6">
      <w:pPr>
        <w:shd w:val="clear"/>
        <w:tabs>
          <w:tab w:val="left" w:pos="0"/>
        </w:tabs>
        <w:spacing w:line="360" w:lineRule="auto"/>
        <w:ind w:firstLine="480"/>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5、从业人员配备及安全文明方案</w:t>
      </w:r>
    </w:p>
    <w:p w14:paraId="353FE02C">
      <w:pPr>
        <w:shd w:val="clear"/>
        <w:spacing w:line="360" w:lineRule="auto"/>
        <w:ind w:left="439"/>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（1）作业人员基本要求</w:t>
      </w:r>
    </w:p>
    <w:p w14:paraId="066E3067">
      <w:pPr>
        <w:shd w:val="clear"/>
        <w:spacing w:line="360" w:lineRule="auto"/>
        <w:ind w:left="439"/>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lang w:val="en-US" w:eastAsia="zh-CN"/>
        </w:rPr>
        <w:t>①</w:t>
      </w:r>
      <w:r>
        <w:rPr>
          <w:rFonts w:hint="eastAsia" w:ascii="宋体" w:hAnsi="宋体"/>
          <w:b w:val="0"/>
          <w:bCs w:val="0"/>
          <w:iCs/>
          <w:color w:val="auto"/>
          <w:sz w:val="24"/>
          <w:szCs w:val="24"/>
          <w:highlight w:val="none"/>
        </w:rPr>
        <w:t>人员着装</w:t>
      </w:r>
    </w:p>
    <w:p w14:paraId="100E0233">
      <w:pPr>
        <w:shd w:val="clear"/>
        <w:spacing w:line="360" w:lineRule="auto"/>
        <w:ind w:left="439"/>
        <w:jc w:val="left"/>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rPr>
        <w:t>在岗工作人员能统一着装，衣帽整齐。</w:t>
      </w:r>
      <w:r>
        <w:rPr>
          <w:rFonts w:hint="eastAsia" w:ascii="宋体" w:hAnsi="宋体"/>
          <w:b w:val="0"/>
          <w:bCs w:val="0"/>
          <w:iCs/>
          <w:color w:val="auto"/>
          <w:sz w:val="24"/>
          <w:szCs w:val="24"/>
          <w:highlight w:val="none"/>
          <w:lang w:val="en-US" w:eastAsia="zh-CN"/>
        </w:rPr>
        <w:t>在进行作业时，始终要佩戴个人防护装备，</w:t>
      </w:r>
    </w:p>
    <w:p w14:paraId="74DD5060">
      <w:pPr>
        <w:shd w:val="clear"/>
        <w:spacing w:line="360" w:lineRule="auto"/>
        <w:jc w:val="left"/>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包括头盔、手套、工作服、反光衣和防护鞋等。</w:t>
      </w:r>
    </w:p>
    <w:p w14:paraId="007DE5F9">
      <w:pPr>
        <w:shd w:val="clear"/>
        <w:spacing w:line="360" w:lineRule="auto"/>
        <w:ind w:left="439"/>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lang w:val="en-US" w:eastAsia="zh-CN"/>
        </w:rPr>
        <w:t>②</w:t>
      </w:r>
      <w:r>
        <w:rPr>
          <w:rFonts w:hint="eastAsia" w:ascii="宋体" w:hAnsi="宋体"/>
          <w:b w:val="0"/>
          <w:bCs w:val="0"/>
          <w:iCs/>
          <w:color w:val="auto"/>
          <w:sz w:val="24"/>
          <w:szCs w:val="24"/>
          <w:highlight w:val="none"/>
        </w:rPr>
        <w:t>技术档案</w:t>
      </w:r>
    </w:p>
    <w:p w14:paraId="2FC99F63">
      <w:pPr>
        <w:shd w:val="clear"/>
        <w:spacing w:line="360" w:lineRule="auto"/>
        <w:ind w:left="439"/>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rPr>
        <w:t>建立养护管理技术档案，记录清晰。按季度报送资料台账（含养护日志、组织架</w:t>
      </w:r>
    </w:p>
    <w:p w14:paraId="62078F04">
      <w:pPr>
        <w:shd w:val="clear"/>
        <w:spacing w:line="360" w:lineRule="auto"/>
        <w:jc w:val="left"/>
        <w:rPr>
          <w:rFonts w:hint="eastAsia" w:ascii="宋体" w:hAnsi="宋体"/>
          <w:b w:val="0"/>
          <w:bCs w:val="0"/>
          <w:iCs/>
          <w:color w:val="auto"/>
          <w:sz w:val="24"/>
          <w:szCs w:val="24"/>
          <w:highlight w:val="none"/>
        </w:rPr>
      </w:pPr>
      <w:r>
        <w:rPr>
          <w:rFonts w:hint="eastAsia" w:ascii="宋体" w:hAnsi="宋体"/>
          <w:b w:val="0"/>
          <w:bCs w:val="0"/>
          <w:iCs/>
          <w:color w:val="auto"/>
          <w:sz w:val="24"/>
          <w:szCs w:val="24"/>
          <w:highlight w:val="none"/>
        </w:rPr>
        <w:t>构、专项方案、工作计划、会议纪要、工作总结、安全教育、应急措施等）。</w:t>
      </w:r>
    </w:p>
    <w:p w14:paraId="5A76A87A">
      <w:pPr>
        <w:shd w:val="clear"/>
        <w:spacing w:line="360" w:lineRule="auto"/>
        <w:ind w:left="439"/>
        <w:jc w:val="left"/>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③危化品使用</w:t>
      </w:r>
    </w:p>
    <w:p w14:paraId="69D056E2">
      <w:pPr>
        <w:shd w:val="clear"/>
        <w:spacing w:line="360" w:lineRule="auto"/>
        <w:ind w:left="439"/>
        <w:jc w:val="both"/>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必须严格遵守相关的管理规定，严禁擅自挪用、私存、私用；使用前，应对操作</w:t>
      </w:r>
    </w:p>
    <w:p w14:paraId="4F7B159C">
      <w:pPr>
        <w:shd w:val="clear"/>
        <w:spacing w:line="360" w:lineRule="auto"/>
        <w:jc w:val="both"/>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人员进行专业培训；操作人员应穿戴适当的个人防护装备；按照化学品的使用说明和安全操作规程正确使用。</w:t>
      </w:r>
    </w:p>
    <w:p w14:paraId="6C0A155B">
      <w:pPr>
        <w:shd w:val="clear"/>
        <w:spacing w:line="360" w:lineRule="auto"/>
        <w:ind w:left="439"/>
        <w:jc w:val="both"/>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应设置专用的仓库或储存场所分类储存危化品，标识清晰、详细建档，并定期对</w:t>
      </w:r>
    </w:p>
    <w:p w14:paraId="3A3D710B">
      <w:pPr>
        <w:shd w:val="clear"/>
        <w:spacing w:line="360" w:lineRule="auto"/>
        <w:jc w:val="both"/>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储存的化学品进行安全检查。</w:t>
      </w:r>
    </w:p>
    <w:p w14:paraId="4A525204">
      <w:pPr>
        <w:shd w:val="clear"/>
        <w:spacing w:line="360" w:lineRule="auto"/>
        <w:ind w:left="439"/>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④定期安全培训</w:t>
      </w:r>
    </w:p>
    <w:p w14:paraId="1C121A7D">
      <w:pPr>
        <w:shd w:val="clear"/>
        <w:spacing w:line="360" w:lineRule="auto"/>
        <w:ind w:left="439"/>
        <w:jc w:val="both"/>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中标人应该定期对员工进行安全培训，包括作业流程、安全注意事项、应急处理</w:t>
      </w:r>
    </w:p>
    <w:p w14:paraId="41DFB207">
      <w:pPr>
        <w:shd w:val="clear"/>
        <w:spacing w:line="360" w:lineRule="auto"/>
        <w:jc w:val="both"/>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等内容。作业人员必须进行作业技能和安全教育培训，考核合格后方可上岗作业；作业人员上岗时，要保持良好的精神状态，精力集中，不得带病、疲劳和酒后上岗。</w:t>
      </w:r>
    </w:p>
    <w:p w14:paraId="4AAFDEF6">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jc w:val="both"/>
        <w:textAlignment w:val="auto"/>
        <w:rPr>
          <w:rFonts w:hint="default"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⑤安全教育</w:t>
      </w:r>
    </w:p>
    <w:p w14:paraId="1B3ABA91">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b w:val="0"/>
          <w:bCs w:val="0"/>
          <w:iCs/>
          <w:color w:val="auto"/>
          <w:sz w:val="24"/>
          <w:szCs w:val="24"/>
          <w:highlight w:val="none"/>
          <w:lang w:val="en-US" w:eastAsia="zh-CN"/>
        </w:rPr>
      </w:pPr>
      <w:r>
        <w:rPr>
          <w:rFonts w:hint="eastAsia" w:ascii="宋体" w:hAnsi="宋体"/>
          <w:b w:val="0"/>
          <w:bCs w:val="0"/>
          <w:iCs/>
          <w:color w:val="auto"/>
          <w:sz w:val="24"/>
          <w:szCs w:val="24"/>
          <w:highlight w:val="none"/>
          <w:lang w:val="en-US" w:eastAsia="zh-CN"/>
        </w:rPr>
        <w:t>在服务期间内，中标人必须对员工做好安全教育，并承诺进行安全生产，制定好详细操作规范制度，发生安全事故，中标人须承担一切法律、经济责任。按专业化要求配置管理服务人员，配备调整管理服务人员必须经采购人面试或审核同意。</w:t>
      </w:r>
    </w:p>
    <w:p w14:paraId="701675CF">
      <w:pPr>
        <w:shd w:val="clear"/>
        <w:spacing w:line="360" w:lineRule="auto"/>
        <w:ind w:left="439"/>
        <w:rPr>
          <w:rFonts w:ascii="宋体" w:hAnsi="宋体"/>
          <w:b/>
          <w:bCs/>
          <w:iCs/>
          <w:color w:val="auto"/>
          <w:sz w:val="24"/>
          <w:szCs w:val="24"/>
          <w:highlight w:val="none"/>
        </w:rPr>
      </w:pPr>
      <w:r>
        <w:rPr>
          <w:rFonts w:hint="eastAsia" w:ascii="宋体" w:hAnsi="宋体"/>
          <w:b/>
          <w:bCs/>
          <w:iCs/>
          <w:color w:val="auto"/>
          <w:sz w:val="24"/>
          <w:szCs w:val="24"/>
          <w:highlight w:val="none"/>
          <w:lang w:val="en-US" w:eastAsia="zh-CN"/>
        </w:rPr>
        <w:t>（2）</w:t>
      </w:r>
      <w:r>
        <w:rPr>
          <w:rFonts w:hint="eastAsia" w:ascii="宋体" w:hAnsi="宋体"/>
          <w:b/>
          <w:bCs/>
          <w:iCs/>
          <w:color w:val="auto"/>
          <w:sz w:val="24"/>
          <w:szCs w:val="24"/>
          <w:highlight w:val="none"/>
        </w:rPr>
        <w:t>人员岗位具体要求：</w:t>
      </w:r>
    </w:p>
    <w:p w14:paraId="45AA34FE">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①</w:t>
      </w:r>
      <w:r>
        <w:rPr>
          <w:rFonts w:hint="eastAsia" w:ascii="宋体" w:hAnsi="宋体"/>
          <w:bCs/>
          <w:iCs/>
          <w:color w:val="auto"/>
          <w:sz w:val="24"/>
          <w:szCs w:val="24"/>
          <w:highlight w:val="none"/>
        </w:rPr>
        <w:t>所有作业人员在作业时，应穿制式规定工作服，采用制式工具，严禁着装</w:t>
      </w:r>
    </w:p>
    <w:p w14:paraId="4CFC6AC9">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不整洁、穿拖鞋上班（所有工具及服装样式等由环卫部门确定）。</w:t>
      </w:r>
    </w:p>
    <w:p w14:paraId="6F43AF92">
      <w:pPr>
        <w:shd w:val="clear"/>
        <w:spacing w:line="360" w:lineRule="auto"/>
        <w:ind w:firstLine="480"/>
        <w:jc w:val="left"/>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②</w:t>
      </w:r>
      <w:r>
        <w:rPr>
          <w:rFonts w:hint="eastAsia" w:ascii="宋体" w:hAnsi="宋体"/>
          <w:bCs/>
          <w:iCs/>
          <w:color w:val="auto"/>
          <w:sz w:val="24"/>
          <w:szCs w:val="24"/>
          <w:highlight w:val="none"/>
        </w:rPr>
        <w:t>项目负责人及安全负责人：男女不限，</w:t>
      </w:r>
      <w:r>
        <w:rPr>
          <w:rFonts w:hint="eastAsia" w:ascii="宋体" w:hAnsi="宋体"/>
          <w:bCs/>
          <w:iCs/>
          <w:color w:val="auto"/>
          <w:sz w:val="24"/>
          <w:szCs w:val="24"/>
          <w:highlight w:val="none"/>
          <w:shd w:val="clear"/>
          <w:lang w:val="en-US" w:eastAsia="zh-CN"/>
        </w:rPr>
        <w:t>男性60周岁以下、女性50周岁以下</w:t>
      </w:r>
      <w:r>
        <w:rPr>
          <w:rFonts w:hint="eastAsia" w:ascii="宋体" w:hAnsi="宋体"/>
          <w:bCs/>
          <w:iCs/>
          <w:color w:val="auto"/>
          <w:sz w:val="24"/>
          <w:szCs w:val="24"/>
          <w:highlight w:val="none"/>
          <w:shd w:val="clear"/>
        </w:rPr>
        <w:t>，</w:t>
      </w:r>
      <w:r>
        <w:rPr>
          <w:rFonts w:hint="eastAsia" w:ascii="宋体" w:hAnsi="宋体"/>
          <w:bCs/>
          <w:iCs/>
          <w:color w:val="auto"/>
          <w:sz w:val="24"/>
          <w:szCs w:val="24"/>
          <w:highlight w:val="none"/>
        </w:rPr>
        <w:t>具有3年及以上道路保洁、垃圾收运或类似经验，大专以上（含大专）学历，服务意识和责任心强，懂管理，会做思想工作，无犯罪记录。</w:t>
      </w:r>
    </w:p>
    <w:p w14:paraId="0B39BE1D">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jc w:val="left"/>
        <w:textAlignment w:val="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③</w:t>
      </w:r>
      <w:r>
        <w:rPr>
          <w:rFonts w:hint="eastAsia" w:ascii="宋体" w:hAnsi="宋体"/>
          <w:bCs/>
          <w:iCs/>
          <w:color w:val="auto"/>
          <w:sz w:val="24"/>
          <w:szCs w:val="24"/>
          <w:highlight w:val="none"/>
        </w:rPr>
        <w:t>车辆驾驶员：男</w:t>
      </w:r>
      <w:r>
        <w:rPr>
          <w:rFonts w:hint="eastAsia" w:ascii="宋体" w:hAnsi="宋体"/>
          <w:bCs/>
          <w:iCs/>
          <w:color w:val="auto"/>
          <w:sz w:val="24"/>
          <w:szCs w:val="24"/>
          <w:highlight w:val="none"/>
          <w:shd w:val="clear"/>
        </w:rPr>
        <w:t>，60周岁以下</w:t>
      </w:r>
      <w:r>
        <w:rPr>
          <w:rFonts w:hint="eastAsia" w:ascii="宋体" w:hAnsi="宋体"/>
          <w:bCs/>
          <w:iCs/>
          <w:color w:val="auto"/>
          <w:sz w:val="24"/>
          <w:szCs w:val="24"/>
          <w:highlight w:val="none"/>
          <w:shd w:val="clear"/>
          <w:lang w:eastAsia="zh-CN"/>
        </w:rPr>
        <w:t>，</w:t>
      </w:r>
      <w:r>
        <w:rPr>
          <w:rFonts w:hint="eastAsia" w:ascii="宋体" w:hAnsi="宋体"/>
          <w:bCs/>
          <w:iCs/>
          <w:color w:val="auto"/>
          <w:sz w:val="24"/>
          <w:szCs w:val="24"/>
          <w:highlight w:val="none"/>
          <w:shd w:val="clear"/>
        </w:rPr>
        <w:t>具有</w:t>
      </w:r>
      <w:r>
        <w:rPr>
          <w:rFonts w:hint="eastAsia" w:ascii="宋体" w:hAnsi="宋体"/>
          <w:bCs/>
          <w:iCs/>
          <w:color w:val="auto"/>
          <w:sz w:val="24"/>
          <w:szCs w:val="24"/>
          <w:highlight w:val="none"/>
        </w:rPr>
        <w:t>相关专业作业机动车驾驶证，责任心</w:t>
      </w:r>
    </w:p>
    <w:p w14:paraId="05DAF292">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ascii="宋体" w:hAnsi="宋体"/>
          <w:bCs/>
          <w:iCs/>
          <w:color w:val="auto"/>
          <w:sz w:val="24"/>
          <w:szCs w:val="24"/>
          <w:highlight w:val="none"/>
        </w:rPr>
      </w:pPr>
      <w:r>
        <w:rPr>
          <w:rFonts w:hint="eastAsia" w:ascii="宋体" w:hAnsi="宋体"/>
          <w:bCs/>
          <w:iCs/>
          <w:color w:val="auto"/>
          <w:sz w:val="24"/>
          <w:szCs w:val="24"/>
          <w:highlight w:val="none"/>
        </w:rPr>
        <w:t xml:space="preserve">强，身体健康，吃苦耐劳，具有2年以上相关工作经验，无犯罪记录。         </w:t>
      </w:r>
    </w:p>
    <w:p w14:paraId="7CFCC029">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jc w:val="left"/>
        <w:textAlignment w:val="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④</w:t>
      </w:r>
      <w:r>
        <w:rPr>
          <w:rFonts w:hint="eastAsia" w:ascii="宋体" w:hAnsi="宋体"/>
          <w:bCs/>
          <w:iCs/>
          <w:color w:val="auto"/>
          <w:sz w:val="24"/>
          <w:szCs w:val="24"/>
          <w:highlight w:val="none"/>
        </w:rPr>
        <w:t>绿化养护员：男女不限，</w:t>
      </w:r>
      <w:r>
        <w:rPr>
          <w:rFonts w:hint="eastAsia" w:ascii="宋体" w:hAnsi="宋体"/>
          <w:bCs/>
          <w:iCs/>
          <w:color w:val="auto"/>
          <w:sz w:val="24"/>
          <w:szCs w:val="24"/>
          <w:highlight w:val="none"/>
          <w:shd w:val="clear"/>
        </w:rPr>
        <w:t>男性60周岁以下、女性5</w:t>
      </w:r>
      <w:r>
        <w:rPr>
          <w:rFonts w:hint="eastAsia" w:ascii="宋体" w:hAnsi="宋体"/>
          <w:bCs/>
          <w:iCs/>
          <w:color w:val="auto"/>
          <w:sz w:val="24"/>
          <w:szCs w:val="24"/>
          <w:highlight w:val="none"/>
          <w:shd w:val="clear"/>
          <w:lang w:val="en-US" w:eastAsia="zh-CN"/>
        </w:rPr>
        <w:t>0</w:t>
      </w:r>
      <w:r>
        <w:rPr>
          <w:rFonts w:hint="eastAsia" w:ascii="宋体" w:hAnsi="宋体"/>
          <w:bCs/>
          <w:iCs/>
          <w:color w:val="auto"/>
          <w:sz w:val="24"/>
          <w:szCs w:val="24"/>
          <w:highlight w:val="none"/>
          <w:shd w:val="clear"/>
        </w:rPr>
        <w:t>周岁以下，</w:t>
      </w:r>
      <w:r>
        <w:rPr>
          <w:rFonts w:hint="eastAsia" w:ascii="宋体" w:hAnsi="宋体"/>
          <w:bCs/>
          <w:iCs/>
          <w:color w:val="auto"/>
          <w:sz w:val="24"/>
          <w:szCs w:val="24"/>
          <w:highlight w:val="none"/>
        </w:rPr>
        <w:t>具有初中以上学历，五官端正，身材适中，具有2年以上相关工作经历，无犯罪记录。</w:t>
      </w:r>
    </w:p>
    <w:p w14:paraId="40EF46E3">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jc w:val="left"/>
        <w:textAlignment w:val="auto"/>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⑤垃圾清运员、</w:t>
      </w:r>
      <w:r>
        <w:rPr>
          <w:rFonts w:hint="eastAsia" w:ascii="宋体" w:hAnsi="宋体"/>
          <w:bCs/>
          <w:iCs/>
          <w:color w:val="auto"/>
          <w:sz w:val="24"/>
          <w:szCs w:val="24"/>
          <w:highlight w:val="none"/>
        </w:rPr>
        <w:t>保洁</w:t>
      </w:r>
      <w:r>
        <w:rPr>
          <w:rFonts w:hint="eastAsia" w:ascii="宋体" w:hAnsi="宋体"/>
          <w:bCs/>
          <w:iCs/>
          <w:color w:val="auto"/>
          <w:sz w:val="24"/>
          <w:szCs w:val="24"/>
          <w:highlight w:val="none"/>
          <w:lang w:val="en-US" w:eastAsia="zh-CN"/>
        </w:rPr>
        <w:t>员</w:t>
      </w:r>
      <w:r>
        <w:rPr>
          <w:rFonts w:hint="eastAsia" w:ascii="宋体" w:hAnsi="宋体"/>
          <w:bCs/>
          <w:iCs/>
          <w:color w:val="auto"/>
          <w:sz w:val="24"/>
          <w:szCs w:val="24"/>
          <w:highlight w:val="none"/>
        </w:rPr>
        <w:t>：男女不限，</w:t>
      </w:r>
      <w:r>
        <w:rPr>
          <w:rFonts w:hint="eastAsia" w:ascii="宋体" w:hAnsi="宋体"/>
          <w:bCs/>
          <w:iCs/>
          <w:color w:val="auto"/>
          <w:sz w:val="24"/>
          <w:szCs w:val="24"/>
          <w:highlight w:val="none"/>
          <w:shd w:val="clear"/>
        </w:rPr>
        <w:t>男性60周岁以下、女性5</w:t>
      </w:r>
      <w:r>
        <w:rPr>
          <w:rFonts w:hint="eastAsia" w:ascii="宋体" w:hAnsi="宋体"/>
          <w:bCs/>
          <w:iCs/>
          <w:color w:val="auto"/>
          <w:sz w:val="24"/>
          <w:szCs w:val="24"/>
          <w:highlight w:val="none"/>
          <w:shd w:val="clear"/>
          <w:lang w:val="en-US" w:eastAsia="zh-CN"/>
        </w:rPr>
        <w:t>0</w:t>
      </w:r>
      <w:r>
        <w:rPr>
          <w:rFonts w:hint="eastAsia" w:ascii="宋体" w:hAnsi="宋体"/>
          <w:bCs/>
          <w:iCs/>
          <w:color w:val="auto"/>
          <w:sz w:val="24"/>
          <w:szCs w:val="24"/>
          <w:highlight w:val="none"/>
          <w:shd w:val="clear"/>
        </w:rPr>
        <w:t>周岁以下，</w:t>
      </w:r>
      <w:r>
        <w:rPr>
          <w:rFonts w:hint="eastAsia" w:ascii="宋体" w:hAnsi="宋体"/>
          <w:bCs/>
          <w:iCs/>
          <w:color w:val="auto"/>
          <w:sz w:val="24"/>
          <w:szCs w:val="24"/>
          <w:highlight w:val="none"/>
        </w:rPr>
        <w:t>具有初中以上学历，五官端正，身材适中，具有2年以上相关工作经验，无犯罪记录。</w:t>
      </w:r>
    </w:p>
    <w:p w14:paraId="16CE120D">
      <w:pPr>
        <w:shd w:val="clear"/>
        <w:tabs>
          <w:tab w:val="left" w:pos="0"/>
        </w:tabs>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具体人员数量要求（含项目负责人及安全负责人）：</w:t>
      </w:r>
    </w:p>
    <w:p w14:paraId="1D78C764">
      <w:pPr>
        <w:shd w:val="clear"/>
        <w:tabs>
          <w:tab w:val="left" w:pos="0"/>
        </w:tabs>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分包1：</w:t>
      </w:r>
      <w:r>
        <w:rPr>
          <w:rFonts w:hint="eastAsia" w:ascii="宋体" w:hAnsi="宋体" w:cs="宋体"/>
          <w:b/>
          <w:color w:val="auto"/>
          <w:sz w:val="24"/>
          <w:szCs w:val="24"/>
          <w:highlight w:val="none"/>
          <w:lang w:eastAsia="zh-CN"/>
        </w:rPr>
        <w:t>重点区域</w:t>
      </w:r>
      <w:r>
        <w:rPr>
          <w:rFonts w:hint="eastAsia" w:ascii="宋体" w:hAnsi="宋体" w:cs="宋体"/>
          <w:b/>
          <w:color w:val="auto"/>
          <w:sz w:val="24"/>
          <w:szCs w:val="24"/>
          <w:highlight w:val="none"/>
        </w:rPr>
        <w:t>周边片区</w:t>
      </w:r>
    </w:p>
    <w:p w14:paraId="142F949D">
      <w:pPr>
        <w:shd w:val="clear"/>
        <w:spacing w:line="360" w:lineRule="auto"/>
        <w:ind w:firstLine="480"/>
        <w:rPr>
          <w:rFonts w:hint="default" w:ascii="宋体" w:hAnsi="宋体" w:eastAsia="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1.1道路保洁及绿化养护</w:t>
      </w:r>
    </w:p>
    <w:p w14:paraId="6FE1106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1 \* GB3 \* MERGEFORMAT </w:instrText>
      </w:r>
      <w:r>
        <w:rPr>
          <w:rFonts w:hint="eastAsia" w:ascii="宋体" w:hAnsi="宋体"/>
          <w:bCs/>
          <w:iCs/>
          <w:color w:val="auto"/>
          <w:sz w:val="24"/>
          <w:szCs w:val="24"/>
          <w:highlight w:val="none"/>
          <w:lang w:val="en-US" w:eastAsia="zh-CN"/>
        </w:rPr>
        <w:fldChar w:fldCharType="separate"/>
      </w:r>
      <w:r>
        <w:rPr>
          <w:color w:val="auto"/>
          <w:highlight w:val="none"/>
        </w:rPr>
        <w:t>①</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道路保洁（含交通护栏等公共设施保洁）：</w:t>
      </w:r>
      <w:r>
        <w:rPr>
          <w:rFonts w:hint="eastAsia" w:ascii="宋体" w:hAnsi="宋体"/>
          <w:bCs/>
          <w:iCs/>
          <w:color w:val="auto"/>
          <w:sz w:val="24"/>
          <w:szCs w:val="24"/>
          <w:highlight w:val="none"/>
          <w:shd w:val="clear"/>
          <w:lang w:val="en-US" w:eastAsia="zh-CN"/>
        </w:rPr>
        <w:t>15</w:t>
      </w:r>
      <w:r>
        <w:rPr>
          <w:rFonts w:hint="eastAsia" w:ascii="宋体" w:hAnsi="宋体"/>
          <w:bCs/>
          <w:iCs/>
          <w:color w:val="auto"/>
          <w:sz w:val="24"/>
          <w:szCs w:val="24"/>
          <w:highlight w:val="none"/>
          <w:shd w:val="clear"/>
        </w:rPr>
        <w:t>人</w:t>
      </w:r>
      <w:r>
        <w:rPr>
          <w:rFonts w:hint="eastAsia" w:ascii="宋体" w:hAnsi="宋体"/>
          <w:bCs/>
          <w:iCs/>
          <w:color w:val="auto"/>
          <w:sz w:val="24"/>
          <w:szCs w:val="24"/>
          <w:highlight w:val="none"/>
        </w:rPr>
        <w:t>，投标人应结合现场查勘按《江苏省城市环境卫生劳动定额》和《关于调整全市最低工资标准的通知》及《关于做好市区环卫工作的专题会议纪要》</w:t>
      </w:r>
      <w:r>
        <w:rPr>
          <w:rFonts w:hint="eastAsia" w:ascii="宋体" w:hAnsi="宋体"/>
          <w:bCs/>
          <w:iCs/>
          <w:color w:val="auto"/>
          <w:sz w:val="24"/>
          <w:szCs w:val="24"/>
          <w:highlight w:val="none"/>
          <w:lang w:val="en-US" w:eastAsia="zh-CN"/>
        </w:rPr>
        <w:t>进行测算</w:t>
      </w:r>
      <w:r>
        <w:rPr>
          <w:rFonts w:hint="eastAsia" w:ascii="宋体" w:hAnsi="宋体"/>
          <w:bCs/>
          <w:iCs/>
          <w:color w:val="auto"/>
          <w:sz w:val="24"/>
          <w:szCs w:val="24"/>
          <w:highlight w:val="none"/>
        </w:rPr>
        <w:t>，中标后实际作业方式按标书中约定执行。</w:t>
      </w:r>
    </w:p>
    <w:p w14:paraId="4FD8040C">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2 \* GB3 \* MERGEFORMAT </w:instrText>
      </w:r>
      <w:r>
        <w:rPr>
          <w:rFonts w:hint="eastAsia" w:ascii="宋体" w:hAnsi="宋体"/>
          <w:bCs/>
          <w:iCs/>
          <w:color w:val="auto"/>
          <w:sz w:val="24"/>
          <w:szCs w:val="24"/>
          <w:highlight w:val="none"/>
          <w:lang w:val="en-US" w:eastAsia="zh-CN"/>
        </w:rPr>
        <w:fldChar w:fldCharType="separate"/>
      </w:r>
      <w:r>
        <w:rPr>
          <w:color w:val="auto"/>
          <w:highlight w:val="none"/>
        </w:rPr>
        <w:t>②</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绿</w:t>
      </w:r>
      <w:r>
        <w:rPr>
          <w:rFonts w:hint="eastAsia" w:ascii="宋体" w:hAnsi="宋体"/>
          <w:bCs/>
          <w:iCs/>
          <w:color w:val="auto"/>
          <w:sz w:val="24"/>
          <w:szCs w:val="24"/>
          <w:highlight w:val="none"/>
          <w:lang w:val="en-US" w:eastAsia="zh-CN"/>
        </w:rPr>
        <w:t>化</w:t>
      </w:r>
      <w:r>
        <w:rPr>
          <w:rFonts w:hint="eastAsia" w:ascii="宋体" w:hAnsi="宋体"/>
          <w:bCs/>
          <w:iCs/>
          <w:color w:val="auto"/>
          <w:sz w:val="24"/>
          <w:szCs w:val="24"/>
          <w:highlight w:val="none"/>
        </w:rPr>
        <w:t>养护：按照养护面积和等级</w:t>
      </w:r>
      <w:r>
        <w:rPr>
          <w:rFonts w:hint="eastAsia" w:ascii="宋体" w:hAnsi="宋体"/>
          <w:bCs/>
          <w:iCs/>
          <w:color w:val="auto"/>
          <w:sz w:val="24"/>
          <w:szCs w:val="24"/>
          <w:highlight w:val="none"/>
          <w:lang w:val="en-US" w:eastAsia="zh-CN"/>
        </w:rPr>
        <w:t>进行养护</w:t>
      </w:r>
      <w:r>
        <w:rPr>
          <w:rFonts w:hint="eastAsia" w:ascii="宋体" w:hAnsi="宋体"/>
          <w:bCs/>
          <w:iCs/>
          <w:color w:val="auto"/>
          <w:sz w:val="24"/>
          <w:szCs w:val="24"/>
          <w:highlight w:val="none"/>
        </w:rPr>
        <w:t>。</w:t>
      </w:r>
    </w:p>
    <w:p w14:paraId="60597A77">
      <w:pPr>
        <w:shd w:val="clear"/>
        <w:spacing w:line="360" w:lineRule="auto"/>
        <w:ind w:firstLine="480"/>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3 \* GB3 \* MERGEFORMAT </w:instrText>
      </w:r>
      <w:r>
        <w:rPr>
          <w:rFonts w:hint="eastAsia" w:ascii="宋体" w:hAnsi="宋体"/>
          <w:bCs/>
          <w:iCs/>
          <w:color w:val="auto"/>
          <w:sz w:val="24"/>
          <w:szCs w:val="24"/>
          <w:highlight w:val="none"/>
          <w:lang w:val="en-US" w:eastAsia="zh-CN"/>
        </w:rPr>
        <w:fldChar w:fldCharType="separate"/>
      </w:r>
      <w:r>
        <w:rPr>
          <w:color w:val="auto"/>
          <w:highlight w:val="none"/>
        </w:rPr>
        <w:t>③</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驾驶员：根据</w:t>
      </w:r>
      <w:r>
        <w:rPr>
          <w:rFonts w:hint="eastAsia" w:ascii="宋体" w:hAnsi="宋体"/>
          <w:bCs/>
          <w:iCs/>
          <w:color w:val="auto"/>
          <w:sz w:val="24"/>
          <w:szCs w:val="24"/>
          <w:highlight w:val="none"/>
          <w:lang w:val="en-US" w:eastAsia="zh-CN"/>
        </w:rPr>
        <w:t>车辆</w:t>
      </w:r>
      <w:r>
        <w:rPr>
          <w:rFonts w:hint="eastAsia" w:ascii="宋体" w:hAnsi="宋体"/>
          <w:bCs/>
          <w:iCs/>
          <w:color w:val="auto"/>
          <w:sz w:val="24"/>
          <w:szCs w:val="24"/>
          <w:highlight w:val="none"/>
        </w:rPr>
        <w:t>需求配备相应驾驶员</w:t>
      </w:r>
      <w:r>
        <w:rPr>
          <w:rFonts w:hint="eastAsia" w:ascii="宋体" w:hAnsi="宋体"/>
          <w:bCs/>
          <w:iCs/>
          <w:color w:val="auto"/>
          <w:sz w:val="24"/>
          <w:szCs w:val="24"/>
          <w:highlight w:val="none"/>
          <w:lang w:eastAsia="zh-CN"/>
        </w:rPr>
        <w:t>，驾驶员的驾驶证与车辆车型匹配</w:t>
      </w: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 xml:space="preserve"> </w:t>
      </w:r>
    </w:p>
    <w:p w14:paraId="337EFC38">
      <w:pPr>
        <w:shd w:val="clear"/>
        <w:spacing w:line="360" w:lineRule="auto"/>
        <w:ind w:firstLine="480"/>
        <w:rPr>
          <w:rFonts w:hint="eastAsia" w:ascii="宋体" w:hAnsi="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1.2重点区域降尘作业</w:t>
      </w:r>
    </w:p>
    <w:p w14:paraId="46B35EAE">
      <w:pPr>
        <w:shd w:val="clear"/>
        <w:spacing w:line="360" w:lineRule="auto"/>
        <w:ind w:firstLine="480"/>
        <w:rPr>
          <w:rFonts w:hint="default"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驾驶员：</w:t>
      </w:r>
      <w:r>
        <w:rPr>
          <w:rFonts w:hint="eastAsia" w:ascii="宋体" w:hAnsi="宋体"/>
          <w:bCs/>
          <w:iCs/>
          <w:color w:val="auto"/>
          <w:sz w:val="24"/>
          <w:szCs w:val="24"/>
          <w:highlight w:val="none"/>
        </w:rPr>
        <w:t>根据</w:t>
      </w:r>
      <w:r>
        <w:rPr>
          <w:rFonts w:hint="eastAsia" w:ascii="宋体" w:hAnsi="宋体"/>
          <w:bCs/>
          <w:iCs/>
          <w:color w:val="auto"/>
          <w:sz w:val="24"/>
          <w:szCs w:val="24"/>
          <w:highlight w:val="none"/>
          <w:lang w:val="en-US" w:eastAsia="zh-CN"/>
        </w:rPr>
        <w:t>车辆</w:t>
      </w:r>
      <w:r>
        <w:rPr>
          <w:rFonts w:hint="eastAsia" w:ascii="宋体" w:hAnsi="宋体"/>
          <w:bCs/>
          <w:iCs/>
          <w:color w:val="auto"/>
          <w:sz w:val="24"/>
          <w:szCs w:val="24"/>
          <w:highlight w:val="none"/>
        </w:rPr>
        <w:t>需求配备相应驾驶员</w:t>
      </w:r>
      <w:r>
        <w:rPr>
          <w:rFonts w:hint="eastAsia" w:ascii="宋体" w:hAnsi="宋体"/>
          <w:bCs/>
          <w:iCs/>
          <w:color w:val="auto"/>
          <w:sz w:val="24"/>
          <w:szCs w:val="24"/>
          <w:highlight w:val="none"/>
          <w:lang w:eastAsia="zh-CN"/>
        </w:rPr>
        <w:t>，驾驶员的驾驶证与车辆车型匹配</w:t>
      </w:r>
      <w:r>
        <w:rPr>
          <w:rFonts w:hint="eastAsia" w:ascii="宋体" w:hAnsi="宋体"/>
          <w:bCs/>
          <w:iCs/>
          <w:color w:val="auto"/>
          <w:sz w:val="24"/>
          <w:szCs w:val="24"/>
          <w:highlight w:val="none"/>
        </w:rPr>
        <w:t>。</w:t>
      </w:r>
    </w:p>
    <w:p w14:paraId="43CF6117">
      <w:pPr>
        <w:shd w:val="clear"/>
        <w:tabs>
          <w:tab w:val="left" w:pos="0"/>
        </w:tabs>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分包</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 xml:space="preserve">：东北部片区 </w:t>
      </w:r>
    </w:p>
    <w:p w14:paraId="7739FFEC">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1 \* GB3 \* MERGEFORMAT </w:instrText>
      </w:r>
      <w:r>
        <w:rPr>
          <w:rFonts w:hint="eastAsia" w:ascii="宋体" w:hAnsi="宋体"/>
          <w:bCs/>
          <w:iCs/>
          <w:color w:val="auto"/>
          <w:sz w:val="24"/>
          <w:szCs w:val="24"/>
          <w:highlight w:val="none"/>
          <w:lang w:val="en-US" w:eastAsia="zh-CN"/>
        </w:rPr>
        <w:fldChar w:fldCharType="separate"/>
      </w:r>
      <w:r>
        <w:rPr>
          <w:color w:val="auto"/>
          <w:highlight w:val="none"/>
        </w:rPr>
        <w:t>①</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道路保洁（含交通护栏等公共设施保洁）：</w:t>
      </w:r>
      <w:r>
        <w:rPr>
          <w:rFonts w:hint="eastAsia" w:ascii="宋体" w:hAnsi="宋体"/>
          <w:bCs/>
          <w:iCs/>
          <w:color w:val="auto"/>
          <w:sz w:val="24"/>
          <w:szCs w:val="24"/>
          <w:highlight w:val="none"/>
          <w:shd w:val="clear"/>
          <w:lang w:val="en-US" w:eastAsia="zh-CN"/>
        </w:rPr>
        <w:t>25</w:t>
      </w:r>
      <w:r>
        <w:rPr>
          <w:rFonts w:hint="eastAsia" w:ascii="宋体" w:hAnsi="宋体"/>
          <w:bCs/>
          <w:iCs/>
          <w:color w:val="auto"/>
          <w:sz w:val="24"/>
          <w:szCs w:val="24"/>
          <w:highlight w:val="none"/>
        </w:rPr>
        <w:t>人，投标人应结合现场查勘按《江苏省城市环境卫生劳动定额》和《关于调整全市最低工资标准的通知》及《关于做好市区环卫工作的专题会议纪要》</w:t>
      </w:r>
      <w:r>
        <w:rPr>
          <w:rFonts w:hint="eastAsia" w:ascii="宋体" w:hAnsi="宋体"/>
          <w:bCs/>
          <w:iCs/>
          <w:color w:val="auto"/>
          <w:sz w:val="24"/>
          <w:szCs w:val="24"/>
          <w:highlight w:val="none"/>
          <w:lang w:val="en-US" w:eastAsia="zh-CN"/>
        </w:rPr>
        <w:t>进行测算</w:t>
      </w:r>
      <w:r>
        <w:rPr>
          <w:rFonts w:hint="eastAsia" w:ascii="宋体" w:hAnsi="宋体"/>
          <w:bCs/>
          <w:iCs/>
          <w:color w:val="auto"/>
          <w:sz w:val="24"/>
          <w:szCs w:val="24"/>
          <w:highlight w:val="none"/>
        </w:rPr>
        <w:t>，中标后实际作业方式按标书中约定执行。</w:t>
      </w:r>
    </w:p>
    <w:p w14:paraId="3D9B7AC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2 \* GB3 \* MERGEFORMAT </w:instrText>
      </w:r>
      <w:r>
        <w:rPr>
          <w:rFonts w:hint="eastAsia" w:ascii="宋体" w:hAnsi="宋体"/>
          <w:bCs/>
          <w:iCs/>
          <w:color w:val="auto"/>
          <w:sz w:val="24"/>
          <w:szCs w:val="24"/>
          <w:highlight w:val="none"/>
          <w:lang w:val="en-US" w:eastAsia="zh-CN"/>
        </w:rPr>
        <w:fldChar w:fldCharType="separate"/>
      </w:r>
      <w:r>
        <w:rPr>
          <w:color w:val="auto"/>
          <w:highlight w:val="none"/>
        </w:rPr>
        <w:t>②</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绿</w:t>
      </w:r>
      <w:r>
        <w:rPr>
          <w:rFonts w:hint="eastAsia" w:ascii="宋体" w:hAnsi="宋体"/>
          <w:bCs/>
          <w:iCs/>
          <w:color w:val="auto"/>
          <w:sz w:val="24"/>
          <w:szCs w:val="24"/>
          <w:highlight w:val="none"/>
          <w:lang w:val="en-US" w:eastAsia="zh-CN"/>
        </w:rPr>
        <w:t>化</w:t>
      </w:r>
      <w:r>
        <w:rPr>
          <w:rFonts w:hint="eastAsia" w:ascii="宋体" w:hAnsi="宋体"/>
          <w:bCs/>
          <w:iCs/>
          <w:color w:val="auto"/>
          <w:sz w:val="24"/>
          <w:szCs w:val="24"/>
          <w:highlight w:val="none"/>
        </w:rPr>
        <w:t>养护：按照养护面积和等级</w:t>
      </w:r>
      <w:r>
        <w:rPr>
          <w:rFonts w:hint="eastAsia" w:ascii="宋体" w:hAnsi="宋体"/>
          <w:bCs/>
          <w:iCs/>
          <w:color w:val="auto"/>
          <w:sz w:val="24"/>
          <w:szCs w:val="24"/>
          <w:highlight w:val="none"/>
          <w:lang w:val="en-US" w:eastAsia="zh-CN"/>
        </w:rPr>
        <w:t>进行养护</w:t>
      </w:r>
      <w:r>
        <w:rPr>
          <w:rFonts w:hint="eastAsia" w:ascii="宋体" w:hAnsi="宋体"/>
          <w:bCs/>
          <w:iCs/>
          <w:color w:val="auto"/>
          <w:sz w:val="24"/>
          <w:szCs w:val="24"/>
          <w:highlight w:val="none"/>
        </w:rPr>
        <w:t>。</w:t>
      </w:r>
    </w:p>
    <w:p w14:paraId="35178246">
      <w:pPr>
        <w:shd w:val="clear"/>
        <w:tabs>
          <w:tab w:val="left" w:pos="0"/>
        </w:tabs>
        <w:spacing w:line="360" w:lineRule="auto"/>
        <w:ind w:firstLine="482"/>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3 \* GB3 \* MERGEFORMAT </w:instrText>
      </w:r>
      <w:r>
        <w:rPr>
          <w:rFonts w:hint="eastAsia" w:ascii="宋体" w:hAnsi="宋体"/>
          <w:bCs/>
          <w:iCs/>
          <w:color w:val="auto"/>
          <w:sz w:val="24"/>
          <w:szCs w:val="24"/>
          <w:highlight w:val="none"/>
          <w:lang w:val="en-US" w:eastAsia="zh-CN"/>
        </w:rPr>
        <w:fldChar w:fldCharType="separate"/>
      </w:r>
      <w:r>
        <w:rPr>
          <w:color w:val="auto"/>
          <w:highlight w:val="none"/>
        </w:rPr>
        <w:t>③</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驾驶员：根据</w:t>
      </w:r>
      <w:r>
        <w:rPr>
          <w:rFonts w:hint="eastAsia" w:ascii="宋体" w:hAnsi="宋体"/>
          <w:bCs/>
          <w:iCs/>
          <w:color w:val="auto"/>
          <w:sz w:val="24"/>
          <w:szCs w:val="24"/>
          <w:highlight w:val="none"/>
          <w:lang w:val="en-US" w:eastAsia="zh-CN"/>
        </w:rPr>
        <w:t>车辆</w:t>
      </w:r>
      <w:r>
        <w:rPr>
          <w:rFonts w:hint="eastAsia" w:ascii="宋体" w:hAnsi="宋体"/>
          <w:bCs/>
          <w:iCs/>
          <w:color w:val="auto"/>
          <w:sz w:val="24"/>
          <w:szCs w:val="24"/>
          <w:highlight w:val="none"/>
        </w:rPr>
        <w:t>需求配备相应驾驶员</w:t>
      </w:r>
      <w:r>
        <w:rPr>
          <w:rFonts w:hint="eastAsia" w:ascii="宋体" w:hAnsi="宋体"/>
          <w:bCs/>
          <w:iCs/>
          <w:color w:val="auto"/>
          <w:sz w:val="24"/>
          <w:szCs w:val="24"/>
          <w:highlight w:val="none"/>
          <w:lang w:eastAsia="zh-CN"/>
        </w:rPr>
        <w:t>，驾驶员的驾驶证与车辆车型匹配</w:t>
      </w: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 xml:space="preserve">  </w:t>
      </w:r>
    </w:p>
    <w:p w14:paraId="2E3E43EB">
      <w:pPr>
        <w:shd w:val="clear"/>
        <w:tabs>
          <w:tab w:val="left" w:pos="0"/>
        </w:tabs>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分包</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：东南部片区（含翟庄路）</w:t>
      </w:r>
    </w:p>
    <w:p w14:paraId="63717575">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1 \* GB3 \* MERGEFORMAT </w:instrText>
      </w:r>
      <w:r>
        <w:rPr>
          <w:rFonts w:hint="eastAsia" w:ascii="宋体" w:hAnsi="宋体"/>
          <w:bCs/>
          <w:iCs/>
          <w:color w:val="auto"/>
          <w:sz w:val="24"/>
          <w:szCs w:val="24"/>
          <w:highlight w:val="none"/>
          <w:lang w:val="en-US" w:eastAsia="zh-CN"/>
        </w:rPr>
        <w:fldChar w:fldCharType="separate"/>
      </w:r>
      <w:r>
        <w:rPr>
          <w:color w:val="auto"/>
          <w:highlight w:val="none"/>
        </w:rPr>
        <w:t>①</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道路保洁（含交通护栏等公共设施保洁）：</w:t>
      </w:r>
      <w:r>
        <w:rPr>
          <w:rFonts w:hint="eastAsia" w:ascii="宋体" w:hAnsi="宋体"/>
          <w:bCs/>
          <w:iCs/>
          <w:color w:val="auto"/>
          <w:sz w:val="24"/>
          <w:szCs w:val="24"/>
          <w:highlight w:val="none"/>
          <w:shd w:val="clear"/>
          <w:lang w:val="en-US" w:eastAsia="zh-CN"/>
        </w:rPr>
        <w:t>33</w:t>
      </w:r>
      <w:r>
        <w:rPr>
          <w:rFonts w:hint="eastAsia" w:ascii="宋体" w:hAnsi="宋体"/>
          <w:bCs/>
          <w:iCs/>
          <w:color w:val="auto"/>
          <w:sz w:val="24"/>
          <w:szCs w:val="24"/>
          <w:highlight w:val="none"/>
        </w:rPr>
        <w:t>人，投标人应结合现场查勘按《江苏省城市环境卫生劳动定额》和《关于调整全市最低工资标准的通知》及《关于做好市区环卫工作的专题会议纪要》</w:t>
      </w:r>
      <w:r>
        <w:rPr>
          <w:rFonts w:hint="eastAsia" w:ascii="宋体" w:hAnsi="宋体"/>
          <w:bCs/>
          <w:iCs/>
          <w:color w:val="auto"/>
          <w:sz w:val="24"/>
          <w:szCs w:val="24"/>
          <w:highlight w:val="none"/>
          <w:lang w:val="en-US" w:eastAsia="zh-CN"/>
        </w:rPr>
        <w:t>进行测算</w:t>
      </w:r>
      <w:r>
        <w:rPr>
          <w:rFonts w:hint="eastAsia" w:ascii="宋体" w:hAnsi="宋体"/>
          <w:bCs/>
          <w:iCs/>
          <w:color w:val="auto"/>
          <w:sz w:val="24"/>
          <w:szCs w:val="24"/>
          <w:highlight w:val="none"/>
        </w:rPr>
        <w:t>，中标后实际作业方式按标书中约定执行。</w:t>
      </w:r>
    </w:p>
    <w:p w14:paraId="547FA63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2 \* GB3 \* MERGEFORMAT </w:instrText>
      </w:r>
      <w:r>
        <w:rPr>
          <w:rFonts w:hint="eastAsia" w:ascii="宋体" w:hAnsi="宋体"/>
          <w:bCs/>
          <w:iCs/>
          <w:color w:val="auto"/>
          <w:sz w:val="24"/>
          <w:szCs w:val="24"/>
          <w:highlight w:val="none"/>
          <w:lang w:val="en-US" w:eastAsia="zh-CN"/>
        </w:rPr>
        <w:fldChar w:fldCharType="separate"/>
      </w:r>
      <w:r>
        <w:rPr>
          <w:color w:val="auto"/>
          <w:highlight w:val="none"/>
        </w:rPr>
        <w:t>②</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绿</w:t>
      </w:r>
      <w:r>
        <w:rPr>
          <w:rFonts w:hint="eastAsia" w:ascii="宋体" w:hAnsi="宋体"/>
          <w:bCs/>
          <w:iCs/>
          <w:color w:val="auto"/>
          <w:sz w:val="24"/>
          <w:szCs w:val="24"/>
          <w:highlight w:val="none"/>
          <w:lang w:val="en-US" w:eastAsia="zh-CN"/>
        </w:rPr>
        <w:t>化</w:t>
      </w:r>
      <w:r>
        <w:rPr>
          <w:rFonts w:hint="eastAsia" w:ascii="宋体" w:hAnsi="宋体"/>
          <w:bCs/>
          <w:iCs/>
          <w:color w:val="auto"/>
          <w:sz w:val="24"/>
          <w:szCs w:val="24"/>
          <w:highlight w:val="none"/>
        </w:rPr>
        <w:t>养护：按照养护面积和等级</w:t>
      </w:r>
      <w:r>
        <w:rPr>
          <w:rFonts w:hint="eastAsia" w:ascii="宋体" w:hAnsi="宋体"/>
          <w:bCs/>
          <w:iCs/>
          <w:color w:val="auto"/>
          <w:sz w:val="24"/>
          <w:szCs w:val="24"/>
          <w:highlight w:val="none"/>
          <w:lang w:val="en-US" w:eastAsia="zh-CN"/>
        </w:rPr>
        <w:t>进行养护</w:t>
      </w:r>
      <w:r>
        <w:rPr>
          <w:rFonts w:hint="eastAsia" w:ascii="宋体" w:hAnsi="宋体"/>
          <w:bCs/>
          <w:iCs/>
          <w:color w:val="auto"/>
          <w:sz w:val="24"/>
          <w:szCs w:val="24"/>
          <w:highlight w:val="none"/>
        </w:rPr>
        <w:t>。</w:t>
      </w:r>
    </w:p>
    <w:p w14:paraId="6AAA0D2E">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fldChar w:fldCharType="begin"/>
      </w:r>
      <w:r>
        <w:rPr>
          <w:rFonts w:hint="eastAsia" w:ascii="宋体" w:hAnsi="宋体"/>
          <w:bCs/>
          <w:iCs/>
          <w:color w:val="auto"/>
          <w:sz w:val="24"/>
          <w:szCs w:val="24"/>
          <w:highlight w:val="none"/>
          <w:lang w:val="en-US" w:eastAsia="zh-CN"/>
        </w:rPr>
        <w:instrText xml:space="preserve"> = 3 \* GB3 \* MERGEFORMAT </w:instrText>
      </w:r>
      <w:r>
        <w:rPr>
          <w:rFonts w:hint="eastAsia" w:ascii="宋体" w:hAnsi="宋体"/>
          <w:bCs/>
          <w:iCs/>
          <w:color w:val="auto"/>
          <w:sz w:val="24"/>
          <w:szCs w:val="24"/>
          <w:highlight w:val="none"/>
          <w:lang w:val="en-US" w:eastAsia="zh-CN"/>
        </w:rPr>
        <w:fldChar w:fldCharType="separate"/>
      </w:r>
      <w:r>
        <w:rPr>
          <w:color w:val="auto"/>
          <w:highlight w:val="none"/>
        </w:rPr>
        <w:t>③</w:t>
      </w:r>
      <w:r>
        <w:rPr>
          <w:rFonts w:hint="eastAsia" w:ascii="宋体" w:hAnsi="宋体"/>
          <w:bCs/>
          <w:iCs/>
          <w:color w:val="auto"/>
          <w:sz w:val="24"/>
          <w:szCs w:val="24"/>
          <w:highlight w:val="none"/>
          <w:lang w:val="en-US" w:eastAsia="zh-CN"/>
        </w:rPr>
        <w:fldChar w:fldCharType="end"/>
      </w:r>
      <w:r>
        <w:rPr>
          <w:rFonts w:hint="eastAsia" w:ascii="宋体" w:hAnsi="宋体"/>
          <w:bCs/>
          <w:iCs/>
          <w:color w:val="auto"/>
          <w:sz w:val="24"/>
          <w:szCs w:val="24"/>
          <w:highlight w:val="none"/>
        </w:rPr>
        <w:t>驾驶员：根据</w:t>
      </w:r>
      <w:r>
        <w:rPr>
          <w:rFonts w:hint="eastAsia" w:ascii="宋体" w:hAnsi="宋体"/>
          <w:bCs/>
          <w:iCs/>
          <w:color w:val="auto"/>
          <w:sz w:val="24"/>
          <w:szCs w:val="24"/>
          <w:highlight w:val="none"/>
          <w:lang w:val="en-US" w:eastAsia="zh-CN"/>
        </w:rPr>
        <w:t>车辆</w:t>
      </w:r>
      <w:r>
        <w:rPr>
          <w:rFonts w:hint="eastAsia" w:ascii="宋体" w:hAnsi="宋体"/>
          <w:bCs/>
          <w:iCs/>
          <w:color w:val="auto"/>
          <w:sz w:val="24"/>
          <w:szCs w:val="24"/>
          <w:highlight w:val="none"/>
        </w:rPr>
        <w:t>需求配备相应驾驶员</w:t>
      </w:r>
      <w:r>
        <w:rPr>
          <w:rFonts w:hint="eastAsia" w:ascii="宋体" w:hAnsi="宋体"/>
          <w:bCs/>
          <w:iCs/>
          <w:color w:val="auto"/>
          <w:sz w:val="24"/>
          <w:szCs w:val="24"/>
          <w:highlight w:val="none"/>
          <w:lang w:eastAsia="zh-CN"/>
        </w:rPr>
        <w:t>，驾驶员的驾驶证与车辆车型匹配</w:t>
      </w:r>
      <w:r>
        <w:rPr>
          <w:rFonts w:hint="eastAsia" w:ascii="宋体" w:hAnsi="宋体"/>
          <w:bCs/>
          <w:iCs/>
          <w:color w:val="auto"/>
          <w:sz w:val="24"/>
          <w:szCs w:val="24"/>
          <w:highlight w:val="none"/>
        </w:rPr>
        <w:t>。</w:t>
      </w:r>
    </w:p>
    <w:p w14:paraId="2FF412DC">
      <w:pPr>
        <w:shd w:val="clear"/>
        <w:spacing w:line="360" w:lineRule="auto"/>
        <w:ind w:left="482"/>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6、恶劣天气应急预案</w:t>
      </w:r>
    </w:p>
    <w:p w14:paraId="1B5D0D00">
      <w:pPr>
        <w:pStyle w:val="43"/>
        <w:numPr>
          <w:ilvl w:val="0"/>
          <w:numId w:val="0"/>
        </w:numPr>
        <w:shd w:val="clear"/>
        <w:spacing w:line="360" w:lineRule="auto"/>
        <w:ind w:firstLine="480" w:firstLineChars="20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包括但不限于台风、雨雪、冰雹、霜冻、高温等天气或气候因素的应急预案，从恶劣天气应急的前期准备、期间和恶劣天气过后三个方面，方案应全面、合理、科学、可行性强。并培训相关人员达到相关服务要求，按照预案实施。统一调度安排人力、物力，服从采购人安排完成相关任务。</w:t>
      </w:r>
    </w:p>
    <w:p w14:paraId="7901CA37">
      <w:pPr>
        <w:pStyle w:val="43"/>
        <w:numPr>
          <w:ilvl w:val="0"/>
          <w:numId w:val="0"/>
        </w:numPr>
        <w:shd w:val="clear"/>
        <w:spacing w:line="360" w:lineRule="auto"/>
        <w:ind w:firstLine="480" w:firstLineChars="20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前期准备：恶劣天气预警前，准备好应急处理所需要的材料、物资和急救药品；检查运输车辆的机械状况，及时维修，并采购好维修配件；关注气象部门天气预报；召开会议，引起员工重视，做好相关个人防护措施；高温天气，做好降温准备，</w:t>
      </w:r>
      <w:r>
        <w:rPr>
          <w:rFonts w:ascii="PingFang SC" w:hAnsi="PingFang SC" w:eastAsia="PingFang SC" w:cs="PingFang SC"/>
          <w:i w:val="0"/>
          <w:iCs w:val="0"/>
          <w:caps w:val="0"/>
          <w:color w:val="202329"/>
          <w:spacing w:val="0"/>
          <w:sz w:val="24"/>
          <w:szCs w:val="24"/>
          <w:shd w:val="clear" w:fill="FFFFFF"/>
        </w:rPr>
        <w:t>储</w:t>
      </w:r>
      <w:r>
        <w:rPr>
          <w:rFonts w:hint="default" w:ascii="宋体" w:hAnsi="宋体"/>
          <w:bCs/>
          <w:iCs/>
          <w:color w:val="auto"/>
          <w:sz w:val="24"/>
          <w:szCs w:val="24"/>
          <w:highlight w:val="none"/>
          <w:lang w:val="en-US" w:eastAsia="zh-CN"/>
        </w:rPr>
        <w:t>备降温用品。</w:t>
      </w:r>
    </w:p>
    <w:p w14:paraId="53D1CFC6">
      <w:pPr>
        <w:pStyle w:val="43"/>
        <w:numPr>
          <w:ilvl w:val="0"/>
          <w:numId w:val="0"/>
        </w:numPr>
        <w:shd w:val="clear"/>
        <w:spacing w:line="360" w:lineRule="auto"/>
        <w:ind w:firstLine="480" w:firstLineChars="20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期间：服从采购人安排；应急突击队成员集中待命，情况发生时由项目负责人及安全员现场指挥；做好预防保护措施，极力保证设施、设备的安全；情况发生时从保证人员生命安全的角度出发，停止露天作业；恶劣天气一结束立即组织人员进行恢复性清扫；高温天气期间，适时调整工作时间。</w:t>
      </w:r>
    </w:p>
    <w:p w14:paraId="2F9EC340">
      <w:pPr>
        <w:pStyle w:val="43"/>
        <w:numPr>
          <w:ilvl w:val="0"/>
          <w:numId w:val="0"/>
        </w:numPr>
        <w:shd w:val="clear"/>
        <w:spacing w:line="360" w:lineRule="auto"/>
        <w:ind w:firstLine="480" w:firstLineChars="20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恶劣天气过后：总结经验和教训，完善应急处理办法；做好台账记录。</w:t>
      </w:r>
    </w:p>
    <w:p w14:paraId="1D118EBE">
      <w:pPr>
        <w:pStyle w:val="43"/>
        <w:numPr>
          <w:ilvl w:val="0"/>
          <w:numId w:val="0"/>
        </w:numPr>
        <w:shd w:val="clear"/>
        <w:spacing w:line="360" w:lineRule="auto"/>
        <w:ind w:firstLine="482" w:firstLineChars="200"/>
        <w:rPr>
          <w:rFonts w:ascii="宋体" w:hAnsi="宋体"/>
          <w:b/>
          <w:bCs/>
          <w:iCs/>
          <w:color w:val="auto"/>
          <w:sz w:val="24"/>
          <w:szCs w:val="24"/>
          <w:highlight w:val="none"/>
          <w:lang w:eastAsia="zh-CN"/>
        </w:rPr>
      </w:pPr>
      <w:r>
        <w:rPr>
          <w:rFonts w:hint="eastAsia" w:ascii="宋体" w:hAnsi="宋体"/>
          <w:b/>
          <w:bCs/>
          <w:iCs/>
          <w:color w:val="auto"/>
          <w:sz w:val="24"/>
          <w:szCs w:val="24"/>
          <w:highlight w:val="none"/>
          <w:lang w:val="en-US" w:eastAsia="zh-CN"/>
        </w:rPr>
        <w:t>7、工作交接</w:t>
      </w:r>
    </w:p>
    <w:p w14:paraId="4EC20227">
      <w:pPr>
        <w:pStyle w:val="43"/>
        <w:numPr>
          <w:ilvl w:val="0"/>
          <w:numId w:val="0"/>
        </w:numPr>
        <w:shd w:val="clear"/>
        <w:spacing w:line="360" w:lineRule="auto"/>
        <w:ind w:firstLine="480" w:firstLineChars="200"/>
        <w:rPr>
          <w:rFonts w:hint="eastAsia"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针对不同岗位人员制定相应安排计划方案。合同结束后人员安排应合理，提前做</w:t>
      </w:r>
    </w:p>
    <w:p w14:paraId="7C1E39F4">
      <w:pPr>
        <w:pStyle w:val="43"/>
        <w:numPr>
          <w:ilvl w:val="0"/>
          <w:numId w:val="0"/>
        </w:numPr>
        <w:shd w:val="clear"/>
        <w:spacing w:line="360" w:lineRule="auto"/>
        <w:ind w:firstLine="480" w:firstLineChars="200"/>
        <w:rPr>
          <w:rFonts w:hint="eastAsia" w:ascii="宋体" w:hAnsi="宋体"/>
          <w:bCs/>
          <w:iCs/>
          <w:color w:val="auto"/>
          <w:sz w:val="24"/>
          <w:szCs w:val="24"/>
          <w:highlight w:val="none"/>
          <w:lang w:val="en-US" w:eastAsia="zh-CN"/>
        </w:rPr>
      </w:pPr>
      <w:r>
        <w:rPr>
          <w:rFonts w:hint="eastAsia" w:ascii="宋体" w:hAnsi="宋体"/>
          <w:bCs/>
          <w:iCs/>
          <w:color w:val="auto"/>
          <w:sz w:val="24"/>
          <w:szCs w:val="24"/>
          <w:highlight w:val="none"/>
          <w:lang w:val="en-US" w:eastAsia="zh-CN"/>
        </w:rPr>
        <w:t>好与后续单位及采购人的无缝衔接、交接，不影响日常工作的正常进行，不留后续问题。妥善处理合同结束后人员的安排，避免出现劳动纠纷，项目的相关人员、单位和员工之间做好相关的交接工作，场地移交、设备移交、公共资源移交、台账资料移交等工作对接到位。</w:t>
      </w:r>
    </w:p>
    <w:p w14:paraId="1FED4D52">
      <w:pPr>
        <w:pStyle w:val="43"/>
        <w:numPr>
          <w:ilvl w:val="0"/>
          <w:numId w:val="0"/>
        </w:numPr>
        <w:shd w:val="clear"/>
        <w:spacing w:line="360" w:lineRule="auto"/>
        <w:ind w:firstLine="482" w:firstLineChars="200"/>
        <w:rPr>
          <w:rFonts w:hint="default" w:ascii="宋体" w:hAnsi="宋体"/>
          <w:b/>
          <w:bCs/>
          <w:iCs/>
          <w:color w:val="auto"/>
          <w:sz w:val="24"/>
          <w:szCs w:val="24"/>
          <w:highlight w:val="none"/>
          <w:lang w:val="en-US" w:eastAsia="zh-CN"/>
        </w:rPr>
      </w:pP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lang w:val="en-US" w:eastAsia="zh-CN"/>
        </w:rPr>
        <w:t>二</w:t>
      </w:r>
      <w:r>
        <w:rPr>
          <w:rFonts w:hint="eastAsia" w:ascii="宋体" w:hAnsi="宋体"/>
          <w:b/>
          <w:bCs/>
          <w:iCs/>
          <w:color w:val="auto"/>
          <w:sz w:val="24"/>
          <w:szCs w:val="24"/>
          <w:highlight w:val="none"/>
          <w:lang w:eastAsia="zh-CN"/>
        </w:rPr>
        <w:t>）</w:t>
      </w:r>
      <w:r>
        <w:rPr>
          <w:rFonts w:hint="eastAsia" w:ascii="宋体" w:hAnsi="宋体"/>
          <w:b/>
          <w:bCs/>
          <w:iCs/>
          <w:color w:val="auto"/>
          <w:sz w:val="24"/>
          <w:szCs w:val="24"/>
          <w:highlight w:val="none"/>
          <w:lang w:val="en-US" w:eastAsia="zh-CN"/>
        </w:rPr>
        <w:t>包4：</w:t>
      </w:r>
    </w:p>
    <w:p w14:paraId="13A81881">
      <w:pPr>
        <w:shd w:val="clear"/>
        <w:spacing w:line="360" w:lineRule="auto"/>
        <w:ind w:firstLine="482" w:firstLineChars="20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1、镇区生活垃圾（含一般工业固废）收运</w:t>
      </w:r>
    </w:p>
    <w:p w14:paraId="4BC3589F">
      <w:pPr>
        <w:keepNext w:val="0"/>
        <w:keepLines w:val="0"/>
        <w:pageBreakBefore w:val="0"/>
        <w:widowControl w:val="0"/>
        <w:shd w:val="clear"/>
        <w:kinsoku/>
        <w:wordWrap/>
        <w:overflowPunct/>
        <w:topLinePunct w:val="0"/>
        <w:autoSpaceDE/>
        <w:autoSpaceDN/>
        <w:bidi w:val="0"/>
        <w:adjustRightInd/>
        <w:snapToGrid/>
        <w:spacing w:line="360" w:lineRule="auto"/>
        <w:ind w:left="482"/>
        <w:textAlignment w:val="auto"/>
        <w:rPr>
          <w:rFonts w:ascii="宋体" w:hAnsi="宋体"/>
          <w:b/>
          <w:bCs/>
          <w:iCs/>
          <w:color w:val="auto"/>
          <w:sz w:val="24"/>
          <w:szCs w:val="24"/>
          <w:highlight w:val="none"/>
        </w:rPr>
      </w:pPr>
      <w:r>
        <w:rPr>
          <w:rFonts w:hint="eastAsia" w:ascii="宋体" w:hAnsi="宋体"/>
          <w:b/>
          <w:bCs/>
          <w:iCs/>
          <w:color w:val="auto"/>
          <w:sz w:val="24"/>
          <w:szCs w:val="24"/>
          <w:highlight w:val="none"/>
        </w:rPr>
        <w:t>（1）作业时间</w:t>
      </w:r>
    </w:p>
    <w:p w14:paraId="6E0DFD64">
      <w:pPr>
        <w:keepNext w:val="0"/>
        <w:keepLines w:val="0"/>
        <w:pageBreakBefore w:val="0"/>
        <w:widowControl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已撤桶路段，实行定时上门收运，早上9：00至11：00，下午13：00至15：00，晚上19：00至21：30，上门收运垃圾3趟次，重要路段增加夜班1次（时间以环卫部门通知为准），不间断巡查保洁。</w:t>
      </w:r>
    </w:p>
    <w:p w14:paraId="4B785643">
      <w:pPr>
        <w:shd w:val="clear"/>
        <w:spacing w:line="360" w:lineRule="auto"/>
        <w:ind w:firstLine="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其他未实施撤桶道路、单位垃圾收集第一遍应在早上7：00前完成，第二遍在下午1：00前完成；作业时间内巡回收集，同时保证垃圾容器不满溢；垃圾收集日产日清。</w:t>
      </w:r>
    </w:p>
    <w:p w14:paraId="013E4C65">
      <w:pPr>
        <w:shd w:val="clear"/>
        <w:spacing w:line="360" w:lineRule="auto"/>
        <w:ind w:left="480"/>
        <w:rPr>
          <w:rFonts w:ascii="宋体" w:hAnsi="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3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③</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上述作业时间为常规作业时间，环卫部门可根据实际调整。</w:t>
      </w:r>
    </w:p>
    <w:p w14:paraId="3314366D">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（2）收运范围</w:t>
      </w:r>
    </w:p>
    <w:p w14:paraId="5ED40E29">
      <w:pPr>
        <w:shd w:val="clear"/>
        <w:spacing w:line="360" w:lineRule="auto"/>
        <w:ind w:firstLine="480" w:firstLineChars="20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本项目收运主要为</w:t>
      </w:r>
      <w:r>
        <w:rPr>
          <w:rFonts w:hint="eastAsia" w:ascii="宋体" w:hAnsi="宋体" w:cs="宋体"/>
          <w:bCs/>
          <w:iCs/>
          <w:color w:val="auto"/>
          <w:sz w:val="24"/>
          <w:szCs w:val="24"/>
          <w:highlight w:val="none"/>
          <w:lang w:val="en-US" w:eastAsia="zh-CN"/>
        </w:rPr>
        <w:t>各类</w:t>
      </w:r>
      <w:r>
        <w:rPr>
          <w:rFonts w:hint="eastAsia" w:ascii="宋体" w:hAnsi="宋体" w:eastAsia="宋体" w:cs="宋体"/>
          <w:bCs/>
          <w:iCs/>
          <w:color w:val="auto"/>
          <w:sz w:val="24"/>
          <w:szCs w:val="24"/>
          <w:highlight w:val="none"/>
        </w:rPr>
        <w:t>生活垃圾</w:t>
      </w:r>
      <w:r>
        <w:rPr>
          <w:rFonts w:hint="eastAsia" w:ascii="宋体" w:hAnsi="宋体" w:cs="宋体"/>
          <w:bCs/>
          <w:iCs/>
          <w:color w:val="auto"/>
          <w:sz w:val="24"/>
          <w:szCs w:val="24"/>
          <w:highlight w:val="none"/>
          <w:lang w:val="en-US" w:eastAsia="zh-CN"/>
        </w:rPr>
        <w:t>及一般工业固废</w:t>
      </w:r>
      <w:r>
        <w:rPr>
          <w:rFonts w:hint="eastAsia" w:ascii="宋体" w:hAnsi="宋体" w:eastAsia="宋体" w:cs="宋体"/>
          <w:bCs/>
          <w:iCs/>
          <w:color w:val="auto"/>
          <w:sz w:val="24"/>
          <w:szCs w:val="24"/>
          <w:highlight w:val="none"/>
        </w:rPr>
        <w:t>，要求实行专人专车分类收运，不得</w:t>
      </w:r>
      <w:r>
        <w:rPr>
          <w:rFonts w:hint="eastAsia" w:ascii="宋体" w:hAnsi="宋体" w:eastAsia="宋体" w:cs="宋体"/>
          <w:bCs/>
          <w:iCs/>
          <w:color w:val="auto"/>
          <w:sz w:val="24"/>
          <w:szCs w:val="24"/>
          <w:highlight w:val="none"/>
          <w:lang w:val="en-US" w:eastAsia="zh-CN"/>
        </w:rPr>
        <w:t>将</w:t>
      </w:r>
      <w:r>
        <w:rPr>
          <w:rFonts w:hint="eastAsia" w:ascii="宋体" w:hAnsi="宋体" w:eastAsia="宋体" w:cs="宋体"/>
          <w:bCs/>
          <w:iCs/>
          <w:color w:val="auto"/>
          <w:sz w:val="24"/>
          <w:szCs w:val="24"/>
          <w:highlight w:val="none"/>
        </w:rPr>
        <w:t>垃圾混装混运。路面无主大件垃圾、建筑垃圾、绿化垃圾经环卫部门认可后，分类收运至指定场所。</w:t>
      </w:r>
    </w:p>
    <w:p w14:paraId="0665E730">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按照《扬州市生活垃圾分类管理条例》的要求，生活垃圾分为其他垃圾、可回收物、</w:t>
      </w:r>
      <w:r>
        <w:rPr>
          <w:rFonts w:hint="eastAsia" w:ascii="宋体" w:hAnsi="宋体" w:eastAsia="宋体" w:cs="宋体"/>
          <w:bCs/>
          <w:iCs/>
          <w:color w:val="auto"/>
          <w:sz w:val="24"/>
          <w:szCs w:val="24"/>
          <w:highlight w:val="none"/>
          <w:lang w:val="en-US" w:eastAsia="zh-CN"/>
        </w:rPr>
        <w:t>厨余</w:t>
      </w:r>
      <w:r>
        <w:rPr>
          <w:rFonts w:hint="eastAsia" w:ascii="宋体" w:hAnsi="宋体" w:eastAsia="宋体" w:cs="宋体"/>
          <w:bCs/>
          <w:iCs/>
          <w:color w:val="auto"/>
          <w:sz w:val="24"/>
          <w:szCs w:val="24"/>
          <w:highlight w:val="none"/>
        </w:rPr>
        <w:t>垃圾</w:t>
      </w:r>
      <w:r>
        <w:rPr>
          <w:rFonts w:hint="eastAsia" w:ascii="宋体" w:hAnsi="宋体" w:cs="宋体"/>
          <w:bCs/>
          <w:iCs/>
          <w:color w:val="auto"/>
          <w:sz w:val="24"/>
          <w:szCs w:val="24"/>
          <w:highlight w:val="none"/>
          <w:lang w:eastAsia="zh-CN"/>
        </w:rPr>
        <w:t>（</w:t>
      </w:r>
      <w:r>
        <w:rPr>
          <w:rFonts w:hint="eastAsia" w:ascii="宋体" w:hAnsi="宋体" w:cs="宋体"/>
          <w:bCs/>
          <w:iCs/>
          <w:color w:val="auto"/>
          <w:sz w:val="24"/>
          <w:szCs w:val="24"/>
          <w:highlight w:val="none"/>
          <w:lang w:val="en-US" w:eastAsia="zh-CN"/>
        </w:rPr>
        <w:t>餐厨垃圾）</w:t>
      </w:r>
      <w:r>
        <w:rPr>
          <w:rFonts w:hint="eastAsia" w:ascii="宋体" w:hAnsi="宋体" w:eastAsia="宋体" w:cs="宋体"/>
          <w:bCs/>
          <w:iCs/>
          <w:color w:val="auto"/>
          <w:sz w:val="24"/>
          <w:szCs w:val="24"/>
          <w:highlight w:val="none"/>
        </w:rPr>
        <w:t>和有害垃圾。辖区内所有居民小区、主次干道沿街店面、单位产生的生活垃圾进行分类收集作业，并运输至指定中转点、归集点。</w:t>
      </w:r>
    </w:p>
    <w:p w14:paraId="699C71E4">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（3）宣传要求</w:t>
      </w:r>
    </w:p>
    <w:p w14:paraId="15628131">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应配合环卫部门开展垃圾分类宣传工作，具体要求见评估办法。</w:t>
      </w:r>
    </w:p>
    <w:p w14:paraId="672AB73B">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
          <w:bCs w:val="0"/>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
          <w:iCs/>
          <w:color w:val="auto"/>
          <w:sz w:val="24"/>
          <w:szCs w:val="24"/>
          <w:highlight w:val="none"/>
          <w:u w:val="single"/>
        </w:rPr>
        <w:t>市场化保洁垃圾分类宣传工作由采购人提出需求，中标人根据采购人具体要求负责每半年</w:t>
      </w:r>
      <w:r>
        <w:rPr>
          <w:rFonts w:hint="eastAsia" w:ascii="宋体" w:hAnsi="宋体"/>
          <w:bCs/>
          <w:i/>
          <w:iCs/>
          <w:color w:val="auto"/>
          <w:sz w:val="24"/>
          <w:szCs w:val="24"/>
          <w:highlight w:val="none"/>
          <w:u w:val="single"/>
        </w:rPr>
        <w:t>举办一次市场化保洁垃圾分类宣传活动。</w:t>
      </w:r>
      <w:r>
        <w:rPr>
          <w:rFonts w:hint="eastAsia" w:ascii="宋体" w:hAnsi="宋体"/>
          <w:b/>
          <w:bCs w:val="0"/>
          <w:i/>
          <w:iCs/>
          <w:color w:val="auto"/>
          <w:sz w:val="24"/>
          <w:szCs w:val="24"/>
          <w:highlight w:val="none"/>
          <w:u w:val="single"/>
        </w:rPr>
        <w:t>（提供承诺书原件扫描上传，格式自拟）</w:t>
      </w:r>
    </w:p>
    <w:p w14:paraId="60830FD5">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（4）设施维护</w:t>
      </w:r>
    </w:p>
    <w:p w14:paraId="2B821845">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rPr>
        <w:t>负责在责任范围内所有垃圾分类投放点位设施（有害垃圾收集箱、垃圾桶、分类</w:t>
      </w:r>
    </w:p>
    <w:p w14:paraId="0AD0CAB6">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亭、围挡、果壳箱、单排厢房等）故障上报，对责任范围内果壳箱、垃圾亭（房、桶）损坏进行领取、更换。</w:t>
      </w:r>
    </w:p>
    <w:p w14:paraId="2A315DA9">
      <w:pPr>
        <w:shd w:val="clear"/>
        <w:spacing w:line="360" w:lineRule="auto"/>
        <w:ind w:left="482"/>
        <w:rPr>
          <w:rFonts w:ascii="宋体" w:hAnsi="宋体"/>
          <w:b/>
          <w:bCs/>
          <w:iCs/>
          <w:color w:val="auto"/>
          <w:sz w:val="24"/>
          <w:szCs w:val="24"/>
          <w:highlight w:val="none"/>
        </w:rPr>
      </w:pPr>
      <w:r>
        <w:rPr>
          <w:rFonts w:hint="eastAsia" w:ascii="宋体" w:hAnsi="宋体"/>
          <w:b/>
          <w:bCs/>
          <w:iCs/>
          <w:color w:val="auto"/>
          <w:sz w:val="24"/>
          <w:szCs w:val="24"/>
          <w:highlight w:val="none"/>
        </w:rPr>
        <w:t>（5）作业要求</w:t>
      </w:r>
    </w:p>
    <w:p w14:paraId="33532989">
      <w:pPr>
        <w:shd w:val="clear"/>
        <w:spacing w:line="360" w:lineRule="auto"/>
        <w:ind w:left="480" w:firstLine="240" w:firstLineChars="10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1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基本要求</w:t>
      </w:r>
    </w:p>
    <w:p w14:paraId="10F52362">
      <w:pPr>
        <w:shd w:val="clear"/>
        <w:spacing w:line="360" w:lineRule="auto"/>
        <w:ind w:firstLine="480" w:firstLineChars="20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1.</w:t>
      </w:r>
      <w:r>
        <w:rPr>
          <w:rFonts w:hint="eastAsia" w:ascii="宋体" w:hAnsi="宋体"/>
          <w:bCs/>
          <w:iCs/>
          <w:color w:val="auto"/>
          <w:sz w:val="24"/>
          <w:szCs w:val="24"/>
          <w:highlight w:val="none"/>
        </w:rPr>
        <w:t>小区、道路、街巷</w:t>
      </w:r>
    </w:p>
    <w:p w14:paraId="052292F5">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iCs/>
          <w:color w:val="auto"/>
          <w:sz w:val="24"/>
          <w:szCs w:val="24"/>
          <w:highlight w:val="none"/>
        </w:rPr>
      </w:pPr>
      <w:r>
        <w:rPr>
          <w:rFonts w:hint="eastAsia" w:ascii="宋体" w:hAnsi="宋体"/>
          <w:bCs/>
          <w:iCs/>
          <w:color w:val="auto"/>
          <w:sz w:val="24"/>
          <w:szCs w:val="24"/>
          <w:highlight w:val="none"/>
        </w:rPr>
        <w:t>所有垃圾收运应配备相应车辆分类收运。确保收运车干净整洁，每日冲洗，分类收集，密闭运输，不抛撒滴漏。作业时间内巡回收集，同时保证垃圾容器不满溢，垃圾收集日产日清。</w:t>
      </w:r>
    </w:p>
    <w:p w14:paraId="09252AC2">
      <w:pPr>
        <w:shd w:val="clear"/>
        <w:spacing w:line="360" w:lineRule="auto"/>
        <w:ind w:firstLine="480" w:firstLineChars="20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rPr>
        <w:t>机关企事业单位、宾馆酒店、农贸市场等</w:t>
      </w:r>
    </w:p>
    <w:p w14:paraId="74890CF8">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iCs/>
          <w:color w:val="auto"/>
          <w:sz w:val="24"/>
          <w:szCs w:val="24"/>
          <w:highlight w:val="none"/>
        </w:rPr>
      </w:pPr>
      <w:r>
        <w:rPr>
          <w:rFonts w:hint="eastAsia" w:ascii="宋体" w:hAnsi="宋体"/>
          <w:bCs/>
          <w:iCs/>
          <w:color w:val="auto"/>
          <w:sz w:val="24"/>
          <w:szCs w:val="24"/>
          <w:highlight w:val="none"/>
        </w:rPr>
        <w:t>所有垃圾收运应配备相应车辆分类收运。确保收运车干净整洁，每日冲洗，分类收集，密闭运输，不抛撒滴漏。每天早中晚各收运一次，同时保证垃圾容器不满溢，垃圾收集日产日清，文明作业，不得对其所服务的单位造成干扰。</w:t>
      </w:r>
    </w:p>
    <w:p w14:paraId="6E478B4D">
      <w:pPr>
        <w:shd w:val="clear"/>
        <w:spacing w:line="360" w:lineRule="auto"/>
        <w:ind w:left="480"/>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fldChar w:fldCharType="begin"/>
      </w:r>
      <w:r>
        <w:rPr>
          <w:rFonts w:hint="eastAsia" w:ascii="宋体" w:hAnsi="宋体" w:eastAsia="宋体" w:cs="宋体"/>
          <w:bCs/>
          <w:iCs/>
          <w:color w:val="auto"/>
          <w:sz w:val="24"/>
          <w:szCs w:val="24"/>
          <w:highlight w:val="none"/>
        </w:rPr>
        <w:instrText xml:space="preserve"> = 2 \* GB3 \* MERGEFORMAT </w:instrText>
      </w:r>
      <w:r>
        <w:rPr>
          <w:rFonts w:hint="eastAsia" w:ascii="宋体" w:hAnsi="宋体" w:eastAsia="宋体" w:cs="宋体"/>
          <w:bCs/>
          <w:iCs/>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bCs/>
          <w:iCs/>
          <w:color w:val="auto"/>
          <w:sz w:val="24"/>
          <w:szCs w:val="24"/>
          <w:highlight w:val="none"/>
        </w:rPr>
        <w:fldChar w:fldCharType="end"/>
      </w:r>
      <w:r>
        <w:rPr>
          <w:rFonts w:hint="eastAsia" w:ascii="宋体" w:hAnsi="宋体" w:eastAsia="宋体" w:cs="宋体"/>
          <w:bCs/>
          <w:iCs/>
          <w:color w:val="auto"/>
          <w:sz w:val="24"/>
          <w:szCs w:val="24"/>
          <w:highlight w:val="none"/>
        </w:rPr>
        <w:t>个性化要求</w:t>
      </w:r>
    </w:p>
    <w:p w14:paraId="66C57785">
      <w:pPr>
        <w:shd w:val="clear"/>
        <w:spacing w:line="360" w:lineRule="auto"/>
        <w:ind w:firstLine="480" w:firstLineChars="200"/>
        <w:rPr>
          <w:rFonts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w:t>
      </w:r>
      <w:r>
        <w:rPr>
          <w:rFonts w:hint="eastAsia" w:ascii="宋体" w:hAnsi="宋体"/>
          <w:bCs/>
          <w:iCs/>
          <w:color w:val="auto"/>
          <w:sz w:val="24"/>
          <w:szCs w:val="24"/>
          <w:highlight w:val="none"/>
        </w:rPr>
        <w:t>有害垃圾收运</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负责辖区内小区、单位、道路和庄台有害垃圾投放点的收运工作，收运至中转站归集点</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负责有害垃圾箱的擦洗、管理，不得自行处置有害垃圾</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单位有害垃圾箱每日清运，道路（果壳箱、有害垃圾箱、分类收集点）、小区、庄台有害垃圾箱每3日收运一次。</w:t>
      </w:r>
    </w:p>
    <w:p w14:paraId="4EA7B307">
      <w:pPr>
        <w:shd w:val="clear"/>
        <w:spacing w:line="360" w:lineRule="auto"/>
        <w:ind w:firstLine="480" w:firstLineChars="200"/>
        <w:rPr>
          <w:rFonts w:ascii="宋体" w:hAnsi="宋体"/>
          <w:bCs/>
          <w:iCs/>
          <w:color w:val="auto"/>
          <w:sz w:val="24"/>
          <w:szCs w:val="24"/>
          <w:highlight w:val="none"/>
        </w:rPr>
      </w:pP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rPr>
        <w:t>沿街商铺垃圾定时上门收运</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必须合理制定垃圾分类收集计划，配备充足收运作业人员和车辆，对沿街非餐饮店铺配备</w:t>
      </w:r>
      <w:r>
        <w:rPr>
          <w:rFonts w:hint="eastAsia" w:ascii="宋体" w:hAnsi="宋体"/>
          <w:bCs/>
          <w:iCs/>
          <w:color w:val="auto"/>
          <w:sz w:val="24"/>
          <w:szCs w:val="24"/>
          <w:highlight w:val="none"/>
          <w:lang w:val="en-US" w:eastAsia="zh-CN"/>
        </w:rPr>
        <w:t>相应车辆</w:t>
      </w:r>
      <w:r>
        <w:rPr>
          <w:rFonts w:hint="eastAsia" w:ascii="宋体" w:hAnsi="宋体"/>
          <w:bCs/>
          <w:iCs/>
          <w:color w:val="auto"/>
          <w:sz w:val="24"/>
          <w:szCs w:val="24"/>
          <w:highlight w:val="none"/>
        </w:rPr>
        <w:t>，确保能够完成辖区内上门分类收集任务；对沿街小型餐饮店铺，应配备</w:t>
      </w:r>
      <w:r>
        <w:rPr>
          <w:rFonts w:hint="eastAsia" w:ascii="宋体" w:hAnsi="宋体"/>
          <w:bCs/>
          <w:iCs/>
          <w:color w:val="auto"/>
          <w:sz w:val="24"/>
          <w:szCs w:val="24"/>
          <w:highlight w:val="none"/>
          <w:lang w:val="en-US" w:eastAsia="zh-CN"/>
        </w:rPr>
        <w:t>相应车辆</w:t>
      </w:r>
      <w:r>
        <w:rPr>
          <w:rFonts w:hint="eastAsia" w:ascii="宋体" w:hAnsi="宋体"/>
          <w:bCs/>
          <w:iCs/>
          <w:color w:val="auto"/>
          <w:sz w:val="24"/>
          <w:szCs w:val="24"/>
          <w:highlight w:val="none"/>
        </w:rPr>
        <w:t>，将</w:t>
      </w:r>
      <w:r>
        <w:rPr>
          <w:rFonts w:hint="eastAsia" w:ascii="宋体" w:hAnsi="宋体"/>
          <w:bCs/>
          <w:iCs/>
          <w:color w:val="auto"/>
          <w:sz w:val="24"/>
          <w:szCs w:val="24"/>
          <w:highlight w:val="none"/>
          <w:lang w:val="en-US" w:eastAsia="zh-CN"/>
        </w:rPr>
        <w:t>厨余垃圾</w:t>
      </w:r>
      <w:r>
        <w:rPr>
          <w:rFonts w:hint="eastAsia" w:ascii="宋体" w:hAnsi="宋体"/>
          <w:bCs/>
          <w:iCs/>
          <w:color w:val="auto"/>
          <w:sz w:val="24"/>
          <w:szCs w:val="24"/>
          <w:highlight w:val="none"/>
        </w:rPr>
        <w:t>送至指定场所归集，确保路面无</w:t>
      </w:r>
      <w:r>
        <w:rPr>
          <w:rFonts w:hint="eastAsia" w:ascii="宋体" w:hAnsi="宋体"/>
          <w:bCs/>
          <w:iCs/>
          <w:color w:val="auto"/>
          <w:sz w:val="24"/>
          <w:szCs w:val="24"/>
          <w:highlight w:val="none"/>
          <w:lang w:val="en-US" w:eastAsia="zh-CN"/>
        </w:rPr>
        <w:t>厨余垃圾</w:t>
      </w:r>
      <w:r>
        <w:rPr>
          <w:rFonts w:hint="eastAsia" w:ascii="宋体" w:hAnsi="宋体"/>
          <w:bCs/>
          <w:iCs/>
          <w:color w:val="auto"/>
          <w:sz w:val="24"/>
          <w:szCs w:val="24"/>
          <w:highlight w:val="none"/>
        </w:rPr>
        <w:t>桶。</w:t>
      </w:r>
    </w:p>
    <w:p w14:paraId="6ADC0F0D">
      <w:pPr>
        <w:shd w:val="clear"/>
        <w:spacing w:line="360" w:lineRule="auto"/>
        <w:ind w:firstLine="482" w:firstLineChars="20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2、公厕保洁</w:t>
      </w:r>
    </w:p>
    <w:p w14:paraId="1A70B342">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1</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应在早6</w:t>
      </w:r>
      <w:r>
        <w:rPr>
          <w:rFonts w:hint="eastAsia" w:ascii="宋体" w:hAnsi="宋体"/>
          <w:bCs/>
          <w:iCs/>
          <w:color w:val="auto"/>
          <w:sz w:val="24"/>
          <w:szCs w:val="24"/>
          <w:highlight w:val="none"/>
          <w:lang w:val="en-US" w:eastAsia="zh-CN"/>
        </w:rPr>
        <w:t>:</w:t>
      </w:r>
      <w:r>
        <w:rPr>
          <w:rFonts w:hint="eastAsia" w:ascii="宋体" w:hAnsi="宋体"/>
          <w:bCs/>
          <w:iCs/>
          <w:color w:val="auto"/>
          <w:sz w:val="24"/>
          <w:szCs w:val="24"/>
          <w:highlight w:val="none"/>
        </w:rPr>
        <w:t>00至晚</w:t>
      </w:r>
      <w:r>
        <w:rPr>
          <w:rFonts w:hint="eastAsia" w:ascii="宋体" w:hAnsi="宋体"/>
          <w:bCs/>
          <w:iCs/>
          <w:color w:val="auto"/>
          <w:sz w:val="24"/>
          <w:szCs w:val="24"/>
          <w:highlight w:val="none"/>
          <w:lang w:val="en-US" w:eastAsia="zh-CN"/>
        </w:rPr>
        <w:t>20:</w:t>
      </w:r>
      <w:r>
        <w:rPr>
          <w:rFonts w:hint="eastAsia" w:ascii="宋体" w:hAnsi="宋体"/>
          <w:bCs/>
          <w:iCs/>
          <w:color w:val="auto"/>
          <w:sz w:val="24"/>
          <w:szCs w:val="24"/>
          <w:highlight w:val="none"/>
        </w:rPr>
        <w:t>00巡回作业。由专人保洁24小时开放，保洁标准达到“六无四净”的要求.</w:t>
      </w:r>
    </w:p>
    <w:p w14:paraId="3B627E70">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实行专人负责巡回保洁，自备保洁工具，应做到“六无四净”（无蝇、无</w:t>
      </w:r>
    </w:p>
    <w:p w14:paraId="08E431D0">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蛆、无积水、无便溢、无蛛网、无臭味，地面净、墙壁净、便池净、周围净）。</w:t>
      </w:r>
    </w:p>
    <w:p w14:paraId="772E57E6">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3</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对公厕进行日常管理（含小广告清理），及时向环卫办报告设施损坏情况，</w:t>
      </w:r>
    </w:p>
    <w:p w14:paraId="5B35CCB8">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确保在各类检查中不失分。</w:t>
      </w:r>
    </w:p>
    <w:p w14:paraId="6FEF3C38">
      <w:pPr>
        <w:shd w:val="clear"/>
        <w:spacing w:line="360" w:lineRule="auto"/>
        <w:ind w:left="480"/>
        <w:rPr>
          <w:rFonts w:ascii="宋体" w:hAnsi="宋体"/>
          <w:bCs/>
          <w:iCs/>
          <w:color w:val="auto"/>
          <w:sz w:val="24"/>
          <w:szCs w:val="24"/>
          <w:highlight w:val="none"/>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4</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化粪池按实际情况，每年清理不少于一次，保持通畅。</w:t>
      </w:r>
    </w:p>
    <w:p w14:paraId="266C7D6F">
      <w:pPr>
        <w:shd w:val="clear"/>
        <w:spacing w:line="360" w:lineRule="auto"/>
        <w:ind w:left="480"/>
        <w:rPr>
          <w:rFonts w:hint="eastAsia" w:ascii="宋体" w:hAnsi="宋体"/>
          <w:bCs/>
          <w:iCs/>
          <w:color w:val="auto"/>
          <w:sz w:val="24"/>
          <w:szCs w:val="24"/>
          <w:highlight w:val="none"/>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5</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达到文明城市创建的保洁标准。</w:t>
      </w:r>
    </w:p>
    <w:p w14:paraId="36F41373">
      <w:pPr>
        <w:shd w:val="clear"/>
        <w:spacing w:line="360" w:lineRule="auto"/>
        <w:ind w:left="482"/>
        <w:rPr>
          <w:rFonts w:hint="eastAsia" w:ascii="宋体" w:hAnsi="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3、作业车辆配备</w:t>
      </w:r>
    </w:p>
    <w:p w14:paraId="30ECF044">
      <w:pPr>
        <w:shd w:val="clear"/>
        <w:spacing w:before="120" w:after="120" w:line="360" w:lineRule="auto"/>
        <w:ind w:firstLine="482"/>
        <w:jc w:val="center"/>
        <w:rPr>
          <w:rFonts w:ascii="宋体" w:hAnsi="宋体"/>
          <w:b/>
          <w:bCs/>
          <w:iCs/>
          <w:color w:val="auto"/>
          <w:sz w:val="24"/>
          <w:szCs w:val="24"/>
          <w:highlight w:val="none"/>
        </w:rPr>
      </w:pPr>
      <w:r>
        <w:rPr>
          <w:rFonts w:hint="eastAsia" w:ascii="宋体" w:hAnsi="宋体"/>
          <w:b/>
          <w:bCs/>
          <w:iCs/>
          <w:color w:val="auto"/>
          <w:sz w:val="24"/>
          <w:szCs w:val="24"/>
          <w:highlight w:val="none"/>
        </w:rPr>
        <w:t>分包4：</w:t>
      </w:r>
      <w:r>
        <w:rPr>
          <w:rFonts w:hint="eastAsia" w:ascii="宋体" w:hAnsi="宋体"/>
          <w:b/>
          <w:bCs/>
          <w:iCs/>
          <w:color w:val="auto"/>
          <w:sz w:val="24"/>
          <w:szCs w:val="24"/>
          <w:highlight w:val="none"/>
          <w:lang w:val="en-US" w:eastAsia="zh-CN"/>
        </w:rPr>
        <w:t>镇区生活垃圾（含一般工业固废）收运</w:t>
      </w:r>
      <w:r>
        <w:rPr>
          <w:rFonts w:hint="eastAsia" w:ascii="宋体" w:hAnsi="宋体"/>
          <w:b/>
          <w:bCs/>
          <w:iCs/>
          <w:color w:val="auto"/>
          <w:sz w:val="24"/>
          <w:szCs w:val="24"/>
          <w:highlight w:val="none"/>
        </w:rPr>
        <w:t>及公厕保洁作业</w:t>
      </w:r>
    </w:p>
    <w:p w14:paraId="58EC94B9">
      <w:pPr>
        <w:shd w:val="clear"/>
        <w:spacing w:line="360" w:lineRule="auto"/>
        <w:jc w:val="center"/>
        <w:rPr>
          <w:rFonts w:ascii="宋体" w:hAnsi="宋体"/>
          <w:b/>
          <w:bCs/>
          <w:iCs/>
          <w:color w:val="auto"/>
          <w:sz w:val="24"/>
          <w:szCs w:val="24"/>
          <w:highlight w:val="none"/>
        </w:rPr>
      </w:pPr>
      <w:r>
        <w:rPr>
          <w:rFonts w:ascii="宋体" w:hAnsi="宋体"/>
          <w:b/>
          <w:bCs/>
          <w:iCs/>
          <w:color w:val="auto"/>
          <w:sz w:val="24"/>
          <w:szCs w:val="24"/>
          <w:highlight w:val="none"/>
        </w:rPr>
        <w:t>车辆配置表</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4065"/>
        <w:gridCol w:w="1169"/>
        <w:gridCol w:w="3018"/>
      </w:tblGrid>
      <w:tr w14:paraId="42A3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00" w:type="pct"/>
            <w:shd w:val="clear" w:color="auto" w:fill="auto"/>
            <w:vAlign w:val="center"/>
          </w:tcPr>
          <w:p w14:paraId="23CBD550">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序号</w:t>
            </w:r>
          </w:p>
        </w:tc>
        <w:tc>
          <w:tcPr>
            <w:tcW w:w="2216" w:type="pct"/>
            <w:shd w:val="clear" w:color="auto" w:fill="auto"/>
            <w:vAlign w:val="center"/>
          </w:tcPr>
          <w:p w14:paraId="50D986A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车辆名称</w:t>
            </w:r>
          </w:p>
        </w:tc>
        <w:tc>
          <w:tcPr>
            <w:tcW w:w="637" w:type="pct"/>
            <w:shd w:val="clear" w:color="auto" w:fill="auto"/>
            <w:vAlign w:val="center"/>
          </w:tcPr>
          <w:p w14:paraId="081F0B0F">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数量</w:t>
            </w:r>
          </w:p>
        </w:tc>
        <w:tc>
          <w:tcPr>
            <w:tcW w:w="1645" w:type="pct"/>
            <w:shd w:val="clear" w:color="auto" w:fill="auto"/>
          </w:tcPr>
          <w:p w14:paraId="549171E3">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备注</w:t>
            </w:r>
          </w:p>
        </w:tc>
      </w:tr>
      <w:tr w14:paraId="23E4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00" w:type="pct"/>
            <w:shd w:val="clear" w:color="auto" w:fill="auto"/>
            <w:vAlign w:val="center"/>
          </w:tcPr>
          <w:p w14:paraId="3EDB9D7E">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val="en-US" w:eastAsia="zh-CN"/>
              </w:rPr>
              <w:t>1</w:t>
            </w:r>
          </w:p>
        </w:tc>
        <w:tc>
          <w:tcPr>
            <w:tcW w:w="2216" w:type="pct"/>
            <w:shd w:val="clear" w:color="auto" w:fill="auto"/>
            <w:vAlign w:val="center"/>
          </w:tcPr>
          <w:p w14:paraId="7880EF4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四分类电动垃圾收集车</w:t>
            </w:r>
          </w:p>
        </w:tc>
        <w:tc>
          <w:tcPr>
            <w:tcW w:w="637" w:type="pct"/>
            <w:shd w:val="clear" w:color="auto" w:fill="auto"/>
            <w:vAlign w:val="center"/>
          </w:tcPr>
          <w:p w14:paraId="59F9532C">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12辆</w:t>
            </w:r>
          </w:p>
        </w:tc>
        <w:tc>
          <w:tcPr>
            <w:tcW w:w="1645" w:type="pct"/>
            <w:shd w:val="clear" w:color="auto" w:fill="auto"/>
            <w:vAlign w:val="center"/>
          </w:tcPr>
          <w:p w14:paraId="43B08981">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其中：其他垃圾8辆，可回收物1辆，有害垃圾1辆，厨余垃圾2辆</w:t>
            </w:r>
          </w:p>
        </w:tc>
      </w:tr>
      <w:tr w14:paraId="7C21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00" w:type="pct"/>
            <w:shd w:val="clear" w:color="auto" w:fill="auto"/>
            <w:vAlign w:val="center"/>
          </w:tcPr>
          <w:p w14:paraId="4177B6A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w:t>
            </w:r>
          </w:p>
        </w:tc>
        <w:tc>
          <w:tcPr>
            <w:tcW w:w="2216" w:type="pct"/>
            <w:shd w:val="clear" w:color="auto" w:fill="auto"/>
            <w:vAlign w:val="center"/>
          </w:tcPr>
          <w:p w14:paraId="1FA8EB6D">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rPr>
            </w:pPr>
            <w:r>
              <w:rPr>
                <w:rFonts w:hint="default" w:ascii="宋体" w:hAnsi="宋体" w:cs="宋体"/>
                <w:color w:val="auto"/>
                <w:kern w:val="2"/>
                <w:sz w:val="24"/>
                <w:szCs w:val="24"/>
                <w:highlight w:val="none"/>
              </w:rPr>
              <w:t>4轮8桶平板车</w:t>
            </w:r>
          </w:p>
        </w:tc>
        <w:tc>
          <w:tcPr>
            <w:tcW w:w="637" w:type="pct"/>
            <w:shd w:val="clear" w:color="auto" w:fill="auto"/>
            <w:vAlign w:val="center"/>
          </w:tcPr>
          <w:p w14:paraId="48C17CED">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3辆</w:t>
            </w:r>
          </w:p>
        </w:tc>
        <w:tc>
          <w:tcPr>
            <w:tcW w:w="1645" w:type="pct"/>
            <w:shd w:val="clear" w:color="auto" w:fill="auto"/>
          </w:tcPr>
          <w:p w14:paraId="76D1C884">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一般工业固废收运车</w:t>
            </w:r>
          </w:p>
        </w:tc>
      </w:tr>
    </w:tbl>
    <w:p w14:paraId="6A0E15C9">
      <w:pPr>
        <w:keepNext w:val="0"/>
        <w:keepLines w:val="0"/>
        <w:pageBreakBefore w:val="0"/>
        <w:widowControl w:val="0"/>
        <w:shd w:val="clear"/>
        <w:kinsoku/>
        <w:wordWrap/>
        <w:overflowPunct/>
        <w:topLinePunct w:val="0"/>
        <w:autoSpaceDE/>
        <w:autoSpaceDN/>
        <w:bidi w:val="0"/>
        <w:adjustRightInd/>
        <w:snapToGrid/>
        <w:spacing w:before="181" w:beforeLines="50" w:line="360" w:lineRule="auto"/>
        <w:ind w:left="437"/>
        <w:textAlignment w:val="auto"/>
        <w:rPr>
          <w:rFonts w:hint="default" w:ascii="宋体" w:hAnsi="宋体"/>
          <w:b/>
          <w:bCs w:val="0"/>
          <w:iCs/>
          <w:color w:val="auto"/>
          <w:sz w:val="24"/>
          <w:szCs w:val="24"/>
          <w:highlight w:val="none"/>
          <w:lang w:val="en-US" w:eastAsia="zh-CN"/>
        </w:rPr>
      </w:pPr>
      <w:r>
        <w:rPr>
          <w:rFonts w:hint="eastAsia" w:ascii="宋体" w:hAnsi="宋体"/>
          <w:b/>
          <w:bCs w:val="0"/>
          <w:iCs/>
          <w:color w:val="auto"/>
          <w:sz w:val="24"/>
          <w:szCs w:val="24"/>
          <w:highlight w:val="none"/>
          <w:lang w:val="en-US" w:eastAsia="zh-CN"/>
        </w:rPr>
        <w:t>以上车辆要求：</w:t>
      </w:r>
    </w:p>
    <w:p w14:paraId="6A488293">
      <w:pPr>
        <w:shd w:val="clear"/>
        <w:spacing w:line="360" w:lineRule="auto"/>
        <w:ind w:left="437"/>
        <w:rPr>
          <w:rFonts w:hint="eastAsia" w:ascii="宋体" w:hAnsi="宋体"/>
          <w:bCs/>
          <w:iCs/>
          <w:color w:val="auto"/>
          <w:sz w:val="24"/>
          <w:szCs w:val="24"/>
          <w:highlight w:val="none"/>
        </w:rPr>
      </w:pPr>
      <w:r>
        <w:rPr>
          <w:rFonts w:hint="eastAsia" w:ascii="宋体" w:hAnsi="宋体"/>
          <w:bCs/>
          <w:iCs/>
          <w:color w:val="auto"/>
          <w:sz w:val="24"/>
          <w:szCs w:val="24"/>
          <w:highlight w:val="none"/>
        </w:rPr>
        <w:t>1、信息化监管</w:t>
      </w:r>
    </w:p>
    <w:p w14:paraId="684800E1">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各片区作业单位将机械化作业信息统一接入市区“城市管家”一体化作业信息监</w:t>
      </w:r>
    </w:p>
    <w:p w14:paraId="2DE483AF">
      <w:pPr>
        <w:shd w:val="clear"/>
        <w:spacing w:line="360" w:lineRule="auto"/>
        <w:rPr>
          <w:rFonts w:hint="eastAsia" w:ascii="宋体" w:hAnsi="宋体" w:eastAsia="宋体"/>
          <w:bCs/>
          <w:iCs/>
          <w:color w:val="auto"/>
          <w:sz w:val="24"/>
          <w:szCs w:val="24"/>
          <w:highlight w:val="none"/>
          <w:lang w:eastAsia="zh-CN"/>
        </w:rPr>
      </w:pPr>
      <w:r>
        <w:rPr>
          <w:rFonts w:hint="eastAsia" w:ascii="宋体" w:hAnsi="宋体"/>
          <w:bCs/>
          <w:iCs/>
          <w:color w:val="auto"/>
          <w:sz w:val="24"/>
          <w:szCs w:val="24"/>
          <w:highlight w:val="none"/>
        </w:rPr>
        <w:t>管系统，其中机械化作业车辆按规定实行定车、定路段作业并安装定位系统、视频摄像头等监控装置。市区一体化信息监管系统实时监测作业轨迹、作业过程、作业质效等</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所有车辆均需按照环卫办要求加装GPS和相关传感设备并接入采购人指定平台，所产生的费用由车辆所有人承担</w:t>
      </w:r>
      <w:r>
        <w:rPr>
          <w:rFonts w:hint="eastAsia" w:ascii="宋体" w:hAnsi="宋体"/>
          <w:bCs/>
          <w:iCs/>
          <w:color w:val="auto"/>
          <w:sz w:val="24"/>
          <w:szCs w:val="24"/>
          <w:highlight w:val="none"/>
          <w:lang w:eastAsia="zh-CN"/>
        </w:rPr>
        <w:t>。</w:t>
      </w:r>
    </w:p>
    <w:p w14:paraId="50451383">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2、车辆基本要求</w:t>
      </w:r>
    </w:p>
    <w:p w14:paraId="6FA8497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Cs/>
          <w:iCs/>
          <w:color w:val="auto"/>
          <w:sz w:val="24"/>
          <w:szCs w:val="24"/>
          <w:highlight w:val="none"/>
          <w:lang w:eastAsia="zh-CN"/>
        </w:rPr>
      </w:pP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1</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lang w:val="en-US" w:eastAsia="zh-CN"/>
        </w:rPr>
        <w:t>所有作业车辆</w:t>
      </w:r>
      <w:r>
        <w:rPr>
          <w:rFonts w:hint="eastAsia" w:ascii="宋体" w:hAnsi="宋体"/>
          <w:bCs/>
          <w:iCs/>
          <w:color w:val="auto"/>
          <w:sz w:val="24"/>
          <w:szCs w:val="24"/>
          <w:highlight w:val="none"/>
          <w:lang w:eastAsia="zh-CN"/>
        </w:rPr>
        <w:t>根据</w:t>
      </w:r>
      <w:r>
        <w:rPr>
          <w:rFonts w:hint="eastAsia" w:ascii="宋体" w:hAnsi="宋体"/>
          <w:bCs/>
          <w:iCs/>
          <w:color w:val="auto"/>
          <w:sz w:val="24"/>
          <w:szCs w:val="24"/>
          <w:highlight w:val="none"/>
          <w:lang w:val="en-US" w:eastAsia="zh-CN"/>
        </w:rPr>
        <w:t>采购人</w:t>
      </w:r>
      <w:r>
        <w:rPr>
          <w:rFonts w:hint="eastAsia" w:ascii="宋体" w:hAnsi="宋体"/>
          <w:bCs/>
          <w:iCs/>
          <w:color w:val="auto"/>
          <w:sz w:val="24"/>
          <w:szCs w:val="24"/>
          <w:highlight w:val="none"/>
          <w:lang w:eastAsia="zh-CN"/>
        </w:rPr>
        <w:t>要求喷涂标识。</w:t>
      </w:r>
    </w:p>
    <w:p w14:paraId="753C8A0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rPr>
        <w:t>）投入本项目的车辆必须符合国家标准，车况良好，保险齐全有效，数量车</w:t>
      </w:r>
    </w:p>
    <w:p w14:paraId="7D474AB7">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ascii="宋体" w:hAnsi="宋体"/>
          <w:bCs/>
          <w:iCs/>
          <w:color w:val="auto"/>
          <w:sz w:val="24"/>
          <w:szCs w:val="24"/>
          <w:highlight w:val="none"/>
        </w:rPr>
      </w:pPr>
      <w:r>
        <w:rPr>
          <w:rFonts w:hint="eastAsia" w:ascii="宋体" w:hAnsi="宋体"/>
          <w:bCs/>
          <w:iCs/>
          <w:color w:val="auto"/>
          <w:sz w:val="24"/>
          <w:szCs w:val="24"/>
          <w:highlight w:val="none"/>
        </w:rPr>
        <w:t>型满足招标文件要求。</w:t>
      </w:r>
    </w:p>
    <w:p w14:paraId="3B6A0FC9">
      <w:pPr>
        <w:shd w:val="clear"/>
        <w:spacing w:line="360" w:lineRule="auto"/>
        <w:ind w:left="437"/>
        <w:rPr>
          <w:rFonts w:hint="eastAsia" w:ascii="宋体" w:hAnsi="宋体"/>
          <w:bCs/>
          <w:iCs/>
          <w:color w:val="FF0000"/>
          <w:sz w:val="24"/>
          <w:szCs w:val="24"/>
          <w:highlight w:val="none"/>
          <w:lang w:eastAsia="zh-CN"/>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3</w:t>
      </w:r>
      <w:r>
        <w:rPr>
          <w:rFonts w:hint="eastAsia" w:ascii="宋体" w:hAnsi="宋体"/>
          <w:bCs/>
          <w:iCs/>
          <w:color w:val="auto"/>
          <w:sz w:val="24"/>
          <w:szCs w:val="24"/>
          <w:highlight w:val="none"/>
        </w:rPr>
        <w:t>）新能源车辆标准、比例</w:t>
      </w:r>
      <w:r>
        <w:rPr>
          <w:rFonts w:hint="eastAsia" w:ascii="宋体" w:hAnsi="宋体"/>
          <w:bCs/>
          <w:iCs/>
          <w:color w:val="FF0000"/>
          <w:sz w:val="24"/>
          <w:szCs w:val="24"/>
          <w:highlight w:val="none"/>
          <w:lang w:eastAsia="zh-CN"/>
        </w:rPr>
        <w:t>（</w:t>
      </w:r>
      <w:r>
        <w:rPr>
          <w:rFonts w:hint="eastAsia" w:ascii="宋体" w:hAnsi="宋体"/>
          <w:bCs/>
          <w:iCs/>
          <w:color w:val="FF0000"/>
          <w:sz w:val="24"/>
          <w:szCs w:val="24"/>
          <w:highlight w:val="none"/>
          <w:lang w:val="en-US" w:eastAsia="zh-CN"/>
        </w:rPr>
        <w:t>在需要具备行驶证的作业车辆中占比不低于80%</w:t>
      </w:r>
      <w:r>
        <w:rPr>
          <w:rFonts w:hint="eastAsia" w:ascii="宋体" w:hAnsi="宋体"/>
          <w:bCs/>
          <w:iCs/>
          <w:color w:val="FF0000"/>
          <w:sz w:val="24"/>
          <w:szCs w:val="24"/>
          <w:highlight w:val="none"/>
          <w:lang w:eastAsia="zh-CN"/>
        </w:rPr>
        <w:t>）</w:t>
      </w:r>
    </w:p>
    <w:p w14:paraId="5D8D45C0">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应符合国家、省市文件规定要求，垃圾收运车辆需满足办理保险等合法手续，配置三轮或四轮分类后上装垃圾车。</w:t>
      </w:r>
    </w:p>
    <w:p w14:paraId="5998B7F5">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4</w:t>
      </w:r>
      <w:r>
        <w:rPr>
          <w:rFonts w:hint="eastAsia" w:ascii="宋体" w:hAnsi="宋体"/>
          <w:bCs/>
          <w:iCs/>
          <w:color w:val="auto"/>
          <w:sz w:val="24"/>
          <w:szCs w:val="24"/>
          <w:highlight w:val="none"/>
        </w:rPr>
        <w:t>）车辆定人定岗管理，遵守交通规则，加强安全教育，杜绝安全事故发生。</w:t>
      </w:r>
    </w:p>
    <w:p w14:paraId="0C171630">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5</w:t>
      </w:r>
      <w:r>
        <w:rPr>
          <w:rFonts w:hint="eastAsia" w:ascii="宋体" w:hAnsi="宋体"/>
          <w:bCs/>
          <w:iCs/>
          <w:color w:val="auto"/>
          <w:sz w:val="24"/>
          <w:szCs w:val="24"/>
          <w:highlight w:val="none"/>
        </w:rPr>
        <w:t>）确保车容车貌，车辆进出站必须冲洗干净，车外无油迹、无积灰、无掉漆，</w:t>
      </w:r>
    </w:p>
    <w:p w14:paraId="68FBFEE4">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车内无杂物、无垃圾、无与工作无关的物品；所有作业车辆均需按环卫部门要求进行车辆统一涂装。</w:t>
      </w:r>
    </w:p>
    <w:p w14:paraId="203592A2">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6</w:t>
      </w:r>
      <w:r>
        <w:rPr>
          <w:rFonts w:hint="eastAsia" w:ascii="宋体" w:hAnsi="宋体"/>
          <w:bCs/>
          <w:iCs/>
          <w:color w:val="auto"/>
          <w:sz w:val="24"/>
          <w:szCs w:val="24"/>
          <w:highlight w:val="none"/>
        </w:rPr>
        <w:t>）服务本项目的车辆，作业时间段不得离开作业范围。</w:t>
      </w:r>
    </w:p>
    <w:p w14:paraId="6BE947F5">
      <w:pPr>
        <w:shd w:val="clear"/>
        <w:spacing w:line="360" w:lineRule="auto"/>
        <w:ind w:firstLine="480" w:firstLineChars="200"/>
        <w:rPr>
          <w:rFonts w:hint="eastAsia"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7</w:t>
      </w:r>
      <w:r>
        <w:rPr>
          <w:rFonts w:hint="eastAsia" w:ascii="宋体" w:hAnsi="宋体"/>
          <w:bCs/>
          <w:iCs/>
          <w:color w:val="auto"/>
          <w:sz w:val="24"/>
          <w:szCs w:val="24"/>
          <w:highlight w:val="none"/>
        </w:rPr>
        <w:t>）所有作业车辆需在环卫办备案</w:t>
      </w:r>
      <w:r>
        <w:rPr>
          <w:rFonts w:hint="eastAsia" w:ascii="宋体" w:hAnsi="宋体"/>
          <w:bCs/>
          <w:iCs/>
          <w:color w:val="auto"/>
          <w:sz w:val="24"/>
          <w:szCs w:val="24"/>
          <w:highlight w:val="none"/>
          <w:lang w:eastAsia="zh-CN"/>
        </w:rPr>
        <w:t>，</w:t>
      </w:r>
      <w:r>
        <w:rPr>
          <w:rFonts w:hint="eastAsia" w:ascii="宋体" w:hAnsi="宋体"/>
          <w:bCs/>
          <w:iCs/>
          <w:color w:val="auto"/>
          <w:sz w:val="24"/>
          <w:szCs w:val="24"/>
          <w:highlight w:val="none"/>
        </w:rPr>
        <w:t>车辆应及时保养，若发生车辆维修、损坏或其他不可抗力的因素导致车辆无法作业的情况应及时报备并无缝衔接调整应急车辆，确保作业不受影响。</w:t>
      </w:r>
    </w:p>
    <w:p w14:paraId="55355140">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8</w:t>
      </w:r>
      <w:r>
        <w:rPr>
          <w:rFonts w:hint="eastAsia" w:ascii="宋体" w:hAnsi="宋体"/>
          <w:bCs/>
          <w:iCs/>
          <w:color w:val="auto"/>
          <w:sz w:val="24"/>
          <w:szCs w:val="24"/>
          <w:highlight w:val="none"/>
        </w:rPr>
        <w:t>）车辆及时投保，大型机械化作业车辆第三方责任险保额不低于300万元/辆</w:t>
      </w:r>
    </w:p>
    <w:p w14:paraId="53FC258C">
      <w:pPr>
        <w:shd w:val="clear"/>
        <w:spacing w:line="360" w:lineRule="auto"/>
        <w:rPr>
          <w:rFonts w:hint="default" w:ascii="宋体" w:hAnsi="宋体" w:eastAsia="宋体"/>
          <w:bCs/>
          <w:iCs/>
          <w:color w:val="auto"/>
          <w:sz w:val="24"/>
          <w:szCs w:val="24"/>
          <w:highlight w:val="none"/>
          <w:lang w:val="en-US" w:eastAsia="zh-CN"/>
        </w:rPr>
      </w:pPr>
      <w:r>
        <w:rPr>
          <w:rFonts w:hint="eastAsia" w:ascii="宋体" w:hAnsi="宋体"/>
          <w:bCs/>
          <w:iCs/>
          <w:color w:val="auto"/>
          <w:sz w:val="24"/>
          <w:szCs w:val="24"/>
          <w:highlight w:val="none"/>
        </w:rPr>
        <w:t>（明确车辆），中小型机械化作业车辆保额不低于200万元/辆（明确车辆），小型电动作业车辆保额不低于30万元/辆（明确车辆）</w:t>
      </w:r>
      <w:r>
        <w:rPr>
          <w:rFonts w:hint="eastAsia" w:ascii="宋体" w:hAnsi="宋体"/>
          <w:bCs/>
          <w:iCs/>
          <w:color w:val="auto"/>
          <w:sz w:val="24"/>
          <w:szCs w:val="24"/>
          <w:highlight w:val="none"/>
          <w:lang w:val="en-US" w:eastAsia="zh-CN"/>
        </w:rPr>
        <w:t>。</w:t>
      </w:r>
    </w:p>
    <w:p w14:paraId="65513E8F">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9</w:t>
      </w:r>
      <w:r>
        <w:rPr>
          <w:rFonts w:hint="eastAsia" w:ascii="宋体" w:hAnsi="宋体"/>
          <w:bCs/>
          <w:iCs/>
          <w:color w:val="auto"/>
          <w:sz w:val="24"/>
          <w:szCs w:val="24"/>
          <w:highlight w:val="none"/>
        </w:rPr>
        <w:t>）重大活动保障全天候巡回机械化清扫保洁。</w:t>
      </w:r>
    </w:p>
    <w:p w14:paraId="4E9C929C">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0</w:t>
      </w:r>
      <w:r>
        <w:rPr>
          <w:rFonts w:hint="eastAsia" w:ascii="宋体" w:hAnsi="宋体"/>
          <w:bCs/>
          <w:iCs/>
          <w:color w:val="auto"/>
          <w:sz w:val="24"/>
          <w:szCs w:val="24"/>
          <w:highlight w:val="none"/>
        </w:rPr>
        <w:t>）运行</w:t>
      </w:r>
      <w:r>
        <w:rPr>
          <w:rFonts w:hint="eastAsia" w:ascii="宋体" w:hAnsi="宋体"/>
          <w:bCs/>
          <w:iCs/>
          <w:color w:val="auto"/>
          <w:sz w:val="24"/>
          <w:szCs w:val="24"/>
          <w:highlight w:val="none"/>
          <w:lang w:val="en-US" w:eastAsia="zh-CN"/>
        </w:rPr>
        <w:t>台账</w:t>
      </w:r>
      <w:r>
        <w:rPr>
          <w:rFonts w:hint="eastAsia" w:ascii="宋体" w:hAnsi="宋体"/>
          <w:bCs/>
          <w:iCs/>
          <w:color w:val="auto"/>
          <w:sz w:val="24"/>
          <w:szCs w:val="24"/>
          <w:highlight w:val="none"/>
        </w:rPr>
        <w:t>完整，随时备查。</w:t>
      </w:r>
    </w:p>
    <w:p w14:paraId="630283A7">
      <w:pPr>
        <w:shd w:val="clear"/>
        <w:spacing w:line="360" w:lineRule="auto"/>
        <w:ind w:left="437"/>
        <w:rPr>
          <w:rFonts w:hint="eastAsia"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1</w:t>
      </w:r>
      <w:r>
        <w:rPr>
          <w:rFonts w:hint="eastAsia" w:ascii="宋体" w:hAnsi="宋体"/>
          <w:bCs/>
          <w:iCs/>
          <w:color w:val="auto"/>
          <w:sz w:val="24"/>
          <w:szCs w:val="24"/>
          <w:highlight w:val="none"/>
        </w:rPr>
        <w:t>）所有车辆需在服务区域内使用，不得窜岗窜区域。</w:t>
      </w:r>
    </w:p>
    <w:p w14:paraId="77207841">
      <w:pPr>
        <w:shd w:val="clear"/>
        <w:spacing w:line="360" w:lineRule="auto"/>
        <w:ind w:left="437"/>
        <w:rPr>
          <w:rFonts w:ascii="宋体" w:hAnsi="宋体"/>
          <w:bCs/>
          <w:iCs/>
          <w:color w:val="auto"/>
          <w:sz w:val="24"/>
          <w:szCs w:val="24"/>
          <w:highlight w:val="none"/>
        </w:rPr>
      </w:pPr>
      <w:r>
        <w:rPr>
          <w:rFonts w:hint="eastAsia" w:ascii="宋体" w:hAnsi="宋体"/>
          <w:bCs/>
          <w:iCs/>
          <w:color w:val="auto"/>
          <w:sz w:val="24"/>
          <w:szCs w:val="24"/>
          <w:highlight w:val="none"/>
        </w:rPr>
        <w:t>3、车辆作业要求</w:t>
      </w:r>
    </w:p>
    <w:p w14:paraId="18D73388">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（1）作业时须开启警示灯和示宽灯，夜间禁鸣。</w:t>
      </w:r>
    </w:p>
    <w:p w14:paraId="3AD56761">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iCs/>
          <w:color w:val="auto"/>
          <w:sz w:val="24"/>
          <w:szCs w:val="24"/>
          <w:highlight w:val="none"/>
        </w:rPr>
      </w:pPr>
      <w:r>
        <w:rPr>
          <w:rFonts w:hint="eastAsia" w:ascii="宋体" w:hAnsi="宋体"/>
          <w:bCs/>
          <w:iCs/>
          <w:color w:val="auto"/>
          <w:sz w:val="24"/>
          <w:szCs w:val="24"/>
          <w:highlight w:val="none"/>
        </w:rPr>
        <w:t>（</w:t>
      </w:r>
      <w:r>
        <w:rPr>
          <w:rFonts w:hint="eastAsia" w:ascii="宋体" w:hAnsi="宋体"/>
          <w:bCs/>
          <w:iCs/>
          <w:color w:val="auto"/>
          <w:sz w:val="24"/>
          <w:szCs w:val="24"/>
          <w:highlight w:val="none"/>
          <w:lang w:val="en-US" w:eastAsia="zh-CN"/>
        </w:rPr>
        <w:t>2</w:t>
      </w:r>
      <w:r>
        <w:rPr>
          <w:rFonts w:hint="eastAsia" w:ascii="宋体" w:hAnsi="宋体"/>
          <w:bCs/>
          <w:iCs/>
          <w:color w:val="auto"/>
          <w:sz w:val="24"/>
          <w:szCs w:val="24"/>
          <w:highlight w:val="none"/>
        </w:rPr>
        <w:t>）作业人员必须按照规定的时间、线路、频次和作业模式作业；作业时应穿戴统一的、具有明显警示标识的工作服，并保持着装整洁，不得有滞留马路情况。</w:t>
      </w:r>
    </w:p>
    <w:p w14:paraId="4929EFE5">
      <w:pPr>
        <w:shd w:val="clear"/>
        <w:tabs>
          <w:tab w:val="left" w:pos="0"/>
        </w:tabs>
        <w:spacing w:line="360" w:lineRule="auto"/>
        <w:ind w:firstLine="480"/>
        <w:rPr>
          <w:rFonts w:hint="eastAsia"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eastAsia="zh-CN"/>
        </w:rPr>
        <w:t>（</w:t>
      </w:r>
      <w:r>
        <w:rPr>
          <w:rFonts w:hint="eastAsia" w:ascii="宋体" w:hAnsi="宋体" w:cs="宋体"/>
          <w:b w:val="0"/>
          <w:bCs/>
          <w:i w:val="0"/>
          <w:iCs w:val="0"/>
          <w:color w:val="auto"/>
          <w:sz w:val="24"/>
          <w:szCs w:val="24"/>
          <w:highlight w:val="none"/>
          <w:u w:val="none"/>
          <w:lang w:val="en-US" w:eastAsia="zh-CN"/>
        </w:rPr>
        <w:t>4</w:t>
      </w:r>
      <w:r>
        <w:rPr>
          <w:rFonts w:hint="eastAsia" w:ascii="宋体" w:hAnsi="宋体" w:cs="宋体"/>
          <w:b w:val="0"/>
          <w:bCs/>
          <w:i w:val="0"/>
          <w:iCs w:val="0"/>
          <w:color w:val="auto"/>
          <w:sz w:val="24"/>
          <w:szCs w:val="24"/>
          <w:highlight w:val="none"/>
          <w:u w:val="none"/>
          <w:lang w:eastAsia="zh-CN"/>
        </w:rPr>
        <w:t>）</w:t>
      </w:r>
      <w:r>
        <w:rPr>
          <w:rFonts w:hint="eastAsia" w:ascii="宋体" w:hAnsi="宋体" w:cs="宋体"/>
          <w:b w:val="0"/>
          <w:bCs/>
          <w:i w:val="0"/>
          <w:iCs w:val="0"/>
          <w:color w:val="auto"/>
          <w:sz w:val="24"/>
          <w:szCs w:val="24"/>
          <w:highlight w:val="none"/>
          <w:u w:val="none"/>
          <w:lang w:val="en-US" w:eastAsia="zh-CN"/>
        </w:rPr>
        <w:t>交通安全</w:t>
      </w:r>
    </w:p>
    <w:p w14:paraId="7D2D41CA">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在作业要特别注意交通安全，严禁闯红灯和逆向。一定要在有交通警示牌和警示标志的情况下进行作业，并在必要时使用交通锥和警示灯以确保车辆和行人能够清楚地看到作业区域。</w:t>
      </w:r>
    </w:p>
    <w:p w14:paraId="12400655">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（5）</w:t>
      </w:r>
      <w:r>
        <w:rPr>
          <w:rFonts w:hint="default" w:ascii="宋体" w:hAnsi="宋体" w:cs="宋体"/>
          <w:b w:val="0"/>
          <w:bCs/>
          <w:i w:val="0"/>
          <w:iCs w:val="0"/>
          <w:color w:val="auto"/>
          <w:sz w:val="24"/>
          <w:szCs w:val="24"/>
          <w:highlight w:val="none"/>
          <w:u w:val="none"/>
          <w:lang w:val="en-US" w:eastAsia="zh-CN"/>
        </w:rPr>
        <w:t>车辆安全</w:t>
      </w:r>
    </w:p>
    <w:p w14:paraId="2DEC8F02">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作业车辆须按照国家法律法规的要求办理合法、齐全的证件；在禁行路段作业的，需按照交警局的规定办理相关证件手续。作业车辆须安装规格统一的安全防护装置，粘贴车身反光标识，并根据作业类别设置相应的安全防护标志和设施。定期组织对作业车辆安全性能进行检查、及时维修，确保车辆安全行驶；加强日常维护保养，注重车容车貌车况检查，对不能使用或有安全隐患的车辆及时维修或更换零件，确保车辆保持良好的工作性能，排除一切安全隐患。发生安全事故，中标人须承担一切法律、经济责任。</w:t>
      </w:r>
    </w:p>
    <w:p w14:paraId="72F3BDB9">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eastAsia" w:ascii="宋体" w:hAnsi="宋体" w:cs="宋体"/>
          <w:b w:val="0"/>
          <w:bCs/>
          <w:i w:val="0"/>
          <w:iCs w:val="0"/>
          <w:color w:val="auto"/>
          <w:sz w:val="24"/>
          <w:szCs w:val="24"/>
          <w:highlight w:val="none"/>
          <w:u w:val="none"/>
          <w:lang w:val="en-US" w:eastAsia="zh-CN"/>
        </w:rPr>
        <w:t>（6）</w:t>
      </w:r>
      <w:r>
        <w:rPr>
          <w:rFonts w:hint="default" w:ascii="宋体" w:hAnsi="宋体" w:cs="宋体"/>
          <w:b w:val="0"/>
          <w:bCs/>
          <w:i w:val="0"/>
          <w:iCs w:val="0"/>
          <w:color w:val="auto"/>
          <w:sz w:val="24"/>
          <w:szCs w:val="24"/>
          <w:highlight w:val="none"/>
          <w:u w:val="none"/>
          <w:lang w:val="en-US" w:eastAsia="zh-CN"/>
        </w:rPr>
        <w:t>机械设备操作及维护</w:t>
      </w:r>
    </w:p>
    <w:p w14:paraId="393B0B8F">
      <w:pPr>
        <w:shd w:val="clear"/>
        <w:tabs>
          <w:tab w:val="left" w:pos="0"/>
        </w:tabs>
        <w:spacing w:line="360" w:lineRule="auto"/>
        <w:ind w:firstLine="480"/>
        <w:rPr>
          <w:rFonts w:hint="default" w:ascii="宋体" w:hAnsi="宋体" w:cs="宋体"/>
          <w:b w:val="0"/>
          <w:bCs/>
          <w:i w:val="0"/>
          <w:iCs w:val="0"/>
          <w:color w:val="auto"/>
          <w:sz w:val="24"/>
          <w:szCs w:val="24"/>
          <w:highlight w:val="none"/>
          <w:u w:val="none"/>
          <w:lang w:val="en-US" w:eastAsia="zh-CN"/>
        </w:rPr>
      </w:pPr>
      <w:r>
        <w:rPr>
          <w:rFonts w:hint="default" w:ascii="宋体" w:hAnsi="宋体" w:cs="宋体"/>
          <w:b w:val="0"/>
          <w:bCs/>
          <w:i w:val="0"/>
          <w:iCs w:val="0"/>
          <w:color w:val="auto"/>
          <w:sz w:val="24"/>
          <w:szCs w:val="24"/>
          <w:highlight w:val="none"/>
          <w:u w:val="none"/>
          <w:lang w:val="en-US" w:eastAsia="zh-CN"/>
        </w:rPr>
        <w:t>对员工进行机械设备操作培训，一般性养护机械和器具等应经过专业技术培训，并由熟练掌握操作技能的人员操作。高空作业时按照移动式作业要求设置临时性占道作业的安全标识；高空作业车使用前应做好各个部位的检查，支放平衡，操作过程中派专人监护，发现问题及时处理。定期组织安全检查，对作业设备和工作场所进行检查，对机械设备进行定期维护，及时发现并排除安全隐患。</w:t>
      </w:r>
    </w:p>
    <w:p w14:paraId="6ACC16DA">
      <w:pPr>
        <w:shd w:val="clear"/>
        <w:spacing w:line="360" w:lineRule="auto"/>
        <w:ind w:left="482"/>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4、从业人员配备及安全文明方案</w:t>
      </w:r>
    </w:p>
    <w:p w14:paraId="26C351DE">
      <w:pPr>
        <w:shd w:val="clear"/>
        <w:tabs>
          <w:tab w:val="left" w:pos="0"/>
        </w:tabs>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分包4：</w:t>
      </w:r>
      <w:r>
        <w:rPr>
          <w:rFonts w:hint="eastAsia" w:ascii="宋体" w:hAnsi="宋体" w:cs="宋体"/>
          <w:b/>
          <w:color w:val="auto"/>
          <w:sz w:val="24"/>
          <w:szCs w:val="24"/>
          <w:highlight w:val="none"/>
          <w:lang w:val="en-US" w:eastAsia="zh-CN"/>
        </w:rPr>
        <w:t>镇区生活垃圾（含一般工业固废）收运</w:t>
      </w:r>
      <w:r>
        <w:rPr>
          <w:rFonts w:hint="eastAsia" w:ascii="宋体" w:hAnsi="宋体" w:cs="宋体"/>
          <w:b/>
          <w:color w:val="auto"/>
          <w:sz w:val="24"/>
          <w:szCs w:val="24"/>
          <w:highlight w:val="none"/>
        </w:rPr>
        <w:t>及公厕保洁作业</w:t>
      </w:r>
    </w:p>
    <w:p w14:paraId="03A62DF9">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（1）</w:t>
      </w:r>
      <w:r>
        <w:rPr>
          <w:rFonts w:hint="eastAsia" w:ascii="宋体" w:hAnsi="宋体"/>
          <w:bCs/>
          <w:iCs/>
          <w:color w:val="auto"/>
          <w:sz w:val="24"/>
          <w:szCs w:val="24"/>
          <w:highlight w:val="none"/>
          <w:lang w:val="en-US" w:eastAsia="zh-CN"/>
        </w:rPr>
        <w:t>垃圾清运：</w:t>
      </w:r>
      <w:r>
        <w:rPr>
          <w:rFonts w:hint="eastAsia" w:ascii="宋体" w:hAnsi="宋体"/>
          <w:bCs/>
          <w:iCs/>
          <w:color w:val="auto"/>
          <w:sz w:val="24"/>
          <w:szCs w:val="24"/>
          <w:highlight w:val="none"/>
          <w:shd w:val="clear"/>
          <w:lang w:val="en-US" w:eastAsia="zh-CN"/>
        </w:rPr>
        <w:t>8</w:t>
      </w:r>
      <w:r>
        <w:rPr>
          <w:rFonts w:hint="eastAsia" w:ascii="宋体" w:hAnsi="宋体"/>
          <w:bCs/>
          <w:iCs/>
          <w:color w:val="auto"/>
          <w:sz w:val="24"/>
          <w:szCs w:val="24"/>
          <w:highlight w:val="none"/>
          <w:lang w:val="en-US" w:eastAsia="zh-CN"/>
        </w:rPr>
        <w:t>人</w:t>
      </w:r>
      <w:r>
        <w:rPr>
          <w:rFonts w:hint="eastAsia" w:ascii="宋体" w:hAnsi="宋体"/>
          <w:bCs/>
          <w:iCs/>
          <w:color w:val="auto"/>
          <w:sz w:val="24"/>
          <w:szCs w:val="24"/>
          <w:highlight w:val="none"/>
        </w:rPr>
        <w:t>。</w:t>
      </w:r>
    </w:p>
    <w:p w14:paraId="0275A455">
      <w:pPr>
        <w:shd w:val="clear"/>
        <w:spacing w:line="360" w:lineRule="auto"/>
        <w:ind w:firstLine="480"/>
        <w:rPr>
          <w:rFonts w:hint="eastAsia" w:ascii="宋体" w:hAnsi="宋体"/>
          <w:bCs/>
          <w:iCs/>
          <w:color w:val="auto"/>
          <w:sz w:val="24"/>
          <w:szCs w:val="24"/>
          <w:highlight w:val="none"/>
        </w:rPr>
      </w:pPr>
      <w:r>
        <w:rPr>
          <w:rFonts w:hint="eastAsia" w:ascii="宋体" w:hAnsi="宋体"/>
          <w:bCs/>
          <w:iCs/>
          <w:color w:val="auto"/>
          <w:sz w:val="24"/>
          <w:szCs w:val="24"/>
          <w:highlight w:val="none"/>
        </w:rPr>
        <w:t>（2）</w:t>
      </w:r>
      <w:r>
        <w:rPr>
          <w:rFonts w:hint="eastAsia" w:ascii="宋体" w:hAnsi="宋体"/>
          <w:bCs/>
          <w:iCs/>
          <w:color w:val="auto"/>
          <w:sz w:val="24"/>
          <w:szCs w:val="24"/>
          <w:highlight w:val="none"/>
          <w:lang w:val="en-US" w:eastAsia="zh-CN"/>
        </w:rPr>
        <w:t>公厕保洁：4人（一个人负责两个公厕）</w:t>
      </w:r>
      <w:r>
        <w:rPr>
          <w:rFonts w:hint="eastAsia" w:ascii="宋体" w:hAnsi="宋体"/>
          <w:bCs/>
          <w:iCs/>
          <w:color w:val="auto"/>
          <w:sz w:val="24"/>
          <w:szCs w:val="24"/>
          <w:highlight w:val="none"/>
        </w:rPr>
        <w:t>。</w:t>
      </w:r>
    </w:p>
    <w:p w14:paraId="1ECA7F5E">
      <w:pPr>
        <w:shd w:val="clear"/>
        <w:spacing w:line="360" w:lineRule="auto"/>
        <w:ind w:left="482"/>
        <w:rPr>
          <w:rFonts w:hint="default" w:ascii="宋体" w:hAnsi="宋体" w:eastAsia="宋体"/>
          <w:b/>
          <w:bCs/>
          <w:iCs/>
          <w:color w:val="auto"/>
          <w:sz w:val="24"/>
          <w:szCs w:val="24"/>
          <w:highlight w:val="none"/>
          <w:lang w:val="en-US" w:eastAsia="zh-CN"/>
        </w:rPr>
      </w:pPr>
      <w:r>
        <w:rPr>
          <w:rFonts w:hint="eastAsia" w:ascii="宋体" w:hAnsi="宋体"/>
          <w:b/>
          <w:bCs/>
          <w:iCs/>
          <w:color w:val="auto"/>
          <w:sz w:val="24"/>
          <w:szCs w:val="24"/>
          <w:highlight w:val="none"/>
          <w:lang w:val="en-US" w:eastAsia="zh-CN"/>
        </w:rPr>
        <w:t>5、恶劣天气应急预案</w:t>
      </w:r>
    </w:p>
    <w:p w14:paraId="33F8B4FF">
      <w:pPr>
        <w:shd w:val="clear"/>
        <w:spacing w:line="360" w:lineRule="auto"/>
        <w:ind w:firstLine="48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包括但不限于台风、雨雪、冰雹、霜冻、高温等天气或气候因素的应急预案，从恶劣天气应急的前期准备、期间和恶劣天气过后三个方面，方案应全面、合理、科学、可行性强。并培训相关人员达到相关服务要求，按照预案实施。统一调度安排人力、物力，服从采购人安排完成相关任务。</w:t>
      </w:r>
    </w:p>
    <w:p w14:paraId="1FB96F2E">
      <w:pPr>
        <w:shd w:val="clear"/>
        <w:spacing w:line="360" w:lineRule="auto"/>
        <w:ind w:firstLine="48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前期准备：恶劣天气预警前，准备好应急处理所需要的材料、物资和急救药品；检查运输车辆的机械状况，及时维修，并采购好维修配件；关注气象部门天气预报；召开会议，引起员工重视，做好相关个人防护措施；高温天气，做好降温准备，</w:t>
      </w:r>
      <w:r>
        <w:rPr>
          <w:rFonts w:ascii="PingFang SC" w:hAnsi="PingFang SC" w:eastAsia="PingFang SC" w:cs="PingFang SC"/>
          <w:i w:val="0"/>
          <w:iCs w:val="0"/>
          <w:caps w:val="0"/>
          <w:color w:val="202329"/>
          <w:spacing w:val="0"/>
          <w:sz w:val="24"/>
          <w:szCs w:val="24"/>
          <w:shd w:val="clear" w:fill="FFFFFF"/>
        </w:rPr>
        <w:t>储</w:t>
      </w:r>
      <w:r>
        <w:rPr>
          <w:rFonts w:hint="default" w:ascii="宋体" w:hAnsi="宋体"/>
          <w:bCs/>
          <w:iCs/>
          <w:color w:val="auto"/>
          <w:sz w:val="24"/>
          <w:szCs w:val="24"/>
          <w:highlight w:val="none"/>
          <w:lang w:val="en-US" w:eastAsia="zh-CN"/>
        </w:rPr>
        <w:t>备降温用品。</w:t>
      </w:r>
    </w:p>
    <w:p w14:paraId="2E216A98">
      <w:pPr>
        <w:shd w:val="clear"/>
        <w:spacing w:line="360" w:lineRule="auto"/>
        <w:ind w:firstLine="48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期间：服从采购人安排；应急突击队成员集中待命，情况发生时由项目负责人及安全员现场指挥；做好预防保护措施，极力保证设施、设备的安全；情况发生时从保证人员生命安全的角度出发，停止露天作业；恶劣天气一结束立即组织人员进行恢复性清扫；高温天气期间，适时调整工作时间。</w:t>
      </w:r>
    </w:p>
    <w:p w14:paraId="74B8900B">
      <w:pPr>
        <w:shd w:val="clear"/>
        <w:spacing w:line="360" w:lineRule="auto"/>
        <w:ind w:firstLine="480"/>
        <w:rPr>
          <w:rFonts w:hint="default" w:ascii="宋体" w:hAnsi="宋体"/>
          <w:bCs/>
          <w:iCs/>
          <w:color w:val="auto"/>
          <w:sz w:val="24"/>
          <w:szCs w:val="24"/>
          <w:highlight w:val="none"/>
          <w:lang w:val="en-US" w:eastAsia="zh-CN"/>
        </w:rPr>
      </w:pPr>
      <w:r>
        <w:rPr>
          <w:rFonts w:hint="default" w:ascii="宋体" w:hAnsi="宋体"/>
          <w:bCs/>
          <w:iCs/>
          <w:color w:val="auto"/>
          <w:sz w:val="24"/>
          <w:szCs w:val="24"/>
          <w:highlight w:val="none"/>
          <w:lang w:val="en-US" w:eastAsia="zh-CN"/>
        </w:rPr>
        <w:t>恶劣天气过后：总结经验和教训，完善应急处理办法；做好台账记录。</w:t>
      </w:r>
    </w:p>
    <w:p w14:paraId="1B5996CD">
      <w:pPr>
        <w:pStyle w:val="43"/>
        <w:numPr>
          <w:ilvl w:val="0"/>
          <w:numId w:val="0"/>
        </w:numPr>
        <w:shd w:val="clear"/>
        <w:spacing w:line="360" w:lineRule="auto"/>
        <w:ind w:left="1202" w:leftChars="0" w:hanging="720" w:firstLineChars="0"/>
        <w:rPr>
          <w:rFonts w:hint="default" w:ascii="宋体" w:hAnsi="宋体"/>
          <w:b/>
          <w:bCs/>
          <w:iCs/>
          <w:color w:val="auto"/>
          <w:sz w:val="24"/>
          <w:szCs w:val="24"/>
          <w:highlight w:val="none"/>
          <w:lang w:val="en-US" w:eastAsia="zh-CN"/>
        </w:rPr>
      </w:pPr>
      <w:r>
        <w:rPr>
          <w:rFonts w:hint="eastAsia" w:ascii="宋体" w:hAnsi="宋体" w:cs="Times New Roman"/>
          <w:b/>
          <w:bCs/>
          <w:iCs/>
          <w:color w:val="auto"/>
          <w:sz w:val="24"/>
          <w:szCs w:val="24"/>
          <w:highlight w:val="none"/>
          <w:lang w:val="en-US" w:eastAsia="zh-CN" w:bidi="ar-SA"/>
        </w:rPr>
        <w:t>6、</w:t>
      </w:r>
      <w:r>
        <w:rPr>
          <w:rFonts w:hint="eastAsia" w:ascii="宋体" w:hAnsi="宋体"/>
          <w:b/>
          <w:bCs/>
          <w:iCs/>
          <w:color w:val="auto"/>
          <w:sz w:val="24"/>
          <w:szCs w:val="24"/>
          <w:highlight w:val="none"/>
          <w:lang w:val="en-US" w:eastAsia="zh-CN"/>
        </w:rPr>
        <w:t>工作交接</w:t>
      </w:r>
    </w:p>
    <w:p w14:paraId="36577333">
      <w:pPr>
        <w:pStyle w:val="43"/>
        <w:shd w:val="clear"/>
        <w:spacing w:line="360" w:lineRule="auto"/>
        <w:ind w:left="240" w:firstLine="240"/>
        <w:rPr>
          <w:rFonts w:ascii="宋体" w:hAnsi="宋体"/>
          <w:bCs/>
          <w:iCs/>
          <w:color w:val="auto"/>
          <w:sz w:val="24"/>
          <w:szCs w:val="24"/>
          <w:highlight w:val="none"/>
          <w:lang w:eastAsia="zh-CN"/>
        </w:rPr>
      </w:pPr>
      <w:r>
        <w:rPr>
          <w:rFonts w:hint="eastAsia" w:ascii="宋体" w:hAnsi="宋体"/>
          <w:bCs/>
          <w:iCs/>
          <w:color w:val="auto"/>
          <w:sz w:val="24"/>
          <w:szCs w:val="24"/>
          <w:highlight w:val="none"/>
          <w:lang w:eastAsia="zh-CN"/>
        </w:rPr>
        <w:t>针对不同岗位人员制定相应安排计划方案。合同结束后人员安排应合理，提前做</w:t>
      </w:r>
    </w:p>
    <w:p w14:paraId="61420F13">
      <w:pPr>
        <w:shd w:val="clear"/>
        <w:spacing w:line="360" w:lineRule="auto"/>
        <w:rPr>
          <w:rFonts w:ascii="宋体" w:hAnsi="宋体"/>
          <w:bCs/>
          <w:iCs/>
          <w:color w:val="auto"/>
          <w:sz w:val="24"/>
          <w:szCs w:val="24"/>
          <w:highlight w:val="none"/>
        </w:rPr>
      </w:pPr>
      <w:r>
        <w:rPr>
          <w:rFonts w:hint="eastAsia" w:ascii="宋体" w:hAnsi="宋体"/>
          <w:bCs/>
          <w:iCs/>
          <w:color w:val="auto"/>
          <w:sz w:val="24"/>
          <w:szCs w:val="24"/>
          <w:highlight w:val="none"/>
        </w:rPr>
        <w:t>好与后续单位及采购人的无缝衔接、交接，不影响日常工作的正常进行，不留后续问题。妥善处理合同结束后人员的安排，避免出现劳动纠纷，项目的相关人员、单位和员工之间做好相关的交接工作，场地移交、设备移交、公共资源移交、台账资料移交等工作对接到位。</w:t>
      </w:r>
    </w:p>
    <w:p w14:paraId="6AE5FCD5">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四、其他要求</w:t>
      </w:r>
    </w:p>
    <w:p w14:paraId="03A2920B">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bCs/>
          <w:iCs/>
          <w:color w:val="auto"/>
          <w:sz w:val="24"/>
          <w:szCs w:val="24"/>
          <w:highlight w:val="none"/>
        </w:rPr>
      </w:pPr>
      <w:r>
        <w:rPr>
          <w:rFonts w:hint="eastAsia" w:ascii="宋体" w:hAnsi="宋体"/>
          <w:bCs/>
          <w:iCs/>
          <w:color w:val="auto"/>
          <w:sz w:val="24"/>
          <w:szCs w:val="24"/>
          <w:highlight w:val="none"/>
        </w:rPr>
        <w:t>1、各投标人应对项目现场和周围环境进行仔细认真查勘，充分了解本项目具体工作内容，在随后的采购活动中，对现场资料和数据所做出的推论、解释和结论及因勘察不到位造成的后果由投标人负责，并自行承担因了解不充分而影响报价准确性的风险。</w:t>
      </w:r>
    </w:p>
    <w:p w14:paraId="569EF4B7">
      <w:pPr>
        <w:shd w:val="clear"/>
        <w:spacing w:line="360" w:lineRule="auto"/>
        <w:ind w:firstLine="480"/>
        <w:rPr>
          <w:rFonts w:ascii="宋体" w:hAnsi="宋体"/>
          <w:bCs/>
          <w:iCs/>
          <w:color w:val="auto"/>
          <w:sz w:val="24"/>
          <w:szCs w:val="24"/>
          <w:highlight w:val="none"/>
        </w:rPr>
      </w:pPr>
      <w:r>
        <w:rPr>
          <w:rFonts w:hint="eastAsia" w:ascii="宋体" w:hAnsi="宋体"/>
          <w:bCs/>
          <w:iCs/>
          <w:color w:val="auto"/>
          <w:sz w:val="24"/>
          <w:szCs w:val="24"/>
          <w:highlight w:val="none"/>
        </w:rPr>
        <w:t>2、投标报价应包括所有的费用：人员工资、社会保险（养老、工伤、失业）、医疗保险（医疗、大病救助）、住房公积金、法定节假日加班费、高温补贴、节假日福利费、服装费、日常耗材费、工具折旧费、车辆折旧费、油费、</w:t>
      </w:r>
      <w:r>
        <w:rPr>
          <w:rFonts w:hint="eastAsia" w:ascii="宋体" w:hAnsi="宋体"/>
          <w:bCs/>
          <w:iCs/>
          <w:color w:val="auto"/>
          <w:sz w:val="24"/>
          <w:szCs w:val="24"/>
          <w:highlight w:val="none"/>
          <w:shd w:val="clear"/>
          <w:lang w:val="en-US" w:eastAsia="zh-CN"/>
        </w:rPr>
        <w:t>车险、</w:t>
      </w:r>
      <w:r>
        <w:rPr>
          <w:rFonts w:hint="eastAsia" w:ascii="宋体" w:hAnsi="宋体"/>
          <w:bCs/>
          <w:iCs/>
          <w:color w:val="auto"/>
          <w:sz w:val="24"/>
          <w:szCs w:val="24"/>
          <w:highlight w:val="none"/>
        </w:rPr>
        <w:t>意外伤害险、管理费、法定税费等，为完成招标文件规定的服务工作所涉及到的一切相关费用。</w:t>
      </w:r>
      <w:r>
        <w:rPr>
          <w:rFonts w:hint="eastAsia" w:ascii="宋体" w:hAnsi="宋体"/>
          <w:bCs/>
          <w:iCs/>
          <w:color w:val="auto"/>
          <w:sz w:val="24"/>
          <w:szCs w:val="24"/>
          <w:highlight w:val="none"/>
          <w:lang w:val="en-US" w:eastAsia="zh-CN"/>
        </w:rPr>
        <w:t>合同期内，</w:t>
      </w:r>
      <w:r>
        <w:rPr>
          <w:rFonts w:hint="eastAsia" w:ascii="宋体" w:hAnsi="宋体"/>
          <w:bCs/>
          <w:i w:val="0"/>
          <w:iCs/>
          <w:color w:val="auto"/>
          <w:sz w:val="24"/>
          <w:szCs w:val="24"/>
          <w:highlight w:val="none"/>
          <w:u w:val="none"/>
          <w:lang w:val="en-US" w:eastAsia="zh-CN"/>
        </w:rPr>
        <w:t>如政策性调整</w:t>
      </w:r>
      <w:r>
        <w:rPr>
          <w:rFonts w:hint="default" w:ascii="Times New Roman" w:hAnsi="Times New Roman" w:eastAsia="宋体" w:cs="Times New Roman"/>
          <w:i w:val="0"/>
          <w:iCs/>
          <w:kern w:val="2"/>
          <w:sz w:val="24"/>
          <w:szCs w:val="24"/>
          <w:highlight w:val="none"/>
          <w:u w:val="none"/>
        </w:rPr>
        <w:t>人员最低工资标准或社会保险基数，其差额部分由</w:t>
      </w:r>
      <w:r>
        <w:rPr>
          <w:rFonts w:hint="default" w:ascii="Times New Roman" w:hAnsi="Times New Roman" w:eastAsia="宋体" w:cs="Times New Roman"/>
          <w:i w:val="0"/>
          <w:iCs/>
          <w:kern w:val="2"/>
          <w:sz w:val="24"/>
          <w:szCs w:val="24"/>
          <w:highlight w:val="none"/>
          <w:u w:val="none"/>
          <w:lang w:val="en-US" w:eastAsia="zh-CN"/>
        </w:rPr>
        <w:t>采购人支付</w:t>
      </w:r>
      <w:r>
        <w:rPr>
          <w:rFonts w:hint="default" w:ascii="Times New Roman" w:hAnsi="Times New Roman" w:eastAsia="宋体" w:cs="Times New Roman"/>
          <w:i w:val="0"/>
          <w:iCs/>
          <w:kern w:val="2"/>
          <w:sz w:val="24"/>
          <w:szCs w:val="24"/>
          <w:highlight w:val="none"/>
          <w:u w:val="none"/>
        </w:rPr>
        <w:t>。</w:t>
      </w:r>
    </w:p>
    <w:p w14:paraId="776812DE">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b/>
          <w:color w:val="auto"/>
          <w:sz w:val="24"/>
          <w:szCs w:val="24"/>
          <w:highlight w:val="none"/>
          <w:u w:val="single"/>
        </w:rPr>
        <w:t>3、</w:t>
      </w:r>
      <w:r>
        <w:rPr>
          <w:rFonts w:hint="eastAsia" w:ascii="宋体" w:hAnsi="宋体" w:cs="宋体"/>
          <w:b/>
          <w:i/>
          <w:color w:val="auto"/>
          <w:sz w:val="24"/>
          <w:szCs w:val="24"/>
          <w:highlight w:val="none"/>
          <w:u w:val="single"/>
        </w:rPr>
        <w:t>人员工资</w:t>
      </w:r>
      <w:r>
        <w:rPr>
          <w:rFonts w:hint="eastAsia" w:ascii="宋体" w:hAnsi="宋体" w:cs="宋体"/>
          <w:b/>
          <w:i/>
          <w:color w:val="auto"/>
          <w:sz w:val="24"/>
          <w:szCs w:val="24"/>
          <w:highlight w:val="none"/>
          <w:u w:val="single"/>
          <w:lang w:val="en-US" w:eastAsia="zh-CN"/>
        </w:rPr>
        <w:t>测算不得</w:t>
      </w:r>
      <w:r>
        <w:rPr>
          <w:rFonts w:hint="eastAsia" w:ascii="宋体" w:hAnsi="宋体" w:cs="宋体"/>
          <w:b/>
          <w:i/>
          <w:color w:val="auto"/>
          <w:sz w:val="24"/>
          <w:szCs w:val="24"/>
          <w:highlight w:val="none"/>
          <w:u w:val="single"/>
        </w:rPr>
        <w:t>低于扬州市最低工资标准、环卫人员工资</w:t>
      </w:r>
      <w:r>
        <w:rPr>
          <w:rFonts w:hint="eastAsia" w:ascii="宋体" w:hAnsi="宋体" w:cs="宋体"/>
          <w:b/>
          <w:i/>
          <w:color w:val="auto"/>
          <w:sz w:val="24"/>
          <w:szCs w:val="24"/>
          <w:highlight w:val="none"/>
          <w:u w:val="single"/>
          <w:lang w:val="en-US" w:eastAsia="zh-CN"/>
        </w:rPr>
        <w:t>不得</w:t>
      </w:r>
      <w:r>
        <w:rPr>
          <w:rFonts w:hint="eastAsia" w:ascii="宋体" w:hAnsi="宋体" w:cs="宋体"/>
          <w:b/>
          <w:i/>
          <w:color w:val="auto"/>
          <w:sz w:val="24"/>
          <w:szCs w:val="24"/>
          <w:highlight w:val="none"/>
          <w:u w:val="single"/>
        </w:rPr>
        <w:t>低于扬州市一线环卫工人最低工资标准</w:t>
      </w:r>
      <w:r>
        <w:rPr>
          <w:rFonts w:hint="eastAsia" w:ascii="宋体" w:hAnsi="宋体" w:cs="宋体"/>
          <w:b/>
          <w:i/>
          <w:color w:val="auto"/>
          <w:sz w:val="24"/>
          <w:szCs w:val="24"/>
          <w:highlight w:val="none"/>
          <w:u w:val="single"/>
          <w:lang w:val="en-US" w:eastAsia="zh-CN"/>
        </w:rPr>
        <w:t>且应</w:t>
      </w:r>
      <w:r>
        <w:rPr>
          <w:rFonts w:hint="eastAsia" w:ascii="宋体" w:hAnsi="宋体" w:cs="宋体"/>
          <w:b/>
          <w:i/>
          <w:color w:val="auto"/>
          <w:sz w:val="24"/>
          <w:szCs w:val="24"/>
          <w:highlight w:val="none"/>
          <w:u w:val="single"/>
        </w:rPr>
        <w:t>测算缴纳社会保险、医疗保险、住房公积金。</w:t>
      </w:r>
      <w:r>
        <w:rPr>
          <w:rFonts w:hint="eastAsia" w:ascii="宋体" w:hAnsi="宋体" w:cs="宋体"/>
          <w:color w:val="auto"/>
          <w:sz w:val="24"/>
          <w:szCs w:val="24"/>
          <w:highlight w:val="none"/>
        </w:rPr>
        <w:t>扬州市一线环卫工人最低工资标准含按标准上浮的30%及特殊岗位津贴150元/人/月，高温补贴1200元/人/年，公积金按扬州市最新政策执行，社会保险及医疗保险执行相关规定。</w:t>
      </w:r>
      <w:r>
        <w:rPr>
          <w:rFonts w:hint="eastAsia" w:ascii="宋体" w:hAnsi="宋体"/>
          <w:color w:val="auto"/>
          <w:sz w:val="24"/>
          <w:szCs w:val="24"/>
          <w:highlight w:val="none"/>
          <w:shd w:val="clear"/>
        </w:rPr>
        <w:t>所有作业人员的年龄</w:t>
      </w:r>
      <w:r>
        <w:rPr>
          <w:rFonts w:hint="eastAsia" w:ascii="宋体" w:hAnsi="宋体"/>
          <w:color w:val="auto"/>
          <w:sz w:val="24"/>
          <w:szCs w:val="24"/>
          <w:highlight w:val="none"/>
          <w:shd w:val="clear"/>
          <w:lang w:eastAsia="zh-CN"/>
        </w:rPr>
        <w:t>：</w:t>
      </w:r>
      <w:r>
        <w:rPr>
          <w:rFonts w:hint="eastAsia" w:ascii="宋体" w:hAnsi="宋体"/>
          <w:color w:val="auto"/>
          <w:sz w:val="24"/>
          <w:szCs w:val="24"/>
          <w:highlight w:val="none"/>
          <w:shd w:val="clear"/>
        </w:rPr>
        <w:t>男性不得超过60周岁、女性不得超过</w:t>
      </w:r>
      <w:r>
        <w:rPr>
          <w:rFonts w:hint="eastAsia" w:ascii="宋体" w:hAnsi="宋体"/>
          <w:color w:val="auto"/>
          <w:sz w:val="24"/>
          <w:szCs w:val="24"/>
          <w:highlight w:val="none"/>
          <w:shd w:val="clear"/>
          <w:lang w:val="en-US" w:eastAsia="zh-CN"/>
        </w:rPr>
        <w:t>50</w:t>
      </w:r>
      <w:r>
        <w:rPr>
          <w:rFonts w:hint="eastAsia" w:ascii="宋体" w:hAnsi="宋体"/>
          <w:color w:val="auto"/>
          <w:sz w:val="24"/>
          <w:szCs w:val="24"/>
          <w:highlight w:val="none"/>
          <w:shd w:val="clear"/>
        </w:rPr>
        <w:t>周岁</w:t>
      </w:r>
      <w:r>
        <w:rPr>
          <w:rFonts w:hint="eastAsia" w:ascii="宋体" w:hAnsi="宋体"/>
          <w:color w:val="auto"/>
          <w:sz w:val="24"/>
          <w:szCs w:val="24"/>
          <w:highlight w:val="none"/>
        </w:rPr>
        <w:t>，特殊岗位按前款规定执行。</w:t>
      </w:r>
    </w:p>
    <w:p w14:paraId="38876F6B">
      <w:pPr>
        <w:shd w:val="clear"/>
        <w:tabs>
          <w:tab w:val="left" w:pos="0"/>
        </w:tabs>
        <w:spacing w:line="360" w:lineRule="auto"/>
        <w:ind w:firstLine="480"/>
        <w:jc w:val="both"/>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lang w:val="en-US" w:eastAsia="zh-CN"/>
        </w:rPr>
        <w:t>4、包一至包三的中标人，在养护管理期内造成绿化死亡的，中标人应照价赔偿或者自行补栽相对应的植物，且质量、规格、数量必须经环卫管理处职能科室的认可；限期内未整改或未整改到位的，环卫管理处将派出人员进行处理，所产生一切费用，在养护单位当月养护经费中扣除。</w:t>
      </w:r>
      <w:r>
        <w:rPr>
          <w:rFonts w:hint="eastAsia" w:ascii="宋体" w:hAnsi="宋体" w:cs="宋体"/>
          <w:b/>
          <w:i/>
          <w:iCs/>
          <w:color w:val="auto"/>
          <w:sz w:val="24"/>
          <w:szCs w:val="24"/>
          <w:highlight w:val="none"/>
          <w:u w:val="single"/>
        </w:rPr>
        <w:t>（提供承诺书原件扫描上传，格式自拟）</w:t>
      </w:r>
    </w:p>
    <w:p w14:paraId="2CE1D982">
      <w:pPr>
        <w:shd w:val="clear"/>
        <w:tabs>
          <w:tab w:val="left" w:pos="0"/>
        </w:tabs>
        <w:spacing w:line="360" w:lineRule="auto"/>
        <w:ind w:firstLine="480"/>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lang w:val="en-US" w:eastAsia="zh-CN"/>
        </w:rPr>
        <w:t>5</w:t>
      </w:r>
      <w:r>
        <w:rPr>
          <w:rFonts w:hint="eastAsia" w:ascii="宋体" w:hAnsi="宋体" w:cs="宋体"/>
          <w:b/>
          <w:i/>
          <w:iCs/>
          <w:color w:val="auto"/>
          <w:sz w:val="24"/>
          <w:szCs w:val="24"/>
          <w:highlight w:val="none"/>
          <w:u w:val="single"/>
        </w:rPr>
        <w:t>、提供服务前应按照本项目人员岗位配备要求提供派入服务人员花名册及人员相应的资质条件供采购人审核。（提供承诺书原件扫描上传，格式自拟）</w:t>
      </w:r>
    </w:p>
    <w:p w14:paraId="52DF75B6">
      <w:pPr>
        <w:shd w:val="clear"/>
        <w:tabs>
          <w:tab w:val="left" w:pos="0"/>
        </w:tabs>
        <w:spacing w:line="360" w:lineRule="auto"/>
        <w:ind w:firstLine="480"/>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lang w:val="en-US" w:eastAsia="zh-CN"/>
        </w:rPr>
        <w:t>6</w:t>
      </w:r>
      <w:r>
        <w:rPr>
          <w:rFonts w:hint="eastAsia" w:ascii="宋体" w:hAnsi="宋体" w:cs="宋体"/>
          <w:b/>
          <w:i/>
          <w:iCs/>
          <w:color w:val="auto"/>
          <w:sz w:val="24"/>
          <w:szCs w:val="24"/>
          <w:highlight w:val="none"/>
          <w:u w:val="single"/>
        </w:rPr>
        <w:t>、投标人作业车辆遵守交通安全法规，须办理第三者责任险。投标人必须为所有人员投保意外伤害险，中标期内发生一切员工安全问题，由中标人承担，与采购人无关。（提供承诺书原件扫描上传，格式自拟）</w:t>
      </w:r>
    </w:p>
    <w:p w14:paraId="0E78C3F0">
      <w:pPr>
        <w:shd w:val="clear"/>
        <w:tabs>
          <w:tab w:val="left" w:pos="0"/>
        </w:tabs>
        <w:spacing w:line="360" w:lineRule="auto"/>
        <w:ind w:firstLine="480"/>
        <w:rPr>
          <w:rFonts w:ascii="宋体" w:hAnsi="宋体" w:cs="宋体"/>
          <w:b/>
          <w:i/>
          <w:iCs/>
          <w:color w:val="auto"/>
          <w:sz w:val="24"/>
          <w:szCs w:val="24"/>
          <w:highlight w:val="none"/>
        </w:rPr>
      </w:pPr>
      <w:r>
        <w:rPr>
          <w:rFonts w:hint="eastAsia" w:ascii="宋体" w:hAnsi="宋体" w:cs="宋体"/>
          <w:b/>
          <w:i/>
          <w:iCs/>
          <w:color w:val="auto"/>
          <w:sz w:val="24"/>
          <w:szCs w:val="24"/>
          <w:highlight w:val="none"/>
          <w:u w:val="single"/>
          <w:lang w:val="en-US" w:eastAsia="zh-CN"/>
        </w:rPr>
        <w:t>7</w:t>
      </w:r>
      <w:r>
        <w:rPr>
          <w:rFonts w:hint="eastAsia" w:ascii="宋体" w:hAnsi="宋体" w:cs="宋体"/>
          <w:b/>
          <w:i/>
          <w:iCs/>
          <w:color w:val="auto"/>
          <w:sz w:val="24"/>
          <w:szCs w:val="24"/>
          <w:highlight w:val="none"/>
          <w:u w:val="single"/>
        </w:rPr>
        <w:t>、投标人需有规范场地满足相关车辆停放和充电（自有或租赁），确保不扰民。车辆停放应符合规范，不得造成舆情等不良影响（提供相关证明资料原件扫描上传，若在投标截止时间前不具备，则需提供场地意向租赁合作协议。）</w:t>
      </w:r>
    </w:p>
    <w:p w14:paraId="331D1E19">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突发情况（如台风、雨雪、冰雹、霜冻等天气或气候因素，或车辆、行人等人为因素，或是其它因素，以及复合因素或不明原因的情况）导致的工作内容必须及时处理，不论这些因素是可预测或不可预测的，均已包含在投标报价中。除采购人要求外，不作调整。投标人应结合道路实际自行采购融雪剂。</w:t>
      </w:r>
    </w:p>
    <w:p w14:paraId="08567A83">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ascii="宋体" w:hAnsi="宋体" w:cs="宋体"/>
          <w:color w:val="auto"/>
          <w:sz w:val="24"/>
          <w:szCs w:val="24"/>
          <w:highlight w:val="none"/>
        </w:rPr>
        <w:t>投标人</w:t>
      </w:r>
      <w:r>
        <w:rPr>
          <w:rFonts w:hint="eastAsia" w:ascii="宋体" w:hAnsi="宋体" w:cs="宋体"/>
          <w:color w:val="auto"/>
          <w:sz w:val="24"/>
          <w:szCs w:val="24"/>
          <w:highlight w:val="none"/>
        </w:rPr>
        <w:t>应</w:t>
      </w:r>
      <w:r>
        <w:rPr>
          <w:rFonts w:ascii="宋体" w:hAnsi="宋体" w:cs="宋体"/>
          <w:color w:val="auto"/>
          <w:sz w:val="24"/>
          <w:szCs w:val="24"/>
          <w:highlight w:val="none"/>
        </w:rPr>
        <w:t>仔细研究</w:t>
      </w:r>
      <w:r>
        <w:rPr>
          <w:rFonts w:hint="eastAsia" w:ascii="宋体" w:hAnsi="宋体" w:cs="宋体"/>
          <w:color w:val="auto"/>
          <w:sz w:val="24"/>
          <w:szCs w:val="24"/>
          <w:highlight w:val="none"/>
        </w:rPr>
        <w:t>采购文件</w:t>
      </w:r>
      <w:r>
        <w:rPr>
          <w:rFonts w:ascii="宋体" w:hAnsi="宋体" w:cs="宋体"/>
          <w:color w:val="auto"/>
          <w:sz w:val="24"/>
          <w:szCs w:val="24"/>
          <w:highlight w:val="none"/>
        </w:rPr>
        <w:t>，</w:t>
      </w:r>
      <w:r>
        <w:rPr>
          <w:rFonts w:hint="eastAsia" w:ascii="宋体" w:hAnsi="宋体" w:cs="宋体"/>
          <w:color w:val="auto"/>
          <w:sz w:val="24"/>
          <w:szCs w:val="24"/>
          <w:highlight w:val="none"/>
        </w:rPr>
        <w:t>按照采购文件要求进行报价</w:t>
      </w:r>
      <w:r>
        <w:rPr>
          <w:rFonts w:ascii="宋体" w:hAnsi="宋体" w:cs="宋体"/>
          <w:color w:val="auto"/>
          <w:sz w:val="24"/>
          <w:szCs w:val="24"/>
          <w:highlight w:val="none"/>
        </w:rPr>
        <w:t>，投标人若在投标</w:t>
      </w:r>
      <w:r>
        <w:rPr>
          <w:rFonts w:hint="eastAsia" w:ascii="宋体" w:hAnsi="宋体" w:cs="宋体"/>
          <w:color w:val="auto"/>
          <w:sz w:val="24"/>
          <w:szCs w:val="24"/>
          <w:highlight w:val="none"/>
        </w:rPr>
        <w:t>文件</w:t>
      </w:r>
      <w:r>
        <w:rPr>
          <w:rFonts w:ascii="宋体" w:hAnsi="宋体" w:cs="宋体"/>
          <w:color w:val="auto"/>
          <w:sz w:val="24"/>
          <w:szCs w:val="24"/>
          <w:highlight w:val="none"/>
        </w:rPr>
        <w:t>中提出</w:t>
      </w:r>
      <w:r>
        <w:rPr>
          <w:rFonts w:hint="eastAsia" w:ascii="宋体" w:hAnsi="宋体" w:cs="宋体"/>
          <w:color w:val="auto"/>
          <w:sz w:val="24"/>
          <w:szCs w:val="24"/>
          <w:highlight w:val="none"/>
        </w:rPr>
        <w:t>超出采购需求标准的其它服务的</w:t>
      </w:r>
      <w:r>
        <w:rPr>
          <w:rFonts w:ascii="宋体" w:hAnsi="宋体" w:cs="宋体"/>
          <w:color w:val="auto"/>
          <w:sz w:val="24"/>
          <w:szCs w:val="24"/>
          <w:highlight w:val="none"/>
        </w:rPr>
        <w:t>，视为投标人自愿承担</w:t>
      </w:r>
      <w:r>
        <w:rPr>
          <w:rFonts w:hint="eastAsia" w:ascii="宋体" w:hAnsi="宋体" w:cs="宋体"/>
          <w:color w:val="auto"/>
          <w:sz w:val="24"/>
          <w:szCs w:val="24"/>
          <w:highlight w:val="none"/>
        </w:rPr>
        <w:t>相关全部</w:t>
      </w:r>
      <w:r>
        <w:rPr>
          <w:rFonts w:ascii="宋体" w:hAnsi="宋体" w:cs="宋体"/>
          <w:color w:val="auto"/>
          <w:sz w:val="24"/>
          <w:szCs w:val="24"/>
          <w:highlight w:val="none"/>
        </w:rPr>
        <w:t>费用，中标后必须在承诺期限内予以实施。</w:t>
      </w:r>
    </w:p>
    <w:p w14:paraId="3473590A">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w:t>
      </w:r>
      <w:r>
        <w:rPr>
          <w:rFonts w:ascii="宋体" w:hAnsi="宋体" w:cs="宋体"/>
          <w:color w:val="auto"/>
          <w:sz w:val="24"/>
          <w:szCs w:val="24"/>
          <w:highlight w:val="none"/>
        </w:rPr>
        <w:t>由于工程施工、各类活动、节假日期间等因素导致的费用，无论这些因素是可预测或不可预测的，均已包含在投标报价中。</w:t>
      </w:r>
    </w:p>
    <w:p w14:paraId="6D6C7848">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、所有人员须符合采购需求标准，并应进行岗前安全、技能、工作规程培训，特殊岗位应取得相应的上岗证</w:t>
      </w:r>
      <w:r>
        <w:rPr>
          <w:rFonts w:ascii="宋体" w:hAnsi="宋体" w:cs="宋体"/>
          <w:color w:val="auto"/>
          <w:sz w:val="24"/>
          <w:szCs w:val="24"/>
          <w:highlight w:val="none"/>
        </w:rPr>
        <w:t>才能上岗</w:t>
      </w:r>
      <w:r>
        <w:rPr>
          <w:rFonts w:hint="eastAsia" w:ascii="宋体" w:hAnsi="宋体" w:cs="宋体"/>
          <w:color w:val="auto"/>
          <w:sz w:val="24"/>
          <w:szCs w:val="24"/>
          <w:highlight w:val="none"/>
        </w:rPr>
        <w:t>，第三方服务人员的培训由中标人提供。</w:t>
      </w:r>
    </w:p>
    <w:p w14:paraId="48D0C5F7">
      <w:pPr>
        <w:shd w:val="clear"/>
        <w:tabs>
          <w:tab w:val="left" w:pos="0"/>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、前款约定的各类作业时间、频次，环卫部门有权按需适时调整，中标人应无条件服从，采购人不增加任何费用。</w:t>
      </w:r>
    </w:p>
    <w:p w14:paraId="214FFAB9">
      <w:pPr>
        <w:shd w:val="clear"/>
        <w:tabs>
          <w:tab w:val="left" w:pos="0"/>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作业分包内环卫设施（果壳箱、垃圾桶（池）、护栏、分类收集站台、取水消防栓等）、绿化（占用、破坏、移植、砍伐、失火等）、路政设施（窨井盖、雨水篦子、路面开挖面等）、公厕内部设施等损坏，应在1小时内口头向环卫办汇报。</w:t>
      </w:r>
    </w:p>
    <w:p w14:paraId="0155A473">
      <w:pPr>
        <w:shd w:val="clear"/>
        <w:tabs>
          <w:tab w:val="left" w:pos="0"/>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、果壳箱、厢房、有害垃圾收集箱和护栏等为目前配置数，今后如有调整，合同总价不变。</w:t>
      </w:r>
    </w:p>
    <w:p w14:paraId="5A32F128">
      <w:pPr>
        <w:shd w:val="clear"/>
        <w:tabs>
          <w:tab w:val="left" w:pos="0"/>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、投标人漏报、少报部分，采购人视为此部分费用已含在投标总价中，不再另行支付。</w:t>
      </w:r>
    </w:p>
    <w:p w14:paraId="3EE0C237">
      <w:pPr>
        <w:shd w:val="clear"/>
        <w:tabs>
          <w:tab w:val="left" w:pos="0"/>
        </w:tabs>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、未全部投入运行的道路和小区，结合实际运行时间，按实际工作量支付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不含在本次报价中</w:t>
      </w:r>
      <w:r>
        <w:rPr>
          <w:rFonts w:hint="eastAsia" w:ascii="宋体" w:hAnsi="宋体" w:cs="宋体"/>
          <w:color w:val="auto"/>
          <w:sz w:val="24"/>
          <w:szCs w:val="24"/>
          <w:highlight w:val="none"/>
          <w:lang w:eastAsia="zh-CN"/>
        </w:rPr>
        <w:t>）</w:t>
      </w:r>
    </w:p>
    <w:p w14:paraId="3F04BA3C">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、装修垃圾运输及处置费用按实际发生量计算。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不含在本次报价中</w:t>
      </w:r>
      <w:r>
        <w:rPr>
          <w:rFonts w:hint="eastAsia" w:ascii="宋体" w:hAnsi="宋体" w:cs="宋体"/>
          <w:color w:val="auto"/>
          <w:sz w:val="24"/>
          <w:szCs w:val="24"/>
          <w:highlight w:val="none"/>
          <w:lang w:eastAsia="zh-CN"/>
        </w:rPr>
        <w:t>）</w:t>
      </w:r>
    </w:p>
    <w:p w14:paraId="14A33D85">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、本项目服务质量应按照本项目需求中作业服务要求细则及评估细则中相关要求执行；合同结束后人员安排应合理，提前做好与后续单位及采购人的无缝衔接、交接，不影响日常工作的正常进行，不留后续问题。</w:t>
      </w:r>
    </w:p>
    <w:p w14:paraId="6D8BD6C9">
      <w:pPr>
        <w:shd w:val="clea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、如遇政策性调整（如部分路段因各类原因导致无法继续作业等情况），采购方</w:t>
      </w:r>
      <w:r>
        <w:rPr>
          <w:rFonts w:hint="eastAsia" w:ascii="宋体" w:hAnsi="宋体" w:cs="宋体"/>
          <w:color w:val="auto"/>
          <w:sz w:val="24"/>
          <w:szCs w:val="24"/>
          <w:highlight w:val="none"/>
          <w:lang w:val="en-US" w:eastAsia="zh-CN"/>
        </w:rPr>
        <w:t>与中标人应依法依规进行协商调整</w:t>
      </w:r>
      <w:r>
        <w:rPr>
          <w:rFonts w:hint="eastAsia" w:ascii="宋体" w:hAnsi="宋体" w:cs="宋体"/>
          <w:color w:val="auto"/>
          <w:sz w:val="24"/>
          <w:szCs w:val="24"/>
          <w:highlight w:val="none"/>
        </w:rPr>
        <w:t>。</w:t>
      </w:r>
    </w:p>
    <w:p w14:paraId="799B2061">
      <w:pPr>
        <w:shd w:val="clear"/>
        <w:spacing w:line="360" w:lineRule="auto"/>
        <w:jc w:val="left"/>
        <w:rPr>
          <w:rFonts w:ascii="宋体" w:hAnsi="宋体"/>
          <w:color w:val="auto"/>
          <w:sz w:val="24"/>
          <w:szCs w:val="24"/>
          <w:highlight w:val="none"/>
        </w:rPr>
      </w:pPr>
    </w:p>
    <w:p w14:paraId="25D12CC5">
      <w:pPr>
        <w:shd w:val="clear"/>
        <w:spacing w:line="360" w:lineRule="auto"/>
        <w:jc w:val="center"/>
        <w:rPr>
          <w:rFonts w:ascii="宋体" w:hAnsi="宋体"/>
          <w:b/>
          <w:color w:val="auto"/>
          <w:sz w:val="24"/>
          <w:szCs w:val="24"/>
          <w:highlight w:val="none"/>
        </w:rPr>
      </w:pPr>
      <w:r>
        <w:rPr>
          <w:rFonts w:ascii="宋体" w:hAnsi="宋体"/>
          <w:b/>
          <w:color w:val="auto"/>
          <w:sz w:val="24"/>
          <w:szCs w:val="24"/>
          <w:highlight w:val="none"/>
        </w:rPr>
        <w:br w:type="page" w:clear="all"/>
      </w:r>
    </w:p>
    <w:p w14:paraId="1937F74F">
      <w:pPr>
        <w:shd w:val="clea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杭集镇镇区“城市管家”一体化项目评估计分标准</w:t>
      </w:r>
    </w:p>
    <w:p w14:paraId="33EFF6E1">
      <w:pPr>
        <w:shd w:val="clea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服务评估细则</w:t>
      </w:r>
    </w:p>
    <w:p w14:paraId="409C4961">
      <w:pPr>
        <w:shd w:val="clear"/>
        <w:spacing w:line="360" w:lineRule="auto"/>
        <w:ind w:firstLine="482"/>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采购人督查评估队伍按月对作业单位进行量化评估，月度评估总分为100分，评估项目分别为人员、机械配备及机械化作业里程（30分）、作业质态（50分）、文明作业（10分）、安全生产（10分），重大活动保障、领导交办事项、其他部门通报的各类事项等不纳入日常评估单独计分。本评估办法根据执行情况适时调整。</w:t>
      </w:r>
    </w:p>
    <w:p w14:paraId="3DAD5AA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评估基本要求：清扫保洁全覆盖，保洁范围到边到墙，道路定期冲洗，路面见本色；道路、绿化等干净整洁，无垃圾、无卫生死角；垃圾容器干净整洁；垃圾及时分类收运；可视范围内无“牛皮癣”小广告；公厕24小时开放，做到“六无四净”（无蝇、无蛆、无积水、无便溢、无蛛网、无臭味，地面净、墙壁净、便池净、周围净）；绿化养护达到招标文件规定的相关要求，长势良好、养护得当、无明显枯死、杂草、病虫害等。</w:t>
      </w:r>
    </w:p>
    <w:p w14:paraId="49BDE6E0">
      <w:pPr>
        <w:numPr>
          <w:ilvl w:val="0"/>
          <w:numId w:val="5"/>
        </w:num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日常市容环境卫生评估</w:t>
      </w:r>
    </w:p>
    <w:p w14:paraId="0837DBE8">
      <w:pPr>
        <w:numPr>
          <w:ilvl w:val="0"/>
          <w:numId w:val="6"/>
        </w:num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人员机械配备及机械化作业里程</w:t>
      </w:r>
    </w:p>
    <w:p w14:paraId="76FDF0ED">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1.人员</w:t>
      </w:r>
    </w:p>
    <w:p w14:paraId="0B840E6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人员在岗配比需为100%，人员配备的环卫智能管理系统已接入采购人指定平台，但平台显示缺失的，经实地核查，人员在岗在位的不扣分；如人员未在岗，每人扣0.5分；人员配备的环卫智能管理系统未接入采购人指定平台的，视为人员缺失，每人扣0.5分；人员配比90%以下的，采购人将进行约谈，如约谈后3日仍不整改的，采购人有权终止合同。</w:t>
      </w:r>
    </w:p>
    <w:p w14:paraId="6414924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（2）中标人每日作业人员工作总时长应满足采购人需求，未按采购人需求的，每少一个小时时长扣0.2分。</w:t>
      </w:r>
    </w:p>
    <w:p w14:paraId="0E08B83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（3）中标人作业人员未按照采购人要求在规定的时间、地点作业的，每例扣0.5分。</w:t>
      </w:r>
    </w:p>
    <w:p w14:paraId="3FFD271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（4）中标人本项目所有作业人员未按采购人要求购买齐全保险的，每例扣1分。</w:t>
      </w:r>
    </w:p>
    <w:p w14:paraId="2C323FC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（5）中标人未经采购人允许，私自调剂人员的，每例扣1分。</w:t>
      </w:r>
    </w:p>
    <w:p w14:paraId="5978F6C0">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（6）中标人作业人员如生病、请假等各类原因导致无法作业的，中标人因立即报备并更换应急作业人员，应急作业人员如未正常开展作业的，每例扣1分。</w:t>
      </w:r>
    </w:p>
    <w:p w14:paraId="0940FBF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（7）中标人所有人员（含调剂人员）未按采购人要求提供无犯罪、无违法证明的，每人扣1分。</w:t>
      </w:r>
    </w:p>
    <w:p w14:paraId="25D4F428">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2.机械化设备</w:t>
      </w:r>
    </w:p>
    <w:p w14:paraId="3674AC7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中标人所有车辆配比需为100%，中型及以上车辆安装GPS系统及图传设备，小型车辆安装GPS系统，所有车辆系统及设备均需接入采购人指定平台。车辆配备的系统及设备已接入采购人指定平台，但平台显示缺失的，经实地核查，车辆在岗作业的不扣分；如未发现车辆作业的，中型及以上车辆每辆扣5分，小型车辆每辆扣2分；车辆系统及设备未接入采购人指定平台、视为车辆缺失，中型及以上车辆每辆扣5分，小型车辆每辆扣2分，采购人将进行提醒，如提醒后3日仍不整改的，采购人有权终止合同。</w:t>
      </w:r>
    </w:p>
    <w:p w14:paraId="7249F4D7">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（2）中标人本项目作业车辆作业公里数未达标、每辆每日扣2分。</w:t>
      </w:r>
    </w:p>
    <w:p w14:paraId="6295DE11">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（3）中标人本项目作业车辆作业时速未达标、每辆每日扣2分。</w:t>
      </w:r>
    </w:p>
    <w:p w14:paraId="731D247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（4）中标人本项目作业车辆作业发现空跑等弄虚作假的、每辆每日扣10分，采购人将进行提醒，如提醒后发生同一问题的，采购人有权终止合同。</w:t>
      </w:r>
    </w:p>
    <w:p w14:paraId="6D1ADA4F">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（5）中标人本项目作业车辆作业时离开本项目作业区域、每辆每例扣2分。</w:t>
      </w:r>
    </w:p>
    <w:p w14:paraId="38A2184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中标人如遇作业车辆运行故障应在24小时内维修结束或重新调配其他车辆，所有调配车辆要有预先报备机制，并安装环卫智能系统，未及时报备、未立即安排应急车辆、应急车辆未达标导致路面作业缺失的，1-7天扣1分/天，8-15天扣2分/天，15天以上扣5分/天。</w:t>
      </w:r>
    </w:p>
    <w:p w14:paraId="69704E0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（7）中标人所有作业车辆未按采购人规定的时间和路线作业的，每例扣2分，采购人将进行提醒，如提醒后3日仍不整改的，采购人有权终止合同。</w:t>
      </w:r>
    </w:p>
    <w:p w14:paraId="3AA9C23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（8）中标人本项目所有作业车辆未按采购人要求购买齐全保险的，每辆扣5分，采购人将进行提醒，如提醒后3日仍不整改的，采购人有权终止合同。</w:t>
      </w:r>
    </w:p>
    <w:p w14:paraId="4200082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（9）中标人未经采购人允许，私自调剂车辆的，每例扣2分，采购人将进行提醒，如提醒后发生同一问题，采购人有权终止合同。</w:t>
      </w:r>
    </w:p>
    <w:p w14:paraId="07720E17">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（10）中标人未经采购人允许，私自重新过户车辆的，每例扣10分，采购人将进行提醒，如提醒后发生同一问题，采购人有权终止合同。</w:t>
      </w:r>
    </w:p>
    <w:p w14:paraId="33440376">
      <w:pPr>
        <w:shd w:val="clea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11</w:t>
      </w:r>
      <w:r>
        <w:rPr>
          <w:rFonts w:ascii="宋体" w:hAnsi="宋体" w:cs="宋体"/>
          <w:color w:val="auto"/>
          <w:sz w:val="24"/>
          <w:szCs w:val="24"/>
          <w:highlight w:val="none"/>
        </w:rPr>
        <w:t>）中标人未按采购人指定样式涂装化的，每车扣</w:t>
      </w:r>
      <w:r>
        <w:rPr>
          <w:rFonts w:hint="eastAsia" w:ascii="宋体" w:hAnsi="宋体" w:cs="宋体"/>
          <w:color w:val="auto"/>
          <w:sz w:val="24"/>
          <w:szCs w:val="24"/>
          <w:highlight w:val="none"/>
        </w:rPr>
        <w:t>2分，采购人将进行提醒，如提醒后3日仍不整改的，采购人有权终止合同。</w:t>
      </w:r>
    </w:p>
    <w:p w14:paraId="5B60A6BC">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（12）中型及以上车辆未在规定取水点取水的，每例扣1分。</w:t>
      </w:r>
    </w:p>
    <w:p w14:paraId="14AAA2B3">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（二）作业质态</w:t>
      </w:r>
    </w:p>
    <w:p w14:paraId="6A8708F3">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1、道路保洁及公共设施保洁</w:t>
      </w:r>
    </w:p>
    <w:p w14:paraId="6ADCE30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（1）按要求配置作业机械，并安装定位及视频监控等装置，与</w:t>
      </w:r>
      <w:r>
        <w:rPr>
          <w:rFonts w:hint="eastAsia" w:ascii="宋体" w:hAnsi="宋体" w:cs="宋体"/>
          <w:color w:val="auto"/>
          <w:sz w:val="24"/>
          <w:szCs w:val="24"/>
          <w:highlight w:val="none"/>
          <w:lang w:val="en-US" w:eastAsia="zh-CN"/>
        </w:rPr>
        <w:t>市</w:t>
      </w:r>
      <w:r>
        <w:rPr>
          <w:rFonts w:hint="eastAsia" w:ascii="宋体" w:hAnsi="宋体" w:cs="宋体"/>
          <w:color w:val="auto"/>
          <w:sz w:val="24"/>
          <w:szCs w:val="24"/>
          <w:highlight w:val="none"/>
        </w:rPr>
        <w:t>区两级管理部门监管系统联网。未按要求配置作业机械，每缺1台扣1分；未安装定位及视频监控等装置，每缺1台扣0.5分，有装置但未与管理部门监管系统联网每缺1台扣0.5分。</w:t>
      </w:r>
    </w:p>
    <w:p w14:paraId="7E63E9C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（2）一级道路每日“2洗扫2冲水2清理”，每周1次路面深度清洗；二级道路每日“1洗扫2冲水2清理”，每月2次路面深度清洗；</w:t>
      </w:r>
      <w:r>
        <w:rPr>
          <w:rFonts w:hint="eastAsia" w:ascii="宋体" w:hAnsi="宋体" w:cs="宋体"/>
          <w:color w:val="auto"/>
          <w:sz w:val="24"/>
          <w:szCs w:val="24"/>
          <w:highlight w:val="none"/>
          <w:shd w:val="clear"/>
          <w:lang w:val="en-US" w:eastAsia="zh-CN"/>
        </w:rPr>
        <w:t>重点区域降尘作业符合相关保洁标准及要求。</w:t>
      </w:r>
      <w:r>
        <w:rPr>
          <w:rFonts w:hint="eastAsia" w:ascii="宋体" w:hAnsi="宋体" w:cs="宋体"/>
          <w:color w:val="auto"/>
          <w:sz w:val="24"/>
          <w:szCs w:val="24"/>
          <w:highlight w:val="none"/>
        </w:rPr>
        <w:t>人工检查和信息化监管相结合，未达作业频次，每路段、每车（人）次扣1分。</w:t>
      </w:r>
    </w:p>
    <w:p w14:paraId="3BAFF03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洗扫作业第一遍在7:00前完成，第二遍在12:00至16:00完成；冲水作业第一遍在7:00前完成，第二遍在12:00至16:00完成；清理作业第一遍在7:00至12:00完成，第二遍在14:00至19:00完成。机械化作业避开早晚交通高峰时段（早高峰为7:00至9:00，晚高峰为17:00至19:00）。人工检查和信息化监管相结合，未在规定时间内作业，每起扣0.5分；未避开早晚高峰，每起扣0.5分。</w:t>
      </w:r>
    </w:p>
    <w:p w14:paraId="39B7D5A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（4）机械化作业不超过限定时速。洗扫作业，扫刷落地到位，</w:t>
      </w:r>
      <w:r>
        <w:rPr>
          <w:rFonts w:hint="eastAsia" w:ascii="宋体" w:hAnsi="宋体" w:cs="宋体"/>
          <w:color w:val="auto"/>
          <w:sz w:val="24"/>
          <w:szCs w:val="24"/>
          <w:highlight w:val="none"/>
          <w:lang w:eastAsia="zh-CN"/>
        </w:rPr>
        <w:t>达到</w:t>
      </w:r>
      <w:r>
        <w:rPr>
          <w:rFonts w:hint="eastAsia" w:ascii="宋体" w:hAnsi="宋体" w:cs="宋体"/>
          <w:color w:val="auto"/>
          <w:sz w:val="24"/>
          <w:szCs w:val="24"/>
          <w:highlight w:val="none"/>
        </w:rPr>
        <w:t>最佳吸尘效果，并实行湿扫，避免起扬尘；冲水作业，喷嘴角度合理，</w:t>
      </w:r>
      <w:r>
        <w:rPr>
          <w:rFonts w:hint="eastAsia" w:ascii="宋体" w:hAnsi="宋体" w:cs="宋体"/>
          <w:color w:val="auto"/>
          <w:sz w:val="24"/>
          <w:szCs w:val="24"/>
          <w:highlight w:val="none"/>
          <w:lang w:eastAsia="zh-CN"/>
        </w:rPr>
        <w:t>达到</w:t>
      </w:r>
      <w:r>
        <w:rPr>
          <w:rFonts w:hint="eastAsia" w:ascii="宋体" w:hAnsi="宋体" w:cs="宋体"/>
          <w:color w:val="auto"/>
          <w:sz w:val="24"/>
          <w:szCs w:val="24"/>
          <w:highlight w:val="none"/>
        </w:rPr>
        <w:t>最佳冲洗效果，不得将水冲向行人。人工作业不将垃圾、灰尘扫入绿化带。机械化作业车辆、人工作业配套车辆干净整洁。人工检查和信息化监管相结合，未在规定时间内作业，每起扣0.5分；未避免早晚高峰，每起扣0.5分。</w:t>
      </w:r>
    </w:p>
    <w:p w14:paraId="02A5A731">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（5）路面无暴露性垃圾、无砂石杂物、无“</w:t>
      </w:r>
      <w:r>
        <w:rPr>
          <w:rFonts w:hint="eastAsia" w:ascii="宋体" w:hAnsi="宋体" w:cs="宋体"/>
          <w:color w:val="auto"/>
          <w:sz w:val="24"/>
          <w:szCs w:val="24"/>
          <w:highlight w:val="none"/>
          <w:lang w:eastAsia="zh-CN"/>
        </w:rPr>
        <w:t>牛皮癣</w:t>
      </w:r>
      <w:r>
        <w:rPr>
          <w:rFonts w:hint="eastAsia" w:ascii="宋体" w:hAnsi="宋体" w:cs="宋体"/>
          <w:color w:val="auto"/>
          <w:sz w:val="24"/>
          <w:szCs w:val="24"/>
          <w:highlight w:val="none"/>
        </w:rPr>
        <w:t>”、无污迹、无积水、无积尘，路面见底色、标线见本色。绿化带内无垃圾杂物。每发现1处且15分钟内未处置的扣0.5分。</w:t>
      </w:r>
    </w:p>
    <w:p w14:paraId="36C957ED">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（6）暂定一级、二级、三级道路保洁后每平方米积尘负荷重点区域内分别不超过1、2、3克。检测数值超过规定标准的，每起扣1分。</w:t>
      </w:r>
    </w:p>
    <w:p w14:paraId="5464329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（7）交通护栏表面无“牛皮癣”，无明显灰尘、污迹。每发现1处且15分钟内未处置的扣0.2分。</w:t>
      </w:r>
    </w:p>
    <w:p w14:paraId="53B20427">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hint="eastAsia" w:ascii="宋体" w:hAnsi="宋体" w:cs="宋体"/>
          <w:b/>
          <w:color w:val="auto"/>
          <w:sz w:val="24"/>
          <w:szCs w:val="24"/>
          <w:highlight w:val="none"/>
          <w:lang w:val="en-US" w:eastAsia="zh-CN"/>
        </w:rPr>
        <w:t>绿化</w:t>
      </w:r>
      <w:r>
        <w:rPr>
          <w:rFonts w:hint="eastAsia" w:ascii="宋体" w:hAnsi="宋体" w:cs="宋体"/>
          <w:b/>
          <w:color w:val="auto"/>
          <w:sz w:val="24"/>
          <w:szCs w:val="24"/>
          <w:highlight w:val="none"/>
        </w:rPr>
        <w:t>保洁</w:t>
      </w:r>
    </w:p>
    <w:p w14:paraId="058F237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（1）绿化带（岛）零散垃圾、白色</w:t>
      </w:r>
      <w:r>
        <w:rPr>
          <w:rFonts w:hint="eastAsia" w:ascii="宋体" w:hAnsi="宋体" w:cs="宋体"/>
          <w:color w:val="auto"/>
          <w:sz w:val="24"/>
          <w:szCs w:val="24"/>
          <w:highlight w:val="none"/>
          <w:lang w:eastAsia="zh-CN"/>
        </w:rPr>
        <w:t>漂浮物</w:t>
      </w:r>
      <w:r>
        <w:rPr>
          <w:rFonts w:hint="eastAsia" w:ascii="宋体" w:hAnsi="宋体" w:cs="宋体"/>
          <w:color w:val="auto"/>
          <w:sz w:val="24"/>
          <w:szCs w:val="24"/>
          <w:highlight w:val="none"/>
        </w:rPr>
        <w:t>在15分钟之内清除，未在 15 分钟之内清除。每处扣1分。</w:t>
      </w:r>
    </w:p>
    <w:p w14:paraId="741CA8A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（2）树坑、树池内杂草、烟头、动物粪便等在15分钟之内清除，未在 15 分钟之内清除。每处扣1分。</w:t>
      </w:r>
    </w:p>
    <w:p w14:paraId="1B16B0D9">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3、垃圾分类与收运</w:t>
      </w:r>
    </w:p>
    <w:p w14:paraId="0B042D81">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（1）垃圾收运车辆车容车貌整洁、标识清晰、无抛洒滴漏。每起扣0.2分。</w:t>
      </w:r>
    </w:p>
    <w:p w14:paraId="3DC5D35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（2）每日巡回分类收运路线沿线果壳箱等垃圾容器内的垃圾，确保垃圾容器不满溢。垃圾收运不及时，造成垃圾容器满溢的，每起扣0.5分；混装收运的，每起扣1分。</w:t>
      </w:r>
    </w:p>
    <w:p w14:paraId="053777E2">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（3）捡拾公共区域散落垃圾，定时分类收运沿街商户（单位）垃圾。未按规定执行，发现或接到投诉经查实1起，扣0.5分。</w:t>
      </w:r>
    </w:p>
    <w:p w14:paraId="01AB7F6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（4）新建投放站的小区，投放站及垃圾容器周边垃圾清理不及时。每次扣1分。</w:t>
      </w:r>
    </w:p>
    <w:p w14:paraId="3A00D799">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（5）保洁工、清运工不遵守中转站排队秩序，作息时间大声喧哗，或装卸垃圾时未轻拿轻放造成扰民的。每次扣1分。</w:t>
      </w:r>
    </w:p>
    <w:p w14:paraId="3F177F5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（6）标段内无主垃圾未及时清理，渣土污染未及时清理的。每处扣1分。</w:t>
      </w:r>
    </w:p>
    <w:p w14:paraId="03E1011D">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（7）垃圾未日产日清、有堆积、积压未达规定频次收集的。每处扣1分。</w:t>
      </w:r>
    </w:p>
    <w:p w14:paraId="59199FB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（8）收集作业完成后，未及时清理场地。每处扣1分。</w:t>
      </w:r>
    </w:p>
    <w:p w14:paraId="0365755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（9）有扰民或与居民发生矛盾等现象。每次扣5分。</w:t>
      </w:r>
    </w:p>
    <w:p w14:paraId="55428FDF">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（10）未建立健全车辆维修、保养和检查制度。每项（车）扣1分。</w:t>
      </w:r>
    </w:p>
    <w:p w14:paraId="56DB527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（11）收集运输车辆未密闭，运输过程中抛洒滴漏、拖挂垃圾。每车扣1分。</w:t>
      </w:r>
    </w:p>
    <w:p w14:paraId="3505631D">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（12）收集运输作业完成后，未清洗车辆（结冰期除外），清洗污水乱排。每车扣1分。</w:t>
      </w:r>
    </w:p>
    <w:p w14:paraId="33046549">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4、公厕保洁</w:t>
      </w:r>
    </w:p>
    <w:p w14:paraId="2A9A8D40">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（1）公厕外墙面和内部设施表面无乱张贴、无乱涂乱画，地面干净整洁、无积水，便池无尿垢，无明显异味。每发现1处（起）且15分钟内未处置的扣0.2分。</w:t>
      </w:r>
    </w:p>
    <w:p w14:paraId="37F7CD89">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（2）公厕无专人管理、保洁制度，管理房（工具间）物品摆放杂乱，不整洁有杂物及闲杂人员，挪作他用。每处扣1分。</w:t>
      </w:r>
    </w:p>
    <w:p w14:paraId="6838EAB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（3）公厕</w:t>
      </w:r>
      <w:r>
        <w:rPr>
          <w:rFonts w:hint="eastAsia" w:ascii="宋体" w:hAnsi="宋体" w:cs="宋体"/>
          <w:color w:val="auto"/>
          <w:sz w:val="24"/>
          <w:szCs w:val="24"/>
          <w:highlight w:val="none"/>
          <w:lang w:val="en-US" w:eastAsia="zh-CN"/>
        </w:rPr>
        <w:t>安排</w:t>
      </w:r>
      <w:r>
        <w:rPr>
          <w:rFonts w:hint="eastAsia" w:ascii="宋体" w:hAnsi="宋体" w:cs="宋体"/>
          <w:color w:val="auto"/>
          <w:sz w:val="24"/>
          <w:szCs w:val="24"/>
          <w:highlight w:val="none"/>
          <w:shd w:val="clear"/>
        </w:rPr>
        <w:t>专人保洁</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为</w:t>
      </w:r>
      <w:r>
        <w:rPr>
          <w:rFonts w:hint="eastAsia" w:ascii="宋体" w:hAnsi="宋体" w:cs="宋体"/>
          <w:color w:val="auto"/>
          <w:sz w:val="24"/>
          <w:szCs w:val="24"/>
          <w:highlight w:val="none"/>
        </w:rPr>
        <w:t>24 小时免费对外开放。每处扣1分。</w:t>
      </w:r>
    </w:p>
    <w:p w14:paraId="7ACB800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（4）公厕内部墙面、天花板、门窗和隔离板有积灰、污迹、蛛网，乱涂乱画，墙面不光洁；公厕外墙面不整洁。每处扣1分。</w:t>
      </w:r>
    </w:p>
    <w:p w14:paraId="6BBF0A4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（5）公厕内部地面不光洁，有积水。每处扣1分。</w:t>
      </w:r>
    </w:p>
    <w:p w14:paraId="7189FF49">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（6）公厕坐便器、蹲位不整洁，大便槽两侧有粪便污物，槽内有积粪。每处扣1分。</w:t>
      </w:r>
    </w:p>
    <w:p w14:paraId="0ECCCA9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（7）公厕小便槽（斗）有水锈、尿垢、垃圾，有异味，沟眼、管道不畅通。每处扣1分。</w:t>
      </w:r>
    </w:p>
    <w:p w14:paraId="63595AF1">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（8）公厕内部照明灯具、洗手器具、镜子、挂衣钩、烘手器、冲水设备等缺失，有积灰、污物。每处扣1分。</w:t>
      </w:r>
    </w:p>
    <w:p w14:paraId="22E30CA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（9）公厕外部环境不整洁，乱堆杂物，保洁工具放置凌乱。公厕四周 3m 范围内，有垃圾、粪便、污水等污物。每处扣1分。</w:t>
      </w:r>
    </w:p>
    <w:p w14:paraId="691CFD1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（10）公厕标志、标识及导厕牌设置不规范，脏污有破损，群众如厕不方便。每处扣1分。</w:t>
      </w:r>
    </w:p>
    <w:p w14:paraId="2F41765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（11）公厕化粪池与出粪口无盖板，破损凸陷。每处扣1分。</w:t>
      </w:r>
    </w:p>
    <w:p w14:paraId="1CA2D3C4">
      <w:pPr>
        <w:shd w:val="clear"/>
        <w:spacing w:line="360" w:lineRule="auto"/>
        <w:ind w:firstLine="480"/>
        <w:rPr>
          <w:rFonts w:ascii="宋体" w:hAnsi="宋体" w:cs="宋体"/>
          <w:b/>
          <w:color w:val="auto"/>
          <w:sz w:val="24"/>
          <w:szCs w:val="24"/>
          <w:highlight w:val="none"/>
        </w:rPr>
      </w:pPr>
      <w:r>
        <w:rPr>
          <w:rFonts w:hint="eastAsia" w:ascii="宋体" w:hAnsi="宋体" w:cs="宋体"/>
          <w:color w:val="auto"/>
          <w:sz w:val="24"/>
          <w:szCs w:val="24"/>
          <w:highlight w:val="none"/>
        </w:rPr>
        <w:t>5、</w:t>
      </w:r>
      <w:r>
        <w:rPr>
          <w:rFonts w:hint="eastAsia" w:ascii="宋体" w:hAnsi="宋体" w:cs="宋体"/>
          <w:b/>
          <w:color w:val="auto"/>
          <w:sz w:val="24"/>
          <w:szCs w:val="24"/>
          <w:highlight w:val="none"/>
        </w:rPr>
        <w:t>环卫基础设施管理</w:t>
      </w:r>
    </w:p>
    <w:p w14:paraId="571B29DC">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（1）果壳箱、公交站台等其他公共设施表面无乱张贴、无乱涂乱画，无明显灰尘。每发现1处（起）15分钟内未处置的扣0.2分。</w:t>
      </w:r>
    </w:p>
    <w:p w14:paraId="5CB47BD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（2）垃圾容器未定位设置，摆放凌乱。设置点周围2m内外部不整洁，散落、存留垃圾和污水。每处扣1分。</w:t>
      </w:r>
    </w:p>
    <w:p w14:paraId="2CFB8B2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（3）垃圾容器残缺、破损，未封闭，外体不整洁，收集构筑物内外墙有明显积灰、污物。每处扣1分。</w:t>
      </w:r>
    </w:p>
    <w:p w14:paraId="7DEA6407">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（4）未按照分类要求设置分类收集容器。每处扣1分。</w:t>
      </w:r>
    </w:p>
    <w:p w14:paraId="328CFCBC">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（5）垃圾容器未擦拭、清洗。每处扣1分。</w:t>
      </w:r>
    </w:p>
    <w:p w14:paraId="6B3164E4">
      <w:pPr>
        <w:shd w:val="clear"/>
        <w:spacing w:line="360" w:lineRule="auto"/>
        <w:ind w:left="482"/>
        <w:rPr>
          <w:rFonts w:ascii="宋体" w:hAnsi="宋体" w:cs="宋体"/>
          <w:b/>
          <w:color w:val="auto"/>
          <w:sz w:val="24"/>
          <w:szCs w:val="24"/>
          <w:highlight w:val="none"/>
        </w:rPr>
      </w:pPr>
      <w:r>
        <w:rPr>
          <w:rFonts w:hint="eastAsia" w:ascii="宋体" w:hAnsi="宋体" w:cs="宋体"/>
          <w:b/>
          <w:color w:val="auto"/>
          <w:sz w:val="24"/>
          <w:szCs w:val="24"/>
          <w:highlight w:val="none"/>
        </w:rPr>
        <w:t>6、绿化养护</w:t>
      </w:r>
    </w:p>
    <w:p w14:paraId="05418849">
      <w:pPr>
        <w:shd w:val="clear"/>
        <w:tabs>
          <w:tab w:val="left" w:pos="1092"/>
        </w:tabs>
        <w:spacing w:line="360" w:lineRule="auto"/>
        <w:ind w:firstLine="562"/>
        <w:jc w:val="center"/>
        <w:rPr>
          <w:rFonts w:ascii="宋体" w:hAnsi="宋体" w:cs="宋体"/>
          <w:b/>
          <w:color w:val="auto"/>
          <w:sz w:val="28"/>
          <w:szCs w:val="24"/>
          <w:highlight w:val="none"/>
        </w:rPr>
      </w:pPr>
      <w:r>
        <w:rPr>
          <w:rFonts w:hint="eastAsia" w:ascii="宋体" w:hAnsi="宋体" w:cs="宋体"/>
          <w:b/>
          <w:color w:val="auto"/>
          <w:sz w:val="28"/>
          <w:szCs w:val="24"/>
          <w:highlight w:val="none"/>
        </w:rPr>
        <w:t>扬州市城市园林绿化养护考核评分表(二级养护)</w:t>
      </w:r>
    </w:p>
    <w:p w14:paraId="2E24B749">
      <w:pPr>
        <w:shd w:val="clear"/>
        <w:tabs>
          <w:tab w:val="left" w:pos="1092"/>
        </w:tabs>
        <w:spacing w:line="360" w:lineRule="auto"/>
        <w:ind w:firstLine="482"/>
        <w:jc w:val="center"/>
        <w:rPr>
          <w:rFonts w:ascii="宋体" w:hAnsi="宋体" w:cs="宋体"/>
          <w:b/>
          <w:color w:val="auto"/>
          <w:sz w:val="24"/>
          <w:szCs w:val="24"/>
          <w:highlight w:val="none"/>
        </w:rPr>
      </w:pPr>
      <w:r>
        <w:rPr>
          <w:rFonts w:hint="eastAsia" w:ascii="宋体" w:hAnsi="宋体" w:cs="宋体"/>
          <w:b/>
          <w:color w:val="auto"/>
          <w:sz w:val="24"/>
          <w:szCs w:val="24"/>
          <w:highlight w:val="none"/>
        </w:rPr>
        <w:t>考核时间：     年  月  日      考核人：             得分：</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701"/>
        <w:gridCol w:w="4253"/>
        <w:gridCol w:w="850"/>
        <w:gridCol w:w="1548"/>
      </w:tblGrid>
      <w:tr w14:paraId="7E4D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6167348">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1701" w:type="dxa"/>
            <w:vAlign w:val="center"/>
          </w:tcPr>
          <w:p w14:paraId="00D47846">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项目（分值）</w:t>
            </w:r>
          </w:p>
        </w:tc>
        <w:tc>
          <w:tcPr>
            <w:tcW w:w="4253" w:type="dxa"/>
            <w:vAlign w:val="center"/>
          </w:tcPr>
          <w:p w14:paraId="5194A00F">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评分标准</w:t>
            </w:r>
          </w:p>
        </w:tc>
        <w:tc>
          <w:tcPr>
            <w:tcW w:w="850" w:type="dxa"/>
            <w:vAlign w:val="center"/>
          </w:tcPr>
          <w:p w14:paraId="7664CFD1">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扣分</w:t>
            </w:r>
          </w:p>
        </w:tc>
        <w:tc>
          <w:tcPr>
            <w:tcW w:w="1548" w:type="dxa"/>
            <w:vAlign w:val="center"/>
          </w:tcPr>
          <w:p w14:paraId="4BF29F6E">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存在问题</w:t>
            </w:r>
          </w:p>
        </w:tc>
      </w:tr>
      <w:tr w14:paraId="663A2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B34402D">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1701" w:type="dxa"/>
            <w:vMerge w:val="restart"/>
            <w:vAlign w:val="center"/>
          </w:tcPr>
          <w:p w14:paraId="0DE2FE14">
            <w:pPr>
              <w:keepNext w:val="0"/>
              <w:keepLines w:val="0"/>
              <w:suppressLineNumbers w:val="0"/>
              <w:shd w:val="clear"/>
              <w:tabs>
                <w:tab w:val="left" w:pos="1092"/>
              </w:tabs>
              <w:spacing w:before="0" w:beforeAutospacing="0" w:after="0" w:afterAutospacing="0" w:line="36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植物养护</w:t>
            </w:r>
          </w:p>
          <w:p w14:paraId="66EB1832">
            <w:pPr>
              <w:keepNext w:val="0"/>
              <w:keepLines w:val="0"/>
              <w:suppressLineNumbers w:val="0"/>
              <w:shd w:val="clear"/>
              <w:tabs>
                <w:tab w:val="left" w:pos="1092"/>
              </w:tabs>
              <w:spacing w:before="0" w:beforeAutospacing="0" w:after="0" w:afterAutospacing="0" w:line="36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（50分）</w:t>
            </w:r>
          </w:p>
        </w:tc>
        <w:tc>
          <w:tcPr>
            <w:tcW w:w="4253" w:type="dxa"/>
            <w:vAlign w:val="center"/>
          </w:tcPr>
          <w:p w14:paraId="43B5BC8B">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1、绿化养护技术措施完善，管理得当2分；行道树、绿地内无缺、死株等，草坪内单块斑秃面积不超过0.2㎡或10㎡绿地内斑秃现象不超过3块8分。每出现1株缺株、死株或0.5平方米斑秃扣2分。(10分)</w:t>
            </w:r>
          </w:p>
        </w:tc>
        <w:tc>
          <w:tcPr>
            <w:tcW w:w="850" w:type="dxa"/>
            <w:vAlign w:val="center"/>
          </w:tcPr>
          <w:p w14:paraId="198A030C">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61916251">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21CB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7451F44">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p>
        </w:tc>
        <w:tc>
          <w:tcPr>
            <w:tcW w:w="1701" w:type="dxa"/>
            <w:vMerge w:val="continue"/>
            <w:vAlign w:val="center"/>
          </w:tcPr>
          <w:p w14:paraId="7D6C4C85">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4253" w:type="dxa"/>
            <w:vAlign w:val="center"/>
          </w:tcPr>
          <w:p w14:paraId="2093EC6C">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2、植物生长健壮，叶色正常，无明显缺肥或病虫危害症状2分；行道树同一路段内相同树种，树形留养一致1分；新建绿地的各种植物2年内达到正常形态2分。(5分)</w:t>
            </w:r>
          </w:p>
        </w:tc>
        <w:tc>
          <w:tcPr>
            <w:tcW w:w="850" w:type="dxa"/>
            <w:vAlign w:val="center"/>
          </w:tcPr>
          <w:p w14:paraId="5E2867C1">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1E6787A6">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21CC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595B739">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p>
        </w:tc>
        <w:tc>
          <w:tcPr>
            <w:tcW w:w="1701" w:type="dxa"/>
            <w:vMerge w:val="continue"/>
            <w:vAlign w:val="center"/>
          </w:tcPr>
          <w:p w14:paraId="588419FA">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4253" w:type="dxa"/>
            <w:vAlign w:val="center"/>
          </w:tcPr>
          <w:p w14:paraId="0259C92F">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园林树木树冠完整美观2分，枝条粗壮1分，无枯枝死杈2分；主侧枝分布匀称2级及以上分枝点保留充分、修剪科学合理3分；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(15分)</w:t>
            </w:r>
          </w:p>
        </w:tc>
        <w:tc>
          <w:tcPr>
            <w:tcW w:w="850" w:type="dxa"/>
            <w:vAlign w:val="center"/>
          </w:tcPr>
          <w:p w14:paraId="4DD5FB48">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5202C265">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46A7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BDE5E2C">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w:t>
            </w:r>
          </w:p>
        </w:tc>
        <w:tc>
          <w:tcPr>
            <w:tcW w:w="1701" w:type="dxa"/>
            <w:vMerge w:val="continue"/>
            <w:vAlign w:val="center"/>
          </w:tcPr>
          <w:p w14:paraId="3059CAD3">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4253" w:type="dxa"/>
            <w:vAlign w:val="center"/>
          </w:tcPr>
          <w:p w14:paraId="5A8ABE4A">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4、树木不歪斜，无树线及树屋矛盾，无事故隐患5分。树木倾斜15度以上每2株扣1分，未及时并妥善处理安全隐患每1处扣一分。(5分)</w:t>
            </w:r>
          </w:p>
        </w:tc>
        <w:tc>
          <w:tcPr>
            <w:tcW w:w="850" w:type="dxa"/>
            <w:vAlign w:val="center"/>
          </w:tcPr>
          <w:p w14:paraId="1DC904A2">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643729CF">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3D8D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3305F98">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w:t>
            </w:r>
          </w:p>
        </w:tc>
        <w:tc>
          <w:tcPr>
            <w:tcW w:w="1701" w:type="dxa"/>
            <w:vMerge w:val="continue"/>
            <w:vAlign w:val="center"/>
          </w:tcPr>
          <w:p w14:paraId="3A947000">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4253" w:type="dxa"/>
            <w:vAlign w:val="center"/>
          </w:tcPr>
          <w:p w14:paraId="45D7FBBA">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5、花坛、花带轮廓清晰2分，整齐美观1分，色彩艳丽1分，无残缺，无残花败叶1分。(5分)</w:t>
            </w:r>
          </w:p>
        </w:tc>
        <w:tc>
          <w:tcPr>
            <w:tcW w:w="850" w:type="dxa"/>
            <w:vAlign w:val="center"/>
          </w:tcPr>
          <w:p w14:paraId="66F72D86">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1D1289A2">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1BC5E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E2FC06E">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w:t>
            </w:r>
          </w:p>
        </w:tc>
        <w:tc>
          <w:tcPr>
            <w:tcW w:w="1701" w:type="dxa"/>
            <w:vMerge w:val="continue"/>
            <w:vAlign w:val="center"/>
          </w:tcPr>
          <w:p w14:paraId="2E1B602D">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4253" w:type="dxa"/>
            <w:vAlign w:val="center"/>
          </w:tcPr>
          <w:p w14:paraId="02A94FA9">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6、草坪及地被植物整齐一致1分，草根不裸露，覆盖率95%以上1分；草坪生长季节不枯黄，修剪及时1分，杂草率10%以内1分。地被植物高度符合设计意图，保持在较合理高度1分。(5分)</w:t>
            </w:r>
          </w:p>
        </w:tc>
        <w:tc>
          <w:tcPr>
            <w:tcW w:w="850" w:type="dxa"/>
            <w:vAlign w:val="center"/>
          </w:tcPr>
          <w:p w14:paraId="282CA48E">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25598DCF">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722C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7AB4A15">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w:t>
            </w:r>
          </w:p>
        </w:tc>
        <w:tc>
          <w:tcPr>
            <w:tcW w:w="1701" w:type="dxa"/>
            <w:vMerge w:val="continue"/>
            <w:vAlign w:val="center"/>
          </w:tcPr>
          <w:p w14:paraId="355F87A2">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4253" w:type="dxa"/>
            <w:vAlign w:val="center"/>
          </w:tcPr>
          <w:p w14:paraId="695E821A">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7、垂直绿化根据不同植物的攀缘特点，采取相应的牵引、设置网架等技术措施1分,覆盖率不低于85% 2分；开花的攀缘植物适时开花，花繁色艳2分。(5分)</w:t>
            </w:r>
          </w:p>
        </w:tc>
        <w:tc>
          <w:tcPr>
            <w:tcW w:w="850" w:type="dxa"/>
            <w:vAlign w:val="center"/>
          </w:tcPr>
          <w:p w14:paraId="56725E89">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5D5977B1">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456D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D03FEAB">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w:t>
            </w:r>
          </w:p>
        </w:tc>
        <w:tc>
          <w:tcPr>
            <w:tcW w:w="1701" w:type="dxa"/>
            <w:vAlign w:val="center"/>
          </w:tcPr>
          <w:p w14:paraId="4F8AB06A">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病虫害防治(15分)</w:t>
            </w:r>
          </w:p>
        </w:tc>
        <w:tc>
          <w:tcPr>
            <w:tcW w:w="4253" w:type="dxa"/>
            <w:vAlign w:val="center"/>
          </w:tcPr>
          <w:p w14:paraId="47A251BA">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病虫害控制及时，园林树木上无黄叶、焦叶及明显的病虫危害现象5分。乔木、花灌木等被害株率≤5%，无蛀干害虫的活卵、活虫5分；绿篱、地被等叶片上无虫粪、虫网，健康叶片保存率不低于90% 5分。</w:t>
            </w:r>
          </w:p>
        </w:tc>
        <w:tc>
          <w:tcPr>
            <w:tcW w:w="850" w:type="dxa"/>
            <w:vAlign w:val="center"/>
          </w:tcPr>
          <w:p w14:paraId="0790F36D">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7634AAA0">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6C5C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50E553D">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w:t>
            </w:r>
          </w:p>
        </w:tc>
        <w:tc>
          <w:tcPr>
            <w:tcW w:w="1701" w:type="dxa"/>
            <w:vAlign w:val="center"/>
          </w:tcPr>
          <w:p w14:paraId="4F22220C">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浇水防冻</w:t>
            </w:r>
          </w:p>
          <w:p w14:paraId="0761D932">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(5分)</w:t>
            </w:r>
          </w:p>
        </w:tc>
        <w:tc>
          <w:tcPr>
            <w:tcW w:w="4253" w:type="dxa"/>
            <w:vAlign w:val="center"/>
          </w:tcPr>
          <w:p w14:paraId="2B4546BD">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根据天气，酌量浇水，夏季需及时抗</w:t>
            </w:r>
            <w:r>
              <w:rPr>
                <w:rFonts w:hint="eastAsia" w:ascii="宋体" w:hAnsi="宋体" w:cs="宋体"/>
                <w:color w:val="auto"/>
                <w:kern w:val="2"/>
                <w:sz w:val="24"/>
                <w:szCs w:val="24"/>
                <w:highlight w:val="none"/>
                <w:lang w:val="en-US" w:eastAsia="zh-CN"/>
              </w:rPr>
              <w:t>旱</w:t>
            </w:r>
            <w:r>
              <w:rPr>
                <w:rFonts w:hint="eastAsia" w:ascii="宋体" w:hAnsi="宋体" w:eastAsia="宋体" w:cs="宋体"/>
                <w:color w:val="auto"/>
                <w:kern w:val="2"/>
                <w:sz w:val="24"/>
                <w:szCs w:val="24"/>
                <w:highlight w:val="none"/>
              </w:rPr>
              <w:t>、排涝，不能发生严重缺水或积水现象2分；及时做好冬季植被防冻保护工作2分；值班、巡视、应急预案等防灾避险措施落实到位，具备台风、旱涝及冬季雪灾等应急抗灾能力1分。</w:t>
            </w:r>
          </w:p>
        </w:tc>
        <w:tc>
          <w:tcPr>
            <w:tcW w:w="850" w:type="dxa"/>
            <w:vAlign w:val="center"/>
          </w:tcPr>
          <w:p w14:paraId="7469F728">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44CE72BB">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6A768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D08CBB1">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w:t>
            </w:r>
          </w:p>
        </w:tc>
        <w:tc>
          <w:tcPr>
            <w:tcW w:w="1701" w:type="dxa"/>
            <w:vAlign w:val="center"/>
          </w:tcPr>
          <w:p w14:paraId="37E88DA3">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卫生保洁</w:t>
            </w:r>
          </w:p>
          <w:p w14:paraId="12633233">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(10分)</w:t>
            </w:r>
          </w:p>
        </w:tc>
        <w:tc>
          <w:tcPr>
            <w:tcW w:w="4253" w:type="dxa"/>
            <w:vAlign w:val="center"/>
          </w:tcPr>
          <w:p w14:paraId="01074D6C">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绿地(含水面)整洁，无条状、块状杂物及污染物，点状污染物每100㎡≤5处2分。适时清除野藤、枯枝、断枝、枯叶2分，对绿化生产垃圾(如树枝、树叶、草屑等)、绿地内水面杂物，重点地区随产随清，其它地区日产日清2分。建筑(构筑)及设施完好，无擅自搭棚、摆摊设点等现象2分；植被、地被等基本无人为破坏2分。</w:t>
            </w:r>
          </w:p>
        </w:tc>
        <w:tc>
          <w:tcPr>
            <w:tcW w:w="850" w:type="dxa"/>
            <w:vAlign w:val="center"/>
          </w:tcPr>
          <w:p w14:paraId="663C32C0">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5EB6A7B6">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634F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FC2AC8A">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w:t>
            </w:r>
          </w:p>
        </w:tc>
        <w:tc>
          <w:tcPr>
            <w:tcW w:w="1701" w:type="dxa"/>
            <w:vAlign w:val="center"/>
          </w:tcPr>
          <w:p w14:paraId="71AD4128">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设施维护</w:t>
            </w:r>
          </w:p>
          <w:p w14:paraId="39CCC97F">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(10分)</w:t>
            </w:r>
          </w:p>
        </w:tc>
        <w:tc>
          <w:tcPr>
            <w:tcW w:w="4253" w:type="dxa"/>
            <w:vAlign w:val="center"/>
          </w:tcPr>
          <w:p w14:paraId="07D056D0">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绿地内栏杆、园路、桌椅、路灯、井盖和标示牌等园林设施，清洁、完整、安全，维护及时，无缺损。出现问题每项次扣2分。</w:t>
            </w:r>
          </w:p>
        </w:tc>
        <w:tc>
          <w:tcPr>
            <w:tcW w:w="850" w:type="dxa"/>
            <w:vAlign w:val="center"/>
          </w:tcPr>
          <w:p w14:paraId="0624B824">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4F1397FA">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2443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5D21248">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w:t>
            </w:r>
          </w:p>
        </w:tc>
        <w:tc>
          <w:tcPr>
            <w:tcW w:w="1701" w:type="dxa"/>
            <w:vAlign w:val="center"/>
          </w:tcPr>
          <w:p w14:paraId="0C52FA47">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秩序管理</w:t>
            </w:r>
          </w:p>
          <w:p w14:paraId="133A47D2">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(10分)</w:t>
            </w:r>
          </w:p>
        </w:tc>
        <w:tc>
          <w:tcPr>
            <w:tcW w:w="4253" w:type="dxa"/>
            <w:vAlign w:val="center"/>
          </w:tcPr>
          <w:p w14:paraId="5FB51E07">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定员定岗，养护人员统一着装在岗，安全防护设备齐全。绿地内无堆物、堆料、搭棚，树干上无钉钉、拴挂和刻画等现象；及时并妥善处理突发事件及应急事件；无安全事故、无重大破坏及偷盗现象、未发生媒体投诉及曝光。出现问题每项次扣2分。</w:t>
            </w:r>
          </w:p>
        </w:tc>
        <w:tc>
          <w:tcPr>
            <w:tcW w:w="850" w:type="dxa"/>
            <w:vAlign w:val="center"/>
          </w:tcPr>
          <w:p w14:paraId="67EEFA67">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6E3FC38F">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r w14:paraId="3A06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817" w:type="dxa"/>
            <w:vAlign w:val="center"/>
          </w:tcPr>
          <w:p w14:paraId="70B0B3B0">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合计</w:t>
            </w:r>
          </w:p>
        </w:tc>
        <w:tc>
          <w:tcPr>
            <w:tcW w:w="1701" w:type="dxa"/>
            <w:vAlign w:val="center"/>
          </w:tcPr>
          <w:p w14:paraId="0416F73E">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100分</w:t>
            </w:r>
          </w:p>
        </w:tc>
        <w:tc>
          <w:tcPr>
            <w:tcW w:w="4253" w:type="dxa"/>
            <w:vAlign w:val="center"/>
          </w:tcPr>
          <w:p w14:paraId="6A3A639C">
            <w:pPr>
              <w:keepNext w:val="0"/>
              <w:keepLines w:val="0"/>
              <w:suppressLineNumbers w:val="0"/>
              <w:shd w:val="clear"/>
              <w:tabs>
                <w:tab w:val="left" w:pos="1092"/>
              </w:tabs>
              <w:spacing w:before="0" w:beforeAutospacing="0" w:after="0" w:afterAutospacing="0" w:line="240" w:lineRule="auto"/>
              <w:ind w:left="0" w:right="0"/>
              <w:rPr>
                <w:rFonts w:hint="eastAsia" w:ascii="宋体" w:hAnsi="宋体" w:eastAsia="宋体" w:cs="宋体"/>
                <w:color w:val="auto"/>
                <w:kern w:val="2"/>
                <w:sz w:val="24"/>
                <w:szCs w:val="24"/>
                <w:highlight w:val="none"/>
              </w:rPr>
            </w:pPr>
          </w:p>
        </w:tc>
        <w:tc>
          <w:tcPr>
            <w:tcW w:w="850" w:type="dxa"/>
            <w:vAlign w:val="center"/>
          </w:tcPr>
          <w:p w14:paraId="4CFCE73A">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c>
          <w:tcPr>
            <w:tcW w:w="1548" w:type="dxa"/>
            <w:vAlign w:val="center"/>
          </w:tcPr>
          <w:p w14:paraId="706F6AA7">
            <w:pPr>
              <w:keepNext w:val="0"/>
              <w:keepLines w:val="0"/>
              <w:suppressLineNumbers w:val="0"/>
              <w:shd w:val="clear"/>
              <w:tabs>
                <w:tab w:val="left" w:pos="1092"/>
              </w:tabs>
              <w:spacing w:before="0" w:beforeAutospacing="0" w:after="0" w:afterAutospacing="0" w:line="240" w:lineRule="auto"/>
              <w:ind w:left="0" w:right="0"/>
              <w:jc w:val="center"/>
              <w:rPr>
                <w:rFonts w:hint="eastAsia" w:ascii="宋体" w:hAnsi="宋体" w:eastAsia="宋体" w:cs="宋体"/>
                <w:color w:val="auto"/>
                <w:kern w:val="2"/>
                <w:sz w:val="24"/>
                <w:szCs w:val="24"/>
                <w:highlight w:val="none"/>
              </w:rPr>
            </w:pPr>
          </w:p>
        </w:tc>
      </w:tr>
    </w:tbl>
    <w:p w14:paraId="4153545C">
      <w:pPr>
        <w:shd w:val="clear"/>
        <w:tabs>
          <w:tab w:val="left" w:pos="1092"/>
        </w:tabs>
        <w:spacing w:before="192"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养护管理技术档案、安全生产：</w:t>
      </w:r>
    </w:p>
    <w:p w14:paraId="28DA0663">
      <w:pPr>
        <w:shd w:val="clear"/>
        <w:tabs>
          <w:tab w:val="left" w:pos="1092"/>
        </w:tabs>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1</w:t>
      </w:r>
      <w:r>
        <w:rPr>
          <w:rFonts w:ascii="宋体" w:hAnsi="宋体" w:cs="宋体"/>
          <w:color w:val="auto"/>
          <w:sz w:val="24"/>
          <w:szCs w:val="24"/>
          <w:highlight w:val="none"/>
        </w:rPr>
        <w:t>）未按要求</w:t>
      </w:r>
      <w:r>
        <w:rPr>
          <w:rFonts w:hint="eastAsia" w:ascii="宋体" w:hAnsi="宋体" w:cs="宋体"/>
          <w:color w:val="auto"/>
          <w:sz w:val="24"/>
          <w:szCs w:val="24"/>
          <w:highlight w:val="none"/>
        </w:rPr>
        <w:t>建立</w:t>
      </w:r>
      <w:r>
        <w:rPr>
          <w:rFonts w:ascii="宋体" w:hAnsi="宋体" w:cs="宋体"/>
          <w:color w:val="auto"/>
          <w:sz w:val="24"/>
          <w:szCs w:val="24"/>
          <w:highlight w:val="none"/>
        </w:rPr>
        <w:t>养护管理技术档案或记录不清晰的，每有一项扣</w:t>
      </w:r>
      <w:r>
        <w:rPr>
          <w:rFonts w:hint="eastAsia" w:ascii="宋体" w:hAnsi="宋体" w:cs="宋体"/>
          <w:color w:val="auto"/>
          <w:sz w:val="24"/>
          <w:szCs w:val="24"/>
          <w:highlight w:val="none"/>
        </w:rPr>
        <w:t>2分；</w:t>
      </w:r>
    </w:p>
    <w:p w14:paraId="033E6A20">
      <w:pPr>
        <w:shd w:val="clear"/>
        <w:tabs>
          <w:tab w:val="left" w:pos="1092"/>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未按安全生产要求进行作业，每有一项扣</w:t>
      </w:r>
      <w:r>
        <w:rPr>
          <w:rFonts w:hint="eastAsia" w:ascii="宋体" w:hAnsi="宋体" w:cs="宋体"/>
          <w:color w:val="auto"/>
          <w:sz w:val="24"/>
          <w:szCs w:val="24"/>
          <w:highlight w:val="none"/>
        </w:rPr>
        <w:t>2分。</w:t>
      </w:r>
    </w:p>
    <w:p w14:paraId="79EC70F6">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、其他</w:t>
      </w:r>
    </w:p>
    <w:p w14:paraId="436BF43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（1）未建立健全作业及安全管理制度，未制定作业方案和计划，无作业和检查台账。每项扣1分。</w:t>
      </w:r>
    </w:p>
    <w:p w14:paraId="666AFD1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（2）如遇疫情、重大事件、活动保障等以环卫办通知开展作业及评估，未能及时响应的。每例扣5分。</w:t>
      </w:r>
    </w:p>
    <w:p w14:paraId="70F3456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（4）前款所有扣分项目如在同点位反复出现的，第二次按照前款双倍扣分，第三次按照前款三倍扣分。</w:t>
      </w:r>
    </w:p>
    <w:p w14:paraId="104B89AF">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（5）前款所有扣分项目如经现场复核未能达到验收标准的，导致返工的，按照前款双倍扣分。</w:t>
      </w:r>
    </w:p>
    <w:p w14:paraId="39133164">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（三）文明作业</w:t>
      </w:r>
    </w:p>
    <w:p w14:paraId="207F7B20">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（1）洗扫车、清扫车作业时发生扬尘现象，每次扣1分。</w:t>
      </w:r>
    </w:p>
    <w:p w14:paraId="23C78A01">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（2）物业公司或垃圾收运人员私自收取垃圾收运费，每次扣5 分。</w:t>
      </w:r>
    </w:p>
    <w:p w14:paraId="386317A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（3）垃圾、边脚淤泥扫入绿化带、河道、雨水井，每次扣1分。</w:t>
      </w:r>
    </w:p>
    <w:p w14:paraId="1374628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（4）作业人员作业时未穿戴统一、整洁、有警示标识的工作服。每人扣1分。</w:t>
      </w:r>
    </w:p>
    <w:p w14:paraId="6FD3ACE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（5）作业车辆作业时未按规定开启提示音乐、警示灯。每车扣1分。</w:t>
      </w:r>
    </w:p>
    <w:p w14:paraId="30B5D435">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（6）洒水、冲洗和清洗作业遇人群时，未降低车速、减少水量。每车扣1分。</w:t>
      </w:r>
    </w:p>
    <w:p w14:paraId="41809D41">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（7）人员在作业现场无理由离车。每人（车）扣1分。</w:t>
      </w:r>
    </w:p>
    <w:p w14:paraId="0D05CE9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（8）焚烧、乱倒、乱卸、乱抛垃圾。每处扣1分。</w:t>
      </w:r>
    </w:p>
    <w:p w14:paraId="122463E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（9）车辆未按要求涂装化的，每车每月扣1分。</w:t>
      </w:r>
    </w:p>
    <w:p w14:paraId="378DEF1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（10）作业人员在作业过程中与居民发生纠纷的。每例扣1分。</w:t>
      </w:r>
    </w:p>
    <w:p w14:paraId="7D012DB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（11）作业人员在作业过程中与管理人员或督查人员发生纠纷的。每例扣5分。</w:t>
      </w:r>
    </w:p>
    <w:p w14:paraId="621E445D">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（四）安全生产</w:t>
      </w:r>
    </w:p>
    <w:p w14:paraId="794BCBB7">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（1）作业车辆临时停车未紧靠路边，未在车后设警示标志，在公交站台50m以内停车。每车扣1分。</w:t>
      </w:r>
    </w:p>
    <w:p w14:paraId="6C9125B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（2）所有作业人员及车辆应遵守各类管理规定，发现有违规行为的，每例扣1分。</w:t>
      </w:r>
    </w:p>
    <w:p w14:paraId="133490B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（3）垃圾收集运输过程中超重、超高的。每车扣1分。</w:t>
      </w:r>
    </w:p>
    <w:p w14:paraId="31D8AD5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（4）作业人员车辆作业期间出现人为或操作不当等产生的安全问题。每例扣10分。</w:t>
      </w:r>
    </w:p>
    <w:p w14:paraId="4FF1504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（5）作业人员擅自操作场站所设备。每例扣10分。</w:t>
      </w:r>
    </w:p>
    <w:p w14:paraId="0A0994A3">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（6）每月提供本项目所有车辆的违章情况说明，有违章记录的每例扣1分，瞒报、漏报每例扣 2分。</w:t>
      </w:r>
    </w:p>
    <w:p w14:paraId="2FE7E644">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二、重大活动保障、领导交办事项、其他部门通报等</w:t>
      </w:r>
    </w:p>
    <w:p w14:paraId="4D2D4345">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评估扣分方法：不在总分100分内，每次单项直接扣分（扣款）。</w:t>
      </w:r>
    </w:p>
    <w:p w14:paraId="255B5E4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作业单位有节假日或重大活动保障不力产生负面影响的；发生较大以上安全生产事故且为主要责任的；露天焚烧垃圾或拖欠环卫工人工资等违规行为的；出现负面问题被新闻媒体曝光影响较大的等情况，在月度评估中直接扣减5分/起。</w:t>
      </w:r>
    </w:p>
    <w:p w14:paraId="637509C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暴雨天气及时清理道路下水口垃圾，不影响排水。根据要求配备足额的扫雪除冰设备，雨雪冰冻天气及时抛洒足量的融雪剂，一级道路、二级道路基本实现“一夜雪无”。暴雪天气未及时清理道路下水口垃圾，影响排水的，每起扣0.2分。未按要求配备扫雪除冰设备，每缺1台扣1分；雨雪冰冻天气未及时抛洒足量的融雪剂，融雪效果不明显的，每条路段扣0.5分，造成路面积冰的，每条路段扣1分；一级道路、二级道路未达到除雪时间要求的，每条路段扣1分。</w:t>
      </w:r>
    </w:p>
    <w:p w14:paraId="0C35DCD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（3）媒体曝光属实的（以媒体最先曝光时间为扣分记录时间）。每项扣3分。</w:t>
      </w:r>
    </w:p>
    <w:p w14:paraId="664C0400">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（4）群众投诉及12319平台举报属实的。每项扣2分。</w:t>
      </w:r>
    </w:p>
    <w:p w14:paraId="2EAC44B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（5）未能及时按要求启动相关应急预案的。每延误4小时扣 2分。</w:t>
      </w:r>
    </w:p>
    <w:p w14:paraId="15ACE27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（6）未按时保质保量完成环卫部门交给的指令性任务。每例扣3分。</w:t>
      </w:r>
    </w:p>
    <w:p w14:paraId="4898C07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（7）其他部门日常巡查、督查中有涉及环卫问题的，如未按规定时间处理问题，导致问题出现反复、延时、返工，每例扣0.5分。</w:t>
      </w:r>
    </w:p>
    <w:p w14:paraId="36B86A5E">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区级各类通报中（如文明创建、卫生城创建、垃圾分类等类别通报）有涉及该招标项目作业类目问题的，每例扣1分；市级各类通报有涉及该招标项目作业类目问题的，每例扣5分；省级各类通报有涉及该招标项目作业类目问题的，每例扣10分；如未按规定时间处理问题，导致问题出现反复、延时、返工，每例参照前款双倍扣分。</w:t>
      </w:r>
    </w:p>
    <w:p w14:paraId="096F3CF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（9）道路积尘走航通报中，结果超标的每例扣1分，同一个路段连续第二次提示超标的，扣2分。</w:t>
      </w:r>
    </w:p>
    <w:p w14:paraId="09DFB928">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（10）如中标人作业人员发生交通事故、各类民事纠纷、刑事案件等，中标人未积极妥善处理，导致当事人上访、舆情等不良影响的，视为重大事故，每次扣10分，连续两次，采购人有权解除合同。</w:t>
      </w:r>
    </w:p>
    <w:p w14:paraId="41B6CFA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（11）区领导督办招标项目作业类目案件，未及时整改的，每例扣3分；市领导督办招标项目作业类目案件，未及时整改的，每例扣5分；省领导督办招标项目作业类目案件，未及时整改的，每例扣10分；</w:t>
      </w:r>
    </w:p>
    <w:p w14:paraId="61913EE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（12）中标人因作业问题影响民生的，每次扣10分。产生恶劣影响的，采购人有权解除合同。</w:t>
      </w:r>
    </w:p>
    <w:p w14:paraId="2074CC56">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（13）不履行投标文件承诺的，每次每项扣5分。</w:t>
      </w:r>
    </w:p>
    <w:p w14:paraId="0CD33D6C">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三、加分项</w:t>
      </w:r>
    </w:p>
    <w:p w14:paraId="60C9B134">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（1）中标人本项目及本项目人员受到市级媒体正面报道或受表扬的，每次加1分；受到省级媒体正面报道或受表扬的，每次加2分；受到国家级媒体正面报道或受表扬的，每次加5分。</w:t>
      </w:r>
    </w:p>
    <w:p w14:paraId="43401D9D">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（2）本项目在各类通报中受到区级通报表扬的，每次加1分；受到市级通报表扬的，每次加2分；受到省级及以上通报表扬的，每次加5分。</w:t>
      </w:r>
    </w:p>
    <w:p w14:paraId="3740417C">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（3）本项目经验做法受到市级推广的，每次加5分；受到省级及以上推广的，每次加10分。</w:t>
      </w:r>
    </w:p>
    <w:p w14:paraId="1EB4C362">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（4）灾害性天气保障有力，单项另行奖励。</w:t>
      </w:r>
    </w:p>
    <w:p w14:paraId="1531D4FD">
      <w:pPr>
        <w:shd w:val="clea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四、对中标人的评估办法</w:t>
      </w:r>
    </w:p>
    <w:p w14:paraId="5EC5A7D7">
      <w:pPr>
        <w:shd w:val="clea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月度评估得分核减分为5档，累计分档计算。</w:t>
      </w:r>
    </w:p>
    <w:p w14:paraId="2C8B6C3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第一档：月度评估总分≥95分，不核减。</w:t>
      </w:r>
    </w:p>
    <w:p w14:paraId="0802B57F">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第二档：95分＞月度评估总分≥90分，每扣1分，核减当月作业经费的0.75%。</w:t>
      </w:r>
    </w:p>
    <w:p w14:paraId="69EFC3F7">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第三档：90分＞月度评估总分≥85分，每扣1分，核减当月作业经费的1%。</w:t>
      </w:r>
    </w:p>
    <w:p w14:paraId="4737A64A">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第四档：85分＞月度评估总分≥80分，每扣1分，核减当月作业经费的1.25%。</w:t>
      </w:r>
    </w:p>
    <w:p w14:paraId="2A167854">
      <w:pPr>
        <w:shd w:val="clea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第五档：月度评估总分＜80分（不合格），每扣1分，核减当月作业经费1.5%。</w:t>
      </w:r>
    </w:p>
    <w:p w14:paraId="705F6D8B">
      <w:pPr>
        <w:shd w:val="clea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对月度评估三次不合格（月度评估总分＜80分）或年度评估不合格（年均分＜85分）的作业单位，采购人与其提前终止合同。</w:t>
      </w:r>
    </w:p>
    <w:p w14:paraId="415BC777">
      <w:pPr>
        <w:shd w:val="clear"/>
        <w:spacing w:line="360" w:lineRule="auto"/>
        <w:ind w:left="480"/>
        <w:rPr>
          <w:rFonts w:ascii="宋体" w:hAnsi="宋体" w:cs="宋体"/>
          <w:color w:val="auto"/>
          <w:sz w:val="24"/>
          <w:szCs w:val="24"/>
          <w:highlight w:val="none"/>
        </w:rPr>
      </w:pPr>
      <w:r>
        <w:rPr>
          <w:rFonts w:hint="eastAsia" w:ascii="宋体" w:hAnsi="宋体" w:cs="宋体"/>
          <w:color w:val="auto"/>
          <w:sz w:val="24"/>
          <w:szCs w:val="24"/>
          <w:highlight w:val="none"/>
        </w:rPr>
        <w:t>作业单位对扣分有异议的，可以向评估主体申告，采购人会同有关单位联合审核</w:t>
      </w:r>
    </w:p>
    <w:p w14:paraId="676FABB5">
      <w:pPr>
        <w:shd w:val="clea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确认。</w:t>
      </w:r>
    </w:p>
    <w:p w14:paraId="20FB1A9E">
      <w:pPr>
        <w:pBdr>
          <w:top w:val="none" w:color="000000" w:sz="0" w:space="0"/>
          <w:left w:val="none" w:color="000000" w:sz="0" w:space="0"/>
          <w:bottom w:val="none" w:color="000000" w:sz="0" w:space="0"/>
          <w:right w:val="none" w:color="000000" w:sz="0" w:space="0"/>
        </w:pBdr>
        <w:spacing w:before="0" w:after="0"/>
        <w:ind w:left="0" w:right="0" w:firstLine="0"/>
        <w:jc w:val="both"/>
      </w:pPr>
    </w:p>
    <w:p w14:paraId="5B7D4592">
      <w:pPr>
        <w:pBdr>
          <w:top w:val="none" w:color="000000" w:sz="0" w:space="0"/>
          <w:left w:val="none" w:color="000000" w:sz="0" w:space="0"/>
          <w:bottom w:val="none" w:color="000000" w:sz="0" w:space="0"/>
          <w:right w:val="none" w:color="000000" w:sz="0" w:space="0"/>
        </w:pBdr>
        <w:spacing w:before="240" w:after="240"/>
        <w:ind w:left="120" w:right="0" w:firstLine="360"/>
        <w:jc w:val="both"/>
      </w:pPr>
      <w:r>
        <w:rPr>
          <w:rFonts w:ascii="宋体" w:hAnsi="宋体" w:eastAsia="宋体" w:cs="宋体"/>
          <w:color w:val="000000"/>
          <w:sz w:val="24"/>
        </w:rPr>
        <w:t> </w:t>
      </w:r>
    </w:p>
    <w:p w14:paraId="14BED98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79AE515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4C2B297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6D16579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7F5D63F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24079D6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78AA02E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9B52F6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5FA7744">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Times New Roman" w:hAnsi="Times New Roman" w:eastAsia="Times New Roman" w:cs="Times New Roman"/>
          <w:color w:val="000000"/>
          <w:sz w:val="21"/>
        </w:rPr>
        <w:t> </w:t>
      </w:r>
    </w:p>
    <w:p w14:paraId="0C25B90E">
      <w:pPr>
        <w:pStyle w:val="182"/>
        <w:rPr>
          <w:rFonts w:ascii="黑体" w:hAnsi="黑体" w:eastAsia="黑体" w:cs="黑体"/>
          <w:color w:val="000000"/>
          <w:sz w:val="44"/>
        </w:rPr>
        <w:sectPr>
          <w:footerReference r:id="rId6" w:type="first"/>
          <w:footerReference r:id="rId5" w:type="default"/>
          <w:pgSz w:w="11906" w:h="16838"/>
          <w:pgMar w:top="1418" w:right="1588" w:bottom="1418" w:left="1365" w:header="851" w:footer="907" w:gutter="0"/>
          <w:pgNumType w:fmt="decimal" w:start="1"/>
          <w:cols w:space="1701" w:num="1"/>
          <w:titlePg/>
          <w:docGrid w:linePitch="360" w:charSpace="0"/>
        </w:sectPr>
      </w:pPr>
      <w:r>
        <w:rPr>
          <w:rFonts w:ascii="黑体" w:hAnsi="黑体" w:eastAsia="黑体" w:cs="黑体"/>
          <w:color w:val="000000"/>
          <w:sz w:val="44"/>
        </w:rPr>
        <w:t> </w:t>
      </w:r>
    </w:p>
    <w:p w14:paraId="4038D2E6">
      <w:pPr>
        <w:pStyle w:val="182"/>
      </w:pPr>
      <w:r>
        <w:rPr>
          <w:rFonts w:ascii="黑体" w:hAnsi="黑体" w:eastAsia="黑体" w:cs="黑体"/>
          <w:color w:val="000000"/>
          <w:sz w:val="44"/>
        </w:rPr>
        <w:t>第五章评标方法与评标标准</w:t>
      </w:r>
    </w:p>
    <w:p w14:paraId="4B24B16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D710884">
      <w:pPr>
        <w:pBdr>
          <w:top w:val="none" w:color="000000" w:sz="0" w:space="0"/>
          <w:left w:val="none" w:color="000000" w:sz="0" w:space="0"/>
          <w:bottom w:val="none" w:color="000000" w:sz="0" w:space="0"/>
          <w:right w:val="none" w:color="000000" w:sz="0" w:space="0"/>
        </w:pBdr>
        <w:spacing w:before="240" w:after="240"/>
        <w:ind w:left="0" w:right="0" w:firstLine="439"/>
        <w:jc w:val="both"/>
        <w:rPr>
          <w:rFonts w:ascii="宋体" w:hAnsi="宋体" w:eastAsia="宋体" w:cs="宋体"/>
          <w:color w:val="000000"/>
          <w:sz w:val="24"/>
          <w:szCs w:val="24"/>
          <w:highlight w:val="none"/>
        </w:rPr>
      </w:pPr>
      <w:r>
        <w:rPr>
          <w:rFonts w:ascii="宋体" w:hAnsi="宋体" w:eastAsia="宋体" w:cs="宋体"/>
          <w:color w:val="000000"/>
          <w:sz w:val="24"/>
        </w:rPr>
        <w:t>采用综合评分法的，评标结果按评审后得分由高到低顺序排列。得分相同的，按投标报价由低到高顺序排列。得分且投标报价相同的并列。</w:t>
      </w:r>
    </w:p>
    <w:tbl>
      <w:tblPr>
        <w:tblStyle w:val="29"/>
        <w:tblW w:w="926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80"/>
        <w:gridCol w:w="2497"/>
        <w:gridCol w:w="5585"/>
      </w:tblGrid>
      <w:tr w14:paraId="0F2725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D916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249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7FA83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选取中标候选人数量</w:t>
            </w:r>
          </w:p>
        </w:tc>
        <w:tc>
          <w:tcPr>
            <w:tcW w:w="558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3BE0C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选取中标候选人的原则</w:t>
            </w:r>
          </w:p>
        </w:tc>
      </w:tr>
      <w:tr w14:paraId="0EF884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E670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5C6785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eastAsia="宋体"/>
                <w:lang w:val="en-US" w:eastAsia="zh-CN"/>
              </w:rPr>
            </w:pPr>
            <w:r>
              <w:rPr>
                <w:rFonts w:ascii="宋体" w:hAnsi="宋体" w:eastAsia="宋体" w:cs="宋体"/>
                <w:color w:val="000000"/>
                <w:sz w:val="24"/>
              </w:rPr>
              <w:t>1</w:t>
            </w:r>
            <w:r>
              <w:rPr>
                <w:rFonts w:hint="eastAsia" w:ascii="宋体" w:hAnsi="宋体" w:cs="宋体"/>
                <w:color w:val="000000"/>
                <w:sz w:val="24"/>
                <w:lang w:val="en-US" w:eastAsia="zh-CN"/>
              </w:rPr>
              <w:t>-4</w:t>
            </w:r>
          </w:p>
        </w:tc>
        <w:tc>
          <w:tcPr>
            <w:tcW w:w="249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A8153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6E7D21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3</w:t>
            </w:r>
          </w:p>
        </w:tc>
        <w:tc>
          <w:tcPr>
            <w:tcW w:w="558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0476A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满足招标文件全部实质性要求，且按照评审因素的量化指标评审得分最高的投标人为中标候选人。</w:t>
            </w:r>
          </w:p>
          <w:p w14:paraId="32D63A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70C0"/>
              </w:rPr>
            </w:pPr>
          </w:p>
        </w:tc>
      </w:tr>
    </w:tbl>
    <w:p w14:paraId="1F6A5E06">
      <w:pPr>
        <w:pBdr>
          <w:top w:val="none" w:color="000000" w:sz="0" w:space="0"/>
          <w:left w:val="none" w:color="000000" w:sz="0" w:space="0"/>
          <w:bottom w:val="none" w:color="000000" w:sz="0" w:space="0"/>
          <w:right w:val="none" w:color="000000" w:sz="0" w:space="0"/>
        </w:pBdr>
        <w:spacing w:before="240" w:after="240"/>
        <w:ind w:left="0" w:right="0" w:firstLine="441"/>
        <w:jc w:val="both"/>
      </w:pPr>
      <w:r>
        <w:rPr>
          <w:rFonts w:ascii="宋体" w:hAnsi="宋体" w:eastAsia="宋体" w:cs="宋体"/>
          <w:b/>
          <w:color w:val="000000"/>
          <w:sz w:val="24"/>
        </w:rPr>
        <w:t>政府采购政策功能落实</w:t>
      </w:r>
    </w:p>
    <w:p w14:paraId="3E190273">
      <w:pPr>
        <w:pBdr>
          <w:top w:val="none" w:color="000000" w:sz="0" w:space="0"/>
          <w:left w:val="none" w:color="000000" w:sz="0" w:space="0"/>
          <w:bottom w:val="none" w:color="000000" w:sz="0" w:space="0"/>
          <w:right w:val="none" w:color="000000" w:sz="0" w:space="0"/>
        </w:pBdr>
        <w:spacing w:before="120" w:after="120"/>
        <w:ind w:left="0" w:right="0" w:firstLine="441"/>
        <w:jc w:val="both"/>
      </w:pPr>
      <w:r>
        <w:rPr>
          <w:rFonts w:ascii="宋体" w:hAnsi="宋体" w:eastAsia="宋体" w:cs="宋体"/>
          <w:b/>
          <w:color w:val="FF0000"/>
          <w:sz w:val="24"/>
        </w:rPr>
        <w:t>本项目专门面向中小企业：是/否</w:t>
      </w:r>
    </w:p>
    <w:tbl>
      <w:tblPr>
        <w:tblStyle w:val="29"/>
        <w:tblW w:w="92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89"/>
        <w:gridCol w:w="8056"/>
      </w:tblGrid>
      <w:tr w14:paraId="00108B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4AF7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805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72125E6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专门面向中小企业</w:t>
            </w:r>
          </w:p>
        </w:tc>
      </w:tr>
      <w:tr w14:paraId="1CDB50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17EF7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344AFA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eastAsia="宋体"/>
                <w:lang w:val="en-US" w:eastAsia="zh-CN"/>
              </w:rPr>
            </w:pPr>
            <w:r>
              <w:rPr>
                <w:rFonts w:ascii="宋体" w:hAnsi="宋体" w:eastAsia="宋体" w:cs="宋体"/>
                <w:color w:val="000000"/>
                <w:sz w:val="24"/>
              </w:rPr>
              <w:t>1</w:t>
            </w:r>
            <w:r>
              <w:rPr>
                <w:rFonts w:hint="eastAsia" w:ascii="宋体" w:hAnsi="宋体" w:cs="宋体"/>
                <w:color w:val="000000"/>
                <w:sz w:val="24"/>
                <w:lang w:val="en-US" w:eastAsia="zh-CN"/>
              </w:rPr>
              <w:t>-4</w:t>
            </w:r>
          </w:p>
        </w:tc>
        <w:tc>
          <w:tcPr>
            <w:tcW w:w="805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309450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38FA4D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是</w:t>
            </w:r>
          </w:p>
        </w:tc>
      </w:tr>
    </w:tbl>
    <w:p w14:paraId="77B9B04F">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1、小微型企业价格扣除</w:t>
      </w:r>
    </w:p>
    <w:p w14:paraId="66D253B7">
      <w:pPr>
        <w:pBdr>
          <w:top w:val="none" w:color="000000" w:sz="0" w:space="0"/>
          <w:left w:val="none" w:color="000000" w:sz="0" w:space="0"/>
          <w:bottom w:val="none" w:color="000000" w:sz="0" w:space="0"/>
          <w:right w:val="none" w:color="000000" w:sz="0" w:space="0"/>
        </w:pBdr>
        <w:spacing w:before="120" w:after="120"/>
        <w:ind w:left="0" w:right="0" w:firstLine="360"/>
        <w:jc w:val="both"/>
      </w:pPr>
      <w:r>
        <w:rPr>
          <w:rFonts w:ascii="宋体" w:hAnsi="宋体" w:eastAsia="宋体" w:cs="宋体"/>
          <w:color w:val="000000"/>
          <w:sz w:val="24"/>
        </w:rPr>
        <w:t>（1）本项目对小型和微型企业产品给予</w:t>
      </w:r>
      <w:r>
        <w:rPr>
          <w:rFonts w:hint="eastAsia" w:ascii="宋体" w:hAnsi="宋体" w:cs="宋体"/>
          <w:color w:val="000000"/>
          <w:sz w:val="24"/>
          <w:u w:val="single"/>
          <w:lang w:val="en-US" w:eastAsia="zh-CN"/>
        </w:rPr>
        <w:t>/</w:t>
      </w:r>
      <w:r>
        <w:rPr>
          <w:rFonts w:ascii="宋体" w:hAnsi="宋体" w:eastAsia="宋体" w:cs="宋体"/>
          <w:color w:val="000000"/>
          <w:sz w:val="24"/>
        </w:rPr>
        <w:t>的扣除价格，用扣除后的价格参与评审。</w:t>
      </w:r>
    </w:p>
    <w:p w14:paraId="17F27557">
      <w:pPr>
        <w:pBdr>
          <w:top w:val="none" w:color="000000" w:sz="0" w:space="0"/>
          <w:left w:val="none" w:color="000000" w:sz="0" w:space="0"/>
          <w:bottom w:val="none" w:color="000000" w:sz="0" w:space="0"/>
          <w:right w:val="none" w:color="000000" w:sz="0" w:space="0"/>
        </w:pBdr>
        <w:spacing w:before="120" w:after="120"/>
        <w:ind w:left="0" w:right="0" w:firstLine="360"/>
        <w:jc w:val="both"/>
      </w:pPr>
      <w:r>
        <w:rPr>
          <w:rFonts w:ascii="宋体" w:hAnsi="宋体" w:eastAsia="宋体" w:cs="宋体"/>
          <w:color w:val="000000"/>
          <w:sz w:val="24"/>
        </w:rPr>
        <w:t>（2）供应商需按照采购文件的要求提供相应的《中小企业声明函》。</w:t>
      </w:r>
    </w:p>
    <w:p w14:paraId="08B02DED">
      <w:pPr>
        <w:pBdr>
          <w:top w:val="none" w:color="000000" w:sz="0" w:space="0"/>
          <w:left w:val="none" w:color="000000" w:sz="0" w:space="0"/>
          <w:bottom w:val="none" w:color="000000" w:sz="0" w:space="0"/>
          <w:right w:val="none" w:color="000000" w:sz="0" w:space="0"/>
        </w:pBdr>
        <w:spacing w:before="240" w:after="240"/>
        <w:ind w:left="0" w:right="0" w:firstLine="360"/>
        <w:jc w:val="both"/>
      </w:pPr>
      <w:r>
        <w:rPr>
          <w:rFonts w:ascii="宋体" w:hAnsi="宋体" w:eastAsia="宋体" w:cs="宋体"/>
          <w:color w:val="000000"/>
          <w:sz w:val="24"/>
        </w:rPr>
        <w:t>（3）企业标准请参照《关于印发中小企业划型标准规定的通知》（工信部联企业[2011]300号）文件规定自行填写。</w:t>
      </w:r>
    </w:p>
    <w:p w14:paraId="48EBBC00">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2、残疾人福利单位价格扣除</w:t>
      </w:r>
    </w:p>
    <w:p w14:paraId="636C4026">
      <w:pPr>
        <w:pBdr>
          <w:top w:val="none" w:color="000000" w:sz="0" w:space="0"/>
          <w:left w:val="none" w:color="000000" w:sz="0" w:space="0"/>
          <w:bottom w:val="none" w:color="000000" w:sz="0" w:space="0"/>
          <w:right w:val="none" w:color="000000" w:sz="0" w:space="0"/>
        </w:pBdr>
        <w:spacing w:before="120" w:after="120"/>
        <w:ind w:left="120" w:right="0" w:firstLine="360"/>
        <w:jc w:val="both"/>
        <w:rPr>
          <w:highlight w:val="none"/>
        </w:rPr>
      </w:pPr>
      <w:r>
        <w:rPr>
          <w:rFonts w:ascii="宋体" w:hAnsi="宋体" w:eastAsia="宋体" w:cs="宋体"/>
          <w:color w:val="000000"/>
          <w:sz w:val="24"/>
        </w:rPr>
        <w:t>（1）本项目对残</w:t>
      </w:r>
      <w:r>
        <w:rPr>
          <w:rFonts w:ascii="宋体" w:hAnsi="宋体" w:eastAsia="宋体" w:cs="宋体"/>
          <w:color w:val="000000"/>
          <w:sz w:val="24"/>
          <w:highlight w:val="none"/>
        </w:rPr>
        <w:t>疾人福利性单位视同小型、微型企业，给予</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的价格扣除，用扣除后的价格参与评审。</w:t>
      </w:r>
    </w:p>
    <w:p w14:paraId="7D23D195">
      <w:pPr>
        <w:pBdr>
          <w:top w:val="none" w:color="000000" w:sz="0" w:space="0"/>
          <w:left w:val="none" w:color="000000" w:sz="0" w:space="0"/>
          <w:bottom w:val="none" w:color="000000" w:sz="0" w:space="0"/>
          <w:right w:val="none" w:color="000000" w:sz="0" w:space="0"/>
        </w:pBdr>
        <w:spacing w:before="120" w:after="120"/>
        <w:ind w:left="120" w:right="0" w:firstLine="360"/>
        <w:jc w:val="both"/>
        <w:rPr>
          <w:highlight w:val="none"/>
        </w:rPr>
      </w:pPr>
      <w:r>
        <w:rPr>
          <w:rFonts w:ascii="宋体" w:hAnsi="宋体" w:eastAsia="宋体" w:cs="宋体"/>
          <w:color w:val="000000"/>
          <w:sz w:val="24"/>
          <w:highlight w:val="none"/>
        </w:rPr>
        <w:t>（2）残疾人福利单位需按照采购文件的要求提供《残疾人福利性单位声明函》。</w:t>
      </w:r>
    </w:p>
    <w:p w14:paraId="22982A91">
      <w:pPr>
        <w:pBdr>
          <w:top w:val="none" w:color="000000" w:sz="0" w:space="0"/>
          <w:left w:val="none" w:color="000000" w:sz="0" w:space="0"/>
          <w:bottom w:val="none" w:color="000000" w:sz="0" w:space="0"/>
          <w:right w:val="none" w:color="000000" w:sz="0" w:space="0"/>
        </w:pBdr>
        <w:spacing w:before="120" w:after="120"/>
        <w:ind w:left="120" w:right="0" w:firstLine="360"/>
        <w:jc w:val="both"/>
        <w:rPr>
          <w:highlight w:val="none"/>
        </w:rPr>
      </w:pPr>
      <w:r>
        <w:rPr>
          <w:rFonts w:ascii="宋体" w:hAnsi="宋体" w:eastAsia="宋体" w:cs="宋体"/>
          <w:color w:val="000000"/>
          <w:sz w:val="24"/>
          <w:highlight w:val="none"/>
        </w:rPr>
        <w:t>（3）残疾人福利单位标准请参照《关于促进残疾人就业政府采购政策的通知》（财库〔2017〕141号）。</w:t>
      </w:r>
    </w:p>
    <w:p w14:paraId="0A82CDB6">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3、监狱和戒毒企业价格扣除</w:t>
      </w:r>
    </w:p>
    <w:p w14:paraId="00D91AA5">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（1）本项目对监狱和戒毒企业（简称监狱企业）视同小型、微型企业，给予</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的价格扣除，用扣除后的价格参与评审。</w:t>
      </w:r>
    </w:p>
    <w:p w14:paraId="0614F545">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6110E43A">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（3）监狱企业标准请参照《关于政府采购支持监狱企业发展有关问题的通知》（财库〔2014〕68号）。</w:t>
      </w:r>
    </w:p>
    <w:p w14:paraId="67FCB57F">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rPr>
          <w:highlight w:val="none"/>
        </w:rPr>
      </w:pPr>
      <w:r>
        <w:rPr>
          <w:rFonts w:ascii="宋体" w:hAnsi="宋体" w:eastAsia="宋体" w:cs="宋体"/>
          <w:color w:val="000000"/>
          <w:sz w:val="24"/>
          <w:highlight w:val="none"/>
        </w:rPr>
        <w:t>4、残疾人福利单位、监狱企业属于小型、微型企业的，不重复享受政策。</w:t>
      </w:r>
    </w:p>
    <w:p w14:paraId="46CF6CA8">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rPr>
          <w:rFonts w:ascii="宋体" w:hAnsi="宋体" w:eastAsia="宋体" w:cs="宋体"/>
          <w:color w:val="000000"/>
          <w:sz w:val="24"/>
          <w:highlight w:val="none"/>
        </w:rPr>
      </w:pPr>
      <w:r>
        <w:rPr>
          <w:rFonts w:ascii="宋体" w:hAnsi="宋体" w:eastAsia="宋体" w:cs="宋体"/>
          <w:color w:val="000000"/>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的价格扣除，用扣除后的价格参与评审。</w:t>
      </w:r>
    </w:p>
    <w:p w14:paraId="760E951F">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rPr>
          <w:highlight w:val="none"/>
        </w:rPr>
      </w:pPr>
      <w:r>
        <w:rPr>
          <w:rFonts w:ascii="宋体" w:hAnsi="宋体" w:eastAsia="宋体" w:cs="宋体"/>
          <w:color w:val="000000"/>
          <w:sz w:val="24"/>
          <w:highlight w:val="none"/>
        </w:rPr>
        <w:t>6、联合体各方均为小型、微型企业（残疾人福利单位、监狱企业）的，联合体享受</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价格扣除，用扣除后的价格参与评审。</w:t>
      </w:r>
    </w:p>
    <w:p w14:paraId="7044CBDB">
      <w:pPr>
        <w:pBdr>
          <w:top w:val="none" w:color="000000" w:sz="0" w:space="0"/>
          <w:left w:val="none" w:color="000000" w:sz="0" w:space="0"/>
          <w:bottom w:val="none" w:color="000000" w:sz="0" w:space="0"/>
          <w:right w:val="none" w:color="000000" w:sz="0" w:space="0"/>
        </w:pBdr>
        <w:spacing w:before="240" w:after="240"/>
        <w:ind w:left="0" w:right="0" w:firstLine="482"/>
        <w:jc w:val="both"/>
        <w:rPr>
          <w:rFonts w:ascii="宋体" w:hAnsi="宋体" w:eastAsia="宋体" w:cs="宋体"/>
          <w:color w:val="000000"/>
          <w:sz w:val="24"/>
        </w:rPr>
      </w:pPr>
      <w:r>
        <w:rPr>
          <w:rFonts w:ascii="宋体" w:hAnsi="宋体" w:eastAsia="宋体" w:cs="宋体"/>
          <w:b/>
          <w:color w:val="000000"/>
          <w:sz w:val="24"/>
        </w:rPr>
        <w:t>评标方法与评标标准</w:t>
      </w:r>
      <w:r>
        <w:rPr>
          <w:rFonts w:ascii="宋体" w:hAnsi="宋体" w:eastAsia="宋体" w:cs="宋体"/>
          <w:color w:val="000000"/>
          <w:sz w:val="24"/>
        </w:rPr>
        <w:t> </w:t>
      </w:r>
    </w:p>
    <w:p w14:paraId="4E0CF810">
      <w:pPr>
        <w:pStyle w:val="280"/>
        <w:shd w:val="clear"/>
        <w:spacing w:line="0" w:lineRule="atLeast"/>
        <w:ind w:firstLine="482"/>
        <w:rPr>
          <w:rFonts w:ascii="宋体" w:hAnsi="宋体"/>
          <w:b/>
          <w:color w:val="auto"/>
          <w:highlight w:val="none"/>
        </w:rPr>
      </w:pPr>
      <w:r>
        <w:rPr>
          <w:rFonts w:hint="eastAsia" w:ascii="宋体" w:hAnsi="宋体"/>
          <w:b/>
          <w:color w:val="auto"/>
          <w:highlight w:val="none"/>
        </w:rPr>
        <w:t>包</w:t>
      </w:r>
      <w:r>
        <w:rPr>
          <w:rFonts w:hint="eastAsia" w:ascii="宋体" w:hAnsi="宋体"/>
          <w:b/>
          <w:color w:val="auto"/>
          <w:highlight w:val="none"/>
          <w:lang w:val="en-US" w:eastAsia="zh-CN"/>
        </w:rPr>
        <w:t>1</w:t>
      </w:r>
      <w:r>
        <w:rPr>
          <w:rFonts w:hint="eastAsia" w:ascii="宋体" w:hAnsi="宋体"/>
          <w:b/>
          <w:color w:val="auto"/>
          <w:highlight w:val="none"/>
        </w:rPr>
        <w:t>：</w:t>
      </w:r>
      <w:r>
        <w:rPr>
          <w:rFonts w:hint="eastAsia" w:ascii="宋体" w:hAnsi="宋体"/>
          <w:b/>
          <w:bCs/>
          <w:iCs/>
          <w:color w:val="auto"/>
          <w:highlight w:val="none"/>
          <w:lang w:eastAsia="zh-CN"/>
        </w:rPr>
        <w:t>重点区域</w:t>
      </w:r>
      <w:r>
        <w:rPr>
          <w:rFonts w:hint="eastAsia" w:ascii="宋体" w:hAnsi="宋体"/>
          <w:b/>
          <w:bCs/>
          <w:iCs/>
          <w:color w:val="auto"/>
          <w:highlight w:val="none"/>
        </w:rPr>
        <w:t>周边片区</w:t>
      </w:r>
    </w:p>
    <w:tbl>
      <w:tblPr>
        <w:tblStyle w:val="28"/>
        <w:tblW w:w="4924" w:type="pct"/>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7660"/>
      </w:tblGrid>
      <w:tr w14:paraId="07A7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pct"/>
            <w:vAlign w:val="center"/>
          </w:tcPr>
          <w:p w14:paraId="5D1CA998">
            <w:pPr>
              <w:keepNext w:val="0"/>
              <w:keepLines w:val="0"/>
              <w:widowControl/>
              <w:suppressLineNumbers w:val="0"/>
              <w:shd w:val="clear"/>
              <w:spacing w:before="0" w:beforeAutospacing="0" w:after="0" w:afterAutospacing="0" w:line="460" w:lineRule="exact"/>
              <w:ind w:right="0"/>
              <w:contextualSpacing/>
              <w:jc w:val="center"/>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项目</w:t>
            </w:r>
          </w:p>
        </w:tc>
        <w:tc>
          <w:tcPr>
            <w:tcW w:w="4241" w:type="pct"/>
            <w:vAlign w:val="center"/>
          </w:tcPr>
          <w:p w14:paraId="753809FD">
            <w:pPr>
              <w:keepNext w:val="0"/>
              <w:keepLines w:val="0"/>
              <w:suppressLineNumbers w:val="0"/>
              <w:shd w:val="clear"/>
              <w:spacing w:before="0" w:beforeAutospacing="0" w:after="0" w:afterAutospacing="0" w:line="460" w:lineRule="exact"/>
              <w:ind w:right="0"/>
              <w:contextualSpacing/>
              <w:jc w:val="center"/>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评分标准</w:t>
            </w:r>
          </w:p>
        </w:tc>
      </w:tr>
      <w:tr w14:paraId="02C5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pct"/>
            <w:vAlign w:val="center"/>
          </w:tcPr>
          <w:p w14:paraId="161EF121">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价格</w:t>
            </w:r>
          </w:p>
          <w:p w14:paraId="7E164B20">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20</w:t>
            </w:r>
            <w:r>
              <w:rPr>
                <w:rFonts w:hint="eastAsia" w:ascii="宋体" w:hAnsi="宋体"/>
                <w:b/>
                <w:bCs/>
                <w:color w:val="auto"/>
                <w:kern w:val="2"/>
                <w:sz w:val="24"/>
                <w:szCs w:val="24"/>
                <w:highlight w:val="none"/>
              </w:rPr>
              <w:t>分）</w:t>
            </w:r>
          </w:p>
        </w:tc>
        <w:tc>
          <w:tcPr>
            <w:tcW w:w="4241" w:type="pct"/>
            <w:vAlign w:val="center"/>
          </w:tcPr>
          <w:p w14:paraId="4E042E07">
            <w:pPr>
              <w:keepNext w:val="0"/>
              <w:keepLines w:val="0"/>
              <w:suppressLineNumbers w:val="0"/>
              <w:shd w:val="clear"/>
              <w:spacing w:before="0" w:beforeAutospacing="0" w:after="0" w:afterAutospacing="0" w:line="460" w:lineRule="exact"/>
              <w:ind w:left="80" w:right="0"/>
              <w:rPr>
                <w:rFonts w:hint="default" w:ascii="宋体" w:hAnsi="宋体"/>
                <w:color w:val="auto"/>
                <w:kern w:val="2"/>
                <w:sz w:val="24"/>
                <w:szCs w:val="24"/>
                <w:highlight w:val="none"/>
              </w:rPr>
            </w:pPr>
            <w:r>
              <w:rPr>
                <w:rFonts w:hint="eastAsia" w:ascii="宋体" w:hAnsi="宋体" w:cs="楷体_GB2312"/>
                <w:color w:val="auto"/>
                <w:kern w:val="2"/>
                <w:sz w:val="24"/>
                <w:szCs w:val="24"/>
                <w:highlight w:val="none"/>
              </w:rPr>
              <w:t>以满足招标文件要求的最低投标报价为评标基准价，得满分</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分，其他投标报价得分=（评标基准价/其他投标报价）×</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×100%</w:t>
            </w:r>
          </w:p>
        </w:tc>
      </w:tr>
      <w:tr w14:paraId="4711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8" w:type="pct"/>
            <w:vMerge w:val="restart"/>
            <w:vAlign w:val="center"/>
          </w:tcPr>
          <w:p w14:paraId="5120B9AB">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lang w:val="en-US" w:eastAsia="zh-CN"/>
              </w:rPr>
              <w:t>服务</w:t>
            </w:r>
            <w:r>
              <w:rPr>
                <w:rFonts w:hint="eastAsia" w:ascii="宋体" w:hAnsi="宋体"/>
                <w:b/>
                <w:bCs/>
                <w:color w:val="auto"/>
                <w:kern w:val="2"/>
                <w:sz w:val="24"/>
                <w:szCs w:val="24"/>
                <w:highlight w:val="none"/>
              </w:rPr>
              <w:t>方案</w:t>
            </w:r>
          </w:p>
          <w:p w14:paraId="2337AA41">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32</w:t>
            </w:r>
            <w:r>
              <w:rPr>
                <w:rFonts w:hint="eastAsia" w:ascii="宋体" w:hAnsi="宋体"/>
                <w:b/>
                <w:bCs/>
                <w:color w:val="auto"/>
                <w:kern w:val="2"/>
                <w:sz w:val="24"/>
                <w:szCs w:val="24"/>
                <w:highlight w:val="none"/>
              </w:rPr>
              <w:t>分）</w:t>
            </w:r>
          </w:p>
        </w:tc>
        <w:tc>
          <w:tcPr>
            <w:tcW w:w="4241" w:type="pct"/>
            <w:vAlign w:val="center"/>
          </w:tcPr>
          <w:p w14:paraId="22523ADD">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zh-CN"/>
              </w:rPr>
              <w:t>1、主次干道清扫保洁方案（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7D760022">
            <w:pPr>
              <w:keepNext w:val="0"/>
              <w:keepLines w:val="0"/>
              <w:suppressLineNumbers w:val="0"/>
              <w:shd w:val="clear"/>
              <w:spacing w:before="0" w:beforeAutospacing="0" w:after="0" w:afterAutospacing="0" w:line="460" w:lineRule="exact"/>
              <w:ind w:left="0" w:right="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投标人根据项目需求提供主次干道清扫保洁方案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w:t>
            </w:r>
            <w:r>
              <w:rPr>
                <w:rFonts w:hint="eastAsia" w:ascii="宋体" w:hAnsi="宋体" w:cs="Calibri"/>
                <w:color w:val="auto"/>
                <w:kern w:val="2"/>
                <w:sz w:val="24"/>
                <w:szCs w:val="24"/>
                <w:highlight w:val="none"/>
                <w:lang w:eastAsia="zh-CN"/>
              </w:rPr>
              <w:t>；</w:t>
            </w:r>
            <w:r>
              <w:rPr>
                <w:rFonts w:hint="eastAsia" w:ascii="宋体" w:hAnsi="宋体" w:cs="Calibri"/>
                <w:color w:val="auto"/>
                <w:kern w:val="2"/>
                <w:sz w:val="24"/>
                <w:szCs w:val="24"/>
                <w:highlight w:val="none"/>
              </w:rPr>
              <w:t>不符合招标文件要求或未提供的不得分。</w:t>
            </w:r>
          </w:p>
        </w:tc>
      </w:tr>
      <w:tr w14:paraId="33A4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758" w:type="pct"/>
            <w:vMerge w:val="continue"/>
            <w:vAlign w:val="center"/>
          </w:tcPr>
          <w:p w14:paraId="0F382397">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4241" w:type="pct"/>
            <w:vAlign w:val="center"/>
          </w:tcPr>
          <w:p w14:paraId="677BA518">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2</w:t>
            </w:r>
            <w:r>
              <w:rPr>
                <w:rFonts w:hint="eastAsia" w:ascii="宋体" w:hAnsi="宋体"/>
                <w:b/>
                <w:bCs/>
                <w:color w:val="auto"/>
                <w:kern w:val="2"/>
                <w:sz w:val="24"/>
                <w:szCs w:val="24"/>
                <w:highlight w:val="none"/>
                <w:lang w:val="zh-CN"/>
              </w:rPr>
              <w:t>、交通护栏等公共设施保洁方案（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6B0091BE">
            <w:pPr>
              <w:keepNext w:val="0"/>
              <w:keepLines w:val="0"/>
              <w:suppressLineNumbers w:val="0"/>
              <w:shd w:val="clear"/>
              <w:spacing w:before="0" w:beforeAutospacing="0" w:after="0" w:afterAutospacing="0" w:line="460" w:lineRule="exact"/>
              <w:ind w:left="0" w:right="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投标人根据项目需求提供交通护栏等公共设施保洁方案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5A05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pct"/>
            <w:vMerge w:val="continue"/>
            <w:vAlign w:val="center"/>
          </w:tcPr>
          <w:p w14:paraId="4A2197F1">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4241" w:type="pct"/>
            <w:vAlign w:val="center"/>
          </w:tcPr>
          <w:p w14:paraId="0915FFD3">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3</w:t>
            </w:r>
            <w:r>
              <w:rPr>
                <w:rFonts w:hint="eastAsia" w:ascii="宋体" w:hAnsi="宋体"/>
                <w:b/>
                <w:bCs/>
                <w:color w:val="auto"/>
                <w:kern w:val="2"/>
                <w:sz w:val="24"/>
                <w:szCs w:val="24"/>
                <w:highlight w:val="none"/>
                <w:lang w:val="zh-CN"/>
              </w:rPr>
              <w:t>、随路绿化养护方案（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10E34EC3">
            <w:pPr>
              <w:keepNext w:val="0"/>
              <w:keepLines w:val="0"/>
              <w:widowControl/>
              <w:suppressLineNumbers w:val="0"/>
              <w:shd w:val="clear"/>
              <w:spacing w:before="0" w:beforeAutospacing="0" w:after="0" w:afterAutospacing="0" w:line="460" w:lineRule="exact"/>
              <w:ind w:left="0" w:right="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投标人根据项目需求提供随路绿化养护方案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分；不符合招标文件要求或未提供的不得分。</w:t>
            </w:r>
          </w:p>
        </w:tc>
      </w:tr>
      <w:tr w14:paraId="447D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58" w:type="pct"/>
            <w:vMerge w:val="continue"/>
            <w:vAlign w:val="center"/>
          </w:tcPr>
          <w:p w14:paraId="4D7B762E">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4241" w:type="pct"/>
            <w:vAlign w:val="center"/>
          </w:tcPr>
          <w:p w14:paraId="647161B2">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4</w:t>
            </w:r>
            <w:r>
              <w:rPr>
                <w:rFonts w:hint="eastAsia" w:ascii="宋体" w:hAnsi="宋体"/>
                <w:b/>
                <w:bCs/>
                <w:color w:val="auto"/>
                <w:kern w:val="2"/>
                <w:sz w:val="24"/>
                <w:szCs w:val="24"/>
                <w:highlight w:val="none"/>
                <w:lang w:val="zh-CN"/>
              </w:rPr>
              <w:t>、从业人员配备及安全文明方案（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6BC8E4EF">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投标人根据项目需求提供从业人员配备及安全文明方案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0293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58" w:type="pct"/>
            <w:vMerge w:val="continue"/>
            <w:vAlign w:val="center"/>
          </w:tcPr>
          <w:p w14:paraId="39022A73">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4241" w:type="pct"/>
            <w:vAlign w:val="center"/>
          </w:tcPr>
          <w:p w14:paraId="3868EAEF">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5</w:t>
            </w:r>
            <w:r>
              <w:rPr>
                <w:rFonts w:hint="eastAsia" w:ascii="宋体" w:hAnsi="宋体"/>
                <w:b/>
                <w:bCs/>
                <w:color w:val="auto"/>
                <w:kern w:val="2"/>
                <w:sz w:val="24"/>
                <w:szCs w:val="24"/>
                <w:highlight w:val="none"/>
                <w:lang w:val="zh-CN"/>
              </w:rPr>
              <w:t>、恶劣天气应急预案（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76FBDD3A">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投标人根据项目需求提供恶劣天气应急预案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7E69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58" w:type="pct"/>
            <w:vMerge w:val="continue"/>
            <w:vAlign w:val="center"/>
          </w:tcPr>
          <w:p w14:paraId="76409252">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4241" w:type="pct"/>
            <w:vAlign w:val="center"/>
          </w:tcPr>
          <w:p w14:paraId="5B02B938">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lang w:val="zh-CN"/>
              </w:rPr>
              <w:t>、工作交接</w:t>
            </w:r>
            <w:r>
              <w:rPr>
                <w:rFonts w:hint="eastAsia" w:ascii="宋体" w:hAnsi="宋体"/>
                <w:b/>
                <w:bCs/>
                <w:color w:val="auto"/>
                <w:kern w:val="2"/>
                <w:sz w:val="24"/>
                <w:szCs w:val="24"/>
                <w:highlight w:val="none"/>
                <w:lang w:val="en-US" w:eastAsia="zh-CN"/>
              </w:rPr>
              <w:t>方案</w:t>
            </w: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5BCC03CE">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投标人根据项目需求提供工作交接方案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4DC3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58" w:type="pct"/>
            <w:vAlign w:val="center"/>
          </w:tcPr>
          <w:p w14:paraId="231DF12A">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项目配备</w:t>
            </w:r>
          </w:p>
          <w:p w14:paraId="655C42A5">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设备</w:t>
            </w:r>
          </w:p>
          <w:p w14:paraId="64B4BF9B">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25</w:t>
            </w:r>
            <w:r>
              <w:rPr>
                <w:rFonts w:hint="eastAsia" w:ascii="宋体" w:hAnsi="宋体"/>
                <w:b/>
                <w:bCs/>
                <w:color w:val="auto"/>
                <w:kern w:val="2"/>
                <w:sz w:val="24"/>
                <w:szCs w:val="24"/>
                <w:highlight w:val="none"/>
                <w:lang w:val="zh-CN"/>
              </w:rPr>
              <w:t>分）</w:t>
            </w:r>
          </w:p>
        </w:tc>
        <w:tc>
          <w:tcPr>
            <w:tcW w:w="4241" w:type="pct"/>
            <w:vAlign w:val="center"/>
          </w:tcPr>
          <w:p w14:paraId="6E0F32DB">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投标人提供用于本项目设备、机具、用具分列完整详细合理，满分</w:t>
            </w:r>
            <w:r>
              <w:rPr>
                <w:rFonts w:hint="eastAsia" w:ascii="宋体" w:hAnsi="宋体"/>
                <w:color w:val="auto"/>
                <w:kern w:val="2"/>
                <w:sz w:val="24"/>
                <w:szCs w:val="24"/>
                <w:highlight w:val="none"/>
                <w:lang w:val="en-US" w:eastAsia="zh-CN"/>
              </w:rPr>
              <w:t>25</w:t>
            </w:r>
            <w:r>
              <w:rPr>
                <w:rFonts w:hint="eastAsia" w:ascii="宋体" w:hAnsi="宋体"/>
                <w:color w:val="auto"/>
                <w:kern w:val="2"/>
                <w:sz w:val="24"/>
                <w:szCs w:val="24"/>
                <w:highlight w:val="none"/>
                <w:lang w:val="zh-CN"/>
              </w:rPr>
              <w:t>分：</w:t>
            </w:r>
          </w:p>
          <w:p w14:paraId="30FB65F1">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新能源重型洗扫车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2.5</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2.5</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615B396C">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新能源重型洒水车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4D906757">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新能源中型洒水车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75D626C">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4、深度保洁车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6B64ED4C">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zh-CN"/>
              </w:rPr>
              <w:t>5、</w:t>
            </w:r>
            <w:r>
              <w:rPr>
                <w:rFonts w:hint="eastAsia" w:ascii="宋体" w:hAnsi="宋体"/>
                <w:color w:val="auto"/>
                <w:kern w:val="2"/>
                <w:sz w:val="24"/>
                <w:szCs w:val="24"/>
                <w:highlight w:val="none"/>
                <w:lang w:val="en-US" w:eastAsia="zh-CN"/>
              </w:rPr>
              <w:t>新能源重型雾炮车（降尘车）2</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4</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25F31A0">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6</w:t>
            </w:r>
            <w:r>
              <w:rPr>
                <w:rFonts w:hint="eastAsia" w:ascii="宋体" w:hAnsi="宋体"/>
                <w:color w:val="auto"/>
                <w:kern w:val="2"/>
                <w:sz w:val="24"/>
                <w:szCs w:val="24"/>
                <w:highlight w:val="none"/>
                <w:lang w:val="zh-CN"/>
              </w:rPr>
              <w:t>、</w:t>
            </w:r>
            <w:r>
              <w:rPr>
                <w:rFonts w:hint="eastAsia" w:ascii="宋体" w:hAnsi="宋体"/>
                <w:color w:val="auto"/>
                <w:kern w:val="2"/>
                <w:sz w:val="24"/>
                <w:szCs w:val="24"/>
                <w:highlight w:val="none"/>
                <w:lang w:val="en-US" w:eastAsia="zh-CN"/>
              </w:rPr>
              <w:t>重型雾炮车（降尘车）1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3A1C743B">
            <w:pPr>
              <w:keepNext w:val="0"/>
              <w:keepLines w:val="0"/>
              <w:suppressLineNumbers w:val="0"/>
              <w:shd w:val="clear"/>
              <w:spacing w:before="0" w:beforeAutospacing="0" w:after="0" w:afterAutospacing="0" w:line="440" w:lineRule="exact"/>
              <w:ind w:left="0" w:right="0"/>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7、</w:t>
            </w:r>
            <w:r>
              <w:rPr>
                <w:rFonts w:hint="eastAsia" w:ascii="宋体" w:hAnsi="宋体" w:eastAsia="宋体" w:cs="Times New Roman"/>
                <w:color w:val="auto"/>
                <w:kern w:val="0"/>
                <w:sz w:val="24"/>
                <w:szCs w:val="24"/>
                <w:highlight w:val="none"/>
                <w:lang w:val="en-US" w:eastAsia="zh-CN" w:bidi="ar"/>
              </w:rPr>
              <w:t>小型高压冲洗车</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4</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4C13A37E">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8、</w:t>
            </w:r>
            <w:r>
              <w:rPr>
                <w:rFonts w:hint="eastAsia" w:ascii="宋体" w:hAnsi="宋体"/>
                <w:b w:val="0"/>
                <w:bCs/>
                <w:color w:val="auto"/>
                <w:sz w:val="24"/>
                <w:szCs w:val="24"/>
                <w:highlight w:val="none"/>
                <w:lang w:val="en-US" w:eastAsia="zh-CN"/>
              </w:rPr>
              <w:t>除雪车（含雪铲、滚刷、装载机等）</w:t>
            </w:r>
            <w:r>
              <w:rPr>
                <w:rFonts w:hint="eastAsia" w:ascii="宋体" w:hAnsi="宋体"/>
                <w:b w:val="0"/>
                <w:bCs/>
                <w:color w:val="auto"/>
                <w:kern w:val="2"/>
                <w:sz w:val="24"/>
                <w:szCs w:val="24"/>
                <w:highlight w:val="none"/>
                <w:lang w:val="en-US" w:eastAsia="zh-CN"/>
              </w:rPr>
              <w:t>1套，每套得1分，满分1分。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58290AFA">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9、</w:t>
            </w:r>
            <w:r>
              <w:rPr>
                <w:rFonts w:hint="eastAsia" w:ascii="宋体" w:hAnsi="宋体"/>
                <w:b w:val="0"/>
                <w:bCs/>
                <w:color w:val="auto"/>
                <w:sz w:val="24"/>
                <w:szCs w:val="24"/>
                <w:highlight w:val="none"/>
                <w:lang w:val="en-US" w:eastAsia="zh-CN"/>
              </w:rPr>
              <w:t>融雪撒布机</w:t>
            </w:r>
            <w:r>
              <w:rPr>
                <w:rFonts w:hint="eastAsia" w:ascii="宋体" w:hAnsi="宋体"/>
                <w:b w:val="0"/>
                <w:bCs/>
                <w:color w:val="auto"/>
                <w:kern w:val="2"/>
                <w:sz w:val="24"/>
                <w:szCs w:val="24"/>
                <w:highlight w:val="none"/>
                <w:lang w:val="en-US" w:eastAsia="zh-CN"/>
              </w:rPr>
              <w:t>1部，每部得1分，满分1分。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4C71EC05">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10</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新能源小型慢车道清扫车</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辆，如为自有（提供照片和发票原件扫描上传），如为租赁（提供出租方的发票原件和租赁（意向）合同原件扫描上传），每辆得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1.5</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4.5</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5D96D373">
            <w:pPr>
              <w:keepNext w:val="0"/>
              <w:keepLines w:val="0"/>
              <w:suppressLineNumbers w:val="0"/>
              <w:shd w:val="clear"/>
              <w:spacing w:before="0" w:beforeAutospacing="0" w:after="0" w:afterAutospacing="0" w:line="460" w:lineRule="exact"/>
              <w:ind w:left="0" w:right="0"/>
              <w:rPr>
                <w:rFonts w:hint="default" w:ascii="宋体" w:hAnsi="宋体" w:cs="宋体"/>
                <w:b/>
                <w:color w:val="auto"/>
                <w:kern w:val="2"/>
                <w:sz w:val="24"/>
                <w:highlight w:val="none"/>
              </w:rPr>
            </w:pPr>
            <w:r>
              <w:rPr>
                <w:rFonts w:hint="eastAsia" w:ascii="宋体" w:hAnsi="宋体"/>
                <w:b/>
                <w:bCs/>
                <w:color w:val="auto"/>
                <w:kern w:val="2"/>
                <w:sz w:val="24"/>
                <w:szCs w:val="24"/>
                <w:highlight w:val="none"/>
                <w:lang w:val="zh-CN"/>
              </w:rPr>
              <w:t>注：以上有关车辆重型、中型、</w:t>
            </w:r>
            <w:r>
              <w:rPr>
                <w:rFonts w:hint="eastAsia" w:ascii="宋体" w:hAnsi="宋体"/>
                <w:b/>
                <w:bCs/>
                <w:color w:val="auto"/>
                <w:kern w:val="2"/>
                <w:sz w:val="24"/>
                <w:szCs w:val="24"/>
                <w:highlight w:val="none"/>
                <w:lang w:val="en-US" w:eastAsia="zh-CN"/>
              </w:rPr>
              <w:t>小</w:t>
            </w:r>
            <w:r>
              <w:rPr>
                <w:rFonts w:hint="eastAsia" w:ascii="宋体" w:hAnsi="宋体"/>
                <w:b/>
                <w:bCs/>
                <w:color w:val="auto"/>
                <w:kern w:val="2"/>
                <w:sz w:val="24"/>
                <w:szCs w:val="24"/>
                <w:highlight w:val="none"/>
                <w:lang w:val="zh-CN"/>
              </w:rPr>
              <w:t>型等划分，以车辆行驶证上标明的车辆类型为准。</w:t>
            </w:r>
          </w:p>
        </w:tc>
      </w:tr>
      <w:tr w14:paraId="560F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58" w:type="pct"/>
            <w:vAlign w:val="center"/>
          </w:tcPr>
          <w:p w14:paraId="7FF71EE0">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人员团队</w:t>
            </w:r>
          </w:p>
          <w:p w14:paraId="613F3AFA">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rPr>
              <w:t>分）</w:t>
            </w:r>
          </w:p>
        </w:tc>
        <w:tc>
          <w:tcPr>
            <w:tcW w:w="4241" w:type="pct"/>
            <w:vAlign w:val="center"/>
          </w:tcPr>
          <w:p w14:paraId="4D7933CF">
            <w:pPr>
              <w:keepNext w:val="0"/>
              <w:keepLines w:val="0"/>
              <w:suppressLineNumbers w:val="0"/>
              <w:shd w:val="clear"/>
              <w:spacing w:before="0" w:beforeAutospacing="0" w:after="0" w:afterAutospacing="0" w:line="440" w:lineRule="exact"/>
              <w:ind w:left="0" w:right="0"/>
              <w:rPr>
                <w:rFonts w:hint="default"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项目负责人（限1人）</w:t>
            </w:r>
          </w:p>
          <w:p w14:paraId="5A77AD7E">
            <w:pPr>
              <w:keepNext w:val="0"/>
              <w:keepLines w:val="0"/>
              <w:suppressLineNumbers w:val="0"/>
              <w:shd w:val="clear"/>
              <w:spacing w:before="0" w:beforeAutospacing="0" w:after="0" w:afterAutospacing="0" w:line="440" w:lineRule="exact"/>
              <w:ind w:left="0" w:right="0"/>
              <w:rPr>
                <w:rFonts w:hint="default" w:ascii="宋体" w:hAnsi="宋体"/>
                <w:b/>
                <w:bCs/>
                <w:color w:val="auto"/>
                <w:kern w:val="2"/>
                <w:sz w:val="24"/>
                <w:szCs w:val="24"/>
                <w:highlight w:val="none"/>
                <w:lang w:val="en-US" w:eastAsia="zh-CN"/>
              </w:rPr>
            </w:pPr>
            <w:r>
              <w:rPr>
                <w:rFonts w:hint="eastAsia" w:ascii="宋体" w:hAnsi="宋体"/>
                <w:color w:val="auto"/>
                <w:kern w:val="2"/>
                <w:sz w:val="24"/>
                <w:szCs w:val="24"/>
                <w:highlight w:val="none"/>
                <w:lang w:val="en-US" w:eastAsia="zh-CN"/>
              </w:rPr>
              <w:t>1、拟任本项目的项目负责人具有本科及以上学历的得2分，具有大专学历的得1分；满分2分。</w:t>
            </w:r>
            <w:r>
              <w:rPr>
                <w:rFonts w:hint="eastAsia" w:ascii="宋体" w:hAnsi="宋体"/>
                <w:b/>
                <w:bCs/>
                <w:color w:val="auto"/>
                <w:kern w:val="2"/>
                <w:sz w:val="24"/>
                <w:szCs w:val="24"/>
                <w:highlight w:val="none"/>
                <w:lang w:val="en-US" w:eastAsia="zh-CN"/>
              </w:rPr>
              <w:t>（提供相关证书及投标人为其缴纳的近三个月内任意一个月的社保证明，原件扫描上传，提供不全或未提供则对应项不得分）</w:t>
            </w:r>
          </w:p>
          <w:p w14:paraId="59883512">
            <w:pPr>
              <w:keepNext w:val="0"/>
              <w:keepLines w:val="0"/>
              <w:suppressLineNumbers w:val="0"/>
              <w:shd w:val="clear"/>
              <w:spacing w:before="0" w:beforeAutospacing="0" w:after="0" w:afterAutospacing="0" w:line="440" w:lineRule="exact"/>
              <w:ind w:left="0" w:right="0"/>
              <w:rPr>
                <w:rFonts w:hint="default" w:ascii="宋体" w:hAnsi="宋体"/>
                <w:b/>
                <w:bCs/>
                <w:color w:val="auto"/>
                <w:kern w:val="2"/>
                <w:sz w:val="24"/>
                <w:szCs w:val="24"/>
                <w:highlight w:val="none"/>
                <w:lang w:val="zh-CN" w:eastAsia="zh-CN"/>
              </w:rPr>
            </w:pPr>
            <w:r>
              <w:rPr>
                <w:rFonts w:hint="eastAsia" w:ascii="宋体" w:hAnsi="宋体"/>
                <w:color w:val="auto"/>
                <w:kern w:val="2"/>
                <w:sz w:val="24"/>
                <w:szCs w:val="24"/>
                <w:highlight w:val="none"/>
                <w:lang w:val="en-US" w:eastAsia="zh-CN"/>
              </w:rPr>
              <w:t>2、项目负责人承担过类似服务项目的，有一个得2分，满分4分。</w:t>
            </w:r>
            <w:r>
              <w:rPr>
                <w:rFonts w:hint="eastAsia" w:ascii="宋体" w:hAnsi="宋体"/>
                <w:b/>
                <w:bCs/>
                <w:color w:val="auto"/>
                <w:kern w:val="2"/>
                <w:sz w:val="24"/>
                <w:szCs w:val="24"/>
                <w:highlight w:val="none"/>
                <w:lang w:val="en-US" w:eastAsia="zh-CN"/>
              </w:rPr>
              <w:t>（提供合同原件扫描上传（合同内容必须包含合同首页、合同签订时间页、双方签字盖章页等关键信息，能体现项目服务内容及项目负责人姓名，提供不全或未提供不得分）</w:t>
            </w:r>
          </w:p>
        </w:tc>
      </w:tr>
      <w:tr w14:paraId="15AE6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758" w:type="pct"/>
            <w:vAlign w:val="center"/>
          </w:tcPr>
          <w:p w14:paraId="5A2CF329">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体系认证</w:t>
            </w:r>
          </w:p>
          <w:p w14:paraId="6AD98DBB">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w:t>
            </w:r>
            <w:r>
              <w:rPr>
                <w:rFonts w:hint="eastAsia" w:ascii="宋体" w:hAnsi="宋体"/>
                <w:b/>
                <w:bCs/>
                <w:color w:val="auto"/>
                <w:kern w:val="2"/>
                <w:sz w:val="24"/>
                <w:szCs w:val="24"/>
                <w:highlight w:val="none"/>
              </w:rPr>
              <w:t>分）</w:t>
            </w:r>
          </w:p>
        </w:tc>
        <w:tc>
          <w:tcPr>
            <w:tcW w:w="4241" w:type="pct"/>
            <w:vAlign w:val="center"/>
          </w:tcPr>
          <w:p w14:paraId="664E6A56">
            <w:pPr>
              <w:keepNext w:val="0"/>
              <w:keepLines w:val="0"/>
              <w:suppressLineNumbers w:val="0"/>
              <w:shd w:val="clear"/>
              <w:spacing w:before="0" w:beforeAutospacing="0" w:after="0" w:afterAutospacing="0" w:line="460" w:lineRule="exact"/>
              <w:ind w:left="0" w:right="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zh-CN"/>
              </w:rPr>
              <w:t>投标人具有有效期</w:t>
            </w:r>
            <w:r>
              <w:rPr>
                <w:rFonts w:hint="default" w:ascii="宋体" w:hAnsi="宋体"/>
                <w:color w:val="auto"/>
                <w:kern w:val="2"/>
                <w:sz w:val="24"/>
                <w:szCs w:val="24"/>
                <w:highlight w:val="none"/>
                <w:lang w:val="zh-CN"/>
              </w:rPr>
              <w:t>内的职业健康安全管理体系认证证书</w:t>
            </w:r>
            <w:r>
              <w:rPr>
                <w:rFonts w:hint="eastAsia" w:ascii="宋体" w:hAnsi="宋体"/>
                <w:color w:val="auto"/>
                <w:kern w:val="2"/>
                <w:sz w:val="24"/>
                <w:szCs w:val="24"/>
                <w:highlight w:val="none"/>
                <w:lang w:val="zh-CN"/>
              </w:rPr>
              <w:t>得1分，满分</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分</w:t>
            </w:r>
            <w:r>
              <w:rPr>
                <w:rFonts w:hint="eastAsia" w:ascii="宋体" w:hAnsi="宋体" w:cs="宋体"/>
                <w:color w:val="auto"/>
                <w:kern w:val="2"/>
                <w:sz w:val="24"/>
                <w:szCs w:val="24"/>
                <w:highlight w:val="none"/>
              </w:rPr>
              <w:t>。</w:t>
            </w:r>
          </w:p>
          <w:p w14:paraId="0709E958">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（以上证书均需提供证书原件扫描、以及全国认证认可信息公共服务平台的查询截图上传，提供不全或未提供不得分）</w:t>
            </w:r>
          </w:p>
          <w:p w14:paraId="00503F23">
            <w:pPr>
              <w:keepNext w:val="0"/>
              <w:keepLines w:val="0"/>
              <w:suppressLineNumbers w:val="0"/>
              <w:shd w:val="clear"/>
              <w:spacing w:before="0" w:beforeAutospacing="0" w:after="0" w:afterAutospacing="0" w:line="460" w:lineRule="exact"/>
              <w:ind w:left="0" w:right="0"/>
              <w:rPr>
                <w:rFonts w:hint="default" w:ascii="宋体" w:hAnsi="宋体" w:cs="宋体"/>
                <w:b/>
                <w:color w:val="auto"/>
                <w:kern w:val="2"/>
                <w:sz w:val="24"/>
                <w:szCs w:val="24"/>
                <w:highlight w:val="none"/>
              </w:rPr>
            </w:pPr>
            <w:r>
              <w:rPr>
                <w:rFonts w:hint="eastAsia" w:ascii="宋体" w:hAnsi="宋体"/>
                <w:b/>
                <w:color w:val="auto"/>
                <w:kern w:val="2"/>
                <w:sz w:val="24"/>
                <w:szCs w:val="24"/>
                <w:highlight w:val="none"/>
                <w:lang w:val="zh-CN"/>
              </w:rPr>
              <w:t>全国认证认可信息公共服务平台网址：</w:t>
            </w:r>
          </w:p>
          <w:p w14:paraId="3D0E7C79">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rPr>
            </w:pPr>
            <w:r>
              <w:rPr>
                <w:rFonts w:hint="eastAsia" w:ascii="宋体" w:hAnsi="宋体"/>
                <w:b/>
                <w:color w:val="auto"/>
                <w:kern w:val="2"/>
                <w:sz w:val="24"/>
                <w:szCs w:val="24"/>
                <w:highlight w:val="none"/>
              </w:rPr>
              <w:t>http://cx.cnca.cn/CertECloud/result/skipResultList?certItemOne=A&amp;currentPosition=undefined，</w:t>
            </w:r>
            <w:r>
              <w:rPr>
                <w:rFonts w:hint="eastAsia" w:ascii="宋体" w:hAnsi="宋体"/>
                <w:b/>
                <w:color w:val="auto"/>
                <w:kern w:val="2"/>
                <w:sz w:val="24"/>
                <w:szCs w:val="24"/>
                <w:highlight w:val="none"/>
                <w:lang w:val="zh-CN"/>
              </w:rPr>
              <w:t>要求证书查询结果为有效</w:t>
            </w:r>
            <w:r>
              <w:rPr>
                <w:rFonts w:hint="eastAsia" w:ascii="宋体" w:hAnsi="宋体"/>
                <w:b/>
                <w:color w:val="auto"/>
                <w:kern w:val="2"/>
                <w:sz w:val="24"/>
                <w:szCs w:val="24"/>
                <w:highlight w:val="none"/>
              </w:rPr>
              <w:t>）</w:t>
            </w:r>
          </w:p>
        </w:tc>
      </w:tr>
      <w:tr w14:paraId="01B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58" w:type="pct"/>
            <w:vAlign w:val="center"/>
          </w:tcPr>
          <w:p w14:paraId="0145ACA9">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业绩</w:t>
            </w:r>
          </w:p>
          <w:p w14:paraId="1DC0256D">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16</w:t>
            </w:r>
            <w:r>
              <w:rPr>
                <w:rFonts w:hint="eastAsia" w:ascii="宋体" w:hAnsi="宋体"/>
                <w:b/>
                <w:bCs/>
                <w:color w:val="auto"/>
                <w:kern w:val="2"/>
                <w:sz w:val="24"/>
                <w:szCs w:val="24"/>
                <w:highlight w:val="none"/>
              </w:rPr>
              <w:t>分)</w:t>
            </w:r>
          </w:p>
        </w:tc>
        <w:tc>
          <w:tcPr>
            <w:tcW w:w="4241" w:type="pct"/>
            <w:vAlign w:val="center"/>
          </w:tcPr>
          <w:p w14:paraId="350670BF">
            <w:pPr>
              <w:keepNext w:val="0"/>
              <w:keepLines w:val="0"/>
              <w:suppressLineNumbers w:val="0"/>
              <w:shd w:val="clear"/>
              <w:spacing w:before="0" w:beforeAutospacing="0" w:after="0" w:afterAutospacing="0" w:line="460" w:lineRule="exact"/>
              <w:ind w:left="0" w:right="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投标人自202</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年1月1日至今</w:t>
            </w:r>
            <w:r>
              <w:rPr>
                <w:rFonts w:hint="eastAsia" w:ascii="宋体" w:hAnsi="宋体"/>
                <w:b/>
                <w:color w:val="auto"/>
                <w:kern w:val="2"/>
                <w:sz w:val="24"/>
                <w:szCs w:val="24"/>
                <w:highlight w:val="none"/>
                <w:lang w:val="zh-CN"/>
              </w:rPr>
              <w:t>（以合同签订时间为准）</w:t>
            </w:r>
            <w:r>
              <w:rPr>
                <w:rFonts w:hint="eastAsia" w:ascii="宋体" w:hAnsi="宋体"/>
                <w:color w:val="auto"/>
                <w:kern w:val="2"/>
                <w:sz w:val="24"/>
                <w:szCs w:val="24"/>
                <w:highlight w:val="none"/>
                <w:lang w:val="zh-CN"/>
              </w:rPr>
              <w:t>，承担过</w:t>
            </w:r>
            <w:r>
              <w:rPr>
                <w:rFonts w:hint="eastAsia" w:ascii="宋体" w:hAnsi="宋体"/>
                <w:color w:val="auto"/>
                <w:kern w:val="2"/>
                <w:sz w:val="24"/>
                <w:szCs w:val="24"/>
                <w:highlight w:val="none"/>
              </w:rPr>
              <w:t>类似业务</w:t>
            </w:r>
            <w:r>
              <w:rPr>
                <w:rFonts w:hint="eastAsia" w:ascii="宋体" w:hAnsi="宋体"/>
                <w:color w:val="auto"/>
                <w:kern w:val="2"/>
                <w:sz w:val="24"/>
                <w:szCs w:val="24"/>
                <w:highlight w:val="none"/>
                <w:lang w:val="zh-CN"/>
              </w:rPr>
              <w:t>的</w:t>
            </w:r>
            <w:r>
              <w:rPr>
                <w:rFonts w:hint="eastAsia" w:ascii="宋体" w:hAnsi="宋体"/>
                <w:b/>
                <w:color w:val="auto"/>
                <w:kern w:val="2"/>
                <w:sz w:val="24"/>
                <w:szCs w:val="24"/>
                <w:highlight w:val="none"/>
                <w:lang w:val="zh-CN"/>
              </w:rPr>
              <w:t>（同一合同中包含下列</w:t>
            </w:r>
            <w:r>
              <w:rPr>
                <w:rFonts w:hint="eastAsia" w:ascii="宋体" w:hAnsi="宋体"/>
                <w:b/>
                <w:color w:val="auto"/>
                <w:kern w:val="2"/>
                <w:sz w:val="24"/>
                <w:szCs w:val="24"/>
                <w:highlight w:val="none"/>
                <w:lang w:val="en-US" w:eastAsia="zh-CN"/>
              </w:rPr>
              <w:t>两</w:t>
            </w:r>
            <w:r>
              <w:rPr>
                <w:rFonts w:hint="eastAsia" w:ascii="宋体" w:hAnsi="宋体"/>
                <w:b/>
                <w:color w:val="auto"/>
                <w:kern w:val="2"/>
                <w:sz w:val="24"/>
                <w:szCs w:val="24"/>
                <w:highlight w:val="none"/>
                <w:lang w:val="zh-CN"/>
              </w:rPr>
              <w:t>项中多个业务类型的，可按所属单项重复认定计分）：①道路清扫保洁，</w:t>
            </w:r>
            <w:r>
              <w:rPr>
                <w:rFonts w:hint="eastAsia" w:ascii="宋体" w:hAnsi="宋体"/>
                <w:color w:val="auto"/>
                <w:kern w:val="2"/>
                <w:sz w:val="24"/>
                <w:szCs w:val="24"/>
                <w:highlight w:val="none"/>
                <w:lang w:val="zh-CN"/>
              </w:rPr>
              <w:t>每有1个业绩得2分，满分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②</w:t>
            </w:r>
            <w:r>
              <w:rPr>
                <w:rFonts w:hint="eastAsia" w:ascii="宋体" w:hAnsi="宋体"/>
                <w:b/>
                <w:color w:val="auto"/>
                <w:kern w:val="2"/>
                <w:sz w:val="24"/>
                <w:szCs w:val="24"/>
                <w:highlight w:val="none"/>
                <w:lang w:val="en-US" w:eastAsia="zh-CN"/>
              </w:rPr>
              <w:t>随路</w:t>
            </w:r>
            <w:r>
              <w:rPr>
                <w:rFonts w:hint="eastAsia" w:ascii="宋体" w:hAnsi="宋体"/>
                <w:b/>
                <w:color w:val="auto"/>
                <w:kern w:val="2"/>
                <w:sz w:val="24"/>
                <w:szCs w:val="24"/>
                <w:highlight w:val="none"/>
                <w:lang w:val="zh-CN"/>
              </w:rPr>
              <w:t>绿化养护，</w:t>
            </w:r>
            <w:r>
              <w:rPr>
                <w:rFonts w:hint="eastAsia" w:ascii="宋体" w:hAnsi="宋体"/>
                <w:color w:val="auto"/>
                <w:kern w:val="2"/>
                <w:sz w:val="24"/>
                <w:szCs w:val="24"/>
                <w:highlight w:val="none"/>
                <w:lang w:val="zh-CN"/>
              </w:rPr>
              <w:t>每有1个业绩得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val="0"/>
                <w:bCs/>
                <w:color w:val="auto"/>
                <w:kern w:val="2"/>
                <w:sz w:val="24"/>
                <w:szCs w:val="24"/>
                <w:highlight w:val="none"/>
                <w:lang w:val="zh-CN"/>
              </w:rPr>
              <w:t>。</w:t>
            </w:r>
            <w:r>
              <w:rPr>
                <w:rFonts w:hint="eastAsia" w:ascii="宋体" w:hAnsi="宋体"/>
                <w:b/>
                <w:color w:val="auto"/>
                <w:kern w:val="2"/>
                <w:sz w:val="24"/>
                <w:szCs w:val="24"/>
                <w:highlight w:val="none"/>
                <w:lang w:val="zh-CN"/>
              </w:rPr>
              <w:t>（</w:t>
            </w:r>
            <w:r>
              <w:rPr>
                <w:rFonts w:hint="eastAsia" w:ascii="宋体" w:hAnsi="宋体"/>
                <w:b/>
                <w:color w:val="auto"/>
                <w:kern w:val="2"/>
                <w:sz w:val="24"/>
                <w:szCs w:val="24"/>
                <w:highlight w:val="none"/>
                <w:lang w:val="en-US" w:eastAsia="zh-CN"/>
              </w:rPr>
              <w:t>提供</w:t>
            </w:r>
            <w:r>
              <w:rPr>
                <w:rFonts w:hint="eastAsia" w:ascii="宋体" w:hAnsi="宋体"/>
                <w:b/>
                <w:color w:val="auto"/>
                <w:kern w:val="2"/>
                <w:sz w:val="24"/>
                <w:szCs w:val="24"/>
                <w:highlight w:val="none"/>
                <w:lang w:val="zh-CN"/>
              </w:rPr>
              <w:t>合同原件扫描上传，合同内容必须包含合同首页、合同签订时间页、双方签字盖章页等关键信息，能体现项目服务内容，</w:t>
            </w:r>
            <w:r>
              <w:rPr>
                <w:rFonts w:hint="eastAsia" w:ascii="宋体" w:hAnsi="宋体"/>
                <w:b/>
                <w:color w:val="auto"/>
                <w:kern w:val="2"/>
                <w:sz w:val="24"/>
                <w:szCs w:val="24"/>
                <w:highlight w:val="none"/>
                <w:lang w:val="en-US" w:eastAsia="zh-CN"/>
              </w:rPr>
              <w:t>且同时</w:t>
            </w:r>
            <w:r>
              <w:rPr>
                <w:rFonts w:hint="eastAsia" w:ascii="宋体" w:hAnsi="宋体"/>
                <w:b/>
                <w:color w:val="auto"/>
                <w:kern w:val="2"/>
                <w:sz w:val="24"/>
                <w:szCs w:val="24"/>
                <w:highlight w:val="none"/>
                <w:lang w:val="zh-CN"/>
              </w:rPr>
              <w:t>提供项目开具的发票或银行回单等证明材料，若刚签订的合同未到付款时间,则需提供服务单位盖章的情况说明，提供不全或未提供不得分。同一项目不同年度不累计得分）</w:t>
            </w:r>
          </w:p>
        </w:tc>
      </w:tr>
    </w:tbl>
    <w:p w14:paraId="1DF724AE">
      <w:pPr>
        <w:shd w:val="clear"/>
        <w:rPr>
          <w:color w:val="auto"/>
          <w:highlight w:val="none"/>
        </w:rPr>
      </w:pPr>
    </w:p>
    <w:p w14:paraId="4E9F5301">
      <w:pPr>
        <w:pStyle w:val="280"/>
        <w:shd w:val="clear"/>
        <w:spacing w:line="0" w:lineRule="atLeast"/>
        <w:ind w:firstLine="482"/>
        <w:rPr>
          <w:rFonts w:ascii="宋体" w:hAnsi="宋体"/>
          <w:b/>
          <w:color w:val="auto"/>
          <w:highlight w:val="none"/>
        </w:rPr>
      </w:pPr>
      <w:r>
        <w:rPr>
          <w:rFonts w:ascii="宋体" w:hAnsi="宋体"/>
          <w:b/>
          <w:color w:val="auto"/>
          <w:highlight w:val="none"/>
        </w:rPr>
        <w:br w:type="page" w:clear="all"/>
      </w:r>
    </w:p>
    <w:p w14:paraId="5C05BADC">
      <w:pPr>
        <w:pStyle w:val="280"/>
        <w:shd w:val="clear"/>
        <w:spacing w:line="0" w:lineRule="atLeast"/>
        <w:ind w:firstLine="482"/>
        <w:rPr>
          <w:rFonts w:ascii="宋体" w:hAnsi="宋体"/>
          <w:b/>
          <w:color w:val="auto"/>
          <w:highlight w:val="none"/>
        </w:rPr>
      </w:pPr>
      <w:r>
        <w:rPr>
          <w:rFonts w:hint="eastAsia" w:ascii="宋体" w:hAnsi="宋体"/>
          <w:b/>
          <w:color w:val="auto"/>
          <w:highlight w:val="none"/>
        </w:rPr>
        <w:t>包</w:t>
      </w:r>
      <w:r>
        <w:rPr>
          <w:rFonts w:hint="eastAsia" w:ascii="宋体" w:hAnsi="宋体"/>
          <w:b/>
          <w:color w:val="auto"/>
          <w:highlight w:val="none"/>
          <w:lang w:val="en-US" w:eastAsia="zh-CN"/>
        </w:rPr>
        <w:t>2</w:t>
      </w:r>
      <w:r>
        <w:rPr>
          <w:rFonts w:hint="eastAsia" w:ascii="宋体" w:hAnsi="宋体"/>
          <w:b/>
          <w:color w:val="auto"/>
          <w:highlight w:val="none"/>
        </w:rPr>
        <w:t>：东北部片区</w:t>
      </w:r>
    </w:p>
    <w:tbl>
      <w:tblPr>
        <w:tblStyle w:val="28"/>
        <w:tblW w:w="4864" w:type="pct"/>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7520"/>
      </w:tblGrid>
      <w:tr w14:paraId="681F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vAlign w:val="center"/>
          </w:tcPr>
          <w:p w14:paraId="42D52292">
            <w:pPr>
              <w:keepNext w:val="0"/>
              <w:keepLines w:val="0"/>
              <w:widowControl/>
              <w:suppressLineNumbers w:val="0"/>
              <w:shd w:val="clear"/>
              <w:spacing w:before="0" w:beforeAutospacing="0" w:after="0" w:afterAutospacing="0" w:line="460" w:lineRule="exact"/>
              <w:ind w:right="0"/>
              <w:contextualSpacing/>
              <w:jc w:val="center"/>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项目</w:t>
            </w:r>
          </w:p>
        </w:tc>
        <w:tc>
          <w:tcPr>
            <w:tcW w:w="4215" w:type="pct"/>
            <w:vAlign w:val="center"/>
          </w:tcPr>
          <w:p w14:paraId="7D94E88B">
            <w:pPr>
              <w:keepNext w:val="0"/>
              <w:keepLines w:val="0"/>
              <w:suppressLineNumbers w:val="0"/>
              <w:shd w:val="clear"/>
              <w:spacing w:before="0" w:beforeAutospacing="0" w:after="0" w:afterAutospacing="0" w:line="460" w:lineRule="exact"/>
              <w:ind w:right="0"/>
              <w:contextualSpacing/>
              <w:jc w:val="center"/>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评分标准</w:t>
            </w:r>
          </w:p>
        </w:tc>
      </w:tr>
      <w:tr w14:paraId="419A4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vAlign w:val="center"/>
          </w:tcPr>
          <w:p w14:paraId="121F3FB6">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价格</w:t>
            </w:r>
          </w:p>
          <w:p w14:paraId="51F2E316">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20</w:t>
            </w:r>
            <w:r>
              <w:rPr>
                <w:rFonts w:hint="eastAsia" w:ascii="宋体" w:hAnsi="宋体"/>
                <w:b/>
                <w:bCs/>
                <w:color w:val="auto"/>
                <w:kern w:val="2"/>
                <w:sz w:val="24"/>
                <w:szCs w:val="24"/>
                <w:highlight w:val="none"/>
              </w:rPr>
              <w:t>分）</w:t>
            </w:r>
          </w:p>
        </w:tc>
        <w:tc>
          <w:tcPr>
            <w:tcW w:w="7520" w:type="dxa"/>
            <w:vAlign w:val="center"/>
          </w:tcPr>
          <w:p w14:paraId="62422040">
            <w:pPr>
              <w:keepNext w:val="0"/>
              <w:keepLines w:val="0"/>
              <w:suppressLineNumbers w:val="0"/>
              <w:shd w:val="clear"/>
              <w:spacing w:before="0" w:beforeAutospacing="0" w:after="0" w:afterAutospacing="0" w:line="460" w:lineRule="exact"/>
              <w:ind w:left="80" w:leftChars="0" w:right="0" w:rightChars="0"/>
              <w:rPr>
                <w:rFonts w:hint="default" w:ascii="宋体" w:hAnsi="宋体"/>
                <w:color w:val="auto"/>
                <w:kern w:val="2"/>
                <w:sz w:val="24"/>
                <w:szCs w:val="24"/>
                <w:highlight w:val="none"/>
              </w:rPr>
            </w:pPr>
            <w:r>
              <w:rPr>
                <w:rFonts w:hint="eastAsia" w:ascii="宋体" w:hAnsi="宋体" w:cs="楷体_GB2312"/>
                <w:color w:val="auto"/>
                <w:kern w:val="2"/>
                <w:sz w:val="24"/>
                <w:szCs w:val="24"/>
                <w:highlight w:val="none"/>
              </w:rPr>
              <w:t>以满足招标文件要求的最低投标报价为评标基准价，得满分</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分，其他投标报价得分=（评标基准价/其他投标报价）×</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×100%</w:t>
            </w:r>
          </w:p>
        </w:tc>
      </w:tr>
      <w:tr w14:paraId="1BBB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84" w:type="pct"/>
            <w:vMerge w:val="restart"/>
            <w:vAlign w:val="center"/>
          </w:tcPr>
          <w:p w14:paraId="334F0121">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lang w:val="en-US" w:eastAsia="zh-CN"/>
              </w:rPr>
              <w:t>服务</w:t>
            </w:r>
            <w:r>
              <w:rPr>
                <w:rFonts w:hint="eastAsia" w:ascii="宋体" w:hAnsi="宋体"/>
                <w:b/>
                <w:bCs/>
                <w:color w:val="auto"/>
                <w:kern w:val="2"/>
                <w:sz w:val="24"/>
                <w:szCs w:val="24"/>
                <w:highlight w:val="none"/>
              </w:rPr>
              <w:t>方案</w:t>
            </w:r>
          </w:p>
          <w:p w14:paraId="307BFD39">
            <w:pPr>
              <w:keepNext w:val="0"/>
              <w:keepLines w:val="0"/>
              <w:suppressLineNumbers w:val="0"/>
              <w:shd w:val="clear"/>
              <w:spacing w:before="0" w:beforeAutospacing="0" w:after="0" w:afterAutospacing="0" w:line="460" w:lineRule="exact"/>
              <w:ind w:right="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32</w:t>
            </w:r>
            <w:r>
              <w:rPr>
                <w:rFonts w:hint="eastAsia" w:ascii="宋体" w:hAnsi="宋体"/>
                <w:b/>
                <w:bCs/>
                <w:color w:val="auto"/>
                <w:kern w:val="2"/>
                <w:sz w:val="24"/>
                <w:szCs w:val="24"/>
                <w:highlight w:val="none"/>
              </w:rPr>
              <w:t>分）</w:t>
            </w:r>
          </w:p>
        </w:tc>
        <w:tc>
          <w:tcPr>
            <w:tcW w:w="7520" w:type="dxa"/>
            <w:vAlign w:val="center"/>
          </w:tcPr>
          <w:p w14:paraId="39168325">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zh-CN"/>
              </w:rPr>
              <w:t>1、主次干道清扫保洁方案（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7DB2FB71">
            <w:pPr>
              <w:keepNext w:val="0"/>
              <w:keepLines w:val="0"/>
              <w:suppressLineNumbers w:val="0"/>
              <w:shd w:val="clear"/>
              <w:spacing w:before="0" w:beforeAutospacing="0" w:after="0" w:afterAutospacing="0" w:line="460" w:lineRule="exact"/>
              <w:ind w:left="0" w:leftChars="0" w:right="0" w:rightChars="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投标人根据项目需求提供主次干道清扫保洁方案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w:t>
            </w:r>
            <w:r>
              <w:rPr>
                <w:rFonts w:hint="eastAsia" w:ascii="宋体" w:hAnsi="宋体" w:cs="Calibri"/>
                <w:color w:val="auto"/>
                <w:kern w:val="2"/>
                <w:sz w:val="24"/>
                <w:szCs w:val="24"/>
                <w:highlight w:val="none"/>
                <w:lang w:eastAsia="zh-CN"/>
              </w:rPr>
              <w:t>；</w:t>
            </w:r>
            <w:r>
              <w:rPr>
                <w:rFonts w:hint="eastAsia" w:ascii="宋体" w:hAnsi="宋体" w:cs="Calibri"/>
                <w:color w:val="auto"/>
                <w:kern w:val="2"/>
                <w:sz w:val="24"/>
                <w:szCs w:val="24"/>
                <w:highlight w:val="none"/>
              </w:rPr>
              <w:t>不符合招标文件要求或未提供的不得分。</w:t>
            </w:r>
          </w:p>
        </w:tc>
      </w:tr>
      <w:tr w14:paraId="4213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784" w:type="pct"/>
            <w:vMerge w:val="continue"/>
            <w:vAlign w:val="center"/>
          </w:tcPr>
          <w:p w14:paraId="61AA0D5F">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20" w:type="dxa"/>
            <w:vAlign w:val="center"/>
          </w:tcPr>
          <w:p w14:paraId="10C24B23">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2</w:t>
            </w:r>
            <w:r>
              <w:rPr>
                <w:rFonts w:hint="eastAsia" w:ascii="宋体" w:hAnsi="宋体"/>
                <w:b/>
                <w:bCs/>
                <w:color w:val="auto"/>
                <w:kern w:val="2"/>
                <w:sz w:val="24"/>
                <w:szCs w:val="24"/>
                <w:highlight w:val="none"/>
                <w:lang w:val="zh-CN"/>
              </w:rPr>
              <w:t>、交通护栏等公共设施保洁方案（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7661B174">
            <w:pPr>
              <w:keepNext w:val="0"/>
              <w:keepLines w:val="0"/>
              <w:suppressLineNumbers w:val="0"/>
              <w:shd w:val="clear"/>
              <w:spacing w:before="0" w:beforeAutospacing="0" w:after="0" w:afterAutospacing="0" w:line="460" w:lineRule="exact"/>
              <w:ind w:left="0" w:leftChars="0" w:right="0" w:rightChars="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投标人根据项目需求提供交通护栏等公共设施保洁方案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2CC7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vMerge w:val="continue"/>
            <w:vAlign w:val="center"/>
          </w:tcPr>
          <w:p w14:paraId="0AD14598">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20" w:type="dxa"/>
            <w:vAlign w:val="center"/>
          </w:tcPr>
          <w:p w14:paraId="31F60940">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3</w:t>
            </w:r>
            <w:r>
              <w:rPr>
                <w:rFonts w:hint="eastAsia" w:ascii="宋体" w:hAnsi="宋体"/>
                <w:b/>
                <w:bCs/>
                <w:color w:val="auto"/>
                <w:kern w:val="2"/>
                <w:sz w:val="24"/>
                <w:szCs w:val="24"/>
                <w:highlight w:val="none"/>
                <w:lang w:val="zh-CN"/>
              </w:rPr>
              <w:t>、随路绿化养护方案（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07620A53">
            <w:pPr>
              <w:keepNext w:val="0"/>
              <w:keepLines w:val="0"/>
              <w:widowControl/>
              <w:suppressLineNumbers w:val="0"/>
              <w:shd w:val="clear"/>
              <w:spacing w:before="0" w:beforeAutospacing="0" w:after="0" w:afterAutospacing="0" w:line="460" w:lineRule="exact"/>
              <w:ind w:left="0" w:leftChars="0" w:right="0" w:rightChars="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投标人根据项目需求提供随路绿化养护方案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分；不符合招标文件要求或未提供的不得分。</w:t>
            </w:r>
          </w:p>
        </w:tc>
      </w:tr>
      <w:tr w14:paraId="5746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784" w:type="pct"/>
            <w:vMerge w:val="continue"/>
            <w:vAlign w:val="center"/>
          </w:tcPr>
          <w:p w14:paraId="4F05DAF6">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20" w:type="dxa"/>
            <w:vAlign w:val="center"/>
          </w:tcPr>
          <w:p w14:paraId="5830E57B">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4</w:t>
            </w:r>
            <w:r>
              <w:rPr>
                <w:rFonts w:hint="eastAsia" w:ascii="宋体" w:hAnsi="宋体"/>
                <w:b/>
                <w:bCs/>
                <w:color w:val="auto"/>
                <w:kern w:val="2"/>
                <w:sz w:val="24"/>
                <w:szCs w:val="24"/>
                <w:highlight w:val="none"/>
                <w:lang w:val="zh-CN"/>
              </w:rPr>
              <w:t>、从业人员配备及安全文明方案（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11B099D1">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投标人根据项目需求提供从业人员配备及安全文明方案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419B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84" w:type="pct"/>
            <w:vMerge w:val="continue"/>
            <w:vAlign w:val="center"/>
          </w:tcPr>
          <w:p w14:paraId="064D65A6">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20" w:type="dxa"/>
            <w:vAlign w:val="center"/>
          </w:tcPr>
          <w:p w14:paraId="5591EE32">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5</w:t>
            </w:r>
            <w:r>
              <w:rPr>
                <w:rFonts w:hint="eastAsia" w:ascii="宋体" w:hAnsi="宋体"/>
                <w:b/>
                <w:bCs/>
                <w:color w:val="auto"/>
                <w:kern w:val="2"/>
                <w:sz w:val="24"/>
                <w:szCs w:val="24"/>
                <w:highlight w:val="none"/>
                <w:lang w:val="zh-CN"/>
              </w:rPr>
              <w:t>、恶劣天气应急预案（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78172B0D">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投标人根据项目需求提供恶劣天气应急预案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1699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84" w:type="pct"/>
            <w:vMerge w:val="continue"/>
            <w:vAlign w:val="center"/>
          </w:tcPr>
          <w:p w14:paraId="470DCF9B">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20" w:type="dxa"/>
            <w:vAlign w:val="center"/>
          </w:tcPr>
          <w:p w14:paraId="25C08558">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lang w:val="zh-CN"/>
              </w:rPr>
              <w:t>、工作交接</w:t>
            </w:r>
            <w:r>
              <w:rPr>
                <w:rFonts w:hint="eastAsia" w:ascii="宋体" w:hAnsi="宋体"/>
                <w:b/>
                <w:bCs/>
                <w:color w:val="auto"/>
                <w:kern w:val="2"/>
                <w:sz w:val="24"/>
                <w:szCs w:val="24"/>
                <w:highlight w:val="none"/>
                <w:lang w:val="en-US" w:eastAsia="zh-CN"/>
              </w:rPr>
              <w:t>方案</w:t>
            </w: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2334F5DA">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投标人根据项目需求提供工作交接方案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204D2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784" w:type="pct"/>
            <w:vAlign w:val="center"/>
          </w:tcPr>
          <w:p w14:paraId="6F9E4A23">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项目配备</w:t>
            </w:r>
          </w:p>
          <w:p w14:paraId="7E81E72E">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设备</w:t>
            </w:r>
          </w:p>
          <w:p w14:paraId="7CB7C7C7">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25</w:t>
            </w:r>
            <w:r>
              <w:rPr>
                <w:rFonts w:hint="eastAsia" w:ascii="宋体" w:hAnsi="宋体"/>
                <w:b/>
                <w:bCs/>
                <w:color w:val="auto"/>
                <w:kern w:val="2"/>
                <w:sz w:val="24"/>
                <w:szCs w:val="24"/>
                <w:highlight w:val="none"/>
                <w:lang w:val="zh-CN"/>
              </w:rPr>
              <w:t>分）</w:t>
            </w:r>
          </w:p>
        </w:tc>
        <w:tc>
          <w:tcPr>
            <w:tcW w:w="4215" w:type="pct"/>
            <w:vAlign w:val="center"/>
          </w:tcPr>
          <w:p w14:paraId="7D8CBD74">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投标人提供用于本项目设备、机具、用具分列完整详细合理，满分</w:t>
            </w:r>
            <w:r>
              <w:rPr>
                <w:rFonts w:hint="eastAsia" w:ascii="宋体" w:hAnsi="宋体"/>
                <w:color w:val="auto"/>
                <w:kern w:val="2"/>
                <w:sz w:val="24"/>
                <w:szCs w:val="24"/>
                <w:highlight w:val="none"/>
                <w:lang w:val="en-US" w:eastAsia="zh-CN"/>
              </w:rPr>
              <w:t>25</w:t>
            </w:r>
            <w:r>
              <w:rPr>
                <w:rFonts w:hint="eastAsia" w:ascii="宋体" w:hAnsi="宋体"/>
                <w:color w:val="auto"/>
                <w:kern w:val="2"/>
                <w:sz w:val="24"/>
                <w:szCs w:val="24"/>
                <w:highlight w:val="none"/>
                <w:lang w:val="zh-CN"/>
              </w:rPr>
              <w:t>分：</w:t>
            </w:r>
          </w:p>
          <w:p w14:paraId="38FDD67A">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w:t>
            </w:r>
            <w:r>
              <w:rPr>
                <w:rFonts w:hint="eastAsia" w:ascii="宋体" w:hAnsi="宋体" w:cs="Times New Roman"/>
                <w:color w:val="auto"/>
                <w:kern w:val="0"/>
                <w:sz w:val="24"/>
                <w:szCs w:val="24"/>
                <w:highlight w:val="none"/>
                <w:lang w:val="en-US" w:eastAsia="zh-CN" w:bidi="ar"/>
              </w:rPr>
              <w:t>重型洗扫</w:t>
            </w:r>
            <w:r>
              <w:rPr>
                <w:rFonts w:hint="eastAsia" w:ascii="宋体" w:hAnsi="宋体" w:eastAsia="宋体" w:cs="Times New Roman"/>
                <w:color w:val="auto"/>
                <w:kern w:val="0"/>
                <w:sz w:val="24"/>
                <w:szCs w:val="24"/>
                <w:highlight w:val="none"/>
                <w:lang w:val="en-US" w:eastAsia="zh-CN" w:bidi="ar"/>
              </w:rPr>
              <w:t>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3.5</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3.5</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7C4168E">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w:t>
            </w:r>
            <w:r>
              <w:rPr>
                <w:rFonts w:hint="eastAsia" w:ascii="宋体" w:hAnsi="宋体"/>
                <w:color w:val="auto"/>
                <w:kern w:val="2"/>
                <w:sz w:val="24"/>
                <w:szCs w:val="24"/>
                <w:highlight w:val="none"/>
                <w:lang w:val="en-US" w:eastAsia="zh-CN"/>
              </w:rPr>
              <w:t>新能源重型雾炮车（降尘车）1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3.5</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3.5</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1F1C80E6">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w:t>
            </w:r>
            <w:r>
              <w:rPr>
                <w:rFonts w:hint="eastAsia" w:ascii="宋体" w:hAnsi="宋体" w:cs="Times New Roman"/>
                <w:color w:val="auto"/>
                <w:kern w:val="0"/>
                <w:sz w:val="24"/>
                <w:szCs w:val="24"/>
                <w:highlight w:val="none"/>
                <w:lang w:val="en-US" w:eastAsia="zh-CN" w:bidi="ar"/>
              </w:rPr>
              <w:t>中型</w:t>
            </w:r>
            <w:r>
              <w:rPr>
                <w:rFonts w:hint="eastAsia" w:ascii="宋体" w:hAnsi="宋体" w:eastAsia="宋体" w:cs="Times New Roman"/>
                <w:color w:val="auto"/>
                <w:kern w:val="0"/>
                <w:sz w:val="24"/>
                <w:szCs w:val="24"/>
                <w:highlight w:val="none"/>
                <w:lang w:val="en-US" w:eastAsia="zh-CN" w:bidi="ar"/>
              </w:rPr>
              <w:t>洒水车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C810092">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4、护栏清洗车1辆，每辆得2分，满分2分。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48F35768">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5、</w:t>
            </w:r>
            <w:r>
              <w:rPr>
                <w:rFonts w:hint="eastAsia" w:ascii="宋体" w:hAnsi="宋体"/>
                <w:b w:val="0"/>
                <w:bCs/>
                <w:color w:val="auto"/>
                <w:sz w:val="24"/>
                <w:szCs w:val="24"/>
                <w:highlight w:val="none"/>
                <w:lang w:val="en-US" w:eastAsia="zh-CN"/>
              </w:rPr>
              <w:t>除雪车（含雪铲、滚刷、装载机等）</w:t>
            </w:r>
            <w:r>
              <w:rPr>
                <w:rFonts w:hint="eastAsia" w:ascii="宋体" w:hAnsi="宋体"/>
                <w:b w:val="0"/>
                <w:bCs/>
                <w:color w:val="auto"/>
                <w:kern w:val="2"/>
                <w:sz w:val="24"/>
                <w:szCs w:val="24"/>
                <w:highlight w:val="none"/>
                <w:lang w:val="en-US" w:eastAsia="zh-CN"/>
              </w:rPr>
              <w:t>1套，每套得2分，满分2分。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46B046A0">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6、</w:t>
            </w:r>
            <w:r>
              <w:rPr>
                <w:rFonts w:hint="eastAsia" w:ascii="宋体" w:hAnsi="宋体"/>
                <w:b w:val="0"/>
                <w:bCs/>
                <w:color w:val="auto"/>
                <w:sz w:val="24"/>
                <w:szCs w:val="24"/>
                <w:highlight w:val="none"/>
                <w:lang w:val="en-US" w:eastAsia="zh-CN"/>
              </w:rPr>
              <w:t>融雪撒布机</w:t>
            </w:r>
            <w:r>
              <w:rPr>
                <w:rFonts w:hint="eastAsia" w:ascii="宋体" w:hAnsi="宋体"/>
                <w:b w:val="0"/>
                <w:bCs/>
                <w:color w:val="auto"/>
                <w:kern w:val="2"/>
                <w:sz w:val="24"/>
                <w:szCs w:val="24"/>
                <w:highlight w:val="none"/>
                <w:lang w:val="en-US" w:eastAsia="zh-CN"/>
              </w:rPr>
              <w:t>1部，每部得2分，满分2分。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22645209">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7</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新能源小型慢车道清扫车</w:t>
            </w:r>
            <w:r>
              <w:rPr>
                <w:rFonts w:hint="eastAsia" w:ascii="宋体" w:hAnsi="宋体" w:cs="Times New Roman"/>
                <w:color w:val="auto"/>
                <w:kern w:val="0"/>
                <w:sz w:val="24"/>
                <w:szCs w:val="24"/>
                <w:highlight w:val="none"/>
                <w:lang w:val="en-US" w:eastAsia="zh-CN" w:bidi="ar"/>
              </w:rPr>
              <w:t>3</w:t>
            </w:r>
            <w:r>
              <w:rPr>
                <w:rFonts w:hint="eastAsia" w:ascii="宋体" w:hAnsi="宋体"/>
                <w:color w:val="auto"/>
                <w:kern w:val="2"/>
                <w:sz w:val="24"/>
                <w:szCs w:val="24"/>
                <w:highlight w:val="none"/>
                <w:lang w:val="zh-CN"/>
              </w:rPr>
              <w:t>辆，如为自有（提供照片和发票原件扫描上传），如为租赁（提供出租方的发票原件和租赁（意向）合同原件扫描上传），每辆得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9</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BF226A4">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b/>
                <w:color w:val="auto"/>
                <w:kern w:val="2"/>
                <w:sz w:val="24"/>
                <w:szCs w:val="24"/>
                <w:highlight w:val="none"/>
                <w:lang w:val="zh-CN"/>
              </w:rPr>
            </w:pPr>
            <w:r>
              <w:rPr>
                <w:rFonts w:hint="eastAsia" w:ascii="宋体" w:hAnsi="宋体"/>
                <w:b/>
                <w:bCs/>
                <w:color w:val="auto"/>
                <w:kern w:val="2"/>
                <w:sz w:val="24"/>
                <w:szCs w:val="24"/>
                <w:highlight w:val="none"/>
                <w:lang w:val="zh-CN"/>
              </w:rPr>
              <w:t>注：以上有关车辆重型、中型、</w:t>
            </w:r>
            <w:r>
              <w:rPr>
                <w:rFonts w:hint="eastAsia" w:ascii="宋体" w:hAnsi="宋体"/>
                <w:b/>
                <w:bCs/>
                <w:color w:val="auto"/>
                <w:kern w:val="2"/>
                <w:sz w:val="24"/>
                <w:szCs w:val="24"/>
                <w:highlight w:val="none"/>
                <w:lang w:val="en-US" w:eastAsia="zh-CN"/>
              </w:rPr>
              <w:t>小</w:t>
            </w:r>
            <w:r>
              <w:rPr>
                <w:rFonts w:hint="eastAsia" w:ascii="宋体" w:hAnsi="宋体"/>
                <w:b/>
                <w:bCs/>
                <w:color w:val="auto"/>
                <w:kern w:val="2"/>
                <w:sz w:val="24"/>
                <w:szCs w:val="24"/>
                <w:highlight w:val="none"/>
                <w:lang w:val="zh-CN"/>
              </w:rPr>
              <w:t>型等划分，以车辆行驶证上标明的车辆类型为准。</w:t>
            </w:r>
          </w:p>
        </w:tc>
      </w:tr>
      <w:tr w14:paraId="7046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784" w:type="pct"/>
            <w:vAlign w:val="center"/>
          </w:tcPr>
          <w:p w14:paraId="2E9A3CD4">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人员团队</w:t>
            </w:r>
          </w:p>
          <w:p w14:paraId="3CE0949C">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rPr>
              <w:t>分）</w:t>
            </w:r>
          </w:p>
        </w:tc>
        <w:tc>
          <w:tcPr>
            <w:tcW w:w="4215" w:type="pct"/>
            <w:vAlign w:val="center"/>
          </w:tcPr>
          <w:p w14:paraId="16465F30">
            <w:pPr>
              <w:keepNext w:val="0"/>
              <w:keepLines w:val="0"/>
              <w:suppressLineNumbers w:val="0"/>
              <w:shd w:val="clear"/>
              <w:spacing w:before="0" w:beforeAutospacing="0" w:after="0" w:afterAutospacing="0" w:line="440" w:lineRule="exact"/>
              <w:ind w:left="0" w:right="0"/>
              <w:rPr>
                <w:rFonts w:hint="default"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项目负责人（限1人）</w:t>
            </w:r>
          </w:p>
          <w:p w14:paraId="28DAD948">
            <w:pPr>
              <w:keepNext w:val="0"/>
              <w:keepLines w:val="0"/>
              <w:suppressLineNumbers w:val="0"/>
              <w:shd w:val="clear"/>
              <w:spacing w:before="0" w:beforeAutospacing="0" w:after="0" w:afterAutospacing="0" w:line="440" w:lineRule="exact"/>
              <w:ind w:left="0" w:right="0"/>
              <w:rPr>
                <w:rFonts w:hint="default" w:ascii="宋体" w:hAnsi="宋体"/>
                <w:b/>
                <w:bCs/>
                <w:color w:val="auto"/>
                <w:kern w:val="2"/>
                <w:sz w:val="24"/>
                <w:szCs w:val="24"/>
                <w:highlight w:val="none"/>
                <w:lang w:val="en-US" w:eastAsia="zh-CN"/>
              </w:rPr>
            </w:pPr>
            <w:r>
              <w:rPr>
                <w:rFonts w:hint="eastAsia" w:ascii="宋体" w:hAnsi="宋体"/>
                <w:color w:val="auto"/>
                <w:kern w:val="2"/>
                <w:sz w:val="24"/>
                <w:szCs w:val="24"/>
                <w:highlight w:val="none"/>
                <w:lang w:val="en-US" w:eastAsia="zh-CN"/>
              </w:rPr>
              <w:t>1、拟任本项目的项目负责人具有本科及以上学历的得2分，具有大专学历的得1分；满分2分。</w:t>
            </w:r>
            <w:r>
              <w:rPr>
                <w:rFonts w:hint="eastAsia" w:ascii="宋体" w:hAnsi="宋体"/>
                <w:b/>
                <w:bCs/>
                <w:color w:val="auto"/>
                <w:kern w:val="2"/>
                <w:sz w:val="24"/>
                <w:szCs w:val="24"/>
                <w:highlight w:val="none"/>
                <w:lang w:val="en-US" w:eastAsia="zh-CN"/>
              </w:rPr>
              <w:t>（提供相关证书及投标人为其缴纳的近三个月内任意一个月的社保证明，原件扫描上传，提供不全或未提供则对应项不得分）</w:t>
            </w:r>
          </w:p>
          <w:p w14:paraId="32E0DAB4">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2、项目负责人承担过类似服务项目的，有一个得2分，满分4分。</w:t>
            </w:r>
            <w:r>
              <w:rPr>
                <w:rFonts w:hint="eastAsia" w:ascii="宋体" w:hAnsi="宋体"/>
                <w:b/>
                <w:bCs/>
                <w:color w:val="auto"/>
                <w:kern w:val="2"/>
                <w:sz w:val="24"/>
                <w:szCs w:val="24"/>
                <w:highlight w:val="none"/>
                <w:lang w:val="en-US" w:eastAsia="zh-CN"/>
              </w:rPr>
              <w:t>（提供合同原件扫描上传，合同内容必须包含合同首页、合同签订时间页、双方签字盖章页等关键信息，能体现项目服务内容及项目负责人姓名，提供不全或未提供不得分）</w:t>
            </w:r>
          </w:p>
        </w:tc>
      </w:tr>
      <w:tr w14:paraId="3E794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784" w:type="pct"/>
            <w:vAlign w:val="center"/>
          </w:tcPr>
          <w:p w14:paraId="415AC5F0">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体系认证</w:t>
            </w:r>
          </w:p>
          <w:p w14:paraId="16A7E4DD">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w:t>
            </w:r>
            <w:r>
              <w:rPr>
                <w:rFonts w:hint="eastAsia" w:ascii="宋体" w:hAnsi="宋体"/>
                <w:b/>
                <w:bCs/>
                <w:color w:val="auto"/>
                <w:kern w:val="2"/>
                <w:sz w:val="24"/>
                <w:szCs w:val="24"/>
                <w:highlight w:val="none"/>
              </w:rPr>
              <w:t>分）</w:t>
            </w:r>
          </w:p>
        </w:tc>
        <w:tc>
          <w:tcPr>
            <w:tcW w:w="4215" w:type="pct"/>
            <w:vAlign w:val="center"/>
          </w:tcPr>
          <w:p w14:paraId="5CE8C8E7">
            <w:pPr>
              <w:keepNext w:val="0"/>
              <w:keepLines w:val="0"/>
              <w:suppressLineNumbers w:val="0"/>
              <w:shd w:val="clear"/>
              <w:spacing w:before="0" w:beforeAutospacing="0" w:after="0" w:afterAutospacing="0" w:line="460" w:lineRule="exact"/>
              <w:ind w:left="0" w:right="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zh-CN"/>
              </w:rPr>
              <w:t>投标人具有有效期</w:t>
            </w:r>
            <w:r>
              <w:rPr>
                <w:rFonts w:hint="default" w:ascii="宋体" w:hAnsi="宋体"/>
                <w:color w:val="auto"/>
                <w:kern w:val="2"/>
                <w:sz w:val="24"/>
                <w:szCs w:val="24"/>
                <w:highlight w:val="none"/>
                <w:lang w:val="zh-CN"/>
              </w:rPr>
              <w:t>内的职业健康安全管理体系认证证书</w:t>
            </w:r>
            <w:r>
              <w:rPr>
                <w:rFonts w:hint="eastAsia" w:ascii="宋体" w:hAnsi="宋体"/>
                <w:color w:val="auto"/>
                <w:kern w:val="2"/>
                <w:sz w:val="24"/>
                <w:szCs w:val="24"/>
                <w:highlight w:val="none"/>
                <w:lang w:val="zh-CN"/>
              </w:rPr>
              <w:t>得1分，满分</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分</w:t>
            </w:r>
            <w:r>
              <w:rPr>
                <w:rFonts w:hint="eastAsia" w:ascii="宋体" w:hAnsi="宋体" w:cs="宋体"/>
                <w:color w:val="auto"/>
                <w:kern w:val="2"/>
                <w:sz w:val="24"/>
                <w:szCs w:val="24"/>
                <w:highlight w:val="none"/>
              </w:rPr>
              <w:t>。</w:t>
            </w:r>
          </w:p>
          <w:p w14:paraId="747A3618">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（以上证书均需提供证书原件扫描、以及全国认证认可信息公共服务平台的查询截图上传，提供不全或未提供不得分）</w:t>
            </w:r>
          </w:p>
          <w:p w14:paraId="49638B36">
            <w:pPr>
              <w:keepNext w:val="0"/>
              <w:keepLines w:val="0"/>
              <w:suppressLineNumbers w:val="0"/>
              <w:shd w:val="clear"/>
              <w:spacing w:before="0" w:beforeAutospacing="0" w:after="0" w:afterAutospacing="0" w:line="460" w:lineRule="exact"/>
              <w:ind w:left="0" w:right="0"/>
              <w:rPr>
                <w:rFonts w:hint="default" w:ascii="宋体" w:hAnsi="宋体" w:cs="宋体"/>
                <w:b/>
                <w:color w:val="auto"/>
                <w:kern w:val="2"/>
                <w:sz w:val="24"/>
                <w:szCs w:val="24"/>
                <w:highlight w:val="none"/>
              </w:rPr>
            </w:pPr>
            <w:r>
              <w:rPr>
                <w:rFonts w:hint="eastAsia" w:ascii="宋体" w:hAnsi="宋体"/>
                <w:b/>
                <w:color w:val="auto"/>
                <w:kern w:val="2"/>
                <w:sz w:val="24"/>
                <w:szCs w:val="24"/>
                <w:highlight w:val="none"/>
                <w:lang w:val="zh-CN"/>
              </w:rPr>
              <w:t>全国认证认可信息公共服务平台网址：</w:t>
            </w:r>
          </w:p>
          <w:p w14:paraId="062B2B7D">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color w:val="auto"/>
                <w:kern w:val="2"/>
                <w:sz w:val="24"/>
                <w:szCs w:val="24"/>
                <w:highlight w:val="none"/>
              </w:rPr>
            </w:pPr>
            <w:r>
              <w:rPr>
                <w:rFonts w:hint="eastAsia" w:ascii="宋体" w:hAnsi="宋体"/>
                <w:b/>
                <w:color w:val="auto"/>
                <w:kern w:val="2"/>
                <w:sz w:val="24"/>
                <w:szCs w:val="24"/>
                <w:highlight w:val="none"/>
              </w:rPr>
              <w:t>http://cx.cnca.cn/CertECloud/result/skipResultList?certItemOne=A&amp;currentPosition=undefined，</w:t>
            </w:r>
            <w:r>
              <w:rPr>
                <w:rFonts w:hint="eastAsia" w:ascii="宋体" w:hAnsi="宋体"/>
                <w:b/>
                <w:color w:val="auto"/>
                <w:kern w:val="2"/>
                <w:sz w:val="24"/>
                <w:szCs w:val="24"/>
                <w:highlight w:val="none"/>
                <w:lang w:val="zh-CN"/>
              </w:rPr>
              <w:t>要求证书查询结果为有效</w:t>
            </w:r>
            <w:r>
              <w:rPr>
                <w:rFonts w:hint="eastAsia" w:ascii="宋体" w:hAnsi="宋体"/>
                <w:b/>
                <w:color w:val="auto"/>
                <w:kern w:val="2"/>
                <w:sz w:val="24"/>
                <w:szCs w:val="24"/>
                <w:highlight w:val="none"/>
              </w:rPr>
              <w:t>）</w:t>
            </w:r>
          </w:p>
        </w:tc>
      </w:tr>
      <w:tr w14:paraId="2093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84" w:type="pct"/>
            <w:vAlign w:val="center"/>
          </w:tcPr>
          <w:p w14:paraId="61BCE779">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业绩</w:t>
            </w:r>
          </w:p>
          <w:p w14:paraId="1A124BFA">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16</w:t>
            </w:r>
            <w:r>
              <w:rPr>
                <w:rFonts w:hint="eastAsia" w:ascii="宋体" w:hAnsi="宋体"/>
                <w:b/>
                <w:bCs/>
                <w:color w:val="auto"/>
                <w:kern w:val="2"/>
                <w:sz w:val="24"/>
                <w:szCs w:val="24"/>
                <w:highlight w:val="none"/>
              </w:rPr>
              <w:t>分)</w:t>
            </w:r>
          </w:p>
        </w:tc>
        <w:tc>
          <w:tcPr>
            <w:tcW w:w="4215" w:type="pct"/>
            <w:vAlign w:val="center"/>
          </w:tcPr>
          <w:p w14:paraId="3D456D54">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b/>
                <w:color w:val="auto"/>
                <w:kern w:val="2"/>
                <w:sz w:val="24"/>
                <w:szCs w:val="24"/>
                <w:highlight w:val="none"/>
                <w:lang w:val="zh-CN"/>
              </w:rPr>
            </w:pPr>
            <w:r>
              <w:rPr>
                <w:rFonts w:hint="eastAsia" w:ascii="宋体" w:hAnsi="宋体"/>
                <w:color w:val="auto"/>
                <w:kern w:val="2"/>
                <w:sz w:val="24"/>
                <w:szCs w:val="24"/>
                <w:highlight w:val="none"/>
                <w:lang w:val="zh-CN"/>
              </w:rPr>
              <w:t>投标人自202</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年1月1日至今</w:t>
            </w:r>
            <w:r>
              <w:rPr>
                <w:rFonts w:hint="eastAsia" w:ascii="宋体" w:hAnsi="宋体"/>
                <w:b/>
                <w:color w:val="auto"/>
                <w:kern w:val="2"/>
                <w:sz w:val="24"/>
                <w:szCs w:val="24"/>
                <w:highlight w:val="none"/>
                <w:lang w:val="zh-CN"/>
              </w:rPr>
              <w:t>（以合同签订时间为准）</w:t>
            </w:r>
            <w:r>
              <w:rPr>
                <w:rFonts w:hint="eastAsia" w:ascii="宋体" w:hAnsi="宋体"/>
                <w:color w:val="auto"/>
                <w:kern w:val="2"/>
                <w:sz w:val="24"/>
                <w:szCs w:val="24"/>
                <w:highlight w:val="none"/>
                <w:lang w:val="zh-CN"/>
              </w:rPr>
              <w:t>，承担过</w:t>
            </w:r>
            <w:r>
              <w:rPr>
                <w:rFonts w:hint="eastAsia" w:ascii="宋体" w:hAnsi="宋体"/>
                <w:color w:val="auto"/>
                <w:kern w:val="2"/>
                <w:sz w:val="24"/>
                <w:szCs w:val="24"/>
                <w:highlight w:val="none"/>
              </w:rPr>
              <w:t>类似业务</w:t>
            </w:r>
            <w:r>
              <w:rPr>
                <w:rFonts w:hint="eastAsia" w:ascii="宋体" w:hAnsi="宋体"/>
                <w:color w:val="auto"/>
                <w:kern w:val="2"/>
                <w:sz w:val="24"/>
                <w:szCs w:val="24"/>
                <w:highlight w:val="none"/>
                <w:lang w:val="zh-CN"/>
              </w:rPr>
              <w:t>的</w:t>
            </w:r>
            <w:r>
              <w:rPr>
                <w:rFonts w:hint="eastAsia" w:ascii="宋体" w:hAnsi="宋体"/>
                <w:b/>
                <w:color w:val="auto"/>
                <w:kern w:val="2"/>
                <w:sz w:val="24"/>
                <w:szCs w:val="24"/>
                <w:highlight w:val="none"/>
                <w:lang w:val="zh-CN"/>
              </w:rPr>
              <w:t>（同一合同中包含下列</w:t>
            </w:r>
            <w:r>
              <w:rPr>
                <w:rFonts w:hint="eastAsia" w:ascii="宋体" w:hAnsi="宋体"/>
                <w:b/>
                <w:color w:val="auto"/>
                <w:kern w:val="2"/>
                <w:sz w:val="24"/>
                <w:szCs w:val="24"/>
                <w:highlight w:val="none"/>
                <w:lang w:val="en-US" w:eastAsia="zh-CN"/>
              </w:rPr>
              <w:t>两</w:t>
            </w:r>
            <w:r>
              <w:rPr>
                <w:rFonts w:hint="eastAsia" w:ascii="宋体" w:hAnsi="宋体"/>
                <w:b/>
                <w:color w:val="auto"/>
                <w:kern w:val="2"/>
                <w:sz w:val="24"/>
                <w:szCs w:val="24"/>
                <w:highlight w:val="none"/>
                <w:lang w:val="zh-CN"/>
              </w:rPr>
              <w:t>项中多个业务类型的，可按所属单项重复认定计分）：①道路清扫保洁，</w:t>
            </w:r>
            <w:r>
              <w:rPr>
                <w:rFonts w:hint="eastAsia" w:ascii="宋体" w:hAnsi="宋体"/>
                <w:color w:val="auto"/>
                <w:kern w:val="2"/>
                <w:sz w:val="24"/>
                <w:szCs w:val="24"/>
                <w:highlight w:val="none"/>
                <w:lang w:val="zh-CN"/>
              </w:rPr>
              <w:t>每有1个业绩得2分，满分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②</w:t>
            </w:r>
            <w:r>
              <w:rPr>
                <w:rFonts w:hint="eastAsia" w:ascii="宋体" w:hAnsi="宋体"/>
                <w:b/>
                <w:color w:val="auto"/>
                <w:kern w:val="2"/>
                <w:sz w:val="24"/>
                <w:szCs w:val="24"/>
                <w:highlight w:val="none"/>
                <w:lang w:val="en-US" w:eastAsia="zh-CN"/>
              </w:rPr>
              <w:t>随路</w:t>
            </w:r>
            <w:r>
              <w:rPr>
                <w:rFonts w:hint="eastAsia" w:ascii="宋体" w:hAnsi="宋体"/>
                <w:b/>
                <w:color w:val="auto"/>
                <w:kern w:val="2"/>
                <w:sz w:val="24"/>
                <w:szCs w:val="24"/>
                <w:highlight w:val="none"/>
                <w:lang w:val="zh-CN"/>
              </w:rPr>
              <w:t>绿化养护，</w:t>
            </w:r>
            <w:r>
              <w:rPr>
                <w:rFonts w:hint="eastAsia" w:ascii="宋体" w:hAnsi="宋体"/>
                <w:color w:val="auto"/>
                <w:kern w:val="2"/>
                <w:sz w:val="24"/>
                <w:szCs w:val="24"/>
                <w:highlight w:val="none"/>
                <w:lang w:val="zh-CN"/>
              </w:rPr>
              <w:t>每有1个业绩得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val="0"/>
                <w:bCs/>
                <w:color w:val="auto"/>
                <w:kern w:val="2"/>
                <w:sz w:val="24"/>
                <w:szCs w:val="24"/>
                <w:highlight w:val="none"/>
                <w:lang w:val="zh-CN"/>
              </w:rPr>
              <w:t>。</w:t>
            </w:r>
            <w:r>
              <w:rPr>
                <w:rFonts w:hint="eastAsia" w:ascii="宋体" w:hAnsi="宋体"/>
                <w:b/>
                <w:color w:val="auto"/>
                <w:kern w:val="2"/>
                <w:sz w:val="24"/>
                <w:szCs w:val="24"/>
                <w:highlight w:val="none"/>
                <w:lang w:val="zh-CN"/>
              </w:rPr>
              <w:t>（</w:t>
            </w:r>
            <w:r>
              <w:rPr>
                <w:rFonts w:hint="eastAsia" w:ascii="宋体" w:hAnsi="宋体"/>
                <w:b/>
                <w:color w:val="auto"/>
                <w:kern w:val="2"/>
                <w:sz w:val="24"/>
                <w:szCs w:val="24"/>
                <w:highlight w:val="none"/>
                <w:lang w:val="en-US" w:eastAsia="zh-CN"/>
              </w:rPr>
              <w:t>提供</w:t>
            </w:r>
            <w:r>
              <w:rPr>
                <w:rFonts w:hint="eastAsia" w:ascii="宋体" w:hAnsi="宋体"/>
                <w:b/>
                <w:color w:val="auto"/>
                <w:kern w:val="2"/>
                <w:sz w:val="24"/>
                <w:szCs w:val="24"/>
                <w:highlight w:val="none"/>
                <w:lang w:val="zh-CN"/>
              </w:rPr>
              <w:t>合同原件扫描上传，合同内容必须包含合同首页、合同签订时间页、双方签字盖章页等关键信息，能体现项目服务内容，</w:t>
            </w:r>
            <w:r>
              <w:rPr>
                <w:rFonts w:hint="eastAsia" w:ascii="宋体" w:hAnsi="宋体"/>
                <w:b/>
                <w:color w:val="auto"/>
                <w:kern w:val="2"/>
                <w:sz w:val="24"/>
                <w:szCs w:val="24"/>
                <w:highlight w:val="none"/>
                <w:lang w:val="en-US" w:eastAsia="zh-CN"/>
              </w:rPr>
              <w:t>且同时</w:t>
            </w:r>
            <w:r>
              <w:rPr>
                <w:rFonts w:hint="eastAsia" w:ascii="宋体" w:hAnsi="宋体"/>
                <w:b/>
                <w:color w:val="auto"/>
                <w:kern w:val="2"/>
                <w:sz w:val="24"/>
                <w:szCs w:val="24"/>
                <w:highlight w:val="none"/>
                <w:lang w:val="zh-CN"/>
              </w:rPr>
              <w:t>提供项目开具的发票或银行回单等证明材料，若刚签订的合同未到付款时间,则需提供服务单位盖章的情况说明，提供不全或未提供不得分。同一项目不同年度不累计得分）</w:t>
            </w:r>
          </w:p>
        </w:tc>
      </w:tr>
    </w:tbl>
    <w:p w14:paraId="6617845B">
      <w:pPr>
        <w:pStyle w:val="280"/>
        <w:shd w:val="clear"/>
        <w:spacing w:line="0" w:lineRule="atLeast"/>
        <w:ind w:firstLine="482"/>
        <w:rPr>
          <w:rFonts w:hint="eastAsia" w:ascii="宋体" w:hAnsi="宋体"/>
          <w:b/>
          <w:color w:val="auto"/>
          <w:highlight w:val="none"/>
        </w:rPr>
      </w:pPr>
    </w:p>
    <w:p w14:paraId="4B562D18">
      <w:pPr>
        <w:pStyle w:val="280"/>
        <w:shd w:val="clear"/>
        <w:spacing w:line="0" w:lineRule="atLeast"/>
        <w:ind w:firstLine="482"/>
        <w:rPr>
          <w:rFonts w:hint="eastAsia" w:ascii="宋体" w:hAnsi="宋体"/>
          <w:b/>
          <w:color w:val="auto"/>
          <w:highlight w:val="none"/>
        </w:rPr>
      </w:pPr>
    </w:p>
    <w:p w14:paraId="2A7439A5">
      <w:pPr>
        <w:pStyle w:val="280"/>
        <w:shd w:val="clear"/>
        <w:spacing w:line="0" w:lineRule="atLeast"/>
        <w:ind w:firstLine="482"/>
        <w:rPr>
          <w:rFonts w:hint="eastAsia" w:ascii="宋体" w:hAnsi="宋体"/>
          <w:b/>
          <w:color w:val="auto"/>
          <w:highlight w:val="none"/>
        </w:rPr>
      </w:pPr>
    </w:p>
    <w:p w14:paraId="54BB6F15">
      <w:pPr>
        <w:pStyle w:val="280"/>
        <w:shd w:val="clear"/>
        <w:spacing w:line="0" w:lineRule="atLeast"/>
        <w:ind w:firstLine="482"/>
        <w:rPr>
          <w:rFonts w:hint="eastAsia" w:ascii="宋体" w:hAnsi="宋体"/>
          <w:b/>
          <w:color w:val="auto"/>
          <w:highlight w:val="none"/>
        </w:rPr>
      </w:pPr>
    </w:p>
    <w:p w14:paraId="61718132">
      <w:pPr>
        <w:pStyle w:val="280"/>
        <w:shd w:val="clear"/>
        <w:spacing w:line="0" w:lineRule="atLeast"/>
        <w:ind w:firstLine="482"/>
        <w:rPr>
          <w:rFonts w:hint="eastAsia" w:ascii="宋体" w:hAnsi="宋体"/>
          <w:b/>
          <w:color w:val="auto"/>
          <w:highlight w:val="none"/>
        </w:rPr>
      </w:pPr>
    </w:p>
    <w:p w14:paraId="6D363F63">
      <w:pPr>
        <w:pStyle w:val="280"/>
        <w:shd w:val="clear"/>
        <w:spacing w:line="0" w:lineRule="atLeast"/>
        <w:ind w:firstLine="482"/>
        <w:rPr>
          <w:rFonts w:hint="eastAsia" w:ascii="宋体" w:hAnsi="宋体"/>
          <w:b/>
          <w:color w:val="auto"/>
          <w:highlight w:val="none"/>
        </w:rPr>
      </w:pPr>
    </w:p>
    <w:p w14:paraId="56102E66">
      <w:pPr>
        <w:pStyle w:val="280"/>
        <w:shd w:val="clear"/>
        <w:spacing w:line="0" w:lineRule="atLeast"/>
        <w:ind w:firstLine="482"/>
        <w:rPr>
          <w:rFonts w:hint="eastAsia" w:ascii="宋体" w:hAnsi="宋体"/>
          <w:b/>
          <w:color w:val="auto"/>
          <w:highlight w:val="none"/>
        </w:rPr>
      </w:pPr>
    </w:p>
    <w:p w14:paraId="7100E938">
      <w:pPr>
        <w:pStyle w:val="280"/>
        <w:shd w:val="clear"/>
        <w:spacing w:line="0" w:lineRule="atLeast"/>
        <w:ind w:firstLine="482"/>
        <w:rPr>
          <w:rFonts w:hint="eastAsia" w:ascii="宋体" w:hAnsi="宋体"/>
          <w:b/>
          <w:color w:val="auto"/>
          <w:highlight w:val="none"/>
        </w:rPr>
      </w:pPr>
    </w:p>
    <w:p w14:paraId="69AAA4EA">
      <w:pPr>
        <w:pStyle w:val="280"/>
        <w:shd w:val="clear"/>
        <w:spacing w:line="0" w:lineRule="atLeast"/>
        <w:ind w:firstLine="482"/>
        <w:rPr>
          <w:rFonts w:hint="eastAsia" w:ascii="宋体" w:hAnsi="宋体"/>
          <w:b/>
          <w:color w:val="auto"/>
          <w:highlight w:val="none"/>
        </w:rPr>
      </w:pPr>
    </w:p>
    <w:p w14:paraId="7A50B8C4">
      <w:pPr>
        <w:pStyle w:val="280"/>
        <w:shd w:val="clear"/>
        <w:spacing w:line="0" w:lineRule="atLeast"/>
        <w:ind w:firstLine="482"/>
        <w:rPr>
          <w:rFonts w:hint="eastAsia" w:ascii="宋体" w:hAnsi="宋体"/>
          <w:b/>
          <w:color w:val="auto"/>
          <w:highlight w:val="none"/>
        </w:rPr>
      </w:pPr>
    </w:p>
    <w:p w14:paraId="263E8813">
      <w:pPr>
        <w:pStyle w:val="280"/>
        <w:shd w:val="clear"/>
        <w:spacing w:line="0" w:lineRule="atLeast"/>
        <w:ind w:firstLine="482"/>
        <w:rPr>
          <w:rFonts w:hint="eastAsia" w:ascii="宋体" w:hAnsi="宋体"/>
          <w:b/>
          <w:color w:val="auto"/>
          <w:highlight w:val="none"/>
        </w:rPr>
      </w:pPr>
    </w:p>
    <w:p w14:paraId="7B0F3A93">
      <w:pPr>
        <w:pStyle w:val="280"/>
        <w:shd w:val="clear"/>
        <w:spacing w:line="0" w:lineRule="atLeast"/>
        <w:ind w:firstLine="482"/>
        <w:rPr>
          <w:rFonts w:ascii="宋体" w:hAnsi="宋体"/>
          <w:b/>
          <w:color w:val="auto"/>
          <w:highlight w:val="none"/>
        </w:rPr>
      </w:pPr>
      <w:r>
        <w:rPr>
          <w:rFonts w:hint="eastAsia" w:ascii="宋体" w:hAnsi="宋体"/>
          <w:b/>
          <w:color w:val="auto"/>
          <w:highlight w:val="none"/>
        </w:rPr>
        <w:t>包</w:t>
      </w:r>
      <w:r>
        <w:rPr>
          <w:rFonts w:hint="eastAsia" w:ascii="宋体" w:hAnsi="宋体"/>
          <w:b/>
          <w:color w:val="auto"/>
          <w:highlight w:val="none"/>
          <w:lang w:val="en-US" w:eastAsia="zh-CN"/>
        </w:rPr>
        <w:t>3</w:t>
      </w:r>
      <w:r>
        <w:rPr>
          <w:rFonts w:hint="eastAsia" w:ascii="宋体" w:hAnsi="宋体"/>
          <w:b/>
          <w:color w:val="auto"/>
          <w:highlight w:val="none"/>
        </w:rPr>
        <w:t>：东南部片区（含翟庄路）</w:t>
      </w:r>
    </w:p>
    <w:tbl>
      <w:tblPr>
        <w:tblStyle w:val="28"/>
        <w:tblW w:w="4882" w:type="pct"/>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7510"/>
      </w:tblGrid>
      <w:tr w14:paraId="792F2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pct"/>
            <w:vAlign w:val="center"/>
          </w:tcPr>
          <w:p w14:paraId="5DD851D7">
            <w:pPr>
              <w:keepNext w:val="0"/>
              <w:keepLines w:val="0"/>
              <w:widowControl/>
              <w:suppressLineNumbers w:val="0"/>
              <w:shd w:val="clear"/>
              <w:spacing w:before="0" w:beforeAutospacing="0" w:after="0" w:afterAutospacing="0" w:line="460" w:lineRule="exact"/>
              <w:ind w:left="0" w:right="0" w:firstLine="480"/>
              <w:contextualSpacing/>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项目</w:t>
            </w:r>
          </w:p>
        </w:tc>
        <w:tc>
          <w:tcPr>
            <w:tcW w:w="4194" w:type="pct"/>
            <w:vAlign w:val="center"/>
          </w:tcPr>
          <w:p w14:paraId="0F43FCB2">
            <w:pPr>
              <w:keepNext w:val="0"/>
              <w:keepLines w:val="0"/>
              <w:suppressLineNumbers w:val="0"/>
              <w:shd w:val="clear"/>
              <w:spacing w:before="0" w:beforeAutospacing="0" w:after="0" w:afterAutospacing="0" w:line="460" w:lineRule="exact"/>
              <w:ind w:left="0" w:right="0" w:firstLine="480"/>
              <w:contextualSpacing/>
              <w:jc w:val="center"/>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评分标准</w:t>
            </w:r>
          </w:p>
        </w:tc>
      </w:tr>
      <w:tr w14:paraId="7CE9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pct"/>
            <w:vAlign w:val="center"/>
          </w:tcPr>
          <w:p w14:paraId="660DE01C">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价格</w:t>
            </w:r>
          </w:p>
          <w:p w14:paraId="0B7C9282">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20</w:t>
            </w:r>
            <w:r>
              <w:rPr>
                <w:rFonts w:hint="eastAsia" w:ascii="宋体" w:hAnsi="宋体"/>
                <w:b/>
                <w:bCs/>
                <w:color w:val="auto"/>
                <w:kern w:val="2"/>
                <w:sz w:val="24"/>
                <w:szCs w:val="24"/>
                <w:highlight w:val="none"/>
              </w:rPr>
              <w:t>分）</w:t>
            </w:r>
          </w:p>
        </w:tc>
        <w:tc>
          <w:tcPr>
            <w:tcW w:w="7510" w:type="dxa"/>
            <w:vAlign w:val="center"/>
          </w:tcPr>
          <w:p w14:paraId="69D6DCA2">
            <w:pPr>
              <w:keepNext w:val="0"/>
              <w:keepLines w:val="0"/>
              <w:suppressLineNumbers w:val="0"/>
              <w:shd w:val="clear"/>
              <w:spacing w:before="0" w:beforeAutospacing="0" w:after="0" w:afterAutospacing="0" w:line="460" w:lineRule="exact"/>
              <w:ind w:left="80" w:leftChars="0" w:right="0" w:rightChars="0"/>
              <w:rPr>
                <w:rFonts w:hint="default" w:ascii="宋体" w:hAnsi="宋体"/>
                <w:color w:val="auto"/>
                <w:kern w:val="2"/>
                <w:sz w:val="24"/>
                <w:szCs w:val="24"/>
                <w:highlight w:val="none"/>
              </w:rPr>
            </w:pPr>
            <w:r>
              <w:rPr>
                <w:rFonts w:hint="eastAsia" w:ascii="宋体" w:hAnsi="宋体" w:cs="楷体_GB2312"/>
                <w:color w:val="auto"/>
                <w:kern w:val="2"/>
                <w:sz w:val="24"/>
                <w:szCs w:val="24"/>
                <w:highlight w:val="none"/>
              </w:rPr>
              <w:t>以满足招标文件要求的最低投标报价为评标基准价，得满分</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分，其他投标报价得分=（评标基准价/其他投标报价）×</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×100%</w:t>
            </w:r>
          </w:p>
        </w:tc>
      </w:tr>
      <w:tr w14:paraId="239B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05" w:type="pct"/>
            <w:vMerge w:val="restart"/>
            <w:vAlign w:val="center"/>
          </w:tcPr>
          <w:p w14:paraId="78902B20">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lang w:val="en-US" w:eastAsia="zh-CN"/>
              </w:rPr>
              <w:t>服务</w:t>
            </w:r>
            <w:r>
              <w:rPr>
                <w:rFonts w:hint="eastAsia" w:ascii="宋体" w:hAnsi="宋体"/>
                <w:b/>
                <w:bCs/>
                <w:color w:val="auto"/>
                <w:kern w:val="2"/>
                <w:sz w:val="24"/>
                <w:szCs w:val="24"/>
                <w:highlight w:val="none"/>
              </w:rPr>
              <w:t>方案</w:t>
            </w:r>
          </w:p>
          <w:p w14:paraId="49CED461">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32</w:t>
            </w:r>
            <w:r>
              <w:rPr>
                <w:rFonts w:hint="eastAsia" w:ascii="宋体" w:hAnsi="宋体"/>
                <w:b/>
                <w:bCs/>
                <w:color w:val="auto"/>
                <w:kern w:val="2"/>
                <w:sz w:val="24"/>
                <w:szCs w:val="24"/>
                <w:highlight w:val="none"/>
              </w:rPr>
              <w:t>分）</w:t>
            </w:r>
          </w:p>
        </w:tc>
        <w:tc>
          <w:tcPr>
            <w:tcW w:w="7511" w:type="dxa"/>
            <w:vAlign w:val="center"/>
          </w:tcPr>
          <w:p w14:paraId="20017A57">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zh-CN"/>
              </w:rPr>
              <w:t>1、主次干道清扫保洁方案（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7851DAD2">
            <w:pPr>
              <w:keepNext w:val="0"/>
              <w:keepLines w:val="0"/>
              <w:suppressLineNumbers w:val="0"/>
              <w:shd w:val="clear"/>
              <w:spacing w:before="0" w:beforeAutospacing="0" w:after="0" w:afterAutospacing="0" w:line="460" w:lineRule="exact"/>
              <w:ind w:left="0" w:leftChars="0" w:right="0" w:rightChars="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投标人根据项目需求提供主次干道清扫保洁方案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w:t>
            </w:r>
            <w:r>
              <w:rPr>
                <w:rFonts w:hint="eastAsia" w:ascii="宋体" w:hAnsi="宋体" w:cs="Calibri"/>
                <w:color w:val="auto"/>
                <w:kern w:val="2"/>
                <w:sz w:val="24"/>
                <w:szCs w:val="24"/>
                <w:highlight w:val="none"/>
                <w:lang w:eastAsia="zh-CN"/>
              </w:rPr>
              <w:t>；</w:t>
            </w:r>
            <w:r>
              <w:rPr>
                <w:rFonts w:hint="eastAsia" w:ascii="宋体" w:hAnsi="宋体" w:cs="Calibri"/>
                <w:color w:val="auto"/>
                <w:kern w:val="2"/>
                <w:sz w:val="24"/>
                <w:szCs w:val="24"/>
                <w:highlight w:val="none"/>
              </w:rPr>
              <w:t>不符合招标文件要求或未提供的不得分。</w:t>
            </w:r>
          </w:p>
        </w:tc>
      </w:tr>
      <w:tr w14:paraId="018F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805" w:type="pct"/>
            <w:vMerge w:val="continue"/>
            <w:vAlign w:val="center"/>
          </w:tcPr>
          <w:p w14:paraId="662C6677">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11" w:type="dxa"/>
            <w:vAlign w:val="center"/>
          </w:tcPr>
          <w:p w14:paraId="6E5C5CF1">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2</w:t>
            </w:r>
            <w:r>
              <w:rPr>
                <w:rFonts w:hint="eastAsia" w:ascii="宋体" w:hAnsi="宋体"/>
                <w:b/>
                <w:bCs/>
                <w:color w:val="auto"/>
                <w:kern w:val="2"/>
                <w:sz w:val="24"/>
                <w:szCs w:val="24"/>
                <w:highlight w:val="none"/>
                <w:lang w:val="zh-CN"/>
              </w:rPr>
              <w:t>、交通护栏等公共设施保洁方案（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7DD7A92F">
            <w:pPr>
              <w:keepNext w:val="0"/>
              <w:keepLines w:val="0"/>
              <w:suppressLineNumbers w:val="0"/>
              <w:shd w:val="clear"/>
              <w:spacing w:before="0" w:beforeAutospacing="0" w:after="0" w:afterAutospacing="0" w:line="460" w:lineRule="exact"/>
              <w:ind w:left="0" w:leftChars="0" w:right="0" w:rightChars="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投标人根据项目需求提供交通护栏等公共设施保洁方案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26791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pct"/>
            <w:vMerge w:val="continue"/>
            <w:vAlign w:val="center"/>
          </w:tcPr>
          <w:p w14:paraId="0F85C76C">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11" w:type="dxa"/>
            <w:vAlign w:val="center"/>
          </w:tcPr>
          <w:p w14:paraId="15A360BE">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3</w:t>
            </w:r>
            <w:r>
              <w:rPr>
                <w:rFonts w:hint="eastAsia" w:ascii="宋体" w:hAnsi="宋体"/>
                <w:b/>
                <w:bCs/>
                <w:color w:val="auto"/>
                <w:kern w:val="2"/>
                <w:sz w:val="24"/>
                <w:szCs w:val="24"/>
                <w:highlight w:val="none"/>
                <w:lang w:val="zh-CN"/>
              </w:rPr>
              <w:t>、随路绿化养护方案（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7A720399">
            <w:pPr>
              <w:keepNext w:val="0"/>
              <w:keepLines w:val="0"/>
              <w:widowControl/>
              <w:suppressLineNumbers w:val="0"/>
              <w:shd w:val="clear"/>
              <w:spacing w:before="0" w:beforeAutospacing="0" w:after="0" w:afterAutospacing="0" w:line="460" w:lineRule="exact"/>
              <w:ind w:left="0" w:leftChars="0" w:right="0" w:rightChars="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投标人根据项目需求提供随路绿化养护方案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分；不符合招标文件要求或未提供的不得分。</w:t>
            </w:r>
          </w:p>
        </w:tc>
      </w:tr>
      <w:tr w14:paraId="186C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05" w:type="pct"/>
            <w:vMerge w:val="continue"/>
            <w:vAlign w:val="center"/>
          </w:tcPr>
          <w:p w14:paraId="07A68503">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11" w:type="dxa"/>
            <w:vAlign w:val="center"/>
          </w:tcPr>
          <w:p w14:paraId="341C42F2">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4</w:t>
            </w:r>
            <w:r>
              <w:rPr>
                <w:rFonts w:hint="eastAsia" w:ascii="宋体" w:hAnsi="宋体"/>
                <w:b/>
                <w:bCs/>
                <w:color w:val="auto"/>
                <w:kern w:val="2"/>
                <w:sz w:val="24"/>
                <w:szCs w:val="24"/>
                <w:highlight w:val="none"/>
                <w:lang w:val="zh-CN"/>
              </w:rPr>
              <w:t>、从业人员配备及安全文明方案（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496D538E">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投标人根据项目需求提供从业人员配备及安全文明方案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5BB85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05" w:type="pct"/>
            <w:vMerge w:val="continue"/>
            <w:vAlign w:val="center"/>
          </w:tcPr>
          <w:p w14:paraId="27958333">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11" w:type="dxa"/>
            <w:vAlign w:val="center"/>
          </w:tcPr>
          <w:p w14:paraId="248DCC77">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5</w:t>
            </w:r>
            <w:r>
              <w:rPr>
                <w:rFonts w:hint="eastAsia" w:ascii="宋体" w:hAnsi="宋体"/>
                <w:b/>
                <w:bCs/>
                <w:color w:val="auto"/>
                <w:kern w:val="2"/>
                <w:sz w:val="24"/>
                <w:szCs w:val="24"/>
                <w:highlight w:val="none"/>
                <w:lang w:val="zh-CN"/>
              </w:rPr>
              <w:t>、恶劣天气应急预案（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73B19608">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投标人根据项目需求提供恶劣天气应急预案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3FB3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05" w:type="pct"/>
            <w:vMerge w:val="continue"/>
            <w:vAlign w:val="center"/>
          </w:tcPr>
          <w:p w14:paraId="0A3BCDB5">
            <w:pPr>
              <w:keepNext w:val="0"/>
              <w:keepLines w:val="0"/>
              <w:suppressLineNumbers w:val="0"/>
              <w:shd w:val="clear"/>
              <w:spacing w:before="0" w:beforeAutospacing="0" w:after="0" w:afterAutospacing="0" w:line="460" w:lineRule="exact"/>
              <w:ind w:left="720" w:right="0"/>
              <w:contextualSpacing/>
              <w:jc w:val="center"/>
              <w:rPr>
                <w:rFonts w:hint="default" w:ascii="宋体" w:hAnsi="宋体"/>
                <w:b/>
                <w:bCs/>
                <w:color w:val="auto"/>
                <w:kern w:val="2"/>
                <w:sz w:val="24"/>
                <w:szCs w:val="24"/>
                <w:highlight w:val="none"/>
              </w:rPr>
            </w:pPr>
          </w:p>
        </w:tc>
        <w:tc>
          <w:tcPr>
            <w:tcW w:w="7511" w:type="dxa"/>
            <w:vAlign w:val="center"/>
          </w:tcPr>
          <w:p w14:paraId="1BDBD9CF">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lang w:val="zh-CN"/>
              </w:rPr>
              <w:t>、工作交接</w:t>
            </w:r>
            <w:r>
              <w:rPr>
                <w:rFonts w:hint="eastAsia" w:ascii="宋体" w:hAnsi="宋体"/>
                <w:b/>
                <w:bCs/>
                <w:color w:val="auto"/>
                <w:kern w:val="2"/>
                <w:sz w:val="24"/>
                <w:szCs w:val="24"/>
                <w:highlight w:val="none"/>
                <w:lang w:val="en-US" w:eastAsia="zh-CN"/>
              </w:rPr>
              <w:t>方案</w:t>
            </w: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5FD4A97D">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投标人根据项目需求提供工作交接方案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658F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805" w:type="pct"/>
            <w:vAlign w:val="center"/>
          </w:tcPr>
          <w:p w14:paraId="27969AA2">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项目配备</w:t>
            </w:r>
          </w:p>
          <w:p w14:paraId="0E9BB46A">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设备</w:t>
            </w:r>
          </w:p>
          <w:p w14:paraId="5AC2F511">
            <w:pPr>
              <w:keepNext w:val="0"/>
              <w:keepLines w:val="0"/>
              <w:suppressLineNumbers w:val="0"/>
              <w:shd w:val="clear"/>
              <w:spacing w:before="0" w:beforeAutospacing="0" w:after="0" w:afterAutospacing="0" w:line="460" w:lineRule="exact"/>
              <w:ind w:left="0" w:right="0"/>
              <w:jc w:val="center"/>
              <w:rPr>
                <w:rFonts w:hint="default" w:ascii="宋体" w:hAnsi="宋体"/>
                <w:b/>
                <w:bCs/>
                <w:color w:val="auto"/>
                <w:kern w:val="2"/>
                <w:sz w:val="24"/>
                <w:szCs w:val="24"/>
                <w:highlight w:val="none"/>
                <w:lang w:val="zh-CN"/>
              </w:rPr>
            </w:pP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25</w:t>
            </w:r>
            <w:r>
              <w:rPr>
                <w:rFonts w:hint="eastAsia" w:ascii="宋体" w:hAnsi="宋体"/>
                <w:b/>
                <w:bCs/>
                <w:color w:val="auto"/>
                <w:kern w:val="2"/>
                <w:sz w:val="24"/>
                <w:szCs w:val="24"/>
                <w:highlight w:val="none"/>
                <w:lang w:val="zh-CN"/>
              </w:rPr>
              <w:t>分）</w:t>
            </w:r>
          </w:p>
        </w:tc>
        <w:tc>
          <w:tcPr>
            <w:tcW w:w="4194" w:type="pct"/>
            <w:vAlign w:val="center"/>
          </w:tcPr>
          <w:p w14:paraId="7833E0CB">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投标人提供用于本项目设备、机具、用具分列完整详细合理，满分</w:t>
            </w:r>
            <w:r>
              <w:rPr>
                <w:rFonts w:hint="eastAsia" w:ascii="宋体" w:hAnsi="宋体"/>
                <w:color w:val="auto"/>
                <w:kern w:val="2"/>
                <w:sz w:val="24"/>
                <w:szCs w:val="24"/>
                <w:highlight w:val="none"/>
                <w:lang w:val="en-US" w:eastAsia="zh-CN"/>
              </w:rPr>
              <w:t>25</w:t>
            </w:r>
            <w:r>
              <w:rPr>
                <w:rFonts w:hint="eastAsia" w:ascii="宋体" w:hAnsi="宋体"/>
                <w:color w:val="auto"/>
                <w:kern w:val="2"/>
                <w:sz w:val="24"/>
                <w:szCs w:val="24"/>
                <w:highlight w:val="none"/>
                <w:lang w:val="zh-CN"/>
              </w:rPr>
              <w:t>分：</w:t>
            </w:r>
          </w:p>
          <w:p w14:paraId="7687027C">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w:t>
            </w:r>
            <w:r>
              <w:rPr>
                <w:rFonts w:hint="eastAsia" w:ascii="宋体" w:hAnsi="宋体" w:cs="Times New Roman"/>
                <w:color w:val="auto"/>
                <w:kern w:val="0"/>
                <w:sz w:val="24"/>
                <w:szCs w:val="24"/>
                <w:highlight w:val="none"/>
                <w:lang w:val="en-US" w:eastAsia="zh-CN" w:bidi="ar"/>
              </w:rPr>
              <w:t>重型洗扫</w:t>
            </w:r>
            <w:r>
              <w:rPr>
                <w:rFonts w:hint="eastAsia" w:ascii="宋体" w:hAnsi="宋体" w:eastAsia="宋体" w:cs="Times New Roman"/>
                <w:color w:val="auto"/>
                <w:kern w:val="0"/>
                <w:sz w:val="24"/>
                <w:szCs w:val="24"/>
                <w:highlight w:val="none"/>
                <w:lang w:val="en-US" w:eastAsia="zh-CN" w:bidi="ar"/>
              </w:rPr>
              <w:t>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3.5</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3.5</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654F31C5">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w:t>
            </w:r>
            <w:r>
              <w:rPr>
                <w:rFonts w:hint="eastAsia" w:ascii="宋体" w:hAnsi="宋体"/>
                <w:color w:val="auto"/>
                <w:kern w:val="2"/>
                <w:sz w:val="24"/>
                <w:szCs w:val="24"/>
                <w:highlight w:val="none"/>
                <w:lang w:val="en-US" w:eastAsia="zh-CN"/>
              </w:rPr>
              <w:t>新能源重型雾炮车（降尘车）1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08E46D2">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w:t>
            </w:r>
            <w:r>
              <w:rPr>
                <w:rFonts w:hint="eastAsia" w:ascii="宋体" w:hAnsi="宋体" w:cs="Times New Roman"/>
                <w:color w:val="auto"/>
                <w:kern w:val="0"/>
                <w:sz w:val="24"/>
                <w:szCs w:val="24"/>
                <w:highlight w:val="none"/>
                <w:lang w:val="en-US" w:eastAsia="zh-CN" w:bidi="ar"/>
              </w:rPr>
              <w:t>中型</w:t>
            </w:r>
            <w:r>
              <w:rPr>
                <w:rFonts w:hint="eastAsia" w:ascii="宋体" w:hAnsi="宋体" w:eastAsia="宋体" w:cs="Times New Roman"/>
                <w:color w:val="auto"/>
                <w:kern w:val="0"/>
                <w:sz w:val="24"/>
                <w:szCs w:val="24"/>
                <w:highlight w:val="none"/>
                <w:lang w:val="en-US" w:eastAsia="zh-CN" w:bidi="ar"/>
              </w:rPr>
              <w:t>洒水车</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辆，如为自有车辆（提供行驶证和发票原件扫描上传），如为租赁车辆（提供行驶证和租赁（意向）合同原件扫描上传）；每辆得</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24AA23B0">
            <w:pPr>
              <w:keepNext w:val="0"/>
              <w:keepLines w:val="0"/>
              <w:suppressLineNumbers w:val="0"/>
              <w:shd w:val="clear"/>
              <w:spacing w:before="0" w:beforeAutospacing="0" w:after="0" w:afterAutospacing="0" w:line="440" w:lineRule="exact"/>
              <w:ind w:left="0" w:right="0"/>
              <w:rPr>
                <w:rFonts w:hint="eastAsia" w:ascii="宋体" w:hAnsi="宋体"/>
                <w:b w:val="0"/>
                <w:bCs/>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4、新能源中型洗扫车1辆，每辆得2分，满分2分。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6BBF2C14">
            <w:pPr>
              <w:keepNext w:val="0"/>
              <w:keepLines w:val="0"/>
              <w:suppressLineNumbers w:val="0"/>
              <w:shd w:val="clear"/>
              <w:spacing w:before="0" w:beforeAutospacing="0" w:after="0" w:afterAutospacing="0" w:line="440" w:lineRule="exact"/>
              <w:ind w:left="0" w:right="0"/>
              <w:rPr>
                <w:rFonts w:hint="eastAsia" w:ascii="宋体" w:hAnsi="宋体"/>
                <w:b w:val="0"/>
                <w:bCs/>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5、护栏清洗车1辆，每辆得2分，满分2分。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315EF814">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6、</w:t>
            </w:r>
            <w:r>
              <w:rPr>
                <w:rFonts w:hint="eastAsia" w:ascii="宋体" w:hAnsi="宋体"/>
                <w:b w:val="0"/>
                <w:bCs/>
                <w:color w:val="auto"/>
                <w:sz w:val="24"/>
                <w:szCs w:val="24"/>
                <w:highlight w:val="none"/>
                <w:lang w:val="en-US" w:eastAsia="zh-CN"/>
              </w:rPr>
              <w:t>除雪车（含雪铲、滚刷、装载机等）</w:t>
            </w:r>
            <w:r>
              <w:rPr>
                <w:rFonts w:hint="eastAsia" w:ascii="宋体" w:hAnsi="宋体"/>
                <w:b w:val="0"/>
                <w:bCs/>
                <w:color w:val="auto"/>
                <w:kern w:val="2"/>
                <w:sz w:val="24"/>
                <w:szCs w:val="24"/>
                <w:highlight w:val="none"/>
                <w:lang w:val="en-US" w:eastAsia="zh-CN"/>
              </w:rPr>
              <w:t>1套，每套得2分，满分2分。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0C2D9C4D">
            <w:pPr>
              <w:keepNext w:val="0"/>
              <w:keepLines w:val="0"/>
              <w:suppressLineNumbers w:val="0"/>
              <w:shd w:val="clear"/>
              <w:spacing w:before="0" w:beforeAutospacing="0" w:after="0" w:afterAutospacing="0" w:line="440" w:lineRule="exact"/>
              <w:ind w:left="0" w:right="0"/>
              <w:rPr>
                <w:rFonts w:hint="eastAsia" w:ascii="宋体" w:hAnsi="宋体"/>
                <w:b/>
                <w:bCs w:val="0"/>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7、</w:t>
            </w:r>
            <w:r>
              <w:rPr>
                <w:rFonts w:hint="eastAsia" w:ascii="宋体" w:hAnsi="宋体"/>
                <w:b w:val="0"/>
                <w:bCs/>
                <w:color w:val="auto"/>
                <w:sz w:val="24"/>
                <w:szCs w:val="24"/>
                <w:highlight w:val="none"/>
                <w:lang w:val="en-US" w:eastAsia="zh-CN"/>
              </w:rPr>
              <w:t>融雪撒布机</w:t>
            </w:r>
            <w:r>
              <w:rPr>
                <w:rFonts w:hint="eastAsia" w:ascii="宋体" w:hAnsi="宋体"/>
                <w:b w:val="0"/>
                <w:bCs/>
                <w:color w:val="auto"/>
                <w:kern w:val="2"/>
                <w:sz w:val="24"/>
                <w:szCs w:val="24"/>
                <w:highlight w:val="none"/>
                <w:lang w:val="en-US" w:eastAsia="zh-CN"/>
              </w:rPr>
              <w:t>1部，每部得2分，满分2分。</w:t>
            </w:r>
            <w:r>
              <w:rPr>
                <w:rFonts w:hint="eastAsia" w:ascii="宋体" w:hAnsi="宋体"/>
                <w:b/>
                <w:bCs w:val="0"/>
                <w:color w:val="auto"/>
                <w:kern w:val="2"/>
                <w:sz w:val="24"/>
                <w:szCs w:val="24"/>
                <w:highlight w:val="none"/>
                <w:lang w:val="en-US" w:eastAsia="zh-CN"/>
              </w:rPr>
              <w:t>（采购人需要时提供作业设备（提供承诺书原件扫描上传，格式自拟）</w:t>
            </w:r>
          </w:p>
          <w:p w14:paraId="669FA4B5">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w:t>
            </w:r>
            <w:r>
              <w:rPr>
                <w:rFonts w:hint="eastAsia" w:ascii="宋体" w:hAnsi="宋体" w:eastAsia="宋体" w:cs="Times New Roman"/>
                <w:color w:val="auto"/>
                <w:kern w:val="0"/>
                <w:sz w:val="24"/>
                <w:szCs w:val="24"/>
                <w:highlight w:val="none"/>
                <w:lang w:val="en-US" w:eastAsia="zh-CN" w:bidi="ar"/>
              </w:rPr>
              <w:t>新能源小型慢车道清扫车</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辆，如为自有（提供照片和发票原件扫描上传），如为租赁（提供出租方的发票原件和租赁（意向）合同原件扫描上传），每辆得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2.5</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7.5</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23BD1AD8">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b/>
                <w:color w:val="auto"/>
                <w:kern w:val="2"/>
                <w:sz w:val="24"/>
                <w:szCs w:val="24"/>
                <w:highlight w:val="none"/>
                <w:lang w:val="en-US" w:eastAsia="zh-CN"/>
              </w:rPr>
            </w:pPr>
            <w:r>
              <w:rPr>
                <w:rFonts w:hint="eastAsia" w:ascii="宋体" w:hAnsi="宋体"/>
                <w:b/>
                <w:bCs/>
                <w:color w:val="auto"/>
                <w:kern w:val="2"/>
                <w:sz w:val="24"/>
                <w:szCs w:val="24"/>
                <w:highlight w:val="none"/>
                <w:lang w:val="zh-CN"/>
              </w:rPr>
              <w:t>注：以上有关车辆重型、中型、</w:t>
            </w:r>
            <w:r>
              <w:rPr>
                <w:rFonts w:hint="eastAsia" w:ascii="宋体" w:hAnsi="宋体"/>
                <w:b/>
                <w:bCs/>
                <w:color w:val="auto"/>
                <w:kern w:val="2"/>
                <w:sz w:val="24"/>
                <w:szCs w:val="24"/>
                <w:highlight w:val="none"/>
                <w:lang w:val="en-US" w:eastAsia="zh-CN"/>
              </w:rPr>
              <w:t>小</w:t>
            </w:r>
            <w:r>
              <w:rPr>
                <w:rFonts w:hint="eastAsia" w:ascii="宋体" w:hAnsi="宋体"/>
                <w:b/>
                <w:bCs/>
                <w:color w:val="auto"/>
                <w:kern w:val="2"/>
                <w:sz w:val="24"/>
                <w:szCs w:val="24"/>
                <w:highlight w:val="none"/>
                <w:lang w:val="zh-CN"/>
              </w:rPr>
              <w:t>型等划分，以车辆行驶证上标明的车辆类型为准。</w:t>
            </w:r>
          </w:p>
        </w:tc>
      </w:tr>
      <w:tr w14:paraId="1144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805" w:type="pct"/>
            <w:vAlign w:val="center"/>
          </w:tcPr>
          <w:p w14:paraId="644959B1">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人员团队</w:t>
            </w:r>
          </w:p>
          <w:p w14:paraId="257F9CAC">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rPr>
              <w:t>分）</w:t>
            </w:r>
          </w:p>
        </w:tc>
        <w:tc>
          <w:tcPr>
            <w:tcW w:w="4194" w:type="pct"/>
            <w:vAlign w:val="center"/>
          </w:tcPr>
          <w:p w14:paraId="34147FE8">
            <w:pPr>
              <w:keepNext w:val="0"/>
              <w:keepLines w:val="0"/>
              <w:suppressLineNumbers w:val="0"/>
              <w:shd w:val="clear"/>
              <w:spacing w:before="0" w:beforeAutospacing="0" w:after="0" w:afterAutospacing="0" w:line="440" w:lineRule="exact"/>
              <w:ind w:left="0" w:right="0"/>
              <w:rPr>
                <w:rFonts w:hint="default"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项目负责人（限1人）</w:t>
            </w:r>
          </w:p>
          <w:p w14:paraId="65A8DFFC">
            <w:pPr>
              <w:keepNext w:val="0"/>
              <w:keepLines w:val="0"/>
              <w:suppressLineNumbers w:val="0"/>
              <w:shd w:val="clear"/>
              <w:spacing w:before="0" w:beforeAutospacing="0" w:after="0" w:afterAutospacing="0" w:line="440" w:lineRule="exact"/>
              <w:ind w:left="0" w:right="0"/>
              <w:rPr>
                <w:rFonts w:hint="default" w:ascii="宋体" w:hAnsi="宋体"/>
                <w:b/>
                <w:bCs/>
                <w:color w:val="auto"/>
                <w:kern w:val="2"/>
                <w:sz w:val="24"/>
                <w:szCs w:val="24"/>
                <w:highlight w:val="none"/>
                <w:lang w:val="en-US" w:eastAsia="zh-CN"/>
              </w:rPr>
            </w:pPr>
            <w:r>
              <w:rPr>
                <w:rFonts w:hint="eastAsia" w:ascii="宋体" w:hAnsi="宋体"/>
                <w:color w:val="auto"/>
                <w:kern w:val="2"/>
                <w:sz w:val="24"/>
                <w:szCs w:val="24"/>
                <w:highlight w:val="none"/>
                <w:lang w:val="en-US" w:eastAsia="zh-CN"/>
              </w:rPr>
              <w:t>1、拟任本项目的项目负责人具有本科及以上学历的得2分，具有大专学历的得1分；满分2分。</w:t>
            </w:r>
            <w:r>
              <w:rPr>
                <w:rFonts w:hint="eastAsia" w:ascii="宋体" w:hAnsi="宋体"/>
                <w:b/>
                <w:bCs/>
                <w:color w:val="auto"/>
                <w:kern w:val="2"/>
                <w:sz w:val="24"/>
                <w:szCs w:val="24"/>
                <w:highlight w:val="none"/>
                <w:lang w:val="en-US" w:eastAsia="zh-CN"/>
              </w:rPr>
              <w:t>（提供相关证书及投标人为其缴纳的近三个月内任意一个月的社保证明，原件扫描上传，提供不全或未提供则对应项不得分）</w:t>
            </w:r>
          </w:p>
          <w:p w14:paraId="611199FD">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2、项目负责人承担过类似服务项目的，有一个得2分，满分4分。</w:t>
            </w:r>
            <w:r>
              <w:rPr>
                <w:rFonts w:hint="eastAsia" w:ascii="宋体" w:hAnsi="宋体"/>
                <w:b/>
                <w:bCs/>
                <w:color w:val="auto"/>
                <w:kern w:val="2"/>
                <w:sz w:val="24"/>
                <w:szCs w:val="24"/>
                <w:highlight w:val="none"/>
                <w:lang w:val="en-US" w:eastAsia="zh-CN"/>
              </w:rPr>
              <w:t>（提供合同原件扫描上传，合同内容必须包含合同首页、合同签订时间页、双方签字盖章页等关键信息，能体现项目服务内容及项目负责人姓名，提供不全或未提供不得分）</w:t>
            </w:r>
          </w:p>
        </w:tc>
      </w:tr>
      <w:tr w14:paraId="27EA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805" w:type="pct"/>
            <w:vAlign w:val="center"/>
          </w:tcPr>
          <w:p w14:paraId="15443257">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体系认证</w:t>
            </w:r>
          </w:p>
          <w:p w14:paraId="2AB60A67">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w:t>
            </w:r>
            <w:r>
              <w:rPr>
                <w:rFonts w:hint="eastAsia" w:ascii="宋体" w:hAnsi="宋体"/>
                <w:b/>
                <w:bCs/>
                <w:color w:val="auto"/>
                <w:kern w:val="2"/>
                <w:sz w:val="24"/>
                <w:szCs w:val="24"/>
                <w:highlight w:val="none"/>
              </w:rPr>
              <w:t>分）</w:t>
            </w:r>
          </w:p>
        </w:tc>
        <w:tc>
          <w:tcPr>
            <w:tcW w:w="4194" w:type="pct"/>
            <w:vAlign w:val="center"/>
          </w:tcPr>
          <w:p w14:paraId="2B6803BA">
            <w:pPr>
              <w:keepNext w:val="0"/>
              <w:keepLines w:val="0"/>
              <w:suppressLineNumbers w:val="0"/>
              <w:shd w:val="clear"/>
              <w:spacing w:before="0" w:beforeAutospacing="0" w:after="0" w:afterAutospacing="0" w:line="460" w:lineRule="exact"/>
              <w:ind w:left="0" w:right="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zh-CN"/>
              </w:rPr>
              <w:t>投标人具有有效期</w:t>
            </w:r>
            <w:r>
              <w:rPr>
                <w:rFonts w:hint="default" w:ascii="宋体" w:hAnsi="宋体"/>
                <w:color w:val="auto"/>
                <w:kern w:val="2"/>
                <w:sz w:val="24"/>
                <w:szCs w:val="24"/>
                <w:highlight w:val="none"/>
                <w:lang w:val="zh-CN"/>
              </w:rPr>
              <w:t>内的职业健康安全管理体系认证证书</w:t>
            </w:r>
            <w:r>
              <w:rPr>
                <w:rFonts w:hint="eastAsia" w:ascii="宋体" w:hAnsi="宋体"/>
                <w:color w:val="auto"/>
                <w:kern w:val="2"/>
                <w:sz w:val="24"/>
                <w:szCs w:val="24"/>
                <w:highlight w:val="none"/>
                <w:lang w:val="zh-CN"/>
              </w:rPr>
              <w:t>得1分，满分</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分</w:t>
            </w:r>
            <w:r>
              <w:rPr>
                <w:rFonts w:hint="eastAsia" w:ascii="宋体" w:hAnsi="宋体" w:cs="宋体"/>
                <w:color w:val="auto"/>
                <w:kern w:val="2"/>
                <w:sz w:val="24"/>
                <w:szCs w:val="24"/>
                <w:highlight w:val="none"/>
              </w:rPr>
              <w:t>。</w:t>
            </w:r>
          </w:p>
          <w:p w14:paraId="420BDF96">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（以上证书均需提供证书原件扫描、以及全国认证认可信息公共服务平台的查询截图上传，提供不全或未提供不得分）</w:t>
            </w:r>
          </w:p>
          <w:p w14:paraId="06FCBD15">
            <w:pPr>
              <w:keepNext w:val="0"/>
              <w:keepLines w:val="0"/>
              <w:suppressLineNumbers w:val="0"/>
              <w:shd w:val="clear"/>
              <w:spacing w:before="0" w:beforeAutospacing="0" w:after="0" w:afterAutospacing="0" w:line="460" w:lineRule="exact"/>
              <w:ind w:left="0" w:right="0"/>
              <w:rPr>
                <w:rFonts w:hint="default" w:ascii="宋体" w:hAnsi="宋体" w:cs="宋体"/>
                <w:b/>
                <w:color w:val="auto"/>
                <w:kern w:val="2"/>
                <w:sz w:val="24"/>
                <w:szCs w:val="24"/>
                <w:highlight w:val="none"/>
              </w:rPr>
            </w:pPr>
            <w:r>
              <w:rPr>
                <w:rFonts w:hint="eastAsia" w:ascii="宋体" w:hAnsi="宋体"/>
                <w:b/>
                <w:color w:val="auto"/>
                <w:kern w:val="2"/>
                <w:sz w:val="24"/>
                <w:szCs w:val="24"/>
                <w:highlight w:val="none"/>
                <w:lang w:val="zh-CN"/>
              </w:rPr>
              <w:t>全国认证认可信息公共服务平台网址：</w:t>
            </w:r>
          </w:p>
          <w:p w14:paraId="3CFC61F3">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color w:val="auto"/>
                <w:kern w:val="2"/>
                <w:sz w:val="24"/>
                <w:szCs w:val="24"/>
                <w:highlight w:val="none"/>
              </w:rPr>
            </w:pPr>
            <w:r>
              <w:rPr>
                <w:rFonts w:hint="eastAsia" w:ascii="宋体" w:hAnsi="宋体"/>
                <w:b/>
                <w:color w:val="auto"/>
                <w:kern w:val="2"/>
                <w:sz w:val="24"/>
                <w:szCs w:val="24"/>
                <w:highlight w:val="none"/>
              </w:rPr>
              <w:t>http://cx.cnca.cn/CertECloud/result/skipResultList?certItemOne=A&amp;currentPosition=undefined，</w:t>
            </w:r>
            <w:r>
              <w:rPr>
                <w:rFonts w:hint="eastAsia" w:ascii="宋体" w:hAnsi="宋体"/>
                <w:b/>
                <w:color w:val="auto"/>
                <w:kern w:val="2"/>
                <w:sz w:val="24"/>
                <w:szCs w:val="24"/>
                <w:highlight w:val="none"/>
                <w:lang w:val="zh-CN"/>
              </w:rPr>
              <w:t>要求证书查询结果为有效</w:t>
            </w:r>
            <w:r>
              <w:rPr>
                <w:rFonts w:hint="eastAsia" w:ascii="宋体" w:hAnsi="宋体"/>
                <w:b/>
                <w:color w:val="auto"/>
                <w:kern w:val="2"/>
                <w:sz w:val="24"/>
                <w:szCs w:val="24"/>
                <w:highlight w:val="none"/>
              </w:rPr>
              <w:t>）</w:t>
            </w:r>
          </w:p>
        </w:tc>
      </w:tr>
      <w:tr w14:paraId="1939F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05" w:type="pct"/>
            <w:vAlign w:val="center"/>
          </w:tcPr>
          <w:p w14:paraId="479E5FDA">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业绩</w:t>
            </w:r>
          </w:p>
          <w:p w14:paraId="740662F4">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16</w:t>
            </w:r>
            <w:r>
              <w:rPr>
                <w:rFonts w:hint="eastAsia" w:ascii="宋体" w:hAnsi="宋体"/>
                <w:b/>
                <w:bCs/>
                <w:color w:val="auto"/>
                <w:kern w:val="2"/>
                <w:sz w:val="24"/>
                <w:szCs w:val="24"/>
                <w:highlight w:val="none"/>
              </w:rPr>
              <w:t>分)</w:t>
            </w:r>
          </w:p>
        </w:tc>
        <w:tc>
          <w:tcPr>
            <w:tcW w:w="4194" w:type="pct"/>
            <w:vAlign w:val="center"/>
          </w:tcPr>
          <w:p w14:paraId="397EF243">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b/>
                <w:color w:val="auto"/>
                <w:kern w:val="2"/>
                <w:sz w:val="24"/>
                <w:szCs w:val="24"/>
                <w:highlight w:val="none"/>
                <w:lang w:val="zh-CN"/>
              </w:rPr>
            </w:pPr>
            <w:r>
              <w:rPr>
                <w:rFonts w:hint="eastAsia" w:ascii="宋体" w:hAnsi="宋体"/>
                <w:color w:val="auto"/>
                <w:kern w:val="2"/>
                <w:sz w:val="24"/>
                <w:szCs w:val="24"/>
                <w:highlight w:val="none"/>
                <w:lang w:val="zh-CN"/>
              </w:rPr>
              <w:t>投标人自202</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年1月1日至今</w:t>
            </w:r>
            <w:r>
              <w:rPr>
                <w:rFonts w:hint="eastAsia" w:ascii="宋体" w:hAnsi="宋体"/>
                <w:b/>
                <w:color w:val="auto"/>
                <w:kern w:val="2"/>
                <w:sz w:val="24"/>
                <w:szCs w:val="24"/>
                <w:highlight w:val="none"/>
                <w:lang w:val="zh-CN"/>
              </w:rPr>
              <w:t>（以合同签订时间为准）</w:t>
            </w:r>
            <w:r>
              <w:rPr>
                <w:rFonts w:hint="eastAsia" w:ascii="宋体" w:hAnsi="宋体"/>
                <w:color w:val="auto"/>
                <w:kern w:val="2"/>
                <w:sz w:val="24"/>
                <w:szCs w:val="24"/>
                <w:highlight w:val="none"/>
                <w:lang w:val="zh-CN"/>
              </w:rPr>
              <w:t>，承担过</w:t>
            </w:r>
            <w:r>
              <w:rPr>
                <w:rFonts w:hint="eastAsia" w:ascii="宋体" w:hAnsi="宋体"/>
                <w:color w:val="auto"/>
                <w:kern w:val="2"/>
                <w:sz w:val="24"/>
                <w:szCs w:val="24"/>
                <w:highlight w:val="none"/>
              </w:rPr>
              <w:t>类似业务</w:t>
            </w:r>
            <w:r>
              <w:rPr>
                <w:rFonts w:hint="eastAsia" w:ascii="宋体" w:hAnsi="宋体"/>
                <w:color w:val="auto"/>
                <w:kern w:val="2"/>
                <w:sz w:val="24"/>
                <w:szCs w:val="24"/>
                <w:highlight w:val="none"/>
                <w:lang w:val="zh-CN"/>
              </w:rPr>
              <w:t>的</w:t>
            </w:r>
            <w:r>
              <w:rPr>
                <w:rFonts w:hint="eastAsia" w:ascii="宋体" w:hAnsi="宋体"/>
                <w:b/>
                <w:color w:val="auto"/>
                <w:kern w:val="2"/>
                <w:sz w:val="24"/>
                <w:szCs w:val="24"/>
                <w:highlight w:val="none"/>
                <w:lang w:val="zh-CN"/>
              </w:rPr>
              <w:t>（同一合同中包含下列</w:t>
            </w:r>
            <w:r>
              <w:rPr>
                <w:rFonts w:hint="eastAsia" w:ascii="宋体" w:hAnsi="宋体"/>
                <w:b/>
                <w:color w:val="auto"/>
                <w:kern w:val="2"/>
                <w:sz w:val="24"/>
                <w:szCs w:val="24"/>
                <w:highlight w:val="none"/>
                <w:lang w:val="en-US" w:eastAsia="zh-CN"/>
              </w:rPr>
              <w:t>两</w:t>
            </w:r>
            <w:r>
              <w:rPr>
                <w:rFonts w:hint="eastAsia" w:ascii="宋体" w:hAnsi="宋体"/>
                <w:b/>
                <w:color w:val="auto"/>
                <w:kern w:val="2"/>
                <w:sz w:val="24"/>
                <w:szCs w:val="24"/>
                <w:highlight w:val="none"/>
                <w:lang w:val="zh-CN"/>
              </w:rPr>
              <w:t>项中多个业务类型的，可按所属单项重复认定计分）：①道路清扫保洁，</w:t>
            </w:r>
            <w:r>
              <w:rPr>
                <w:rFonts w:hint="eastAsia" w:ascii="宋体" w:hAnsi="宋体"/>
                <w:color w:val="auto"/>
                <w:kern w:val="2"/>
                <w:sz w:val="24"/>
                <w:szCs w:val="24"/>
                <w:highlight w:val="none"/>
                <w:lang w:val="zh-CN"/>
              </w:rPr>
              <w:t>每有1个业绩得2分，满分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②</w:t>
            </w:r>
            <w:r>
              <w:rPr>
                <w:rFonts w:hint="eastAsia" w:ascii="宋体" w:hAnsi="宋体"/>
                <w:b/>
                <w:color w:val="auto"/>
                <w:kern w:val="2"/>
                <w:sz w:val="24"/>
                <w:szCs w:val="24"/>
                <w:highlight w:val="none"/>
                <w:lang w:val="en-US" w:eastAsia="zh-CN"/>
              </w:rPr>
              <w:t>随路</w:t>
            </w:r>
            <w:r>
              <w:rPr>
                <w:rFonts w:hint="eastAsia" w:ascii="宋体" w:hAnsi="宋体"/>
                <w:b/>
                <w:color w:val="auto"/>
                <w:kern w:val="2"/>
                <w:sz w:val="24"/>
                <w:szCs w:val="24"/>
                <w:highlight w:val="none"/>
                <w:lang w:val="zh-CN"/>
              </w:rPr>
              <w:t>绿化养护，</w:t>
            </w:r>
            <w:r>
              <w:rPr>
                <w:rFonts w:hint="eastAsia" w:ascii="宋体" w:hAnsi="宋体"/>
                <w:color w:val="auto"/>
                <w:kern w:val="2"/>
                <w:sz w:val="24"/>
                <w:szCs w:val="24"/>
                <w:highlight w:val="none"/>
                <w:lang w:val="zh-CN"/>
              </w:rPr>
              <w:t>每有1个业绩得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val="0"/>
                <w:bCs/>
                <w:color w:val="auto"/>
                <w:kern w:val="2"/>
                <w:sz w:val="24"/>
                <w:szCs w:val="24"/>
                <w:highlight w:val="none"/>
                <w:lang w:val="zh-CN"/>
              </w:rPr>
              <w:t>。</w:t>
            </w:r>
            <w:r>
              <w:rPr>
                <w:rFonts w:hint="eastAsia" w:ascii="宋体" w:hAnsi="宋体"/>
                <w:b/>
                <w:color w:val="auto"/>
                <w:kern w:val="2"/>
                <w:sz w:val="24"/>
                <w:szCs w:val="24"/>
                <w:highlight w:val="none"/>
                <w:lang w:val="zh-CN"/>
              </w:rPr>
              <w:t>（</w:t>
            </w:r>
            <w:r>
              <w:rPr>
                <w:rFonts w:hint="eastAsia" w:ascii="宋体" w:hAnsi="宋体"/>
                <w:b/>
                <w:color w:val="auto"/>
                <w:kern w:val="2"/>
                <w:sz w:val="24"/>
                <w:szCs w:val="24"/>
                <w:highlight w:val="none"/>
                <w:lang w:val="en-US" w:eastAsia="zh-CN"/>
              </w:rPr>
              <w:t>提供</w:t>
            </w:r>
            <w:r>
              <w:rPr>
                <w:rFonts w:hint="eastAsia" w:ascii="宋体" w:hAnsi="宋体"/>
                <w:b/>
                <w:color w:val="auto"/>
                <w:kern w:val="2"/>
                <w:sz w:val="24"/>
                <w:szCs w:val="24"/>
                <w:highlight w:val="none"/>
                <w:lang w:val="zh-CN"/>
              </w:rPr>
              <w:t>合同原件扫描上传，合同内容必须包含合同首页、合同签订时间页、双方签字盖章页等关键信息，能体现项目服务内容，</w:t>
            </w:r>
            <w:r>
              <w:rPr>
                <w:rFonts w:hint="eastAsia" w:ascii="宋体" w:hAnsi="宋体"/>
                <w:b/>
                <w:color w:val="auto"/>
                <w:kern w:val="2"/>
                <w:sz w:val="24"/>
                <w:szCs w:val="24"/>
                <w:highlight w:val="none"/>
                <w:lang w:val="en-US" w:eastAsia="zh-CN"/>
              </w:rPr>
              <w:t>且同时</w:t>
            </w:r>
            <w:r>
              <w:rPr>
                <w:rFonts w:hint="eastAsia" w:ascii="宋体" w:hAnsi="宋体"/>
                <w:b/>
                <w:color w:val="auto"/>
                <w:kern w:val="2"/>
                <w:sz w:val="24"/>
                <w:szCs w:val="24"/>
                <w:highlight w:val="none"/>
                <w:lang w:val="zh-CN"/>
              </w:rPr>
              <w:t>提供项目开具的发票或银行回单等证明材料，若刚签订的合同未到付款时间,则需提供服务单位盖章的情况说明，提供不全或未提供不得分。同一项目不同年度不累计得分）</w:t>
            </w:r>
          </w:p>
        </w:tc>
      </w:tr>
    </w:tbl>
    <w:p w14:paraId="20B74024">
      <w:pPr>
        <w:pStyle w:val="280"/>
        <w:shd w:val="clear"/>
        <w:spacing w:line="0" w:lineRule="atLeast"/>
        <w:ind w:firstLine="482"/>
        <w:rPr>
          <w:rFonts w:hint="eastAsia" w:ascii="宋体" w:hAnsi="宋体"/>
          <w:b/>
          <w:color w:val="auto"/>
          <w:highlight w:val="none"/>
        </w:rPr>
      </w:pPr>
    </w:p>
    <w:p w14:paraId="466A47ED">
      <w:pPr>
        <w:pStyle w:val="280"/>
        <w:shd w:val="clear"/>
        <w:spacing w:line="0" w:lineRule="atLeast"/>
        <w:ind w:firstLine="482"/>
        <w:rPr>
          <w:rFonts w:hint="eastAsia" w:ascii="宋体" w:hAnsi="宋体"/>
          <w:b/>
          <w:color w:val="auto"/>
          <w:highlight w:val="none"/>
        </w:rPr>
      </w:pPr>
    </w:p>
    <w:p w14:paraId="6E19E54B">
      <w:pPr>
        <w:pStyle w:val="280"/>
        <w:shd w:val="clear"/>
        <w:spacing w:line="0" w:lineRule="atLeast"/>
        <w:ind w:firstLine="482"/>
        <w:rPr>
          <w:rFonts w:hint="eastAsia" w:ascii="宋体" w:hAnsi="宋体"/>
          <w:b/>
          <w:color w:val="auto"/>
          <w:highlight w:val="none"/>
        </w:rPr>
      </w:pPr>
    </w:p>
    <w:p w14:paraId="0534BD9D">
      <w:pPr>
        <w:pStyle w:val="280"/>
        <w:shd w:val="clear"/>
        <w:spacing w:line="0" w:lineRule="atLeast"/>
        <w:ind w:firstLine="482"/>
        <w:rPr>
          <w:rFonts w:hint="eastAsia" w:ascii="宋体" w:hAnsi="宋体"/>
          <w:b/>
          <w:color w:val="auto"/>
          <w:highlight w:val="none"/>
        </w:rPr>
      </w:pPr>
    </w:p>
    <w:p w14:paraId="28A464F5">
      <w:pPr>
        <w:pStyle w:val="280"/>
        <w:shd w:val="clear"/>
        <w:spacing w:line="0" w:lineRule="atLeast"/>
        <w:ind w:firstLine="482"/>
        <w:rPr>
          <w:rFonts w:hint="eastAsia" w:ascii="宋体" w:hAnsi="宋体"/>
          <w:b/>
          <w:color w:val="auto"/>
          <w:highlight w:val="none"/>
        </w:rPr>
      </w:pPr>
    </w:p>
    <w:p w14:paraId="749ED274">
      <w:pPr>
        <w:pStyle w:val="280"/>
        <w:shd w:val="clear"/>
        <w:spacing w:line="0" w:lineRule="atLeast"/>
        <w:ind w:firstLine="482"/>
        <w:rPr>
          <w:rFonts w:hint="eastAsia" w:ascii="宋体" w:hAnsi="宋体"/>
          <w:b/>
          <w:color w:val="auto"/>
          <w:highlight w:val="none"/>
        </w:rPr>
      </w:pPr>
    </w:p>
    <w:p w14:paraId="11C672B4">
      <w:pPr>
        <w:pStyle w:val="280"/>
        <w:shd w:val="clear"/>
        <w:spacing w:line="0" w:lineRule="atLeast"/>
        <w:ind w:firstLine="482"/>
        <w:rPr>
          <w:rFonts w:hint="eastAsia" w:ascii="宋体" w:hAnsi="宋体"/>
          <w:b/>
          <w:color w:val="auto"/>
          <w:highlight w:val="none"/>
        </w:rPr>
      </w:pPr>
    </w:p>
    <w:p w14:paraId="62F27670">
      <w:pPr>
        <w:pStyle w:val="280"/>
        <w:shd w:val="clear"/>
        <w:spacing w:line="0" w:lineRule="atLeast"/>
        <w:ind w:firstLine="482"/>
        <w:rPr>
          <w:rFonts w:hint="eastAsia" w:ascii="宋体" w:hAnsi="宋体"/>
          <w:b/>
          <w:color w:val="auto"/>
          <w:highlight w:val="none"/>
        </w:rPr>
      </w:pPr>
    </w:p>
    <w:p w14:paraId="67430457">
      <w:pPr>
        <w:pStyle w:val="280"/>
        <w:shd w:val="clear"/>
        <w:spacing w:line="0" w:lineRule="atLeast"/>
        <w:ind w:firstLine="482"/>
        <w:rPr>
          <w:rFonts w:hint="eastAsia" w:ascii="宋体" w:hAnsi="宋体"/>
          <w:b/>
          <w:color w:val="auto"/>
          <w:highlight w:val="none"/>
        </w:rPr>
      </w:pPr>
    </w:p>
    <w:p w14:paraId="62E5B78C">
      <w:pPr>
        <w:pStyle w:val="280"/>
        <w:shd w:val="clear"/>
        <w:spacing w:line="0" w:lineRule="atLeast"/>
        <w:ind w:firstLine="482"/>
        <w:rPr>
          <w:rFonts w:hint="eastAsia" w:ascii="宋体" w:hAnsi="宋体"/>
          <w:b/>
          <w:color w:val="auto"/>
          <w:highlight w:val="none"/>
        </w:rPr>
      </w:pPr>
    </w:p>
    <w:p w14:paraId="5AD1AD20">
      <w:pPr>
        <w:pStyle w:val="280"/>
        <w:shd w:val="clear"/>
        <w:spacing w:line="0" w:lineRule="atLeast"/>
        <w:ind w:firstLine="482"/>
        <w:rPr>
          <w:rFonts w:hint="eastAsia" w:ascii="宋体" w:hAnsi="宋体"/>
          <w:b/>
          <w:color w:val="auto"/>
          <w:highlight w:val="none"/>
        </w:rPr>
      </w:pPr>
      <w:r>
        <w:rPr>
          <w:rFonts w:hint="eastAsia" w:ascii="宋体" w:hAnsi="宋体"/>
          <w:b/>
          <w:color w:val="auto"/>
          <w:highlight w:val="none"/>
        </w:rPr>
        <w:t>分包</w:t>
      </w:r>
      <w:r>
        <w:rPr>
          <w:rFonts w:hint="eastAsia" w:ascii="宋体" w:hAnsi="宋体"/>
          <w:b/>
          <w:color w:val="auto"/>
          <w:highlight w:val="none"/>
          <w:lang w:val="en-US" w:eastAsia="zh-CN"/>
        </w:rPr>
        <w:t>4</w:t>
      </w:r>
      <w:r>
        <w:rPr>
          <w:rFonts w:hint="eastAsia" w:ascii="宋体" w:hAnsi="宋体"/>
          <w:b/>
          <w:color w:val="auto"/>
          <w:highlight w:val="none"/>
        </w:rPr>
        <w:t>：</w:t>
      </w:r>
      <w:r>
        <w:rPr>
          <w:rFonts w:hint="eastAsia" w:ascii="宋体" w:hAnsi="宋体"/>
          <w:b/>
          <w:color w:val="auto"/>
          <w:highlight w:val="none"/>
          <w:lang w:val="en-US" w:eastAsia="zh-CN"/>
        </w:rPr>
        <w:t>镇区生活垃圾（含一般工业固废）收运</w:t>
      </w:r>
      <w:r>
        <w:rPr>
          <w:rFonts w:hint="eastAsia" w:ascii="宋体" w:hAnsi="宋体"/>
          <w:b/>
          <w:color w:val="auto"/>
          <w:highlight w:val="none"/>
        </w:rPr>
        <w:t>及公厕保洁作业</w:t>
      </w:r>
    </w:p>
    <w:tbl>
      <w:tblPr>
        <w:tblStyle w:val="28"/>
        <w:tblW w:w="5278" w:type="pct"/>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8269"/>
      </w:tblGrid>
      <w:tr w14:paraId="2608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7583FC1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360"/>
              <w:contextualSpacing/>
              <w:textAlignment w:val="auto"/>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项目</w:t>
            </w:r>
          </w:p>
        </w:tc>
        <w:tc>
          <w:tcPr>
            <w:tcW w:w="4271" w:type="pct"/>
            <w:vAlign w:val="center"/>
          </w:tcPr>
          <w:p w14:paraId="242ACFED">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contextualSpacing/>
              <w:jc w:val="center"/>
              <w:textAlignment w:val="auto"/>
              <w:rPr>
                <w:rFonts w:hint="default" w:ascii="宋体" w:hAnsi="宋体"/>
                <w:b/>
                <w:bCs w:val="0"/>
                <w:color w:val="auto"/>
                <w:kern w:val="2"/>
                <w:sz w:val="24"/>
                <w:szCs w:val="24"/>
                <w:highlight w:val="none"/>
              </w:rPr>
            </w:pPr>
            <w:r>
              <w:rPr>
                <w:rFonts w:hint="eastAsia" w:ascii="宋体" w:hAnsi="宋体"/>
                <w:b/>
                <w:bCs w:val="0"/>
                <w:color w:val="auto"/>
                <w:kern w:val="2"/>
                <w:sz w:val="24"/>
                <w:szCs w:val="24"/>
                <w:highlight w:val="none"/>
              </w:rPr>
              <w:t>评分标准</w:t>
            </w:r>
          </w:p>
        </w:tc>
      </w:tr>
      <w:tr w14:paraId="4B7B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7AD86E0E">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价格</w:t>
            </w:r>
          </w:p>
          <w:p w14:paraId="04A8F80A">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20</w:t>
            </w:r>
            <w:r>
              <w:rPr>
                <w:rFonts w:hint="eastAsia" w:ascii="宋体" w:hAnsi="宋体"/>
                <w:b/>
                <w:bCs/>
                <w:color w:val="auto"/>
                <w:kern w:val="2"/>
                <w:sz w:val="24"/>
                <w:szCs w:val="24"/>
                <w:highlight w:val="none"/>
              </w:rPr>
              <w:t>分）</w:t>
            </w:r>
          </w:p>
        </w:tc>
        <w:tc>
          <w:tcPr>
            <w:tcW w:w="4271" w:type="pct"/>
            <w:vAlign w:val="center"/>
          </w:tcPr>
          <w:p w14:paraId="6D8CBA68">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80" w:right="0"/>
              <w:textAlignment w:val="auto"/>
              <w:rPr>
                <w:rFonts w:hint="default" w:ascii="宋体" w:hAnsi="宋体"/>
                <w:color w:val="auto"/>
                <w:kern w:val="2"/>
                <w:sz w:val="24"/>
                <w:szCs w:val="24"/>
                <w:highlight w:val="none"/>
              </w:rPr>
            </w:pPr>
            <w:r>
              <w:rPr>
                <w:rFonts w:hint="eastAsia" w:ascii="宋体" w:hAnsi="宋体" w:cs="楷体_GB2312"/>
                <w:color w:val="auto"/>
                <w:kern w:val="2"/>
                <w:sz w:val="24"/>
                <w:szCs w:val="24"/>
                <w:highlight w:val="none"/>
              </w:rPr>
              <w:t>以满足招标文件要求的最低投标报价为评标基准价，得满分</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分，其他投标报价得分=（评标基准价/其他投标报价）×</w:t>
            </w:r>
            <w:r>
              <w:rPr>
                <w:rFonts w:hint="eastAsia" w:ascii="宋体" w:hAnsi="宋体" w:cs="楷体_GB2312"/>
                <w:color w:val="auto"/>
                <w:kern w:val="2"/>
                <w:sz w:val="24"/>
                <w:szCs w:val="24"/>
                <w:highlight w:val="none"/>
                <w:lang w:val="en-US" w:eastAsia="zh-CN"/>
              </w:rPr>
              <w:t>20</w:t>
            </w:r>
            <w:r>
              <w:rPr>
                <w:rFonts w:hint="eastAsia" w:ascii="宋体" w:hAnsi="宋体" w:cs="楷体_GB2312"/>
                <w:color w:val="auto"/>
                <w:kern w:val="2"/>
                <w:sz w:val="24"/>
                <w:szCs w:val="24"/>
                <w:highlight w:val="none"/>
              </w:rPr>
              <w:t>×100%</w:t>
            </w:r>
          </w:p>
        </w:tc>
      </w:tr>
      <w:tr w14:paraId="0E40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28" w:type="pct"/>
            <w:vMerge w:val="restart"/>
            <w:vAlign w:val="center"/>
          </w:tcPr>
          <w:p w14:paraId="01D21143">
            <w:pPr>
              <w:keepNext w:val="0"/>
              <w:keepLines w:val="0"/>
              <w:suppressLineNumbers w:val="0"/>
              <w:shd w:val="clear"/>
              <w:spacing w:before="0" w:beforeAutospacing="0" w:after="0" w:afterAutospacing="0" w:line="460" w:lineRule="exact"/>
              <w:ind w:left="0" w:right="0" w:firstLine="120"/>
              <w:contextualSpacing/>
              <w:jc w:val="center"/>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lang w:val="en-US" w:eastAsia="zh-CN"/>
              </w:rPr>
              <w:t>服务</w:t>
            </w:r>
            <w:r>
              <w:rPr>
                <w:rFonts w:hint="eastAsia" w:ascii="宋体" w:hAnsi="宋体"/>
                <w:b/>
                <w:bCs/>
                <w:color w:val="auto"/>
                <w:kern w:val="2"/>
                <w:sz w:val="24"/>
                <w:szCs w:val="24"/>
                <w:highlight w:val="none"/>
              </w:rPr>
              <w:t>方案</w:t>
            </w:r>
          </w:p>
          <w:p w14:paraId="6618001C">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27</w:t>
            </w:r>
            <w:r>
              <w:rPr>
                <w:rFonts w:hint="eastAsia" w:ascii="宋体" w:hAnsi="宋体"/>
                <w:b/>
                <w:bCs/>
                <w:color w:val="auto"/>
                <w:kern w:val="2"/>
                <w:sz w:val="24"/>
                <w:szCs w:val="24"/>
                <w:highlight w:val="none"/>
              </w:rPr>
              <w:t>分）</w:t>
            </w:r>
          </w:p>
        </w:tc>
        <w:tc>
          <w:tcPr>
            <w:tcW w:w="4271" w:type="pct"/>
            <w:vAlign w:val="center"/>
          </w:tcPr>
          <w:p w14:paraId="2DC87BCA">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zh-CN"/>
              </w:rPr>
              <w:t>1、镇区生活垃圾（含一般工业固废）收运方案（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30C0CB47">
            <w:pPr>
              <w:keepNext w:val="0"/>
              <w:keepLines w:val="0"/>
              <w:suppressLineNumbers w:val="0"/>
              <w:shd w:val="clear"/>
              <w:spacing w:before="0" w:beforeAutospacing="0" w:after="0" w:afterAutospacing="0" w:line="460" w:lineRule="exact"/>
              <w:ind w:left="0" w:leftChars="0" w:right="0" w:rightChars="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投标人根据项目需求提供镇区生活垃圾（含一般工业固废）收运方案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分；不符合招标文件要求或未提供的不得分。</w:t>
            </w:r>
          </w:p>
        </w:tc>
      </w:tr>
      <w:tr w14:paraId="07D97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728" w:type="pct"/>
            <w:vMerge w:val="continue"/>
            <w:vAlign w:val="center"/>
          </w:tcPr>
          <w:p w14:paraId="37C15A47">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720" w:right="0"/>
              <w:contextualSpacing/>
              <w:jc w:val="center"/>
              <w:textAlignment w:val="auto"/>
              <w:rPr>
                <w:rFonts w:hint="default" w:ascii="宋体" w:hAnsi="宋体"/>
                <w:b/>
                <w:bCs/>
                <w:color w:val="auto"/>
                <w:kern w:val="2"/>
                <w:sz w:val="24"/>
                <w:szCs w:val="24"/>
                <w:highlight w:val="none"/>
              </w:rPr>
            </w:pPr>
          </w:p>
        </w:tc>
        <w:tc>
          <w:tcPr>
            <w:tcW w:w="4271" w:type="pct"/>
            <w:vAlign w:val="center"/>
          </w:tcPr>
          <w:p w14:paraId="3571781D">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2</w:t>
            </w:r>
            <w:r>
              <w:rPr>
                <w:rFonts w:hint="eastAsia" w:ascii="宋体" w:hAnsi="宋体"/>
                <w:b/>
                <w:bCs/>
                <w:color w:val="auto"/>
                <w:kern w:val="2"/>
                <w:sz w:val="24"/>
                <w:szCs w:val="24"/>
                <w:highlight w:val="none"/>
                <w:lang w:val="zh-CN"/>
              </w:rPr>
              <w:t>、公厕保洁方案（</w:t>
            </w:r>
            <w:r>
              <w:rPr>
                <w:rFonts w:hint="eastAsia" w:ascii="宋体" w:hAnsi="宋体"/>
                <w:b/>
                <w:bCs/>
                <w:color w:val="auto"/>
                <w:kern w:val="2"/>
                <w:sz w:val="24"/>
                <w:szCs w:val="24"/>
                <w:highlight w:val="none"/>
                <w:lang w:val="en-US" w:eastAsia="zh-CN"/>
              </w:rPr>
              <w:t>6分</w:t>
            </w:r>
            <w:r>
              <w:rPr>
                <w:rFonts w:hint="eastAsia" w:ascii="宋体" w:hAnsi="宋体"/>
                <w:b/>
                <w:bCs/>
                <w:color w:val="auto"/>
                <w:kern w:val="2"/>
                <w:sz w:val="24"/>
                <w:szCs w:val="24"/>
                <w:highlight w:val="none"/>
                <w:lang w:val="zh-CN"/>
              </w:rPr>
              <w:t>）</w:t>
            </w:r>
          </w:p>
          <w:p w14:paraId="67F57D62">
            <w:pPr>
              <w:keepNext w:val="0"/>
              <w:keepLines w:val="0"/>
              <w:suppressLineNumbers w:val="0"/>
              <w:shd w:val="clear"/>
              <w:spacing w:before="0" w:beforeAutospacing="0" w:after="0" w:afterAutospacing="0" w:line="460" w:lineRule="exact"/>
              <w:ind w:left="0" w:leftChars="0" w:right="0" w:rightChars="0"/>
              <w:contextualSpacing/>
              <w:rPr>
                <w:rFonts w:hint="default" w:ascii="宋体" w:hAnsi="宋体"/>
                <w:color w:val="auto"/>
                <w:kern w:val="2"/>
                <w:sz w:val="24"/>
                <w:szCs w:val="24"/>
                <w:highlight w:val="none"/>
              </w:rPr>
            </w:pPr>
            <w:r>
              <w:rPr>
                <w:rFonts w:hint="eastAsia" w:ascii="宋体" w:hAnsi="宋体"/>
                <w:color w:val="auto"/>
                <w:kern w:val="2"/>
                <w:sz w:val="24"/>
                <w:szCs w:val="24"/>
                <w:highlight w:val="none"/>
                <w:lang w:val="en-US" w:eastAsia="zh-CN"/>
              </w:rPr>
              <w:t>投标人根据项目需求提供公厕保洁方案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6</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4</w:t>
            </w:r>
            <w:r>
              <w:rPr>
                <w:rFonts w:hint="eastAsia" w:ascii="宋体" w:hAnsi="宋体" w:cs="Calibri"/>
                <w:color w:val="auto"/>
                <w:kern w:val="2"/>
                <w:sz w:val="24"/>
                <w:szCs w:val="24"/>
                <w:highlight w:val="none"/>
              </w:rPr>
              <w:t>分；不符合招标文件要求或未提供的不得分。</w:t>
            </w:r>
          </w:p>
        </w:tc>
      </w:tr>
      <w:tr w14:paraId="11B4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728" w:type="pct"/>
            <w:vMerge w:val="continue"/>
            <w:vAlign w:val="center"/>
          </w:tcPr>
          <w:p w14:paraId="36414CA6">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720" w:right="0"/>
              <w:contextualSpacing/>
              <w:jc w:val="center"/>
              <w:textAlignment w:val="auto"/>
              <w:rPr>
                <w:rFonts w:hint="default" w:ascii="宋体" w:hAnsi="宋体"/>
                <w:b/>
                <w:bCs/>
                <w:color w:val="auto"/>
                <w:kern w:val="2"/>
                <w:sz w:val="24"/>
                <w:szCs w:val="24"/>
                <w:highlight w:val="none"/>
              </w:rPr>
            </w:pPr>
          </w:p>
        </w:tc>
        <w:tc>
          <w:tcPr>
            <w:tcW w:w="4271" w:type="pct"/>
            <w:vAlign w:val="center"/>
          </w:tcPr>
          <w:p w14:paraId="50CB4A19">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3</w:t>
            </w:r>
            <w:r>
              <w:rPr>
                <w:rFonts w:hint="eastAsia" w:ascii="宋体" w:hAnsi="宋体"/>
                <w:b/>
                <w:bCs/>
                <w:color w:val="auto"/>
                <w:kern w:val="2"/>
                <w:sz w:val="24"/>
                <w:szCs w:val="24"/>
                <w:highlight w:val="none"/>
                <w:lang w:val="zh-CN"/>
              </w:rPr>
              <w:t>、从业人员配备及安全文明方案（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0A5B2A2D">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投标人根据项目需求提供从业人员配备及安全文明方案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1F96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8" w:type="pct"/>
            <w:vMerge w:val="continue"/>
            <w:vAlign w:val="center"/>
          </w:tcPr>
          <w:p w14:paraId="72F2BADE">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720" w:right="0"/>
              <w:contextualSpacing/>
              <w:jc w:val="center"/>
              <w:textAlignment w:val="auto"/>
              <w:rPr>
                <w:rFonts w:hint="default" w:ascii="宋体" w:hAnsi="宋体"/>
                <w:b/>
                <w:bCs/>
                <w:color w:val="auto"/>
                <w:kern w:val="2"/>
                <w:sz w:val="24"/>
                <w:szCs w:val="24"/>
                <w:highlight w:val="none"/>
              </w:rPr>
            </w:pPr>
          </w:p>
        </w:tc>
        <w:tc>
          <w:tcPr>
            <w:tcW w:w="4271" w:type="pct"/>
            <w:vAlign w:val="center"/>
          </w:tcPr>
          <w:p w14:paraId="20A8A39F">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4</w:t>
            </w:r>
            <w:r>
              <w:rPr>
                <w:rFonts w:hint="eastAsia" w:ascii="宋体" w:hAnsi="宋体"/>
                <w:b/>
                <w:bCs/>
                <w:color w:val="auto"/>
                <w:kern w:val="2"/>
                <w:sz w:val="24"/>
                <w:szCs w:val="24"/>
                <w:highlight w:val="none"/>
                <w:lang w:val="zh-CN"/>
              </w:rPr>
              <w:t>、恶劣天气应急预案（</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7DF9AD66">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投标人根据项目需求提供恶劣天气应急预案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125A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8" w:type="pct"/>
            <w:vMerge w:val="continue"/>
            <w:vAlign w:val="center"/>
          </w:tcPr>
          <w:p w14:paraId="74604857">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720" w:right="0"/>
              <w:contextualSpacing/>
              <w:jc w:val="center"/>
              <w:textAlignment w:val="auto"/>
              <w:rPr>
                <w:rFonts w:hint="default" w:ascii="宋体" w:hAnsi="宋体"/>
                <w:b/>
                <w:bCs/>
                <w:color w:val="auto"/>
                <w:kern w:val="2"/>
                <w:sz w:val="24"/>
                <w:szCs w:val="24"/>
                <w:highlight w:val="none"/>
              </w:rPr>
            </w:pPr>
          </w:p>
        </w:tc>
        <w:tc>
          <w:tcPr>
            <w:tcW w:w="4271" w:type="pct"/>
            <w:vAlign w:val="center"/>
          </w:tcPr>
          <w:p w14:paraId="5C663F25">
            <w:pPr>
              <w:keepNext w:val="0"/>
              <w:keepLines w:val="0"/>
              <w:suppressLineNumbers w:val="0"/>
              <w:shd w:val="clear"/>
              <w:spacing w:before="0" w:beforeAutospacing="0" w:after="0" w:afterAutospacing="0" w:line="460" w:lineRule="exact"/>
              <w:ind w:left="0" w:right="0"/>
              <w:rPr>
                <w:rFonts w:hint="eastAsia" w:ascii="宋体" w:hAnsi="宋体"/>
                <w:color w:val="auto"/>
                <w:kern w:val="2"/>
                <w:sz w:val="24"/>
                <w:szCs w:val="24"/>
                <w:highlight w:val="none"/>
                <w:lang w:val="zh-CN"/>
              </w:rPr>
            </w:pPr>
            <w:r>
              <w:rPr>
                <w:rFonts w:hint="eastAsia" w:ascii="宋体" w:hAnsi="宋体"/>
                <w:b/>
                <w:bCs/>
                <w:color w:val="auto"/>
                <w:kern w:val="2"/>
                <w:sz w:val="24"/>
                <w:szCs w:val="24"/>
                <w:highlight w:val="none"/>
                <w:lang w:val="en-US" w:eastAsia="zh-CN"/>
              </w:rPr>
              <w:t>5</w:t>
            </w:r>
            <w:r>
              <w:rPr>
                <w:rFonts w:hint="eastAsia" w:ascii="宋体" w:hAnsi="宋体"/>
                <w:b/>
                <w:bCs/>
                <w:color w:val="auto"/>
                <w:kern w:val="2"/>
                <w:sz w:val="24"/>
                <w:szCs w:val="24"/>
                <w:highlight w:val="none"/>
                <w:lang w:val="zh-CN"/>
              </w:rPr>
              <w:t>、工作交接</w:t>
            </w:r>
            <w:r>
              <w:rPr>
                <w:rFonts w:hint="eastAsia" w:ascii="宋体" w:hAnsi="宋体"/>
                <w:b/>
                <w:bCs/>
                <w:color w:val="auto"/>
                <w:kern w:val="2"/>
                <w:sz w:val="24"/>
                <w:szCs w:val="24"/>
                <w:highlight w:val="none"/>
                <w:lang w:val="en-US" w:eastAsia="zh-CN"/>
              </w:rPr>
              <w:t>方案</w:t>
            </w: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5分</w:t>
            </w:r>
            <w:r>
              <w:rPr>
                <w:rFonts w:hint="eastAsia" w:ascii="宋体" w:hAnsi="宋体"/>
                <w:b/>
                <w:bCs/>
                <w:color w:val="auto"/>
                <w:kern w:val="2"/>
                <w:sz w:val="24"/>
                <w:szCs w:val="24"/>
                <w:highlight w:val="none"/>
                <w:lang w:val="zh-CN"/>
              </w:rPr>
              <w:t>）</w:t>
            </w:r>
          </w:p>
          <w:p w14:paraId="2D1BA450">
            <w:pPr>
              <w:keepNext w:val="0"/>
              <w:keepLines w:val="0"/>
              <w:suppressLineNumbers w:val="0"/>
              <w:shd w:val="clear"/>
              <w:spacing w:before="0" w:beforeAutospacing="0" w:after="0" w:afterAutospacing="0" w:line="460" w:lineRule="exact"/>
              <w:ind w:left="0" w:leftChars="0" w:right="0" w:rightChars="0"/>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en-US" w:eastAsia="zh-CN"/>
              </w:rPr>
              <w:t>投标人根据项目需求提供工作交接方案</w:t>
            </w:r>
            <w:r>
              <w:rPr>
                <w:rFonts w:hint="eastAsia" w:ascii="宋体" w:hAnsi="宋体"/>
                <w:color w:val="auto"/>
                <w:kern w:val="2"/>
                <w:sz w:val="24"/>
                <w:szCs w:val="24"/>
                <w:highlight w:val="none"/>
                <w:lang w:val="zh-CN"/>
              </w:rPr>
              <w:t>，方案</w:t>
            </w:r>
            <w:r>
              <w:rPr>
                <w:rFonts w:hint="eastAsia" w:ascii="宋体" w:hAnsi="宋体" w:cs="Calibri"/>
                <w:color w:val="auto"/>
                <w:kern w:val="2"/>
                <w:sz w:val="24"/>
                <w:szCs w:val="24"/>
                <w:highlight w:val="none"/>
              </w:rPr>
              <w:t>优于招标文件要求得</w:t>
            </w:r>
            <w:r>
              <w:rPr>
                <w:rFonts w:hint="eastAsia" w:ascii="宋体" w:hAnsi="宋体" w:cs="Calibri"/>
                <w:color w:val="auto"/>
                <w:kern w:val="2"/>
                <w:sz w:val="24"/>
                <w:szCs w:val="24"/>
                <w:highlight w:val="none"/>
                <w:lang w:val="en-US" w:eastAsia="zh-CN"/>
              </w:rPr>
              <w:t>5</w:t>
            </w:r>
            <w:r>
              <w:rPr>
                <w:rFonts w:hint="eastAsia" w:ascii="宋体" w:hAnsi="宋体" w:cs="Calibri"/>
                <w:color w:val="auto"/>
                <w:kern w:val="2"/>
                <w:sz w:val="24"/>
                <w:szCs w:val="24"/>
                <w:highlight w:val="none"/>
              </w:rPr>
              <w:t>分；符合招标文件要求得</w:t>
            </w:r>
            <w:r>
              <w:rPr>
                <w:rFonts w:hint="eastAsia" w:ascii="宋体" w:hAnsi="宋体" w:cs="Calibri"/>
                <w:color w:val="auto"/>
                <w:kern w:val="2"/>
                <w:sz w:val="24"/>
                <w:szCs w:val="24"/>
                <w:highlight w:val="none"/>
                <w:lang w:val="en-US" w:eastAsia="zh-CN"/>
              </w:rPr>
              <w:t>3</w:t>
            </w:r>
            <w:r>
              <w:rPr>
                <w:rFonts w:hint="eastAsia" w:ascii="宋体" w:hAnsi="宋体" w:cs="Calibri"/>
                <w:color w:val="auto"/>
                <w:kern w:val="2"/>
                <w:sz w:val="24"/>
                <w:szCs w:val="24"/>
                <w:highlight w:val="none"/>
              </w:rPr>
              <w:t>分；不符合招标文件要求或未提供的不得分。</w:t>
            </w:r>
          </w:p>
        </w:tc>
      </w:tr>
      <w:tr w14:paraId="3129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728" w:type="pct"/>
            <w:vAlign w:val="center"/>
          </w:tcPr>
          <w:p w14:paraId="6BC074BF">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项目配备</w:t>
            </w:r>
          </w:p>
          <w:p w14:paraId="36EAF2EB">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lang w:val="zh-CN"/>
              </w:rPr>
            </w:pPr>
            <w:r>
              <w:rPr>
                <w:rFonts w:hint="default" w:ascii="宋体" w:hAnsi="宋体"/>
                <w:b/>
                <w:bCs/>
                <w:color w:val="auto"/>
                <w:kern w:val="2"/>
                <w:sz w:val="24"/>
                <w:szCs w:val="24"/>
                <w:highlight w:val="none"/>
                <w:lang w:val="zh-CN"/>
              </w:rPr>
              <w:t>设备</w:t>
            </w:r>
          </w:p>
          <w:p w14:paraId="54DA37DD">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eastAsia" w:ascii="宋体" w:hAnsi="宋体"/>
                <w:b/>
                <w:bCs/>
                <w:color w:val="auto"/>
                <w:kern w:val="2"/>
                <w:sz w:val="24"/>
                <w:szCs w:val="24"/>
                <w:highlight w:val="none"/>
              </w:rPr>
            </w:pPr>
            <w:r>
              <w:rPr>
                <w:rFonts w:hint="eastAsia" w:ascii="宋体" w:hAnsi="宋体"/>
                <w:b/>
                <w:bCs/>
                <w:color w:val="auto"/>
                <w:kern w:val="2"/>
                <w:sz w:val="24"/>
                <w:szCs w:val="24"/>
                <w:highlight w:val="none"/>
                <w:lang w:val="zh-CN"/>
              </w:rPr>
              <w:t>（</w:t>
            </w:r>
            <w:r>
              <w:rPr>
                <w:rFonts w:hint="eastAsia" w:ascii="宋体" w:hAnsi="宋体"/>
                <w:b/>
                <w:bCs/>
                <w:color w:val="auto"/>
                <w:kern w:val="2"/>
                <w:sz w:val="24"/>
                <w:szCs w:val="24"/>
                <w:highlight w:val="none"/>
                <w:lang w:val="en-US" w:eastAsia="zh-CN"/>
              </w:rPr>
              <w:t>30</w:t>
            </w:r>
            <w:r>
              <w:rPr>
                <w:rFonts w:hint="eastAsia" w:ascii="宋体" w:hAnsi="宋体"/>
                <w:b/>
                <w:bCs/>
                <w:color w:val="auto"/>
                <w:kern w:val="2"/>
                <w:sz w:val="24"/>
                <w:szCs w:val="24"/>
                <w:highlight w:val="none"/>
                <w:lang w:val="zh-CN"/>
              </w:rPr>
              <w:t>分）</w:t>
            </w:r>
          </w:p>
        </w:tc>
        <w:tc>
          <w:tcPr>
            <w:tcW w:w="4271" w:type="pct"/>
            <w:vAlign w:val="center"/>
          </w:tcPr>
          <w:p w14:paraId="5832DB32">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b/>
                <w:color w:val="auto"/>
                <w:kern w:val="2"/>
                <w:sz w:val="24"/>
                <w:szCs w:val="24"/>
                <w:highlight w:val="none"/>
                <w:lang w:val="zh-CN"/>
              </w:rPr>
            </w:pPr>
            <w:r>
              <w:rPr>
                <w:rFonts w:hint="eastAsia" w:ascii="宋体" w:hAnsi="宋体" w:eastAsia="宋体" w:cs="Times New Roman"/>
                <w:color w:val="auto"/>
                <w:kern w:val="2"/>
                <w:sz w:val="24"/>
                <w:szCs w:val="24"/>
                <w:highlight w:val="none"/>
                <w:shd w:val="clear"/>
                <w:lang w:val="en-US" w:eastAsia="zh-CN" w:bidi="ar"/>
              </w:rPr>
              <w:t>1、四分类电动垃圾收集车（其他垃圾）8辆，</w:t>
            </w:r>
            <w:r>
              <w:rPr>
                <w:rFonts w:hint="eastAsia" w:ascii="宋体" w:hAnsi="宋体"/>
                <w:color w:val="auto"/>
                <w:kern w:val="2"/>
                <w:sz w:val="24"/>
                <w:szCs w:val="24"/>
                <w:highlight w:val="none"/>
                <w:lang w:val="zh-CN"/>
              </w:rPr>
              <w:t>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16</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65A9C3A9">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b/>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2、</w:t>
            </w:r>
            <w:r>
              <w:rPr>
                <w:rFonts w:hint="eastAsia" w:ascii="宋体" w:hAnsi="宋体" w:eastAsia="宋体" w:cs="Times New Roman"/>
                <w:color w:val="auto"/>
                <w:kern w:val="2"/>
                <w:sz w:val="24"/>
                <w:szCs w:val="24"/>
                <w:highlight w:val="none"/>
                <w:shd w:val="clear"/>
                <w:lang w:val="en-US" w:eastAsia="zh-CN" w:bidi="ar"/>
              </w:rPr>
              <w:t>四分类电动垃圾收集车（</w:t>
            </w:r>
            <w:r>
              <w:rPr>
                <w:rFonts w:hint="eastAsia" w:ascii="宋体" w:hAnsi="宋体" w:cs="Times New Roman"/>
                <w:color w:val="auto"/>
                <w:kern w:val="2"/>
                <w:sz w:val="24"/>
                <w:szCs w:val="24"/>
                <w:highlight w:val="none"/>
                <w:shd w:val="clear"/>
                <w:lang w:val="en-US" w:eastAsia="zh-CN" w:bidi="ar"/>
              </w:rPr>
              <w:t>可回收物</w:t>
            </w:r>
            <w:r>
              <w:rPr>
                <w:rFonts w:hint="eastAsia" w:ascii="宋体" w:hAnsi="宋体" w:eastAsia="宋体" w:cs="Times New Roman"/>
                <w:color w:val="auto"/>
                <w:kern w:val="2"/>
                <w:sz w:val="24"/>
                <w:szCs w:val="24"/>
                <w:highlight w:val="none"/>
                <w:shd w:val="clear"/>
                <w:lang w:val="en-US" w:eastAsia="zh-CN" w:bidi="ar"/>
              </w:rPr>
              <w:t>）</w:t>
            </w:r>
            <w:r>
              <w:rPr>
                <w:rFonts w:hint="eastAsia" w:ascii="宋体" w:hAnsi="宋体" w:cs="Times New Roman"/>
                <w:color w:val="auto"/>
                <w:kern w:val="2"/>
                <w:sz w:val="24"/>
                <w:szCs w:val="24"/>
                <w:highlight w:val="none"/>
                <w:shd w:val="clear"/>
                <w:lang w:val="en-US" w:eastAsia="zh-CN" w:bidi="ar"/>
              </w:rPr>
              <w:t>1</w:t>
            </w:r>
            <w:r>
              <w:rPr>
                <w:rFonts w:hint="eastAsia" w:ascii="宋体" w:hAnsi="宋体" w:eastAsia="宋体" w:cs="Times New Roman"/>
                <w:color w:val="auto"/>
                <w:kern w:val="2"/>
                <w:sz w:val="24"/>
                <w:szCs w:val="24"/>
                <w:highlight w:val="none"/>
                <w:shd w:val="clear"/>
                <w:lang w:val="en-US" w:eastAsia="zh-CN" w:bidi="ar"/>
              </w:rPr>
              <w:t>辆，</w:t>
            </w:r>
            <w:r>
              <w:rPr>
                <w:rFonts w:hint="eastAsia" w:ascii="宋体" w:hAnsi="宋体"/>
                <w:color w:val="auto"/>
                <w:kern w:val="2"/>
                <w:sz w:val="24"/>
                <w:szCs w:val="24"/>
                <w:highlight w:val="none"/>
                <w:lang w:val="zh-CN"/>
              </w:rPr>
              <w:t>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416165B5">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b/>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shd w:val="clear"/>
                <w:lang w:val="en-US" w:eastAsia="zh-CN" w:bidi="ar"/>
              </w:rPr>
              <w:t>四分类电动垃圾收集车（</w:t>
            </w:r>
            <w:r>
              <w:rPr>
                <w:rFonts w:hint="eastAsia" w:ascii="宋体" w:hAnsi="宋体" w:cs="Times New Roman"/>
                <w:color w:val="auto"/>
                <w:kern w:val="2"/>
                <w:sz w:val="24"/>
                <w:szCs w:val="24"/>
                <w:highlight w:val="none"/>
                <w:shd w:val="clear"/>
                <w:lang w:val="en-US" w:eastAsia="zh-CN" w:bidi="ar"/>
              </w:rPr>
              <w:t>有害垃圾</w:t>
            </w:r>
            <w:r>
              <w:rPr>
                <w:rFonts w:hint="eastAsia" w:ascii="宋体" w:hAnsi="宋体" w:eastAsia="宋体" w:cs="Times New Roman"/>
                <w:color w:val="auto"/>
                <w:kern w:val="2"/>
                <w:sz w:val="24"/>
                <w:szCs w:val="24"/>
                <w:highlight w:val="none"/>
                <w:shd w:val="clear"/>
                <w:lang w:val="en-US" w:eastAsia="zh-CN" w:bidi="ar"/>
              </w:rPr>
              <w:t>）</w:t>
            </w:r>
            <w:r>
              <w:rPr>
                <w:rFonts w:hint="eastAsia" w:ascii="宋体" w:hAnsi="宋体" w:cs="Times New Roman"/>
                <w:color w:val="auto"/>
                <w:kern w:val="2"/>
                <w:sz w:val="24"/>
                <w:szCs w:val="24"/>
                <w:highlight w:val="none"/>
                <w:shd w:val="clear"/>
                <w:lang w:val="en-US" w:eastAsia="zh-CN" w:bidi="ar"/>
              </w:rPr>
              <w:t>1</w:t>
            </w:r>
            <w:r>
              <w:rPr>
                <w:rFonts w:hint="eastAsia" w:ascii="宋体" w:hAnsi="宋体" w:eastAsia="宋体" w:cs="Times New Roman"/>
                <w:color w:val="auto"/>
                <w:kern w:val="2"/>
                <w:sz w:val="24"/>
                <w:szCs w:val="24"/>
                <w:highlight w:val="none"/>
                <w:shd w:val="clear"/>
                <w:lang w:val="en-US" w:eastAsia="zh-CN" w:bidi="ar"/>
              </w:rPr>
              <w:t>辆，</w:t>
            </w:r>
            <w:r>
              <w:rPr>
                <w:rFonts w:hint="eastAsia" w:ascii="宋体" w:hAnsi="宋体"/>
                <w:color w:val="auto"/>
                <w:kern w:val="2"/>
                <w:sz w:val="24"/>
                <w:szCs w:val="24"/>
                <w:highlight w:val="none"/>
                <w:lang w:val="zh-CN"/>
              </w:rPr>
              <w:t>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1A1769EB">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b/>
                <w:color w:val="auto"/>
                <w:kern w:val="2"/>
                <w:sz w:val="24"/>
                <w:szCs w:val="24"/>
                <w:highlight w:val="none"/>
                <w:lang w:val="en-US" w:eastAsia="zh-CN"/>
              </w:rPr>
            </w:pPr>
            <w:r>
              <w:rPr>
                <w:rFonts w:hint="eastAsia" w:ascii="宋体" w:hAnsi="宋体"/>
                <w:b w:val="0"/>
                <w:bCs/>
                <w:color w:val="auto"/>
                <w:kern w:val="2"/>
                <w:sz w:val="24"/>
                <w:szCs w:val="24"/>
                <w:highlight w:val="none"/>
                <w:lang w:val="en-US" w:eastAsia="zh-CN"/>
              </w:rPr>
              <w:t>4、</w:t>
            </w:r>
            <w:r>
              <w:rPr>
                <w:rFonts w:hint="eastAsia" w:ascii="宋体" w:hAnsi="宋体" w:eastAsia="宋体" w:cs="Times New Roman"/>
                <w:color w:val="auto"/>
                <w:kern w:val="2"/>
                <w:sz w:val="24"/>
                <w:szCs w:val="24"/>
                <w:highlight w:val="none"/>
                <w:shd w:val="clear"/>
                <w:lang w:val="en-US" w:eastAsia="zh-CN" w:bidi="ar"/>
              </w:rPr>
              <w:t>四分类电动垃圾收集车（</w:t>
            </w:r>
            <w:r>
              <w:rPr>
                <w:rFonts w:hint="eastAsia" w:ascii="宋体" w:hAnsi="宋体" w:cs="Times New Roman"/>
                <w:color w:val="auto"/>
                <w:kern w:val="2"/>
                <w:sz w:val="24"/>
                <w:szCs w:val="24"/>
                <w:highlight w:val="none"/>
                <w:shd w:val="clear"/>
                <w:lang w:val="en-US" w:eastAsia="zh-CN" w:bidi="ar"/>
              </w:rPr>
              <w:t>厨余垃圾</w:t>
            </w:r>
            <w:r>
              <w:rPr>
                <w:rFonts w:hint="eastAsia" w:ascii="宋体" w:hAnsi="宋体" w:eastAsia="宋体" w:cs="Times New Roman"/>
                <w:color w:val="auto"/>
                <w:kern w:val="2"/>
                <w:sz w:val="24"/>
                <w:szCs w:val="24"/>
                <w:highlight w:val="none"/>
                <w:shd w:val="clear"/>
                <w:lang w:val="en-US" w:eastAsia="zh-CN" w:bidi="ar"/>
              </w:rPr>
              <w:t>）</w:t>
            </w:r>
            <w:r>
              <w:rPr>
                <w:rFonts w:hint="eastAsia" w:ascii="宋体" w:hAnsi="宋体" w:cs="Times New Roman"/>
                <w:color w:val="auto"/>
                <w:kern w:val="2"/>
                <w:sz w:val="24"/>
                <w:szCs w:val="24"/>
                <w:highlight w:val="none"/>
                <w:shd w:val="clear"/>
                <w:lang w:val="en-US" w:eastAsia="zh-CN" w:bidi="ar"/>
              </w:rPr>
              <w:t>2</w:t>
            </w:r>
            <w:r>
              <w:rPr>
                <w:rFonts w:hint="eastAsia" w:ascii="宋体" w:hAnsi="宋体" w:eastAsia="宋体" w:cs="Times New Roman"/>
                <w:color w:val="auto"/>
                <w:kern w:val="2"/>
                <w:sz w:val="24"/>
                <w:szCs w:val="24"/>
                <w:highlight w:val="none"/>
                <w:shd w:val="clear"/>
                <w:lang w:val="en-US" w:eastAsia="zh-CN" w:bidi="ar"/>
              </w:rPr>
              <w:t>辆，</w:t>
            </w:r>
            <w:r>
              <w:rPr>
                <w:rFonts w:hint="eastAsia" w:ascii="宋体" w:hAnsi="宋体"/>
                <w:color w:val="auto"/>
                <w:kern w:val="2"/>
                <w:sz w:val="24"/>
                <w:szCs w:val="24"/>
                <w:highlight w:val="none"/>
                <w:lang w:val="zh-CN"/>
              </w:rPr>
              <w:t>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4</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p w14:paraId="0438C5B3">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40" w:lineRule="exact"/>
              <w:ind w:left="0" w:right="0"/>
              <w:textAlignment w:val="auto"/>
              <w:rPr>
                <w:rFonts w:hint="default" w:ascii="宋体" w:hAnsi="宋体"/>
                <w:b/>
                <w:color w:val="auto"/>
                <w:kern w:val="2"/>
                <w:sz w:val="24"/>
                <w:szCs w:val="24"/>
                <w:highlight w:val="none"/>
                <w:lang w:val="en-US" w:eastAsia="zh-CN"/>
              </w:rPr>
            </w:pPr>
            <w:r>
              <w:rPr>
                <w:rFonts w:hint="eastAsia" w:ascii="宋体" w:hAnsi="宋体" w:cs="Times New Roman"/>
                <w:color w:val="auto"/>
                <w:kern w:val="2"/>
                <w:sz w:val="24"/>
                <w:szCs w:val="24"/>
                <w:highlight w:val="none"/>
                <w:shd w:val="clear"/>
                <w:lang w:val="en-US" w:eastAsia="zh-CN" w:bidi="ar"/>
              </w:rPr>
              <w:t>5</w:t>
            </w:r>
            <w:r>
              <w:rPr>
                <w:rFonts w:hint="eastAsia" w:ascii="宋体" w:hAnsi="宋体" w:eastAsia="宋体" w:cs="Times New Roman"/>
                <w:color w:val="auto"/>
                <w:kern w:val="2"/>
                <w:sz w:val="24"/>
                <w:szCs w:val="24"/>
                <w:highlight w:val="none"/>
                <w:shd w:val="clear"/>
                <w:lang w:val="en-US" w:eastAsia="zh-CN" w:bidi="ar"/>
              </w:rPr>
              <w:t>、</w:t>
            </w:r>
            <w:r>
              <w:rPr>
                <w:rFonts w:hint="eastAsia" w:ascii="宋体" w:hAnsi="宋体" w:cs="Times New Roman"/>
                <w:color w:val="auto"/>
                <w:kern w:val="2"/>
                <w:sz w:val="24"/>
                <w:szCs w:val="24"/>
                <w:highlight w:val="none"/>
                <w:shd w:val="clear"/>
                <w:lang w:val="en-US" w:eastAsia="zh-CN" w:bidi="ar"/>
              </w:rPr>
              <w:t>4轮8桶平板车3辆</w:t>
            </w:r>
            <w:r>
              <w:rPr>
                <w:rFonts w:hint="eastAsia" w:ascii="宋体" w:hAnsi="宋体"/>
                <w:color w:val="auto"/>
                <w:kern w:val="2"/>
                <w:sz w:val="24"/>
                <w:szCs w:val="24"/>
                <w:highlight w:val="none"/>
                <w:lang w:val="zh-CN"/>
              </w:rPr>
              <w:t>，如为自有（提供照片和发票原件扫描上传），如为租赁（提供出租方的发票原件和租赁（意向）合同原件扫描上传），每辆得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6</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（相关材料提供不全或未提供不得分）</w:t>
            </w:r>
          </w:p>
        </w:tc>
      </w:tr>
      <w:tr w14:paraId="54C0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728" w:type="pct"/>
            <w:vAlign w:val="center"/>
          </w:tcPr>
          <w:p w14:paraId="7D028094">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人员团队</w:t>
            </w:r>
          </w:p>
          <w:p w14:paraId="5A05BEF4">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6</w:t>
            </w:r>
            <w:r>
              <w:rPr>
                <w:rFonts w:hint="eastAsia" w:ascii="宋体" w:hAnsi="宋体"/>
                <w:b/>
                <w:bCs/>
                <w:color w:val="auto"/>
                <w:kern w:val="2"/>
                <w:sz w:val="24"/>
                <w:szCs w:val="24"/>
                <w:highlight w:val="none"/>
              </w:rPr>
              <w:t>分）</w:t>
            </w:r>
          </w:p>
        </w:tc>
        <w:tc>
          <w:tcPr>
            <w:tcW w:w="4271" w:type="pct"/>
            <w:vAlign w:val="center"/>
          </w:tcPr>
          <w:p w14:paraId="7EEF5204">
            <w:pPr>
              <w:keepNext w:val="0"/>
              <w:keepLines w:val="0"/>
              <w:suppressLineNumbers w:val="0"/>
              <w:shd w:val="clear"/>
              <w:spacing w:before="0" w:beforeAutospacing="0" w:after="0" w:afterAutospacing="0" w:line="440" w:lineRule="exact"/>
              <w:ind w:left="0" w:right="0"/>
              <w:rPr>
                <w:rFonts w:hint="default"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项目负责人（限1人）</w:t>
            </w:r>
          </w:p>
          <w:p w14:paraId="55C2DD01">
            <w:pPr>
              <w:keepNext w:val="0"/>
              <w:keepLines w:val="0"/>
              <w:suppressLineNumbers w:val="0"/>
              <w:shd w:val="clear"/>
              <w:spacing w:before="0" w:beforeAutospacing="0" w:after="0" w:afterAutospacing="0" w:line="440" w:lineRule="exact"/>
              <w:ind w:left="0" w:right="0"/>
              <w:rPr>
                <w:rFonts w:hint="default" w:ascii="宋体" w:hAnsi="宋体"/>
                <w:b/>
                <w:bCs/>
                <w:color w:val="auto"/>
                <w:kern w:val="2"/>
                <w:sz w:val="24"/>
                <w:szCs w:val="24"/>
                <w:highlight w:val="none"/>
                <w:lang w:val="en-US" w:eastAsia="zh-CN"/>
              </w:rPr>
            </w:pPr>
            <w:r>
              <w:rPr>
                <w:rFonts w:hint="eastAsia" w:ascii="宋体" w:hAnsi="宋体"/>
                <w:color w:val="auto"/>
                <w:kern w:val="2"/>
                <w:sz w:val="24"/>
                <w:szCs w:val="24"/>
                <w:highlight w:val="none"/>
                <w:lang w:val="en-US" w:eastAsia="zh-CN"/>
              </w:rPr>
              <w:t>1、拟任本项目的项目负责人具有本科及以上学历的得2分，具有大专学历的得1分；满分2分。</w:t>
            </w:r>
            <w:r>
              <w:rPr>
                <w:rFonts w:hint="eastAsia" w:ascii="宋体" w:hAnsi="宋体"/>
                <w:b/>
                <w:bCs/>
                <w:color w:val="auto"/>
                <w:kern w:val="2"/>
                <w:sz w:val="24"/>
                <w:szCs w:val="24"/>
                <w:highlight w:val="none"/>
                <w:lang w:val="en-US" w:eastAsia="zh-CN"/>
              </w:rPr>
              <w:t>（提供相关证书及投标人为其缴纳的近三个月内任意一个月的社保证明，原件扫描上传，提供不全或未提供则对应项不得分）</w:t>
            </w:r>
          </w:p>
          <w:p w14:paraId="1D3F2123">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b/>
                <w:color w:val="auto"/>
                <w:kern w:val="2"/>
                <w:sz w:val="24"/>
                <w:szCs w:val="24"/>
                <w:highlight w:val="none"/>
                <w:lang w:val="zh-CN"/>
              </w:rPr>
            </w:pPr>
            <w:r>
              <w:rPr>
                <w:rFonts w:hint="eastAsia" w:ascii="宋体" w:hAnsi="宋体"/>
                <w:color w:val="auto"/>
                <w:kern w:val="2"/>
                <w:sz w:val="24"/>
                <w:szCs w:val="24"/>
                <w:highlight w:val="none"/>
                <w:lang w:val="en-US" w:eastAsia="zh-CN"/>
              </w:rPr>
              <w:t>2、项目负责人承担过类似服务项目的，有一个得2分，满分4分。</w:t>
            </w:r>
            <w:r>
              <w:rPr>
                <w:rFonts w:hint="eastAsia" w:ascii="宋体" w:hAnsi="宋体"/>
                <w:b/>
                <w:bCs/>
                <w:color w:val="auto"/>
                <w:kern w:val="2"/>
                <w:sz w:val="24"/>
                <w:szCs w:val="24"/>
                <w:highlight w:val="none"/>
                <w:lang w:val="en-US" w:eastAsia="zh-CN"/>
              </w:rPr>
              <w:t>（提供合同原件扫描上传，合同内容必须包含合同首页、合同签订时间页、双方签字盖章页等关键信息，能体现项目服务内容及项目负责人姓名，提供不全或未提供不得分）</w:t>
            </w:r>
          </w:p>
        </w:tc>
      </w:tr>
      <w:tr w14:paraId="7653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728" w:type="pct"/>
            <w:vAlign w:val="center"/>
          </w:tcPr>
          <w:p w14:paraId="0E867EC8">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体系认证</w:t>
            </w:r>
          </w:p>
          <w:p w14:paraId="53AD918F">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w:t>
            </w:r>
            <w:r>
              <w:rPr>
                <w:rFonts w:hint="eastAsia" w:ascii="宋体" w:hAnsi="宋体"/>
                <w:b/>
                <w:bCs/>
                <w:color w:val="auto"/>
                <w:kern w:val="2"/>
                <w:sz w:val="24"/>
                <w:szCs w:val="24"/>
                <w:highlight w:val="none"/>
              </w:rPr>
              <w:t>分）</w:t>
            </w:r>
          </w:p>
        </w:tc>
        <w:tc>
          <w:tcPr>
            <w:tcW w:w="4271" w:type="pct"/>
            <w:vAlign w:val="center"/>
          </w:tcPr>
          <w:p w14:paraId="6115DD06">
            <w:pPr>
              <w:keepNext w:val="0"/>
              <w:keepLines w:val="0"/>
              <w:suppressLineNumbers w:val="0"/>
              <w:shd w:val="clear"/>
              <w:spacing w:before="0" w:beforeAutospacing="0" w:after="0" w:afterAutospacing="0" w:line="460" w:lineRule="exact"/>
              <w:ind w:left="0" w:right="0"/>
              <w:rPr>
                <w:rFonts w:hint="default" w:ascii="宋体" w:hAnsi="宋体" w:cs="宋体"/>
                <w:color w:val="auto"/>
                <w:kern w:val="2"/>
                <w:sz w:val="24"/>
                <w:szCs w:val="24"/>
                <w:highlight w:val="none"/>
              </w:rPr>
            </w:pPr>
            <w:r>
              <w:rPr>
                <w:rFonts w:hint="eastAsia" w:ascii="宋体" w:hAnsi="宋体"/>
                <w:color w:val="auto"/>
                <w:kern w:val="2"/>
                <w:sz w:val="24"/>
                <w:szCs w:val="24"/>
                <w:highlight w:val="none"/>
                <w:lang w:val="zh-CN"/>
              </w:rPr>
              <w:t>投标人具有有效期</w:t>
            </w:r>
            <w:r>
              <w:rPr>
                <w:rFonts w:hint="default" w:ascii="宋体" w:hAnsi="宋体"/>
                <w:color w:val="auto"/>
                <w:kern w:val="2"/>
                <w:sz w:val="24"/>
                <w:szCs w:val="24"/>
                <w:highlight w:val="none"/>
                <w:lang w:val="zh-CN"/>
              </w:rPr>
              <w:t>内的职业健康安全管理体系认证证书</w:t>
            </w:r>
            <w:r>
              <w:rPr>
                <w:rFonts w:hint="eastAsia" w:ascii="宋体" w:hAnsi="宋体"/>
                <w:color w:val="auto"/>
                <w:kern w:val="2"/>
                <w:sz w:val="24"/>
                <w:szCs w:val="24"/>
                <w:highlight w:val="none"/>
                <w:lang w:val="zh-CN"/>
              </w:rPr>
              <w:t>得1分，满分</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val="zh-CN"/>
              </w:rPr>
              <w:t>分</w:t>
            </w:r>
            <w:r>
              <w:rPr>
                <w:rFonts w:hint="eastAsia" w:ascii="宋体" w:hAnsi="宋体" w:cs="宋体"/>
                <w:color w:val="auto"/>
                <w:kern w:val="2"/>
                <w:sz w:val="24"/>
                <w:szCs w:val="24"/>
                <w:highlight w:val="none"/>
              </w:rPr>
              <w:t>。</w:t>
            </w:r>
          </w:p>
          <w:p w14:paraId="582FF205">
            <w:pPr>
              <w:keepNext w:val="0"/>
              <w:keepLines w:val="0"/>
              <w:suppressLineNumbers w:val="0"/>
              <w:shd w:val="clear"/>
              <w:spacing w:before="0" w:beforeAutospacing="0" w:after="0" w:afterAutospacing="0" w:line="460" w:lineRule="exact"/>
              <w:ind w:left="0" w:right="0"/>
              <w:rPr>
                <w:rFonts w:hint="eastAsia"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（以上证书均需提供证书原件扫描、以及全国认证认可信息公共服务平台的查询截图上传，提供不全或未提供不得分）</w:t>
            </w:r>
          </w:p>
          <w:p w14:paraId="0C175680">
            <w:pPr>
              <w:keepNext w:val="0"/>
              <w:keepLines w:val="0"/>
              <w:suppressLineNumbers w:val="0"/>
              <w:shd w:val="clear"/>
              <w:spacing w:before="0" w:beforeAutospacing="0" w:after="0" w:afterAutospacing="0" w:line="460" w:lineRule="exact"/>
              <w:ind w:left="0" w:right="0"/>
              <w:rPr>
                <w:rFonts w:hint="default" w:ascii="宋体" w:hAnsi="宋体" w:cs="宋体"/>
                <w:b/>
                <w:color w:val="auto"/>
                <w:kern w:val="2"/>
                <w:sz w:val="24"/>
                <w:szCs w:val="24"/>
                <w:highlight w:val="none"/>
              </w:rPr>
            </w:pPr>
            <w:r>
              <w:rPr>
                <w:rFonts w:hint="eastAsia" w:ascii="宋体" w:hAnsi="宋体"/>
                <w:b/>
                <w:color w:val="auto"/>
                <w:kern w:val="2"/>
                <w:sz w:val="24"/>
                <w:szCs w:val="24"/>
                <w:highlight w:val="none"/>
                <w:lang w:val="zh-CN"/>
              </w:rPr>
              <w:t>全国认证认可信息公共服务平台网址：</w:t>
            </w:r>
          </w:p>
          <w:p w14:paraId="01865FE3">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color w:val="auto"/>
                <w:kern w:val="2"/>
                <w:sz w:val="24"/>
                <w:szCs w:val="24"/>
                <w:highlight w:val="none"/>
              </w:rPr>
            </w:pPr>
            <w:r>
              <w:rPr>
                <w:rFonts w:hint="eastAsia" w:ascii="宋体" w:hAnsi="宋体"/>
                <w:b/>
                <w:color w:val="auto"/>
                <w:kern w:val="2"/>
                <w:sz w:val="24"/>
                <w:szCs w:val="24"/>
                <w:highlight w:val="none"/>
              </w:rPr>
              <w:t>http://cx.cnca.cn/CertECloud/result/skipResultList?certItemOne=A&amp;currentPosition=undefined，</w:t>
            </w:r>
            <w:r>
              <w:rPr>
                <w:rFonts w:hint="eastAsia" w:ascii="宋体" w:hAnsi="宋体"/>
                <w:b/>
                <w:color w:val="auto"/>
                <w:kern w:val="2"/>
                <w:sz w:val="24"/>
                <w:szCs w:val="24"/>
                <w:highlight w:val="none"/>
                <w:lang w:val="zh-CN"/>
              </w:rPr>
              <w:t>要求证书查询结果为有效</w:t>
            </w:r>
            <w:r>
              <w:rPr>
                <w:rFonts w:hint="eastAsia" w:ascii="宋体" w:hAnsi="宋体"/>
                <w:b/>
                <w:color w:val="auto"/>
                <w:kern w:val="2"/>
                <w:sz w:val="24"/>
                <w:szCs w:val="24"/>
                <w:highlight w:val="none"/>
              </w:rPr>
              <w:t>）</w:t>
            </w:r>
          </w:p>
        </w:tc>
      </w:tr>
      <w:tr w14:paraId="0667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8" w:type="pct"/>
            <w:vAlign w:val="center"/>
          </w:tcPr>
          <w:p w14:paraId="38AEF510">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业绩</w:t>
            </w:r>
          </w:p>
          <w:p w14:paraId="6531AE24">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120"/>
              <w:contextualSpacing/>
              <w:jc w:val="center"/>
              <w:textAlignment w:val="auto"/>
              <w:rPr>
                <w:rFonts w:hint="default" w:ascii="宋体" w:hAnsi="宋体"/>
                <w:b/>
                <w:bCs/>
                <w:color w:val="auto"/>
                <w:kern w:val="2"/>
                <w:sz w:val="24"/>
                <w:szCs w:val="24"/>
                <w:highlight w:val="none"/>
              </w:rPr>
            </w:pPr>
            <w:r>
              <w:rPr>
                <w:rFonts w:hint="eastAsia" w:ascii="宋体" w:hAnsi="宋体"/>
                <w:b/>
                <w:bCs/>
                <w:color w:val="auto"/>
                <w:kern w:val="2"/>
                <w:sz w:val="24"/>
                <w:szCs w:val="24"/>
                <w:highlight w:val="none"/>
              </w:rPr>
              <w:t>(</w:t>
            </w:r>
            <w:r>
              <w:rPr>
                <w:rFonts w:hint="eastAsia" w:ascii="宋体" w:hAnsi="宋体"/>
                <w:b/>
                <w:bCs/>
                <w:color w:val="auto"/>
                <w:kern w:val="2"/>
                <w:sz w:val="24"/>
                <w:szCs w:val="24"/>
                <w:highlight w:val="none"/>
                <w:lang w:val="en-US" w:eastAsia="zh-CN"/>
              </w:rPr>
              <w:t>16</w:t>
            </w:r>
            <w:r>
              <w:rPr>
                <w:rFonts w:hint="eastAsia" w:ascii="宋体" w:hAnsi="宋体"/>
                <w:b/>
                <w:bCs/>
                <w:color w:val="auto"/>
                <w:kern w:val="2"/>
                <w:sz w:val="24"/>
                <w:szCs w:val="24"/>
                <w:highlight w:val="none"/>
              </w:rPr>
              <w:t>分)</w:t>
            </w:r>
          </w:p>
        </w:tc>
        <w:tc>
          <w:tcPr>
            <w:tcW w:w="4271" w:type="pct"/>
            <w:vAlign w:val="center"/>
          </w:tcPr>
          <w:p w14:paraId="34D792D6">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b/>
                <w:color w:val="auto"/>
                <w:kern w:val="2"/>
                <w:sz w:val="24"/>
                <w:szCs w:val="24"/>
                <w:highlight w:val="none"/>
                <w:lang w:val="zh-CN"/>
              </w:rPr>
            </w:pPr>
            <w:r>
              <w:rPr>
                <w:rFonts w:hint="eastAsia" w:ascii="宋体" w:hAnsi="宋体"/>
                <w:color w:val="auto"/>
                <w:kern w:val="2"/>
                <w:sz w:val="24"/>
                <w:szCs w:val="24"/>
                <w:highlight w:val="none"/>
                <w:lang w:val="zh-CN"/>
              </w:rPr>
              <w:t>投标人自202</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val="zh-CN"/>
              </w:rPr>
              <w:t>年1月1日至今</w:t>
            </w:r>
            <w:r>
              <w:rPr>
                <w:rFonts w:hint="eastAsia" w:ascii="宋体" w:hAnsi="宋体"/>
                <w:b/>
                <w:color w:val="auto"/>
                <w:kern w:val="2"/>
                <w:sz w:val="24"/>
                <w:szCs w:val="24"/>
                <w:highlight w:val="none"/>
                <w:lang w:val="zh-CN"/>
              </w:rPr>
              <w:t>（以合同签订时间为准）</w:t>
            </w:r>
            <w:r>
              <w:rPr>
                <w:rFonts w:hint="eastAsia" w:ascii="宋体" w:hAnsi="宋体"/>
                <w:color w:val="auto"/>
                <w:kern w:val="2"/>
                <w:sz w:val="24"/>
                <w:szCs w:val="24"/>
                <w:highlight w:val="none"/>
                <w:lang w:val="zh-CN"/>
              </w:rPr>
              <w:t>，承担过</w:t>
            </w:r>
            <w:r>
              <w:rPr>
                <w:rFonts w:hint="eastAsia" w:ascii="宋体" w:hAnsi="宋体"/>
                <w:color w:val="auto"/>
                <w:kern w:val="2"/>
                <w:sz w:val="24"/>
                <w:szCs w:val="24"/>
                <w:highlight w:val="none"/>
              </w:rPr>
              <w:t>类似业务</w:t>
            </w:r>
            <w:r>
              <w:rPr>
                <w:rFonts w:hint="eastAsia" w:ascii="宋体" w:hAnsi="宋体"/>
                <w:color w:val="auto"/>
                <w:kern w:val="2"/>
                <w:sz w:val="24"/>
                <w:szCs w:val="24"/>
                <w:highlight w:val="none"/>
                <w:lang w:val="zh-CN"/>
              </w:rPr>
              <w:t>的</w:t>
            </w:r>
            <w:r>
              <w:rPr>
                <w:rFonts w:hint="eastAsia" w:ascii="宋体" w:hAnsi="宋体"/>
                <w:b/>
                <w:color w:val="auto"/>
                <w:kern w:val="2"/>
                <w:sz w:val="24"/>
                <w:szCs w:val="24"/>
                <w:highlight w:val="none"/>
                <w:lang w:val="zh-CN"/>
              </w:rPr>
              <w:t>（同一合同中包含下列</w:t>
            </w:r>
            <w:r>
              <w:rPr>
                <w:rFonts w:hint="eastAsia" w:ascii="宋体" w:hAnsi="宋体"/>
                <w:b/>
                <w:color w:val="auto"/>
                <w:kern w:val="2"/>
                <w:sz w:val="24"/>
                <w:szCs w:val="24"/>
                <w:highlight w:val="none"/>
                <w:lang w:val="en-US" w:eastAsia="zh-CN"/>
              </w:rPr>
              <w:t>两</w:t>
            </w:r>
            <w:r>
              <w:rPr>
                <w:rFonts w:hint="eastAsia" w:ascii="宋体" w:hAnsi="宋体"/>
                <w:b/>
                <w:color w:val="auto"/>
                <w:kern w:val="2"/>
                <w:sz w:val="24"/>
                <w:szCs w:val="24"/>
                <w:highlight w:val="none"/>
                <w:lang w:val="zh-CN"/>
              </w:rPr>
              <w:t>项中多个业务类型的，可按所属单项重复认定计分）：①垃圾分类或垃圾清(转)运，</w:t>
            </w:r>
            <w:r>
              <w:rPr>
                <w:rFonts w:hint="eastAsia" w:ascii="宋体" w:hAnsi="宋体"/>
                <w:color w:val="auto"/>
                <w:kern w:val="2"/>
                <w:sz w:val="24"/>
                <w:szCs w:val="24"/>
                <w:highlight w:val="none"/>
                <w:lang w:val="zh-CN"/>
              </w:rPr>
              <w:t>每有1个业绩得2分，满分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r>
              <w:rPr>
                <w:rFonts w:hint="eastAsia" w:ascii="宋体" w:hAnsi="宋体"/>
                <w:b/>
                <w:color w:val="auto"/>
                <w:kern w:val="2"/>
                <w:sz w:val="24"/>
                <w:szCs w:val="24"/>
                <w:highlight w:val="none"/>
                <w:lang w:val="zh-CN"/>
              </w:rPr>
              <w:t>②</w:t>
            </w:r>
            <w:r>
              <w:rPr>
                <w:rFonts w:hint="eastAsia" w:ascii="宋体" w:hAnsi="宋体"/>
                <w:b/>
                <w:color w:val="auto"/>
                <w:kern w:val="2"/>
                <w:sz w:val="24"/>
                <w:szCs w:val="24"/>
                <w:highlight w:val="none"/>
                <w:lang w:val="en-US" w:eastAsia="zh-CN"/>
              </w:rPr>
              <w:t>公厕保洁</w:t>
            </w:r>
            <w:r>
              <w:rPr>
                <w:rFonts w:hint="eastAsia" w:ascii="宋体" w:hAnsi="宋体"/>
                <w:b/>
                <w:color w:val="auto"/>
                <w:kern w:val="2"/>
                <w:sz w:val="24"/>
                <w:szCs w:val="24"/>
                <w:highlight w:val="none"/>
                <w:lang w:val="zh-CN"/>
              </w:rPr>
              <w:t>，</w:t>
            </w:r>
            <w:r>
              <w:rPr>
                <w:rFonts w:hint="eastAsia" w:ascii="宋体" w:hAnsi="宋体"/>
                <w:color w:val="auto"/>
                <w:kern w:val="2"/>
                <w:sz w:val="24"/>
                <w:szCs w:val="24"/>
                <w:highlight w:val="none"/>
                <w:lang w:val="zh-CN"/>
              </w:rPr>
              <w:t>每有1个业绩得</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val="zh-CN"/>
              </w:rPr>
              <w:t>分，满分</w:t>
            </w:r>
            <w:r>
              <w:rPr>
                <w:rFonts w:hint="eastAsia" w:ascii="宋体" w:hAnsi="宋体"/>
                <w:color w:val="auto"/>
                <w:kern w:val="2"/>
                <w:sz w:val="24"/>
                <w:szCs w:val="24"/>
                <w:highlight w:val="none"/>
                <w:lang w:val="en-US" w:eastAsia="zh-CN"/>
              </w:rPr>
              <w:t>8</w:t>
            </w:r>
            <w:r>
              <w:rPr>
                <w:rFonts w:hint="eastAsia" w:ascii="宋体" w:hAnsi="宋体"/>
                <w:color w:val="auto"/>
                <w:kern w:val="2"/>
                <w:sz w:val="24"/>
                <w:szCs w:val="24"/>
                <w:highlight w:val="none"/>
                <w:lang w:val="zh-CN"/>
              </w:rPr>
              <w:t>分。</w:t>
            </w:r>
          </w:p>
          <w:p w14:paraId="7DE349DE">
            <w:pPr>
              <w:keepNext w:val="0"/>
              <w:keepLines w:val="0"/>
              <w:pageBreakBefore w:val="0"/>
              <w:suppressLineNumbers w:val="0"/>
              <w:shd w:val="clear"/>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b/>
                <w:color w:val="auto"/>
                <w:kern w:val="2"/>
                <w:sz w:val="24"/>
                <w:szCs w:val="24"/>
                <w:highlight w:val="none"/>
                <w:lang w:val="zh-CN"/>
              </w:rPr>
            </w:pPr>
            <w:r>
              <w:rPr>
                <w:rFonts w:hint="eastAsia" w:ascii="宋体" w:hAnsi="宋体"/>
                <w:b/>
                <w:color w:val="auto"/>
                <w:kern w:val="2"/>
                <w:sz w:val="24"/>
                <w:szCs w:val="24"/>
                <w:highlight w:val="none"/>
                <w:lang w:val="zh-CN"/>
              </w:rPr>
              <w:t>（</w:t>
            </w:r>
            <w:r>
              <w:rPr>
                <w:rFonts w:hint="eastAsia" w:ascii="宋体" w:hAnsi="宋体"/>
                <w:b/>
                <w:color w:val="auto"/>
                <w:kern w:val="2"/>
                <w:sz w:val="24"/>
                <w:szCs w:val="24"/>
                <w:highlight w:val="none"/>
                <w:lang w:val="en-US" w:eastAsia="zh-CN"/>
              </w:rPr>
              <w:t>提供</w:t>
            </w:r>
            <w:r>
              <w:rPr>
                <w:rFonts w:hint="eastAsia" w:ascii="宋体" w:hAnsi="宋体"/>
                <w:b/>
                <w:color w:val="auto"/>
                <w:kern w:val="2"/>
                <w:sz w:val="24"/>
                <w:szCs w:val="24"/>
                <w:highlight w:val="none"/>
                <w:lang w:val="zh-CN"/>
              </w:rPr>
              <w:t>合同原件扫描上传，合同内容必须包含合同首页、合同签订时间页、双方签字盖章页等关键信息，能体现项目服务内容，</w:t>
            </w:r>
            <w:r>
              <w:rPr>
                <w:rFonts w:hint="eastAsia" w:ascii="宋体" w:hAnsi="宋体"/>
                <w:b/>
                <w:color w:val="auto"/>
                <w:kern w:val="2"/>
                <w:sz w:val="24"/>
                <w:szCs w:val="24"/>
                <w:highlight w:val="none"/>
                <w:lang w:val="en-US" w:eastAsia="zh-CN"/>
              </w:rPr>
              <w:t>且同时</w:t>
            </w:r>
            <w:r>
              <w:rPr>
                <w:rFonts w:hint="eastAsia" w:ascii="宋体" w:hAnsi="宋体"/>
                <w:b/>
                <w:color w:val="auto"/>
                <w:kern w:val="2"/>
                <w:sz w:val="24"/>
                <w:szCs w:val="24"/>
                <w:highlight w:val="none"/>
                <w:lang w:val="zh-CN"/>
              </w:rPr>
              <w:t>提供项目开具的发票或银行回单等证明材料，若刚签订的合同未到付款时间,则需提供服务单位盖章的情况说明，提供不全或未提供不得分。同一项目不同年度不累计得分）</w:t>
            </w:r>
          </w:p>
        </w:tc>
      </w:tr>
    </w:tbl>
    <w:p w14:paraId="0911490F">
      <w:pPr>
        <w:pBdr>
          <w:top w:val="none" w:color="000000" w:sz="0" w:space="0"/>
          <w:left w:val="none" w:color="000000" w:sz="0" w:space="0"/>
          <w:bottom w:val="none" w:color="000000" w:sz="0" w:space="0"/>
          <w:right w:val="none" w:color="000000" w:sz="0" w:space="0"/>
        </w:pBdr>
        <w:spacing w:before="240" w:after="240"/>
        <w:ind w:left="0" w:right="0" w:firstLine="0"/>
        <w:jc w:val="both"/>
        <w:rPr>
          <w:rFonts w:ascii="黑体" w:hAnsi="黑体" w:eastAsia="黑体" w:cs="黑体"/>
          <w:color w:val="000000"/>
          <w:sz w:val="44"/>
          <w:szCs w:val="44"/>
          <w:highlight w:val="none"/>
        </w:rPr>
      </w:pPr>
    </w:p>
    <w:p w14:paraId="01AE51CC">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18A2509B">
      <w:pPr>
        <w:pBdr>
          <w:top w:val="none" w:color="000000" w:sz="0" w:space="0"/>
          <w:left w:val="none" w:color="000000" w:sz="0" w:space="0"/>
          <w:bottom w:val="none" w:color="000000" w:sz="0" w:space="0"/>
          <w:right w:val="none" w:color="000000" w:sz="0" w:space="0"/>
        </w:pBdr>
        <w:spacing w:before="240" w:after="240"/>
        <w:ind w:left="0" w:right="0" w:firstLine="0"/>
        <w:jc w:val="left"/>
        <w:rPr>
          <w:rFonts w:ascii="黑体" w:hAnsi="黑体" w:eastAsia="黑体" w:cs="黑体"/>
          <w:color w:val="000000"/>
          <w:sz w:val="44"/>
          <w:szCs w:val="44"/>
          <w:highlight w:val="none"/>
        </w:rPr>
      </w:pPr>
    </w:p>
    <w:p w14:paraId="6D641F4F">
      <w:pPr>
        <w:pStyle w:val="182"/>
        <w:rPr>
          <w:rStyle w:val="217"/>
          <w:rFonts w:ascii="黑体" w:hAnsi="黑体" w:eastAsia="黑体" w:cs="黑体"/>
        </w:rPr>
        <w:sectPr>
          <w:pgSz w:w="11906" w:h="16838"/>
          <w:pgMar w:top="1418" w:right="1588" w:bottom="1418" w:left="1365" w:header="851" w:footer="907" w:gutter="0"/>
          <w:pgNumType w:fmt="decimal"/>
          <w:cols w:space="1701" w:num="1"/>
          <w:titlePg/>
          <w:docGrid w:linePitch="360" w:charSpace="0"/>
        </w:sectPr>
      </w:pPr>
    </w:p>
    <w:p w14:paraId="249F1E82">
      <w:pPr>
        <w:pStyle w:val="182"/>
        <w:rPr>
          <w:rFonts w:ascii="黑体" w:hAnsi="黑体" w:eastAsia="黑体" w:cs="黑体"/>
          <w:color w:val="000000"/>
          <w:sz w:val="44"/>
          <w:szCs w:val="44"/>
          <w:highlight w:val="none"/>
        </w:rPr>
      </w:pPr>
      <w:r>
        <w:rPr>
          <w:rStyle w:val="217"/>
          <w:rFonts w:ascii="黑体" w:hAnsi="黑体" w:eastAsia="黑体" w:cs="黑体"/>
        </w:rPr>
        <w:t>第六章投标文件格式</w:t>
      </w:r>
      <w:r>
        <w:rPr>
          <w:rFonts w:ascii="黑体" w:hAnsi="黑体" w:eastAsia="黑体" w:cs="黑体"/>
          <w:color w:val="000000"/>
          <w:sz w:val="44"/>
        </w:rPr>
        <w:t> </w:t>
      </w:r>
    </w:p>
    <w:p w14:paraId="24C18B0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06A27B1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投标文件</w:t>
      </w:r>
    </w:p>
    <w:p w14:paraId="49C1DEF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41401C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0B83F22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14AF2B8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203EFEC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384C8166">
      <w:pPr>
        <w:pBdr>
          <w:top w:val="none" w:color="000000" w:sz="0" w:space="0"/>
          <w:left w:val="none" w:color="000000" w:sz="0" w:space="0"/>
          <w:bottom w:val="none" w:color="000000" w:sz="0" w:space="0"/>
          <w:right w:val="none" w:color="000000" w:sz="0" w:space="0"/>
        </w:pBdr>
        <w:spacing w:before="0" w:after="0"/>
        <w:ind w:left="0" w:right="0" w:firstLine="1084"/>
        <w:jc w:val="left"/>
      </w:pPr>
      <w:r>
        <w:rPr>
          <w:rFonts w:ascii="宋体" w:hAnsi="宋体" w:eastAsia="宋体" w:cs="宋体"/>
          <w:b/>
          <w:color w:val="000000"/>
          <w:sz w:val="36"/>
        </w:rPr>
        <w:t>项 目 名 称：</w:t>
      </w:r>
      <w:r>
        <w:rPr>
          <w:rFonts w:ascii="宋体" w:hAnsi="宋体" w:eastAsia="宋体" w:cs="宋体"/>
          <w:b/>
          <w:color w:val="000000"/>
          <w:sz w:val="36"/>
          <w:u w:val="single"/>
        </w:rPr>
        <w:t>               </w:t>
      </w:r>
    </w:p>
    <w:p w14:paraId="1F56E8C5">
      <w:pPr>
        <w:pBdr>
          <w:top w:val="none" w:color="000000" w:sz="0" w:space="0"/>
          <w:left w:val="none" w:color="000000" w:sz="0" w:space="0"/>
          <w:bottom w:val="none" w:color="000000" w:sz="0" w:space="0"/>
          <w:right w:val="none" w:color="000000" w:sz="0" w:space="0"/>
        </w:pBdr>
        <w:spacing w:before="0" w:after="0"/>
        <w:ind w:left="0" w:right="0" w:firstLine="1084"/>
        <w:jc w:val="left"/>
        <w:rPr>
          <w:rFonts w:ascii="宋体" w:hAnsi="宋体" w:eastAsia="宋体" w:cs="宋体"/>
          <w:b/>
          <w:bCs/>
          <w:color w:val="000000"/>
          <w:sz w:val="36"/>
          <w:szCs w:val="36"/>
          <w:u w:val="single"/>
        </w:rPr>
      </w:pPr>
      <w:r>
        <w:rPr>
          <w:rFonts w:ascii="宋体" w:hAnsi="宋体" w:eastAsia="宋体" w:cs="宋体"/>
          <w:b/>
          <w:color w:val="000000"/>
          <w:sz w:val="36"/>
        </w:rPr>
        <w:t>项 目 编 号：</w:t>
      </w:r>
      <w:r>
        <w:rPr>
          <w:rFonts w:ascii="宋体" w:hAnsi="宋体" w:eastAsia="宋体" w:cs="宋体"/>
          <w:b/>
          <w:color w:val="000000"/>
          <w:sz w:val="36"/>
          <w:u w:val="single"/>
        </w:rPr>
        <w:t>              </w:t>
      </w:r>
    </w:p>
    <w:p w14:paraId="772B0A87">
      <w:pPr>
        <w:pBdr>
          <w:top w:val="none" w:color="000000" w:sz="0" w:space="0"/>
          <w:left w:val="none" w:color="000000" w:sz="0" w:space="0"/>
          <w:bottom w:val="none" w:color="000000" w:sz="0" w:space="0"/>
          <w:right w:val="none" w:color="000000" w:sz="0" w:space="0"/>
        </w:pBdr>
        <w:spacing w:before="0" w:after="0"/>
        <w:ind w:left="0" w:right="0" w:firstLine="1084"/>
        <w:jc w:val="left"/>
        <w:rPr>
          <w:rFonts w:ascii="宋体" w:hAnsi="宋体" w:eastAsia="宋体" w:cs="宋体"/>
          <w:b/>
          <w:bCs/>
          <w:color w:val="000000"/>
          <w:sz w:val="36"/>
          <w:szCs w:val="36"/>
          <w:u w:val="single"/>
        </w:rPr>
      </w:pPr>
      <w:r>
        <w:rPr>
          <w:rFonts w:ascii="宋体" w:hAnsi="宋体" w:eastAsia="宋体" w:cs="宋体"/>
          <w:b/>
          <w:color w:val="000000"/>
          <w:sz w:val="36"/>
        </w:rPr>
        <w:t>投标人名称 ：</w:t>
      </w:r>
      <w:r>
        <w:rPr>
          <w:rFonts w:ascii="宋体" w:hAnsi="宋体" w:eastAsia="宋体" w:cs="宋体"/>
          <w:b/>
          <w:color w:val="000000"/>
          <w:sz w:val="36"/>
          <w:u w:val="single"/>
        </w:rPr>
        <w:t>（加盖CA电子公章）</w:t>
      </w:r>
    </w:p>
    <w:p w14:paraId="1BBA368C">
      <w:pPr>
        <w:pBdr>
          <w:top w:val="none" w:color="000000" w:sz="0" w:space="0"/>
          <w:left w:val="none" w:color="000000" w:sz="0" w:space="0"/>
          <w:bottom w:val="none" w:color="000000" w:sz="0" w:space="0"/>
          <w:right w:val="none" w:color="000000" w:sz="0" w:space="0"/>
        </w:pBdr>
        <w:spacing w:before="0" w:after="0"/>
        <w:ind w:left="0" w:right="0" w:firstLine="1084"/>
        <w:jc w:val="left"/>
      </w:pPr>
      <w:r>
        <w:rPr>
          <w:rFonts w:ascii="宋体" w:hAnsi="宋体" w:eastAsia="宋体" w:cs="宋体"/>
          <w:b/>
          <w:color w:val="000000"/>
          <w:sz w:val="36"/>
        </w:rPr>
        <w:t>日期 ：</w:t>
      </w:r>
      <w:r>
        <w:rPr>
          <w:rFonts w:ascii="宋体" w:hAnsi="宋体" w:eastAsia="宋体" w:cs="宋体"/>
          <w:b/>
          <w:color w:val="000000"/>
          <w:sz w:val="36"/>
          <w:u w:val="single"/>
        </w:rPr>
        <w:t>               </w:t>
      </w:r>
    </w:p>
    <w:p w14:paraId="07CC62C7">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14:paraId="201421D1">
      <w:pPr>
        <w:pBdr>
          <w:top w:val="none" w:color="000000" w:sz="0" w:space="0"/>
          <w:left w:val="none" w:color="000000" w:sz="0" w:space="0"/>
          <w:bottom w:val="none" w:color="000000" w:sz="0" w:space="0"/>
          <w:right w:val="none" w:color="000000" w:sz="0" w:space="0"/>
        </w:pBdr>
        <w:spacing w:before="0" w:after="0" w:line="438" w:lineRule="atLeast"/>
        <w:ind w:left="0" w:right="0" w:firstLine="0"/>
        <w:jc w:val="both"/>
      </w:pPr>
      <w:r>
        <w:rPr>
          <w:rFonts w:ascii="宋体" w:hAnsi="宋体" w:eastAsia="宋体" w:cs="宋体"/>
          <w:color w:val="000000"/>
          <w:sz w:val="21"/>
        </w:rPr>
        <w:t> </w:t>
      </w:r>
    </w:p>
    <w:p w14:paraId="4F94DF7B">
      <w:pPr>
        <w:pBdr>
          <w:top w:val="none" w:color="000000" w:sz="0" w:space="0"/>
          <w:left w:val="none" w:color="000000" w:sz="0" w:space="0"/>
          <w:bottom w:val="none" w:color="000000" w:sz="0" w:space="0"/>
          <w:right w:val="none" w:color="000000" w:sz="0" w:space="0"/>
        </w:pBdr>
        <w:spacing w:before="0" w:after="0"/>
        <w:ind w:left="0" w:right="0" w:firstLine="1084"/>
        <w:jc w:val="both"/>
      </w:pPr>
      <w:r>
        <w:rPr/>
        <w:br w:type="page" w:clear="all"/>
      </w:r>
    </w:p>
    <w:p w14:paraId="51C865B6">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投标文件的组成</w:t>
      </w:r>
    </w:p>
    <w:p w14:paraId="56834415">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14:paraId="2A872A85">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一、基本目录</w:t>
      </w:r>
    </w:p>
    <w:p w14:paraId="13932A99">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1.开标一览表（格式见附件1）</w:t>
      </w:r>
    </w:p>
    <w:p w14:paraId="6F9EE854">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2.投标分项报价表（格式见附件2）</w:t>
      </w:r>
    </w:p>
    <w:p w14:paraId="3A159A92">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3.技术要求响应及偏离表（格式见附件3）</w:t>
      </w:r>
    </w:p>
    <w:p w14:paraId="4D6E4539">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4.商务要求响应及偏离表（格式见附件4）</w:t>
      </w:r>
    </w:p>
    <w:p w14:paraId="6B4B0659">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5.法人授权书（格式见附件5）</w:t>
      </w:r>
    </w:p>
    <w:p w14:paraId="1D1AD79F">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6.投标函（格式见附件6）</w:t>
      </w:r>
    </w:p>
    <w:p w14:paraId="3CFF651A">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7.主要标的信息（格式见附件7）</w:t>
      </w:r>
    </w:p>
    <w:p w14:paraId="04454781">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8.其他</w:t>
      </w:r>
    </w:p>
    <w:p w14:paraId="0D11A2AE">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****（格式见附件**）</w:t>
      </w:r>
    </w:p>
    <w:p w14:paraId="02CA3575">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二、资格审查内容</w:t>
      </w:r>
    </w:p>
    <w:p w14:paraId="5FECFE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1.法人或者其他组织的营业执照等证明文件，自然人的身份证明</w:t>
      </w:r>
    </w:p>
    <w:p w14:paraId="76DEBB4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上一</w:t>
      </w:r>
      <w:bookmarkStart w:id="0" w:name="_GoBack"/>
      <w:bookmarkEnd w:id="0"/>
      <w:r>
        <w:rPr>
          <w:rFonts w:ascii="宋体" w:hAnsi="宋体" w:eastAsia="宋体" w:cs="宋体"/>
          <w:color w:val="000000"/>
          <w:sz w:val="24"/>
        </w:rPr>
        <w:t>年度的财务状况报告（成立不满一年无需提供）</w:t>
      </w:r>
    </w:p>
    <w:p w14:paraId="132FB43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039EBF7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4.具备履行合同所必需的设备和专业技术能力的书面声明（格式见附件8）</w:t>
      </w:r>
    </w:p>
    <w:p w14:paraId="4AF1CDA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5.参加政府采购活动前 3 年内在经营活动中没有重大违法记录的书面声明（格式见附件9）</w:t>
      </w:r>
    </w:p>
    <w:p w14:paraId="2E441A27">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6.供应商信用承诺函（格式见附件10）</w:t>
      </w:r>
    </w:p>
    <w:p w14:paraId="4506097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7.企业报价折扣证明文件：</w:t>
      </w:r>
    </w:p>
    <w:p w14:paraId="7D2A04B1">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中小企业声明函（格式见附件11）。</w:t>
      </w:r>
      <w:r>
        <w:rPr>
          <w:rFonts w:ascii="宋体" w:hAnsi="宋体" w:eastAsia="宋体" w:cs="宋体"/>
          <w:color w:val="FF0000"/>
          <w:sz w:val="24"/>
        </w:rPr>
        <w:t>如果本项目专门面向中小企业采购，则必须提供。</w:t>
      </w:r>
    </w:p>
    <w:p w14:paraId="3CFA9755">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残疾人福利性单位声明函（格式见附件12）。</w:t>
      </w:r>
      <w:r>
        <w:rPr>
          <w:rFonts w:ascii="宋体" w:hAnsi="宋体" w:eastAsia="宋体" w:cs="宋体"/>
          <w:color w:val="FF0000"/>
          <w:sz w:val="24"/>
        </w:rPr>
        <w:t>如果本项目专门面向中小企业采购，供应商为残疾人福利性单位并提供本单位制造的货物，或者提供其他残疾人福利性单位制造的货物，则必须提供。</w:t>
      </w:r>
    </w:p>
    <w:p w14:paraId="66362FDE">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监狱企业的证明文件。</w:t>
      </w:r>
    </w:p>
    <w:p w14:paraId="17F4D94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 xml:space="preserve">  8.联合体协议（格式见附件13）。</w:t>
      </w:r>
      <w:r>
        <w:rPr>
          <w:rFonts w:ascii="宋体" w:hAnsi="宋体" w:eastAsia="宋体" w:cs="宋体"/>
          <w:color w:val="FF0000"/>
          <w:sz w:val="24"/>
        </w:rPr>
        <w:t>如果本项目接受联合体投标，投标人是联合体的，则必须提供。</w:t>
      </w:r>
    </w:p>
    <w:p w14:paraId="238E4A7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9.特定资格要求的证明文件。</w:t>
      </w:r>
      <w:r>
        <w:rPr>
          <w:rFonts w:ascii="宋体" w:hAnsi="宋体" w:eastAsia="宋体" w:cs="宋体"/>
          <w:color w:val="FF0000"/>
          <w:sz w:val="24"/>
        </w:rPr>
        <w:t>如果本项目对投标人做出特定资格要求的，则必须提供。</w:t>
      </w:r>
    </w:p>
    <w:p w14:paraId="4A1F1138">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三、符合性审查内容</w:t>
      </w:r>
    </w:p>
    <w:p w14:paraId="4491191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投标人必须对技术要求和商务要求中加斜体下划线的实质性要求逐条做出响应，并按照招标文件要求提供证明材料，否则做无效投标处理。（格式见附件14）</w:t>
      </w:r>
    </w:p>
    <w:p w14:paraId="00B5C1A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四、价格扣除证明文件</w:t>
      </w:r>
    </w:p>
    <w:p w14:paraId="2245E19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1.中小企业声明函（格式见附件11）</w:t>
      </w:r>
    </w:p>
    <w:p w14:paraId="7895185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2.残疾人福利性单位声明函（格式见附件12）</w:t>
      </w:r>
    </w:p>
    <w:p w14:paraId="6AAFEE2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4CD4ACF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AA9E0B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开标一览表</w:t>
      </w:r>
    </w:p>
    <w:p w14:paraId="1AE1778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p w14:paraId="0741DA6E">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投标人全称（加盖CA电子签章）：</w:t>
      </w:r>
    </w:p>
    <w:p w14:paraId="3ED2C8AD">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项目名称：</w:t>
      </w:r>
    </w:p>
    <w:p w14:paraId="01FB6F6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项目编号：</w:t>
      </w:r>
    </w:p>
    <w:p w14:paraId="62D31C6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采购包号：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31"/>
      </w:tblGrid>
      <w:tr w14:paraId="5820ED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91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D8FA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lang w:eastAsia="zh-CN"/>
              </w:rPr>
            </w:pPr>
            <w:r>
              <w:rPr>
                <w:rFonts w:ascii="宋体" w:hAnsi="宋体" w:eastAsia="宋体" w:cs="宋体"/>
                <w:b/>
                <w:color w:val="000000"/>
                <w:sz w:val="24"/>
              </w:rPr>
              <w:t>投标总报价</w:t>
            </w:r>
            <w:r>
              <w:rPr>
                <w:rFonts w:hint="eastAsia" w:ascii="宋体" w:hAnsi="宋体" w:cs="宋体"/>
                <w:b/>
                <w:color w:val="000000"/>
                <w:sz w:val="24"/>
                <w:lang w:eastAsia="zh-CN"/>
              </w:rPr>
              <w:t>（</w:t>
            </w:r>
            <w:r>
              <w:rPr>
                <w:rFonts w:hint="eastAsia" w:ascii="宋体" w:hAnsi="宋体" w:cs="宋体"/>
                <w:b/>
                <w:color w:val="000000"/>
                <w:sz w:val="24"/>
                <w:lang w:val="en-US" w:eastAsia="zh-CN"/>
              </w:rPr>
              <w:t>3年</w:t>
            </w:r>
            <w:r>
              <w:rPr>
                <w:rFonts w:hint="eastAsia" w:ascii="宋体" w:hAnsi="宋体" w:cs="宋体"/>
                <w:b/>
                <w:color w:val="000000"/>
                <w:sz w:val="24"/>
                <w:lang w:eastAsia="zh-CN"/>
              </w:rPr>
              <w:t>）</w:t>
            </w:r>
          </w:p>
        </w:tc>
      </w:tr>
      <w:tr w14:paraId="7E6E95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91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E100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大写：                   （人民币：元）</w:t>
            </w:r>
          </w:p>
        </w:tc>
      </w:tr>
      <w:tr w14:paraId="01D3A6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91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8B62F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小写：                   （人民币：元）</w:t>
            </w:r>
          </w:p>
        </w:tc>
      </w:tr>
    </w:tbl>
    <w:p w14:paraId="48EFDD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Times New Roman" w:hAnsi="Times New Roman" w:eastAsia="Times New Roman" w:cs="Times New Roman"/>
          <w:color w:val="000000"/>
          <w:sz w:val="24"/>
        </w:rPr>
        <w:t> </w:t>
      </w:r>
    </w:p>
    <w:p w14:paraId="209666E5">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4"/>
        </w:rPr>
      </w:pPr>
      <w:r>
        <w:rPr>
          <w:rFonts w:hint="eastAsia" w:eastAsia="宋体" w:cs="Times New Roman"/>
          <w:color w:val="000000"/>
          <w:sz w:val="24"/>
          <w:lang w:val="en-US" w:eastAsia="zh-CN"/>
        </w:rPr>
        <w:t>注：分包1的投标总报价=（1）道路保洁及绿化养护报价+（2）重点区域降尘作业报价。</w:t>
      </w:r>
      <w:r>
        <w:rPr>
          <w:rFonts w:ascii="Times New Roman" w:hAnsi="Times New Roman" w:eastAsia="Times New Roman" w:cs="Times New Roman"/>
          <w:color w:val="000000"/>
          <w:sz w:val="24"/>
        </w:rPr>
        <w:t> </w:t>
      </w:r>
    </w:p>
    <w:p w14:paraId="590E8843">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4"/>
        </w:rPr>
      </w:pPr>
    </w:p>
    <w:p w14:paraId="62E183C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4"/>
        </w:rPr>
        <w:t> </w:t>
      </w:r>
    </w:p>
    <w:p w14:paraId="0223CF4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附件2           投标分项报价表（采购包号：**）</w:t>
      </w:r>
    </w:p>
    <w:p w14:paraId="6161F9D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tbl>
      <w:tblPr>
        <w:tblStyle w:val="29"/>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63"/>
        <w:gridCol w:w="658"/>
        <w:gridCol w:w="897"/>
        <w:gridCol w:w="799"/>
        <w:gridCol w:w="655"/>
        <w:gridCol w:w="917"/>
        <w:gridCol w:w="4021"/>
      </w:tblGrid>
      <w:tr w14:paraId="5A730D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4B715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6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7E1F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8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851F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7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E54B0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3</w:t>
            </w:r>
          </w:p>
        </w:tc>
        <w:tc>
          <w:tcPr>
            <w:tcW w:w="6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AF932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4</w:t>
            </w:r>
          </w:p>
        </w:tc>
        <w:tc>
          <w:tcPr>
            <w:tcW w:w="9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78CF3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5</w:t>
            </w:r>
          </w:p>
        </w:tc>
        <w:tc>
          <w:tcPr>
            <w:tcW w:w="40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F1F37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6</w:t>
            </w:r>
          </w:p>
        </w:tc>
      </w:tr>
      <w:tr w14:paraId="2DCF25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6547BB0C">
            <w:pPr>
              <w:spacing w:after="0" w:line="240" w:lineRule="auto"/>
            </w:pPr>
          </w:p>
        </w:tc>
        <w:tc>
          <w:tcPr>
            <w:tcW w:w="658" w:type="dxa"/>
            <w:tcBorders>
              <w:top w:val="nil"/>
              <w:left w:val="single" w:color="000000" w:sz="4" w:space="0"/>
              <w:bottom w:val="single" w:color="000000" w:sz="8" w:space="0"/>
              <w:right w:val="single" w:color="000000" w:sz="8" w:space="0"/>
            </w:tcBorders>
            <w:noWrap w:val="0"/>
            <w:tcMar>
              <w:top w:w="0" w:type="dxa"/>
              <w:left w:w="108" w:type="dxa"/>
              <w:bottom w:w="0" w:type="dxa"/>
              <w:right w:w="108" w:type="dxa"/>
            </w:tcMar>
            <w:vAlign w:val="center"/>
          </w:tcPr>
          <w:p w14:paraId="3FD8F6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分项服务名称</w:t>
            </w:r>
          </w:p>
        </w:tc>
        <w:tc>
          <w:tcPr>
            <w:tcW w:w="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AF6AF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交付期</w:t>
            </w:r>
          </w:p>
        </w:tc>
        <w:tc>
          <w:tcPr>
            <w:tcW w:w="7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A4A8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分项单位</w:t>
            </w:r>
          </w:p>
        </w:tc>
        <w:tc>
          <w:tcPr>
            <w:tcW w:w="65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DCE7F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数量</w:t>
            </w:r>
          </w:p>
        </w:tc>
        <w:tc>
          <w:tcPr>
            <w:tcW w:w="9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D54E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w:t>
            </w:r>
          </w:p>
          <w:p w14:paraId="6D68B2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单价</w:t>
            </w:r>
          </w:p>
        </w:tc>
        <w:tc>
          <w:tcPr>
            <w:tcW w:w="40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B7F3A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w:t>
            </w:r>
          </w:p>
          <w:p w14:paraId="7F8B15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总价</w:t>
            </w:r>
          </w:p>
        </w:tc>
      </w:tr>
      <w:tr w14:paraId="2767C7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BD7C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6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4EB8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8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F244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合同签订后</w:t>
            </w:r>
            <w:r>
              <w:rPr>
                <w:rFonts w:ascii="宋体" w:hAnsi="宋体" w:eastAsia="宋体" w:cs="宋体"/>
                <w:color w:val="000000"/>
                <w:sz w:val="24"/>
                <w:u w:val="single"/>
              </w:rPr>
              <w:t xml:space="preserve">  </w:t>
            </w:r>
            <w:r>
              <w:rPr>
                <w:rFonts w:ascii="宋体" w:hAnsi="宋体" w:eastAsia="宋体" w:cs="宋体"/>
                <w:color w:val="000000"/>
                <w:sz w:val="24"/>
              </w:rPr>
              <w:t>日</w:t>
            </w:r>
          </w:p>
        </w:tc>
        <w:tc>
          <w:tcPr>
            <w:tcW w:w="7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C04CC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6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AA9E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9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48F9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40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0DE9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r>
      <w:tr w14:paraId="654E7C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4BE9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6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97695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8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38F0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7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1F2F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6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6D78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9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2870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40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5B12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r>
      <w:tr w14:paraId="7974F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4789" w:type="dxa"/>
            <w:gridSpan w:val="6"/>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424F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投标总报价（人民币：元）</w:t>
            </w:r>
          </w:p>
        </w:tc>
        <w:tc>
          <w:tcPr>
            <w:tcW w:w="40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7C1D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r>
    </w:tbl>
    <w:p w14:paraId="6E5493D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备注：</w:t>
      </w:r>
    </w:p>
    <w:p w14:paraId="002A0C7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24F1CF0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2.“投标分项报价表”中“投标总报价”数额应当与“开标一览表”中“投标总报价”数额一致。</w:t>
      </w:r>
    </w:p>
    <w:p w14:paraId="5D8239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3. 项目经办人可以根据项目实际需要对表格结构进行调整。</w:t>
      </w:r>
    </w:p>
    <w:p w14:paraId="079C2BA3">
      <w:pPr>
        <w:keepNext w:val="0"/>
        <w:keepLines w:val="0"/>
        <w:pageBreakBefore w:val="0"/>
        <w:widowControl w:val="0"/>
        <w:shd w:val="clear"/>
        <w:kinsoku/>
        <w:wordWrap/>
        <w:overflowPunct/>
        <w:topLinePunct w:val="0"/>
        <w:autoSpaceDE/>
        <w:autoSpaceDN/>
        <w:bidi w:val="0"/>
        <w:adjustRightInd/>
        <w:snapToGrid/>
        <w:spacing w:before="73" w:beforeLines="20" w:after="109" w:afterLines="30"/>
        <w:textAlignment w:val="auto"/>
        <w:rPr>
          <w:rFonts w:hint="eastAsia" w:ascii="宋体" w:hAnsi="宋体"/>
          <w:b/>
          <w:bCs/>
          <w:i/>
          <w:iCs/>
          <w:color w:val="auto"/>
          <w:sz w:val="24"/>
          <w:szCs w:val="24"/>
          <w:highlight w:val="none"/>
          <w:u w:val="single"/>
          <w:lang w:val="en-US" w:eastAsia="zh-CN"/>
        </w:rPr>
      </w:pPr>
    </w:p>
    <w:p w14:paraId="689AEA09">
      <w:pPr>
        <w:keepNext w:val="0"/>
        <w:keepLines w:val="0"/>
        <w:pageBreakBefore w:val="0"/>
        <w:widowControl w:val="0"/>
        <w:shd w:val="clear"/>
        <w:kinsoku/>
        <w:wordWrap/>
        <w:overflowPunct/>
        <w:topLinePunct w:val="0"/>
        <w:autoSpaceDE/>
        <w:autoSpaceDN/>
        <w:bidi w:val="0"/>
        <w:adjustRightInd/>
        <w:snapToGrid/>
        <w:spacing w:before="73" w:beforeLines="20" w:after="109" w:afterLines="30"/>
        <w:textAlignment w:val="auto"/>
        <w:rPr>
          <w:rFonts w:hint="eastAsia" w:ascii="宋体" w:hAnsi="宋体"/>
          <w:b/>
          <w:bCs/>
          <w:i/>
          <w:iCs/>
          <w:color w:val="auto"/>
          <w:sz w:val="24"/>
          <w:szCs w:val="24"/>
          <w:highlight w:val="none"/>
          <w:u w:val="single"/>
          <w:lang w:val="en-US" w:eastAsia="zh-CN"/>
        </w:rPr>
      </w:pPr>
      <w:r>
        <w:rPr>
          <w:rFonts w:hint="eastAsia" w:ascii="宋体" w:hAnsi="宋体"/>
          <w:b/>
          <w:bCs/>
          <w:i/>
          <w:iCs/>
          <w:color w:val="auto"/>
          <w:sz w:val="24"/>
          <w:szCs w:val="24"/>
          <w:highlight w:val="none"/>
          <w:u w:val="single"/>
          <w:lang w:val="en-US" w:eastAsia="zh-CN"/>
        </w:rPr>
        <w:t>分包一中的重点区域降尘作业，此项作业以总价报价，结算时为固定单价、最终根据作业工作量按实结算，报价表格式如下：</w:t>
      </w:r>
    </w:p>
    <w:tbl>
      <w:tblPr>
        <w:tblStyle w:val="28"/>
        <w:tblW w:w="54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416"/>
        <w:gridCol w:w="772"/>
        <w:gridCol w:w="995"/>
        <w:gridCol w:w="2138"/>
        <w:gridCol w:w="1036"/>
        <w:gridCol w:w="1376"/>
        <w:gridCol w:w="1510"/>
      </w:tblGrid>
      <w:tr w14:paraId="25BD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000" w:type="pct"/>
            <w:gridSpan w:val="8"/>
            <w:shd w:val="clear" w:color="auto" w:fill="auto"/>
            <w:vAlign w:val="center"/>
          </w:tcPr>
          <w:p w14:paraId="08924FDE">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分包1：（2）</w:t>
            </w:r>
            <w:r>
              <w:rPr>
                <w:rFonts w:hint="eastAsia" w:ascii="宋体" w:hAnsi="宋体" w:cs="宋体"/>
                <w:b/>
                <w:bCs/>
                <w:color w:val="auto"/>
                <w:kern w:val="2"/>
                <w:sz w:val="24"/>
                <w:szCs w:val="24"/>
                <w:highlight w:val="none"/>
                <w:lang w:val="en-US" w:eastAsia="zh-CN"/>
              </w:rPr>
              <w:t>重点区域</w:t>
            </w:r>
            <w:r>
              <w:rPr>
                <w:rFonts w:hint="eastAsia" w:ascii="宋体" w:hAnsi="宋体" w:eastAsia="宋体" w:cs="宋体"/>
                <w:b/>
                <w:bCs/>
                <w:color w:val="auto"/>
                <w:kern w:val="2"/>
                <w:sz w:val="24"/>
                <w:szCs w:val="24"/>
                <w:highlight w:val="none"/>
                <w:lang w:val="en-US" w:eastAsia="zh-CN"/>
              </w:rPr>
              <w:t>降尘作业报价表</w:t>
            </w:r>
          </w:p>
        </w:tc>
      </w:tr>
      <w:tr w14:paraId="0114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353" w:type="pct"/>
            <w:shd w:val="clear" w:color="auto" w:fill="auto"/>
            <w:vAlign w:val="center"/>
          </w:tcPr>
          <w:p w14:paraId="6F09AA4E">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712" w:type="pct"/>
            <w:shd w:val="clear" w:color="auto" w:fill="auto"/>
            <w:vAlign w:val="center"/>
          </w:tcPr>
          <w:p w14:paraId="33FD83CB">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车辆名称</w:t>
            </w:r>
          </w:p>
        </w:tc>
        <w:tc>
          <w:tcPr>
            <w:tcW w:w="387" w:type="pct"/>
            <w:shd w:val="clear" w:color="auto" w:fill="auto"/>
            <w:vAlign w:val="center"/>
          </w:tcPr>
          <w:p w14:paraId="0B7D6E01">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数量</w:t>
            </w:r>
          </w:p>
        </w:tc>
        <w:tc>
          <w:tcPr>
            <w:tcW w:w="500" w:type="pct"/>
            <w:shd w:val="clear" w:color="auto" w:fill="auto"/>
            <w:vAlign w:val="center"/>
          </w:tcPr>
          <w:p w14:paraId="284DF4B4">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驾驶员</w:t>
            </w:r>
          </w:p>
        </w:tc>
        <w:tc>
          <w:tcPr>
            <w:tcW w:w="1075" w:type="pct"/>
            <w:shd w:val="clear" w:color="auto" w:fill="auto"/>
            <w:vAlign w:val="center"/>
          </w:tcPr>
          <w:p w14:paraId="4DB55E8C">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单价</w:t>
            </w:r>
            <w:r>
              <w:rPr>
                <w:rFonts w:hint="eastAsia" w:ascii="宋体" w:hAnsi="宋体" w:cs="宋体"/>
                <w:color w:val="auto"/>
                <w:kern w:val="2"/>
                <w:sz w:val="24"/>
                <w:szCs w:val="24"/>
                <w:highlight w:val="none"/>
                <w:lang w:val="en-US" w:eastAsia="zh-CN"/>
              </w:rPr>
              <w:t>（含驾驶员）</w:t>
            </w:r>
          </w:p>
          <w:p w14:paraId="6D388729">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（元/</w:t>
            </w:r>
            <w:r>
              <w:rPr>
                <w:rFonts w:hint="eastAsia" w:ascii="宋体" w:hAnsi="宋体" w:cs="宋体"/>
                <w:color w:val="auto"/>
                <w:kern w:val="2"/>
                <w:sz w:val="24"/>
                <w:szCs w:val="24"/>
                <w:highlight w:val="none"/>
                <w:lang w:val="en-US" w:eastAsia="zh-CN"/>
              </w:rPr>
              <w:t>辆/天</w:t>
            </w:r>
            <w:r>
              <w:rPr>
                <w:rFonts w:hint="eastAsia" w:ascii="宋体" w:hAnsi="宋体" w:eastAsia="宋体" w:cs="宋体"/>
                <w:color w:val="auto"/>
                <w:kern w:val="2"/>
                <w:sz w:val="24"/>
                <w:szCs w:val="24"/>
                <w:highlight w:val="none"/>
                <w:lang w:val="en-US" w:eastAsia="zh-CN"/>
              </w:rPr>
              <w:t>）</w:t>
            </w:r>
          </w:p>
        </w:tc>
        <w:tc>
          <w:tcPr>
            <w:tcW w:w="521" w:type="pct"/>
            <w:shd w:val="clear" w:color="auto" w:fill="auto"/>
            <w:vAlign w:val="center"/>
          </w:tcPr>
          <w:p w14:paraId="114B9566">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计算式</w:t>
            </w:r>
          </w:p>
        </w:tc>
        <w:tc>
          <w:tcPr>
            <w:tcW w:w="692" w:type="pct"/>
            <w:shd w:val="clear" w:color="auto" w:fill="auto"/>
            <w:vAlign w:val="center"/>
          </w:tcPr>
          <w:p w14:paraId="37DE2972">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总</w:t>
            </w:r>
            <w:r>
              <w:rPr>
                <w:rFonts w:hint="eastAsia" w:ascii="宋体" w:hAnsi="宋体" w:eastAsia="宋体" w:cs="宋体"/>
                <w:color w:val="auto"/>
                <w:kern w:val="2"/>
                <w:sz w:val="24"/>
                <w:szCs w:val="24"/>
                <w:highlight w:val="none"/>
                <w:lang w:val="en-US" w:eastAsia="zh-CN"/>
              </w:rPr>
              <w:t>价</w:t>
            </w:r>
          </w:p>
          <w:p w14:paraId="4465023C">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（元/</w:t>
            </w:r>
            <w:r>
              <w:rPr>
                <w:rFonts w:hint="eastAsia" w:ascii="宋体" w:hAnsi="宋体" w:cs="宋体"/>
                <w:color w:val="auto"/>
                <w:kern w:val="2"/>
                <w:sz w:val="24"/>
                <w:szCs w:val="24"/>
                <w:highlight w:val="none"/>
                <w:lang w:val="en-US" w:eastAsia="zh-CN"/>
              </w:rPr>
              <w:t>年</w:t>
            </w:r>
            <w:r>
              <w:rPr>
                <w:rFonts w:hint="eastAsia" w:ascii="宋体" w:hAnsi="宋体" w:eastAsia="宋体" w:cs="宋体"/>
                <w:color w:val="auto"/>
                <w:kern w:val="2"/>
                <w:sz w:val="24"/>
                <w:szCs w:val="24"/>
                <w:highlight w:val="none"/>
                <w:lang w:val="en-US" w:eastAsia="zh-CN"/>
              </w:rPr>
              <w:t>）</w:t>
            </w:r>
          </w:p>
        </w:tc>
        <w:tc>
          <w:tcPr>
            <w:tcW w:w="757" w:type="pct"/>
            <w:shd w:val="clear" w:color="auto" w:fill="auto"/>
            <w:vAlign w:val="center"/>
          </w:tcPr>
          <w:p w14:paraId="08D39B91">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总价</w:t>
            </w:r>
          </w:p>
          <w:p w14:paraId="78225B6D">
            <w:pPr>
              <w:keepNext w:val="0"/>
              <w:keepLines w:val="0"/>
              <w:pageBreakBefore w:val="0"/>
              <w:widowControl/>
              <w:suppressLineNumbers w:val="0"/>
              <w:shd w:val="clear"/>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（元/3</w:t>
            </w:r>
            <w:r>
              <w:rPr>
                <w:rFonts w:hint="eastAsia" w:ascii="宋体" w:hAnsi="宋体" w:cs="宋体"/>
                <w:color w:val="auto"/>
                <w:kern w:val="2"/>
                <w:sz w:val="24"/>
                <w:szCs w:val="24"/>
                <w:highlight w:val="none"/>
                <w:lang w:val="en-US" w:eastAsia="zh-CN"/>
              </w:rPr>
              <w:t>年</w:t>
            </w:r>
            <w:r>
              <w:rPr>
                <w:rFonts w:hint="eastAsia" w:ascii="宋体" w:hAnsi="宋体" w:eastAsia="宋体" w:cs="宋体"/>
                <w:color w:val="auto"/>
                <w:kern w:val="2"/>
                <w:sz w:val="24"/>
                <w:szCs w:val="24"/>
                <w:highlight w:val="none"/>
                <w:lang w:val="en-US" w:eastAsia="zh-CN"/>
              </w:rPr>
              <w:t>）</w:t>
            </w:r>
          </w:p>
        </w:tc>
      </w:tr>
      <w:tr w14:paraId="2A2A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353" w:type="pct"/>
            <w:shd w:val="clear" w:color="auto" w:fill="auto"/>
            <w:vAlign w:val="center"/>
          </w:tcPr>
          <w:p w14:paraId="77DF80AD">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712" w:type="pct"/>
            <w:shd w:val="clear" w:color="auto" w:fill="auto"/>
            <w:vAlign w:val="center"/>
          </w:tcPr>
          <w:p w14:paraId="391D5E0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新能源</w:t>
            </w:r>
            <w:r>
              <w:rPr>
                <w:rFonts w:hint="eastAsia" w:ascii="宋体" w:hAnsi="宋体" w:eastAsia="宋体" w:cs="宋体"/>
                <w:color w:val="auto"/>
                <w:kern w:val="2"/>
                <w:sz w:val="24"/>
                <w:szCs w:val="24"/>
                <w:highlight w:val="none"/>
                <w:lang w:val="zh-CN"/>
              </w:rPr>
              <w:t>重型</w:t>
            </w:r>
            <w:r>
              <w:rPr>
                <w:rFonts w:hint="eastAsia" w:ascii="宋体" w:hAnsi="宋体" w:eastAsia="宋体" w:cs="宋体"/>
                <w:color w:val="auto"/>
                <w:kern w:val="2"/>
                <w:sz w:val="24"/>
                <w:szCs w:val="24"/>
                <w:highlight w:val="none"/>
              </w:rPr>
              <w:t>洒水车</w:t>
            </w:r>
          </w:p>
        </w:tc>
        <w:tc>
          <w:tcPr>
            <w:tcW w:w="387" w:type="pct"/>
            <w:shd w:val="clear" w:color="auto" w:fill="auto"/>
            <w:vAlign w:val="center"/>
          </w:tcPr>
          <w:p w14:paraId="0FB76019">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辆</w:t>
            </w:r>
          </w:p>
        </w:tc>
        <w:tc>
          <w:tcPr>
            <w:tcW w:w="500" w:type="pct"/>
            <w:shd w:val="clear" w:color="auto" w:fill="auto"/>
            <w:vAlign w:val="center"/>
          </w:tcPr>
          <w:p w14:paraId="1375B774">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075" w:type="pct"/>
            <w:shd w:val="clear" w:color="auto" w:fill="auto"/>
            <w:vAlign w:val="center"/>
          </w:tcPr>
          <w:p w14:paraId="1BAC1013">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521" w:type="pct"/>
            <w:vMerge w:val="restart"/>
            <w:shd w:val="clear" w:color="auto" w:fill="auto"/>
            <w:vAlign w:val="center"/>
          </w:tcPr>
          <w:p w14:paraId="5DD7FA76">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单价</w:t>
            </w:r>
            <w:r>
              <w:rPr>
                <w:rFonts w:hint="default" w:ascii="Arial" w:hAnsi="Arial" w:cs="Arial"/>
                <w:color w:val="auto"/>
                <w:kern w:val="2"/>
                <w:sz w:val="24"/>
                <w:szCs w:val="24"/>
                <w:highlight w:val="none"/>
                <w:lang w:val="en-US" w:eastAsia="zh-CN"/>
              </w:rPr>
              <w:t>×</w:t>
            </w:r>
            <w:r>
              <w:rPr>
                <w:rFonts w:hint="eastAsia" w:ascii="宋体" w:hAnsi="宋体" w:cs="宋体"/>
                <w:color w:val="auto"/>
                <w:kern w:val="2"/>
                <w:sz w:val="24"/>
                <w:szCs w:val="24"/>
                <w:highlight w:val="none"/>
                <w:shd w:val="clear"/>
                <w:lang w:val="en-US" w:eastAsia="zh-CN"/>
              </w:rPr>
              <w:t>300</w:t>
            </w:r>
            <w:r>
              <w:rPr>
                <w:rFonts w:hint="eastAsia" w:ascii="宋体" w:hAnsi="宋体" w:cs="宋体"/>
                <w:color w:val="auto"/>
                <w:kern w:val="2"/>
                <w:sz w:val="24"/>
                <w:szCs w:val="24"/>
                <w:highlight w:val="none"/>
                <w:lang w:val="en-US" w:eastAsia="zh-CN"/>
              </w:rPr>
              <w:t>天</w:t>
            </w:r>
          </w:p>
        </w:tc>
        <w:tc>
          <w:tcPr>
            <w:tcW w:w="692" w:type="pct"/>
            <w:shd w:val="clear" w:color="auto" w:fill="auto"/>
            <w:vAlign w:val="center"/>
          </w:tcPr>
          <w:p w14:paraId="08E98933">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757" w:type="pct"/>
            <w:shd w:val="clear" w:color="auto" w:fill="auto"/>
            <w:vAlign w:val="center"/>
          </w:tcPr>
          <w:p w14:paraId="7C6D5D2B">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r>
      <w:tr w14:paraId="1D21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353" w:type="pct"/>
            <w:shd w:val="clear" w:color="auto" w:fill="auto"/>
            <w:vAlign w:val="center"/>
          </w:tcPr>
          <w:p w14:paraId="6085FF60">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w:t>
            </w:r>
          </w:p>
        </w:tc>
        <w:tc>
          <w:tcPr>
            <w:tcW w:w="712" w:type="pct"/>
            <w:shd w:val="clear" w:color="auto" w:fill="auto"/>
            <w:vAlign w:val="center"/>
          </w:tcPr>
          <w:p w14:paraId="795CE44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深度保洁车</w:t>
            </w:r>
          </w:p>
        </w:tc>
        <w:tc>
          <w:tcPr>
            <w:tcW w:w="387" w:type="pct"/>
            <w:shd w:val="clear" w:color="auto" w:fill="auto"/>
            <w:vAlign w:val="center"/>
          </w:tcPr>
          <w:p w14:paraId="48D73696">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1辆</w:t>
            </w:r>
          </w:p>
        </w:tc>
        <w:tc>
          <w:tcPr>
            <w:tcW w:w="500" w:type="pct"/>
            <w:shd w:val="clear" w:color="auto" w:fill="auto"/>
            <w:vAlign w:val="center"/>
          </w:tcPr>
          <w:p w14:paraId="6C2FAB45">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1名</w:t>
            </w:r>
          </w:p>
        </w:tc>
        <w:tc>
          <w:tcPr>
            <w:tcW w:w="1075" w:type="pct"/>
            <w:shd w:val="clear" w:color="auto" w:fill="auto"/>
            <w:vAlign w:val="center"/>
          </w:tcPr>
          <w:p w14:paraId="6901E71F">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p>
        </w:tc>
        <w:tc>
          <w:tcPr>
            <w:tcW w:w="521" w:type="pct"/>
            <w:vMerge w:val="continue"/>
            <w:shd w:val="clear" w:color="auto" w:fill="auto"/>
            <w:vAlign w:val="center"/>
          </w:tcPr>
          <w:p w14:paraId="13E15082">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p>
        </w:tc>
        <w:tc>
          <w:tcPr>
            <w:tcW w:w="692" w:type="pct"/>
            <w:shd w:val="clear" w:color="auto" w:fill="auto"/>
            <w:vAlign w:val="center"/>
          </w:tcPr>
          <w:p w14:paraId="4EBCFC92">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p>
        </w:tc>
        <w:tc>
          <w:tcPr>
            <w:tcW w:w="757" w:type="pct"/>
            <w:shd w:val="clear" w:color="auto" w:fill="auto"/>
            <w:vAlign w:val="center"/>
          </w:tcPr>
          <w:p w14:paraId="20948930">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p>
        </w:tc>
      </w:tr>
      <w:tr w14:paraId="6881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353" w:type="pct"/>
            <w:shd w:val="clear" w:color="auto" w:fill="auto"/>
            <w:vAlign w:val="center"/>
          </w:tcPr>
          <w:p w14:paraId="6386E6F1">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w:t>
            </w:r>
          </w:p>
        </w:tc>
        <w:tc>
          <w:tcPr>
            <w:tcW w:w="712" w:type="pct"/>
            <w:shd w:val="clear" w:color="auto" w:fill="auto"/>
            <w:vAlign w:val="center"/>
          </w:tcPr>
          <w:p w14:paraId="1D0FD3D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新能源重型雾炮车</w:t>
            </w:r>
          </w:p>
          <w:p w14:paraId="663B44B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shd w:val="clear"/>
                <w:lang w:val="en-US" w:eastAsia="zh-CN"/>
              </w:rPr>
              <w:t>（降尘车）</w:t>
            </w:r>
          </w:p>
        </w:tc>
        <w:tc>
          <w:tcPr>
            <w:tcW w:w="387" w:type="pct"/>
            <w:shd w:val="clear" w:color="auto" w:fill="auto"/>
            <w:vAlign w:val="center"/>
          </w:tcPr>
          <w:p w14:paraId="534C4AD2">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辆</w:t>
            </w:r>
          </w:p>
        </w:tc>
        <w:tc>
          <w:tcPr>
            <w:tcW w:w="500" w:type="pct"/>
            <w:shd w:val="clear" w:color="auto" w:fill="auto"/>
            <w:vAlign w:val="center"/>
          </w:tcPr>
          <w:p w14:paraId="370B2A1D">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4名</w:t>
            </w:r>
          </w:p>
        </w:tc>
        <w:tc>
          <w:tcPr>
            <w:tcW w:w="1075" w:type="pct"/>
            <w:shd w:val="clear" w:color="auto" w:fill="auto"/>
            <w:vAlign w:val="center"/>
          </w:tcPr>
          <w:p w14:paraId="0F7D500C">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521" w:type="pct"/>
            <w:vMerge w:val="continue"/>
            <w:shd w:val="clear" w:color="auto" w:fill="auto"/>
            <w:vAlign w:val="center"/>
          </w:tcPr>
          <w:p w14:paraId="57124E78">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692" w:type="pct"/>
            <w:shd w:val="clear" w:color="auto" w:fill="auto"/>
            <w:vAlign w:val="center"/>
          </w:tcPr>
          <w:p w14:paraId="7A73A847">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757" w:type="pct"/>
            <w:shd w:val="clear" w:color="auto" w:fill="auto"/>
            <w:vAlign w:val="center"/>
          </w:tcPr>
          <w:p w14:paraId="023A0ED7">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r>
      <w:tr w14:paraId="5B28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353" w:type="pct"/>
            <w:shd w:val="clear" w:color="auto" w:fill="auto"/>
            <w:vAlign w:val="center"/>
          </w:tcPr>
          <w:p w14:paraId="587B3704">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w:t>
            </w:r>
          </w:p>
        </w:tc>
        <w:tc>
          <w:tcPr>
            <w:tcW w:w="712" w:type="pct"/>
            <w:shd w:val="clear" w:color="auto" w:fill="auto"/>
            <w:vAlign w:val="center"/>
          </w:tcPr>
          <w:p w14:paraId="23910DB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重型雾炮车</w:t>
            </w:r>
          </w:p>
          <w:p w14:paraId="281D5C4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（降尘车）</w:t>
            </w:r>
          </w:p>
        </w:tc>
        <w:tc>
          <w:tcPr>
            <w:tcW w:w="387" w:type="pct"/>
            <w:shd w:val="clear" w:color="auto" w:fill="auto"/>
            <w:vAlign w:val="center"/>
          </w:tcPr>
          <w:p w14:paraId="1D0ADF69">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1辆</w:t>
            </w:r>
          </w:p>
        </w:tc>
        <w:tc>
          <w:tcPr>
            <w:tcW w:w="500" w:type="pct"/>
            <w:shd w:val="clear" w:color="auto" w:fill="auto"/>
            <w:vAlign w:val="center"/>
          </w:tcPr>
          <w:p w14:paraId="29A23FC8">
            <w:pPr>
              <w:keepNext w:val="0"/>
              <w:keepLines w:val="0"/>
              <w:widowControl/>
              <w:suppressLineNumbers w:val="0"/>
              <w:shd w:val="clear"/>
              <w:spacing w:before="0" w:beforeAutospacing="0" w:after="0" w:afterAutospacing="0" w:line="540" w:lineRule="exact"/>
              <w:ind w:left="0" w:right="0"/>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2名</w:t>
            </w:r>
          </w:p>
        </w:tc>
        <w:tc>
          <w:tcPr>
            <w:tcW w:w="1075" w:type="pct"/>
            <w:shd w:val="clear" w:color="auto" w:fill="auto"/>
            <w:vAlign w:val="center"/>
          </w:tcPr>
          <w:p w14:paraId="44479434">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521" w:type="pct"/>
            <w:vMerge w:val="continue"/>
            <w:shd w:val="clear" w:color="auto" w:fill="auto"/>
            <w:vAlign w:val="center"/>
          </w:tcPr>
          <w:p w14:paraId="32FFB21A">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692" w:type="pct"/>
            <w:shd w:val="clear" w:color="auto" w:fill="auto"/>
            <w:vAlign w:val="center"/>
          </w:tcPr>
          <w:p w14:paraId="1C144751">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c>
          <w:tcPr>
            <w:tcW w:w="757" w:type="pct"/>
            <w:shd w:val="clear" w:color="auto" w:fill="auto"/>
            <w:vAlign w:val="center"/>
          </w:tcPr>
          <w:p w14:paraId="05051C2E">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r>
      <w:tr w14:paraId="6582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453" w:type="pct"/>
            <w:gridSpan w:val="3"/>
            <w:shd w:val="clear" w:color="auto" w:fill="auto"/>
            <w:vAlign w:val="center"/>
          </w:tcPr>
          <w:p w14:paraId="0C3CD396">
            <w:pPr>
              <w:keepNext w:val="0"/>
              <w:keepLines w:val="0"/>
              <w:widowControl/>
              <w:suppressLineNumbers w:val="0"/>
              <w:shd w:val="clear"/>
              <w:spacing w:before="0" w:beforeAutospacing="0" w:after="0" w:afterAutospacing="0" w:line="540" w:lineRule="exact"/>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小计</w:t>
            </w:r>
            <w:r>
              <w:rPr>
                <w:rFonts w:hint="eastAsia" w:ascii="宋体" w:hAnsi="宋体"/>
                <w:color w:val="auto"/>
                <w:kern w:val="2"/>
                <w:sz w:val="24"/>
                <w:szCs w:val="24"/>
                <w:highlight w:val="none"/>
              </w:rPr>
              <w:t>（人民币：元）</w:t>
            </w:r>
          </w:p>
        </w:tc>
        <w:tc>
          <w:tcPr>
            <w:tcW w:w="3546" w:type="pct"/>
            <w:gridSpan w:val="5"/>
            <w:shd w:val="clear" w:color="auto" w:fill="auto"/>
            <w:vAlign w:val="center"/>
          </w:tcPr>
          <w:p w14:paraId="535F8CD9">
            <w:pPr>
              <w:keepNext w:val="0"/>
              <w:keepLines w:val="0"/>
              <w:widowControl/>
              <w:suppressLineNumbers w:val="0"/>
              <w:shd w:val="clear"/>
              <w:spacing w:before="0" w:beforeAutospacing="0" w:after="0" w:afterAutospacing="0" w:line="540" w:lineRule="exact"/>
              <w:ind w:left="0" w:right="0"/>
              <w:jc w:val="center"/>
              <w:rPr>
                <w:rFonts w:hint="eastAsia" w:ascii="宋体" w:hAnsi="宋体" w:eastAsia="宋体" w:cs="宋体"/>
                <w:color w:val="auto"/>
                <w:kern w:val="2"/>
                <w:sz w:val="24"/>
                <w:szCs w:val="24"/>
                <w:highlight w:val="none"/>
                <w:lang w:val="en-US" w:eastAsia="zh-CN"/>
              </w:rPr>
            </w:pPr>
          </w:p>
        </w:tc>
      </w:tr>
    </w:tbl>
    <w:p w14:paraId="424F09AF">
      <w:pPr>
        <w:shd w:val="clear"/>
        <w:rPr>
          <w:rFonts w:hint="eastAsia" w:ascii="宋体" w:hAnsi="宋体"/>
          <w:color w:val="auto"/>
          <w:sz w:val="24"/>
          <w:szCs w:val="24"/>
          <w:highlight w:val="none"/>
          <w:lang w:val="en-US" w:eastAsia="zh-CN"/>
        </w:rPr>
      </w:pPr>
    </w:p>
    <w:p w14:paraId="6B809690">
      <w:pPr>
        <w:shd w:val="clear"/>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rPr>
        <w:t>备注</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报价单价、总价中应包含配套驾驶员费用、油费、耗材费、维护费、折旧费、保险费、涂装费等及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52EEFDF5">
      <w:pPr>
        <w:shd w:val="clear"/>
        <w:jc w:val="both"/>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备注2：</w:t>
      </w:r>
      <w:r>
        <w:rPr>
          <w:rFonts w:hint="eastAsia" w:ascii="宋体" w:hAnsi="宋体"/>
          <w:i/>
          <w:iCs/>
          <w:color w:val="auto"/>
          <w:sz w:val="24"/>
          <w:szCs w:val="24"/>
          <w:highlight w:val="none"/>
          <w:u w:val="single"/>
          <w:lang w:val="en-US" w:eastAsia="zh-CN"/>
        </w:rPr>
        <w:t>表格中已列明内容，不得删减或调整。</w:t>
      </w:r>
    </w:p>
    <w:p w14:paraId="6F88B2E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p w14:paraId="5970C915">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附件3            技术要求响应及偏离表（采购包号：**）</w:t>
      </w:r>
    </w:p>
    <w:p w14:paraId="02014ED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tbl>
      <w:tblPr>
        <w:tblStyle w:val="29"/>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2989"/>
      </w:tblGrid>
      <w:tr w14:paraId="5A926A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E0623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6B4FEB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0809BA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298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A28CD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67BCAD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82B6E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6D89A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CFEADF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9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DE05D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554255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B9454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8D8B2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92D1F7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9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D331CB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7F6E1F3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附件3-1  证明材料1，证明材料2，……</w:t>
      </w:r>
    </w:p>
    <w:p w14:paraId="2429A1D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73AA135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1.投标人需对技术要求（未加斜体下划线的非实质性要求）逐条做出明确响应。</w:t>
      </w:r>
    </w:p>
    <w:p w14:paraId="159D40B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14:paraId="42436E8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0CDF5CB0">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4A108C75">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73C18055">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429E1630">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19DE933A">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082355E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附件4           商务要求响应及偏离表（采购包号：**）</w:t>
      </w:r>
    </w:p>
    <w:p w14:paraId="6C09F8C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tbl>
      <w:tblPr>
        <w:tblStyle w:val="29"/>
        <w:tblW w:w="870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2962"/>
      </w:tblGrid>
      <w:tr w14:paraId="6CCA54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50D2E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A0C85F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商务要求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3E3DCA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29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F4255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7F22FA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B8F7E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12BC2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55604F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96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A6B5B8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1A0657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5343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35FC8C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3C2504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96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9348A9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0422AB6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附件4-1  证明材料1，证明材料2，……</w:t>
      </w:r>
    </w:p>
    <w:p w14:paraId="4676A21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0421600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5E61C54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1.投标人需对商务要求（未加斜体下划线的非实质性要求）逐条做出明确响应。</w:t>
      </w:r>
    </w:p>
    <w:p w14:paraId="599D1C3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14:paraId="048BAA6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36EC8F50">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3ECD01B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0589CDA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63E81CA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6790A9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88A433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b/>
          <w:color w:val="000000"/>
          <w:sz w:val="24"/>
        </w:rPr>
      </w:pPr>
      <w:r>
        <w:rPr>
          <w:rFonts w:ascii="宋体" w:hAnsi="宋体" w:eastAsia="宋体" w:cs="宋体"/>
          <w:b/>
          <w:color w:val="000000"/>
          <w:sz w:val="24"/>
        </w:rPr>
        <w:t>附件5             法人授权书</w:t>
      </w:r>
    </w:p>
    <w:p w14:paraId="00F9637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b/>
          <w:color w:val="000000"/>
          <w:sz w:val="24"/>
        </w:rPr>
      </w:pPr>
    </w:p>
    <w:p w14:paraId="386E90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本授权书声明：____________（投标人名称）授权</w:t>
      </w:r>
      <w:r>
        <w:rPr>
          <w:rFonts w:ascii="Times New Roman" w:hAnsi="Times New Roman" w:eastAsia="Times New Roman" w:cs="Times New Roman"/>
          <w:color w:val="000000"/>
          <w:sz w:val="24"/>
        </w:rPr>
        <w:t>________________</w:t>
      </w:r>
      <w:r>
        <w:rPr>
          <w:rFonts w:ascii="宋体" w:hAnsi="宋体" w:eastAsia="宋体" w:cs="宋体"/>
          <w:color w:val="000000"/>
          <w:sz w:val="24"/>
        </w:rPr>
        <w:t>（被授权人的姓名）为我方就</w:t>
      </w:r>
      <w:r>
        <w:rPr>
          <w:rFonts w:ascii="Times New Roman" w:hAnsi="Times New Roman" w:eastAsia="Times New Roman" w:cs="Times New Roman"/>
          <w:color w:val="000000"/>
          <w:sz w:val="24"/>
          <w:u w:val="single"/>
        </w:rPr>
        <w:t>***</w:t>
      </w:r>
      <w:r>
        <w:rPr>
          <w:rFonts w:ascii="宋体" w:hAnsi="宋体" w:eastAsia="宋体" w:cs="宋体"/>
          <w:color w:val="000000"/>
          <w:sz w:val="24"/>
        </w:rPr>
        <w:t>号项目采购活动的合法代理人，以本单位名义全权处理一切与该项目采购有关的事务。</w:t>
      </w:r>
    </w:p>
    <w:p w14:paraId="00B3FF3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本授权书于______年</w:t>
      </w:r>
      <w:r>
        <w:rPr>
          <w:rFonts w:ascii="Times New Roman" w:hAnsi="Times New Roman" w:eastAsia="Times New Roman" w:cs="Times New Roman"/>
          <w:color w:val="000000"/>
          <w:sz w:val="24"/>
        </w:rPr>
        <w:t>____</w:t>
      </w:r>
      <w:r>
        <w:rPr>
          <w:rFonts w:ascii="宋体" w:hAnsi="宋体" w:eastAsia="宋体" w:cs="宋体"/>
          <w:color w:val="000000"/>
          <w:sz w:val="24"/>
        </w:rPr>
        <w:t>月</w:t>
      </w:r>
      <w:r>
        <w:rPr>
          <w:rFonts w:ascii="Times New Roman" w:hAnsi="Times New Roman" w:eastAsia="Times New Roman" w:cs="Times New Roman"/>
          <w:color w:val="000000"/>
          <w:sz w:val="24"/>
        </w:rPr>
        <w:t>____</w:t>
      </w:r>
      <w:r>
        <w:rPr>
          <w:rFonts w:ascii="宋体" w:hAnsi="宋体" w:eastAsia="宋体" w:cs="宋体"/>
          <w:color w:val="000000"/>
          <w:sz w:val="24"/>
        </w:rPr>
        <w:t>日起生效，特此声明。</w:t>
      </w:r>
    </w:p>
    <w:p w14:paraId="25DB9409">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被授权人身份证号码：           </w:t>
      </w:r>
    </w:p>
    <w:p w14:paraId="24B78F19">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被授权人联系电话：（手机）           </w:t>
      </w:r>
    </w:p>
    <w:p w14:paraId="74CEFC97">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FF0000"/>
          <w:sz w:val="24"/>
        </w:rPr>
        <w:t>被授权人电子邮箱</w:t>
      </w:r>
      <w:r>
        <w:rPr>
          <w:rFonts w:ascii="宋体" w:hAnsi="宋体" w:eastAsia="宋体" w:cs="宋体"/>
          <w:color w:val="000000"/>
          <w:sz w:val="24"/>
        </w:rPr>
        <w:t>：</w:t>
      </w:r>
      <w:r>
        <w:rPr>
          <w:rFonts w:ascii="宋体" w:hAnsi="宋体" w:eastAsia="宋体" w:cs="宋体"/>
          <w:color w:val="000000"/>
          <w:sz w:val="24"/>
          <w:u w:val="single"/>
        </w:rPr>
        <w:t>           </w:t>
      </w:r>
    </w:p>
    <w:p w14:paraId="5D5F789C">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000000"/>
          <w:sz w:val="24"/>
        </w:rPr>
        <w:t>授权单位名称：</w:t>
      </w:r>
      <w:r>
        <w:rPr>
          <w:rFonts w:ascii="宋体" w:hAnsi="宋体" w:eastAsia="宋体" w:cs="宋体"/>
          <w:color w:val="000000"/>
          <w:sz w:val="24"/>
          <w:u w:val="single"/>
        </w:rPr>
        <w:t>（加盖CA电子公章）</w:t>
      </w:r>
    </w:p>
    <w:p w14:paraId="5C404064">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单位地址：           </w:t>
      </w:r>
    </w:p>
    <w:p w14:paraId="4D24B197">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日期：           </w:t>
      </w:r>
    </w:p>
    <w:p w14:paraId="24BA0AA7">
      <w:pPr>
        <w:pBdr>
          <w:top w:val="none" w:color="000000" w:sz="0" w:space="0"/>
          <w:left w:val="none" w:color="000000" w:sz="0" w:space="0"/>
          <w:bottom w:val="none" w:color="000000" w:sz="0" w:space="0"/>
          <w:right w:val="none" w:color="000000" w:sz="0" w:space="0"/>
        </w:pBdr>
        <w:spacing w:before="260" w:after="260"/>
        <w:ind w:left="0" w:right="0" w:firstLine="0"/>
        <w:jc w:val="both"/>
      </w:pPr>
      <w:r>
        <w:rPr/>
        <w:br w:type="page" w:clear="all"/>
      </w:r>
    </w:p>
    <w:p w14:paraId="1FD501ED">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附件6              投标函</w:t>
      </w:r>
    </w:p>
    <w:p w14:paraId="1F0FF7D0">
      <w:pPr>
        <w:pBdr>
          <w:top w:val="none" w:color="000000" w:sz="0" w:space="0"/>
          <w:left w:val="none" w:color="000000" w:sz="0" w:space="0"/>
          <w:bottom w:val="none" w:color="000000" w:sz="0" w:space="0"/>
          <w:right w:val="none" w:color="000000" w:sz="0" w:space="0"/>
        </w:pBdr>
        <w:spacing w:before="0" w:after="0" w:line="418" w:lineRule="atLeast"/>
        <w:ind w:left="0" w:right="0" w:firstLine="0"/>
        <w:jc w:val="both"/>
      </w:pPr>
      <w:r>
        <w:rPr>
          <w:rFonts w:ascii="宋体" w:hAnsi="宋体" w:eastAsia="宋体" w:cs="宋体"/>
          <w:color w:val="000000"/>
          <w:sz w:val="24"/>
        </w:rPr>
        <w:t>致：扬州市公共资源交易中心：</w:t>
      </w:r>
    </w:p>
    <w:p w14:paraId="491B2A28">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根据贵方的</w:t>
      </w:r>
      <w:r>
        <w:rPr>
          <w:rFonts w:ascii="宋体" w:hAnsi="宋体" w:eastAsia="宋体" w:cs="宋体"/>
          <w:color w:val="000000"/>
          <w:sz w:val="24"/>
          <w:u w:val="single"/>
        </w:rPr>
        <w:t>****</w:t>
      </w:r>
      <w:r>
        <w:rPr>
          <w:rFonts w:ascii="宋体" w:hAnsi="宋体" w:eastAsia="宋体" w:cs="宋体"/>
          <w:color w:val="000000"/>
          <w:sz w:val="24"/>
        </w:rPr>
        <w:t>号招标文件，正式授权下述签字人_____(姓名)代表我方_______（投标人的名称），全权处理本次项目投标的有关事宜。</w:t>
      </w:r>
    </w:p>
    <w:p w14:paraId="27B8BBAA">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据此函，__________签字人兹宣布同意如下：</w:t>
      </w:r>
    </w:p>
    <w:p w14:paraId="776BB9D6">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1.按招标文件规定的各项要求，向买方提供所需货物（包含与货物相关的服务）。</w:t>
      </w:r>
    </w:p>
    <w:p w14:paraId="4D8BFEE1">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2.我们完全理解贵方不一定将合同授予最低报价的投标人。</w:t>
      </w:r>
    </w:p>
    <w:p w14:paraId="57FC9082">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3.我们已详细审核全部招标文件及其有效补充文件，我们知道必须放弃提出含糊不清或误解问题的权利。</w:t>
      </w:r>
    </w:p>
    <w:p w14:paraId="7D166B27">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4.我们同意从规定的开标日期起遵循本投标文件，并在规定的投标有效期期满之前均具有约束力。</w:t>
      </w:r>
    </w:p>
    <w:p w14:paraId="5006FAA8">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14:paraId="70399436">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14:paraId="34BBCDE1">
      <w:pPr>
        <w:pBdr>
          <w:top w:val="none" w:color="000000" w:sz="0" w:space="0"/>
          <w:left w:val="none" w:color="000000" w:sz="0" w:space="0"/>
          <w:bottom w:val="none" w:color="000000" w:sz="0" w:space="0"/>
          <w:right w:val="none" w:color="000000" w:sz="0" w:space="0"/>
        </w:pBdr>
        <w:spacing w:before="0" w:after="0" w:line="418" w:lineRule="atLeast"/>
        <w:ind w:left="425" w:right="0" w:firstLine="0"/>
        <w:jc w:val="both"/>
      </w:pPr>
      <w:r>
        <w:rPr>
          <w:rFonts w:ascii="宋体" w:hAnsi="宋体" w:eastAsia="宋体" w:cs="宋体"/>
          <w:color w:val="000000"/>
          <w:sz w:val="24"/>
        </w:rPr>
        <w:t>7.与本投标有关的正式通讯地址为：</w:t>
      </w:r>
    </w:p>
    <w:p w14:paraId="7C92663A">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地址：</w:t>
      </w:r>
    </w:p>
    <w:p w14:paraId="09BBEE3A">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邮编：</w:t>
      </w:r>
    </w:p>
    <w:p w14:paraId="5D7DDC61">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电话：</w:t>
      </w:r>
    </w:p>
    <w:p w14:paraId="0B4B5D9E">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传真：</w:t>
      </w:r>
    </w:p>
    <w:p w14:paraId="4B1A66C1">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投标人开户行：</w:t>
      </w:r>
    </w:p>
    <w:p w14:paraId="7BE40C50">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 xml:space="preserve">账号： </w:t>
      </w:r>
    </w:p>
    <w:p w14:paraId="7C3AFF80">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日期：______年____月____日</w:t>
      </w:r>
    </w:p>
    <w:p w14:paraId="472C8D9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A9F2DB8">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7310F433">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52E3C03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4A5DD1A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71C9F79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2218CCF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72BA5EC8">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rPr>
          <w:rFonts w:ascii="宋体" w:hAnsi="宋体" w:eastAsia="宋体" w:cs="宋体"/>
          <w:b/>
          <w:color w:val="000000"/>
          <w:sz w:val="24"/>
        </w:rPr>
      </w:pPr>
    </w:p>
    <w:p w14:paraId="5F9DE7DB">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rPr>
          <w:rFonts w:ascii="宋体" w:hAnsi="宋体" w:eastAsia="宋体" w:cs="宋体"/>
          <w:b/>
          <w:color w:val="000000"/>
          <w:sz w:val="24"/>
        </w:rPr>
      </w:pPr>
    </w:p>
    <w:p w14:paraId="498DB43B">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rPr>
          <w:rFonts w:ascii="宋体" w:hAnsi="宋体" w:eastAsia="宋体" w:cs="宋体"/>
          <w:b/>
          <w:color w:val="000000"/>
          <w:sz w:val="24"/>
        </w:rPr>
      </w:pPr>
      <w:r>
        <w:rPr>
          <w:rFonts w:ascii="宋体" w:hAnsi="宋体" w:eastAsia="宋体" w:cs="宋体"/>
          <w:b/>
          <w:color w:val="000000"/>
          <w:sz w:val="24"/>
        </w:rPr>
        <w:t>附件7           主要标的信息（中标后将公示）</w:t>
      </w:r>
    </w:p>
    <w:p w14:paraId="44071F0A">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rPr>
          <w:rFonts w:ascii="宋体" w:hAnsi="宋体" w:eastAsia="宋体" w:cs="宋体"/>
          <w:b/>
          <w:color w:val="000000"/>
          <w:sz w:val="24"/>
        </w:rPr>
      </w:pPr>
    </w:p>
    <w:p w14:paraId="78A25F27">
      <w:pPr>
        <w:pBdr>
          <w:top w:val="none" w:color="000000" w:sz="0" w:space="0"/>
          <w:left w:val="none" w:color="000000" w:sz="0" w:space="0"/>
          <w:bottom w:val="none" w:color="000000" w:sz="0" w:space="0"/>
          <w:right w:val="none" w:color="000000" w:sz="0" w:space="0"/>
        </w:pBdr>
        <w:spacing w:before="0" w:after="312"/>
        <w:ind w:left="0" w:right="0" w:firstLine="0"/>
        <w:jc w:val="both"/>
      </w:pPr>
      <w:r>
        <w:rPr>
          <w:rFonts w:ascii="宋体" w:hAnsi="宋体" w:eastAsia="宋体" w:cs="宋体"/>
          <w:color w:val="000000"/>
          <w:sz w:val="24"/>
        </w:rPr>
        <w:t>投标人全称：</w:t>
      </w:r>
    </w:p>
    <w:tbl>
      <w:tblPr>
        <w:tblStyle w:val="2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433"/>
        <w:gridCol w:w="3296"/>
      </w:tblGrid>
      <w:tr w14:paraId="467B04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4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D82A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货物类</w:t>
            </w:r>
          </w:p>
        </w:tc>
        <w:tc>
          <w:tcPr>
            <w:tcW w:w="32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1767BC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服务类</w:t>
            </w:r>
          </w:p>
        </w:tc>
      </w:tr>
      <w:tr w14:paraId="2EA842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34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F7805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p w14:paraId="5C1A8D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品牌（如有）：</w:t>
            </w:r>
          </w:p>
          <w:p w14:paraId="1BA781F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规格型号：</w:t>
            </w:r>
          </w:p>
          <w:p w14:paraId="02CF16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数量：</w:t>
            </w:r>
          </w:p>
          <w:p w14:paraId="7A6883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单价：</w:t>
            </w:r>
          </w:p>
        </w:tc>
        <w:tc>
          <w:tcPr>
            <w:tcW w:w="32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005E9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p w14:paraId="02606E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服务范围：</w:t>
            </w:r>
          </w:p>
          <w:p w14:paraId="1E85F2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服务要求：</w:t>
            </w:r>
          </w:p>
          <w:p w14:paraId="2003260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服务时间：</w:t>
            </w:r>
          </w:p>
          <w:p w14:paraId="2C8E51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服务标准：</w:t>
            </w:r>
          </w:p>
        </w:tc>
      </w:tr>
    </w:tbl>
    <w:p w14:paraId="3C3F82F7">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2459CD77">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64601C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04F2D5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A804FA2">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0249DDC">
      <w:pPr>
        <w:pBdr>
          <w:top w:val="none" w:color="000000" w:sz="0" w:space="0"/>
          <w:left w:val="none" w:color="000000" w:sz="0" w:space="0"/>
          <w:bottom w:val="none" w:color="000000" w:sz="0" w:space="0"/>
          <w:right w:val="none" w:color="000000" w:sz="0" w:space="0"/>
        </w:pBdr>
        <w:spacing w:before="0" w:after="0" w:line="450" w:lineRule="atLeast"/>
        <w:ind w:right="0"/>
        <w:jc w:val="both"/>
      </w:pPr>
    </w:p>
    <w:p w14:paraId="43A53F07">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F762AC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2A3FDC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4548DF7">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附件8</w:t>
      </w:r>
    </w:p>
    <w:p w14:paraId="4F296F5B">
      <w:pPr>
        <w:pBdr>
          <w:top w:val="none" w:color="000000" w:sz="0" w:space="0"/>
          <w:left w:val="none" w:color="000000" w:sz="0" w:space="0"/>
          <w:bottom w:val="none" w:color="000000" w:sz="0" w:space="0"/>
          <w:right w:val="none" w:color="000000" w:sz="0" w:space="0"/>
        </w:pBdr>
        <w:spacing w:before="0" w:after="0"/>
        <w:ind w:left="0" w:right="0" w:firstLine="1205"/>
        <w:jc w:val="both"/>
      </w:pPr>
      <w:r>
        <w:rPr>
          <w:rFonts w:ascii="宋体" w:hAnsi="宋体" w:eastAsia="宋体" w:cs="宋体"/>
          <w:b/>
          <w:color w:val="000000"/>
          <w:sz w:val="24"/>
        </w:rPr>
        <w:t>具备履行合同所必需的设备和专业技术能力的书面声明</w:t>
      </w:r>
    </w:p>
    <w:p w14:paraId="111677D8">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14:paraId="7E95F25F">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14:paraId="36B90A62">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w:t>
      </w:r>
    </w:p>
    <w:p w14:paraId="5C0812B8">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6BBB4EE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7F10966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4408974F">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附件9</w:t>
      </w:r>
    </w:p>
    <w:p w14:paraId="22DEB4F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3E91459F">
      <w:pPr>
        <w:pBdr>
          <w:top w:val="none" w:color="000000" w:sz="0" w:space="0"/>
          <w:left w:val="none" w:color="000000" w:sz="0" w:space="0"/>
          <w:bottom w:val="none" w:color="000000" w:sz="0" w:space="0"/>
          <w:right w:val="none" w:color="000000" w:sz="0" w:space="0"/>
        </w:pBdr>
        <w:spacing w:before="0" w:after="0"/>
        <w:ind w:left="480" w:right="0" w:firstLine="0"/>
        <w:jc w:val="both"/>
      </w:pPr>
      <w:r>
        <w:rPr>
          <w:rFonts w:ascii="宋体" w:hAnsi="宋体" w:eastAsia="宋体" w:cs="宋体"/>
          <w:b/>
          <w:color w:val="000000"/>
          <w:sz w:val="24"/>
        </w:rPr>
        <w:t>参加政府采购活动前 3 年内在经营活动中没有重大违法记录的书面声明</w:t>
      </w:r>
    </w:p>
    <w:p w14:paraId="635C467B">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b/>
          <w:color w:val="000000"/>
          <w:sz w:val="24"/>
        </w:rPr>
        <w:t> </w:t>
      </w:r>
    </w:p>
    <w:p w14:paraId="39221FE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我单位郑重声明：参加本次政府采购活动前3年内，我单位在经营活动中没有因违法经营受到刑事处罚或者责令停产停业、吊销许可证或者执照、较大数额罚款等行政处罚。</w:t>
      </w:r>
    </w:p>
    <w:p w14:paraId="7518D84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36F14F4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0A64C7E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62D7830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7765B69C">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b/>
          <w:color w:val="000000"/>
          <w:sz w:val="24"/>
        </w:rPr>
        <w:t>附件10            供应商信用承诺函</w:t>
      </w:r>
    </w:p>
    <w:p w14:paraId="443C870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24"/>
        </w:rPr>
        <w:t> </w:t>
      </w:r>
    </w:p>
    <w:p w14:paraId="4AABC53E">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承诺主体名称：</w:t>
      </w:r>
    </w:p>
    <w:p w14:paraId="10F2B87C">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统一社会信用代码：</w:t>
      </w:r>
    </w:p>
    <w:p w14:paraId="40EF939E">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0ED9DC14">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14:paraId="33115740">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一、对提供给注册登记部门、行业管理部门、司法部门、行业组织以及在政府采购活动中提交的所有资料的合法性、真实性、准确性和有效性负责；</w:t>
      </w:r>
    </w:p>
    <w:p w14:paraId="7A66A1DF">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二、严格按照国家法律、法规和规章开展采购活动，全面履行应尽的责任和义务，全面做到履约守信，具备《中华人民共和国政府采购法》第二十二条第一款规定的条件;</w:t>
      </w:r>
    </w:p>
    <w:p w14:paraId="5170F7AF">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三、严格依法开展生产经营活动，主动接受行业监管，自愿接受依法开展的日常检查；违法失信经营后将自愿接受约束和惩戒，并依法承担相应责任；</w:t>
      </w:r>
    </w:p>
    <w:p w14:paraId="54D19ED7">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四、自觉接受行政管理部门、行业组织、社会公众、新闻舆论的监督；</w:t>
      </w:r>
    </w:p>
    <w:p w14:paraId="76EC379E">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五、自觉做到自我约束、自我管理，不制假售假、商标侵权、虚假宣传、违约毁约、恶意逃债、偷税漏税、垄断和不正当竞争，维护经营者、消费者的合法权益；</w:t>
      </w:r>
    </w:p>
    <w:p w14:paraId="66EB9B30">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六、提出政府采购质疑和投诉坚持依法依规、诚实信用原则，在全国范围12个月内没有三次以上查无实据的政府采购投诉；</w:t>
      </w:r>
    </w:p>
    <w:p w14:paraId="5499DAFB">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七、严格遵守信用信息公示相关规定，向社会公示信用信息；</w:t>
      </w:r>
    </w:p>
    <w:p w14:paraId="3CD28FDF">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八、在“信用中国”和“中国政府采购网”网站中无严重失信记录；</w:t>
      </w:r>
    </w:p>
    <w:p w14:paraId="437BBCBD">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14:paraId="44D542ED">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十、本承诺书自签订之日起生效。</w:t>
      </w:r>
    </w:p>
    <w:p w14:paraId="36F9F4CC">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 （注：法定代表人或负责人、主体名称发生变更的应当重新做出承诺。）</w:t>
      </w:r>
    </w:p>
    <w:p w14:paraId="6160F80C">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1762B478">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4310FD98">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237A6302">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承诺单位（加盖CA电子公章）：    </w:t>
      </w:r>
    </w:p>
    <w:p w14:paraId="795F296B">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年  月  日</w:t>
      </w:r>
    </w:p>
    <w:p w14:paraId="267CDCED">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w:t>
      </w:r>
    </w:p>
    <w:p w14:paraId="24AF77B6">
      <w:pPr>
        <w:pBdr>
          <w:top w:val="none" w:color="000000" w:sz="0" w:space="0"/>
          <w:left w:val="none" w:color="000000" w:sz="0" w:space="0"/>
          <w:bottom w:val="none" w:color="000000" w:sz="0" w:space="0"/>
          <w:right w:val="none" w:color="000000" w:sz="0" w:space="0"/>
        </w:pBdr>
        <w:spacing w:before="0" w:after="361"/>
        <w:ind w:left="0" w:right="0" w:firstLine="0"/>
        <w:jc w:val="both"/>
      </w:pPr>
      <w:r>
        <w:rPr>
          <w:rFonts w:ascii="宋体" w:hAnsi="宋体" w:eastAsia="宋体" w:cs="宋体"/>
          <w:b/>
          <w:color w:val="000000"/>
          <w:sz w:val="24"/>
        </w:rPr>
        <w:t>附件11        中小企业声明函（服务类项目）（采购包号：**）</w:t>
      </w:r>
    </w:p>
    <w:p w14:paraId="0E2B204C">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（项目名称）（采购包号：**）</w:t>
      </w:r>
      <w:r>
        <w:rPr>
          <w:rFonts w:ascii="宋体" w:hAnsi="宋体" w:eastAsia="宋体" w:cs="宋体"/>
          <w:color w:val="000000"/>
          <w:sz w:val="24"/>
        </w:rPr>
        <w:t>的采购活动，服务全部由符合政策的中小企业承接。相关企业（含联合体中的中小企业、签订采购包意向协议的中小企业）的具体情况如下：</w:t>
      </w:r>
    </w:p>
    <w:p w14:paraId="17AFF45A">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1.</w:t>
      </w:r>
      <w:r>
        <w:rPr>
          <w:rFonts w:ascii="宋体" w:hAnsi="宋体" w:eastAsia="宋体" w:cs="宋体"/>
          <w:color w:val="000000"/>
          <w:sz w:val="24"/>
          <w:u w:val="single"/>
        </w:rPr>
        <w:t>（</w:t>
      </w:r>
      <w:r>
        <w:rPr>
          <w:rFonts w:hint="eastAsia" w:ascii="宋体" w:hAnsi="宋体" w:eastAsia="宋体" w:cs="宋体"/>
          <w:color w:val="000000"/>
          <w:sz w:val="24"/>
          <w:u w:val="single"/>
        </w:rPr>
        <w:t>重点区域周边片区“城市管家”一体化作业</w:t>
      </w:r>
      <w:r>
        <w:rPr>
          <w:rFonts w:ascii="宋体" w:hAnsi="宋体" w:eastAsia="宋体" w:cs="宋体"/>
          <w:color w:val="000000"/>
          <w:sz w:val="24"/>
          <w:u w:val="single"/>
        </w:rPr>
        <w:t>）</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FF0000"/>
          <w:sz w:val="24"/>
          <w:u w:val="single"/>
        </w:rPr>
        <w:t>（</w:t>
      </w:r>
      <w:r>
        <w:rPr>
          <w:rFonts w:hint="eastAsia" w:ascii="宋体" w:hAnsi="宋体" w:eastAsia="宋体" w:cs="宋体"/>
          <w:color w:val="FF0000"/>
          <w:sz w:val="24"/>
          <w:u w:val="single"/>
        </w:rPr>
        <w:t>其他未列明行业</w:t>
      </w:r>
      <w:r>
        <w:rPr>
          <w:rFonts w:ascii="宋体" w:hAnsi="宋体" w:eastAsia="宋体" w:cs="宋体"/>
          <w:color w:val="FF0000"/>
          <w:sz w:val="24"/>
          <w:u w:val="single"/>
        </w:rPr>
        <w:t>）</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7F06B253">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2.</w:t>
      </w:r>
      <w:r>
        <w:rPr>
          <w:rFonts w:ascii="宋体" w:hAnsi="宋体" w:eastAsia="宋体" w:cs="宋体"/>
          <w:color w:val="000000"/>
          <w:sz w:val="24"/>
          <w:u w:val="single"/>
        </w:rPr>
        <w:t>（</w:t>
      </w:r>
      <w:r>
        <w:rPr>
          <w:rFonts w:hint="eastAsia" w:ascii="宋体" w:hAnsi="宋体" w:eastAsia="宋体" w:cs="宋体"/>
          <w:color w:val="000000"/>
          <w:sz w:val="24"/>
          <w:u w:val="single"/>
        </w:rPr>
        <w:t>东北部片区“城市管家”一体化作业</w:t>
      </w:r>
      <w:r>
        <w:rPr>
          <w:rFonts w:ascii="宋体" w:hAnsi="宋体" w:eastAsia="宋体" w:cs="宋体"/>
          <w:color w:val="000000"/>
          <w:sz w:val="24"/>
          <w:u w:val="single"/>
        </w:rPr>
        <w:t>）</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FF0000"/>
          <w:sz w:val="24"/>
          <w:u w:val="single"/>
        </w:rPr>
        <w:t>（</w:t>
      </w:r>
      <w:r>
        <w:rPr>
          <w:rFonts w:hint="eastAsia" w:ascii="宋体" w:hAnsi="宋体" w:eastAsia="宋体" w:cs="宋体"/>
          <w:color w:val="FF0000"/>
          <w:sz w:val="24"/>
          <w:u w:val="single"/>
        </w:rPr>
        <w:t>其他未列明行业</w:t>
      </w:r>
      <w:r>
        <w:rPr>
          <w:rFonts w:ascii="宋体" w:hAnsi="宋体" w:eastAsia="宋体" w:cs="宋体"/>
          <w:color w:val="FF0000"/>
          <w:sz w:val="24"/>
          <w:u w:val="single"/>
        </w:rPr>
        <w:t>）</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0EA59F39">
      <w:pPr>
        <w:pBdr>
          <w:top w:val="none" w:color="000000" w:sz="0" w:space="0"/>
          <w:left w:val="none" w:color="000000" w:sz="0" w:space="0"/>
          <w:bottom w:val="none" w:color="000000" w:sz="0" w:space="0"/>
          <w:right w:val="none" w:color="000000" w:sz="0" w:space="0"/>
        </w:pBdr>
        <w:spacing w:before="0" w:after="0"/>
        <w:ind w:left="0" w:right="0" w:firstLine="360"/>
        <w:jc w:val="both"/>
      </w:pPr>
      <w:r>
        <w:rPr>
          <w:rFonts w:hint="eastAsia" w:ascii="宋体" w:hAnsi="宋体" w:eastAsia="宋体" w:cs="宋体"/>
          <w:color w:val="000000"/>
          <w:sz w:val="24"/>
          <w:lang w:val="en-US" w:eastAsia="zh-CN"/>
        </w:rPr>
        <w:t>3</w:t>
      </w:r>
      <w:r>
        <w:rPr>
          <w:rFonts w:ascii="宋体" w:hAnsi="宋体" w:eastAsia="宋体" w:cs="宋体"/>
          <w:color w:val="000000"/>
          <w:sz w:val="24"/>
        </w:rPr>
        <w:t>.</w:t>
      </w:r>
      <w:r>
        <w:rPr>
          <w:rFonts w:ascii="宋体" w:hAnsi="宋体" w:eastAsia="宋体" w:cs="宋体"/>
          <w:color w:val="000000"/>
          <w:sz w:val="24"/>
          <w:u w:val="single"/>
        </w:rPr>
        <w:t>（</w:t>
      </w:r>
      <w:r>
        <w:rPr>
          <w:rFonts w:hint="eastAsia" w:ascii="宋体" w:hAnsi="宋体" w:eastAsia="宋体" w:cs="宋体"/>
          <w:color w:val="000000"/>
          <w:sz w:val="24"/>
          <w:u w:val="single"/>
        </w:rPr>
        <w:t>东南部片区（含翟庄路）“城市管家”一体化作业</w:t>
      </w:r>
      <w:r>
        <w:rPr>
          <w:rFonts w:ascii="宋体" w:hAnsi="宋体" w:eastAsia="宋体" w:cs="宋体"/>
          <w:color w:val="000000"/>
          <w:sz w:val="24"/>
          <w:u w:val="single"/>
        </w:rPr>
        <w:t>）</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FF0000"/>
          <w:sz w:val="24"/>
          <w:u w:val="single"/>
        </w:rPr>
        <w:t>（</w:t>
      </w:r>
      <w:r>
        <w:rPr>
          <w:rFonts w:hint="eastAsia" w:ascii="宋体" w:hAnsi="宋体" w:eastAsia="宋体" w:cs="宋体"/>
          <w:color w:val="FF0000"/>
          <w:sz w:val="24"/>
          <w:u w:val="single"/>
        </w:rPr>
        <w:t>其他未列明行业</w:t>
      </w:r>
      <w:r>
        <w:rPr>
          <w:rFonts w:ascii="宋体" w:hAnsi="宋体" w:eastAsia="宋体" w:cs="宋体"/>
          <w:color w:val="FF0000"/>
          <w:sz w:val="24"/>
          <w:u w:val="single"/>
        </w:rPr>
        <w:t>）</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5B549475">
      <w:pPr>
        <w:pBdr>
          <w:top w:val="none" w:color="000000" w:sz="0" w:space="0"/>
          <w:left w:val="none" w:color="000000" w:sz="0" w:space="0"/>
          <w:bottom w:val="none" w:color="000000" w:sz="0" w:space="0"/>
          <w:right w:val="none" w:color="000000" w:sz="0" w:space="0"/>
        </w:pBdr>
        <w:spacing w:before="0" w:after="0"/>
        <w:ind w:left="0" w:right="0" w:firstLine="360"/>
        <w:jc w:val="both"/>
      </w:pPr>
      <w:r>
        <w:rPr>
          <w:rFonts w:hint="eastAsia" w:ascii="宋体" w:hAnsi="宋体" w:eastAsia="宋体" w:cs="宋体"/>
          <w:color w:val="000000"/>
          <w:sz w:val="24"/>
          <w:lang w:val="en-US" w:eastAsia="zh-CN"/>
        </w:rPr>
        <w:t>4</w:t>
      </w:r>
      <w:r>
        <w:rPr>
          <w:rFonts w:ascii="宋体" w:hAnsi="宋体" w:eastAsia="宋体" w:cs="宋体"/>
          <w:color w:val="000000"/>
          <w:sz w:val="24"/>
        </w:rPr>
        <w:t>.</w:t>
      </w:r>
      <w:r>
        <w:rPr>
          <w:rFonts w:ascii="宋体" w:hAnsi="宋体" w:eastAsia="宋体" w:cs="宋体"/>
          <w:color w:val="000000"/>
          <w:sz w:val="24"/>
          <w:u w:val="single"/>
        </w:rPr>
        <w:t>（</w:t>
      </w:r>
      <w:r>
        <w:rPr>
          <w:rFonts w:hint="eastAsia" w:ascii="宋体" w:hAnsi="宋体" w:eastAsia="宋体" w:cs="宋体"/>
          <w:color w:val="000000"/>
          <w:sz w:val="24"/>
          <w:u w:val="single"/>
        </w:rPr>
        <w:t>镇区（北至328国道、南至G40、东至金湾路、西至廖家沟路）生活垃圾（含一般工业固废）收运及公厕保洁作业</w:t>
      </w:r>
      <w:r>
        <w:rPr>
          <w:rFonts w:ascii="宋体" w:hAnsi="宋体" w:eastAsia="宋体" w:cs="宋体"/>
          <w:color w:val="000000"/>
          <w:sz w:val="24"/>
          <w:u w:val="single"/>
        </w:rPr>
        <w:t>）</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FF0000"/>
          <w:sz w:val="24"/>
          <w:u w:val="single"/>
        </w:rPr>
        <w:t>（</w:t>
      </w:r>
      <w:r>
        <w:rPr>
          <w:rFonts w:hint="eastAsia" w:ascii="宋体" w:hAnsi="宋体" w:eastAsia="宋体" w:cs="宋体"/>
          <w:color w:val="FF0000"/>
          <w:sz w:val="24"/>
          <w:u w:val="single"/>
        </w:rPr>
        <w:t>其他未列明行业</w:t>
      </w:r>
      <w:r>
        <w:rPr>
          <w:rFonts w:ascii="宋体" w:hAnsi="宋体" w:eastAsia="宋体" w:cs="宋体"/>
          <w:color w:val="FF0000"/>
          <w:sz w:val="24"/>
          <w:u w:val="single"/>
        </w:rPr>
        <w:t>）</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5C497174">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4A5A5590">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本企业对上述声明内容的真实性负责。如有虚假，将依法承担相应责任</w:t>
      </w:r>
    </w:p>
    <w:p w14:paraId="73B48E3A">
      <w:pPr>
        <w:pBdr>
          <w:top w:val="none" w:color="000000" w:sz="0" w:space="0"/>
          <w:left w:val="none" w:color="000000" w:sz="0" w:space="0"/>
          <w:bottom w:val="none" w:color="000000" w:sz="0" w:space="0"/>
          <w:right w:val="none" w:color="000000" w:sz="0" w:space="0"/>
        </w:pBdr>
        <w:spacing w:before="0" w:after="0"/>
        <w:ind w:left="0" w:right="720" w:firstLine="0"/>
        <w:jc w:val="both"/>
      </w:pPr>
      <w:r>
        <w:rPr>
          <w:rFonts w:ascii="Times New Roman" w:hAnsi="Times New Roman" w:eastAsia="Times New Roman" w:cs="Times New Roman"/>
          <w:color w:val="000000"/>
          <w:sz w:val="24"/>
        </w:rPr>
        <w:t> </w:t>
      </w:r>
    </w:p>
    <w:p w14:paraId="22F9F644">
      <w:pPr>
        <w:pBdr>
          <w:top w:val="none" w:color="000000" w:sz="0" w:space="0"/>
          <w:left w:val="none" w:color="000000" w:sz="0" w:space="0"/>
          <w:bottom w:val="none" w:color="000000" w:sz="0" w:space="0"/>
          <w:right w:val="none" w:color="000000" w:sz="0" w:space="0"/>
        </w:pBdr>
        <w:spacing w:before="0" w:after="0"/>
        <w:ind w:left="0" w:right="180" w:firstLine="360"/>
        <w:jc w:val="right"/>
      </w:pPr>
      <w:r>
        <w:rPr>
          <w:rFonts w:ascii="宋体" w:hAnsi="宋体" w:eastAsia="宋体" w:cs="宋体"/>
          <w:color w:val="000000"/>
          <w:sz w:val="24"/>
        </w:rPr>
        <w:t>企业名称（加盖CA电子公章）：</w:t>
      </w:r>
    </w:p>
    <w:p w14:paraId="5E2F6672">
      <w:pPr>
        <w:pBdr>
          <w:top w:val="none" w:color="000000" w:sz="0" w:space="0"/>
          <w:left w:val="none" w:color="000000" w:sz="0" w:space="0"/>
          <w:bottom w:val="none" w:color="000000" w:sz="0" w:space="0"/>
          <w:right w:val="none" w:color="000000" w:sz="0" w:space="0"/>
        </w:pBdr>
        <w:spacing w:before="0" w:after="0"/>
        <w:ind w:left="0" w:right="480" w:firstLine="5400"/>
        <w:jc w:val="both"/>
      </w:pPr>
      <w:r>
        <w:rPr>
          <w:rFonts w:ascii="宋体" w:hAnsi="宋体" w:eastAsia="宋体" w:cs="宋体"/>
          <w:color w:val="000000"/>
          <w:sz w:val="24"/>
        </w:rPr>
        <w:t>日  期：</w:t>
      </w:r>
    </w:p>
    <w:p w14:paraId="232DAAAF">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Times New Roman" w:hAnsi="Times New Roman" w:eastAsia="Times New Roman" w:cs="Times New Roman"/>
          <w:color w:val="000000"/>
          <w:sz w:val="24"/>
        </w:rPr>
        <w:t> </w:t>
      </w:r>
    </w:p>
    <w:p w14:paraId="438B444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备注：</w:t>
      </w:r>
    </w:p>
    <w:p w14:paraId="2D055BD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1.从业人员、营业收入、资产总额填报上一年度数据，无上一年度数据的新成立企业可不填报。</w:t>
      </w:r>
    </w:p>
    <w:p w14:paraId="3B1ED4E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14:paraId="21105FDD">
      <w:pPr>
        <w:pBdr>
          <w:top w:val="none" w:color="000000" w:sz="0" w:space="0"/>
          <w:left w:val="none" w:color="000000" w:sz="0" w:space="0"/>
          <w:bottom w:val="none" w:color="000000" w:sz="0" w:space="0"/>
          <w:right w:val="none" w:color="000000" w:sz="0" w:space="0"/>
        </w:pBdr>
        <w:spacing w:before="0" w:after="0"/>
        <w:ind w:left="540" w:right="0" w:hanging="120"/>
        <w:jc w:val="both"/>
      </w:pPr>
      <w:r>
        <w:rPr>
          <w:rFonts w:ascii="宋体" w:hAnsi="宋体" w:eastAsia="宋体" w:cs="宋体"/>
          <w:color w:val="FF0000"/>
          <w:sz w:val="24"/>
        </w:rPr>
        <w:t>3.供应商应对照《工业和信息化部、国家统计局、国家发展和改革委员会、财政</w:t>
      </w:r>
    </w:p>
    <w:p w14:paraId="29DDD9A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部关于印发中小企业划型标准规定的通知》(工信部联企业[2011]300号)《国家统计局关于印发〈统计上大中小微型企业划分办法（2017）〉的通知》（国统字〔2017〕213号）的规定，自行勾选承接企业的企业规模类型。 </w:t>
      </w:r>
    </w:p>
    <w:p w14:paraId="255EF3D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1F3DF93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b/>
          <w:color w:val="0070C0"/>
          <w:sz w:val="21"/>
        </w:rPr>
        <w:t> </w:t>
      </w:r>
    </w:p>
    <w:p w14:paraId="59FA297D">
      <w:pPr>
        <w:pBdr>
          <w:top w:val="none" w:color="000000" w:sz="0" w:space="0"/>
          <w:left w:val="none" w:color="000000" w:sz="0" w:space="0"/>
          <w:bottom w:val="none" w:color="000000" w:sz="0" w:space="0"/>
          <w:right w:val="none" w:color="000000" w:sz="0" w:space="0"/>
        </w:pBdr>
        <w:spacing w:before="300" w:after="452"/>
        <w:ind w:left="0" w:right="0" w:firstLine="0"/>
        <w:jc w:val="both"/>
      </w:pPr>
      <w:r>
        <w:rPr>
          <w:rFonts w:ascii="等线" w:hAnsi="等线" w:eastAsia="等线" w:cs="等线"/>
          <w:b/>
          <w:color w:val="666666"/>
          <w:sz w:val="21"/>
        </w:rPr>
        <w:t>中小微企业划型标准如下：</w:t>
      </w:r>
    </w:p>
    <w:tbl>
      <w:tblPr>
        <w:tblStyle w:val="29"/>
        <w:tblW w:w="93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16"/>
        <w:gridCol w:w="1773"/>
        <w:gridCol w:w="920"/>
        <w:gridCol w:w="1912"/>
        <w:gridCol w:w="1615"/>
        <w:gridCol w:w="1385"/>
      </w:tblGrid>
      <w:tr w14:paraId="4AE471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9" w:hRule="atLeast"/>
        </w:trPr>
        <w:tc>
          <w:tcPr>
            <w:tcW w:w="1716" w:type="dxa"/>
            <w:tcBorders>
              <w:top w:val="nil"/>
              <w:left w:val="nil"/>
              <w:bottom w:val="nil"/>
              <w:right w:val="nil"/>
            </w:tcBorders>
            <w:noWrap w:val="0"/>
            <w:tcMar>
              <w:top w:w="0" w:type="dxa"/>
              <w:left w:w="105" w:type="dxa"/>
              <w:bottom w:w="0" w:type="dxa"/>
              <w:right w:w="105" w:type="dxa"/>
            </w:tcMar>
            <w:vAlign w:val="center"/>
          </w:tcPr>
          <w:p w14:paraId="51E16E7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行业名称</w:t>
            </w:r>
          </w:p>
        </w:tc>
        <w:tc>
          <w:tcPr>
            <w:tcW w:w="1773" w:type="dxa"/>
            <w:tcBorders>
              <w:top w:val="nil"/>
              <w:left w:val="nil"/>
              <w:bottom w:val="nil"/>
              <w:right w:val="nil"/>
            </w:tcBorders>
            <w:noWrap w:val="0"/>
            <w:tcMar>
              <w:top w:w="0" w:type="dxa"/>
              <w:left w:w="105" w:type="dxa"/>
              <w:bottom w:w="0" w:type="dxa"/>
              <w:right w:w="105" w:type="dxa"/>
            </w:tcMar>
            <w:vAlign w:val="center"/>
          </w:tcPr>
          <w:p w14:paraId="464C112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指标名称</w:t>
            </w:r>
          </w:p>
        </w:tc>
        <w:tc>
          <w:tcPr>
            <w:tcW w:w="920" w:type="dxa"/>
            <w:tcBorders>
              <w:top w:val="nil"/>
              <w:left w:val="nil"/>
              <w:bottom w:val="nil"/>
              <w:right w:val="nil"/>
            </w:tcBorders>
            <w:noWrap w:val="0"/>
            <w:tcMar>
              <w:top w:w="0" w:type="dxa"/>
              <w:left w:w="105" w:type="dxa"/>
              <w:bottom w:w="0" w:type="dxa"/>
              <w:right w:w="105" w:type="dxa"/>
            </w:tcMar>
            <w:vAlign w:val="center"/>
          </w:tcPr>
          <w:p w14:paraId="3C2CD47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计量单位</w:t>
            </w:r>
          </w:p>
        </w:tc>
        <w:tc>
          <w:tcPr>
            <w:tcW w:w="1912" w:type="dxa"/>
            <w:tcBorders>
              <w:top w:val="nil"/>
              <w:left w:val="nil"/>
              <w:bottom w:val="nil"/>
              <w:right w:val="nil"/>
            </w:tcBorders>
            <w:noWrap w:val="0"/>
            <w:tcMar>
              <w:top w:w="0" w:type="dxa"/>
              <w:left w:w="105" w:type="dxa"/>
              <w:bottom w:w="0" w:type="dxa"/>
              <w:right w:w="105" w:type="dxa"/>
            </w:tcMar>
            <w:vAlign w:val="center"/>
          </w:tcPr>
          <w:p w14:paraId="5FA5E3D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中型</w:t>
            </w:r>
          </w:p>
        </w:tc>
        <w:tc>
          <w:tcPr>
            <w:tcW w:w="1615" w:type="dxa"/>
            <w:tcBorders>
              <w:top w:val="nil"/>
              <w:left w:val="nil"/>
              <w:bottom w:val="nil"/>
              <w:right w:val="nil"/>
            </w:tcBorders>
            <w:noWrap w:val="0"/>
            <w:tcMar>
              <w:top w:w="0" w:type="dxa"/>
              <w:left w:w="105" w:type="dxa"/>
              <w:bottom w:w="0" w:type="dxa"/>
              <w:right w:w="105" w:type="dxa"/>
            </w:tcMar>
            <w:vAlign w:val="center"/>
          </w:tcPr>
          <w:p w14:paraId="71668F0F">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小型</w:t>
            </w:r>
          </w:p>
        </w:tc>
        <w:tc>
          <w:tcPr>
            <w:tcW w:w="1385" w:type="dxa"/>
            <w:tcBorders>
              <w:top w:val="nil"/>
              <w:left w:val="nil"/>
              <w:bottom w:val="nil"/>
              <w:right w:val="nil"/>
            </w:tcBorders>
            <w:noWrap w:val="0"/>
            <w:tcMar>
              <w:top w:w="0" w:type="dxa"/>
              <w:left w:w="105" w:type="dxa"/>
              <w:bottom w:w="0" w:type="dxa"/>
              <w:right w:w="105" w:type="dxa"/>
            </w:tcMar>
            <w:vAlign w:val="center"/>
          </w:tcPr>
          <w:p w14:paraId="018E3BF5">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微型</w:t>
            </w:r>
          </w:p>
        </w:tc>
      </w:tr>
      <w:tr w14:paraId="059EB0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688C8CB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农、林、牧、渔</w:t>
            </w:r>
          </w:p>
        </w:tc>
        <w:tc>
          <w:tcPr>
            <w:tcW w:w="1773" w:type="dxa"/>
            <w:tcBorders>
              <w:top w:val="nil"/>
              <w:left w:val="nil"/>
              <w:bottom w:val="nil"/>
              <w:right w:val="nil"/>
            </w:tcBorders>
            <w:noWrap w:val="0"/>
            <w:tcMar>
              <w:top w:w="0" w:type="dxa"/>
              <w:left w:w="105" w:type="dxa"/>
              <w:bottom w:w="0" w:type="dxa"/>
              <w:right w:w="105" w:type="dxa"/>
            </w:tcMar>
            <w:vAlign w:val="center"/>
          </w:tcPr>
          <w:p w14:paraId="7D4F26A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7610C1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7F72BBD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615" w:type="dxa"/>
            <w:tcBorders>
              <w:top w:val="nil"/>
              <w:left w:val="nil"/>
              <w:bottom w:val="nil"/>
              <w:right w:val="nil"/>
            </w:tcBorders>
            <w:noWrap w:val="0"/>
            <w:tcMar>
              <w:top w:w="0" w:type="dxa"/>
              <w:left w:w="105" w:type="dxa"/>
              <w:bottom w:w="0" w:type="dxa"/>
              <w:right w:w="105" w:type="dxa"/>
            </w:tcMar>
            <w:vAlign w:val="center"/>
          </w:tcPr>
          <w:p w14:paraId="69865C4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385" w:type="dxa"/>
            <w:tcBorders>
              <w:top w:val="nil"/>
              <w:left w:val="nil"/>
              <w:bottom w:val="nil"/>
              <w:right w:val="nil"/>
            </w:tcBorders>
            <w:noWrap w:val="0"/>
            <w:tcMar>
              <w:top w:w="0" w:type="dxa"/>
              <w:left w:w="105" w:type="dxa"/>
              <w:bottom w:w="0" w:type="dxa"/>
              <w:right w:w="105" w:type="dxa"/>
            </w:tcMar>
            <w:vAlign w:val="center"/>
          </w:tcPr>
          <w:p w14:paraId="1AC0CCA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14:paraId="0280C8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BF8738B">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工业</w:t>
            </w:r>
          </w:p>
        </w:tc>
        <w:tc>
          <w:tcPr>
            <w:tcW w:w="1773" w:type="dxa"/>
            <w:tcBorders>
              <w:top w:val="nil"/>
              <w:left w:val="nil"/>
              <w:bottom w:val="nil"/>
              <w:right w:val="nil"/>
            </w:tcBorders>
            <w:noWrap w:val="0"/>
            <w:tcMar>
              <w:top w:w="0" w:type="dxa"/>
              <w:left w:w="105" w:type="dxa"/>
              <w:bottom w:w="0" w:type="dxa"/>
              <w:right w:w="105" w:type="dxa"/>
            </w:tcMar>
            <w:vAlign w:val="center"/>
          </w:tcPr>
          <w:p w14:paraId="7AEEDAA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4E41C8A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3C0801E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615" w:type="dxa"/>
            <w:tcBorders>
              <w:top w:val="nil"/>
              <w:left w:val="nil"/>
              <w:bottom w:val="nil"/>
              <w:right w:val="nil"/>
            </w:tcBorders>
            <w:noWrap w:val="0"/>
            <w:tcMar>
              <w:top w:w="0" w:type="dxa"/>
              <w:left w:w="105" w:type="dxa"/>
              <w:bottom w:w="0" w:type="dxa"/>
              <w:right w:w="105" w:type="dxa"/>
            </w:tcMar>
            <w:vAlign w:val="center"/>
          </w:tcPr>
          <w:p w14:paraId="679A1598">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85" w:type="dxa"/>
            <w:tcBorders>
              <w:top w:val="nil"/>
              <w:left w:val="nil"/>
              <w:bottom w:val="nil"/>
              <w:right w:val="nil"/>
            </w:tcBorders>
            <w:noWrap w:val="0"/>
            <w:tcMar>
              <w:top w:w="0" w:type="dxa"/>
              <w:left w:w="105" w:type="dxa"/>
              <w:bottom w:w="0" w:type="dxa"/>
              <w:right w:w="105" w:type="dxa"/>
            </w:tcMar>
            <w:vAlign w:val="center"/>
          </w:tcPr>
          <w:p w14:paraId="585B7126">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73BA3D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712CF69">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3286CAA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02484B3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51477A1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615" w:type="dxa"/>
            <w:tcBorders>
              <w:top w:val="nil"/>
              <w:left w:val="nil"/>
              <w:bottom w:val="nil"/>
              <w:right w:val="nil"/>
            </w:tcBorders>
            <w:noWrap w:val="0"/>
            <w:tcMar>
              <w:top w:w="0" w:type="dxa"/>
              <w:left w:w="105" w:type="dxa"/>
              <w:bottom w:w="0" w:type="dxa"/>
              <w:right w:w="105" w:type="dxa"/>
            </w:tcMar>
            <w:vAlign w:val="center"/>
          </w:tcPr>
          <w:p w14:paraId="5DCFE9D7">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385" w:type="dxa"/>
            <w:tcBorders>
              <w:top w:val="nil"/>
              <w:left w:val="nil"/>
              <w:bottom w:val="nil"/>
              <w:right w:val="nil"/>
            </w:tcBorders>
            <w:noWrap w:val="0"/>
            <w:tcMar>
              <w:top w:w="0" w:type="dxa"/>
              <w:left w:w="105" w:type="dxa"/>
              <w:bottom w:w="0" w:type="dxa"/>
              <w:right w:w="105" w:type="dxa"/>
            </w:tcMar>
            <w:vAlign w:val="center"/>
          </w:tcPr>
          <w:p w14:paraId="1A11C1FD">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14:paraId="42DA32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797708AE">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建筑业</w:t>
            </w:r>
          </w:p>
        </w:tc>
        <w:tc>
          <w:tcPr>
            <w:tcW w:w="1773" w:type="dxa"/>
            <w:tcBorders>
              <w:top w:val="nil"/>
              <w:left w:val="nil"/>
              <w:bottom w:val="nil"/>
              <w:right w:val="nil"/>
            </w:tcBorders>
            <w:noWrap w:val="0"/>
            <w:tcMar>
              <w:top w:w="0" w:type="dxa"/>
              <w:left w:w="105" w:type="dxa"/>
              <w:bottom w:w="0" w:type="dxa"/>
              <w:right w:w="105" w:type="dxa"/>
            </w:tcMar>
            <w:vAlign w:val="center"/>
          </w:tcPr>
          <w:p w14:paraId="4BBA7F8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61D202E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14DC7EF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6000≤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80000</w:t>
            </w:r>
          </w:p>
        </w:tc>
        <w:tc>
          <w:tcPr>
            <w:tcW w:w="1615" w:type="dxa"/>
            <w:tcBorders>
              <w:top w:val="nil"/>
              <w:left w:val="nil"/>
              <w:bottom w:val="nil"/>
              <w:right w:val="nil"/>
            </w:tcBorders>
            <w:noWrap w:val="0"/>
            <w:tcMar>
              <w:top w:w="0" w:type="dxa"/>
              <w:left w:w="105" w:type="dxa"/>
              <w:bottom w:w="0" w:type="dxa"/>
              <w:right w:w="105" w:type="dxa"/>
            </w:tcMar>
            <w:vAlign w:val="center"/>
          </w:tcPr>
          <w:p w14:paraId="6F7C58F3">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6000</w:t>
            </w:r>
          </w:p>
        </w:tc>
        <w:tc>
          <w:tcPr>
            <w:tcW w:w="1385" w:type="dxa"/>
            <w:tcBorders>
              <w:top w:val="nil"/>
              <w:left w:val="nil"/>
              <w:bottom w:val="nil"/>
              <w:right w:val="nil"/>
            </w:tcBorders>
            <w:noWrap w:val="0"/>
            <w:tcMar>
              <w:top w:w="0" w:type="dxa"/>
              <w:left w:w="105" w:type="dxa"/>
              <w:bottom w:w="0" w:type="dxa"/>
              <w:right w:w="105" w:type="dxa"/>
            </w:tcMar>
            <w:vAlign w:val="center"/>
          </w:tcPr>
          <w:p w14:paraId="2EAAFA1D">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14:paraId="4B98C7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F300613">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590C686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0F19F72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355E14C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80000</w:t>
            </w:r>
          </w:p>
        </w:tc>
        <w:tc>
          <w:tcPr>
            <w:tcW w:w="1615" w:type="dxa"/>
            <w:tcBorders>
              <w:top w:val="nil"/>
              <w:left w:val="nil"/>
              <w:bottom w:val="nil"/>
              <w:right w:val="nil"/>
            </w:tcBorders>
            <w:noWrap w:val="0"/>
            <w:tcMar>
              <w:top w:w="0" w:type="dxa"/>
              <w:left w:w="105" w:type="dxa"/>
              <w:bottom w:w="0" w:type="dxa"/>
              <w:right w:w="105" w:type="dxa"/>
            </w:tcMar>
            <w:vAlign w:val="center"/>
          </w:tcPr>
          <w:p w14:paraId="7FD28FD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5000</w:t>
            </w:r>
          </w:p>
        </w:tc>
        <w:tc>
          <w:tcPr>
            <w:tcW w:w="1385" w:type="dxa"/>
            <w:tcBorders>
              <w:top w:val="nil"/>
              <w:left w:val="nil"/>
              <w:bottom w:val="nil"/>
              <w:right w:val="nil"/>
            </w:tcBorders>
            <w:noWrap w:val="0"/>
            <w:tcMar>
              <w:top w:w="0" w:type="dxa"/>
              <w:left w:w="105" w:type="dxa"/>
              <w:bottom w:w="0" w:type="dxa"/>
              <w:right w:w="105" w:type="dxa"/>
            </w:tcMar>
            <w:vAlign w:val="center"/>
          </w:tcPr>
          <w:p w14:paraId="2B105B00">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Z＜</w:t>
            </w:r>
            <w:r>
              <w:rPr>
                <w:rFonts w:ascii="宋体" w:hAnsi="宋体" w:eastAsia="宋体" w:cs="宋体"/>
                <w:b/>
                <w:color w:val="666666"/>
                <w:sz w:val="21"/>
              </w:rPr>
              <w:t>300</w:t>
            </w:r>
          </w:p>
        </w:tc>
      </w:tr>
      <w:tr w14:paraId="69E500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423710A">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批发业</w:t>
            </w:r>
          </w:p>
        </w:tc>
        <w:tc>
          <w:tcPr>
            <w:tcW w:w="1773" w:type="dxa"/>
            <w:tcBorders>
              <w:top w:val="nil"/>
              <w:left w:val="nil"/>
              <w:bottom w:val="nil"/>
              <w:right w:val="nil"/>
            </w:tcBorders>
            <w:noWrap w:val="0"/>
            <w:tcMar>
              <w:top w:w="0" w:type="dxa"/>
              <w:left w:w="105" w:type="dxa"/>
              <w:bottom w:w="0" w:type="dxa"/>
              <w:right w:w="105" w:type="dxa"/>
            </w:tcMar>
            <w:vAlign w:val="center"/>
          </w:tcPr>
          <w:p w14:paraId="60B9952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22C265C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7E7DE74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615" w:type="dxa"/>
            <w:tcBorders>
              <w:top w:val="nil"/>
              <w:left w:val="nil"/>
              <w:bottom w:val="nil"/>
              <w:right w:val="nil"/>
            </w:tcBorders>
            <w:noWrap w:val="0"/>
            <w:tcMar>
              <w:top w:w="0" w:type="dxa"/>
              <w:left w:w="105" w:type="dxa"/>
              <w:bottom w:w="0" w:type="dxa"/>
              <w:right w:w="105" w:type="dxa"/>
            </w:tcMar>
            <w:vAlign w:val="center"/>
          </w:tcPr>
          <w:p w14:paraId="6963FD4F">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w:t>
            </w:r>
          </w:p>
        </w:tc>
        <w:tc>
          <w:tcPr>
            <w:tcW w:w="1385" w:type="dxa"/>
            <w:tcBorders>
              <w:top w:val="nil"/>
              <w:left w:val="nil"/>
              <w:bottom w:val="nil"/>
              <w:right w:val="nil"/>
            </w:tcBorders>
            <w:noWrap w:val="0"/>
            <w:tcMar>
              <w:top w:w="0" w:type="dxa"/>
              <w:left w:w="105" w:type="dxa"/>
              <w:bottom w:w="0" w:type="dxa"/>
              <w:right w:w="105" w:type="dxa"/>
            </w:tcMar>
            <w:vAlign w:val="center"/>
          </w:tcPr>
          <w:p w14:paraId="7B672437">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5</w:t>
            </w:r>
          </w:p>
        </w:tc>
      </w:tr>
      <w:tr w14:paraId="7FED65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74FE02F">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4D34AA5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4186B6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2128D5B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615" w:type="dxa"/>
            <w:tcBorders>
              <w:top w:val="nil"/>
              <w:left w:val="nil"/>
              <w:bottom w:val="nil"/>
              <w:right w:val="nil"/>
            </w:tcBorders>
            <w:noWrap w:val="0"/>
            <w:tcMar>
              <w:top w:w="0" w:type="dxa"/>
              <w:left w:w="105" w:type="dxa"/>
              <w:bottom w:w="0" w:type="dxa"/>
              <w:right w:w="105" w:type="dxa"/>
            </w:tcMar>
            <w:vAlign w:val="center"/>
          </w:tcPr>
          <w:p w14:paraId="3F263376">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385" w:type="dxa"/>
            <w:tcBorders>
              <w:top w:val="nil"/>
              <w:left w:val="nil"/>
              <w:bottom w:val="nil"/>
              <w:right w:val="nil"/>
            </w:tcBorders>
            <w:noWrap w:val="0"/>
            <w:tcMar>
              <w:top w:w="0" w:type="dxa"/>
              <w:left w:w="105" w:type="dxa"/>
              <w:bottom w:w="0" w:type="dxa"/>
              <w:right w:w="105" w:type="dxa"/>
            </w:tcMar>
            <w:vAlign w:val="center"/>
          </w:tcPr>
          <w:p w14:paraId="418A20E3">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1000</w:t>
            </w:r>
          </w:p>
        </w:tc>
      </w:tr>
      <w:tr w14:paraId="26ACDA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FD15107">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零售业</w:t>
            </w:r>
          </w:p>
        </w:tc>
        <w:tc>
          <w:tcPr>
            <w:tcW w:w="1773" w:type="dxa"/>
            <w:tcBorders>
              <w:top w:val="nil"/>
              <w:left w:val="nil"/>
              <w:bottom w:val="nil"/>
              <w:right w:val="nil"/>
            </w:tcBorders>
            <w:noWrap w:val="0"/>
            <w:tcMar>
              <w:top w:w="0" w:type="dxa"/>
              <w:left w:w="105" w:type="dxa"/>
              <w:bottom w:w="0" w:type="dxa"/>
              <w:right w:w="105" w:type="dxa"/>
            </w:tcMar>
            <w:vAlign w:val="center"/>
          </w:tcPr>
          <w:p w14:paraId="1E09109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432120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664F509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615" w:type="dxa"/>
            <w:tcBorders>
              <w:top w:val="nil"/>
              <w:left w:val="nil"/>
              <w:bottom w:val="nil"/>
              <w:right w:val="nil"/>
            </w:tcBorders>
            <w:noWrap w:val="0"/>
            <w:tcMar>
              <w:top w:w="0" w:type="dxa"/>
              <w:left w:w="105" w:type="dxa"/>
              <w:bottom w:w="0" w:type="dxa"/>
              <w:right w:w="105" w:type="dxa"/>
            </w:tcMar>
            <w:vAlign w:val="center"/>
          </w:tcPr>
          <w:p w14:paraId="70167C0B">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50</w:t>
            </w:r>
          </w:p>
        </w:tc>
        <w:tc>
          <w:tcPr>
            <w:tcW w:w="1385" w:type="dxa"/>
            <w:tcBorders>
              <w:top w:val="nil"/>
              <w:left w:val="nil"/>
              <w:bottom w:val="nil"/>
              <w:right w:val="nil"/>
            </w:tcBorders>
            <w:noWrap w:val="0"/>
            <w:tcMar>
              <w:top w:w="0" w:type="dxa"/>
              <w:left w:w="105" w:type="dxa"/>
              <w:bottom w:w="0" w:type="dxa"/>
              <w:right w:w="105" w:type="dxa"/>
            </w:tcMar>
            <w:vAlign w:val="center"/>
          </w:tcPr>
          <w:p w14:paraId="11241D42">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212CEE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386362C">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1DC855F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0B5F5EC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622151B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615" w:type="dxa"/>
            <w:tcBorders>
              <w:top w:val="nil"/>
              <w:left w:val="nil"/>
              <w:bottom w:val="nil"/>
              <w:right w:val="nil"/>
            </w:tcBorders>
            <w:noWrap w:val="0"/>
            <w:tcMar>
              <w:top w:w="0" w:type="dxa"/>
              <w:left w:w="105" w:type="dxa"/>
              <w:bottom w:w="0" w:type="dxa"/>
              <w:right w:w="105" w:type="dxa"/>
            </w:tcMar>
            <w:vAlign w:val="center"/>
          </w:tcPr>
          <w:p w14:paraId="79AB4576">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385" w:type="dxa"/>
            <w:tcBorders>
              <w:top w:val="nil"/>
              <w:left w:val="nil"/>
              <w:bottom w:val="nil"/>
              <w:right w:val="nil"/>
            </w:tcBorders>
            <w:noWrap w:val="0"/>
            <w:tcMar>
              <w:top w:w="0" w:type="dxa"/>
              <w:left w:w="105" w:type="dxa"/>
              <w:bottom w:w="0" w:type="dxa"/>
              <w:right w:w="105" w:type="dxa"/>
            </w:tcMar>
            <w:vAlign w:val="center"/>
          </w:tcPr>
          <w:p w14:paraId="2B00B89D">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058509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4B0288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交通运输业</w:t>
            </w:r>
          </w:p>
        </w:tc>
        <w:tc>
          <w:tcPr>
            <w:tcW w:w="1773" w:type="dxa"/>
            <w:tcBorders>
              <w:top w:val="nil"/>
              <w:left w:val="nil"/>
              <w:bottom w:val="nil"/>
              <w:right w:val="nil"/>
            </w:tcBorders>
            <w:noWrap w:val="0"/>
            <w:tcMar>
              <w:top w:w="0" w:type="dxa"/>
              <w:left w:w="105" w:type="dxa"/>
              <w:bottom w:w="0" w:type="dxa"/>
              <w:right w:w="105" w:type="dxa"/>
            </w:tcMar>
            <w:vAlign w:val="center"/>
          </w:tcPr>
          <w:p w14:paraId="2C7427A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269A051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76FDE94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615" w:type="dxa"/>
            <w:tcBorders>
              <w:top w:val="nil"/>
              <w:left w:val="nil"/>
              <w:bottom w:val="nil"/>
              <w:right w:val="nil"/>
            </w:tcBorders>
            <w:noWrap w:val="0"/>
            <w:tcMar>
              <w:top w:w="0" w:type="dxa"/>
              <w:left w:w="105" w:type="dxa"/>
              <w:bottom w:w="0" w:type="dxa"/>
              <w:right w:w="105" w:type="dxa"/>
            </w:tcMar>
            <w:vAlign w:val="center"/>
          </w:tcPr>
          <w:p w14:paraId="358F211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85" w:type="dxa"/>
            <w:tcBorders>
              <w:top w:val="nil"/>
              <w:left w:val="nil"/>
              <w:bottom w:val="nil"/>
              <w:right w:val="nil"/>
            </w:tcBorders>
            <w:noWrap w:val="0"/>
            <w:tcMar>
              <w:top w:w="0" w:type="dxa"/>
              <w:left w:w="105" w:type="dxa"/>
              <w:bottom w:w="0" w:type="dxa"/>
              <w:right w:w="105" w:type="dxa"/>
            </w:tcMar>
            <w:vAlign w:val="center"/>
          </w:tcPr>
          <w:p w14:paraId="53747F3E">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4835DD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23CBE62">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58C0050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0AE5A9A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43A7CBF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615" w:type="dxa"/>
            <w:tcBorders>
              <w:top w:val="nil"/>
              <w:left w:val="nil"/>
              <w:bottom w:val="nil"/>
              <w:right w:val="nil"/>
            </w:tcBorders>
            <w:noWrap w:val="0"/>
            <w:tcMar>
              <w:top w:w="0" w:type="dxa"/>
              <w:left w:w="105" w:type="dxa"/>
              <w:bottom w:w="0" w:type="dxa"/>
              <w:right w:w="105" w:type="dxa"/>
            </w:tcMar>
            <w:vAlign w:val="center"/>
          </w:tcPr>
          <w:p w14:paraId="0E88F79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w:t>
            </w:r>
          </w:p>
        </w:tc>
        <w:tc>
          <w:tcPr>
            <w:tcW w:w="1385" w:type="dxa"/>
            <w:tcBorders>
              <w:top w:val="nil"/>
              <w:left w:val="nil"/>
              <w:bottom w:val="nil"/>
              <w:right w:val="nil"/>
            </w:tcBorders>
            <w:noWrap w:val="0"/>
            <w:tcMar>
              <w:top w:w="0" w:type="dxa"/>
              <w:left w:w="105" w:type="dxa"/>
              <w:bottom w:w="0" w:type="dxa"/>
              <w:right w:w="105" w:type="dxa"/>
            </w:tcMar>
            <w:vAlign w:val="center"/>
          </w:tcPr>
          <w:p w14:paraId="14C050D2">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200</w:t>
            </w:r>
          </w:p>
        </w:tc>
      </w:tr>
      <w:tr w14:paraId="68BF3E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2DFF93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仓储业</w:t>
            </w:r>
          </w:p>
        </w:tc>
        <w:tc>
          <w:tcPr>
            <w:tcW w:w="1773" w:type="dxa"/>
            <w:tcBorders>
              <w:top w:val="nil"/>
              <w:left w:val="nil"/>
              <w:bottom w:val="nil"/>
              <w:right w:val="nil"/>
            </w:tcBorders>
            <w:noWrap w:val="0"/>
            <w:tcMar>
              <w:top w:w="0" w:type="dxa"/>
              <w:left w:w="105" w:type="dxa"/>
              <w:bottom w:w="0" w:type="dxa"/>
              <w:right w:w="105" w:type="dxa"/>
            </w:tcMar>
            <w:vAlign w:val="center"/>
          </w:tcPr>
          <w:p w14:paraId="0F60D50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0BCE5D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37226AF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615" w:type="dxa"/>
            <w:tcBorders>
              <w:top w:val="nil"/>
              <w:left w:val="nil"/>
              <w:bottom w:val="nil"/>
              <w:right w:val="nil"/>
            </w:tcBorders>
            <w:noWrap w:val="0"/>
            <w:tcMar>
              <w:top w:w="0" w:type="dxa"/>
              <w:left w:w="105" w:type="dxa"/>
              <w:bottom w:w="0" w:type="dxa"/>
              <w:right w:w="105" w:type="dxa"/>
            </w:tcMar>
            <w:vAlign w:val="center"/>
          </w:tcPr>
          <w:p w14:paraId="68A95856">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77D9FF15">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24D0F7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A526415">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3757EBC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3E1B3AC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0676AA6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615" w:type="dxa"/>
            <w:tcBorders>
              <w:top w:val="nil"/>
              <w:left w:val="nil"/>
              <w:bottom w:val="nil"/>
              <w:right w:val="nil"/>
            </w:tcBorders>
            <w:noWrap w:val="0"/>
            <w:tcMar>
              <w:top w:w="0" w:type="dxa"/>
              <w:left w:w="105" w:type="dxa"/>
              <w:bottom w:w="0" w:type="dxa"/>
              <w:right w:w="105" w:type="dxa"/>
            </w:tcMar>
            <w:vAlign w:val="center"/>
          </w:tcPr>
          <w:p w14:paraId="419BFB9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385" w:type="dxa"/>
            <w:tcBorders>
              <w:top w:val="nil"/>
              <w:left w:val="nil"/>
              <w:bottom w:val="nil"/>
              <w:right w:val="nil"/>
            </w:tcBorders>
            <w:noWrap w:val="0"/>
            <w:tcMar>
              <w:top w:w="0" w:type="dxa"/>
              <w:left w:w="105" w:type="dxa"/>
              <w:bottom w:w="0" w:type="dxa"/>
              <w:right w:w="105" w:type="dxa"/>
            </w:tcMar>
            <w:vAlign w:val="center"/>
          </w:tcPr>
          <w:p w14:paraId="7E456E0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620EED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4DD3E42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邮政业</w:t>
            </w:r>
          </w:p>
        </w:tc>
        <w:tc>
          <w:tcPr>
            <w:tcW w:w="1773" w:type="dxa"/>
            <w:tcBorders>
              <w:top w:val="nil"/>
              <w:left w:val="nil"/>
              <w:bottom w:val="nil"/>
              <w:right w:val="nil"/>
            </w:tcBorders>
            <w:noWrap w:val="0"/>
            <w:tcMar>
              <w:top w:w="0" w:type="dxa"/>
              <w:left w:w="105" w:type="dxa"/>
              <w:bottom w:w="0" w:type="dxa"/>
              <w:right w:w="105" w:type="dxa"/>
            </w:tcMar>
            <w:vAlign w:val="center"/>
          </w:tcPr>
          <w:p w14:paraId="5C1C808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E04AE7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3A3B5BE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615" w:type="dxa"/>
            <w:tcBorders>
              <w:top w:val="nil"/>
              <w:left w:val="nil"/>
              <w:bottom w:val="nil"/>
              <w:right w:val="nil"/>
            </w:tcBorders>
            <w:noWrap w:val="0"/>
            <w:tcMar>
              <w:top w:w="0" w:type="dxa"/>
              <w:left w:w="105" w:type="dxa"/>
              <w:bottom w:w="0" w:type="dxa"/>
              <w:right w:w="105" w:type="dxa"/>
            </w:tcMar>
            <w:vAlign w:val="center"/>
          </w:tcPr>
          <w:p w14:paraId="35F3FB5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85" w:type="dxa"/>
            <w:tcBorders>
              <w:top w:val="nil"/>
              <w:left w:val="nil"/>
              <w:bottom w:val="nil"/>
              <w:right w:val="nil"/>
            </w:tcBorders>
            <w:noWrap w:val="0"/>
            <w:tcMar>
              <w:top w:w="0" w:type="dxa"/>
              <w:left w:w="105" w:type="dxa"/>
              <w:bottom w:w="0" w:type="dxa"/>
              <w:right w:w="105" w:type="dxa"/>
            </w:tcMar>
            <w:vAlign w:val="center"/>
          </w:tcPr>
          <w:p w14:paraId="015E63C5">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6E7E67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7D7455A">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7949AF7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66F2E15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610B560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615" w:type="dxa"/>
            <w:tcBorders>
              <w:top w:val="nil"/>
              <w:left w:val="nil"/>
              <w:bottom w:val="nil"/>
              <w:right w:val="nil"/>
            </w:tcBorders>
            <w:noWrap w:val="0"/>
            <w:tcMar>
              <w:top w:w="0" w:type="dxa"/>
              <w:left w:w="105" w:type="dxa"/>
              <w:bottom w:w="0" w:type="dxa"/>
              <w:right w:w="105" w:type="dxa"/>
            </w:tcMar>
            <w:vAlign w:val="center"/>
          </w:tcPr>
          <w:p w14:paraId="370206A3">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385" w:type="dxa"/>
            <w:tcBorders>
              <w:top w:val="nil"/>
              <w:left w:val="nil"/>
              <w:bottom w:val="nil"/>
              <w:right w:val="nil"/>
            </w:tcBorders>
            <w:noWrap w:val="0"/>
            <w:tcMar>
              <w:top w:w="0" w:type="dxa"/>
              <w:left w:w="105" w:type="dxa"/>
              <w:bottom w:w="0" w:type="dxa"/>
              <w:right w:w="105" w:type="dxa"/>
            </w:tcMar>
            <w:vAlign w:val="center"/>
          </w:tcPr>
          <w:p w14:paraId="1DA44184">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7172C8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74EFC57A">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住宿业</w:t>
            </w:r>
          </w:p>
        </w:tc>
        <w:tc>
          <w:tcPr>
            <w:tcW w:w="1773" w:type="dxa"/>
            <w:tcBorders>
              <w:top w:val="nil"/>
              <w:left w:val="nil"/>
              <w:bottom w:val="nil"/>
              <w:right w:val="nil"/>
            </w:tcBorders>
            <w:noWrap w:val="0"/>
            <w:tcMar>
              <w:top w:w="0" w:type="dxa"/>
              <w:left w:w="105" w:type="dxa"/>
              <w:bottom w:w="0" w:type="dxa"/>
              <w:right w:w="105" w:type="dxa"/>
            </w:tcMar>
            <w:vAlign w:val="center"/>
          </w:tcPr>
          <w:p w14:paraId="2741DA7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68AFCE5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151BF0E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615" w:type="dxa"/>
            <w:tcBorders>
              <w:top w:val="nil"/>
              <w:left w:val="nil"/>
              <w:bottom w:val="nil"/>
              <w:right w:val="nil"/>
            </w:tcBorders>
            <w:noWrap w:val="0"/>
            <w:tcMar>
              <w:top w:w="0" w:type="dxa"/>
              <w:left w:w="105" w:type="dxa"/>
              <w:bottom w:w="0" w:type="dxa"/>
              <w:right w:w="105" w:type="dxa"/>
            </w:tcMar>
            <w:vAlign w:val="center"/>
          </w:tcPr>
          <w:p w14:paraId="5278DD0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74532D1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423BAB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B73F07E">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7A49D02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3F6EA96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0D68965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615" w:type="dxa"/>
            <w:tcBorders>
              <w:top w:val="nil"/>
              <w:left w:val="nil"/>
              <w:bottom w:val="nil"/>
              <w:right w:val="nil"/>
            </w:tcBorders>
            <w:noWrap w:val="0"/>
            <w:tcMar>
              <w:top w:w="0" w:type="dxa"/>
              <w:left w:w="105" w:type="dxa"/>
              <w:bottom w:w="0" w:type="dxa"/>
              <w:right w:w="105" w:type="dxa"/>
            </w:tcMar>
            <w:vAlign w:val="center"/>
          </w:tcPr>
          <w:p w14:paraId="75D9CF0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385" w:type="dxa"/>
            <w:tcBorders>
              <w:top w:val="nil"/>
              <w:left w:val="nil"/>
              <w:bottom w:val="nil"/>
              <w:right w:val="nil"/>
            </w:tcBorders>
            <w:noWrap w:val="0"/>
            <w:tcMar>
              <w:top w:w="0" w:type="dxa"/>
              <w:left w:w="105" w:type="dxa"/>
              <w:bottom w:w="0" w:type="dxa"/>
              <w:right w:w="105" w:type="dxa"/>
            </w:tcMar>
            <w:vAlign w:val="center"/>
          </w:tcPr>
          <w:p w14:paraId="286A618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1F9400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3E7F3AC">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餐饮业</w:t>
            </w:r>
          </w:p>
        </w:tc>
        <w:tc>
          <w:tcPr>
            <w:tcW w:w="1773" w:type="dxa"/>
            <w:tcBorders>
              <w:top w:val="nil"/>
              <w:left w:val="nil"/>
              <w:bottom w:val="nil"/>
              <w:right w:val="nil"/>
            </w:tcBorders>
            <w:noWrap w:val="0"/>
            <w:tcMar>
              <w:top w:w="0" w:type="dxa"/>
              <w:left w:w="105" w:type="dxa"/>
              <w:bottom w:w="0" w:type="dxa"/>
              <w:right w:w="105" w:type="dxa"/>
            </w:tcMar>
            <w:vAlign w:val="center"/>
          </w:tcPr>
          <w:p w14:paraId="618BACC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5564C79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753F6CB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615" w:type="dxa"/>
            <w:tcBorders>
              <w:top w:val="nil"/>
              <w:left w:val="nil"/>
              <w:bottom w:val="nil"/>
              <w:right w:val="nil"/>
            </w:tcBorders>
            <w:noWrap w:val="0"/>
            <w:tcMar>
              <w:top w:w="0" w:type="dxa"/>
              <w:left w:w="105" w:type="dxa"/>
              <w:bottom w:w="0" w:type="dxa"/>
              <w:right w:w="105" w:type="dxa"/>
            </w:tcMar>
            <w:vAlign w:val="center"/>
          </w:tcPr>
          <w:p w14:paraId="25B715BE">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7FE339AA">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0565D4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DE2CB12">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7E108DB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0FB72BB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5432679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615" w:type="dxa"/>
            <w:tcBorders>
              <w:top w:val="nil"/>
              <w:left w:val="nil"/>
              <w:bottom w:val="nil"/>
              <w:right w:val="nil"/>
            </w:tcBorders>
            <w:noWrap w:val="0"/>
            <w:tcMar>
              <w:top w:w="0" w:type="dxa"/>
              <w:left w:w="105" w:type="dxa"/>
              <w:bottom w:w="0" w:type="dxa"/>
              <w:right w:w="105" w:type="dxa"/>
            </w:tcMar>
            <w:vAlign w:val="center"/>
          </w:tcPr>
          <w:p w14:paraId="1D9C323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385" w:type="dxa"/>
            <w:tcBorders>
              <w:top w:val="nil"/>
              <w:left w:val="nil"/>
              <w:bottom w:val="nil"/>
              <w:right w:val="nil"/>
            </w:tcBorders>
            <w:noWrap w:val="0"/>
            <w:tcMar>
              <w:top w:w="0" w:type="dxa"/>
              <w:left w:w="105" w:type="dxa"/>
              <w:bottom w:w="0" w:type="dxa"/>
              <w:right w:w="105" w:type="dxa"/>
            </w:tcMar>
            <w:vAlign w:val="center"/>
          </w:tcPr>
          <w:p w14:paraId="3817A50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40DAA8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4E793B7">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信息传输业</w:t>
            </w:r>
          </w:p>
        </w:tc>
        <w:tc>
          <w:tcPr>
            <w:tcW w:w="1773" w:type="dxa"/>
            <w:tcBorders>
              <w:top w:val="nil"/>
              <w:left w:val="nil"/>
              <w:bottom w:val="nil"/>
              <w:right w:val="nil"/>
            </w:tcBorders>
            <w:noWrap w:val="0"/>
            <w:tcMar>
              <w:top w:w="0" w:type="dxa"/>
              <w:left w:w="105" w:type="dxa"/>
              <w:bottom w:w="0" w:type="dxa"/>
              <w:right w:w="105" w:type="dxa"/>
            </w:tcMar>
            <w:vAlign w:val="center"/>
          </w:tcPr>
          <w:p w14:paraId="10333CA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4DC56A0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1F70996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2000</w:t>
            </w:r>
          </w:p>
        </w:tc>
        <w:tc>
          <w:tcPr>
            <w:tcW w:w="1615" w:type="dxa"/>
            <w:tcBorders>
              <w:top w:val="nil"/>
              <w:left w:val="nil"/>
              <w:bottom w:val="nil"/>
              <w:right w:val="nil"/>
            </w:tcBorders>
            <w:noWrap w:val="0"/>
            <w:tcMar>
              <w:top w:w="0" w:type="dxa"/>
              <w:left w:w="105" w:type="dxa"/>
              <w:bottom w:w="0" w:type="dxa"/>
              <w:right w:w="105" w:type="dxa"/>
            </w:tcMar>
            <w:vAlign w:val="center"/>
          </w:tcPr>
          <w:p w14:paraId="6B86191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13B09AD7">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1B70E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A50EC22">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65CCC4E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1F733A8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01F9006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100000</w:t>
            </w:r>
          </w:p>
        </w:tc>
        <w:tc>
          <w:tcPr>
            <w:tcW w:w="1615" w:type="dxa"/>
            <w:tcBorders>
              <w:top w:val="nil"/>
              <w:left w:val="nil"/>
              <w:bottom w:val="nil"/>
              <w:right w:val="nil"/>
            </w:tcBorders>
            <w:noWrap w:val="0"/>
            <w:tcMar>
              <w:top w:w="0" w:type="dxa"/>
              <w:left w:w="105" w:type="dxa"/>
              <w:bottom w:w="0" w:type="dxa"/>
              <w:right w:w="105" w:type="dxa"/>
            </w:tcMar>
            <w:vAlign w:val="center"/>
          </w:tcPr>
          <w:p w14:paraId="170D5DD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385" w:type="dxa"/>
            <w:tcBorders>
              <w:top w:val="nil"/>
              <w:left w:val="nil"/>
              <w:bottom w:val="nil"/>
              <w:right w:val="nil"/>
            </w:tcBorders>
            <w:noWrap w:val="0"/>
            <w:tcMar>
              <w:top w:w="0" w:type="dxa"/>
              <w:left w:w="105" w:type="dxa"/>
              <w:bottom w:w="0" w:type="dxa"/>
              <w:right w:w="105" w:type="dxa"/>
            </w:tcMar>
            <w:vAlign w:val="center"/>
          </w:tcPr>
          <w:p w14:paraId="0595686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50BDA1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C344928">
            <w:pPr>
              <w:pBdr>
                <w:top w:val="none" w:color="000000" w:sz="0" w:space="0"/>
                <w:left w:val="none" w:color="000000" w:sz="0" w:space="0"/>
                <w:bottom w:val="none" w:color="000000" w:sz="0" w:space="0"/>
                <w:right w:val="none" w:color="000000" w:sz="0" w:space="0"/>
              </w:pBdr>
              <w:spacing w:before="0" w:after="150" w:line="240" w:lineRule="auto"/>
              <w:ind w:left="0" w:right="0" w:firstLine="420"/>
              <w:jc w:val="center"/>
            </w:pPr>
            <w:r>
              <w:rPr>
                <w:rFonts w:ascii="等线" w:hAnsi="等线" w:eastAsia="等线" w:cs="等线"/>
                <w:b/>
                <w:color w:val="666666"/>
                <w:sz w:val="21"/>
              </w:rPr>
              <w:t>软件和信息技术服务业</w:t>
            </w:r>
          </w:p>
        </w:tc>
        <w:tc>
          <w:tcPr>
            <w:tcW w:w="1773" w:type="dxa"/>
            <w:tcBorders>
              <w:top w:val="nil"/>
              <w:left w:val="nil"/>
              <w:bottom w:val="nil"/>
              <w:right w:val="nil"/>
            </w:tcBorders>
            <w:noWrap w:val="0"/>
            <w:tcMar>
              <w:top w:w="0" w:type="dxa"/>
              <w:left w:w="105" w:type="dxa"/>
              <w:bottom w:w="0" w:type="dxa"/>
              <w:right w:w="105" w:type="dxa"/>
            </w:tcMar>
            <w:vAlign w:val="center"/>
          </w:tcPr>
          <w:p w14:paraId="57A9487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1AF188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1ABC4DE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615" w:type="dxa"/>
            <w:tcBorders>
              <w:top w:val="nil"/>
              <w:left w:val="nil"/>
              <w:bottom w:val="nil"/>
              <w:right w:val="nil"/>
            </w:tcBorders>
            <w:noWrap w:val="0"/>
            <w:tcMar>
              <w:top w:w="0" w:type="dxa"/>
              <w:left w:w="105" w:type="dxa"/>
              <w:bottom w:w="0" w:type="dxa"/>
              <w:right w:w="105" w:type="dxa"/>
            </w:tcMar>
            <w:vAlign w:val="center"/>
          </w:tcPr>
          <w:p w14:paraId="645F0FE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2A45035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4BCB66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F569463">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166644D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282CA93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35DEF7D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615" w:type="dxa"/>
            <w:tcBorders>
              <w:top w:val="nil"/>
              <w:left w:val="nil"/>
              <w:bottom w:val="nil"/>
              <w:right w:val="nil"/>
            </w:tcBorders>
            <w:noWrap w:val="0"/>
            <w:tcMar>
              <w:top w:w="0" w:type="dxa"/>
              <w:left w:w="105" w:type="dxa"/>
              <w:bottom w:w="0" w:type="dxa"/>
              <w:right w:w="105" w:type="dxa"/>
            </w:tcMar>
            <w:vAlign w:val="center"/>
          </w:tcPr>
          <w:p w14:paraId="082DD6A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385" w:type="dxa"/>
            <w:tcBorders>
              <w:top w:val="nil"/>
              <w:left w:val="nil"/>
              <w:bottom w:val="nil"/>
              <w:right w:val="nil"/>
            </w:tcBorders>
            <w:noWrap w:val="0"/>
            <w:tcMar>
              <w:top w:w="0" w:type="dxa"/>
              <w:left w:w="105" w:type="dxa"/>
              <w:bottom w:w="0" w:type="dxa"/>
              <w:right w:w="105" w:type="dxa"/>
            </w:tcMar>
            <w:vAlign w:val="center"/>
          </w:tcPr>
          <w:p w14:paraId="5CB864BF">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14:paraId="4C4532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448F741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房地产开发经营</w:t>
            </w:r>
          </w:p>
        </w:tc>
        <w:tc>
          <w:tcPr>
            <w:tcW w:w="1773" w:type="dxa"/>
            <w:tcBorders>
              <w:top w:val="nil"/>
              <w:left w:val="nil"/>
              <w:bottom w:val="nil"/>
              <w:right w:val="nil"/>
            </w:tcBorders>
            <w:noWrap w:val="0"/>
            <w:tcMar>
              <w:top w:w="0" w:type="dxa"/>
              <w:left w:w="105" w:type="dxa"/>
              <w:bottom w:w="0" w:type="dxa"/>
              <w:right w:w="105" w:type="dxa"/>
            </w:tcMar>
            <w:vAlign w:val="center"/>
          </w:tcPr>
          <w:p w14:paraId="39A86B8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3AC824D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6F78EFC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200000</w:t>
            </w:r>
          </w:p>
        </w:tc>
        <w:tc>
          <w:tcPr>
            <w:tcW w:w="1615" w:type="dxa"/>
            <w:tcBorders>
              <w:top w:val="nil"/>
              <w:left w:val="nil"/>
              <w:bottom w:val="nil"/>
              <w:right w:val="nil"/>
            </w:tcBorders>
            <w:noWrap w:val="0"/>
            <w:tcMar>
              <w:top w:w="0" w:type="dxa"/>
              <w:left w:w="105" w:type="dxa"/>
              <w:bottom w:w="0" w:type="dxa"/>
              <w:right w:w="105" w:type="dxa"/>
            </w:tcMar>
            <w:vAlign w:val="center"/>
          </w:tcPr>
          <w:p w14:paraId="2ED2EBEA">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385" w:type="dxa"/>
            <w:tcBorders>
              <w:top w:val="nil"/>
              <w:left w:val="nil"/>
              <w:bottom w:val="nil"/>
              <w:right w:val="nil"/>
            </w:tcBorders>
            <w:noWrap w:val="0"/>
            <w:tcMar>
              <w:top w:w="0" w:type="dxa"/>
              <w:left w:w="105" w:type="dxa"/>
              <w:bottom w:w="0" w:type="dxa"/>
              <w:right w:w="105" w:type="dxa"/>
            </w:tcMar>
            <w:vAlign w:val="center"/>
          </w:tcPr>
          <w:p w14:paraId="408132C0">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14:paraId="082496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5BBBCBD">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596AF9A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348EE6C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0505194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10000</w:t>
            </w:r>
          </w:p>
        </w:tc>
        <w:tc>
          <w:tcPr>
            <w:tcW w:w="1615" w:type="dxa"/>
            <w:tcBorders>
              <w:top w:val="nil"/>
              <w:left w:val="nil"/>
              <w:bottom w:val="nil"/>
              <w:right w:val="nil"/>
            </w:tcBorders>
            <w:noWrap w:val="0"/>
            <w:tcMar>
              <w:top w:w="0" w:type="dxa"/>
              <w:left w:w="105" w:type="dxa"/>
              <w:bottom w:w="0" w:type="dxa"/>
              <w:right w:w="105" w:type="dxa"/>
            </w:tcMar>
            <w:vAlign w:val="center"/>
          </w:tcPr>
          <w:p w14:paraId="29B631F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385" w:type="dxa"/>
            <w:tcBorders>
              <w:top w:val="nil"/>
              <w:left w:val="nil"/>
              <w:bottom w:val="nil"/>
              <w:right w:val="nil"/>
            </w:tcBorders>
            <w:noWrap w:val="0"/>
            <w:tcMar>
              <w:top w:w="0" w:type="dxa"/>
              <w:left w:w="105" w:type="dxa"/>
              <w:bottom w:w="0" w:type="dxa"/>
              <w:right w:w="105" w:type="dxa"/>
            </w:tcMar>
            <w:vAlign w:val="center"/>
          </w:tcPr>
          <w:p w14:paraId="4F09BCF5">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2000</w:t>
            </w:r>
          </w:p>
        </w:tc>
      </w:tr>
      <w:tr w14:paraId="33773E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86D9C72">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物业管理</w:t>
            </w:r>
          </w:p>
        </w:tc>
        <w:tc>
          <w:tcPr>
            <w:tcW w:w="1773" w:type="dxa"/>
            <w:tcBorders>
              <w:top w:val="nil"/>
              <w:left w:val="nil"/>
              <w:bottom w:val="nil"/>
              <w:right w:val="nil"/>
            </w:tcBorders>
            <w:noWrap w:val="0"/>
            <w:tcMar>
              <w:top w:w="0" w:type="dxa"/>
              <w:left w:w="105" w:type="dxa"/>
              <w:bottom w:w="0" w:type="dxa"/>
              <w:right w:w="105" w:type="dxa"/>
            </w:tcMar>
            <w:vAlign w:val="center"/>
          </w:tcPr>
          <w:p w14:paraId="6CEFCB9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33B1E7F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4E8788D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615" w:type="dxa"/>
            <w:tcBorders>
              <w:top w:val="nil"/>
              <w:left w:val="nil"/>
              <w:bottom w:val="nil"/>
              <w:right w:val="nil"/>
            </w:tcBorders>
            <w:noWrap w:val="0"/>
            <w:tcMar>
              <w:top w:w="0" w:type="dxa"/>
              <w:left w:w="105" w:type="dxa"/>
              <w:bottom w:w="0" w:type="dxa"/>
              <w:right w:w="105" w:type="dxa"/>
            </w:tcMar>
            <w:vAlign w:val="center"/>
          </w:tcPr>
          <w:p w14:paraId="3765D45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85" w:type="dxa"/>
            <w:tcBorders>
              <w:top w:val="nil"/>
              <w:left w:val="nil"/>
              <w:bottom w:val="nil"/>
              <w:right w:val="nil"/>
            </w:tcBorders>
            <w:noWrap w:val="0"/>
            <w:tcMar>
              <w:top w:w="0" w:type="dxa"/>
              <w:left w:w="105" w:type="dxa"/>
              <w:bottom w:w="0" w:type="dxa"/>
              <w:right w:w="105" w:type="dxa"/>
            </w:tcMar>
            <w:vAlign w:val="center"/>
          </w:tcPr>
          <w:p w14:paraId="48CC8332">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14:paraId="7D16F8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29B88F34">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7770494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244BFED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5CDC898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615" w:type="dxa"/>
            <w:tcBorders>
              <w:top w:val="nil"/>
              <w:left w:val="nil"/>
              <w:bottom w:val="nil"/>
              <w:right w:val="nil"/>
            </w:tcBorders>
            <w:noWrap w:val="0"/>
            <w:tcMar>
              <w:top w:w="0" w:type="dxa"/>
              <w:left w:w="105" w:type="dxa"/>
              <w:bottom w:w="0" w:type="dxa"/>
              <w:right w:w="105" w:type="dxa"/>
            </w:tcMar>
            <w:vAlign w:val="center"/>
          </w:tcPr>
          <w:p w14:paraId="539E904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385" w:type="dxa"/>
            <w:tcBorders>
              <w:top w:val="nil"/>
              <w:left w:val="nil"/>
              <w:bottom w:val="nil"/>
              <w:right w:val="nil"/>
            </w:tcBorders>
            <w:noWrap w:val="0"/>
            <w:tcMar>
              <w:top w:w="0" w:type="dxa"/>
              <w:left w:w="105" w:type="dxa"/>
              <w:bottom w:w="0" w:type="dxa"/>
              <w:right w:w="105" w:type="dxa"/>
            </w:tcMar>
            <w:vAlign w:val="center"/>
          </w:tcPr>
          <w:p w14:paraId="6208861F">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500</w:t>
            </w:r>
          </w:p>
        </w:tc>
      </w:tr>
      <w:tr w14:paraId="400470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4DB5586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租赁和商务服务业</w:t>
            </w:r>
          </w:p>
        </w:tc>
        <w:tc>
          <w:tcPr>
            <w:tcW w:w="1773" w:type="dxa"/>
            <w:tcBorders>
              <w:top w:val="nil"/>
              <w:left w:val="nil"/>
              <w:bottom w:val="nil"/>
              <w:right w:val="nil"/>
            </w:tcBorders>
            <w:noWrap w:val="0"/>
            <w:tcMar>
              <w:top w:w="0" w:type="dxa"/>
              <w:left w:w="105" w:type="dxa"/>
              <w:bottom w:w="0" w:type="dxa"/>
              <w:right w:w="105" w:type="dxa"/>
            </w:tcMar>
            <w:vAlign w:val="center"/>
          </w:tcPr>
          <w:p w14:paraId="4EE6DB2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51CFBD9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0C17F2F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615" w:type="dxa"/>
            <w:tcBorders>
              <w:top w:val="nil"/>
              <w:left w:val="nil"/>
              <w:bottom w:val="nil"/>
              <w:right w:val="nil"/>
            </w:tcBorders>
            <w:noWrap w:val="0"/>
            <w:tcMar>
              <w:top w:w="0" w:type="dxa"/>
              <w:left w:w="105" w:type="dxa"/>
              <w:bottom w:w="0" w:type="dxa"/>
              <w:right w:w="105" w:type="dxa"/>
            </w:tcMar>
            <w:vAlign w:val="center"/>
          </w:tcPr>
          <w:p w14:paraId="7BA5798C">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5C6FDC0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28D7B2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62B30DF7">
            <w:pPr>
              <w:spacing w:after="0" w:line="240" w:lineRule="auto"/>
            </w:pPr>
          </w:p>
        </w:tc>
        <w:tc>
          <w:tcPr>
            <w:tcW w:w="1773" w:type="dxa"/>
            <w:tcBorders>
              <w:top w:val="nil"/>
              <w:left w:val="nil"/>
              <w:bottom w:val="nil"/>
              <w:right w:val="nil"/>
            </w:tcBorders>
            <w:noWrap w:val="0"/>
            <w:tcMar>
              <w:top w:w="0" w:type="dxa"/>
              <w:left w:w="105" w:type="dxa"/>
              <w:bottom w:w="0" w:type="dxa"/>
              <w:right w:w="105" w:type="dxa"/>
            </w:tcMar>
            <w:vAlign w:val="center"/>
          </w:tcPr>
          <w:p w14:paraId="69A3A8F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79C09B1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912" w:type="dxa"/>
            <w:tcBorders>
              <w:top w:val="nil"/>
              <w:left w:val="nil"/>
              <w:bottom w:val="nil"/>
              <w:right w:val="nil"/>
            </w:tcBorders>
            <w:noWrap w:val="0"/>
            <w:tcMar>
              <w:top w:w="0" w:type="dxa"/>
              <w:left w:w="105" w:type="dxa"/>
              <w:bottom w:w="0" w:type="dxa"/>
              <w:right w:w="105" w:type="dxa"/>
            </w:tcMar>
            <w:vAlign w:val="center"/>
          </w:tcPr>
          <w:p w14:paraId="4DA64AE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8000≤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120000</w:t>
            </w:r>
          </w:p>
        </w:tc>
        <w:tc>
          <w:tcPr>
            <w:tcW w:w="1615" w:type="dxa"/>
            <w:tcBorders>
              <w:top w:val="nil"/>
              <w:left w:val="nil"/>
              <w:bottom w:val="nil"/>
              <w:right w:val="nil"/>
            </w:tcBorders>
            <w:noWrap w:val="0"/>
            <w:tcMar>
              <w:top w:w="0" w:type="dxa"/>
              <w:left w:w="105" w:type="dxa"/>
              <w:bottom w:w="0" w:type="dxa"/>
              <w:right w:w="105" w:type="dxa"/>
            </w:tcMar>
            <w:vAlign w:val="center"/>
          </w:tcPr>
          <w:p w14:paraId="17B61DB2">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w:t>
            </w:r>
          </w:p>
        </w:tc>
        <w:tc>
          <w:tcPr>
            <w:tcW w:w="1385" w:type="dxa"/>
            <w:tcBorders>
              <w:top w:val="nil"/>
              <w:left w:val="nil"/>
              <w:bottom w:val="nil"/>
              <w:right w:val="nil"/>
            </w:tcBorders>
            <w:noWrap w:val="0"/>
            <w:tcMar>
              <w:top w:w="0" w:type="dxa"/>
              <w:left w:w="105" w:type="dxa"/>
              <w:bottom w:w="0" w:type="dxa"/>
              <w:right w:w="105" w:type="dxa"/>
            </w:tcMar>
            <w:vAlign w:val="center"/>
          </w:tcPr>
          <w:p w14:paraId="27F288E3">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1CCBF3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4500A028">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其他未列明行业</w:t>
            </w:r>
          </w:p>
        </w:tc>
        <w:tc>
          <w:tcPr>
            <w:tcW w:w="1773" w:type="dxa"/>
            <w:tcBorders>
              <w:top w:val="nil"/>
              <w:left w:val="nil"/>
              <w:bottom w:val="nil"/>
              <w:right w:val="nil"/>
            </w:tcBorders>
            <w:noWrap w:val="0"/>
            <w:tcMar>
              <w:top w:w="0" w:type="dxa"/>
              <w:left w:w="105" w:type="dxa"/>
              <w:bottom w:w="0" w:type="dxa"/>
              <w:right w:w="105" w:type="dxa"/>
            </w:tcMar>
            <w:vAlign w:val="center"/>
          </w:tcPr>
          <w:p w14:paraId="00102D1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920" w:type="dxa"/>
            <w:tcBorders>
              <w:top w:val="nil"/>
              <w:left w:val="nil"/>
              <w:bottom w:val="nil"/>
              <w:right w:val="nil"/>
            </w:tcBorders>
            <w:noWrap w:val="0"/>
            <w:tcMar>
              <w:top w:w="0" w:type="dxa"/>
              <w:left w:w="105" w:type="dxa"/>
              <w:bottom w:w="0" w:type="dxa"/>
              <w:right w:w="105" w:type="dxa"/>
            </w:tcMar>
            <w:vAlign w:val="center"/>
          </w:tcPr>
          <w:p w14:paraId="25BF712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912" w:type="dxa"/>
            <w:tcBorders>
              <w:top w:val="nil"/>
              <w:left w:val="nil"/>
              <w:bottom w:val="nil"/>
              <w:right w:val="nil"/>
            </w:tcBorders>
            <w:noWrap w:val="0"/>
            <w:tcMar>
              <w:top w:w="0" w:type="dxa"/>
              <w:left w:w="105" w:type="dxa"/>
              <w:bottom w:w="0" w:type="dxa"/>
              <w:right w:w="105" w:type="dxa"/>
            </w:tcMar>
            <w:vAlign w:val="center"/>
          </w:tcPr>
          <w:p w14:paraId="5844165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615" w:type="dxa"/>
            <w:tcBorders>
              <w:top w:val="nil"/>
              <w:left w:val="nil"/>
              <w:bottom w:val="nil"/>
              <w:right w:val="nil"/>
            </w:tcBorders>
            <w:noWrap w:val="0"/>
            <w:tcMar>
              <w:top w:w="0" w:type="dxa"/>
              <w:left w:w="105" w:type="dxa"/>
              <w:bottom w:w="0" w:type="dxa"/>
              <w:right w:w="105" w:type="dxa"/>
            </w:tcMar>
            <w:vAlign w:val="center"/>
          </w:tcPr>
          <w:p w14:paraId="56908A4B">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385" w:type="dxa"/>
            <w:tcBorders>
              <w:top w:val="nil"/>
              <w:left w:val="nil"/>
              <w:bottom w:val="nil"/>
              <w:right w:val="nil"/>
            </w:tcBorders>
            <w:noWrap w:val="0"/>
            <w:tcMar>
              <w:top w:w="0" w:type="dxa"/>
              <w:left w:w="105" w:type="dxa"/>
              <w:bottom w:w="0" w:type="dxa"/>
              <w:right w:w="105" w:type="dxa"/>
            </w:tcMar>
            <w:vAlign w:val="center"/>
          </w:tcPr>
          <w:p w14:paraId="5C134F08">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bl>
    <w:p w14:paraId="35BFED50">
      <w:pPr>
        <w:pBdr>
          <w:top w:val="none" w:color="000000" w:sz="0" w:space="0"/>
          <w:left w:val="none" w:color="000000" w:sz="0" w:space="0"/>
          <w:bottom w:val="none" w:color="000000" w:sz="0" w:space="0"/>
          <w:right w:val="none" w:color="000000" w:sz="0" w:space="0"/>
        </w:pBdr>
        <w:spacing w:before="300" w:after="452"/>
        <w:ind w:left="0" w:right="0" w:firstLine="810"/>
        <w:jc w:val="both"/>
      </w:pPr>
      <w:r>
        <w:rPr>
          <w:rFonts w:ascii="等线" w:hAnsi="等线" w:eastAsia="等线" w:cs="等线"/>
          <w:b/>
          <w:color w:val="666666"/>
          <w:sz w:val="21"/>
        </w:rPr>
        <w:t>说明：上述标准参照《关于印发中小企业划型标准规定的通知》（工信部联企业[2011]300号），大型、中型和小型企业须同时满足所列指标的下限，否则下划一档；微型企业只须满足所列指标中的一项即可。</w:t>
      </w:r>
    </w:p>
    <w:p w14:paraId="4A8073E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1AB046D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68985AC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66FDDE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6E1E1C0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58C9CAC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221EB20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7F4D72A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附件12     残疾人福利性单位声明函（服务类项目）（采购包号：**）</w:t>
      </w:r>
    </w:p>
    <w:p w14:paraId="68A6DF5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7FE7BA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14:paraId="2E72BF0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本单位对上述声明的真实性负责。如有虚假，将依法承担相应责任。</w:t>
      </w:r>
    </w:p>
    <w:p w14:paraId="320087A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5309401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备注：</w:t>
      </w:r>
    </w:p>
    <w:p w14:paraId="1DD24DE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1.专门面向中小微型企业采购的项目，供应商为残疾人福利性单位并提供服务的必须提供此声明函，否则将不能通过资格审查。</w:t>
      </w:r>
    </w:p>
    <w:p w14:paraId="478BAD5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2.非专门面向中小微型企业采购的项目，供应商如不提供此声明函，价格将不做相应扣除。</w:t>
      </w:r>
    </w:p>
    <w:p w14:paraId="5DCC7D8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3.中标/成交供应商为残疾人福利性单位的，此声明函将随中标/成交结果同时公告，接受社会监督</w:t>
      </w:r>
    </w:p>
    <w:p w14:paraId="30A2FDC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6226A8A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供应商全称（加盖CA电子公章）：</w:t>
      </w:r>
    </w:p>
    <w:p w14:paraId="6A35500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日期：</w:t>
      </w:r>
    </w:p>
    <w:p w14:paraId="521A84F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3DBA14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附件13          联合体协议（参考格式）（采购包号：**）</w:t>
      </w:r>
    </w:p>
    <w:p w14:paraId="0178F2D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14:paraId="77ACFB7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（联合体中各供应商全称）在此达成以下协议：</w:t>
      </w:r>
    </w:p>
    <w:p w14:paraId="1747AF33">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1、我们</w:t>
      </w:r>
      <w:r>
        <w:rPr>
          <w:rFonts w:ascii="宋体" w:hAnsi="宋体" w:eastAsia="宋体" w:cs="宋体"/>
          <w:color w:val="000000"/>
          <w:sz w:val="24"/>
          <w:u w:val="single"/>
        </w:rPr>
        <w:t> （供应商1），（供应商2） ，……</w:t>
      </w:r>
      <w:r>
        <w:rPr>
          <w:rFonts w:ascii="宋体" w:hAnsi="宋体" w:eastAsia="宋体" w:cs="宋体"/>
          <w:color w:val="000000"/>
          <w:sz w:val="24"/>
        </w:rPr>
        <w:t>自愿组成联合体，参加扬州市公共资源交易中心组织的采购编号为</w:t>
      </w:r>
      <w:r>
        <w:rPr>
          <w:rFonts w:ascii="宋体" w:hAnsi="宋体" w:eastAsia="宋体" w:cs="宋体"/>
          <w:color w:val="000000"/>
          <w:sz w:val="24"/>
          <w:u w:val="single"/>
        </w:rPr>
        <w:t>（编号全称），（项目全称）</w:t>
      </w:r>
      <w:r>
        <w:rPr>
          <w:rFonts w:ascii="宋体" w:hAnsi="宋体" w:eastAsia="宋体" w:cs="宋体"/>
          <w:color w:val="000000"/>
          <w:sz w:val="24"/>
        </w:rPr>
        <w:t>项目（采购包号：**）的政府采购活动，我联合体指定</w:t>
      </w:r>
      <w:r>
        <w:rPr>
          <w:rFonts w:ascii="宋体" w:hAnsi="宋体" w:eastAsia="宋体" w:cs="宋体"/>
          <w:color w:val="000000"/>
          <w:sz w:val="24"/>
          <w:u w:val="single"/>
        </w:rPr>
        <w:t>（供应商*）</w:t>
      </w:r>
      <w:r>
        <w:rPr>
          <w:rFonts w:ascii="宋体" w:hAnsi="宋体" w:eastAsia="宋体" w:cs="宋体"/>
          <w:color w:val="000000"/>
          <w:sz w:val="24"/>
        </w:rPr>
        <w:t>为牵头单位（牵头单位必须为联合体成员）。</w:t>
      </w:r>
    </w:p>
    <w:p w14:paraId="452A2393">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A34EE22">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3、其中</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（小型、微型企业/残疾人福利性单位/监狱企业全称）为</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（小型、微型企业/残疾人福利性单位/监狱企业）企业，且我们约定该公司/单位所承担的合同金额将占本项目合同总金额的</w:t>
      </w:r>
      <w:r>
        <w:rPr>
          <w:rFonts w:ascii="宋体" w:hAnsi="宋体" w:eastAsia="宋体" w:cs="宋体"/>
          <w:color w:val="000000"/>
          <w:sz w:val="24"/>
          <w:u w:val="single"/>
        </w:rPr>
        <w:t>  </w:t>
      </w:r>
      <w:r>
        <w:rPr>
          <w:rFonts w:ascii="宋体" w:hAnsi="宋体" w:eastAsia="宋体" w:cs="宋体"/>
          <w:color w:val="000000"/>
          <w:sz w:val="24"/>
        </w:rPr>
        <w:t> %。</w:t>
      </w:r>
    </w:p>
    <w:p w14:paraId="316B4090">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0EA633DA">
      <w:pPr>
        <w:pBdr>
          <w:top w:val="none" w:color="000000" w:sz="0" w:space="0"/>
          <w:left w:val="none" w:color="000000" w:sz="0" w:space="0"/>
          <w:bottom w:val="none" w:color="000000" w:sz="0" w:space="0"/>
          <w:right w:val="none" w:color="000000" w:sz="0" w:space="0"/>
        </w:pBdr>
        <w:spacing w:before="0" w:after="0" w:line="400" w:lineRule="atLeast"/>
        <w:ind w:left="0" w:right="0" w:firstLine="646"/>
        <w:jc w:val="right"/>
      </w:pPr>
      <w:r>
        <w:rPr>
          <w:rFonts w:ascii="宋体" w:hAnsi="宋体" w:eastAsia="宋体" w:cs="宋体"/>
          <w:color w:val="000000"/>
          <w:sz w:val="24"/>
        </w:rPr>
        <w:t>联合体中各供应商全称（公章）：     </w:t>
      </w:r>
    </w:p>
    <w:p w14:paraId="6B120F78">
      <w:pPr>
        <w:pBdr>
          <w:top w:val="none" w:color="000000" w:sz="0" w:space="0"/>
          <w:left w:val="none" w:color="000000" w:sz="0" w:space="0"/>
          <w:bottom w:val="none" w:color="000000" w:sz="0" w:space="0"/>
          <w:right w:val="none" w:color="000000" w:sz="0" w:space="0"/>
        </w:pBdr>
        <w:spacing w:before="0" w:after="0" w:line="400" w:lineRule="atLeast"/>
        <w:ind w:left="0" w:right="0" w:firstLine="646"/>
        <w:jc w:val="both"/>
      </w:pP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日期：</w:t>
      </w:r>
    </w:p>
    <w:p w14:paraId="13951D50">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3D6341B2">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11BECC12">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备注：本招标文件中要求加盖CA电子签章的地方，仅需加盖牵头单位的CA电子签章</w:t>
      </w:r>
    </w:p>
    <w:p w14:paraId="32A7E48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34AE5D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A9170F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103A4AAD">
      <w:pPr>
        <w:pBdr>
          <w:top w:val="none" w:color="000000" w:sz="0" w:space="0"/>
          <w:left w:val="none" w:color="000000" w:sz="0" w:space="0"/>
          <w:bottom w:val="none" w:color="000000" w:sz="0" w:space="0"/>
          <w:right w:val="none" w:color="000000" w:sz="0" w:space="0"/>
        </w:pBdr>
        <w:spacing w:before="0" w:after="361"/>
        <w:ind w:left="0" w:right="0" w:firstLine="0"/>
        <w:jc w:val="both"/>
      </w:pPr>
      <w:r>
        <w:rPr>
          <w:rFonts w:ascii="宋体" w:hAnsi="宋体" w:eastAsia="宋体" w:cs="宋体"/>
          <w:b/>
          <w:color w:val="000000"/>
          <w:sz w:val="24"/>
        </w:rPr>
        <w:t>附件14       实质性要求响应及偏离表（采购包号：**）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9"/>
        <w:gridCol w:w="4134"/>
        <w:gridCol w:w="1977"/>
        <w:gridCol w:w="2400"/>
      </w:tblGrid>
      <w:tr w14:paraId="06DBF9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A6A73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413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1C5CB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p>
        </w:tc>
        <w:tc>
          <w:tcPr>
            <w:tcW w:w="19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6EF67B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24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2CEDE5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5D9637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73E96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413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49324A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268B31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57C479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0BC3F8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B7BD3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2</w:t>
            </w:r>
          </w:p>
        </w:tc>
        <w:tc>
          <w:tcPr>
            <w:tcW w:w="413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267D5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69238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13E59B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0114B9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8A966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413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FEE2D2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D04D42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414914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11DC9F7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附件14-1 证明材料1，证明材料2，……</w:t>
      </w:r>
    </w:p>
    <w:p w14:paraId="10E1A70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4D58AF3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57BC437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1.投标人必须对技术要求和商务要求中的实质性要求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r>
        <w:rPr>
          <w:rFonts w:ascii="宋体" w:hAnsi="宋体" w:eastAsia="宋体" w:cs="宋体"/>
          <w:color w:val="000000"/>
          <w:sz w:val="24"/>
        </w:rPr>
        <w:t>逐条做出明确响应。</w:t>
      </w:r>
    </w:p>
    <w:p w14:paraId="258ED95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2.如果招标文件要求提供证明材料，投标人必须将证明材料列于该表之下。</w:t>
      </w:r>
    </w:p>
    <w:p w14:paraId="328E4C7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3.投标人未对实质性要求逐条作出明确响应的，或未按招标文件要求提供证明材料的，该采购包作无效投标处理。</w:t>
      </w:r>
    </w:p>
    <w:p w14:paraId="2603BA3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32"/>
        </w:rPr>
        <w:t> </w:t>
      </w:r>
    </w:p>
    <w:p w14:paraId="5F1BFA2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366F655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4CBE7EE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质疑函范本</w:t>
      </w:r>
    </w:p>
    <w:p w14:paraId="6CC05648">
      <w:pPr>
        <w:pBdr>
          <w:top w:val="none" w:color="000000" w:sz="0" w:space="0"/>
          <w:left w:val="none" w:color="000000" w:sz="0" w:space="0"/>
          <w:bottom w:val="none" w:color="000000" w:sz="0" w:space="0"/>
          <w:right w:val="none" w:color="000000" w:sz="0" w:space="0"/>
        </w:pBdr>
        <w:spacing w:before="312" w:after="0"/>
        <w:ind w:left="0" w:right="0" w:firstLine="0"/>
        <w:jc w:val="both"/>
      </w:pPr>
      <w:r>
        <w:rPr>
          <w:rFonts w:ascii="宋体" w:hAnsi="宋体" w:eastAsia="宋体" w:cs="宋体"/>
          <w:color w:val="000000"/>
          <w:sz w:val="24"/>
        </w:rPr>
        <w:t>一、质疑供应商基本信息</w:t>
      </w:r>
    </w:p>
    <w:p w14:paraId="4867468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p>
    <w:p w14:paraId="6160E1F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2CBBBDD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1"/>
        </w:rPr>
        <w:t>：</w:t>
      </w:r>
      <w:r>
        <w:rPr>
          <w:rFonts w:ascii="宋体" w:hAnsi="宋体" w:eastAsia="宋体" w:cs="宋体"/>
          <w:color w:val="000000"/>
          <w:sz w:val="21"/>
          <w:u w:val="single"/>
        </w:rPr>
        <w:t>      </w:t>
      </w:r>
    </w:p>
    <w:p w14:paraId="34E0174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p>
    <w:p w14:paraId="67692BD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p>
    <w:p w14:paraId="66F36C5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439DBE2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二、质疑项目基本情况</w:t>
      </w:r>
    </w:p>
    <w:p w14:paraId="2FFE98F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w:t>
      </w:r>
    </w:p>
    <w:p w14:paraId="6555FF6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w:t>
      </w:r>
      <w:r>
        <w:rPr>
          <w:rFonts w:ascii="宋体" w:hAnsi="宋体" w:eastAsia="宋体" w:cs="宋体"/>
          <w:color w:val="000000"/>
          <w:sz w:val="24"/>
        </w:rPr>
        <w:t>包号：</w:t>
      </w:r>
      <w:r>
        <w:rPr>
          <w:rFonts w:ascii="宋体" w:hAnsi="宋体" w:eastAsia="宋体" w:cs="宋体"/>
          <w:color w:val="000000"/>
          <w:sz w:val="24"/>
          <w:u w:val="single"/>
        </w:rPr>
        <w:t>           </w:t>
      </w:r>
    </w:p>
    <w:p w14:paraId="0DA7EFD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3E05B2D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w:t>
      </w:r>
    </w:p>
    <w:p w14:paraId="4498C36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三、质疑事项具体内容</w:t>
      </w:r>
    </w:p>
    <w:p w14:paraId="74EBC5C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0532B9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14:paraId="46BE99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02213A0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质疑事项2</w:t>
      </w:r>
    </w:p>
    <w:p w14:paraId="0A1B0AC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w:t>
      </w:r>
    </w:p>
    <w:p w14:paraId="3E7D429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四、与质疑事项相关的质疑请求</w:t>
      </w:r>
    </w:p>
    <w:p w14:paraId="491BE0F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1F035C6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rPr>
      </w:pPr>
      <w:r>
        <w:rPr>
          <w:rFonts w:ascii="宋体" w:hAnsi="宋体" w:eastAsia="宋体" w:cs="宋体"/>
          <w:color w:val="000000"/>
          <w:sz w:val="24"/>
        </w:rPr>
        <w:t>签字(签章)：                  </w:t>
      </w:r>
    </w:p>
    <w:p w14:paraId="0C3CDE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公章：                      </w:t>
      </w:r>
    </w:p>
    <w:p w14:paraId="31BDD57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日期：</w:t>
      </w:r>
    </w:p>
    <w:p w14:paraId="3EA4D9D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质疑函制作说明：</w:t>
      </w:r>
    </w:p>
    <w:p w14:paraId="24A2169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1.供应商提出质疑时，应提交质疑函和必要的证明材料。</w:t>
      </w:r>
    </w:p>
    <w:p w14:paraId="752BFC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68F4D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3.质疑供应商若对项目的某一采购包进行质疑，质疑函中应列明具体采购包号。</w:t>
      </w:r>
    </w:p>
    <w:p w14:paraId="38B5E7E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4.质疑函的质疑事项应具体、明确，并有必要的事实依据和法律依据。</w:t>
      </w:r>
    </w:p>
    <w:p w14:paraId="69DFA47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5.质疑函的质疑请求应与质疑事项相关。</w:t>
      </w:r>
    </w:p>
    <w:p w14:paraId="50081A3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2D0E7F2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Times New Roman" w:hAnsi="Times New Roman" w:eastAsia="Times New Roman" w:cs="Times New Roman"/>
          <w:color w:val="000000"/>
          <w:sz w:val="21"/>
        </w:rPr>
        <w:t> </w:t>
      </w:r>
    </w:p>
    <w:p w14:paraId="09822A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3E6B24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4A3C7F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3E26121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573361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44FD2E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C1D64E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4F3AC53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195C5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F6B2C7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1BCBAC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15DE1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5A7B09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FA22E35"/>
    <w:sectPr>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92DC9">
    <w:pPr>
      <w:pStyle w:val="203"/>
      <w:framePr w:wrap="around" w:vAnchor="text" w:hAnchor="margin" w:xAlign="center" w:y="1"/>
      <w:rPr>
        <w:rStyle w:val="224"/>
      </w:rPr>
    </w:pPr>
    <w:r>
      <w:fldChar w:fldCharType="begin"/>
    </w:r>
    <w:r>
      <w:rPr>
        <w:rStyle w:val="224"/>
      </w:rPr>
      <w:instrText xml:space="preserve">PAGE  </w:instrText>
    </w:r>
    <w:r>
      <w:fldChar w:fldCharType="separate"/>
    </w:r>
    <w:r>
      <w:rPr>
        <w:rStyle w:val="224"/>
      </w:rPr>
      <w:t>1</w:t>
    </w:r>
    <w:r>
      <w:fldChar w:fldCharType="end"/>
    </w:r>
  </w:p>
  <w:p w14:paraId="0DFC1330">
    <w:pPr>
      <w:pStyle w:val="20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4D4DE">
    <w:pPr>
      <w:pStyle w:val="17"/>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48C336">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F48C33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62468">
    <w:pPr>
      <w:pStyle w:val="1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B0558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3B0558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E62BF">
    <w:pPr>
      <w:pStyle w:val="24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7C372712"/>
    <w:multiLevelType w:val="multilevel"/>
    <w:tmpl w:val="7C372712"/>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D284392"/>
    <w:multiLevelType w:val="multilevel"/>
    <w:tmpl w:val="7D284392"/>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18A6"/>
    <w:rsid w:val="008501BD"/>
    <w:rsid w:val="00E23B02"/>
    <w:rsid w:val="0136557F"/>
    <w:rsid w:val="01D41040"/>
    <w:rsid w:val="01F01BD2"/>
    <w:rsid w:val="02B86C41"/>
    <w:rsid w:val="02C941D1"/>
    <w:rsid w:val="02EB239A"/>
    <w:rsid w:val="036208AE"/>
    <w:rsid w:val="041B151E"/>
    <w:rsid w:val="047D34C5"/>
    <w:rsid w:val="04AC7907"/>
    <w:rsid w:val="04D4113F"/>
    <w:rsid w:val="04FF037E"/>
    <w:rsid w:val="054B711F"/>
    <w:rsid w:val="05C42D45"/>
    <w:rsid w:val="05CC0260"/>
    <w:rsid w:val="062C6F51"/>
    <w:rsid w:val="06563FCE"/>
    <w:rsid w:val="066A4AA8"/>
    <w:rsid w:val="067A7CBC"/>
    <w:rsid w:val="06B62CBE"/>
    <w:rsid w:val="06CD24E2"/>
    <w:rsid w:val="06D5737F"/>
    <w:rsid w:val="06EF3008"/>
    <w:rsid w:val="07966D78"/>
    <w:rsid w:val="07BC60B3"/>
    <w:rsid w:val="07D478A0"/>
    <w:rsid w:val="095B528A"/>
    <w:rsid w:val="09BB5D67"/>
    <w:rsid w:val="09DC47EA"/>
    <w:rsid w:val="0ABB6AF5"/>
    <w:rsid w:val="0AC23898"/>
    <w:rsid w:val="0ACE49E2"/>
    <w:rsid w:val="0AE0655C"/>
    <w:rsid w:val="0B071D3B"/>
    <w:rsid w:val="0B464611"/>
    <w:rsid w:val="0B5E4AC7"/>
    <w:rsid w:val="0B742B26"/>
    <w:rsid w:val="0C061FF2"/>
    <w:rsid w:val="0C0E78BC"/>
    <w:rsid w:val="0C126DC0"/>
    <w:rsid w:val="0C210BDA"/>
    <w:rsid w:val="0C236700"/>
    <w:rsid w:val="0C4A1EDF"/>
    <w:rsid w:val="0C612712"/>
    <w:rsid w:val="0C6805B7"/>
    <w:rsid w:val="0C872A09"/>
    <w:rsid w:val="0C9E4B5E"/>
    <w:rsid w:val="0CD10852"/>
    <w:rsid w:val="0CDD061F"/>
    <w:rsid w:val="0CF12CA2"/>
    <w:rsid w:val="0DDF0D4D"/>
    <w:rsid w:val="0E032C8D"/>
    <w:rsid w:val="0E5A03D3"/>
    <w:rsid w:val="0E8C238D"/>
    <w:rsid w:val="0F423341"/>
    <w:rsid w:val="0FB57FB7"/>
    <w:rsid w:val="0FC1070A"/>
    <w:rsid w:val="0FD3043D"/>
    <w:rsid w:val="106C2D6C"/>
    <w:rsid w:val="115B06EA"/>
    <w:rsid w:val="12863E8D"/>
    <w:rsid w:val="1299596E"/>
    <w:rsid w:val="129D5B4B"/>
    <w:rsid w:val="12AB32A1"/>
    <w:rsid w:val="137B1518"/>
    <w:rsid w:val="13A700DF"/>
    <w:rsid w:val="13C25AA0"/>
    <w:rsid w:val="142E0389"/>
    <w:rsid w:val="14E649F5"/>
    <w:rsid w:val="14EF5D19"/>
    <w:rsid w:val="16BB01E4"/>
    <w:rsid w:val="16E318AE"/>
    <w:rsid w:val="16F24AC8"/>
    <w:rsid w:val="171A6E09"/>
    <w:rsid w:val="17654071"/>
    <w:rsid w:val="17766715"/>
    <w:rsid w:val="188535E4"/>
    <w:rsid w:val="18B95BD8"/>
    <w:rsid w:val="19140EF5"/>
    <w:rsid w:val="19445F08"/>
    <w:rsid w:val="19660BD3"/>
    <w:rsid w:val="198738B2"/>
    <w:rsid w:val="19971CFA"/>
    <w:rsid w:val="19EC2827"/>
    <w:rsid w:val="1A1978EF"/>
    <w:rsid w:val="1ADF3BD1"/>
    <w:rsid w:val="1BC82E20"/>
    <w:rsid w:val="1BD91532"/>
    <w:rsid w:val="1BFD6F6E"/>
    <w:rsid w:val="1C030C08"/>
    <w:rsid w:val="1C0954E1"/>
    <w:rsid w:val="1C4A1144"/>
    <w:rsid w:val="1CE10B58"/>
    <w:rsid w:val="1D1722B1"/>
    <w:rsid w:val="1E5872DF"/>
    <w:rsid w:val="1E5B7F7C"/>
    <w:rsid w:val="1E886E13"/>
    <w:rsid w:val="1F6F7384"/>
    <w:rsid w:val="20446D5E"/>
    <w:rsid w:val="209E28CD"/>
    <w:rsid w:val="20E35425"/>
    <w:rsid w:val="21367EB6"/>
    <w:rsid w:val="2197751D"/>
    <w:rsid w:val="219F0AC7"/>
    <w:rsid w:val="22252D7A"/>
    <w:rsid w:val="227B4962"/>
    <w:rsid w:val="22B9339C"/>
    <w:rsid w:val="230D465D"/>
    <w:rsid w:val="2351194D"/>
    <w:rsid w:val="23EB7FF4"/>
    <w:rsid w:val="246D5C4F"/>
    <w:rsid w:val="24EE7D9B"/>
    <w:rsid w:val="24F44C86"/>
    <w:rsid w:val="254C2D14"/>
    <w:rsid w:val="255B6AB3"/>
    <w:rsid w:val="256E1903"/>
    <w:rsid w:val="256E7CC8"/>
    <w:rsid w:val="257D111F"/>
    <w:rsid w:val="259147C0"/>
    <w:rsid w:val="259B7D8E"/>
    <w:rsid w:val="25DD6361"/>
    <w:rsid w:val="26307F40"/>
    <w:rsid w:val="269C7383"/>
    <w:rsid w:val="26C62652"/>
    <w:rsid w:val="26E27332"/>
    <w:rsid w:val="272F6FF6"/>
    <w:rsid w:val="2738423C"/>
    <w:rsid w:val="27673E35"/>
    <w:rsid w:val="27F31225"/>
    <w:rsid w:val="28711A6B"/>
    <w:rsid w:val="28E0583E"/>
    <w:rsid w:val="28E9052C"/>
    <w:rsid w:val="290A0F1C"/>
    <w:rsid w:val="290C6A42"/>
    <w:rsid w:val="294F2DD3"/>
    <w:rsid w:val="298365D8"/>
    <w:rsid w:val="29882AAE"/>
    <w:rsid w:val="29D86924"/>
    <w:rsid w:val="2A1B43AD"/>
    <w:rsid w:val="2A1B68A9"/>
    <w:rsid w:val="2A2B2EF8"/>
    <w:rsid w:val="2B3C2EE3"/>
    <w:rsid w:val="2B5D59FE"/>
    <w:rsid w:val="2BC03B14"/>
    <w:rsid w:val="2BFA0DD4"/>
    <w:rsid w:val="2BFC09A7"/>
    <w:rsid w:val="2C954FA0"/>
    <w:rsid w:val="2CB25B52"/>
    <w:rsid w:val="2DD80BA8"/>
    <w:rsid w:val="2E9875B0"/>
    <w:rsid w:val="2EF53AD4"/>
    <w:rsid w:val="2EFD65D8"/>
    <w:rsid w:val="2F000DF7"/>
    <w:rsid w:val="2F5922B5"/>
    <w:rsid w:val="2FC260AC"/>
    <w:rsid w:val="30D66173"/>
    <w:rsid w:val="31264419"/>
    <w:rsid w:val="31801957"/>
    <w:rsid w:val="31BC5A96"/>
    <w:rsid w:val="324F174E"/>
    <w:rsid w:val="328C4750"/>
    <w:rsid w:val="32AF12D0"/>
    <w:rsid w:val="32D61E6F"/>
    <w:rsid w:val="3348102D"/>
    <w:rsid w:val="338027AA"/>
    <w:rsid w:val="33A930DF"/>
    <w:rsid w:val="34062303"/>
    <w:rsid w:val="343A34CB"/>
    <w:rsid w:val="3482405C"/>
    <w:rsid w:val="34BE1D09"/>
    <w:rsid w:val="34D5533B"/>
    <w:rsid w:val="35101668"/>
    <w:rsid w:val="357945E5"/>
    <w:rsid w:val="35951B6D"/>
    <w:rsid w:val="3647586B"/>
    <w:rsid w:val="36486BE0"/>
    <w:rsid w:val="36A12D2F"/>
    <w:rsid w:val="36AC716F"/>
    <w:rsid w:val="37294C63"/>
    <w:rsid w:val="374455F9"/>
    <w:rsid w:val="38AD5420"/>
    <w:rsid w:val="38BB2AC2"/>
    <w:rsid w:val="39292CF8"/>
    <w:rsid w:val="39F74BA5"/>
    <w:rsid w:val="3A164EE9"/>
    <w:rsid w:val="3A8B1791"/>
    <w:rsid w:val="3A9E7716"/>
    <w:rsid w:val="3AFB6043"/>
    <w:rsid w:val="3B1F0252"/>
    <w:rsid w:val="3B7B35B3"/>
    <w:rsid w:val="3BD17677"/>
    <w:rsid w:val="3BDA477E"/>
    <w:rsid w:val="3BEB0739"/>
    <w:rsid w:val="3C0E4427"/>
    <w:rsid w:val="3C855259"/>
    <w:rsid w:val="3DE1436E"/>
    <w:rsid w:val="3E4B3711"/>
    <w:rsid w:val="3E5C591E"/>
    <w:rsid w:val="3E7762B4"/>
    <w:rsid w:val="3E990920"/>
    <w:rsid w:val="3ECD05CA"/>
    <w:rsid w:val="3F16566D"/>
    <w:rsid w:val="3F2226C4"/>
    <w:rsid w:val="3F6031EC"/>
    <w:rsid w:val="3F716E86"/>
    <w:rsid w:val="42293D69"/>
    <w:rsid w:val="423666E2"/>
    <w:rsid w:val="42A90D41"/>
    <w:rsid w:val="42CD0B98"/>
    <w:rsid w:val="43014CE6"/>
    <w:rsid w:val="43655275"/>
    <w:rsid w:val="43C57AC2"/>
    <w:rsid w:val="43ED3847"/>
    <w:rsid w:val="44AB6CB7"/>
    <w:rsid w:val="451E56DB"/>
    <w:rsid w:val="452A0524"/>
    <w:rsid w:val="453E7B2C"/>
    <w:rsid w:val="45864960"/>
    <w:rsid w:val="45BE6EBE"/>
    <w:rsid w:val="45D64208"/>
    <w:rsid w:val="4605689B"/>
    <w:rsid w:val="46420831"/>
    <w:rsid w:val="46420BB9"/>
    <w:rsid w:val="46922533"/>
    <w:rsid w:val="47486A40"/>
    <w:rsid w:val="47841A42"/>
    <w:rsid w:val="47E86474"/>
    <w:rsid w:val="48FA1FBB"/>
    <w:rsid w:val="49366D6C"/>
    <w:rsid w:val="49830203"/>
    <w:rsid w:val="499C04BE"/>
    <w:rsid w:val="49DB1DED"/>
    <w:rsid w:val="4A343701"/>
    <w:rsid w:val="4A5873F7"/>
    <w:rsid w:val="4AD03D71"/>
    <w:rsid w:val="4AD37A13"/>
    <w:rsid w:val="4ADE5AFE"/>
    <w:rsid w:val="4AE57206"/>
    <w:rsid w:val="4B6C1D25"/>
    <w:rsid w:val="4B78366B"/>
    <w:rsid w:val="4B9761E7"/>
    <w:rsid w:val="4CD243C2"/>
    <w:rsid w:val="4CEC60BF"/>
    <w:rsid w:val="4CEF1E99"/>
    <w:rsid w:val="4D16313C"/>
    <w:rsid w:val="4D9A3D6D"/>
    <w:rsid w:val="4D9A5B1B"/>
    <w:rsid w:val="4DB5713C"/>
    <w:rsid w:val="4E217FEA"/>
    <w:rsid w:val="4E577EB0"/>
    <w:rsid w:val="4ED137BE"/>
    <w:rsid w:val="4F0C47F7"/>
    <w:rsid w:val="4F1B0EDE"/>
    <w:rsid w:val="4F204B6A"/>
    <w:rsid w:val="50AB003F"/>
    <w:rsid w:val="50BE4216"/>
    <w:rsid w:val="51BD2325"/>
    <w:rsid w:val="5244074B"/>
    <w:rsid w:val="528B0128"/>
    <w:rsid w:val="52923265"/>
    <w:rsid w:val="5298799D"/>
    <w:rsid w:val="52CA6EA2"/>
    <w:rsid w:val="53142538"/>
    <w:rsid w:val="531B5950"/>
    <w:rsid w:val="535D0CC2"/>
    <w:rsid w:val="53EE539B"/>
    <w:rsid w:val="548B2661"/>
    <w:rsid w:val="54AD082A"/>
    <w:rsid w:val="552503C0"/>
    <w:rsid w:val="557B41E4"/>
    <w:rsid w:val="55D122F6"/>
    <w:rsid w:val="5641208E"/>
    <w:rsid w:val="565D002E"/>
    <w:rsid w:val="569F23F4"/>
    <w:rsid w:val="56A1405A"/>
    <w:rsid w:val="56AB55B0"/>
    <w:rsid w:val="56D71B8E"/>
    <w:rsid w:val="574540B4"/>
    <w:rsid w:val="594159E5"/>
    <w:rsid w:val="596B38A7"/>
    <w:rsid w:val="597436C4"/>
    <w:rsid w:val="5A2748B5"/>
    <w:rsid w:val="5B231846"/>
    <w:rsid w:val="5B2353A2"/>
    <w:rsid w:val="5B643589"/>
    <w:rsid w:val="5BAA0022"/>
    <w:rsid w:val="5BD3501A"/>
    <w:rsid w:val="5C256469"/>
    <w:rsid w:val="5C265FCA"/>
    <w:rsid w:val="5C6A5252"/>
    <w:rsid w:val="5CFB6B47"/>
    <w:rsid w:val="5D812854"/>
    <w:rsid w:val="5DE11544"/>
    <w:rsid w:val="5DEE35FE"/>
    <w:rsid w:val="5E14191A"/>
    <w:rsid w:val="5E167440"/>
    <w:rsid w:val="5E317DD6"/>
    <w:rsid w:val="5E4C10B3"/>
    <w:rsid w:val="5EC61C02"/>
    <w:rsid w:val="5ED502B1"/>
    <w:rsid w:val="5FBD5292"/>
    <w:rsid w:val="5FBE38EB"/>
    <w:rsid w:val="606D3305"/>
    <w:rsid w:val="60AD570E"/>
    <w:rsid w:val="61444AC7"/>
    <w:rsid w:val="6162474A"/>
    <w:rsid w:val="61A62889"/>
    <w:rsid w:val="61B2122D"/>
    <w:rsid w:val="62446E86"/>
    <w:rsid w:val="625E6C7A"/>
    <w:rsid w:val="6352600C"/>
    <w:rsid w:val="64414AEB"/>
    <w:rsid w:val="644A7E43"/>
    <w:rsid w:val="6472739A"/>
    <w:rsid w:val="64A51B2D"/>
    <w:rsid w:val="655C6080"/>
    <w:rsid w:val="658E3D60"/>
    <w:rsid w:val="66384DD9"/>
    <w:rsid w:val="66A02E32"/>
    <w:rsid w:val="66A17AC3"/>
    <w:rsid w:val="66F842A1"/>
    <w:rsid w:val="68302A9A"/>
    <w:rsid w:val="685968A7"/>
    <w:rsid w:val="68D67A5E"/>
    <w:rsid w:val="694D5CE0"/>
    <w:rsid w:val="69AA4EE0"/>
    <w:rsid w:val="6A4470E3"/>
    <w:rsid w:val="6A667059"/>
    <w:rsid w:val="6A794491"/>
    <w:rsid w:val="6AA87672"/>
    <w:rsid w:val="6AC6225B"/>
    <w:rsid w:val="6B6F63E1"/>
    <w:rsid w:val="6C472EBA"/>
    <w:rsid w:val="6C5720D9"/>
    <w:rsid w:val="6CAD0F6F"/>
    <w:rsid w:val="6D0E6C3A"/>
    <w:rsid w:val="6DEB6B57"/>
    <w:rsid w:val="6DEF55B7"/>
    <w:rsid w:val="6EBC193D"/>
    <w:rsid w:val="6EFF5473"/>
    <w:rsid w:val="6F4A6F49"/>
    <w:rsid w:val="6F6A75EB"/>
    <w:rsid w:val="6FCB7682"/>
    <w:rsid w:val="6FDE7692"/>
    <w:rsid w:val="7000585A"/>
    <w:rsid w:val="70A42689"/>
    <w:rsid w:val="70E452AA"/>
    <w:rsid w:val="70F84783"/>
    <w:rsid w:val="71386E94"/>
    <w:rsid w:val="719F0659"/>
    <w:rsid w:val="71F55FD8"/>
    <w:rsid w:val="720F7FD6"/>
    <w:rsid w:val="727A6E1F"/>
    <w:rsid w:val="729A01E8"/>
    <w:rsid w:val="73124222"/>
    <w:rsid w:val="73CD0149"/>
    <w:rsid w:val="73DC213A"/>
    <w:rsid w:val="73E87CBD"/>
    <w:rsid w:val="73F41B79"/>
    <w:rsid w:val="740D6797"/>
    <w:rsid w:val="74253AE1"/>
    <w:rsid w:val="75243D99"/>
    <w:rsid w:val="754967ED"/>
    <w:rsid w:val="754E350B"/>
    <w:rsid w:val="75846F2D"/>
    <w:rsid w:val="770B3462"/>
    <w:rsid w:val="772879E0"/>
    <w:rsid w:val="77560A79"/>
    <w:rsid w:val="775A30EF"/>
    <w:rsid w:val="779A3DE9"/>
    <w:rsid w:val="77A17922"/>
    <w:rsid w:val="77C74EAF"/>
    <w:rsid w:val="78175E36"/>
    <w:rsid w:val="78480F87"/>
    <w:rsid w:val="78577DDF"/>
    <w:rsid w:val="78864D0C"/>
    <w:rsid w:val="78E414E4"/>
    <w:rsid w:val="793050C0"/>
    <w:rsid w:val="79687D79"/>
    <w:rsid w:val="79B32E1C"/>
    <w:rsid w:val="79B76DCF"/>
    <w:rsid w:val="7A195E96"/>
    <w:rsid w:val="7A3E5AF4"/>
    <w:rsid w:val="7A61783D"/>
    <w:rsid w:val="7A8552D9"/>
    <w:rsid w:val="7B5C2BD2"/>
    <w:rsid w:val="7B841759"/>
    <w:rsid w:val="7BC238AE"/>
    <w:rsid w:val="7C6D24C9"/>
    <w:rsid w:val="7D4A45B8"/>
    <w:rsid w:val="7D692C90"/>
    <w:rsid w:val="7DA30836"/>
    <w:rsid w:val="7DEF2670"/>
    <w:rsid w:val="7E2537DE"/>
    <w:rsid w:val="7E3643BE"/>
    <w:rsid w:val="7E486D4A"/>
    <w:rsid w:val="7F107301"/>
    <w:rsid w:val="7F17671C"/>
    <w:rsid w:val="7F5E3878"/>
    <w:rsid w:val="7FBD57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8"/>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217"/>
    <w:qFormat/>
    <w:uiPriority w:val="0"/>
    <w:pPr>
      <w:keepNext/>
      <w:jc w:val="center"/>
      <w:outlineLvl w:val="0"/>
    </w:pPr>
    <w:rPr>
      <w:rFonts w:ascii="楷体_GB2312" w:hAnsi="楷体_GB2312" w:eastAsia="黑体"/>
      <w:sz w:val="44"/>
      <w:szCs w:val="28"/>
    </w:rPr>
  </w:style>
  <w:style w:type="paragraph" w:customStyle="1" w:styleId="183">
    <w:name w:val="标题 21"/>
    <w:basedOn w:val="1"/>
    <w:next w:val="184"/>
    <w:link w:val="1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4">
    <w:name w:val="正文缩进1"/>
    <w:basedOn w:val="1"/>
    <w:link w:val="223"/>
    <w:qFormat/>
    <w:uiPriority w:val="0"/>
    <w:pPr>
      <w:ind w:firstLine="420"/>
    </w:pPr>
  </w:style>
  <w:style w:type="paragraph" w:customStyle="1" w:styleId="185">
    <w:name w:val="标题 31"/>
    <w:basedOn w:val="1"/>
    <w:next w:val="184"/>
    <w:link w:val="194"/>
    <w:qFormat/>
    <w:uiPriority w:val="0"/>
    <w:pPr>
      <w:keepNext/>
      <w:keepLines/>
      <w:spacing w:before="260" w:after="260" w:line="416" w:lineRule="auto"/>
      <w:outlineLvl w:val="2"/>
    </w:pPr>
    <w:rPr>
      <w:b/>
      <w:bCs/>
      <w:sz w:val="32"/>
      <w:szCs w:val="32"/>
    </w:rPr>
  </w:style>
  <w:style w:type="paragraph" w:customStyle="1" w:styleId="186">
    <w:name w:val="标题 41"/>
    <w:basedOn w:val="1"/>
    <w:next w:val="184"/>
    <w:link w:val="23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7">
    <w:name w:val="标题 51"/>
    <w:basedOn w:val="1"/>
    <w:next w:val="184"/>
    <w:link w:val="229"/>
    <w:qFormat/>
    <w:uiPriority w:val="0"/>
    <w:pPr>
      <w:keepNext/>
      <w:outlineLvl w:val="4"/>
    </w:pPr>
    <w:rPr>
      <w:rFonts w:ascii="宋体"/>
      <w:color w:val="000000"/>
      <w:sz w:val="28"/>
      <w:szCs w:val="28"/>
    </w:rPr>
  </w:style>
  <w:style w:type="paragraph" w:customStyle="1" w:styleId="188">
    <w:name w:val="标题 61"/>
    <w:basedOn w:val="1"/>
    <w:next w:val="1"/>
    <w:link w:val="20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89">
    <w:name w:val="标题 71"/>
    <w:basedOn w:val="1"/>
    <w:next w:val="1"/>
    <w:link w:val="225"/>
    <w:qFormat/>
    <w:uiPriority w:val="0"/>
    <w:pPr>
      <w:keepNext/>
      <w:keepLines/>
      <w:numPr>
        <w:ilvl w:val="6"/>
        <w:numId w:val="1"/>
      </w:numPr>
      <w:spacing w:before="240" w:after="64" w:line="320" w:lineRule="auto"/>
      <w:outlineLvl w:val="6"/>
    </w:pPr>
    <w:rPr>
      <w:b/>
      <w:bCs/>
      <w:sz w:val="24"/>
      <w:szCs w:val="24"/>
    </w:rPr>
  </w:style>
  <w:style w:type="paragraph" w:customStyle="1" w:styleId="190">
    <w:name w:val="标题 81"/>
    <w:basedOn w:val="1"/>
    <w:next w:val="1"/>
    <w:link w:val="24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1">
    <w:name w:val="标题 91"/>
    <w:basedOn w:val="1"/>
    <w:next w:val="1"/>
    <w:link w:val="227"/>
    <w:qFormat/>
    <w:uiPriority w:val="0"/>
    <w:pPr>
      <w:keepNext/>
      <w:keepLines/>
      <w:numPr>
        <w:ilvl w:val="8"/>
        <w:numId w:val="1"/>
      </w:numPr>
      <w:spacing w:before="240" w:after="64" w:line="320" w:lineRule="auto"/>
      <w:outlineLvl w:val="8"/>
    </w:pPr>
    <w:rPr>
      <w:rFonts w:ascii="Arial" w:hAnsi="Arial" w:eastAsia="黑体"/>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3 Char"/>
    <w:link w:val="185"/>
    <w:qFormat/>
    <w:uiPriority w:val="0"/>
    <w:rPr>
      <w:rFonts w:ascii="Times New Roman" w:hAnsi="Times New Roman" w:eastAsia="宋体" w:cs="Times New Roman"/>
      <w:b/>
      <w:bCs/>
      <w:sz w:val="32"/>
      <w:szCs w:val="32"/>
    </w:rPr>
  </w:style>
  <w:style w:type="character" w:customStyle="1" w:styleId="195">
    <w:name w:val="标题 2 Char"/>
    <w:link w:val="183"/>
    <w:qFormat/>
    <w:uiPriority w:val="0"/>
    <w:rPr>
      <w:rFonts w:ascii="Arial" w:hAnsi="Arial" w:eastAsia="幼圆" w:cs="Arial"/>
      <w:b/>
      <w:bCs/>
      <w:sz w:val="44"/>
      <w:szCs w:val="44"/>
    </w:rPr>
  </w:style>
  <w:style w:type="character" w:customStyle="1" w:styleId="196">
    <w:name w:val="批注引用1"/>
    <w:link w:val="1"/>
    <w:semiHidden/>
    <w:qFormat/>
    <w:uiPriority w:val="0"/>
    <w:rPr>
      <w:sz w:val="21"/>
      <w:szCs w:val="21"/>
    </w:rPr>
  </w:style>
  <w:style w:type="character" w:customStyle="1" w:styleId="197">
    <w:name w:val="纯文本 Char"/>
    <w:link w:val="198"/>
    <w:qFormat/>
    <w:uiPriority w:val="0"/>
    <w:rPr>
      <w:rFonts w:ascii="宋体" w:hAnsi="Courier New" w:eastAsia="宋体" w:cs="Courier New"/>
      <w:szCs w:val="21"/>
    </w:rPr>
  </w:style>
  <w:style w:type="paragraph" w:customStyle="1" w:styleId="198">
    <w:name w:val="纯文本1"/>
    <w:basedOn w:val="1"/>
    <w:link w:val="197"/>
    <w:qFormat/>
    <w:uiPriority w:val="0"/>
    <w:rPr>
      <w:rFonts w:ascii="宋体" w:hAnsi="Courier New" w:cs="Courier New"/>
    </w:rPr>
  </w:style>
  <w:style w:type="character" w:customStyle="1" w:styleId="199">
    <w:name w:val="文档结构图 Char"/>
    <w:link w:val="200"/>
    <w:semiHidden/>
    <w:qFormat/>
    <w:uiPriority w:val="0"/>
    <w:rPr>
      <w:rFonts w:ascii="Times New Roman" w:hAnsi="Times New Roman" w:eastAsia="宋体" w:cs="Times New Roman"/>
      <w:szCs w:val="21"/>
      <w:shd w:val="clear" w:color="auto" w:fill="000080"/>
    </w:rPr>
  </w:style>
  <w:style w:type="paragraph" w:customStyle="1" w:styleId="200">
    <w:name w:val="文档结构图1"/>
    <w:basedOn w:val="1"/>
    <w:link w:val="199"/>
    <w:semiHidden/>
    <w:qFormat/>
    <w:uiPriority w:val="0"/>
    <w:pPr>
      <w:shd w:val="clear" w:color="auto" w:fill="000080"/>
    </w:pPr>
  </w:style>
  <w:style w:type="character" w:customStyle="1" w:styleId="201">
    <w:name w:val="要点1"/>
    <w:link w:val="1"/>
    <w:qFormat/>
    <w:uiPriority w:val="0"/>
    <w:rPr>
      <w:b/>
      <w:bCs/>
    </w:rPr>
  </w:style>
  <w:style w:type="character" w:customStyle="1" w:styleId="202">
    <w:name w:val="页脚 Char"/>
    <w:link w:val="203"/>
    <w:qFormat/>
    <w:uiPriority w:val="0"/>
    <w:rPr>
      <w:rFonts w:ascii="Times New Roman" w:hAnsi="Times New Roman" w:eastAsia="宋体" w:cs="Times New Roman"/>
      <w:sz w:val="18"/>
      <w:szCs w:val="18"/>
    </w:rPr>
  </w:style>
  <w:style w:type="paragraph" w:customStyle="1" w:styleId="203">
    <w:name w:val="页脚1"/>
    <w:basedOn w:val="1"/>
    <w:link w:val="202"/>
    <w:qFormat/>
    <w:uiPriority w:val="0"/>
    <w:pPr>
      <w:tabs>
        <w:tab w:val="center" w:pos="4153"/>
        <w:tab w:val="right" w:pos="8306"/>
      </w:tabs>
      <w:jc w:val="left"/>
    </w:pPr>
    <w:rPr>
      <w:sz w:val="18"/>
      <w:szCs w:val="18"/>
    </w:rPr>
  </w:style>
  <w:style w:type="character" w:customStyle="1" w:styleId="204">
    <w:name w:val="列出段落 Char"/>
    <w:link w:val="205"/>
    <w:qFormat/>
    <w:uiPriority w:val="0"/>
    <w:rPr>
      <w:rFonts w:ascii="Calibri" w:hAnsi="Calibri"/>
      <w:sz w:val="24"/>
      <w:szCs w:val="24"/>
      <w:lang w:eastAsia="en-US" w:bidi="en-US"/>
    </w:rPr>
  </w:style>
  <w:style w:type="paragraph" w:customStyle="1" w:styleId="205">
    <w:name w:val="列出段落1"/>
    <w:basedOn w:val="1"/>
    <w:link w:val="204"/>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06">
    <w:name w:val="标题 6 Char"/>
    <w:link w:val="188"/>
    <w:qFormat/>
    <w:uiPriority w:val="0"/>
    <w:rPr>
      <w:rFonts w:ascii="Arial" w:hAnsi="Arial" w:eastAsia="黑体" w:cs="Times New Roman"/>
      <w:b/>
      <w:bCs/>
      <w:sz w:val="24"/>
      <w:szCs w:val="24"/>
    </w:rPr>
  </w:style>
  <w:style w:type="character" w:customStyle="1" w:styleId="207">
    <w:name w:val="批注主题 Char"/>
    <w:link w:val="208"/>
    <w:semiHidden/>
    <w:qFormat/>
    <w:uiPriority w:val="0"/>
    <w:rPr>
      <w:rFonts w:ascii="Times New Roman" w:hAnsi="Times New Roman" w:eastAsia="宋体" w:cs="Times New Roman"/>
      <w:b/>
      <w:bCs/>
      <w:szCs w:val="21"/>
    </w:rPr>
  </w:style>
  <w:style w:type="paragraph" w:customStyle="1" w:styleId="208">
    <w:name w:val="批注主题1"/>
    <w:basedOn w:val="209"/>
    <w:next w:val="209"/>
    <w:link w:val="207"/>
    <w:semiHidden/>
    <w:qFormat/>
    <w:uiPriority w:val="0"/>
    <w:rPr>
      <w:b/>
      <w:bCs/>
    </w:rPr>
  </w:style>
  <w:style w:type="paragraph" w:customStyle="1" w:styleId="209">
    <w:name w:val="批注文字1"/>
    <w:basedOn w:val="1"/>
    <w:link w:val="228"/>
    <w:semiHidden/>
    <w:qFormat/>
    <w:uiPriority w:val="0"/>
    <w:pPr>
      <w:jc w:val="left"/>
    </w:pPr>
  </w:style>
  <w:style w:type="character" w:customStyle="1" w:styleId="210">
    <w:name w:val="正文文本 2 Char"/>
    <w:link w:val="211"/>
    <w:qFormat/>
    <w:uiPriority w:val="0"/>
    <w:rPr>
      <w:rFonts w:ascii="楷体_GB2312" w:hAnsi="Times New Roman" w:eastAsia="楷体_GB2312" w:cs="Times New Roman"/>
      <w:sz w:val="28"/>
      <w:szCs w:val="28"/>
    </w:rPr>
  </w:style>
  <w:style w:type="paragraph" w:customStyle="1" w:styleId="211">
    <w:name w:val="正文文本 21"/>
    <w:basedOn w:val="1"/>
    <w:link w:val="210"/>
    <w:qFormat/>
    <w:uiPriority w:val="0"/>
    <w:pPr>
      <w:widowControl/>
      <w:jc w:val="center"/>
    </w:pPr>
    <w:rPr>
      <w:rFonts w:ascii="楷体_GB2312" w:eastAsia="楷体_GB2312"/>
      <w:sz w:val="28"/>
      <w:szCs w:val="28"/>
    </w:rPr>
  </w:style>
  <w:style w:type="character" w:customStyle="1" w:styleId="212">
    <w:name w:val="正文首行缩进 Char"/>
    <w:link w:val="213"/>
    <w:qFormat/>
    <w:uiPriority w:val="0"/>
    <w:rPr>
      <w:rFonts w:ascii="仿宋_GB2312" w:hAnsi="Times New Roman" w:eastAsia="仿宋_GB2312" w:cs="Times New Roman"/>
      <w:sz w:val="30"/>
      <w:szCs w:val="30"/>
    </w:rPr>
  </w:style>
  <w:style w:type="paragraph" w:customStyle="1" w:styleId="213">
    <w:name w:val="正文首行缩进1"/>
    <w:basedOn w:val="1"/>
    <w:link w:val="212"/>
    <w:qFormat/>
    <w:uiPriority w:val="0"/>
    <w:pPr>
      <w:spacing w:line="360" w:lineRule="auto"/>
      <w:ind w:firstLine="200"/>
    </w:pPr>
    <w:rPr>
      <w:rFonts w:ascii="仿宋_GB2312" w:eastAsia="仿宋_GB2312"/>
      <w:sz w:val="30"/>
      <w:szCs w:val="30"/>
    </w:rPr>
  </w:style>
  <w:style w:type="character" w:customStyle="1" w:styleId="214">
    <w:name w:val="正文首行缩进 2 Char"/>
    <w:link w:val="215"/>
    <w:qFormat/>
    <w:uiPriority w:val="0"/>
    <w:rPr>
      <w:rFonts w:ascii="宋体" w:hAnsi="宋体" w:eastAsia="宋体" w:cs="Times New Roman"/>
      <w:sz w:val="32"/>
      <w:szCs w:val="20"/>
    </w:rPr>
  </w:style>
  <w:style w:type="paragraph" w:customStyle="1" w:styleId="215">
    <w:name w:val="正文首行缩进 21"/>
    <w:basedOn w:val="216"/>
    <w:link w:val="214"/>
    <w:qFormat/>
    <w:uiPriority w:val="0"/>
    <w:pPr>
      <w:spacing w:line="360" w:lineRule="auto"/>
      <w:ind w:firstLine="420"/>
    </w:pPr>
    <w:rPr>
      <w:rFonts w:ascii="宋体" w:hAnsi="宋体" w:eastAsia="宋体"/>
      <w:sz w:val="21"/>
      <w:szCs w:val="20"/>
    </w:rPr>
  </w:style>
  <w:style w:type="paragraph" w:customStyle="1" w:styleId="216">
    <w:name w:val="正文文本缩进1"/>
    <w:basedOn w:val="1"/>
    <w:link w:val="226"/>
    <w:qFormat/>
    <w:uiPriority w:val="0"/>
    <w:pPr>
      <w:ind w:firstLine="645"/>
    </w:pPr>
    <w:rPr>
      <w:rFonts w:ascii="楷体_GB2312" w:eastAsia="楷体_GB2312"/>
      <w:sz w:val="32"/>
      <w:szCs w:val="32"/>
    </w:rPr>
  </w:style>
  <w:style w:type="character" w:customStyle="1" w:styleId="217">
    <w:name w:val="标题 1 Char"/>
    <w:link w:val="182"/>
    <w:qFormat/>
    <w:uiPriority w:val="0"/>
    <w:rPr>
      <w:rFonts w:ascii="楷体_GB2312" w:hAnsi="楷体_GB2312" w:eastAsia="黑体" w:cs="Times New Roman"/>
      <w:sz w:val="44"/>
      <w:szCs w:val="28"/>
    </w:rPr>
  </w:style>
  <w:style w:type="character" w:customStyle="1" w:styleId="218">
    <w:name w:val="已访问的超链接1"/>
    <w:link w:val="1"/>
    <w:qFormat/>
    <w:uiPriority w:val="0"/>
    <w:rPr>
      <w:color w:val="800080"/>
      <w:u w:val="single"/>
    </w:rPr>
  </w:style>
  <w:style w:type="character" w:customStyle="1" w:styleId="219">
    <w:name w:val="正文文本 3 Char"/>
    <w:link w:val="220"/>
    <w:qFormat/>
    <w:uiPriority w:val="0"/>
    <w:rPr>
      <w:rFonts w:ascii="仿宋_GB2312" w:hAnsi="Arial" w:eastAsia="仿宋_GB2312" w:cs="Times New Roman"/>
      <w:sz w:val="32"/>
      <w:szCs w:val="32"/>
    </w:rPr>
  </w:style>
  <w:style w:type="paragraph" w:customStyle="1" w:styleId="220">
    <w:name w:val="正文文本 31"/>
    <w:basedOn w:val="1"/>
    <w:link w:val="219"/>
    <w:qFormat/>
    <w:uiPriority w:val="0"/>
    <w:rPr>
      <w:rFonts w:ascii="仿宋_GB2312" w:hAnsi="Arial" w:eastAsia="仿宋_GB2312"/>
      <w:sz w:val="32"/>
      <w:szCs w:val="32"/>
    </w:rPr>
  </w:style>
  <w:style w:type="character" w:customStyle="1" w:styleId="221">
    <w:name w:val="二级目录 Char"/>
    <w:link w:val="222"/>
    <w:qFormat/>
    <w:uiPriority w:val="0"/>
    <w:rPr>
      <w:b/>
      <w:sz w:val="30"/>
      <w:szCs w:val="28"/>
    </w:rPr>
  </w:style>
  <w:style w:type="paragraph" w:customStyle="1" w:styleId="222">
    <w:name w:val="二级目录"/>
    <w:next w:val="1"/>
    <w:link w:val="22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23">
    <w:name w:val="正文缩进 Char"/>
    <w:link w:val="184"/>
    <w:qFormat/>
    <w:uiPriority w:val="0"/>
    <w:rPr>
      <w:rFonts w:ascii="Times New Roman" w:hAnsi="Times New Roman" w:eastAsia="宋体" w:cs="Times New Roman"/>
      <w:szCs w:val="21"/>
    </w:rPr>
  </w:style>
  <w:style w:type="character" w:customStyle="1" w:styleId="224">
    <w:name w:val="页码1"/>
    <w:link w:val="1"/>
    <w:qFormat/>
    <w:uiPriority w:val="0"/>
  </w:style>
  <w:style w:type="character" w:customStyle="1" w:styleId="225">
    <w:name w:val="标题 7 Char"/>
    <w:link w:val="189"/>
    <w:qFormat/>
    <w:uiPriority w:val="0"/>
    <w:rPr>
      <w:rFonts w:ascii="Times New Roman" w:hAnsi="Times New Roman" w:eastAsia="宋体" w:cs="Times New Roman"/>
      <w:b/>
      <w:bCs/>
      <w:sz w:val="24"/>
      <w:szCs w:val="24"/>
    </w:rPr>
  </w:style>
  <w:style w:type="character" w:customStyle="1" w:styleId="226">
    <w:name w:val="正文文本缩进 Char"/>
    <w:link w:val="216"/>
    <w:qFormat/>
    <w:uiPriority w:val="0"/>
    <w:rPr>
      <w:rFonts w:ascii="楷体_GB2312" w:hAnsi="Times New Roman" w:eastAsia="楷体_GB2312" w:cs="Times New Roman"/>
      <w:sz w:val="32"/>
      <w:szCs w:val="32"/>
    </w:rPr>
  </w:style>
  <w:style w:type="character" w:customStyle="1" w:styleId="227">
    <w:name w:val="标题 9 Char"/>
    <w:link w:val="191"/>
    <w:qFormat/>
    <w:uiPriority w:val="0"/>
    <w:rPr>
      <w:rFonts w:ascii="Arial" w:hAnsi="Arial" w:eastAsia="黑体" w:cs="Times New Roman"/>
      <w:szCs w:val="21"/>
    </w:rPr>
  </w:style>
  <w:style w:type="character" w:customStyle="1" w:styleId="228">
    <w:name w:val="批注文字 Char"/>
    <w:link w:val="209"/>
    <w:semiHidden/>
    <w:qFormat/>
    <w:uiPriority w:val="0"/>
    <w:rPr>
      <w:rFonts w:ascii="Times New Roman" w:hAnsi="Times New Roman" w:eastAsia="宋体" w:cs="Times New Roman"/>
      <w:szCs w:val="21"/>
    </w:rPr>
  </w:style>
  <w:style w:type="character" w:customStyle="1" w:styleId="229">
    <w:name w:val="标题 5 Char"/>
    <w:link w:val="187"/>
    <w:qFormat/>
    <w:uiPriority w:val="0"/>
    <w:rPr>
      <w:rFonts w:ascii="宋体" w:hAnsi="Times New Roman" w:eastAsia="宋体" w:cs="Times New Roman"/>
      <w:color w:val="000000"/>
      <w:sz w:val="28"/>
      <w:szCs w:val="28"/>
    </w:rPr>
  </w:style>
  <w:style w:type="character" w:customStyle="1" w:styleId="230">
    <w:name w:val="正文文本缩进 2 Char"/>
    <w:link w:val="231"/>
    <w:qFormat/>
    <w:uiPriority w:val="0"/>
    <w:rPr>
      <w:rFonts w:ascii="Arial" w:hAnsi="Arial" w:eastAsia="仿宋_GB2312" w:cs="Arial"/>
      <w:sz w:val="32"/>
      <w:szCs w:val="32"/>
    </w:rPr>
  </w:style>
  <w:style w:type="paragraph" w:customStyle="1" w:styleId="231">
    <w:name w:val="正文文本缩进 21"/>
    <w:basedOn w:val="1"/>
    <w:link w:val="230"/>
    <w:qFormat/>
    <w:uiPriority w:val="0"/>
    <w:pPr>
      <w:ind w:left="630" w:firstLine="645"/>
    </w:pPr>
    <w:rPr>
      <w:rFonts w:ascii="Arial" w:hAnsi="Arial" w:eastAsia="仿宋_GB2312" w:cs="Arial"/>
      <w:sz w:val="32"/>
      <w:szCs w:val="32"/>
    </w:rPr>
  </w:style>
  <w:style w:type="character" w:customStyle="1" w:styleId="232">
    <w:name w:val="日期 Char"/>
    <w:link w:val="233"/>
    <w:qFormat/>
    <w:uiPriority w:val="0"/>
    <w:rPr>
      <w:rFonts w:ascii="Times New Roman" w:hAnsi="Times New Roman" w:eastAsia="宋体" w:cs="Times New Roman"/>
      <w:sz w:val="24"/>
      <w:szCs w:val="24"/>
    </w:rPr>
  </w:style>
  <w:style w:type="paragraph" w:customStyle="1" w:styleId="233">
    <w:name w:val="日期1"/>
    <w:basedOn w:val="1"/>
    <w:next w:val="1"/>
    <w:link w:val="232"/>
    <w:qFormat/>
    <w:uiPriority w:val="0"/>
    <w:rPr>
      <w:sz w:val="24"/>
      <w:szCs w:val="24"/>
    </w:rPr>
  </w:style>
  <w:style w:type="character" w:customStyle="1" w:styleId="234">
    <w:name w:val="超链接1"/>
    <w:link w:val="1"/>
    <w:qFormat/>
    <w:uiPriority w:val="0"/>
    <w:rPr>
      <w:color w:val="0000FF"/>
      <w:u w:val="single"/>
    </w:rPr>
  </w:style>
  <w:style w:type="character" w:customStyle="1" w:styleId="235">
    <w:name w:val="批注框文本 Char"/>
    <w:link w:val="236"/>
    <w:semiHidden/>
    <w:qFormat/>
    <w:uiPriority w:val="0"/>
    <w:rPr>
      <w:rFonts w:ascii="Times New Roman" w:hAnsi="Times New Roman" w:eastAsia="宋体" w:cs="Times New Roman"/>
      <w:sz w:val="18"/>
      <w:szCs w:val="18"/>
    </w:rPr>
  </w:style>
  <w:style w:type="paragraph" w:customStyle="1" w:styleId="236">
    <w:name w:val="批注框文本1"/>
    <w:basedOn w:val="1"/>
    <w:link w:val="235"/>
    <w:semiHidden/>
    <w:qFormat/>
    <w:uiPriority w:val="0"/>
    <w:rPr>
      <w:sz w:val="18"/>
      <w:szCs w:val="18"/>
    </w:rPr>
  </w:style>
  <w:style w:type="character" w:customStyle="1" w:styleId="237">
    <w:name w:val="标题 4 Char"/>
    <w:link w:val="186"/>
    <w:qFormat/>
    <w:uiPriority w:val="0"/>
    <w:rPr>
      <w:rFonts w:ascii="Arial" w:hAnsi="Arial" w:eastAsia="黑体" w:cs="Arial"/>
      <w:b/>
      <w:bCs/>
      <w:sz w:val="28"/>
      <w:szCs w:val="28"/>
    </w:rPr>
  </w:style>
  <w:style w:type="character" w:customStyle="1" w:styleId="238">
    <w:name w:val="font5 Char"/>
    <w:link w:val="1"/>
    <w:qFormat/>
    <w:uiPriority w:val="0"/>
    <w:rPr>
      <w:rFonts w:ascii="宋体" w:hAnsi="宋体" w:eastAsia="宋体"/>
      <w:sz w:val="28"/>
      <w:szCs w:val="28"/>
      <w:lang w:val="en-US" w:eastAsia="zh-CN" w:bidi="ar-SA"/>
    </w:rPr>
  </w:style>
  <w:style w:type="character" w:customStyle="1" w:styleId="239">
    <w:name w:val="页眉 Char"/>
    <w:link w:val="240"/>
    <w:qFormat/>
    <w:uiPriority w:val="0"/>
    <w:rPr>
      <w:rFonts w:ascii="Times New Roman" w:hAnsi="Times New Roman" w:eastAsia="宋体" w:cs="Times New Roman"/>
      <w:sz w:val="18"/>
      <w:szCs w:val="18"/>
    </w:rPr>
  </w:style>
  <w:style w:type="paragraph" w:customStyle="1" w:styleId="240">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41">
    <w:name w:val="正文文本 Char"/>
    <w:link w:val="242"/>
    <w:qFormat/>
    <w:uiPriority w:val="0"/>
    <w:rPr>
      <w:rFonts w:ascii="楷体_GB2312" w:hAnsi="Arial" w:eastAsia="楷体_GB2312" w:cs="Times New Roman"/>
      <w:sz w:val="28"/>
      <w:szCs w:val="28"/>
    </w:rPr>
  </w:style>
  <w:style w:type="paragraph" w:customStyle="1" w:styleId="242">
    <w:name w:val="正文文本1"/>
    <w:basedOn w:val="1"/>
    <w:link w:val="241"/>
    <w:qFormat/>
    <w:uiPriority w:val="0"/>
    <w:rPr>
      <w:rFonts w:ascii="楷体_GB2312" w:hAnsi="Arial" w:eastAsia="楷体_GB2312"/>
      <w:sz w:val="28"/>
      <w:szCs w:val="28"/>
    </w:rPr>
  </w:style>
  <w:style w:type="character" w:customStyle="1" w:styleId="243">
    <w:name w:val="正文文本缩进 3 Char"/>
    <w:link w:val="244"/>
    <w:qFormat/>
    <w:uiPriority w:val="0"/>
    <w:rPr>
      <w:rFonts w:ascii="Arial" w:hAnsi="Arial" w:eastAsia="仿宋_GB2312" w:cs="Arial"/>
      <w:color w:val="FFFF00"/>
      <w:sz w:val="32"/>
      <w:szCs w:val="32"/>
    </w:rPr>
  </w:style>
  <w:style w:type="paragraph" w:customStyle="1" w:styleId="244">
    <w:name w:val="正文文本缩进 31"/>
    <w:basedOn w:val="1"/>
    <w:link w:val="243"/>
    <w:qFormat/>
    <w:uiPriority w:val="0"/>
    <w:pPr>
      <w:ind w:left="645" w:firstLine="645"/>
    </w:pPr>
    <w:rPr>
      <w:rFonts w:ascii="Arial" w:hAnsi="Arial" w:eastAsia="仿宋_GB2312" w:cs="Arial"/>
      <w:color w:val="FFFF00"/>
      <w:sz w:val="32"/>
      <w:szCs w:val="32"/>
    </w:rPr>
  </w:style>
  <w:style w:type="character" w:customStyle="1" w:styleId="245">
    <w:name w:val="标题 8 Char"/>
    <w:link w:val="190"/>
    <w:qFormat/>
    <w:uiPriority w:val="0"/>
    <w:rPr>
      <w:rFonts w:ascii="Arial" w:hAnsi="Arial" w:eastAsia="黑体" w:cs="Times New Roman"/>
      <w:sz w:val="24"/>
      <w:szCs w:val="24"/>
    </w:rPr>
  </w:style>
  <w:style w:type="paragraph" w:customStyle="1" w:styleId="24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4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49">
    <w:name w:val="目录 31"/>
    <w:basedOn w:val="1"/>
    <w:next w:val="1"/>
    <w:semiHidden/>
    <w:qFormat/>
    <w:uiPriority w:val="0"/>
    <w:pPr>
      <w:ind w:left="420"/>
      <w:jc w:val="left"/>
    </w:pPr>
    <w:rPr>
      <w:i/>
      <w:iCs/>
      <w:szCs w:val="24"/>
    </w:rPr>
  </w:style>
  <w:style w:type="paragraph" w:customStyle="1" w:styleId="25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5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5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4">
    <w:name w:val="列表 31"/>
    <w:basedOn w:val="1"/>
    <w:qFormat/>
    <w:uiPriority w:val="0"/>
    <w:pPr>
      <w:ind w:left="100" w:hanging="200"/>
    </w:pPr>
  </w:style>
  <w:style w:type="paragraph" w:customStyle="1" w:styleId="255">
    <w:name w:val="列表1"/>
    <w:basedOn w:val="1"/>
    <w:qFormat/>
    <w:uiPriority w:val="0"/>
    <w:pPr>
      <w:ind w:left="200" w:hanging="200"/>
    </w:pPr>
  </w:style>
  <w:style w:type="paragraph" w:customStyle="1" w:styleId="256">
    <w:name w:val=" Char Char Char Char"/>
    <w:basedOn w:val="200"/>
    <w:qFormat/>
    <w:uiPriority w:val="0"/>
    <w:pPr>
      <w:spacing w:line="360" w:lineRule="auto"/>
    </w:pPr>
    <w:rPr>
      <w:rFonts w:ascii="Tahoma" w:hAnsi="Tahoma"/>
      <w:sz w:val="24"/>
      <w:szCs w:val="24"/>
    </w:rPr>
  </w:style>
  <w:style w:type="paragraph" w:customStyle="1" w:styleId="257">
    <w:name w:val="目录 81"/>
    <w:basedOn w:val="1"/>
    <w:next w:val="1"/>
    <w:semiHidden/>
    <w:qFormat/>
    <w:uiPriority w:val="0"/>
    <w:pPr>
      <w:ind w:left="1470"/>
      <w:jc w:val="left"/>
    </w:pPr>
  </w:style>
  <w:style w:type="paragraph" w:customStyle="1" w:styleId="258">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59">
    <w:name w:val="列表 21"/>
    <w:basedOn w:val="1"/>
    <w:qFormat/>
    <w:uiPriority w:val="0"/>
    <w:pPr>
      <w:ind w:left="100" w:hanging="200"/>
    </w:pPr>
  </w:style>
  <w:style w:type="paragraph" w:customStyle="1" w:styleId="26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1">
    <w:name w:val="目录 51"/>
    <w:basedOn w:val="1"/>
    <w:next w:val="1"/>
    <w:semiHidden/>
    <w:qFormat/>
    <w:uiPriority w:val="0"/>
    <w:pPr>
      <w:ind w:left="840"/>
      <w:jc w:val="left"/>
    </w:pPr>
  </w:style>
  <w:style w:type="paragraph" w:customStyle="1" w:styleId="26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5">
    <w:name w:val="索引 11"/>
    <w:basedOn w:val="1"/>
    <w:next w:val="1"/>
    <w:semiHidden/>
    <w:qFormat/>
    <w:uiPriority w:val="0"/>
    <w:pPr>
      <w:spacing w:line="240" w:lineRule="atLeast"/>
    </w:pPr>
    <w:rPr>
      <w:b/>
      <w:bCs/>
    </w:rPr>
  </w:style>
  <w:style w:type="paragraph" w:customStyle="1" w:styleId="266">
    <w:name w:val="目录 61"/>
    <w:basedOn w:val="1"/>
    <w:next w:val="1"/>
    <w:semiHidden/>
    <w:qFormat/>
    <w:uiPriority w:val="0"/>
    <w:pPr>
      <w:ind w:left="1050"/>
      <w:jc w:val="left"/>
    </w:pPr>
  </w:style>
  <w:style w:type="paragraph" w:customStyle="1" w:styleId="26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8">
    <w:name w:val="table_lines"/>
    <w:basedOn w:val="1"/>
    <w:qFormat/>
    <w:uiPriority w:val="0"/>
    <w:pPr>
      <w:widowControl/>
      <w:jc w:val="left"/>
    </w:pPr>
    <w:rPr>
      <w:sz w:val="20"/>
      <w:szCs w:val="20"/>
      <w:lang w:val="de-DE" w:eastAsia="de-DE"/>
    </w:rPr>
  </w:style>
  <w:style w:type="paragraph" w:customStyle="1" w:styleId="269">
    <w:name w:val=" Char"/>
    <w:basedOn w:val="200"/>
    <w:qFormat/>
    <w:uiPriority w:val="0"/>
    <w:rPr>
      <w:rFonts w:ascii="Tahoma" w:hAnsi="Tahoma"/>
      <w:sz w:val="24"/>
      <w:szCs w:val="24"/>
    </w:rPr>
  </w:style>
  <w:style w:type="paragraph" w:customStyle="1" w:styleId="27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2">
    <w:name w:val="图表目录1"/>
    <w:basedOn w:val="1"/>
    <w:next w:val="1"/>
    <w:semiHidden/>
    <w:qFormat/>
    <w:uiPriority w:val="0"/>
    <w:pPr>
      <w:ind w:left="840" w:hanging="420"/>
    </w:pPr>
  </w:style>
  <w:style w:type="paragraph" w:customStyle="1" w:styleId="273">
    <w:name w:val="Body Text(ch)"/>
    <w:basedOn w:val="1"/>
    <w:next w:val="242"/>
    <w:qFormat/>
    <w:uiPriority w:val="0"/>
    <w:pPr>
      <w:spacing w:after="120"/>
    </w:pPr>
    <w:rPr>
      <w:rFonts w:ascii="宋体" w:hAnsi="Arial"/>
      <w:bCs/>
      <w:iCs/>
      <w:szCs w:val="24"/>
    </w:rPr>
  </w:style>
  <w:style w:type="paragraph" w:customStyle="1" w:styleId="274">
    <w:name w:val="目录 91"/>
    <w:basedOn w:val="1"/>
    <w:next w:val="1"/>
    <w:semiHidden/>
    <w:qFormat/>
    <w:uiPriority w:val="0"/>
    <w:pPr>
      <w:ind w:left="1680"/>
      <w:jc w:val="left"/>
    </w:pPr>
  </w:style>
  <w:style w:type="paragraph" w:customStyle="1" w:styleId="27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7">
    <w:name w:val="目录 21"/>
    <w:basedOn w:val="1"/>
    <w:next w:val="1"/>
    <w:semiHidden/>
    <w:qFormat/>
    <w:uiPriority w:val="0"/>
    <w:pPr>
      <w:ind w:left="210"/>
      <w:jc w:val="left"/>
    </w:pPr>
    <w:rPr>
      <w:smallCaps/>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9">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目录 71"/>
    <w:basedOn w:val="1"/>
    <w:next w:val="1"/>
    <w:semiHidden/>
    <w:qFormat/>
    <w:uiPriority w:val="0"/>
    <w:pPr>
      <w:ind w:left="1260"/>
      <w:jc w:val="left"/>
    </w:pPr>
  </w:style>
  <w:style w:type="paragraph" w:customStyle="1" w:styleId="282">
    <w:name w:val="目录 41"/>
    <w:basedOn w:val="1"/>
    <w:next w:val="1"/>
    <w:semiHidden/>
    <w:qFormat/>
    <w:uiPriority w:val="0"/>
    <w:pPr>
      <w:ind w:left="630"/>
      <w:jc w:val="left"/>
    </w:p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Char"/>
    <w:basedOn w:val="1"/>
    <w:qFormat/>
    <w:uiPriority w:val="0"/>
    <w:pPr>
      <w:tabs>
        <w:tab w:val="left" w:pos="360"/>
      </w:tabs>
      <w:ind w:firstLine="200"/>
    </w:pPr>
    <w:rPr>
      <w:sz w:val="28"/>
      <w:szCs w:val="30"/>
    </w:rPr>
  </w:style>
  <w:style w:type="paragraph" w:customStyle="1" w:styleId="286">
    <w:name w:val="4"/>
    <w:basedOn w:val="1"/>
    <w:next w:val="244"/>
    <w:qFormat/>
    <w:uiPriority w:val="0"/>
    <w:pPr>
      <w:spacing w:line="360" w:lineRule="auto"/>
      <w:ind w:firstLine="420"/>
    </w:pPr>
    <w:rPr>
      <w:color w:val="FF0000"/>
      <w:sz w:val="24"/>
      <w:szCs w:val="24"/>
    </w:rPr>
  </w:style>
  <w:style w:type="paragraph" w:customStyle="1" w:styleId="287">
    <w:name w:val=" Char Char Char Char Char Char Char Char Char Char"/>
    <w:basedOn w:val="1"/>
    <w:qFormat/>
    <w:uiPriority w:val="0"/>
    <w:pPr>
      <w:spacing w:line="360" w:lineRule="auto"/>
    </w:pPr>
    <w:rPr>
      <w:sz w:val="24"/>
      <w:szCs w:val="20"/>
    </w:rPr>
  </w:style>
  <w:style w:type="paragraph" w:customStyle="1" w:styleId="288">
    <w:name w:val="样式1"/>
    <w:basedOn w:val="1"/>
    <w:qFormat/>
    <w:uiPriority w:val="0"/>
    <w:pPr>
      <w:numPr>
        <w:ilvl w:val="0"/>
        <w:numId w:val="3"/>
      </w:numPr>
    </w:pPr>
    <w:rPr>
      <w:rFonts w:ascii="宋体" w:hAnsi="宋体"/>
    </w:rPr>
  </w:style>
  <w:style w:type="paragraph" w:customStyle="1" w:styleId="28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0">
    <w:name w:val="Char Char Char Char"/>
    <w:basedOn w:val="200"/>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bCs/>
      <w:sz w:val="20"/>
      <w:szCs w:val="20"/>
      <w:lang w:val="de-DE" w:eastAsia="de-DE"/>
    </w:rPr>
  </w:style>
  <w:style w:type="table" w:customStyle="1" w:styleId="292">
    <w:name w:val="网格型1"/>
    <w:basedOn w:val="193"/>
    <w:qFormat/>
    <w:uiPriority w:val="0"/>
    <w:pPr>
      <w:widowControl w:val="0"/>
      <w:jc w:val="both"/>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92</Pages>
  <Words>12189</Words>
  <Characters>13442</Characters>
  <TotalTime>8</TotalTime>
  <ScaleCrop>false</ScaleCrop>
  <LinksUpToDate>false</LinksUpToDate>
  <CharactersWithSpaces>13772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sunflower</cp:lastModifiedBy>
  <cp:lastPrinted>2026-07-06T01:40:44Z</cp:lastPrinted>
  <dcterms:modified xsi:type="dcterms:W3CDTF">2026-07-06T01:43:21Z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2052-12.1.0.23542</vt:lpwstr>
  </property>
  <property fmtid="{D5CDD505-2E9C-101B-9397-08002B2CF9AE}" pid="4" name="ICV">
    <vt:lpwstr>3125E98F9F1C45BF94F6C43FC20BC1FB_12</vt:lpwstr>
  </property>
</Properties>
</file>