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4"/>
        <w:ind w:firstLine="0"/>
        <w:spacing w:line="240" w:lineRule="auto"/>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r>
      <w:r/>
    </w:p>
    <w:p>
      <w:pPr>
        <w:pStyle w:val="1214"/>
        <w:ind w:firstLine="0"/>
        <w:jc w:val="center"/>
        <w:spacing w:line="240" w:lineRule="auto"/>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 xml:space="preserve">招　标　文　件</w:t>
      </w:r>
      <w:r/>
    </w:p>
    <w:p>
      <w:pPr>
        <w:rPr>
          <w:rFonts w:hint="eastAsia"/>
          <w:color w:val="auto"/>
          <w:highlight w:val="none"/>
        </w:rPr>
      </w:pPr>
      <w:r/>
      <w:bookmarkStart w:id="0" w:name="_Toc30713"/>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bookmarkEnd w:id="0"/>
      <w:r>
        <w:rPr>
          <w:rFonts w:hint="eastAsia" w:ascii="宋体" w:hAnsi="宋体" w:eastAsia="宋体" w:cs="宋体"/>
          <w:b/>
          <w:bCs/>
          <w:color w:val="auto"/>
          <w:sz w:val="32"/>
          <w:szCs w:val="32"/>
          <w:highlight w:val="none"/>
          <w:lang w:val="en-US" w:eastAsia="zh-CN"/>
        </w:rPr>
        <w:t xml:space="preserve">2026年广陵区公园保安、公园保洁、厕所保洁服务项目</w:t>
      </w:r>
      <w:r/>
    </w:p>
    <w:p>
      <w:pPr>
        <w:jc w:val="center"/>
        <w:rPr>
          <w:rFonts w:hint="eastAsia" w:ascii="宋体" w:hAnsi="宋体" w:eastAsia="宋体" w:cs="宋体"/>
          <w:b/>
          <w:color w:val="auto"/>
          <w:szCs w:val="30"/>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JSZC-321002-JSYR-G2026-0005</w:t>
      </w:r>
      <w:r/>
    </w:p>
    <w:p>
      <w:pPr>
        <w:pStyle w:val="1214"/>
        <w:ind w:firstLine="0"/>
        <w:jc w:val="center"/>
        <w:spacing w:line="240" w:lineRule="auto"/>
        <w:rPr>
          <w:rFonts w:hint="eastAsia" w:ascii="宋体" w:hAnsi="宋体" w:eastAsia="宋体" w:cs="宋体"/>
          <w:b/>
          <w:bCs/>
          <w:color w:val="auto"/>
          <w:sz w:val="8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INCLUDEPICTURE \d "https://img1.baidu.com/it/u=148384798,2381039081&amp;fm=253&amp;fmt=auto&amp;app=120&amp;f=JPEG?w=690&amp;h=460" \* MERGEFORMATINET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7035" cy="3850640"/>
                <wp:effectExtent l="0" t="0" r="14604" b="5080"/>
                <wp:docPr id="8"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4"/>
                        <a:stretch/>
                      </pic:blipFill>
                      <pic:spPr bwMode="auto">
                        <a:xfrm>
                          <a:off x="0" y="0"/>
                          <a:ext cx="5487619" cy="3851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2.0pt;height:303.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z w:val="24"/>
          <w:szCs w:val="24"/>
          <w:highlight w:val="none"/>
        </w:rPr>
        <w:fldChar w:fldCharType="end"/>
      </w:r>
      <w:r/>
    </w:p>
    <w:p>
      <w:pPr>
        <w:pStyle w:val="121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14"/>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 </w:t>
      </w:r>
      <w:bookmarkStart w:id="1" w:name="_Toc21911"/>
      <w:r>
        <w:rPr>
          <w:rFonts w:hint="eastAsia" w:ascii="宋体" w:hAnsi="宋体" w:eastAsia="宋体" w:cs="宋体"/>
          <w:b/>
          <w:bCs/>
          <w:color w:val="auto"/>
          <w:sz w:val="32"/>
          <w:szCs w:val="32"/>
          <w:highlight w:val="none"/>
          <w:lang w:val="en-US" w:eastAsia="zh-CN"/>
        </w:rPr>
        <w:t xml:space="preserve">江苏远锐工程管理咨询有限公司</w:t>
      </w:r>
      <w:bookmarkEnd w:id="1"/>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2026年</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lang w:val="en-US" w:eastAsia="zh-CN"/>
        </w:rPr>
        <w:t xml:space="preserve">月</w:t>
      </w:r>
      <w:r>
        <w:rPr>
          <w:rFonts w:hint="eastAsia" w:ascii="宋体" w:hAnsi="宋体" w:cs="宋体"/>
          <w:b/>
          <w:bCs/>
          <w:color w:val="auto"/>
          <w:sz w:val="32"/>
          <w:szCs w:val="32"/>
          <w:highlight w:val="none"/>
          <w:lang w:val="en-US" w:eastAsia="zh-CN"/>
        </w:rPr>
        <w:t xml:space="preserve">30</w:t>
      </w:r>
      <w:r>
        <w:rPr>
          <w:rFonts w:hint="eastAsia" w:ascii="宋体" w:hAnsi="宋体" w:eastAsia="宋体" w:cs="宋体"/>
          <w:b/>
          <w:bCs/>
          <w:color w:val="auto"/>
          <w:sz w:val="32"/>
          <w:szCs w:val="32"/>
          <w:highlight w:val="none"/>
          <w:lang w:val="en-US" w:eastAsia="zh-CN"/>
        </w:rPr>
        <w:t xml:space="preserve">日</w:t>
      </w:r>
      <w:r/>
    </w:p>
    <w:p>
      <w:pPr>
        <w:pStyle w:val="1214"/>
        <w:ind w:firstLine="0"/>
        <w:spacing w:line="24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p>
    <w:p>
      <w:pPr>
        <w:jc w:val="center"/>
        <w:spacing w:line="240" w:lineRule="auto"/>
        <w:rPr>
          <w:rFonts w:hint="eastAsia" w:ascii="宋体" w:hAnsi="宋体" w:eastAsia="宋体" w:cs="宋体"/>
          <w:color w:val="auto"/>
          <w:highlight w:val="none"/>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440" w:right="1797" w:bottom="1440" w:left="1797" w:header="851" w:footer="907" w:gutter="0"/>
          <w:cols w:num="1" w:sep="0" w:space="1701" w:equalWidth="1"/>
          <w:docGrid w:linePitch="360"/>
        </w:sectPr>
        <w:outlineLvl w:val="0"/>
      </w:pPr>
      <w:r/>
      <w:bookmarkStart w:id="81" w:name="_GoBack"/>
      <w:r/>
      <w:bookmarkEnd w:id="81"/>
      <w:r/>
      <w:r/>
    </w:p>
    <w:p>
      <w:pPr>
        <w:jc w:val="center"/>
        <w:rPr>
          <w:rFonts w:hint="eastAsia" w:ascii="宋体" w:hAnsi="宋体" w:eastAsia="宋体" w:cs="宋体"/>
          <w:color w:val="auto"/>
          <w:sz w:val="28"/>
          <w:szCs w:val="28"/>
          <w:highlight w:val="none"/>
        </w:rPr>
      </w:pPr>
      <w:r/>
      <w:bookmarkStart w:id="2" w:name="_Toc18651"/>
      <w:r>
        <w:rPr>
          <w:rFonts w:hint="eastAsia" w:ascii="宋体" w:hAnsi="宋体" w:eastAsia="宋体" w:cs="宋体"/>
          <w:b/>
          <w:bCs/>
          <w:color w:val="auto"/>
          <w:sz w:val="28"/>
          <w:szCs w:val="28"/>
          <w:highlight w:val="none"/>
        </w:rPr>
        <w:t xml:space="preserve"> 目  录</w:t>
      </w:r>
      <w:bookmarkEnd w:id="2"/>
      <w:r/>
      <w:r/>
    </w:p>
    <w:p>
      <w:pPr>
        <w:ind w:left="0" w:right="0"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_Toc9267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_Toc9267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_Toc14377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w:t>
      </w: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须知</w:t>
      </w:r>
      <w:r>
        <w:rPr>
          <w:color w:val="auto"/>
          <w:highlight w:val="none"/>
        </w:rPr>
        <w:tab/>
      </w:r>
      <w:r>
        <w:rPr>
          <w:color w:val="auto"/>
          <w:highlight w:val="none"/>
        </w:rPr>
        <w:fldChar w:fldCharType="begin"/>
      </w:r>
      <w:r>
        <w:rPr>
          <w:color w:val="auto"/>
          <w:highlight w:val="none"/>
        </w:rPr>
        <w:instrText xml:space="preserve"> PAGEREF _Toc14377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_Toc29478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_Toc29478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_Toc7233 </w:instrText>
      </w:r>
      <w:r>
        <w:rPr>
          <w:rFonts w:hint="eastAsia" w:ascii="宋体" w:hAnsi="宋体" w:eastAsia="宋体" w:cs="宋体"/>
          <w:color w:val="auto"/>
          <w:highlight w:val="none"/>
        </w:rPr>
        <w:fldChar w:fldCharType="separate"/>
      </w:r>
      <w:r>
        <w:rPr>
          <w:rFonts w:hint="eastAsia"/>
          <w:color w:val="auto"/>
          <w:highlight w:val="none"/>
        </w:rPr>
        <w:t xml:space="preserve">第四章 </w:t>
      </w:r>
      <w:r>
        <w:rPr>
          <w:rFonts w:hint="eastAsia"/>
          <w:color w:val="auto"/>
          <w:highlight w:val="none"/>
          <w:lang w:val="en-US" w:eastAsia="zh-CN"/>
        </w:rPr>
        <w:t xml:space="preserve"> </w:t>
      </w:r>
      <w:r>
        <w:rPr>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_Toc7233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_Toc5807 </w:instrText>
      </w:r>
      <w:r>
        <w:rPr>
          <w:rFonts w:hint="eastAsia" w:ascii="宋体" w:hAnsi="宋体" w:eastAsia="宋体" w:cs="宋体"/>
          <w:color w:val="auto"/>
          <w:highlight w:val="none"/>
        </w:rPr>
        <w:fldChar w:fldCharType="separate"/>
      </w:r>
      <w:r>
        <w:rPr>
          <w:rFonts w:hint="eastAsia"/>
          <w:color w:val="auto"/>
          <w:highlight w:val="none"/>
        </w:rPr>
        <w:t xml:space="preserve">第五章</w:t>
      </w:r>
      <w:r>
        <w:rPr>
          <w:rFonts w:hint="eastAsia"/>
          <w:color w:val="auto"/>
          <w:highlight w:val="none"/>
          <w:lang w:val="en-US" w:eastAsia="zh-CN"/>
        </w:rPr>
        <w:t xml:space="preserve">  </w:t>
      </w:r>
      <w:r>
        <w:rPr>
          <w:rFonts w:hint="eastAsia"/>
          <w:color w:val="auto"/>
          <w:highlight w:val="none"/>
        </w:rPr>
        <w:t xml:space="preserve">评标方法与评标标准</w:t>
      </w:r>
      <w:r>
        <w:rPr>
          <w:color w:val="auto"/>
          <w:highlight w:val="none"/>
        </w:rPr>
        <w:tab/>
      </w:r>
      <w:r>
        <w:rPr>
          <w:color w:val="auto"/>
          <w:highlight w:val="none"/>
        </w:rPr>
        <w:fldChar w:fldCharType="begin"/>
      </w:r>
      <w:r>
        <w:rPr>
          <w:color w:val="auto"/>
          <w:highlight w:val="none"/>
        </w:rPr>
        <w:instrText xml:space="preserve"> PAGEREF _Toc5807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color w:val="auto"/>
          <w:highlight w:val="none"/>
        </w:rPr>
        <w:fldChar w:fldCharType="end"/>
      </w:r>
      <w:r/>
    </w:p>
    <w:p>
      <w:pPr>
        <w:pStyle w:val="1209"/>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_Toc31318 </w:instrText>
      </w:r>
      <w:r>
        <w:rPr>
          <w:rFonts w:hint="eastAsia" w:ascii="宋体" w:hAnsi="宋体" w:eastAsia="宋体" w:cs="宋体"/>
          <w:color w:val="auto"/>
          <w:highlight w:val="none"/>
        </w:rPr>
        <w:fldChar w:fldCharType="separate"/>
      </w:r>
      <w:r>
        <w:rPr>
          <w:rFonts w:hint="eastAsia"/>
          <w:color w:val="auto"/>
          <w:highlight w:val="none"/>
        </w:rPr>
        <w:t xml:space="preserve">第六章 </w:t>
      </w:r>
      <w:r>
        <w:rPr>
          <w:rFonts w:hint="eastAsia"/>
          <w:color w:val="auto"/>
          <w:highlight w:val="none"/>
          <w:lang w:val="en-US" w:eastAsia="zh-CN"/>
        </w:rPr>
        <w:t xml:space="preserve"> </w:t>
      </w:r>
      <w:r>
        <w:rPr>
          <w:rFonts w:hint="eastAsia"/>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_Toc31318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ascii="宋体" w:hAnsi="宋体" w:eastAsia="宋体" w:cs="宋体"/>
          <w:color w:val="auto"/>
          <w:highlight w:val="none"/>
        </w:rPr>
        <w:fldChar w:fldCharType="end"/>
      </w:r>
      <w:r/>
    </w:p>
    <w:p>
      <w:pP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fldChar w:fldCharType="end"/>
      </w:r>
      <w:r/>
    </w:p>
    <w:p>
      <w:pPr>
        <w:rPr>
          <w:rFonts w:hint="eastAsia"/>
          <w:color w:val="auto"/>
          <w:highlight w:val="none"/>
        </w:rPr>
      </w:pPr>
      <w:r>
        <w:rPr>
          <w:rFonts w:hint="eastAsia"/>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3" w:name="_Toc13437"/>
      <w:r>
        <w:rPr>
          <w:rFonts w:hint="eastAsia" w:ascii="宋体" w:hAnsi="宋体" w:eastAsia="宋体" w:cs="宋体"/>
          <w:color w:val="auto"/>
          <w:highlight w:val="none"/>
        </w:rPr>
        <w:br w:type="page" w:clear="all"/>
      </w:r>
      <w:r/>
    </w:p>
    <w:p>
      <w:pPr>
        <w:pStyle w:val="1202"/>
        <w:rPr>
          <w:rFonts w:hint="eastAsia" w:ascii="宋体" w:hAnsi="宋体" w:eastAsia="宋体" w:cs="宋体"/>
          <w:color w:val="auto"/>
          <w:highlight w:val="none"/>
        </w:rPr>
      </w:pPr>
      <w:r/>
      <w:bookmarkStart w:id="4" w:name="_Toc9267"/>
      <w:r>
        <w:rPr>
          <w:rFonts w:hint="eastAsia" w:ascii="宋体" w:hAnsi="宋体" w:eastAsia="宋体" w:cs="宋体"/>
          <w:color w:val="auto"/>
          <w:highlight w:val="none"/>
        </w:rPr>
        <w:t xml:space="preserve">第一章  投标邀请</w:t>
      </w:r>
      <w:bookmarkEnd w:id="3"/>
      <w:r/>
      <w:bookmarkEnd w:id="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（2026年广陵区公园保安、公园保洁、厕所保洁服务项目）</w:t>
      </w:r>
      <w:r>
        <w:rPr>
          <w:rFonts w:hint="eastAsia" w:ascii="宋体" w:hAnsi="宋体" w:eastAsia="宋体" w:cs="宋体"/>
          <w:color w:val="auto"/>
          <w:sz w:val="21"/>
          <w:szCs w:val="21"/>
          <w:highlight w:val="none"/>
        </w:rPr>
        <w:t xml:space="preserve"> 招标项目的潜在</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可在</w:t>
      </w:r>
      <w:r>
        <w:rPr>
          <w:rFonts w:hint="eastAsia" w:ascii="宋体" w:hAnsi="宋体" w:eastAsia="宋体" w:cs="宋体"/>
          <w:color w:val="auto"/>
          <w:sz w:val="21"/>
          <w:szCs w:val="21"/>
          <w:highlight w:val="none"/>
          <w:u w:val="single"/>
          <w:lang w:eastAsia="zh-CN"/>
        </w:rPr>
        <w:t xml:space="preserve">“江苏政府采购网”、“扬州市政府采购网”、“扬州市广陵区政府采购网”</w:t>
      </w:r>
      <w:r>
        <w:rPr>
          <w:rFonts w:hint="eastAsia" w:ascii="宋体" w:hAnsi="宋体" w:eastAsia="宋体" w:cs="宋体"/>
          <w:color w:val="auto"/>
          <w:sz w:val="21"/>
          <w:szCs w:val="21"/>
          <w:highlight w:val="none"/>
          <w:u w:val="none"/>
        </w:rPr>
        <w:t xml:space="preserve">自行免费下载招标文件，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bCs/>
          <w:color w:val="auto"/>
          <w:sz w:val="21"/>
          <w:szCs w:val="21"/>
          <w:highlight w:val="none"/>
          <w:u w:val="single"/>
        </w:rPr>
        <w:t xml:space="preserve">年</w:t>
      </w:r>
      <w:r>
        <w:rPr>
          <w:rFonts w:hint="eastAsia" w:ascii="宋体" w:hAnsi="宋体" w:eastAsia="宋体" w:cs="宋体"/>
          <w:bCs/>
          <w:color w:val="auto"/>
          <w:sz w:val="21"/>
          <w:szCs w:val="21"/>
          <w:highlight w:val="none"/>
          <w:u w:val="single"/>
        </w:rPr>
        <w:t xml:space="preserve">8月</w:t>
      </w:r>
      <w:r>
        <w:rPr>
          <w:rFonts w:hint="eastAsia" w:ascii="宋体" w:hAnsi="宋体" w:eastAsia="宋体" w:cs="宋体"/>
          <w:bCs/>
          <w:color w:val="auto"/>
          <w:sz w:val="21"/>
          <w:szCs w:val="21"/>
          <w:highlight w:val="none"/>
          <w:u w:val="single"/>
        </w:rPr>
        <w:t xml:space="preserve">3日</w:t>
      </w:r>
      <w:r>
        <w:rPr>
          <w:rFonts w:hint="eastAsia" w:ascii="宋体" w:hAnsi="宋体" w:eastAsia="宋体" w:cs="宋体"/>
          <w:bCs/>
          <w:color w:val="auto"/>
          <w:sz w:val="21"/>
          <w:szCs w:val="21"/>
          <w:highlight w:val="none"/>
          <w:u w:val="single"/>
        </w:rPr>
        <w:t xml:space="preserve">14点</w:t>
      </w:r>
      <w:r>
        <w:rPr>
          <w:rFonts w:hint="eastAsia" w:ascii="宋体" w:hAnsi="宋体" w:eastAsia="宋体" w:cs="宋体"/>
          <w:bCs/>
          <w:color w:val="auto"/>
          <w:sz w:val="21"/>
          <w:szCs w:val="21"/>
          <w:highlight w:val="none"/>
          <w:u w:val="single"/>
          <w:lang w:val="en-US" w:eastAsia="zh-CN"/>
        </w:rPr>
        <w:t xml:space="preserve">00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5" w:name="_Toc35393790"/>
      <w:r/>
      <w:bookmarkStart w:id="6" w:name="_Toc28359002"/>
      <w:r/>
      <w:bookmarkStart w:id="7" w:name="_Toc28359079"/>
      <w:r/>
      <w:bookmarkStart w:id="8" w:name="_Toc35393621"/>
      <w:r/>
      <w:bookmarkStart w:id="9" w:name="_Toc38985263"/>
      <w:r/>
      <w:bookmarkStart w:id="10" w:name="_Hlk24379207"/>
      <w:r>
        <w:rPr>
          <w:rFonts w:hint="eastAsia" w:ascii="宋体" w:hAnsi="宋体" w:eastAsia="宋体" w:cs="宋体"/>
          <w:b/>
          <w:bCs/>
          <w:color w:val="auto"/>
          <w:highlight w:val="none"/>
        </w:rPr>
        <w:t xml:space="preserve">一、项目基本情况</w:t>
      </w:r>
      <w:bookmarkEnd w:id="5"/>
      <w:r/>
      <w:bookmarkEnd w:id="6"/>
      <w:r/>
      <w:bookmarkEnd w:id="7"/>
      <w:r/>
      <w:bookmarkEnd w:id="8"/>
      <w:r/>
      <w:bookmarkEnd w:id="9"/>
      <w:r/>
      <w:r/>
    </w:p>
    <w:p>
      <w:pPr>
        <w:ind w:firstLine="420"/>
        <w:keepLines w:val="0"/>
        <w:keepNext w:val="0"/>
        <w:pageBreakBefore w:val="0"/>
        <w:spacing w:before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JSZC-321002-JSYR-G2026-0005</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bookmarkEnd w:id="10"/>
      <w:r>
        <w:rPr>
          <w:rFonts w:hint="eastAsia" w:ascii="宋体" w:hAnsi="宋体" w:eastAsia="宋体" w:cs="宋体"/>
          <w:color w:val="auto"/>
          <w:sz w:val="21"/>
          <w:szCs w:val="21"/>
          <w:highlight w:val="none"/>
          <w:lang w:eastAsia="zh-CN"/>
        </w:rPr>
        <w:t xml:space="preserve">2026年广陵区公园保安、公园保洁、厕所保洁服务项目</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3.预算金额：</w:t>
      </w:r>
      <w:r>
        <w:rPr>
          <w:rFonts w:hint="eastAsia" w:ascii="宋体" w:hAnsi="宋体" w:cs="宋体"/>
          <w:color w:val="auto"/>
          <w:sz w:val="21"/>
          <w:szCs w:val="21"/>
          <w:highlight w:val="none"/>
          <w:lang w:val="en-US" w:eastAsia="zh-CN"/>
        </w:rPr>
        <w:t xml:space="preserve">588万元</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本项目设置最高限价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587.96</w:t>
      </w:r>
      <w:r>
        <w:rPr>
          <w:rFonts w:hint="eastAsia" w:ascii="宋体" w:hAnsi="宋体" w:cs="宋体"/>
          <w:color w:val="auto"/>
          <w:sz w:val="21"/>
          <w:szCs w:val="21"/>
          <w:highlight w:val="none"/>
          <w:lang w:val="en-US" w:eastAsia="zh-CN"/>
        </w:rPr>
        <w:t xml:space="preserve">万元，</w:t>
      </w:r>
      <w:r>
        <w:rPr>
          <w:rFonts w:hint="eastAsia" w:ascii="宋体" w:hAnsi="宋体" w:eastAsia="宋体" w:cs="宋体"/>
          <w:color w:val="auto"/>
          <w:sz w:val="21"/>
          <w:szCs w:val="21"/>
          <w:highlight w:val="none"/>
        </w:rPr>
        <w:t xml:space="preserve">本项目设定最高限价，报价超过最高限价的为无效报价，按照无效响应处理</w:t>
      </w:r>
      <w:r/>
    </w:p>
    <w:p>
      <w:pPr>
        <w:ind w:firstLine="420"/>
        <w:keepLines w:val="0"/>
        <w:keepNext w:val="0"/>
        <w:pageBreakBefore w:val="0"/>
        <w:spacing w:afterAutospacing="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val="0"/>
          <w:bCs w:val="0"/>
          <w:color w:val="auto"/>
          <w:sz w:val="21"/>
          <w:szCs w:val="21"/>
          <w:highlight w:val="none"/>
          <w:lang w:val="en-US" w:eastAsia="zh-CN" w:bidi="ar-SA"/>
        </w:rPr>
        <w:t xml:space="preserve">采购需求：本服务范围涵盖79座公园日常保洁、公园秩序安保服务，其中公园内有26座公共厕所需日常保洁，公园服务范围面积约100</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88万平方</w:t>
      </w:r>
      <w:r>
        <w:rPr>
          <w:rFonts w:hint="eastAsia" w:ascii="宋体" w:hAnsi="宋体" w:eastAsia="宋体" w:cs="宋体"/>
          <w:color w:val="auto"/>
          <w:sz w:val="21"/>
          <w:szCs w:val="21"/>
          <w:highlight w:val="none"/>
        </w:rPr>
        <w:t xml:space="preserve">（详细内容见本招标文件第四章）</w:t>
      </w:r>
      <w:r>
        <w:rPr>
          <w:rFonts w:hint="eastAsia" w:ascii="宋体" w:hAnsi="宋体" w:eastAsia="宋体" w:cs="宋体"/>
          <w:b w:val="0"/>
          <w:bCs w:val="0"/>
          <w:color w:val="auto"/>
          <w:sz w:val="21"/>
          <w:szCs w:val="21"/>
          <w:highlight w:val="none"/>
          <w:lang w:val="en-US" w:eastAsia="zh-CN" w:bidi="ar-SA"/>
        </w:rPr>
        <w:t xml:space="preserve">。</w:t>
      </w:r>
      <w:r/>
    </w:p>
    <w:p>
      <w:pPr>
        <w:ind w:firstLine="420"/>
        <w:keepLines w:val="0"/>
        <w:keepNext w:val="0"/>
        <w:pageBreakBefore w:val="0"/>
        <w:spacing w:afterAutospacing="0" w:line="360" w:lineRule="auto"/>
        <w:widowControl w:val="off"/>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6.合同履行期限：</w:t>
      </w:r>
      <w:bookmarkStart w:id="11" w:name="_Toc38985264"/>
      <w:r/>
      <w:bookmarkStart w:id="12" w:name="_Toc28359003"/>
      <w:r/>
      <w:bookmarkStart w:id="13" w:name="_Toc35393791"/>
      <w:r/>
      <w:bookmarkStart w:id="14" w:name="_Toc35393622"/>
      <w:r/>
      <w:bookmarkStart w:id="15" w:name="_Toc28359080"/>
      <w:r>
        <w:rPr>
          <w:rFonts w:hint="eastAsia" w:ascii="宋体" w:hAnsi="宋体" w:eastAsia="宋体" w:cs="宋体"/>
          <w:b w:val="0"/>
          <w:bCs w:val="0"/>
          <w:color w:val="auto"/>
          <w:sz w:val="21"/>
          <w:szCs w:val="21"/>
          <w:highlight w:val="none"/>
          <w:lang w:val="en-US" w:eastAsia="zh-CN" w:bidi="ar-SA"/>
        </w:rPr>
        <w:t xml:space="preserve">本项目服务期限为</w:t>
      </w:r>
      <w:r>
        <w:rPr>
          <w:rFonts w:hint="eastAsia" w:ascii="宋体" w:hAnsi="宋体" w:cs="宋体"/>
          <w:b w:val="0"/>
          <w:bCs w:val="0"/>
          <w:color w:val="auto"/>
          <w:sz w:val="21"/>
          <w:szCs w:val="21"/>
          <w:highlight w:val="none"/>
          <w:lang w:val="en-US" w:eastAsia="zh-CN" w:bidi="ar-SA"/>
        </w:rPr>
        <w:t xml:space="preserve">一</w:t>
      </w:r>
      <w:r>
        <w:rPr>
          <w:rFonts w:hint="eastAsia" w:ascii="宋体" w:hAnsi="宋体" w:eastAsia="宋体" w:cs="宋体"/>
          <w:b w:val="0"/>
          <w:bCs w:val="0"/>
          <w:color w:val="auto"/>
          <w:sz w:val="21"/>
          <w:szCs w:val="21"/>
          <w:highlight w:val="none"/>
          <w:lang w:val="en-US" w:eastAsia="zh-CN" w:bidi="ar-SA"/>
        </w:rPr>
        <w:t xml:space="preserve">年，起始日期以合同约定为准</w:t>
      </w:r>
      <w:r>
        <w:rPr>
          <w:rFonts w:hint="eastAsia" w:ascii="宋体" w:hAnsi="宋体" w:cs="宋体"/>
          <w:b w:val="0"/>
          <w:bCs w:val="0"/>
          <w:color w:val="auto"/>
          <w:sz w:val="21"/>
          <w:szCs w:val="21"/>
          <w:highlight w:val="none"/>
          <w:lang w:val="en-US" w:eastAsia="zh-CN" w:bidi="ar-SA"/>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本项目</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不</w:t>
      </w:r>
      <w:r>
        <w:rPr>
          <w:rFonts w:hint="eastAsia" w:ascii="宋体" w:hAnsi="宋体"/>
          <w:color w:val="auto"/>
          <w:szCs w:val="21"/>
          <w:highlight w:val="none"/>
          <w:u w:val="single"/>
        </w:rPr>
        <w:t xml:space="preserve">接受 </w:t>
      </w:r>
      <w:r>
        <w:rPr>
          <w:rFonts w:hint="eastAsia" w:ascii="宋体" w:hAnsi="宋体"/>
          <w:color w:val="auto"/>
          <w:szCs w:val="21"/>
          <w:highlight w:val="none"/>
        </w:rPr>
        <w:t xml:space="preserve">联合体</w:t>
      </w:r>
      <w:r>
        <w:rPr>
          <w:rFonts w:hint="eastAsia" w:ascii="宋体" w:hAnsi="宋体"/>
          <w:color w:val="auto"/>
          <w:szCs w:val="21"/>
          <w:highlight w:val="none"/>
          <w:lang w:eastAsia="zh-CN"/>
        </w:rPr>
        <w:t xml:space="preserve">投标</w:t>
      </w:r>
      <w:r>
        <w:rPr>
          <w:rFonts w:hint="eastAsia" w:ascii="宋体" w:hAnsi="宋体" w:cs="宋体"/>
          <w:color w:val="auto"/>
          <w:highlight w:val="none"/>
        </w:rPr>
        <w:t xml:space="preserve">。</w:t>
      </w:r>
      <w:r/>
    </w:p>
    <w:p>
      <w:pPr>
        <w:ind w:firstLine="420"/>
        <w:rPr>
          <w:rFonts w:hint="eastAsia"/>
          <w:color w:val="auto"/>
          <w:highlight w:val="none"/>
          <w:lang w:eastAsia="zh-CN"/>
        </w:rPr>
      </w:pPr>
      <w:r/>
      <w:bookmarkStart w:id="16" w:name="_Toc11111"/>
      <w:r/>
      <w:bookmarkStart w:id="17" w:name="_Toc94"/>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w:t>
      </w:r>
      <w:r>
        <w:rPr>
          <w:rFonts w:hint="eastAsia" w:ascii="宋体" w:hAnsi="宋体" w:eastAsia="宋体" w:cs="宋体"/>
          <w:color w:val="auto"/>
          <w:highlight w:val="none"/>
          <w:u w:val="single"/>
        </w:rPr>
        <w:t xml:space="preserve"> 不接受 </w:t>
      </w:r>
      <w:r>
        <w:rPr>
          <w:rFonts w:hint="eastAsia" w:ascii="宋体" w:hAnsi="宋体" w:eastAsia="宋体" w:cs="宋体"/>
          <w:color w:val="auto"/>
          <w:highlight w:val="none"/>
        </w:rPr>
        <w:t xml:space="preserve">进口产品参加</w:t>
      </w:r>
      <w:r>
        <w:rPr>
          <w:rFonts w:hint="eastAsia" w:ascii="宋体" w:hAnsi="宋体" w:eastAsia="宋体" w:cs="宋体"/>
          <w:color w:val="auto"/>
          <w:highlight w:val="none"/>
          <w:lang w:eastAsia="zh-CN"/>
        </w:rPr>
        <w:t xml:space="preserve">投标</w:t>
      </w:r>
      <w:r>
        <w:rPr>
          <w:rFonts w:hint="eastAsia" w:ascii="宋体" w:hAnsi="宋体" w:eastAsia="宋体" w:cs="宋体"/>
          <w:color w:val="auto"/>
          <w:highlight w:val="none"/>
        </w:rPr>
        <w:t xml:space="preserve">。</w:t>
      </w:r>
      <w:bookmarkEnd w:id="16"/>
      <w:r/>
      <w:bookmarkEnd w:id="17"/>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二、申请人的资格要求：</w:t>
      </w:r>
      <w:bookmarkEnd w:id="11"/>
      <w:r/>
      <w:bookmarkEnd w:id="12"/>
      <w:r/>
      <w:bookmarkEnd w:id="13"/>
      <w:r/>
      <w:bookmarkEnd w:id="14"/>
      <w:r/>
      <w:bookmarkEnd w:id="15"/>
      <w:r/>
      <w:r/>
    </w:p>
    <w:p>
      <w:pPr>
        <w:ind w:firstLine="420"/>
        <w:keepLines w:val="0"/>
        <w:keepNext w:val="0"/>
        <w:pageBreakBefore w:val="0"/>
        <w:spacing w:beforeAutospacing="0" w:line="360" w:lineRule="auto"/>
        <w:widowControl w:val="off"/>
        <w:rPr>
          <w:rFonts w:hint="eastAsia" w:ascii="宋体" w:hAnsi="宋体" w:eastAsia="宋体" w:cs="宋体"/>
          <w:color w:val="auto"/>
          <w:sz w:val="21"/>
          <w:szCs w:val="21"/>
          <w:highlight w:val="none"/>
        </w:rPr>
      </w:pPr>
      <w:r/>
      <w:bookmarkStart w:id="18" w:name="_Toc28359081"/>
      <w:r/>
      <w:bookmarkStart w:id="19" w:name="_Toc35393623"/>
      <w:r/>
      <w:bookmarkStart w:id="20" w:name="_Toc28359004"/>
      <w:r/>
      <w:bookmarkStart w:id="21" w:name="_Toc35393792"/>
      <w:r/>
      <w:bookmarkStart w:id="22" w:name="_Toc38985265"/>
      <w:r>
        <w:rPr>
          <w:rFonts w:hint="eastAsia" w:ascii="宋体" w:hAnsi="宋体" w:eastAsia="宋体" w:cs="宋体"/>
          <w:color w:val="auto"/>
          <w:sz w:val="21"/>
          <w:szCs w:val="21"/>
          <w:highlight w:val="none"/>
        </w:rPr>
        <w:t xml:space="preserve">（一）通用资格要求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 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w:t>
      </w:r>
      <w:r>
        <w:rPr>
          <w:rFonts w:hint="eastAsia" w:ascii="宋体" w:hAnsi="宋体" w:eastAsia="宋体" w:cs="宋体"/>
          <w:i/>
          <w:iCs/>
          <w:color w:val="auto"/>
          <w:sz w:val="21"/>
          <w:szCs w:val="21"/>
          <w:highlight w:val="none"/>
          <w:u w:val="single"/>
          <w:lang w:val="en-US" w:eastAsia="zh-CN"/>
        </w:rPr>
        <w:t xml:space="preserve"> </w:t>
      </w:r>
      <w:r>
        <w:rPr>
          <w:rFonts w:hint="eastAsia" w:ascii="宋体" w:hAnsi="宋体" w:cs="宋体"/>
          <w:i/>
          <w:iCs/>
          <w:color w:val="auto"/>
          <w:sz w:val="21"/>
          <w:szCs w:val="21"/>
          <w:highlight w:val="none"/>
          <w:u w:val="single"/>
          <w:lang w:val="en-US" w:eastAsia="zh-CN"/>
        </w:rPr>
        <w:t xml:space="preserve">上一年度</w:t>
      </w:r>
      <w:r>
        <w:rPr>
          <w:rFonts w:hint="eastAsia" w:ascii="宋体" w:hAnsi="宋体" w:eastAsia="宋体" w:cs="宋体"/>
          <w:i/>
          <w:iCs/>
          <w:color w:val="auto"/>
          <w:sz w:val="21"/>
          <w:szCs w:val="21"/>
          <w:highlight w:val="none"/>
          <w:u w:val="single"/>
        </w:rPr>
        <w:t xml:space="preserve">财务报告情况（成立不满一年无需提供）；</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1.3依法缴纳税收和社会保障资金的相关材料（提供提交投标文件截止时间前一年内至少一个月依法缴纳税收及缴纳社会保障资金的证明材料。</w:t>
      </w:r>
      <w:r>
        <w:rPr>
          <w:rFonts w:hint="eastAsia" w:ascii="宋体" w:hAnsi="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依法享受缓缴、免缴税收、社会保障资金的提供证明材料）；</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1.6</w:t>
      </w:r>
      <w:r>
        <w:rPr>
          <w:rFonts w:hint="eastAsia" w:ascii="宋体" w:hAnsi="宋体" w:eastAsia="宋体" w:cs="宋体"/>
          <w:i/>
          <w:iCs/>
          <w:color w:val="auto"/>
          <w:sz w:val="21"/>
          <w:szCs w:val="21"/>
          <w:highlight w:val="none"/>
          <w:u w:val="single"/>
        </w:rPr>
        <w:t xml:space="preserve">供应商信用承诺函</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1.7</w:t>
      </w:r>
      <w:r>
        <w:rPr>
          <w:rFonts w:hint="eastAsia" w:ascii="宋体" w:hAnsi="宋体" w:eastAsia="宋体" w:cs="宋体"/>
          <w:i/>
          <w:iCs/>
          <w:color w:val="auto"/>
          <w:sz w:val="21"/>
          <w:szCs w:val="21"/>
          <w:highlight w:val="none"/>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i/>
          <w:iCs/>
          <w:color w:val="auto"/>
          <w:sz w:val="21"/>
          <w:szCs w:val="21"/>
          <w:highlight w:val="none"/>
          <w:u w:val="single"/>
          <w:lang w:eastAsia="zh-CN"/>
        </w:rPr>
        <w:t xml:space="preserve">。</w:t>
      </w:r>
      <w:r/>
    </w:p>
    <w:p>
      <w:pPr>
        <w:numPr>
          <w:ilvl w:val="0"/>
          <w:numId w:val="1"/>
        </w:numPr>
        <w:ind w:right="0" w:firstLine="420"/>
        <w:jc w:val="both"/>
        <w:keepLines w:val="0"/>
        <w:keepNext w:val="0"/>
        <w:pageBreakBefore w:val="0"/>
        <w:spacing w:before="0" w:after="0"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宋体" w:hAnsi="宋体" w:eastAsia="宋体" w:cs="宋体"/>
          <w:i/>
          <w:iCs/>
          <w:color w:val="auto"/>
          <w:sz w:val="21"/>
          <w:szCs w:val="21"/>
          <w:highlight w:val="none"/>
          <w:u w:val="single"/>
          <w:lang w:eastAsia="zh-CN"/>
        </w:rPr>
        <w:t xml:space="preserve">原件扫描上传</w:t>
      </w:r>
      <w:r>
        <w:rPr>
          <w:rFonts w:hint="eastAsia" w:ascii="宋体" w:hAnsi="宋体" w:eastAsia="宋体" w:cs="宋体"/>
          <w:i/>
          <w:iCs/>
          <w:color w:val="auto"/>
          <w:sz w:val="21"/>
          <w:szCs w:val="21"/>
          <w:highlight w:val="none"/>
          <w:u w:val="single"/>
        </w:rPr>
        <w:t xml:space="preserve">）</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cs="宋体"/>
          <w:bCs/>
          <w:i/>
          <w:iCs/>
          <w:color w:val="auto"/>
          <w:szCs w:val="21"/>
          <w:highlight w:val="none"/>
          <w:u w:val="single"/>
        </w:rPr>
        <w:t xml:space="preserve">本项目采购标的按中小企业划分标准所属行业区分为：</w:t>
      </w:r>
      <w:r>
        <w:rPr>
          <w:rFonts w:hint="eastAsia" w:ascii="宋体" w:hAnsi="宋体" w:cs="宋体"/>
          <w:b/>
          <w:bCs w:val="0"/>
          <w:i/>
          <w:iCs/>
          <w:color w:val="auto"/>
          <w:szCs w:val="21"/>
          <w:highlight w:val="none"/>
          <w:u w:val="single"/>
          <w:lang w:val="en-US" w:eastAsia="zh-CN"/>
        </w:rPr>
        <w:t xml:space="preserve">其他未列明行业</w:t>
      </w:r>
      <w:r>
        <w:rPr>
          <w:rFonts w:hint="eastAsia" w:ascii="宋体" w:hAnsi="宋体" w:cs="宋体"/>
          <w:bCs/>
          <w:i/>
          <w:iCs/>
          <w:color w:val="auto"/>
          <w:szCs w:val="21"/>
          <w:highlight w:val="none"/>
          <w:u w:val="single"/>
        </w:rPr>
        <w:t xml:space="preserve">（中小微企业划型标准网</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Style w:val="1213"/>
          <w:rFonts w:hint="eastAsia" w:ascii="宋体" w:hAnsi="宋体" w:cs="宋体"/>
          <w:bCs/>
          <w:i/>
          <w:iCs/>
          <w:color w:val="auto"/>
          <w:szCs w:val="21"/>
          <w:highlight w:val="none"/>
        </w:rPr>
        <w:t xml:space="preserve">http://www.ccgp.gov.cn/zcfg/mof/201310/t20131029_3587674.htm</w:t>
      </w:r>
      <w:r>
        <w:rPr>
          <w:rStyle w:val="1213"/>
          <w:rFonts w:hint="eastAsia" w:ascii="宋体" w:hAnsi="宋体" w:cs="宋体"/>
          <w:bCs/>
          <w:i/>
          <w:iCs/>
          <w:color w:val="auto"/>
          <w:szCs w:val="21"/>
          <w:highlight w:val="none"/>
        </w:rPr>
        <w:fldChar w:fldCharType="end"/>
      </w:r>
      <w:r>
        <w:rPr>
          <w:rFonts w:hint="eastAsia" w:ascii="宋体" w:hAnsi="宋体" w:cs="宋体"/>
          <w:bCs/>
          <w:i/>
          <w:iCs/>
          <w:color w:val="auto"/>
          <w:szCs w:val="21"/>
          <w:highlight w:val="none"/>
          <w:u w:val="single"/>
        </w:rPr>
        <w:t xml:space="preserve">）。</w:t>
      </w:r>
      <w:r/>
    </w:p>
    <w:p>
      <w:pPr>
        <w:numPr>
          <w:ilvl w:val="0"/>
          <w:numId w:val="1"/>
        </w:numPr>
        <w:ind w:left="0" w:right="0" w:firstLine="420"/>
        <w:jc w:val="both"/>
        <w:keepLines w:val="0"/>
        <w:keepNext w:val="0"/>
        <w:pageBreakBefore w:val="0"/>
        <w:spacing w:before="0" w:after="0"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color w:val="auto"/>
          <w:sz w:val="21"/>
          <w:szCs w:val="21"/>
          <w:highlight w:val="none"/>
          <w:lang w:eastAsia="zh-CN"/>
        </w:rPr>
        <w:t xml:space="preserve">：</w:t>
      </w:r>
      <w:r>
        <w:rPr>
          <w:rFonts w:hint="eastAsia" w:ascii="宋体" w:hAnsi="宋体" w:cs="宋体"/>
          <w:i/>
          <w:iCs/>
          <w:color w:val="auto"/>
          <w:sz w:val="21"/>
          <w:szCs w:val="21"/>
          <w:highlight w:val="none"/>
          <w:u w:val="single"/>
          <w:lang w:val="en-US" w:eastAsia="zh-CN"/>
        </w:rPr>
        <w:t xml:space="preserve">无</w:t>
      </w:r>
      <w:r/>
    </w:p>
    <w:p>
      <w:pPr>
        <w:ind w:firstLine="420"/>
        <w:spacing w:line="360" w:lineRule="auto"/>
        <w:rPr>
          <w:rFonts w:hint="eastAsia" w:ascii="宋体" w:hAnsi="宋体" w:eastAsia="宋体" w:cs="宋体"/>
          <w:color w:val="auto"/>
          <w:szCs w:val="24"/>
          <w:highlight w:val="none"/>
        </w:rPr>
      </w:pPr>
      <w:r>
        <w:rPr>
          <w:rFonts w:hint="eastAsia" w:ascii="宋体" w:hAnsi="宋体"/>
          <w:color w:val="auto"/>
          <w:highlight w:val="none"/>
          <w:lang w:val="en-US" w:eastAsia="zh-CN"/>
        </w:rPr>
        <w:t xml:space="preserve">（四）</w:t>
      </w:r>
      <w:r>
        <w:rPr>
          <w:rFonts w:hint="eastAsia" w:ascii="宋体" w:hAnsi="宋体" w:eastAsia="宋体" w:cs="宋体"/>
          <w:color w:val="auto"/>
          <w:szCs w:val="24"/>
          <w:highlight w:val="none"/>
        </w:rPr>
        <w:t xml:space="preserve">其它资格条件：</w:t>
      </w:r>
      <w:r/>
    </w:p>
    <w:p>
      <w:pPr>
        <w:ind w:firstLine="420"/>
        <w:spacing w:line="360" w:lineRule="auto"/>
        <w:rPr>
          <w:rFonts w:ascii="宋体" w:hAnsi="宋体" w:cs="宋体"/>
          <w:bCs/>
          <w:color w:val="auto"/>
          <w:szCs w:val="21"/>
          <w:highlight w:val="none"/>
        </w:rPr>
      </w:pPr>
      <w:r/>
      <w:bookmarkStart w:id="23" w:name="OLE_LINK39"/>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投标人未被列入失信被执行人、重大税收违法案件当事人名单、政府采购严重失信行为记录名单；</w:t>
      </w:r>
      <w:bookmarkEnd w:id="23"/>
      <w:r/>
      <w:r/>
    </w:p>
    <w:p>
      <w:pPr>
        <w:ind w:firstLine="420"/>
        <w:spacing w:line="360" w:lineRule="auto"/>
        <w:rPr>
          <w:rFonts w:ascii="宋体" w:hAnsi="宋体" w:cs="宋体"/>
          <w:bCs/>
          <w:color w:val="auto"/>
          <w:szCs w:val="21"/>
          <w:highlight w:val="none"/>
        </w:rPr>
      </w:pPr>
      <w:r/>
      <w:bookmarkStart w:id="24" w:name="OLE_LINK41"/>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投标人单位负责人为同一人或者存在直接控股、管理关系的不同投标人（包含法定代表人为同一个人的两个及两个以上法人，母公司、全资子公司及其控股公司），不得参加同一合同项下的政府采购活动。</w:t>
      </w:r>
      <w:bookmarkEnd w:id="24"/>
      <w:r/>
      <w:r/>
    </w:p>
    <w:p>
      <w:pPr>
        <w:ind w:firstLine="42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为采购项目提供整体设计、规范编制或者项目管理、监理、检测等服务的投标人，不得再参加该采购项目的其他采购活动</w:t>
      </w:r>
      <w:r>
        <w:rPr>
          <w:rFonts w:hint="eastAsia" w:ascii="宋体" w:hAnsi="宋体" w:eastAsia="宋体" w:cs="宋体"/>
          <w:color w:val="auto"/>
          <w:szCs w:val="24"/>
          <w:highlight w:val="none"/>
          <w:lang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highlight w:val="none"/>
        </w:rPr>
        <w:t xml:space="preserve">获取招标文件</w:t>
      </w:r>
      <w:bookmarkEnd w:id="18"/>
      <w:r/>
      <w:bookmarkEnd w:id="19"/>
      <w:r/>
      <w:bookmarkEnd w:id="20"/>
      <w:r/>
      <w:bookmarkEnd w:id="21"/>
      <w:r/>
      <w:bookmarkEnd w:id="22"/>
      <w:r/>
      <w:r/>
    </w:p>
    <w:p>
      <w:pPr>
        <w:ind w:firstLine="54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1.时间：自</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个工作日后仍可下载</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，但不作为供应商权益受到损害的证明材料和依据。</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3.潜在供应商访问政府采购管理交易系统（苏采云）的网络地址和方法：</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获取“CA数字证书”--CA绑定与登录--网上报名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下载</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（后缀名为“.kedt”）--将后缀名为“.kedt”的</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导入政府采购客户端工具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制作</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导出加密的</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（后缀名为zip）--通过“苏采云”系统上传</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http//zfcg.yangzhou.gov.cn/xzzx/art/2023/art_4d7de1f7865f4a2894fc22bc452f94d8.html。</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（后缀名为“.kedt”）、供应商操作手册及政府采购客户端工具也可通过“苏采云”系统</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已报名项目</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报名详情页面内相应链接进行下载。</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加载至“苏采云”系统，供潜在供应商下载或者查阅。</w:t>
      </w:r>
      <w:r/>
    </w:p>
    <w:p>
      <w:pPr>
        <w:ind w:firstLine="54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25" w:name="_Toc28359008"/>
      <w:r/>
      <w:bookmarkStart w:id="26" w:name="_Toc38985269"/>
      <w:r/>
      <w:bookmarkStart w:id="27" w:name="_Toc28359085"/>
      <w:r/>
      <w:bookmarkStart w:id="28" w:name="_Toc35393796"/>
      <w:r/>
      <w:bookmarkStart w:id="29" w:name="_Toc35393627"/>
      <w:r>
        <w:rPr>
          <w:rFonts w:hint="eastAsia" w:ascii="宋体" w:hAnsi="宋体" w:eastAsia="宋体" w:cs="宋体"/>
          <w:b/>
          <w:bCs/>
          <w:color w:val="auto"/>
          <w:sz w:val="21"/>
          <w:szCs w:val="21"/>
          <w:highlight w:val="none"/>
          <w:lang w:val="en-US" w:eastAsia="zh-CN" w:bidi="ar-SA"/>
        </w:rPr>
        <w:t xml:space="preserve">四、</w:t>
      </w:r>
      <w:r>
        <w:rPr>
          <w:rFonts w:hint="eastAsia" w:ascii="宋体" w:hAnsi="宋体" w:eastAsia="宋体" w:cs="宋体"/>
          <w:b/>
          <w:bCs/>
          <w:color w:val="auto"/>
          <w:highlight w:val="none"/>
        </w:rPr>
        <w:t xml:space="preserve">提交投标文件截止时间、开标时间和地点</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2026年</w:t>
      </w:r>
      <w:r>
        <w:rPr>
          <w:rFonts w:hint="eastAsia" w:ascii="宋体" w:hAnsi="宋体" w:eastAsia="宋体" w:cs="宋体"/>
          <w:color w:val="auto"/>
          <w:sz w:val="21"/>
          <w:szCs w:val="21"/>
          <w:highlight w:val="none"/>
          <w:lang w:val="en-US" w:eastAsia="zh-CN"/>
        </w:rPr>
        <w:t xml:space="preserve">8月</w:t>
      </w:r>
      <w:r>
        <w:rPr>
          <w:rFonts w:hint="eastAsia" w:ascii="宋体" w:hAnsi="宋体" w:eastAsia="宋体" w:cs="宋体"/>
          <w:color w:val="auto"/>
          <w:sz w:val="21"/>
          <w:szCs w:val="21"/>
          <w:highlight w:val="none"/>
          <w:lang w:val="en-US" w:eastAsia="zh-CN"/>
        </w:rPr>
        <w:t xml:space="preserve">3日</w:t>
      </w:r>
      <w:r>
        <w:rPr>
          <w:rFonts w:hint="eastAsia" w:ascii="宋体" w:hAnsi="宋体" w:eastAsia="宋体" w:cs="宋体"/>
          <w:color w:val="auto"/>
          <w:sz w:val="21"/>
          <w:szCs w:val="21"/>
          <w:highlight w:val="none"/>
          <w:lang w:val="en-US" w:eastAsia="zh-CN"/>
        </w:rPr>
        <w:t xml:space="preserve">14点00分（北京时间）</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2.地点：“苏采云”政府采购交易系统。</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五、公告期限</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numPr>
          <w:ilvl w:val="0"/>
          <w:numId w:val="2"/>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其他补充事宜</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cs="宋体"/>
          <w:b/>
          <w:bCs/>
          <w:color w:val="auto"/>
          <w:szCs w:val="21"/>
          <w:highlight w:val="none"/>
        </w:rPr>
      </w:pPr>
      <w:r>
        <w:rPr>
          <w:rFonts w:hint="eastAsia" w:ascii="宋体" w:hAnsi="宋体" w:cs="宋体"/>
          <w:b/>
          <w:bCs/>
          <w:color w:val="auto"/>
          <w:highlight w:val="none"/>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4.有关本次招标的事项若存在变动或修改，敬请及时关注</w:t>
      </w:r>
      <w:r>
        <w:rPr>
          <w:rFonts w:hint="eastAsia" w:ascii="宋体" w:hAnsi="宋体" w:cs="宋体"/>
          <w:bCs/>
          <w:color w:val="auto"/>
          <w:highlight w:val="none"/>
          <w:lang w:eastAsia="zh-CN"/>
        </w:rPr>
        <w:t xml:space="preserve">“江苏政府采购网”、“扬州市政府采购网”、“扬州市广陵区政府采购网”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投标采购要求。其他条件相同情况下，本项目优先采购节能产品、环境标志产品。</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numPr>
          <w:ilvl w:val="0"/>
          <w:numId w:val="0"/>
        </w:numPr>
        <w:ind w:firstLine="422"/>
        <w:keepLines w:val="0"/>
        <w:keepNext w:val="0"/>
        <w:pageBreakBefore w:val="0"/>
        <w:spacing w:line="360" w:lineRule="auto"/>
        <w:widowControl w:val="off"/>
        <w:rPr>
          <w:rFonts w:hint="eastAsia"/>
          <w:color w:val="auto"/>
          <w:highlight w:val="none"/>
        </w:rPr>
      </w:pPr>
      <w:r>
        <w:rPr>
          <w:rFonts w:hint="eastAsia" w:ascii="宋体" w:hAnsi="宋体" w:eastAsia="宋体" w:cs="宋体"/>
          <w:b/>
          <w:bCs/>
          <w:color w:val="auto"/>
          <w:highlight w:val="none"/>
        </w:rPr>
        <w:t xml:space="preserve">七、本次招标联系方式</w:t>
      </w:r>
      <w:bookmarkEnd w:id="25"/>
      <w:r/>
      <w:bookmarkEnd w:id="26"/>
      <w:r/>
      <w:bookmarkEnd w:id="27"/>
      <w:r/>
      <w:bookmarkEnd w:id="28"/>
      <w:r/>
      <w:bookmarkEnd w:id="29"/>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30" w:name="_Toc28359086"/>
      <w:r/>
      <w:bookmarkStart w:id="31" w:name="_Toc28359009"/>
      <w:r>
        <w:rPr>
          <w:rFonts w:hint="eastAsia" w:ascii="宋体" w:hAnsi="宋体" w:eastAsia="宋体" w:cs="宋体"/>
          <w:color w:val="auto"/>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lang w:eastAsia="zh-CN"/>
        </w:rPr>
        <w:t xml:space="preserve">扬州市广陵区住房和城乡建设局</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地 址：江苏省扬州市广陵区文昌东路12号泰达Y-MSD12栋15层</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联系人：顾</w:t>
      </w:r>
      <w:r>
        <w:rPr>
          <w:rFonts w:hint="eastAsia" w:ascii="宋体" w:hAnsi="宋体" w:cs="宋体"/>
          <w:color w:val="auto"/>
          <w:highlight w:val="none"/>
          <w:lang w:val="en-US" w:eastAsia="zh-CN"/>
        </w:rPr>
        <w:t xml:space="preserve">菁菁</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lang w:val="en-US" w:eastAsia="zh-CN"/>
        </w:rPr>
        <w:t xml:space="preserve">17712353363</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bookmarkEnd w:id="30"/>
      <w:r/>
      <w:bookmarkEnd w:id="31"/>
      <w:r>
        <w:rPr>
          <w:rFonts w:hint="eastAsia" w:ascii="宋体" w:hAnsi="宋体" w:eastAsia="宋体" w:cs="宋体"/>
          <w:color w:val="auto"/>
          <w:highlight w:val="none"/>
          <w:lang w:val="en-US" w:eastAsia="zh-CN"/>
        </w:rPr>
        <w:t xml:space="preserve">代理公司信息</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称：江苏远锐工程管理咨询有限公司</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址：扬州市邗江北路中石化南侧邗文化博物馆1号院</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 系 人：</w:t>
      </w:r>
      <w:r>
        <w:rPr>
          <w:rFonts w:hint="eastAsia" w:ascii="宋体" w:hAnsi="宋体" w:cs="宋体"/>
          <w:color w:val="auto"/>
          <w:highlight w:val="none"/>
          <w:lang w:val="en-US" w:eastAsia="zh-CN"/>
        </w:rPr>
        <w:t xml:space="preserve">钱玲</w:t>
      </w:r>
      <w:r>
        <w:rPr>
          <w:rFonts w:hint="eastAsia" w:ascii="宋体" w:hAnsi="宋体" w:eastAsia="宋体" w:cs="宋体"/>
          <w:color w:val="auto"/>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联系电话：</w:t>
      </w:r>
      <w:r>
        <w:rPr>
          <w:rFonts w:hint="eastAsia" w:ascii="宋体" w:hAnsi="宋体" w:cs="宋体"/>
          <w:color w:val="auto"/>
          <w:highlight w:val="none"/>
          <w:lang w:val="en-US" w:eastAsia="zh-CN"/>
        </w:rPr>
        <w:t xml:space="preserve">13585235015</w:t>
      </w:r>
      <w:r>
        <w:rPr>
          <w:rFonts w:hint="eastAsia" w:ascii="宋体" w:hAnsi="宋体" w:eastAsia="宋体" w:cs="宋体"/>
          <w:color w:val="auto"/>
          <w:highlight w:val="none"/>
          <w:lang w:val="en-US" w:eastAsia="zh-CN"/>
        </w:rPr>
        <w:t xml:space="preserve"> </w:t>
      </w:r>
      <w:r/>
    </w:p>
    <w:p>
      <w:pPr>
        <w:rPr>
          <w:rFonts w:hint="eastAsia" w:ascii="宋体" w:hAnsi="宋体" w:eastAsia="宋体" w:cs="宋体"/>
          <w:color w:val="auto"/>
          <w:highlight w:val="none"/>
        </w:rPr>
      </w:pPr>
      <w:r/>
      <w:bookmarkStart w:id="32" w:name="_Toc120614211"/>
      <w:r/>
      <w:bookmarkStart w:id="33" w:name="_Toc7352"/>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202"/>
        <w:rPr>
          <w:rFonts w:hint="eastAsia" w:ascii="宋体" w:hAnsi="宋体" w:eastAsia="宋体" w:cs="宋体"/>
          <w:color w:val="auto"/>
          <w:highlight w:val="none"/>
        </w:rPr>
      </w:pPr>
      <w:r/>
      <w:bookmarkStart w:id="34" w:name="_Toc14377"/>
      <w:r>
        <w:rPr>
          <w:rFonts w:hint="eastAsia" w:ascii="宋体" w:hAnsi="宋体" w:eastAsia="宋体" w:cs="宋体"/>
          <w:color w:val="auto"/>
          <w:highlight w:val="none"/>
        </w:rPr>
        <w:t xml:space="preserve">第二章  </w:t>
      </w:r>
      <w:bookmarkEnd w:id="32"/>
      <w:r/>
      <w:bookmarkStart w:id="35" w:name="_Toc120614213"/>
      <w:r/>
      <w:bookmarkStart w:id="36" w:name="_Toc16938518"/>
      <w:r/>
      <w:bookmarkStart w:id="37" w:name="_Toc513029202"/>
      <w:r/>
      <w:bookmarkStart w:id="38" w:name="_Toc20823274"/>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须知</w:t>
      </w:r>
      <w:bookmarkEnd w:id="33"/>
      <w:r/>
      <w:bookmarkEnd w:id="34"/>
      <w:r/>
      <w:bookmarkEnd w:id="35"/>
      <w:r/>
      <w:bookmarkEnd w:id="36"/>
      <w:r/>
      <w:bookmarkEnd w:id="37"/>
      <w:r/>
      <w:bookmarkEnd w:id="38"/>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39" w:name="_Toc479757207"/>
      <w:r/>
      <w:bookmarkStart w:id="40" w:name="_Toc513029242"/>
      <w:r/>
      <w:bookmarkStart w:id="41" w:name="_Toc16938558"/>
      <w:r/>
      <w:bookmarkStart w:id="42" w:name="_Toc120614221"/>
      <w:r/>
      <w:bookmarkStart w:id="43" w:name="_Toc20823314"/>
      <w:r>
        <w:rPr>
          <w:rFonts w:hint="eastAsia" w:ascii="宋体" w:hAnsi="宋体" w:eastAsia="宋体" w:cs="宋体"/>
          <w:b/>
          <w:color w:val="auto"/>
          <w:sz w:val="21"/>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1、招标方式</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1.1本次招标采取公开招标方式，本招标文件仅适用于招标公告中所述项目。</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2、合格的</w:t>
      </w:r>
      <w:r>
        <w:rPr>
          <w:rFonts w:hint="eastAsia" w:ascii="宋体" w:hAnsi="宋体" w:cs="宋体"/>
          <w:b/>
          <w:color w:val="auto"/>
          <w:sz w:val="21"/>
          <w:szCs w:val="21"/>
          <w:highlight w:val="none"/>
          <w:lang w:eastAsia="zh-CN"/>
        </w:rPr>
        <w:t xml:space="preserve">供应商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满足本文件实质性条款的规定。</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3、适用法律</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3.1本次招标及由此产生的合同受中华人民共和国有关的法律法规制约和保护。</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4、投标费用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应自行承担所有与参加投标有关的费用，无论投标过程中的做法和结果如何，代理机构在任何情况下均无义务和责任承担这些费用。</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4.3本次采购由</w:t>
      </w:r>
      <w:r>
        <w:rPr>
          <w:rFonts w:hint="eastAsia" w:ascii="宋体" w:hAnsi="宋体" w:eastAsia="宋体" w:cs="宋体"/>
          <w:b w:val="0"/>
          <w:bCs w:val="0"/>
          <w:color w:val="auto"/>
          <w:sz w:val="21"/>
          <w:szCs w:val="21"/>
          <w:highlight w:val="none"/>
          <w:lang w:val="en-US" w:eastAsia="zh-CN"/>
        </w:rPr>
        <w:t xml:space="preserve">中标人参</w:t>
      </w:r>
      <w:r>
        <w:rPr>
          <w:rFonts w:hint="eastAsia" w:ascii="宋体" w:hAnsi="宋体" w:eastAsia="宋体" w:cs="宋体"/>
          <w:b w:val="0"/>
          <w:bCs w:val="0"/>
          <w:color w:val="auto"/>
          <w:sz w:val="21"/>
          <w:szCs w:val="21"/>
          <w:highlight w:val="none"/>
        </w:rPr>
        <w:t xml:space="preserve">照国家计委印发的《招标代理服务收费管理暂行办法》（计价格〔2002〕1980号文）服务类标准一次性支付给招标代理机构代理服务费。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（2）代理服务费支付方式：一次性以电汇或转账等形式支付。</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（3）代理服务费不在报价中单列，已在预算中考虑</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包含在总价中，由</w:t>
      </w:r>
      <w:r>
        <w:rPr>
          <w:rFonts w:hint="eastAsia" w:ascii="宋体" w:hAnsi="宋体" w:cs="宋体"/>
          <w:b w:val="0"/>
          <w:bCs w:val="0"/>
          <w:color w:val="auto"/>
          <w:sz w:val="21"/>
          <w:szCs w:val="21"/>
          <w:highlight w:val="none"/>
          <w:lang w:eastAsia="zh-CN"/>
        </w:rPr>
        <w:t xml:space="preserve">中标人</w:t>
      </w:r>
      <w:r>
        <w:rPr>
          <w:rFonts w:hint="eastAsia" w:ascii="宋体" w:hAnsi="宋体" w:eastAsia="宋体" w:cs="宋体"/>
          <w:b w:val="0"/>
          <w:bCs w:val="0"/>
          <w:color w:val="auto"/>
          <w:sz w:val="21"/>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4.4专家评审费按《扬州市财政局关于进一步规范扬州市政府采购专家评审费标准的通知》（扬财购〔2020〕40号）执行，由采购人支付。</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二、招标文件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6.1招标文件由以下部分组成：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（1）投标邀请</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须知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（3）合同文本</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（4）采购需求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自行承担。</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.1在投标截止时间前，代理机构可以对招标文件进行修改。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.3招标文件的修改将在</w:t>
      </w:r>
      <w:r>
        <w:rPr>
          <w:rFonts w:hint="eastAsia" w:ascii="宋体" w:hAnsi="宋体" w:eastAsia="宋体" w:cs="宋体"/>
          <w:color w:val="auto"/>
          <w:sz w:val="21"/>
          <w:szCs w:val="21"/>
          <w:highlight w:val="none"/>
          <w:u w:val="none"/>
        </w:rPr>
        <w:t xml:space="preserve">“江苏政府采购网、扬州市政府采购网</w:t>
      </w:r>
      <w:r>
        <w:rPr>
          <w:rFonts w:hint="eastAsia" w:ascii="宋体" w:hAnsi="宋体" w:eastAsia="宋体" w:cs="宋体"/>
          <w:color w:val="auto"/>
          <w:sz w:val="21"/>
          <w:szCs w:val="21"/>
          <w:highlight w:val="none"/>
          <w:u w:val="none"/>
          <w:lang w:eastAsia="zh-CN"/>
        </w:rPr>
        <w:t xml:space="preserve">、扬州市广陵区政府采购网”</w:t>
      </w:r>
      <w:r>
        <w:rPr>
          <w:rFonts w:hint="eastAsia" w:ascii="宋体" w:hAnsi="宋体" w:eastAsia="宋体" w:cs="宋体"/>
          <w:bCs/>
          <w:color w:val="auto"/>
          <w:sz w:val="21"/>
          <w:szCs w:val="21"/>
          <w:highlight w:val="none"/>
        </w:rPr>
        <w:t xml:space="preserve">公布，补充文件将作为招标文件的组成部分，并对</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具有约束力。</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三、投标文件的编制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、投标文件的语言、度量衡单位</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提交的投标文件以及</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.2除技术性能另有规定外，投标文件所使用的度量衡单位，均须采用国家法定计量单位。</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、投标文件构成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编写的投标文件应包括基本目录、资格审查内容、符合性审查内容、价格扣除证明文件等部分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.2 如标书制作工具中格式和内容与“江苏政府采购网、扬州市政府采购网</w:t>
      </w:r>
      <w:r>
        <w:rPr>
          <w:rFonts w:hint="eastAsia" w:ascii="宋体" w:hAnsi="宋体" w:eastAsia="宋体" w:cs="宋体"/>
          <w:bCs/>
          <w:color w:val="auto"/>
          <w:sz w:val="21"/>
          <w:szCs w:val="21"/>
          <w:highlight w:val="none"/>
          <w:lang w:eastAsia="zh-CN"/>
        </w:rPr>
        <w:t xml:space="preserve">、扬州市广陵区政府采购网</w:t>
      </w:r>
      <w:r>
        <w:rPr>
          <w:rFonts w:hint="eastAsia" w:ascii="宋体" w:hAnsi="宋体" w:eastAsia="宋体" w:cs="宋体"/>
          <w:bCs/>
          <w:color w:val="auto"/>
          <w:sz w:val="21"/>
          <w:szCs w:val="21"/>
          <w:highlight w:val="none"/>
        </w:rPr>
        <w:t xml:space="preserve">”发布的招标文件不一致，请以“江苏政府采购网、扬州市政府采购网</w:t>
      </w:r>
      <w:r>
        <w:rPr>
          <w:rFonts w:hint="eastAsia" w:ascii="宋体" w:hAnsi="宋体" w:eastAsia="宋体" w:cs="宋体"/>
          <w:bCs/>
          <w:color w:val="auto"/>
          <w:sz w:val="21"/>
          <w:szCs w:val="21"/>
          <w:highlight w:val="none"/>
          <w:lang w:eastAsia="zh-CN"/>
        </w:rPr>
        <w:t xml:space="preserve">、扬州市广陵区政府采购网</w:t>
      </w:r>
      <w:r>
        <w:rPr>
          <w:rFonts w:hint="eastAsia" w:ascii="宋体" w:hAnsi="宋体" w:eastAsia="宋体" w:cs="宋体"/>
          <w:bCs/>
          <w:color w:val="auto"/>
          <w:sz w:val="21"/>
          <w:szCs w:val="21"/>
          <w:highlight w:val="none"/>
        </w:rPr>
        <w:t xml:space="preserve">”发布的招标文件为准。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、证明</w:t>
      </w:r>
      <w:r>
        <w:rPr>
          <w:rFonts w:hint="eastAsia" w:ascii="宋体" w:hAnsi="宋体" w:cs="宋体"/>
          <w:b/>
          <w:color w:val="auto"/>
          <w:sz w:val="21"/>
          <w:szCs w:val="21"/>
          <w:highlight w:val="none"/>
          <w:lang w:eastAsia="zh-CN"/>
        </w:rPr>
        <w:t xml:space="preserve">供应商</w:t>
      </w:r>
      <w:r>
        <w:rPr>
          <w:rFonts w:hint="eastAsia" w:ascii="宋体" w:hAnsi="宋体" w:eastAsia="宋体" w:cs="宋体"/>
          <w:b/>
          <w:color w:val="auto"/>
          <w:sz w:val="21"/>
          <w:szCs w:val="21"/>
          <w:highlight w:val="none"/>
        </w:rPr>
        <w:t xml:space="preserve">及投标标的符合招标文件规定的文件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 </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.2招标文件对证明文件无明确形式要求的，证明文件可以以文字资料、图纸和数据等形式提交。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按照招标文件规定格式填报投标分项报价表。</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.2投标货币。投标文件中的单价和总价无特殊规定的采用人民币报价，以元为单位标注。招标文件中另有规定的按规定执行。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.2 </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需按照招标文件要求，在投标文件中提供与技术要求和商务要求相关的证明材料。</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rPr>
        <w:t xml:space="preserve">.2</w:t>
      </w:r>
      <w:r>
        <w:rPr>
          <w:rFonts w:hint="eastAsia" w:ascii="宋体" w:hAnsi="宋体" w:eastAsia="宋体" w:cs="宋体"/>
          <w:bCs/>
          <w:i/>
          <w:iCs/>
          <w:color w:val="auto"/>
          <w:sz w:val="21"/>
          <w:szCs w:val="21"/>
          <w:highlight w:val="none"/>
          <w:u w:val="single"/>
        </w:rPr>
        <w:t xml:space="preserve">对于采用货币报价的项目，开标一览表中的投标总报价应与投标分项报价表中的投标总报价一致，如不一致，不作为无效投标处理，但评标时按开标一览表中价格为准。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、投标有效期</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.1投标有效期为规定的开标之日后</w:t>
      </w:r>
      <w:r>
        <w:rPr>
          <w:rFonts w:hint="eastAsia" w:ascii="宋体" w:hAnsi="宋体" w:eastAsia="宋体" w:cs="宋体"/>
          <w:b/>
          <w:bCs w:val="0"/>
          <w:color w:val="auto"/>
          <w:sz w:val="21"/>
          <w:szCs w:val="21"/>
          <w:highlight w:val="none"/>
        </w:rPr>
        <w:t xml:space="preserve">六十（60）</w:t>
      </w:r>
      <w:r>
        <w:rPr>
          <w:rFonts w:hint="eastAsia" w:ascii="宋体" w:hAnsi="宋体" w:eastAsia="宋体" w:cs="宋体"/>
          <w:bCs/>
          <w:color w:val="auto"/>
          <w:sz w:val="21"/>
          <w:szCs w:val="21"/>
          <w:highlight w:val="none"/>
        </w:rPr>
        <w:t xml:space="preserve">天。投标有效期比规定短的将被视为未实质性响应招标文件而予以拒绝。</w:t>
      </w:r>
      <w:r/>
    </w:p>
    <w:p>
      <w:pPr>
        <w:ind w:firstLine="42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、投标有效期的延长</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在特殊情况下，代理机构于原投标有效期满之前，可向</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提出延长投标有效期的要求。这种要求与答复均应采用书面形式。</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可以拒绝代理机构的这一要求而放弃投标；同意延长投标有效期的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44" w:name="_Toc462564084"/>
      <w:r/>
      <w:bookmarkStart w:id="45" w:name="_Toc16938541"/>
      <w:r/>
      <w:bookmarkStart w:id="46" w:name="_Toc20823297"/>
      <w:r/>
      <w:bookmarkStart w:id="47" w:name="_Toc513029225"/>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、投标文件的递交</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、投标文件</w:t>
      </w:r>
      <w:bookmarkEnd w:id="44"/>
      <w:r/>
      <w:bookmarkEnd w:id="45"/>
      <w:r/>
      <w:bookmarkEnd w:id="46"/>
      <w:r/>
      <w:bookmarkEnd w:id="47"/>
      <w:r>
        <w:rPr>
          <w:rFonts w:hint="eastAsia" w:ascii="宋体" w:hAnsi="宋体" w:eastAsia="宋体" w:cs="宋体"/>
          <w:b/>
          <w:color w:val="auto"/>
          <w:sz w:val="21"/>
          <w:szCs w:val="21"/>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48" w:name="_Toc20823298"/>
      <w:r/>
      <w:bookmarkStart w:id="49" w:name="_Toc513029226"/>
      <w:r/>
      <w:bookmarkStart w:id="50" w:name="_Toc16938542"/>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应当按照《操作手册》规定，在投标截止时间前制作并上传电子投标文件。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、投标截止日期</w:t>
      </w:r>
      <w:bookmarkEnd w:id="48"/>
      <w:r/>
      <w:bookmarkEnd w:id="49"/>
      <w:r/>
      <w:bookmarkEnd w:id="50"/>
      <w:r/>
      <w:r/>
    </w:p>
    <w:p>
      <w:pPr>
        <w:ind w:firstLine="420"/>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1</w:t>
      </w:r>
      <w:r>
        <w:rPr>
          <w:rFonts w:hint="eastAsia" w:ascii="宋体" w:hAnsi="宋体" w:eastAsia="宋体" w:cs="宋体"/>
          <w:bCs/>
          <w:i/>
          <w:iCs/>
          <w:color w:val="auto"/>
          <w:sz w:val="21"/>
          <w:szCs w:val="21"/>
          <w:highlight w:val="none"/>
          <w:u w:val="single"/>
          <w:lang w:val="en-US" w:eastAsia="zh-CN"/>
        </w:rPr>
        <w:t xml:space="preserve">7</w:t>
      </w:r>
      <w:r>
        <w:rPr>
          <w:rFonts w:hint="eastAsia" w:ascii="宋体" w:hAnsi="宋体" w:eastAsia="宋体" w:cs="宋体"/>
          <w:bCs/>
          <w:i/>
          <w:iCs/>
          <w:color w:val="auto"/>
          <w:sz w:val="21"/>
          <w:szCs w:val="21"/>
          <w:highlight w:val="none"/>
          <w:u w:val="single"/>
        </w:rPr>
        <w:t xml:space="preserve">.1</w:t>
      </w:r>
      <w:r>
        <w:rPr>
          <w:rFonts w:hint="eastAsia" w:ascii="宋体" w:hAnsi="宋体" w:cs="宋体"/>
          <w:bCs/>
          <w:i/>
          <w:iCs/>
          <w:color w:val="auto"/>
          <w:sz w:val="21"/>
          <w:szCs w:val="21"/>
          <w:highlight w:val="none"/>
          <w:u w:val="single"/>
          <w:lang w:eastAsia="zh-CN"/>
        </w:rPr>
        <w:t xml:space="preserve">供应商</w:t>
      </w:r>
      <w:r>
        <w:rPr>
          <w:rFonts w:hint="eastAsia" w:ascii="宋体" w:hAnsi="宋体" w:eastAsia="宋体" w:cs="宋体"/>
          <w:bCs/>
          <w:i/>
          <w:iCs/>
          <w:color w:val="auto"/>
          <w:sz w:val="21"/>
          <w:szCs w:val="21"/>
          <w:highlight w:val="none"/>
          <w:u w:val="single"/>
        </w:rPr>
        <w:t xml:space="preserve">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应充分考虑到网络环境、网络带宽等风险因素，如因</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自身原因造成的电子投标文件上传不成功由</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自行承担全部责任。</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.2代理机构可以按照规定，通过修改招标文件延长投标截止日期，在此情况下，</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的所有权利和义务以及</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受制的截止日期均应以延长后新的截止日期为准。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51" w:name="_Toc513029227"/>
      <w:r/>
      <w:bookmarkStart w:id="52" w:name="_Toc20823299"/>
      <w:r/>
      <w:bookmarkStart w:id="53" w:name="_Toc16938543"/>
      <w:r>
        <w:rPr>
          <w:rFonts w:hint="eastAsia" w:ascii="宋体" w:hAnsi="宋体" w:eastAsia="宋体" w:cs="宋体"/>
          <w:b/>
          <w:color w:val="auto"/>
          <w:sz w:val="21"/>
          <w:szCs w:val="21"/>
          <w:highlight w:val="none"/>
          <w:lang w:val="en-US" w:eastAsia="zh-CN"/>
        </w:rPr>
        <w:t xml:space="preserve">18</w:t>
      </w:r>
      <w:r>
        <w:rPr>
          <w:rFonts w:hint="eastAsia" w:ascii="宋体" w:hAnsi="宋体" w:eastAsia="宋体" w:cs="宋体"/>
          <w:b/>
          <w:color w:val="auto"/>
          <w:sz w:val="21"/>
          <w:szCs w:val="21"/>
          <w:highlight w:val="none"/>
        </w:rPr>
        <w:t xml:space="preserve">、投标文件</w:t>
      </w:r>
      <w:bookmarkEnd w:id="51"/>
      <w:r/>
      <w:bookmarkEnd w:id="52"/>
      <w:r/>
      <w:bookmarkEnd w:id="53"/>
      <w:r>
        <w:rPr>
          <w:rFonts w:hint="eastAsia" w:ascii="宋体" w:hAnsi="宋体" w:eastAsia="宋体" w:cs="宋体"/>
          <w:b/>
          <w:color w:val="auto"/>
          <w:sz w:val="21"/>
          <w:szCs w:val="21"/>
          <w:highlight w:val="none"/>
        </w:rPr>
        <w:t xml:space="preserve">的拒收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54" w:name="_Toc16938544"/>
      <w:r/>
      <w:bookmarkStart w:id="55" w:name="_Toc513029228"/>
      <w:r/>
      <w:bookmarkStart w:id="56" w:name="_Toc20823300"/>
      <w:r>
        <w:rPr>
          <w:rFonts w:hint="eastAsia" w:ascii="宋体" w:hAnsi="宋体" w:eastAsia="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、投标文件的撤回和修改</w:t>
      </w:r>
      <w:bookmarkEnd w:id="54"/>
      <w:r/>
      <w:bookmarkEnd w:id="55"/>
      <w:r/>
      <w:bookmarkEnd w:id="56"/>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.1 投标文件的撤回</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.1.1 电子投标文件的撤回</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.1.2 </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撤回电子投标文件，则认为其不再参与本项目投标活动。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.2 投标文件的修改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.2.1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.2.2在投标截止时间之后，</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不得对其电子投标文件作任何修改。</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.3在投标截止时间至招标文件中规定的投标有效期满之间的这段时间内，</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不得撤回其投标。</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、开标与评标</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、开标</w:t>
      </w:r>
      <w:r/>
    </w:p>
    <w:p>
      <w:pPr>
        <w:ind w:left="0" w:right="0" w:firstLine="42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.1代理机构将在招标公告中规定的时间和地点组织公开开标。</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应当按照《操作手册》规定，参加开标活动和在苏采云系统规定的时间内对投标文件进行解密。</w:t>
      </w:r>
      <w:r/>
    </w:p>
    <w:p>
      <w:pPr>
        <w:ind w:left="0" w:right="0" w:firstLine="422"/>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.2开标仪式由代理机构组织。苏采云系统将自动对项目进行开标，并展示各</w:t>
      </w:r>
      <w:r>
        <w:rPr>
          <w:rFonts w:hint="eastAsia" w:ascii="宋体" w:hAnsi="宋体" w:cs="宋体"/>
          <w:b/>
          <w:color w:val="auto"/>
          <w:sz w:val="21"/>
          <w:szCs w:val="21"/>
          <w:highlight w:val="none"/>
          <w:lang w:eastAsia="zh-CN"/>
        </w:rPr>
        <w:t xml:space="preserve">供应商</w:t>
      </w:r>
      <w:r>
        <w:rPr>
          <w:rFonts w:hint="eastAsia" w:ascii="宋体" w:hAnsi="宋体" w:eastAsia="宋体" w:cs="宋体"/>
          <w:b/>
          <w:color w:val="auto"/>
          <w:sz w:val="21"/>
          <w:szCs w:val="21"/>
          <w:highlight w:val="none"/>
        </w:rPr>
        <w:t xml:space="preserve">名称和投标价格。</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20</w:t>
      </w: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20</w:t>
      </w: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21</w:t>
      </w:r>
      <w:r>
        <w:rPr>
          <w:rFonts w:hint="eastAsia" w:ascii="宋体" w:hAnsi="宋体" w:eastAsia="宋体" w:cs="宋体"/>
          <w:b/>
          <w:color w:val="auto"/>
          <w:sz w:val="21"/>
          <w:szCs w:val="21"/>
          <w:highlight w:val="none"/>
        </w:rPr>
        <w:t xml:space="preserve">、评标委员会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.3评委会独立工作，负责评审所有投标文件并确定中标候选人。</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.1凡是与审查、澄清、评价和比较投标的有关资料以及授标建议等，采购人、评委、</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均不得向</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或与评标无关的其他人员透露。</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.2在评标过程中，</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.3在评标期间，代理机构将设专门工作人员与</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联系。</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.4代理机构和评委会不向未中标的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.5采用综合评分法的项目，未中标的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可于中标结果公告期限届满之日起通过“政府采购管理交易系统（苏采云）”查看自己的评审得分及排序情况。</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、投标文件的澄清</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23</w:t>
      </w:r>
      <w:r>
        <w:rPr>
          <w:rFonts w:hint="eastAsia" w:ascii="宋体" w:hAnsi="宋体" w:eastAsia="宋体" w:cs="宋体"/>
          <w:bCs/>
          <w:color w:val="auto"/>
          <w:sz w:val="21"/>
          <w:szCs w:val="21"/>
          <w:highlight w:val="none"/>
        </w:rPr>
        <w:t xml:space="preserve">.1评标期间，评委会对投标文件中含义不明确、同类问题表述不一致或者有明显文字和计算错误的内容，有权要求</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作出必要的澄清、说明或者补正。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评委会并非对每个</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都做澄清要求。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23.2需要供应商进行澄清、说明和补正的，评委会将通过苏采云系统向供应商发出“澄清要求函”，接到“澄清要求函”的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23.3接到评委会澄清、说明和补正要求的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如未按规定做出澄清、说明和补正，其风险由</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自行承担。</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24</w:t>
      </w:r>
      <w:r>
        <w:rPr>
          <w:rFonts w:hint="eastAsia" w:ascii="宋体" w:hAnsi="宋体" w:eastAsia="宋体" w:cs="宋体"/>
          <w:b/>
          <w:color w:val="auto"/>
          <w:sz w:val="21"/>
          <w:szCs w:val="21"/>
          <w:highlight w:val="none"/>
        </w:rPr>
        <w:t xml:space="preserve">、对投标文件的初审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24.1投标文件初审分为资格审查和符合性审查。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采购人在进行资格性审查的同时，将在“信用中国”网站（www.creditchina.gov.cn）和“中国政府采购网"(www.ccgp.gov.cn)查询</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的信用记录，以确定</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是否具备投标资格,查询结果留存并归档。</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24.1.3 未通过资格审查或符合性审查的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将在苏采云系统中告知未通过资格审查或符合性审查的原因，评审结束后，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将不再告知未通过资格审查或符合性审查的原因。</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所谓重大偏离或保留是指与招标文件规定的实质性要求存在负偏离，或者在实质上与招标文件不一致，而且限制了合同中买方（采购人）的权利或</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的义务，纠正这些偏离或保留将会对其他实质性响应要求的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的竞争地位产生不公正的影响。是否属于重大偏离由评委会按照少数服从多数的原则作出结论。评委决定投标文件的响应性只根据投标文件本身的内容，而不寻求外部的证据。</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24.3如果投标文件实质上没有响应招标文件的要求，评委会将予以拒绝，</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不得通过修改或撤销不合要求的偏离或保留而使其投标成为实质性响应的投标。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24.4评委会将对确定为实质性响应的投标进行进一步审核，是否有计算上或累加上的算术错误，修正错误的原则如下：</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（2）大写金额和小写金额不一致的，以大写金额为准。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同时出现两种以上错误的，按照前款规定的顺序修正。</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24.5评委会将按上述修正错误的方法调整投标文件中的投标报价，并通过苏采云系统告知</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，调整后的价格应对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具有约束力。如果</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不接受修正后的价格，则其投标将被拒绝。</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24.6</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在开、评标全过程中应保持通讯畅通，及时登录苏采云系统查阅、答复相关信息，并安排专人与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及评委会联系。</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25、无效投标条款和废标条款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25.1无效投标条款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在苏采云系统规定的时间内未成功解密电子投标文件的。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25.1.2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未按照招标文件要求上传电子投标文件的。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25.1.3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同一采购包提交两个（含两个）以上不同的投标报价的。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25.1.4</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不具备招标文件中规定资格要求的。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25.1.5</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的报价超过了采购预算或最高限价的。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25.1.6未通过符合性审查的。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25.1.7不符合招标文件中规定的实质性要求的（本招标文件中斜体且有下划线部分为实质性要求）</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25.1.8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被 “信用中国”网站（www.creditchina.gov.cn）列入失信被执行人或重大税收违法案件当事人名单或政府采购严重失信行为记录名单，“中国政府采购网"(www.ccgp.gov.cn)列入政府采购严重失信行为记录名单，或查询“信用中国”网站后发现</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存在其他不符合《中华人民共和国政府采购法》第二十二条规定条件的信用记录。</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25.1.9 投标文件含有采购人不能接受的附加条件的。</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 异常低价投标（响应）</w:t>
      </w:r>
      <w:r/>
    </w:p>
    <w:p>
      <w:pPr>
        <w:ind w:left="0" w:right="0" w:firstLine="422"/>
        <w:jc w:val="both"/>
        <w:keepLines w:val="0"/>
        <w:keepNext w:val="0"/>
        <w:pageBreakBefore w:val="0"/>
        <w:spacing w:line="360" w:lineRule="auto"/>
        <w:shd w:val="clear" w:color="ffffff" w:fill="ffffff"/>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25.1.10.1投标（响应）报价低于全部通过符合性审查供应商投标（响应）报价平均值</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%的，即投标（响应）报价&lt;全部通过符合性审查供应商投标（响应）报价平均值×</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ind w:left="0" w:right="0" w:firstLine="422"/>
        <w:jc w:val="both"/>
        <w:keepLines w:val="0"/>
        <w:keepNext w:val="0"/>
        <w:pageBreakBefore w:val="0"/>
        <w:spacing w:line="360" w:lineRule="auto"/>
        <w:shd w:val="clear" w:color="ffffff" w:fill="ffffff"/>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25.1.10.2投标（响应）报价低于通过符合性审查的次低报价供应商投标（响应）报价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%的，即投标（响应）报价&lt;通过符合性审查的次低报价供应商投标（响应）报价×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25.1.10.3投标（响应）报价低于采购项目最高限价 </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的，即投标（响应）报价&lt;采购项目最高限价×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25.1.10.4评审委员会认定的供应商报价过低、有可能影响产品质量或者不能诚信履约的其他情形。</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25.1.11 投标文件未按照招标文件要求加盖CA电子公章的。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25.1.12其他法律、法规及本招标文件规定的属无效投标的情形。</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25.2废标条款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25.2.1符合专业条件的供应商或者对招标文件作实质响应的供应商不足三家的。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25.2.2出现影响采购公正的违法、违规行为的。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25.2.3因重大变故，采购任务取消的。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25.2.4评委会认定招标文件存在歧义、重大缺陷导致评审工作无法进行。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25.2.5 因苏采云系统系统故障原因造成开标不成功的。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 投标截止时间结束后参加投标的供应商不足三家的处理：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25.3.1如出现投标截止时间结束后参加投标的供应商或者在评标期间对招标文件做出实质响应的供应商不足三家情况，按政府采购相关规定执行。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、定标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26、确定中标单位</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26.1中标候选人的选取原则和数量见招标文件第五章规定。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26.2 采购人应根据评委会推荐的中标候选人确定</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26.3 </w:t>
      </w:r>
      <w:r>
        <w:rPr>
          <w:rFonts w:hint="eastAsia" w:ascii="宋体" w:hAnsi="宋体" w:eastAsia="宋体" w:cs="宋体"/>
          <w:bCs/>
          <w:color w:val="auto"/>
          <w:szCs w:val="21"/>
          <w:highlight w:val="none"/>
        </w:rPr>
        <w:t xml:space="preserve">代理机构</w:t>
      </w:r>
      <w:r>
        <w:rPr>
          <w:rFonts w:hint="eastAsia" w:ascii="宋体" w:hAnsi="宋体" w:eastAsia="宋体" w:cs="宋体"/>
          <w:color w:val="auto"/>
          <w:sz w:val="21"/>
          <w:szCs w:val="21"/>
          <w:highlight w:val="none"/>
        </w:rPr>
        <w:t xml:space="preserve">将在</w:t>
      </w:r>
      <w:r>
        <w:rPr>
          <w:rFonts w:hint="eastAsia" w:ascii="宋体" w:hAnsi="宋体" w:eastAsia="宋体" w:cs="宋体"/>
          <w:color w:val="auto"/>
          <w:sz w:val="21"/>
          <w:szCs w:val="21"/>
          <w:highlight w:val="none"/>
          <w:u w:val="none"/>
        </w:rPr>
        <w:t xml:space="preserve">“江苏政府采购网、扬州市政府采购网</w:t>
      </w:r>
      <w:r>
        <w:rPr>
          <w:rFonts w:hint="eastAsia" w:ascii="宋体" w:hAnsi="宋体" w:eastAsia="宋体" w:cs="宋体"/>
          <w:color w:val="auto"/>
          <w:sz w:val="21"/>
          <w:szCs w:val="21"/>
          <w:highlight w:val="none"/>
          <w:u w:val="none"/>
          <w:lang w:eastAsia="zh-CN"/>
        </w:rPr>
        <w:t xml:space="preserve">、扬州市广陵区政府采购网”</w:t>
      </w:r>
      <w:r>
        <w:rPr>
          <w:rFonts w:hint="eastAsia" w:ascii="宋体" w:hAnsi="宋体" w:eastAsia="宋体" w:cs="宋体"/>
          <w:color w:val="auto"/>
          <w:sz w:val="21"/>
          <w:szCs w:val="21"/>
          <w:highlight w:val="none"/>
        </w:rPr>
        <w:t xml:space="preserve">发布中标公告，公告期限为1个工作日。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 若有充分证据证明，</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出现下列情况之一的，一经查实，将被取消中标资格：</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26.4.1提供虚假材料谋取中标的。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26.4.2向采购人、</w:t>
      </w:r>
      <w:r>
        <w:rPr>
          <w:rFonts w:hint="eastAsia" w:ascii="宋体" w:hAnsi="宋体" w:eastAsia="宋体" w:cs="宋体"/>
          <w:bCs/>
          <w:color w:val="auto"/>
          <w:szCs w:val="21"/>
          <w:highlight w:val="none"/>
        </w:rPr>
        <w:t xml:space="preserve">代理机构</w:t>
      </w:r>
      <w:r>
        <w:rPr>
          <w:rFonts w:hint="eastAsia" w:ascii="宋体" w:hAnsi="宋体" w:eastAsia="宋体" w:cs="宋体"/>
          <w:color w:val="auto"/>
          <w:sz w:val="21"/>
          <w:szCs w:val="21"/>
          <w:highlight w:val="none"/>
        </w:rPr>
        <w:t xml:space="preserve">行贿或者提供其他不正当利益的。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26.4.3属于本文件规定的无效条件，但在评标过程中又未被评委会发现的。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26.4.4与采购人或者其他供应商恶意串通的。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26.4.5采取不正当手段诋毁、排挤其他供应商的。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 有下列情形之一的，视为</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串通投标，投标无效：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26.5.1不同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的投标文件由同一单位或者个人编制。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经查实，不同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的电子投标文件出自同一台电脑的：不同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的标书制作工具客户端标识码存在一致的；不同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从同一互联网协议地址上传投标文件的。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26.5.2不同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委托同一单位或者个人办理投标事宜。</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26.5.3 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的投标文件载明的项目管理成员或者联系人员为同一人。</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26.5.4不同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的投标文件异常一致或者投标报价呈规律性差异。</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27、质疑处理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27.1 提出质疑的供应商应当是参与所质疑项目采购活动的供应商。潜在供应商依法获取其可质疑的采购文件的，可以对采购文件提出质疑。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bCs/>
          <w:color w:val="auto"/>
          <w:szCs w:val="21"/>
          <w:highlight w:val="none"/>
        </w:rPr>
        <w:t xml:space="preserve">代理机构</w:t>
      </w:r>
      <w:r>
        <w:rPr>
          <w:rFonts w:hint="eastAsia" w:ascii="宋体" w:hAnsi="宋体" w:eastAsia="宋体" w:cs="宋体"/>
          <w:color w:val="auto"/>
          <w:sz w:val="21"/>
          <w:szCs w:val="21"/>
          <w:highlight w:val="none"/>
        </w:rPr>
        <w:t xml:space="preserve">或采购人提出质疑。上述应知其权益受到损害之日，是指：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27.2.1对可以质疑的采购文件提出质疑的，为收到采购文件之日或者采购文件公告期限届满之日；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27.2.2对采购过程提出质疑的，为各采购程序环节结束之日；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27.2.3对中标或者成交结果提出质疑的，为中标或者成交结果公告期限届满之日。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、采购人将只对供应商第一次质疑作出答复。</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提出，由</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负责答复。</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采购人及</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只接收以纸质原件形式送达的质疑,建议供应商尽量通过邮寄方式提交质疑（采购人和</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不接受无快递运单号的快递）。</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质疑接收人及联系方式见招标文件第一章。</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 以下情形的质疑不予受理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27.5.1 内容不符合《政府采购质疑和投诉办法》第十二条规定的质疑。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27.5.2 超出政府采购法定期限的质疑。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27.5.3 以传真、电子邮件等方式递交的非原件形式的质疑。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27.5.4未参加投标活动的供应商或在投标活动中自身权益未受到损害的供应商所提出的质疑。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27.5.5供应商组成联合体参加投标，联合体中任何一方或多方未按要求签字、盖章、加盖公章的质疑。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28、中标通知书</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28.l中标结果确定后，</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将向</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发出中标通知书。请</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自行承担。</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28.2中标通知书将是合同的一个组成部分。对采购人和</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均具有法律效力。中标通知书发出后，采购人改变中标结果的，或者</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放弃中标项目的，应当依法承担法律责任。</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、授予合同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29、签订合同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29.l</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应当在中标通知书发出之日起三十日内，按照招标文件确定的事项与采购人签订政府采购合同。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29.2招标文件、</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的投标文件及招标过程中有关澄清、承诺文件均应作为合同附件。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29.3 签订合同后，</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不得将合同标的进行转包。未经采购人同意，</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也不得采用分包的形式履行合同，否则采购人有权终止合同。转包或分包造成采购人损失的，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应承担相应赔偿责任。</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30、政府采购履约资金扶持政策</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可凭政府采购合同办理融资贷款，详情请见江苏政府采购网“政采贷”专栏。</w:t>
      </w:r>
      <w:r/>
    </w:p>
    <w:p>
      <w:pPr>
        <w:ind w:left="0" w:right="0" w:firstLine="0"/>
        <w:jc w:val="both"/>
        <w:spacing w:before="240" w:after="24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erReference w:type="default" r:id="rId18"/>
          <w:footerReference w:type="first" r:id="rId19"/>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color w:val="auto"/>
          <w:sz w:val="44"/>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2"/>
        <w:rPr>
          <w:rFonts w:hint="eastAsia" w:ascii="宋体" w:hAnsi="宋体" w:eastAsia="宋体" w:cs="宋体"/>
          <w:color w:val="auto"/>
          <w:highlight w:val="none"/>
        </w:rPr>
      </w:pPr>
      <w:r/>
      <w:bookmarkStart w:id="57" w:name="_Toc27038"/>
      <w:r/>
      <w:bookmarkStart w:id="58" w:name="_Toc29478"/>
      <w:r>
        <w:rPr>
          <w:rFonts w:hint="eastAsia" w:ascii="宋体" w:hAnsi="宋体" w:eastAsia="宋体" w:cs="宋体"/>
          <w:color w:val="auto"/>
          <w:highlight w:val="none"/>
        </w:rPr>
        <w:t xml:space="preserve">第三章</w:t>
      </w:r>
      <w:bookmarkEnd w:id="39"/>
      <w:r/>
      <w:bookmarkEnd w:id="40"/>
      <w:r/>
      <w:bookmarkEnd w:id="41"/>
      <w:r/>
      <w:bookmarkEnd w:id="42"/>
      <w:r/>
      <w:bookmarkEnd w:id="43"/>
      <w:r/>
      <w:bookmarkEnd w:id="57"/>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合同文本</w:t>
      </w:r>
      <w:bookmarkEnd w:id="58"/>
      <w:r/>
      <w:r/>
    </w:p>
    <w:p>
      <w:pPr>
        <w:ind w:left="0" w:right="0" w:firstLine="0"/>
        <w:jc w:val="center"/>
        <w:keepLines w:val="0"/>
        <w:keepNext w:val="0"/>
        <w:pageBreakBefore w:val="0"/>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59" w:name="_Toc513029243"/>
      <w:r/>
      <w:bookmarkStart w:id="60" w:name="_Toc20823315"/>
      <w:r/>
      <w:bookmarkStart w:id="61" w:name="_Toc16938559"/>
      <w:r>
        <w:rPr>
          <w:rFonts w:hint="eastAsia" w:ascii="宋体" w:hAnsi="宋体" w:eastAsia="宋体" w:cs="宋体"/>
          <w:b/>
          <w:color w:val="auto"/>
          <w:sz w:val="30"/>
          <w:highlight w:val="none"/>
        </w:rPr>
        <w:t xml:space="preserve">江苏省政府采购合同（服务）（合同编号）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甲方：（买方/采购人）_________</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）_________</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val="en-US" w:eastAsia="zh-CN"/>
        </w:rPr>
        <w:t xml:space="preserve">江苏远锐工程管理咨询有限公司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1.6履行方式：</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元）人民币或其他币种。</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三、技术资料</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四、知识产权</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五、产权担保</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6.2.5履约保证金逾期退还的违约责任：无</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中标价即合同价，服务费按季度支付。合同签订后，甲方收到乙方开具发票15日内支付合同总价</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%的预付款，剩余合同金额均摊到每个季度进行结算。第二季度起始甲方收到乙方开具发票15日内支付上一季度服务费，每季度的考核费用在本季度服务费中扣除，结算时乙方提供正式发票。</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份，具有同等法律效力，甲方、乙方各</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bl>
      <w:tblPr>
        <w:tblStyle w:val="12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联系电话：</w:t>
            </w:r>
            <w:r/>
          </w:p>
        </w:tc>
      </w:tr>
    </w:tbl>
    <w:p>
      <w:pPr>
        <w:ind w:left="0" w:righ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firstLine="420"/>
        <w:jc w:val="righ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                                     签订日期：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bookmarkEnd w:id="59"/>
      <w:r/>
      <w:bookmarkEnd w:id="60"/>
      <w:r/>
      <w:bookmarkEnd w:id="61"/>
      <w:r/>
      <w:r/>
    </w:p>
    <w:p>
      <w:pPr>
        <w:pStyle w:val="1202"/>
        <w:rPr>
          <w:rFonts w:hint="eastAsia"/>
          <w:color w:val="auto"/>
          <w:highlight w:val="none"/>
        </w:rPr>
      </w:pPr>
      <w:r/>
      <w:bookmarkStart w:id="62" w:name="_Hlt16619350"/>
      <w:r/>
      <w:bookmarkStart w:id="63" w:name="_Toc120614244"/>
      <w:r/>
      <w:bookmarkStart w:id="64" w:name="_Toc20823346"/>
      <w:r/>
      <w:bookmarkStart w:id="65" w:name="_Toc16938590"/>
      <w:r/>
      <w:bookmarkStart w:id="66" w:name="_Toc462564139"/>
      <w:r/>
      <w:bookmarkStart w:id="67" w:name="_Toc479757211"/>
      <w:r>
        <w:rPr>
          <w:rFonts w:hint="eastAsia" w:ascii="宋体" w:hAnsi="宋体" w:eastAsia="宋体" w:cs="宋体"/>
          <w:bCs/>
          <w:color w:val="auto"/>
          <w:highlight w:val="none"/>
        </w:rPr>
        <w:br w:type="page" w:clear="all"/>
      </w:r>
      <w:bookmarkStart w:id="68" w:name="_Toc25422"/>
      <w:r/>
      <w:bookmarkStart w:id="69" w:name="_Toc7233"/>
      <w:r>
        <w:rPr>
          <w:rFonts w:hint="eastAsia"/>
          <w:color w:val="auto"/>
          <w:highlight w:val="none"/>
        </w:rPr>
        <w:t xml:space="preserve">第</w:t>
      </w:r>
      <w:bookmarkEnd w:id="62"/>
      <w:r>
        <w:rPr>
          <w:rFonts w:hint="eastAsia"/>
          <w:color w:val="auto"/>
          <w:highlight w:val="none"/>
        </w:rPr>
        <w:t xml:space="preserve">四章 </w:t>
      </w:r>
      <w:r>
        <w:rPr>
          <w:rFonts w:hint="eastAsia"/>
          <w:color w:val="auto"/>
          <w:highlight w:val="none"/>
          <w:lang w:val="en-US" w:eastAsia="zh-CN"/>
        </w:rPr>
        <w:t xml:space="preserve"> </w:t>
      </w:r>
      <w:r>
        <w:rPr>
          <w:rFonts w:hint="eastAsia"/>
          <w:color w:val="auto"/>
          <w:highlight w:val="none"/>
        </w:rPr>
        <w:t xml:space="preserve">采购需求</w:t>
      </w:r>
      <w:bookmarkEnd w:id="63"/>
      <w:r/>
      <w:bookmarkEnd w:id="64"/>
      <w:r/>
      <w:bookmarkEnd w:id="65"/>
      <w:r/>
      <w:bookmarkEnd w:id="68"/>
      <w:r/>
      <w:bookmarkEnd w:id="69"/>
      <w:r/>
      <w:r/>
    </w:p>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70" w:name="_Toc120614281"/>
      <w:r/>
      <w:bookmarkStart w:id="71" w:name="_Toc26554093"/>
      <w:r/>
      <w:bookmarkStart w:id="72" w:name="_Toc49090575"/>
      <w:r>
        <w:rPr>
          <w:rFonts w:hint="eastAsia" w:ascii="宋体" w:hAnsi="宋体" w:cs="宋体"/>
          <w:b/>
          <w:color w:val="auto"/>
          <w:sz w:val="24"/>
          <w:szCs w:val="24"/>
          <w:highlight w:val="none"/>
          <w:lang w:val="en-US" w:eastAsia="zh-CN"/>
        </w:rPr>
        <w:t xml:space="preserve">一、项目属性：服务类项目</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3.采购标的清单</w:t>
      </w:r>
      <w:r/>
    </w:p>
    <w:tbl>
      <w:tblPr>
        <w:tblStyle w:val="12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3810"/>
        <w:gridCol w:w="35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right="0" w:firstLine="42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right="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2026年广陵区公园保安、公园保洁、厕所保洁服务项目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42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其他未列明行业</w:t>
            </w:r>
            <w:r/>
          </w:p>
        </w:tc>
      </w:tr>
    </w:tbl>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二、商务要求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项目名称：2026年广陵区公园保安、公园保洁、厕所保洁服务项目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val="en-US" w:eastAsia="zh-CN"/>
        </w:rPr>
        <w:t xml:space="preserve">588</w:t>
      </w:r>
      <w:r>
        <w:rPr>
          <w:rFonts w:hint="eastAsia" w:ascii="宋体" w:hAnsi="宋体" w:eastAsia="宋体" w:cs="宋体"/>
          <w:color w:val="auto"/>
          <w:sz w:val="21"/>
          <w:szCs w:val="21"/>
          <w:highlight w:val="none"/>
          <w:lang w:val="en-US" w:eastAsia="zh-CN"/>
        </w:rPr>
        <w:t xml:space="preserve">万元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最高限价：587.96万元，报价超过最高限价的为无效报价，按照无效响应处理。</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合同履行期限：本项目服务期限为</w:t>
      </w:r>
      <w:r>
        <w:rPr>
          <w:rFonts w:hint="eastAsia" w:ascii="宋体" w:hAnsi="宋体" w:cs="宋体"/>
          <w:b w:val="0"/>
          <w:bCs w:val="0"/>
          <w:color w:val="auto"/>
          <w:sz w:val="21"/>
          <w:szCs w:val="21"/>
          <w:highlight w:val="none"/>
          <w:lang w:val="en-US" w:eastAsia="zh-CN" w:bidi="ar-SA"/>
        </w:rPr>
        <w:t xml:space="preserve">一</w:t>
      </w:r>
      <w:r>
        <w:rPr>
          <w:rFonts w:hint="eastAsia" w:ascii="宋体" w:hAnsi="宋体" w:eastAsia="宋体" w:cs="宋体"/>
          <w:b w:val="0"/>
          <w:bCs w:val="0"/>
          <w:color w:val="auto"/>
          <w:sz w:val="21"/>
          <w:szCs w:val="21"/>
          <w:highlight w:val="none"/>
          <w:lang w:val="en-US" w:eastAsia="zh-CN" w:bidi="ar-SA"/>
        </w:rPr>
        <w:t xml:space="preserve">年，起始日期以合同约定为准</w:t>
      </w:r>
      <w:r>
        <w:rPr>
          <w:rFonts w:hint="eastAsia" w:ascii="宋体" w:hAnsi="宋体" w:cs="宋体"/>
          <w:b w:val="0"/>
          <w:bCs w:val="0"/>
          <w:color w:val="auto"/>
          <w:sz w:val="21"/>
          <w:szCs w:val="21"/>
          <w:highlight w:val="none"/>
          <w:lang w:val="en-US" w:eastAsia="zh-CN" w:bidi="ar-SA"/>
        </w:rPr>
        <w:t xml:space="preserve">。</w:t>
      </w:r>
      <w:r/>
    </w:p>
    <w:p>
      <w:pPr>
        <w:ind w:left="0" w:right="0" w:firstLine="420"/>
        <w:jc w:val="both"/>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SA"/>
        </w:rPr>
        <w:t xml:space="preserve">付款方式：</w:t>
      </w:r>
      <w:r>
        <w:rPr>
          <w:rFonts w:hint="eastAsia" w:ascii="宋体" w:hAnsi="宋体" w:eastAsia="宋体" w:cs="宋体"/>
          <w:b w:val="0"/>
          <w:bCs w:val="0"/>
          <w:color w:val="auto"/>
          <w:sz w:val="21"/>
          <w:szCs w:val="21"/>
          <w:highlight w:val="none"/>
        </w:rPr>
        <w:t xml:space="preserve">中标价即合同价，服务费按季度支付。合同签订后，甲方收到乙方开具发票15日内支付合同总价</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%的预付款，剩余合同金额均摊到每个季度进行结算。第二季度起始甲方收到乙方开具发票15日内支付上一季度服务费，每季度的考核费用在本季度服务费中扣除，结算时乙方提供正式发票。</w:t>
      </w:r>
      <w:r/>
    </w:p>
    <w:p>
      <w:pPr>
        <w:numPr>
          <w:ilvl w:val="0"/>
          <w:numId w:val="0"/>
        </w:num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服务内容</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本项目为2026年广陵区公园保安、公园保洁、厕所保洁服务项目，服务面积约为1008800平方米,其中包含7</w:t>
      </w:r>
      <w:r>
        <w:rPr>
          <w:rFonts w:hint="eastAsia" w:ascii="宋体" w:hAnsi="宋体" w:eastAsia="宋体" w:cs="宋体"/>
          <w:b w:val="0"/>
          <w:bCs w:val="0"/>
          <w:color w:val="auto"/>
          <w:sz w:val="21"/>
          <w:szCs w:val="21"/>
          <w:highlight w:val="none"/>
          <w:lang w:val="en-US" w:eastAsia="zh-CN" w:bidi="ar-SA"/>
        </w:rPr>
        <w:t xml:space="preserve">9个公园、26 个公共厕所。本次招标范围中79个公园为附中北口袋公园（淮海路与盐阜路交叉口西南角）、红园对面口袋公园（东岳巷与盐阜路交叉口东南角）、育才小学东侧口袋公园（南通东路北侧，育才小学东侧）、1912 北侧口袋公园（长城花园东侧，泰州路西侧，1912 北侧）、东方小商品市场东侧口袋公园（毓贤街南侧，东方小商品市场东侧）、正谊巷口袋公园（四望亭东北、广陵区文化局北）、沙施河边口袋公园（沙施河边）、个园北门两侧口袋公园（个园北门两侧）、恩寺巷西北角口袋公园（泰州路与恩寺巷交叉口西北角）、沙北三村门口口袋</w:t>
      </w:r>
      <w:r>
        <w:rPr>
          <w:rFonts w:hint="eastAsia" w:ascii="宋体" w:hAnsi="宋体" w:eastAsia="宋体" w:cs="宋体"/>
          <w:b w:val="0"/>
          <w:bCs w:val="0"/>
          <w:color w:val="auto"/>
          <w:sz w:val="21"/>
          <w:szCs w:val="21"/>
          <w:highlight w:val="none"/>
          <w:lang w:val="en-US" w:eastAsia="zh-CN" w:bidi="ar-SA"/>
        </w:rPr>
        <w:t xml:space="preserve">公园（沙北三村门口）、老市政府西南角口袋公园（老市政府西南角）、通扬桥西南侧、西北侧口袋公园（通扬桥西南侧）、东岳大酒店口袋公园（东岳巷东岳大酒店）、江阳路渡江南路口袋公园（江阳路与渡江南路交叉口西南角）、扬大原商学院门口口袋公园（盐阜东路扬州大学原商学院门口两侧）、龙头关社区北侧口袋公园（龙头关社区北侧，南门新村南侧）、石塔菜场北口袋公园（四望亭路与二道河交叉口东南角）、珍园北口袋公园（十巷与秦淮河沿河道路交叉口西北角）、阮家大院对面口袋公园（大东门桥南阮家大院 2 号对面）、仙鹤寺南口袋公园（仙鹤寺南八</w:t>
      </w:r>
      <w:r>
        <w:rPr>
          <w:rFonts w:hint="eastAsia" w:ascii="宋体" w:hAnsi="宋体" w:eastAsia="宋体" w:cs="宋体"/>
          <w:b w:val="0"/>
          <w:bCs w:val="0"/>
          <w:color w:val="auto"/>
          <w:sz w:val="21"/>
          <w:szCs w:val="21"/>
          <w:highlight w:val="none"/>
          <w:lang w:val="en-US" w:eastAsia="zh-CN" w:bidi="ar-SA"/>
        </w:rPr>
        <w:t xml:space="preserve">分饱饭店东北角）、旌忠巷西门口袋公园（史巷东侧，旌忠巷北）、旌忠巷南侧口袋公园（南门街东侧，旌忠巷南侧）、三义阁 66 号口袋公园（三义阁 66 号）、大准提寺东侧口袋公园（大准提寺东侧，治淮新村西侧）、引市街 113 号口袋公园（引市街 113 号）、河边巷南口袋公园（小秦淮河东侧，河边巷与盐阜路交叉口南 100 米）、南讲经墩沿线口袋公园（小秦淮河东侧，彩衣街南，南讲经墩 7-22 号）、东圈门 44 号对面口袋公园（东圈门与大方巷交叉口西南角）、上新桥东侧口袋公园（小秦淮河上新桥东侧）、彩衣街沿线口袋</w:t>
      </w:r>
      <w:r>
        <w:rPr>
          <w:rFonts w:hint="eastAsia" w:ascii="宋体" w:hAnsi="宋体" w:eastAsia="宋体" w:cs="宋体"/>
          <w:b w:val="0"/>
          <w:bCs w:val="0"/>
          <w:color w:val="auto"/>
          <w:sz w:val="21"/>
          <w:szCs w:val="21"/>
          <w:highlight w:val="none"/>
          <w:lang w:val="en-US" w:eastAsia="zh-CN" w:bidi="ar-SA"/>
        </w:rPr>
        <w:t xml:space="preserve">公园（国庆路西侧，彩衣街沿线）、渡江社区北口袋公园（水仓巷与埂子街交叉口东南角）、徐凝门路南通路口袋公园（徐凝门路与南通路交叉口西北角）、畅园口袋公园（曾公祠巷西侧畅园）、皮市街芝麻巷口袋公园（皮市街东侧，小芝麻巷与大芝麻巷之间）、汪氏小苑北口袋公园（汪氏小苑北，古井两侧）、大准提寺西侧口袋公园（后安家巷，大准提寺西侧）、石榴巷口袋公园（石榴巷 8、10 号）、祗驼林南侧口袋公园（引市街东侧，祗驼林南侧）、湾子街灯草行口袋公园（湾子街与灯草行交叉口南侧）、三益巷当典巷口袋公园（小秦淮河东侧，三益巷与当典巷之</w:t>
      </w:r>
      <w:r>
        <w:rPr>
          <w:rFonts w:hint="eastAsia" w:ascii="宋体" w:hAnsi="宋体" w:eastAsia="宋体" w:cs="宋体"/>
          <w:b w:val="0"/>
          <w:bCs w:val="0"/>
          <w:color w:val="auto"/>
          <w:sz w:val="21"/>
          <w:szCs w:val="21"/>
          <w:highlight w:val="none"/>
          <w:lang w:val="en-US" w:eastAsia="zh-CN" w:bidi="ar-SA"/>
        </w:rPr>
        <w:t xml:space="preserve">间）、长庆巷北侧口袋公园（小秦淮河东侧，长庆巷北侧）、平价饭店口袋公园（平价饭店旁）、南门遗址口袋公园（南门遗址）、大东门桥南口袋公园（大东门桥南）、五台口袋公园（五台片区）、古运南苑口袋公园（古运南苑）、万福路沿线口袋公园（万福路高职校、加油站、桃李春风）、魏源故居口袋公园（新仓巷南侧魏源故居内）、杨氏住宅门口口袋公园（厨子巷与狮子巷交叉口西南角）、育婴巷口袋公园（育婴巷）、曲江公园（曲江片区）、万福锦园（万福路沿线）、广陵湾公园（广陵湾片区）、施井路公园（施井路沿线）、中海九玺公园（中海九玺小区旁）、大</w:t>
      </w:r>
      <w:r>
        <w:rPr>
          <w:rFonts w:hint="eastAsia" w:ascii="宋体" w:hAnsi="宋体" w:eastAsia="宋体" w:cs="宋体"/>
          <w:b w:val="0"/>
          <w:bCs w:val="0"/>
          <w:color w:val="auto"/>
          <w:sz w:val="21"/>
          <w:szCs w:val="21"/>
          <w:highlight w:val="none"/>
          <w:lang w:val="en-US" w:eastAsia="zh-CN" w:bidi="ar-SA"/>
        </w:rPr>
        <w:t xml:space="preserve">水湾公园（大水湾片区）、文峰小学公园（文峰小学旁）、七里河公园一期（七里河沿线）、文峰寺公园（文峰寺周边）、同心河公园一、二期（同心河沿线）、汤汪花园中心广场公园（汤汪花园区间）、跃进河公园（跃进河沿线）、盐阜路 - 绿杨城郭（盐阜路沿线）、国防主题公园（广陵区内）、树人苑肯特园（树人苑片区）、文峰河公园（文峰河沿线）、北城河（滨河公园）（西起瘦西湖路，东南至古运河）、施井路路口口袋公园（施井路路口江阳路交叉口）、跃进河二期公园（328 国道北侧，跃进河沿线）、影园春公园（荷花池公园以北、苏北医院以西）、江</w:t>
      </w:r>
      <w:r>
        <w:rPr>
          <w:rFonts w:hint="eastAsia" w:ascii="宋体" w:hAnsi="宋体" w:eastAsia="宋体" w:cs="宋体"/>
          <w:b w:val="0"/>
          <w:bCs w:val="0"/>
          <w:color w:val="auto"/>
          <w:sz w:val="21"/>
          <w:szCs w:val="21"/>
          <w:highlight w:val="none"/>
          <w:lang w:val="en-US" w:eastAsia="zh-CN" w:bidi="ar-SA"/>
        </w:rPr>
        <w:t xml:space="preserve">都路口袋公园（江都路与安康路交叉口西南侧）、院士广场（扬州中学东侧，淮海路以东）、小运河路体育休闲公园（连运路-汤汪花园）、小秦淮河园路北段公园（北起盐阜路，南至文昌中路）、江阳路与渡江南路交叉口公园（江阳路与渡江南路交叉口西南角）、古运河东岸公园（古运河东岸沿线）、君悦首府沙施河边公园（君悦首府小区旁，沙施河畔）、联谊路与江阳路交叉口公园。26个公共厕所为曲江公园内4个公厕、同心河公园内4个公厕、国防主题公园内4个公厕、七里河公园内4个公厕、万福路沿线4个公厕、广陵湾公园内4个公厕、跃进河公园内2个公厕。</w:t>
      </w:r>
      <w:r/>
    </w:p>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技术要求</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为实质性要求</w:t>
      </w:r>
      <w:r>
        <w:rPr>
          <w:rFonts w:hint="eastAsia" w:ascii="宋体" w:hAnsi="宋体" w:cs="宋体"/>
          <w:b/>
          <w:bCs/>
          <w:color w:val="auto"/>
          <w:sz w:val="24"/>
          <w:szCs w:val="24"/>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总体服务基本要求</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严格执行保洁时间：周一至周日，上午7：00-11：30 下午13:00-17:00，如遇创建文明城等特殊活动，按实际情况调整。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在规定服务时间内，全体保洁人员着装统一，按切实可行的计划流程实施保洁;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保洁设备、工具、药剂齐全；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保洁工具摆放有序，不随意乱丢。</w:t>
      </w:r>
      <w:r/>
    </w:p>
    <w:p>
      <w:p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（2）保安</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严格执行安保时间：周一至周日，上午6：30-14：30 下午14:30-10:30，如遇创建文明城等特殊活动，按实际情况调整。</w:t>
      </w:r>
      <w:r/>
    </w:p>
    <w:p>
      <w:pPr>
        <w:ind w:left="0" w:firstLine="420"/>
        <w:keepLines w:val="0"/>
        <w:keepNext w:val="0"/>
        <w:pageBreakBefore w:val="0"/>
        <w:widowControl w:val="off"/>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i/>
          <w:iCs/>
          <w:color w:val="auto"/>
          <w:sz w:val="21"/>
          <w:szCs w:val="21"/>
          <w:highlight w:val="none"/>
          <w:u w:val="single"/>
        </w:rPr>
        <w:t xml:space="preserve">各大型公园配备定岗人员，小型社区公园和口袋公园定人每日巡查。</w:t>
      </w:r>
      <w:r>
        <w:rPr>
          <w:rFonts w:hint="eastAsia" w:ascii="宋体" w:hAnsi="宋体" w:eastAsia="宋体" w:cs="宋体"/>
          <w:i/>
          <w:iCs/>
          <w:color w:val="auto"/>
          <w:sz w:val="21"/>
          <w:szCs w:val="21"/>
          <w:highlight w:val="none"/>
          <w:u w:val="single"/>
          <w:lang w:val="en-US" w:eastAsia="zh-CN"/>
        </w:rPr>
        <w:t xml:space="preserve">配置25名保安人员，实行弹性调配、机动巡查，确保安保服务全覆盖达到</w:t>
      </w:r>
      <w:r>
        <w:rPr>
          <w:rFonts w:hint="eastAsia" w:ascii="宋体" w:hAnsi="宋体" w:cs="宋体"/>
          <w:i/>
          <w:iCs/>
          <w:color w:val="auto"/>
          <w:sz w:val="21"/>
          <w:szCs w:val="21"/>
          <w:highlight w:val="none"/>
          <w:u w:val="single"/>
          <w:lang w:val="en-US" w:eastAsia="zh-CN"/>
        </w:rPr>
        <w:t xml:space="preserve">采购人</w:t>
      </w:r>
      <w:r>
        <w:rPr>
          <w:rFonts w:hint="eastAsia" w:ascii="宋体" w:hAnsi="宋体" w:eastAsia="宋体" w:cs="宋体"/>
          <w:i/>
          <w:iCs/>
          <w:color w:val="auto"/>
          <w:sz w:val="21"/>
          <w:szCs w:val="21"/>
          <w:highlight w:val="none"/>
          <w:u w:val="single"/>
          <w:lang w:val="en-US" w:eastAsia="zh-CN"/>
        </w:rPr>
        <w:t xml:space="preserve">要求（提供承诺函）。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在规定服务时间内，全体保</w:t>
      </w:r>
      <w:r>
        <w:rPr>
          <w:rFonts w:hint="eastAsia" w:ascii="宋体" w:hAnsi="宋体" w:eastAsia="宋体" w:cs="宋体"/>
          <w:color w:val="auto"/>
          <w:sz w:val="21"/>
          <w:szCs w:val="21"/>
          <w:highlight w:val="none"/>
          <w:lang w:val="en-US" w:eastAsia="zh-CN"/>
        </w:rPr>
        <w:t xml:space="preserve">安</w:t>
      </w:r>
      <w:r>
        <w:rPr>
          <w:rFonts w:hint="eastAsia" w:ascii="宋体" w:hAnsi="宋体" w:eastAsia="宋体" w:cs="宋体"/>
          <w:color w:val="auto"/>
          <w:sz w:val="21"/>
          <w:szCs w:val="21"/>
          <w:highlight w:val="none"/>
        </w:rPr>
        <w:t xml:space="preserve">人员着装统一，按切实可行的计划流程实施巡查;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从事保安巡查人员应身体健康、无酗酒嗜好、会应用水印相机等智能设备。</w:t>
      </w:r>
      <w:r/>
    </w:p>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（二）公园保洁服务标准及工作要求</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广场、园路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目视地面无垃圾杂物、污渍、积水、泥沙，每天巡回保洁。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人行步道无杂物、烟蒂、垃圾和痰迹，每天巡回保洁。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绿化带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草坪表面、绿篱内无瓜果皮壳、枯叶、饮料盒、纸屑、碎石等杂物，每天巡回保洁。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垃圾桶、垃圾楼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地面干净、干燥无异味，每天 2次保洁。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墙面无污迹、粘附物，每天 2次保洁。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垃圾桶表面无积灰、污迹，冲洗空桶内壁无异味，每天2次保洁。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垃圾桶消杀，每天1次保洁。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假山水池、小品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目视水池清澈见底，池底无沉淀物、杂物，水面无漂浮物、枯树叶，每天巡回保洁。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池边地面无垃圾、杂物、积水， 每天巡回保洁。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小品雕塑无污物 ，每天巡回保洁。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坐凳、健身器材、栏杆、扶手、儿童游乐设施表面无积灰、污渍。每周2次保洁。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宣传栏、阅报栏、布告栏玻璃干净无灰尘，框架干净无污迹。 每周 2 次保洁。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卫生间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地面干燥、干净，无垃圾、杂物， 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墙面、隔屏无污渍，天顶无蜘蛛网，每周 1 次保洁。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小便斗、坐便器无黄渍、污渍，每天巡回保洁、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小便斗、坐便器、洗手盆消杀，每天1次保洁。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空气清新无异味，清洁球、斗香不间断更新，每天巡回保洁。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洗手盆无污迹，每天1 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水面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公园水面无白色垃圾、漂浮物，每天巡回保洁。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垃圾收集、清运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及时清理转运垃圾，不得随意堆放垃圾，清理垃圾均用袋装，不得散落，垃圾清运车应保持干净，做到日产日清。每天1次保洁。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项目物资与设备配置保障要求</w:t>
      </w:r>
      <w:r>
        <w:rPr>
          <w:rFonts w:hint="eastAsia" w:ascii="宋体" w:hAnsi="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垃圾袋3650个</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小便池清洁球1460 个</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盘式蚊香360 个</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消毒液48 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洁厕灵48 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杀虫喷雾剂24 瓶</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公园安保秩序维护工作要求</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巡查标准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定时和不定时到各岗位巡查（每班每岗位不少于4次）。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每日巡查公园厕所设施、桥梁设施、儿童游乐设施、健身器材、篮球场、足球场等设施，发现损坏的及时上报。（每日一次）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辅助保洁、绿化日常巡查工作，发现问题及时上报，上报时备注问题准确地点；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巡查中发现游客有争吵、谩骂、斗殴现象需立即制止；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巡查中发现游客遛狗不牵绳现场，应立即劝导；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巡查中发现公园内有骑车、滑板等现象，应立即制止</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发现公园内有商业行为应立即制止劝离，如：小商贩、地摊；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停车场如车辆停放杂乱、应引导劝导游客有序停放；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晚间巡查注意亮化设施是否正常照明，如有损坏及时上报。</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项目物资与设备配置保障要求</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各大型社区公园配备灭火器各4个；</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配备4个救生圈，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4条安全绳；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配备对讲机6个；</w:t>
      </w:r>
      <w:r/>
    </w:p>
    <w:p>
      <w:pPr>
        <w:ind w:firstLine="422"/>
        <w:rPr>
          <w:rFonts w:hint="default"/>
          <w:b/>
          <w:bCs/>
          <w:color w:val="auto"/>
          <w:highlight w:val="none"/>
          <w:lang w:val="en-US" w:eastAsia="zh-CN"/>
        </w:rPr>
      </w:pPr>
      <w:r>
        <w:rPr>
          <w:rFonts w:hint="eastAsia"/>
          <w:b/>
          <w:bCs/>
          <w:color w:val="auto"/>
          <w:highlight w:val="none"/>
          <w:lang w:val="en-US" w:eastAsia="zh-CN"/>
        </w:rPr>
        <w:t xml:space="preserve">（四）公共类活动现场管理要求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如</w:t>
      </w:r>
      <w:r>
        <w:rPr>
          <w:rFonts w:hint="eastAsia" w:ascii="宋体" w:hAnsi="宋体" w:eastAsia="宋体" w:cs="宋体"/>
          <w:color w:val="auto"/>
          <w:sz w:val="21"/>
          <w:szCs w:val="21"/>
          <w:highlight w:val="none"/>
        </w:rPr>
        <w:t xml:space="preserve">遇文明城市创建、重大节庆、文体演艺、公益宣传、上级视察、节假日人流高峰等各类公共活动，</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须无条件配合</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做好现场绿化保障及现场管理服务</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活动期间安排专人定点值守、巡回保洁，实时清理白色垃圾、果皮纸屑、废弃物，保持活动现场及周边绿化区域干净整洁</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做好活动现场苗木、绿篱、草坪防护，严禁人员踩踏绿地、攀折花木、损坏设施，发现不文明行为及时劝导制止</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活动期间随时做好突发应急准备，遇树木断枝、倒伏、绿植损坏、绿化设施破损等情况，第一时间到场处置、清理、围挡防护，消除安全隐患</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活动结束后第一时间开展现场清场、落叶杂物清运、绿植扶正、场地复原等工作，快速恢复原有绿化景观面貌</w:t>
      </w:r>
      <w:r>
        <w:rPr>
          <w:rFonts w:hint="eastAsia" w:ascii="宋体" w:hAnsi="宋体" w:cs="宋体"/>
          <w:color w:val="auto"/>
          <w:sz w:val="21"/>
          <w:szCs w:val="21"/>
          <w:highlight w:val="none"/>
          <w:lang w:eastAsia="zh-CN"/>
        </w:rPr>
        <w:t xml:space="preserve">。</w:t>
      </w:r>
      <w:r/>
    </w:p>
    <w:p>
      <w:pPr>
        <w:numPr>
          <w:ilvl w:val="0"/>
          <w:numId w:val="0"/>
        </w:numPr>
        <w:rPr>
          <w:rFonts w:hint="default"/>
          <w:b/>
          <w:bCs/>
          <w:color w:val="auto"/>
          <w:highlight w:val="none"/>
          <w:lang w:val="en-US" w:eastAsia="zh-CN"/>
        </w:rPr>
      </w:pPr>
      <w:r>
        <w:rPr>
          <w:rFonts w:hint="eastAsia"/>
          <w:b/>
          <w:bCs/>
          <w:color w:val="auto"/>
          <w:highlight w:val="none"/>
          <w:lang w:val="en-US" w:eastAsia="zh-CN"/>
        </w:rPr>
        <w:t xml:space="preserve">（五）项目内部管理要求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保洁工作有计划流程，留有保洁记录，形成相关台账资料,每半个月例会提交一次；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巡查工作有计划流程，留有巡查记录，形成相关台账资料，每半个月例会提交一次；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建立层级化内部监督体系，实行管理人员日常巡查、不定期抽查、片区互查相结合模式；同步对接</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日常检查考核，对作业不规范、卫生不达标、履职不到位问题建立台账，限时整改、闭环管理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全体作业人员须严格遵守上下班作息、岗位职责、作业规范及文明服务准则，统一着装、规范言行，自觉做到不脱岗、不串岗、不消极怠工，主动维护园区环境卫生与服务形象。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制定常态化培训计划，开展新员工岗前全员培训、在岗人员定期轮训，培训内容包含作业标准、保洁流程、药剂规范使用、安全作业、文明服务、应急处置等，留存培训签到、影像及台账资料备查。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严格执行人员录用标准，入职须开展健康体检；实行日常考勤、月度考核、季度综合考评制度；对屡次违规违纪、服务态度恶劣、考核长期不合格、整改拒不落实的人员，实行待岗再培训、劝退及清退淘汰机制，保障服务队伍整体素质与服务质量。</w:t>
      </w:r>
      <w:r/>
    </w:p>
    <w:p>
      <w:pPr>
        <w:numPr>
          <w:ilvl w:val="0"/>
          <w:numId w:val="0"/>
        </w:numPr>
        <w:rPr>
          <w:rFonts w:hint="default"/>
          <w:b/>
          <w:bCs/>
          <w:color w:val="auto"/>
          <w:highlight w:val="none"/>
          <w:lang w:val="en-US" w:eastAsia="zh-CN"/>
        </w:rPr>
      </w:pPr>
      <w:r>
        <w:rPr>
          <w:rFonts w:hint="eastAsia"/>
          <w:b/>
          <w:bCs/>
          <w:color w:val="auto"/>
          <w:highlight w:val="none"/>
          <w:lang w:val="en-US" w:eastAsia="zh-CN"/>
        </w:rPr>
        <w:t xml:space="preserve">（六）安全、文明作业要求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保洁人员规范作业，工具摆放有序，不随意乱丢，设备药剂齐全规范使用。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全体保洁、保安人员服务时间内着装统一，按计划流程规范作业、文明值守。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保安巡查人员身体健康、无酗酒嗜好，规范使用水印相机等智能设备开展巡查工作。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保安文明劝导游客不牵绳遛狗、园内骑车滑板、占道摆摊等不文明行为，及时制止游客争吵斗殴等不文明现象。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配备灭火器、救生圈、安全绳、对讲机等安全防护及作业物资，保障作业及安全。</w:t>
      </w:r>
      <w:r/>
    </w:p>
    <w:p>
      <w:pPr>
        <w:numPr>
          <w:ilvl w:val="0"/>
          <w:numId w:val="0"/>
        </w:numPr>
        <w:rPr>
          <w:rFonts w:hint="eastAsia"/>
          <w:b/>
          <w:bCs/>
          <w:color w:val="auto"/>
          <w:highlight w:val="none"/>
          <w:lang w:val="en-US" w:eastAsia="zh-CN"/>
        </w:rPr>
      </w:pPr>
      <w:r>
        <w:rPr>
          <w:rFonts w:hint="eastAsia"/>
          <w:b/>
          <w:bCs/>
          <w:color w:val="auto"/>
          <w:highlight w:val="none"/>
          <w:lang w:val="en-US" w:eastAsia="zh-CN"/>
        </w:rPr>
        <w:t xml:space="preserve">（七）安全事故处理要求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保安每日巡查公园厕所、桥梁、游乐、健身、亮化等各类设施，发现损坏、故障及时上报，规避安全事故。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配备救生圈、安全绳，应对公园水域人员落水等突发安全事件处置。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配置足量灭火器，防范公园消防火灾安全隐患。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巡查发现各类安全隐患、设施破损、场地风险问题，第一时间精准定位并上报，提前规避安全事故发生。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员工因工作产生工伤、劳务纠纷，由</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全程负责处理、理赔、安抚，不得推诿至</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，不得聚众上访、闹事影响园区秩序</w:t>
      </w:r>
      <w:r>
        <w:rPr>
          <w:rFonts w:hint="eastAsia" w:ascii="宋体" w:hAnsi="宋体" w:cs="宋体"/>
          <w:color w:val="auto"/>
          <w:sz w:val="21"/>
          <w:szCs w:val="21"/>
          <w:highlight w:val="none"/>
          <w:lang w:eastAsia="zh-CN"/>
        </w:rPr>
        <w:t xml:space="preserve">。</w:t>
      </w:r>
      <w:r/>
    </w:p>
    <w:p>
      <w:pPr>
        <w:numPr>
          <w:ilvl w:val="0"/>
          <w:numId w:val="0"/>
        </w:numPr>
        <w:rPr>
          <w:rFonts w:hint="eastAsia"/>
          <w:b/>
          <w:bCs/>
          <w:color w:val="auto"/>
          <w:highlight w:val="none"/>
          <w:lang w:val="en-US" w:eastAsia="zh-CN"/>
        </w:rPr>
      </w:pPr>
      <w:r>
        <w:rPr>
          <w:rFonts w:hint="eastAsia"/>
          <w:b/>
          <w:bCs/>
          <w:color w:val="auto"/>
          <w:highlight w:val="none"/>
          <w:lang w:val="en-US" w:eastAsia="zh-CN"/>
        </w:rPr>
        <w:t xml:space="preserve">（八）应急预案要求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遇创建文明城、重大节假日、突发专项任务等特殊情况，随时调整保洁、安保服务值守时间，适配应急保障需求。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巡查遇游客争吵、谩骂、斗殴等突发冲突事件，立即现场制止、疏导处置。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发现设施损坏、亮化故障、安全隐患等突发问题，第一时间上报。</w:t>
      </w:r>
      <w:r/>
    </w:p>
    <w:p>
      <w:pPr>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cs="宋体"/>
          <w:b/>
          <w:color w:val="auto"/>
          <w:sz w:val="24"/>
          <w:szCs w:val="24"/>
          <w:highlight w:val="none"/>
          <w:lang w:val="en-US" w:eastAsia="zh-CN"/>
        </w:rPr>
        <w:t xml:space="preserve">考核办法</w:t>
      </w:r>
      <w:r/>
    </w:p>
    <w:p>
      <w:pPr>
        <w:ind w:firstLine="420"/>
        <w:keepLines w:val="0"/>
        <w:keepNext w:val="0"/>
        <w:pageBreakBefore w:val="0"/>
        <w:widowControl w:val="off"/>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公园保安、保洁服务</w:t>
      </w:r>
      <w:r>
        <w:rPr>
          <w:rFonts w:hint="eastAsia" w:ascii="宋体" w:hAnsi="宋体" w:eastAsia="宋体" w:cs="宋体"/>
          <w:color w:val="auto"/>
          <w:sz w:val="21"/>
          <w:szCs w:val="21"/>
          <w:highlight w:val="none"/>
        </w:rPr>
        <w:t xml:space="preserve">参照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广陵区公园物业保洁标准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广陵区公园物业</w:t>
      </w:r>
      <w:r>
        <w:rPr>
          <w:rFonts w:hint="eastAsia" w:ascii="宋体" w:hAnsi="宋体" w:eastAsia="宋体" w:cs="宋体"/>
          <w:color w:val="auto"/>
          <w:sz w:val="21"/>
          <w:szCs w:val="21"/>
          <w:highlight w:val="none"/>
          <w:lang w:val="en-US" w:eastAsia="zh-CN"/>
        </w:rPr>
        <w:t xml:space="preserve">保安</w:t>
      </w:r>
      <w:r>
        <w:rPr>
          <w:rFonts w:hint="eastAsia" w:ascii="宋体" w:hAnsi="宋体" w:eastAsia="宋体" w:cs="宋体"/>
          <w:color w:val="auto"/>
          <w:sz w:val="21"/>
          <w:szCs w:val="21"/>
          <w:highlight w:val="none"/>
        </w:rPr>
        <w:t xml:space="preserve">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考核，每月考核一次，考核及格分为90分，考核不合格的地方一周内整改完成，并提交书面整改结果。每季度考核综合分数低于90分，按</w:t>
      </w:r>
      <w:r>
        <w:rPr>
          <w:rFonts w:hint="eastAsia" w:ascii="宋体" w:hAnsi="宋体" w:eastAsia="宋体" w:cs="宋体"/>
          <w:color w:val="auto"/>
          <w:sz w:val="21"/>
          <w:szCs w:val="21"/>
          <w:highlight w:val="none"/>
          <w:lang w:val="en-US" w:eastAsia="zh-CN"/>
        </w:rPr>
        <w:t xml:space="preserve">每分3000元</w:t>
      </w:r>
      <w:r>
        <w:rPr>
          <w:rFonts w:hint="eastAsia" w:ascii="宋体" w:hAnsi="宋体" w:eastAsia="宋体" w:cs="宋体"/>
          <w:color w:val="auto"/>
          <w:sz w:val="21"/>
          <w:szCs w:val="21"/>
          <w:highlight w:val="none"/>
        </w:rPr>
        <w:t xml:space="preserve">扣除当季度的服务费。连续两个季度考核不及格的解除服务合同。</w:t>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附表1</w:t>
      </w:r>
      <w:r/>
    </w:p>
    <w:p>
      <w:pPr>
        <w:ind w:firstLine="42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公园面积明细</w:t>
      </w:r>
      <w:r/>
    </w:p>
    <w:tbl>
      <w:tblPr>
        <w:tblStyle w:val="12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2"/>
        <w:gridCol w:w="2709"/>
        <w:gridCol w:w="4134"/>
        <w:gridCol w:w="1107"/>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附中北口袋公园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淮海路与盐阜路交叉口西南角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红园对面口袋公园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东岳巷与盐阜路交叉口东南角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育才小学东侧口袋公园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南通东路北侧，育才小学东侧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1912北侧口袋公园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长城花园东侧，泰州路西侧，1912北侧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东方小商品市场东侧口袋公园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毓贤街南侧，东方小商品市场东侧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正谊巷口袋公园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四望亭东北、广陵区文化局北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沙施河边口袋公园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沙施河边</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个园北门两侧口袋公园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个园北门两侧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恩寺巷西北角口袋公园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泰州路与恩寺巷交叉口西北角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沙北三村门口口袋公园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沙北三村门口</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老市政府西南角口袋公园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老市政府西南角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通扬桥西南侧、西北侧口袋公园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通扬桥西南侧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东岳大酒店口袋公园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东岳巷东岳大酒店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江阳路渡江南路口袋公园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江阳路与渡江南路交叉口西南角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扬大原商学院门口口袋公园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盐阜东路扬州大学原商学院门口两侧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龙头关社区北侧口袋公园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龙头关社区北侧，南门新村南侧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石塔菜场北口袋公园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四望亭路与二道河交叉口东南角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珍园北口袋公园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十巷与秦淮河沿河道路交叉口西北角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阮家大院对面口袋公园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大东门桥南（阮家大院 2 号对面）</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仙鹤寺南口袋公园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仙鹤寺南（八分饱饭店东北角）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旌忠巷西门口袋公园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史巷东侧，旌忠巷北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旌忠巷南侧口袋公园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南门街东侧，旌忠巷南侧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三义阁66号口袋公园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三义阁66号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大准提寺东侧口袋公园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大准提寺东侧，治淮新村西侧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引市街113号口袋公园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引市街113号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河边巷南口袋公园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小秦淮河东侧（河边巷与盐阜路交叉口南100米）</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南讲经墩沿线口袋公园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小秦淮河东侧，彩衣街南，南讲经墩 7-22号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东圈门44号对面口袋公园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东圈门与大方巷交叉口西南角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上新桥东侧口袋公园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小秦淮河上新桥东侧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彩衣街沿线口袋公园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国庆路西侧，彩衣街沿线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渡江社区北口袋公园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水仓巷与埂子街交叉口东南角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徐凝门路南通路口袋公园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徐凝门路与南通路交叉口西北角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畅园口袋公园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曾公祠巷西侧（畅园）</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皮市街芝麻巷口袋公园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皮市街东侧，小芝麻巷与大芝麻巷之间</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汪氏小苑北口袋公园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汪氏小苑北，古井两侧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大准提寺西侧口袋公园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后安家巷，大准提寺西侧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石榴巷口袋公园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石榴巷8、10号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祗驼林南侧口袋公园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引市街东侧，祗驼林南侧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269</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湾子街灯草行口袋公园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湾子街与灯草行交叉口南侧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三益巷当典巷口袋公园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小秦淮河东侧，三益巷与当典巷之间</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长庆巷北侧口袋公园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小秦淮河东侧，长庆巷北侧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平价饭店口袋公园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平价饭店旁</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南门遗址口袋公园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南门遗址</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大东门桥南口袋公园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大东门桥南</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五台口袋公园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五台片区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古运南苑口袋公园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古运南苑</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万福路沿线口袋公园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万福路（高职校、加油站、桃李春风）</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魏源故居口袋公园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新仓巷南侧（魏源故居内）</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杨氏住宅门口口袋公园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厨子巷与狮子巷交叉口西南角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育婴巷口袋公园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育婴巷</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曲江公园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曲江片区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万福锦园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广陵湾公园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广陵湾片区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中海九玺公园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中海九玺小区旁</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大水湾公园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大水湾片区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文峰小学公园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文峰小学旁</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七里河公园一期</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七里河沿线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文峰寺公园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文峰寺周边</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同心河公园一、二期</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同心河沿线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汤汪花园中心广场公园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汤汪花园区间</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盐阜路-绿杨城郭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盐阜路沿线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国防主题公园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广陵区内</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树人苑肯特园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树人苑片区</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北城河（滨河公园）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西起瘦西湖路，东南至古运河</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施井路路口口袋公园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施井路路口（江阳路交叉口）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跃进河二期（公园）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 国道北侧，跃进河沿线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影园春公园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荷花池公园以北、苏北医院以西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江都路与安康路交叉口西南侧</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院士广场</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扬州中学东侧，淮海路以东</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小运河路（体育休闲公园）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连运路-汤汪花园</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小秦淮河园路（北段）</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北起盐阜路，南至文昌中路</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江阳路与渡江南路交叉口</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江阳路与渡江南路交叉口西南角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古运河东岸（公园）</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古运河东岸（沿线）</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君悦首府沙施河边</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君悦首府小区旁，沙施河畔</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联谊路与江阳路交叉口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联谊路与江阳路交叉口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1008800</w:t>
            </w:r>
            <w:r/>
          </w:p>
        </w:tc>
      </w:tr>
    </w:tbl>
    <w:p>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附表2</w:t>
      </w:r>
      <w:r/>
    </w:p>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保洁用品及耗材明细</w:t>
      </w:r>
      <w:r/>
    </w:p>
    <w:tbl>
      <w:tblPr>
        <w:tblStyle w:val="1204"/>
        <w:tblW w:w="502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0"/>
        <w:gridCol w:w="1844"/>
        <w:gridCol w:w="786"/>
        <w:gridCol w:w="800"/>
        <w:gridCol w:w="4608"/>
      </w:tblGrid>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3650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一座厕所考虑10个垃圾桶，每日一更换</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小便池清洁球</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1460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一座厕所考虑4个小便斗，每日一更换</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盘式蚊香</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一座厕所每日用量考虑4盘，只考虑夏季3个月使用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消毒液</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一座厕所每月考虑4瓶用量</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一座厕所每月考虑4瓶用量</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杀虫喷雾剂</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6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一座厕所每月考虑2瓶用量</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02"/>
        <w:rPr>
          <w:rFonts w:hint="eastAsia"/>
          <w:color w:val="auto"/>
          <w:highlight w:val="none"/>
        </w:rPr>
      </w:pPr>
      <w:r/>
      <w:bookmarkStart w:id="73" w:name="_Toc5807"/>
      <w:r/>
      <w:bookmarkStart w:id="74" w:name="_Toc32508"/>
      <w:r>
        <w:rPr>
          <w:rFonts w:hint="eastAsia"/>
          <w:color w:val="auto"/>
          <w:highlight w:val="none"/>
        </w:rPr>
        <w:t xml:space="preserve">第五章</w:t>
      </w:r>
      <w:r>
        <w:rPr>
          <w:rFonts w:hint="eastAsia"/>
          <w:color w:val="auto"/>
          <w:highlight w:val="none"/>
          <w:lang w:val="en-US" w:eastAsia="zh-CN"/>
        </w:rPr>
        <w:t xml:space="preserve">  </w:t>
      </w:r>
      <w:r>
        <w:rPr>
          <w:rFonts w:hint="eastAsia"/>
          <w:color w:val="auto"/>
          <w:highlight w:val="none"/>
        </w:rPr>
        <w:t xml:space="preserve">评标方法与评标标准</w:t>
      </w:r>
      <w:bookmarkEnd w:id="73"/>
      <w:r/>
      <w:bookmarkEnd w:id="74"/>
      <w:r/>
      <w:r/>
    </w:p>
    <w:p>
      <w:pPr>
        <w:pStyle w:val="1210"/>
        <w:ind w:left="0" w:firstLine="420"/>
        <w:jc w:val="both"/>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采用综合评分法的，评标结果按评审后得分由高到低顺序排列。得分相同的，按投标报价由低到高顺序排列。得分且投标报价相同的并列。</w:t>
      </w:r>
      <w:r/>
    </w:p>
    <w:tbl>
      <w:tblPr>
        <w:tblStyle w:val="1204"/>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4"/>
        <w:gridCol w:w="2685"/>
        <w:gridCol w:w="4321"/>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414" w:type="dxa"/>
            <w:vAlign w:val="center"/>
            <w:textDirection w:val="lrTb"/>
            <w:noWrap w:val="false"/>
          </w:tcPr>
          <w:p>
            <w:pPr>
              <w:pStyle w:val="121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2685" w:type="dxa"/>
            <w:vAlign w:val="center"/>
            <w:textDirection w:val="lrTb"/>
            <w:noWrap w:val="false"/>
          </w:tcPr>
          <w:p>
            <w:pPr>
              <w:pStyle w:val="121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W w:w="4321" w:type="dxa"/>
            <w:vAlign w:val="center"/>
            <w:textDirection w:val="lrTb"/>
            <w:noWrap w:val="false"/>
          </w:tcPr>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414" w:type="dxa"/>
            <w:vAlign w:val="center"/>
            <w:textDirection w:val="lrTb"/>
            <w:noWrap w:val="false"/>
          </w:tcPr>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 </w:t>
            </w:r>
            <w:r/>
          </w:p>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685" w:type="dxa"/>
            <w:vAlign w:val="center"/>
            <w:textDirection w:val="lrTb"/>
            <w:noWrap w:val="false"/>
          </w:tcPr>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 </w:t>
            </w:r>
            <w:r/>
          </w:p>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21" w:type="dxa"/>
            <w:vAlign w:val="center"/>
            <w:textDirection w:val="lrTb"/>
            <w:noWrap w:val="false"/>
          </w:tcPr>
          <w:p>
            <w:pPr>
              <w:pStyle w:val="1210"/>
              <w:jc w:val="center"/>
              <w:keepLines w:val="0"/>
              <w:keepNext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为中标候选人。</w:t>
            </w:r>
            <w:r/>
          </w:p>
        </w:tc>
      </w:tr>
    </w:tbl>
    <w:p>
      <w:pPr>
        <w:numPr>
          <w:ilvl w:val="0"/>
          <w:numId w:val="0"/>
        </w:numPr>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政府采购政策功能落实</w:t>
      </w:r>
      <w:r/>
    </w:p>
    <w:p>
      <w:pPr>
        <w:numPr>
          <w:ilvl w:val="0"/>
          <w:numId w:val="0"/>
        </w:numPr>
        <w:spacing w:beforeAutospacing="0" w:afterAutospacing="0"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本项目专门面向中小企业采购</w:t>
      </w:r>
      <w:r/>
    </w:p>
    <w:tbl>
      <w:tblPr>
        <w:tblStyle w:val="12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590"/>
        </w:trPr>
        <w:tc>
          <w:tcPr>
            <w:tcW w:w="4261" w:type="dxa"/>
            <w:vAlign w:val="bottom"/>
            <w:textDirection w:val="lrTb"/>
            <w:noWrap w:val="false"/>
          </w:tcPr>
          <w:p>
            <w:pPr>
              <w:pStyle w:val="121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t xml:space="preserve">采购包号</w:t>
            </w:r>
            <w:r/>
          </w:p>
        </w:tc>
        <w:tc>
          <w:tcPr>
            <w:tcW w:w="4261" w:type="dxa"/>
            <w:vAlign w:val="bottom"/>
            <w:textDirection w:val="lrTb"/>
            <w:noWrap w:val="false"/>
          </w:tcPr>
          <w:p>
            <w:pPr>
              <w:pStyle w:val="121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t xml:space="preserve">专门面向中小企业采购</w:t>
            </w:r>
            <w:r/>
          </w:p>
        </w:tc>
      </w:tr>
      <w:tr>
        <w:trPr>
          <w:trHeight w:val="777"/>
        </w:trPr>
        <w:tc>
          <w:tcPr>
            <w:tcW w:w="4261" w:type="dxa"/>
            <w:vAlign w:val="bottom"/>
            <w:textDirection w:val="lrTb"/>
            <w:noWrap w:val="false"/>
          </w:tcPr>
          <w:p>
            <w:pPr>
              <w:pStyle w:val="121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t xml:space="preserve">2026年广陵区公园保安、公园保洁、厕所保洁服务项目</w:t>
            </w:r>
            <w:r/>
          </w:p>
        </w:tc>
        <w:tc>
          <w:tcPr>
            <w:tcW w:w="4261" w:type="dxa"/>
            <w:vAlign w:val="center"/>
            <w:textDirection w:val="lrTb"/>
            <w:noWrap w:val="false"/>
          </w:tcPr>
          <w:p>
            <w:pPr>
              <w:pStyle w:val="121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t xml:space="preserve">是</w:t>
            </w:r>
            <w:r/>
          </w:p>
        </w:tc>
      </w:tr>
    </w:tbl>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1、小微型企业价格扣除</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的扣除价格，用扣除后的价格参与评审。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（2）供应商需按照采购文件的要求提供相应的《中小企业声明函》。</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2、残疾人福利单位价格扣除</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3、监狱和戒毒企业价格扣除</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4、残疾人福利单位、监狱企业属于小型、微型企业的，不重复享受政策。</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ind w:left="0" w:right="0"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价格扣除，用扣除后的价格参与评审。</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评</w:t>
      </w:r>
      <w:r>
        <w:rPr>
          <w:rFonts w:hint="eastAsia" w:ascii="宋体" w:hAnsi="宋体" w:eastAsia="宋体" w:cs="宋体"/>
          <w:b/>
          <w:color w:val="auto"/>
          <w:sz w:val="24"/>
          <w:szCs w:val="24"/>
          <w:highlight w:val="none"/>
          <w:lang w:val="en-US" w:eastAsia="zh-CN"/>
        </w:rPr>
        <w:t xml:space="preserve">标</w:t>
      </w:r>
      <w:r>
        <w:rPr>
          <w:rFonts w:hint="eastAsia" w:ascii="宋体" w:hAnsi="宋体" w:eastAsia="宋体" w:cs="宋体"/>
          <w:b/>
          <w:color w:val="auto"/>
          <w:sz w:val="24"/>
          <w:szCs w:val="24"/>
          <w:highlight w:val="none"/>
        </w:rPr>
        <w:t xml:space="preserve">标准</w:t>
      </w:r>
      <w:r/>
    </w:p>
    <w:tbl>
      <w:tblPr>
        <w:tblStyle w:val="1204"/>
        <w:tblW w:w="9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1264"/>
        <w:gridCol w:w="6671"/>
      </w:tblGrid>
      <w:tr>
        <w:trPr>
          <w:jc w:val="center"/>
          <w:tblHeader/>
        </w:trPr>
        <w:tc>
          <w:tcPr>
            <w:tcW w:w="1201" w:type="dxa"/>
            <w:vAlign w:val="center"/>
            <w:textDirection w:val="lrTb"/>
            <w:noWrap w:val="false"/>
          </w:tcPr>
          <w:p>
            <w:pPr>
              <w:ind w:right="0"/>
              <w:jc w:val="both"/>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项  目</w:t>
            </w:r>
            <w:r/>
          </w:p>
        </w:tc>
        <w:tc>
          <w:tcPr>
            <w:gridSpan w:val="2"/>
            <w:tcW w:w="7935" w:type="dxa"/>
            <w:vAlign w:val="center"/>
            <w:textDirection w:val="lrTb"/>
            <w:noWrap w:val="false"/>
          </w:tcPr>
          <w:p>
            <w:pPr>
              <w:ind w:right="0" w:firstLine="422"/>
              <w:jc w:val="center"/>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评  分  标  准</w:t>
            </w:r>
            <w:r/>
          </w:p>
        </w:tc>
      </w:tr>
      <w:tr>
        <w:trPr>
          <w:jc w:val="center"/>
          <w:trHeight w:val="436"/>
        </w:trPr>
        <w:tc>
          <w:tcPr>
            <w:tcW w:w="1201" w:type="dxa"/>
            <w:vAlign w:val="center"/>
            <w:textDirection w:val="lrTb"/>
            <w:noWrap w:val="false"/>
          </w:tcPr>
          <w:p>
            <w:pPr>
              <w:ind w:right="0"/>
              <w:jc w:val="left"/>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投标报价</w:t>
            </w:r>
            <w:r/>
          </w:p>
          <w:p>
            <w:p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lang w:val="zh-CN"/>
              </w:rPr>
              <w:t xml:space="preserve">（10分）</w:t>
            </w:r>
            <w:r/>
          </w:p>
        </w:tc>
        <w:tc>
          <w:tcPr>
            <w:gridSpan w:val="2"/>
            <w:tcW w:w="7935" w:type="dxa"/>
            <w:vAlign w:val="center"/>
            <w:textDirection w:val="lrTb"/>
            <w:noWrap w:val="false"/>
          </w:tcPr>
          <w:p>
            <w:pPr>
              <w:ind w:firstLine="420"/>
              <w:keepLines w:val="0"/>
              <w:keepNext w:val="0"/>
              <w:pageBreakBefore w:val="0"/>
              <w:widowControl w:val="off"/>
              <w:rPr>
                <w:rFonts w:hint="eastAsia" w:ascii="宋体" w:hAnsi="宋体" w:eastAsia="宋体" w:cs="宋体"/>
                <w:color w:val="auto"/>
                <w:highlight w:val="none"/>
                <w:lang w:val="zh-CN"/>
              </w:rPr>
            </w:pPr>
            <w:r>
              <w:rPr>
                <w:rFonts w:hint="eastAsia"/>
                <w:color w:val="auto"/>
                <w:highlight w:val="none"/>
                <w:lang w:val="en-US" w:eastAsia="zh-CN"/>
              </w:rPr>
              <w:t xml:space="preserve">采用低价优先法计算，以满足招标文件要求的最低投标报价为评标基准价，得满分10分，其他投标报价得分=（评标基准价/其他投标报价）×10×100%。</w:t>
            </w:r>
            <w:r/>
          </w:p>
        </w:tc>
      </w:tr>
      <w:tr>
        <w:trPr>
          <w:jc w:val="center"/>
          <w:trHeight w:val="1223"/>
        </w:trPr>
        <w:tc>
          <w:tcPr>
            <w:tcW w:w="1201" w:type="dxa"/>
            <w:vAlign w:val="center"/>
            <w:vMerge w:val="restart"/>
            <w:textDirection w:val="lrTb"/>
            <w:noWrap w:val="false"/>
          </w:tcPr>
          <w:p>
            <w:p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 w:val="21"/>
                <w:szCs w:val="21"/>
                <w:highlight w:val="none"/>
              </w:rPr>
              <w:t xml:space="preserve">项目实施方案</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55</w:t>
            </w:r>
            <w:r>
              <w:rPr>
                <w:rFonts w:hint="eastAsia" w:ascii="宋体" w:hAnsi="宋体" w:eastAsia="宋体" w:cs="宋体"/>
                <w:b/>
                <w:bCs/>
                <w:color w:val="auto"/>
                <w:szCs w:val="21"/>
                <w:highlight w:val="none"/>
                <w:lang w:val="zh-CN"/>
              </w:rPr>
              <w:t xml:space="preserve">分）</w:t>
            </w:r>
            <w:r/>
          </w:p>
        </w:tc>
        <w:tc>
          <w:tcPr>
            <w:tcW w:w="1264" w:type="dxa"/>
            <w:vAlign w:val="center"/>
            <w:textDirection w:val="lrTb"/>
            <w:noWrap w:val="false"/>
          </w:tcPr>
          <w:p>
            <w:p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服务设想和总体服务目标（</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val="zh-CN"/>
              </w:rPr>
              <w:t xml:space="preserve">）</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1、服务设想是否符合项目实情，目标是否满足招标文件要求；</w:t>
            </w:r>
            <w:r/>
          </w:p>
          <w:p>
            <w:pPr>
              <w:ind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服务设想完全贴合项目实际情况，总体服务目标全面满足招标文件全部要求，内容描述详实细致、指向明确，针对性极强，整体规划科学严谨</w:t>
            </w:r>
            <w:r>
              <w:rPr>
                <w:rFonts w:hint="eastAsia" w:ascii="宋体" w:hAnsi="宋体" w:eastAsia="宋体" w:cs="宋体"/>
                <w:color w:val="auto"/>
                <w:szCs w:val="21"/>
                <w:highlight w:val="none"/>
                <w:lang w:val="en-US" w:eastAsia="zh-CN"/>
              </w:rPr>
              <w:t xml:space="preserve">的得10分</w:t>
            </w:r>
            <w:r>
              <w:rPr>
                <w:rFonts w:hint="eastAsia" w:ascii="宋体" w:hAnsi="宋体" w:eastAsia="宋体" w:cs="宋体"/>
                <w:color w:val="auto"/>
                <w:szCs w:val="21"/>
                <w:highlight w:val="none"/>
                <w:lang w:val="zh-CN"/>
              </w:rPr>
              <w:t xml:space="preserve">。</w:t>
            </w:r>
            <w:r/>
          </w:p>
          <w:p>
            <w:pPr>
              <w:ind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服务设想贴合项目基本实情，服务目标基本符合招标文件要求，整体思路合理严密，内容描述较为详细，具备较好针对性</w:t>
            </w:r>
            <w:r>
              <w:rPr>
                <w:rFonts w:hint="eastAsia" w:ascii="宋体" w:hAnsi="宋体" w:eastAsia="宋体" w:cs="宋体"/>
                <w:color w:val="auto"/>
                <w:szCs w:val="21"/>
                <w:highlight w:val="none"/>
                <w:lang w:val="en-US" w:eastAsia="zh-CN"/>
              </w:rPr>
              <w:t xml:space="preserve">的得7分</w:t>
            </w:r>
            <w:r/>
          </w:p>
          <w:p>
            <w:pPr>
              <w:ind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服务设想与项目实际契合度一般，服务目标仅部分满足招标文件要求，存在少量不合理内容，内容描述偏简略，针对性有所欠缺</w:t>
            </w:r>
            <w:r>
              <w:rPr>
                <w:rFonts w:hint="eastAsia" w:ascii="宋体" w:hAnsi="宋体" w:eastAsia="宋体" w:cs="宋体"/>
                <w:color w:val="auto"/>
                <w:szCs w:val="21"/>
                <w:highlight w:val="none"/>
                <w:lang w:val="en-US" w:eastAsia="zh-CN"/>
              </w:rPr>
              <w:t xml:space="preserve">的得4分.</w:t>
            </w:r>
            <w:r/>
          </w:p>
          <w:p>
            <w:pPr>
              <w:ind w:right="0" w:firstLine="420"/>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color w:val="auto"/>
                <w:szCs w:val="21"/>
                <w:highlight w:val="none"/>
              </w:rPr>
              <w:t xml:space="preserve">服务设想脱离项目实际现状，服务目标大多不符合招标文件要求，内容表述简单笼统，无实质有效针对性内容</w:t>
            </w:r>
            <w:r>
              <w:rPr>
                <w:rFonts w:hint="eastAsia" w:ascii="宋体" w:hAnsi="宋体" w:eastAsia="宋体" w:cs="宋体"/>
                <w:color w:val="auto"/>
                <w:szCs w:val="21"/>
                <w:highlight w:val="none"/>
                <w:lang w:val="en-US" w:eastAsia="zh-CN"/>
              </w:rPr>
              <w:t xml:space="preserve">的得1分，</w:t>
            </w:r>
            <w:r>
              <w:rPr>
                <w:rFonts w:hint="eastAsia" w:ascii="宋体" w:hAnsi="宋体" w:eastAsia="宋体" w:cs="宋体"/>
                <w:color w:val="auto"/>
                <w:szCs w:val="21"/>
                <w:highlight w:val="none"/>
                <w:lang w:val="zh-CN"/>
              </w:rPr>
              <w:t xml:space="preserve">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环卫、</w:t>
            </w:r>
            <w:r>
              <w:rPr>
                <w:rFonts w:hint="eastAsia" w:ascii="宋体" w:hAnsi="宋体" w:eastAsia="宋体" w:cs="宋体"/>
                <w:color w:val="auto"/>
                <w:szCs w:val="21"/>
                <w:highlight w:val="none"/>
                <w:lang w:val="zh-CN"/>
              </w:rPr>
              <w:t xml:space="preserve">保洁服务方案（</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val="zh-CN"/>
              </w:rPr>
              <w:t xml:space="preserve">）</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val="zh-CN" w:eastAsia="zh-CN"/>
              </w:rPr>
              <w:t xml:space="preserve">根据投标文件中提出的进退场交接措施、工作流程、清扫保洁管理措施(道路保洁服务方案、公厕保洁服务方案、绿化带保洁服务方案等）</w:t>
            </w:r>
            <w:r>
              <w:rPr>
                <w:rFonts w:hint="eastAsia" w:ascii="宋体" w:hAnsi="宋体" w:eastAsia="宋体" w:cs="宋体"/>
                <w:b/>
                <w:bCs/>
                <w:color w:val="auto"/>
                <w:szCs w:val="21"/>
                <w:highlight w:val="none"/>
                <w:lang w:val="en-US" w:eastAsia="zh-CN"/>
              </w:rPr>
              <w:t xml:space="preserve">等</w:t>
            </w:r>
            <w:r>
              <w:rPr>
                <w:rFonts w:hint="eastAsia" w:ascii="宋体" w:hAnsi="宋体" w:eastAsia="宋体" w:cs="宋体"/>
                <w:b/>
                <w:bCs/>
                <w:color w:val="auto"/>
                <w:szCs w:val="21"/>
                <w:highlight w:val="none"/>
                <w:lang w:val="zh-CN" w:eastAsia="zh-CN"/>
              </w:rPr>
              <w:t xml:space="preserve">具体方案及措施；</w:t>
            </w:r>
            <w:r/>
          </w:p>
          <w:p>
            <w:pPr>
              <w:ind w:right="0"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各类方案措施完整齐全，整体架构科学严谨、贴合项目实际，合理性与可操作性极强，内容阐述详实具体，针对性十足</w:t>
            </w:r>
            <w:r>
              <w:rPr>
                <w:rFonts w:hint="eastAsia" w:ascii="宋体" w:hAnsi="宋体" w:eastAsia="宋体" w:cs="宋体"/>
                <w:color w:val="auto"/>
                <w:szCs w:val="21"/>
                <w:highlight w:val="none"/>
                <w:lang w:val="en-US" w:eastAsia="zh-CN"/>
              </w:rPr>
              <w:t xml:space="preserve">的得10分；</w:t>
            </w:r>
            <w:r/>
          </w:p>
          <w:p>
            <w:pPr>
              <w:ind w:right="0"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各项方案措施齐全，整体规划合理规范，具备良好落地实操性，内容描述较为细致，具备对应针对性</w:t>
            </w:r>
            <w:r>
              <w:rPr>
                <w:rFonts w:hint="eastAsia" w:ascii="宋体" w:hAnsi="宋体" w:eastAsia="宋体" w:cs="宋体"/>
                <w:color w:val="auto"/>
                <w:szCs w:val="21"/>
                <w:highlight w:val="none"/>
                <w:lang w:val="en-US" w:eastAsia="zh-CN"/>
              </w:rPr>
              <w:t xml:space="preserve">的得7分；</w:t>
            </w:r>
            <w:r/>
          </w:p>
          <w:p>
            <w:pPr>
              <w:ind w:right="0"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部分措施存在瑕疵欠妥之处，实际可操作性一般，内容表述偏简略，针对性存在明显欠缺</w:t>
            </w:r>
            <w:r>
              <w:rPr>
                <w:rFonts w:hint="eastAsia" w:ascii="宋体" w:hAnsi="宋体" w:eastAsia="宋体" w:cs="宋体"/>
                <w:color w:val="auto"/>
                <w:szCs w:val="21"/>
                <w:highlight w:val="none"/>
                <w:lang w:val="en-US" w:eastAsia="zh-CN"/>
              </w:rPr>
              <w:t xml:space="preserve">的得4分；</w:t>
            </w:r>
            <w:r/>
          </w:p>
          <w:p>
            <w:pPr>
              <w:ind w:right="0" w:firstLine="420"/>
              <w:jc w:val="left"/>
              <w:keepLines w:val="0"/>
              <w:keepNext w:val="0"/>
              <w:pageBreakBefore w:val="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zh-CN"/>
              </w:rPr>
              <w:t xml:space="preserve">相关方案内容缺失较多，流程及保洁管控措施漏洞突出，整体合理性差、难以落地执行，内容表述笼统敷衍，无实际服务针对性</w:t>
            </w:r>
            <w:r>
              <w:rPr>
                <w:rFonts w:hint="eastAsia" w:ascii="宋体" w:hAnsi="宋体" w:eastAsia="宋体" w:cs="宋体"/>
                <w:color w:val="auto"/>
                <w:szCs w:val="21"/>
                <w:highlight w:val="none"/>
                <w:lang w:val="en-US" w:eastAsia="zh-CN"/>
              </w:rPr>
              <w:t xml:space="preserve">的得1分，</w:t>
            </w:r>
            <w:r>
              <w:rPr>
                <w:rFonts w:hint="eastAsia" w:ascii="宋体" w:hAnsi="宋体" w:eastAsia="宋体" w:cs="宋体"/>
                <w:color w:val="auto"/>
                <w:szCs w:val="21"/>
                <w:highlight w:val="none"/>
                <w:lang w:val="zh-CN"/>
              </w:rPr>
              <w:t xml:space="preserve">其余不得分</w:t>
            </w:r>
            <w:r>
              <w:rPr>
                <w:rFonts w:hint="eastAsia" w:ascii="宋体" w:hAnsi="宋体" w:eastAsia="宋体" w:cs="宋体"/>
                <w:color w:val="auto"/>
                <w:szCs w:val="21"/>
                <w:highlight w:val="none"/>
                <w:lang w:val="en-US" w:eastAsia="zh-CN"/>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both"/>
              <w:keepLines w:val="0"/>
              <w:keepNext w:val="0"/>
              <w:pageBreakBefore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 w:val="21"/>
                <w:szCs w:val="21"/>
                <w:highlight w:val="none"/>
                <w:lang w:val="en-US" w:eastAsia="zh-CN" w:bidi="ar"/>
              </w:rPr>
              <w:t xml:space="preserve">安保</w:t>
            </w:r>
            <w:r>
              <w:rPr>
                <w:rFonts w:hint="eastAsia" w:ascii="宋体" w:hAnsi="宋体" w:eastAsia="宋体" w:cs="宋体"/>
                <w:color w:val="auto"/>
                <w:sz w:val="21"/>
                <w:szCs w:val="21"/>
                <w:highlight w:val="none"/>
                <w:lang w:val="en-US" w:eastAsia="zh-CN" w:bidi="ar"/>
              </w:rPr>
              <w:t xml:space="preserve">秩序维护服务方案（</w:t>
            </w:r>
            <w:r>
              <w:rPr>
                <w:rFonts w:hint="eastAsia" w:ascii="宋体" w:hAnsi="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en-US" w:eastAsia="zh-CN" w:bidi="ar"/>
              </w:rPr>
              <w:t xml:space="preserve">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3、根</w:t>
            </w:r>
            <w:r>
              <w:rPr>
                <w:rFonts w:hint="eastAsia" w:ascii="宋体" w:hAnsi="宋体" w:eastAsia="宋体" w:cs="宋体"/>
                <w:b/>
                <w:bCs/>
                <w:color w:val="auto"/>
                <w:szCs w:val="21"/>
                <w:highlight w:val="none"/>
                <w:lang w:val="zh-CN" w:eastAsia="zh-CN"/>
              </w:rPr>
              <w:t xml:space="preserve">据</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提供</w:t>
            </w:r>
            <w:r>
              <w:rPr>
                <w:rFonts w:hint="eastAsia" w:ascii="宋体" w:hAnsi="宋体" w:eastAsia="宋体" w:cs="宋体"/>
                <w:b/>
                <w:bCs/>
                <w:color w:val="auto"/>
                <w:szCs w:val="21"/>
                <w:highlight w:val="none"/>
                <w:lang w:val="en-US" w:eastAsia="zh-CN"/>
              </w:rPr>
              <w:t xml:space="preserve">的</w:t>
            </w:r>
            <w:r>
              <w:rPr>
                <w:rFonts w:hint="eastAsia" w:ascii="宋体" w:hAnsi="宋体" w:eastAsia="宋体" w:cs="宋体"/>
                <w:b/>
                <w:bCs/>
                <w:color w:val="auto"/>
                <w:szCs w:val="21"/>
                <w:highlight w:val="none"/>
                <w:lang w:val="zh-CN" w:eastAsia="zh-CN"/>
              </w:rPr>
              <w:t xml:space="preserve">公园安保</w:t>
            </w:r>
            <w:r>
              <w:rPr>
                <w:rFonts w:hint="eastAsia" w:ascii="宋体" w:hAnsi="宋体" w:eastAsia="宋体" w:cs="宋体"/>
                <w:b/>
                <w:bCs/>
                <w:color w:val="auto"/>
                <w:szCs w:val="21"/>
                <w:highlight w:val="none"/>
                <w:lang w:val="en-US" w:eastAsia="zh-CN"/>
              </w:rPr>
              <w:t xml:space="preserve">秩序维护服务方案</w:t>
            </w:r>
            <w:r>
              <w:rPr>
                <w:rFonts w:hint="eastAsia" w:ascii="宋体" w:hAnsi="宋体" w:eastAsia="宋体" w:cs="宋体"/>
                <w:b/>
                <w:bCs/>
                <w:color w:val="auto"/>
                <w:szCs w:val="21"/>
                <w:highlight w:val="none"/>
                <w:lang w:val="zh-CN" w:eastAsia="zh-CN"/>
              </w:rPr>
              <w:t xml:space="preserve">；</w:t>
            </w:r>
            <w:r/>
          </w:p>
          <w:p>
            <w:pPr>
              <w:ind w:right="0"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方案体系完整、内容极致细致，完全契合项目实际需求与场景特点，涵盖人员配置、岗位职责、作业流程、应急处置、考核监督等全流程设计，针对性极强，可直接落地执行且操作性极强</w:t>
            </w:r>
            <w:r>
              <w:rPr>
                <w:rFonts w:hint="eastAsia" w:ascii="宋体" w:hAnsi="宋体" w:eastAsia="宋体" w:cs="宋体"/>
                <w:color w:val="auto"/>
                <w:szCs w:val="21"/>
                <w:highlight w:val="none"/>
                <w:lang w:val="en-US" w:eastAsia="zh-CN"/>
              </w:rPr>
              <w:t xml:space="preserve">的得10分；</w:t>
            </w:r>
            <w:r/>
          </w:p>
          <w:p>
            <w:pPr>
              <w:ind w:right="0"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方案结构完整、细节较为详实，基本贴合项目核心需求，关键环节（如值守安排、应急响应、日常管控）设计合理，具备良好的实操性</w:t>
            </w:r>
            <w:r>
              <w:rPr>
                <w:rFonts w:hint="eastAsia" w:ascii="宋体" w:hAnsi="宋体" w:eastAsia="宋体" w:cs="宋体"/>
                <w:color w:val="auto"/>
                <w:szCs w:val="21"/>
                <w:highlight w:val="none"/>
                <w:lang w:val="en-US" w:eastAsia="zh-CN"/>
              </w:rPr>
              <w:t xml:space="preserve">的得7分；</w:t>
            </w:r>
            <w:r/>
          </w:p>
          <w:p>
            <w:pPr>
              <w:ind w:right="0"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方案具备基础框架，核心内容不够细致全面，与项目需求契合度一般，部分关键流程（如应急处置、人员管理）存在瑕疵，操作性一般</w:t>
            </w:r>
            <w:r>
              <w:rPr>
                <w:rFonts w:hint="eastAsia" w:ascii="宋体" w:hAnsi="宋体" w:eastAsia="宋体" w:cs="宋体"/>
                <w:color w:val="auto"/>
                <w:szCs w:val="21"/>
                <w:highlight w:val="none"/>
                <w:lang w:val="en-US" w:eastAsia="zh-CN"/>
              </w:rPr>
              <w:t xml:space="preserve">的得4分；</w:t>
            </w:r>
            <w:r/>
          </w:p>
          <w:p>
            <w:pPr>
              <w:ind w:right="0"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zh-CN"/>
              </w:rPr>
              <w:t xml:space="preserve">方案核心内容缺失严重、表述笼统粗糙，与项目需求响应度极低，关键环节设计漏洞突出，缺乏基本可操作性，难以支撑实际秩序维护工作</w:t>
            </w:r>
            <w:r>
              <w:rPr>
                <w:rFonts w:hint="eastAsia" w:ascii="宋体" w:hAnsi="宋体" w:eastAsia="宋体" w:cs="宋体"/>
                <w:color w:val="auto"/>
                <w:szCs w:val="21"/>
                <w:highlight w:val="none"/>
                <w:lang w:val="en-US" w:eastAsia="zh-CN"/>
              </w:rPr>
              <w:t xml:space="preserve">的得1分；</w:t>
            </w:r>
            <w:r>
              <w:rPr>
                <w:rFonts w:hint="eastAsia" w:ascii="宋体" w:hAnsi="宋体" w:eastAsia="宋体" w:cs="宋体"/>
                <w:color w:val="auto"/>
                <w:szCs w:val="21"/>
                <w:highlight w:val="none"/>
                <w:lang w:val="zh-CN"/>
              </w:rPr>
              <w:t xml:space="preserve">其余不得分</w:t>
            </w:r>
            <w:r>
              <w:rPr>
                <w:rFonts w:hint="eastAsia" w:ascii="宋体" w:hAnsi="宋体" w:eastAsia="宋体" w:cs="宋体"/>
                <w:color w:val="auto"/>
                <w:szCs w:val="21"/>
                <w:highlight w:val="none"/>
                <w:lang w:val="en-US" w:eastAsia="zh-CN"/>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公共类活动现场管理服务方案（5分）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4、根</w:t>
            </w:r>
            <w:r>
              <w:rPr>
                <w:rFonts w:hint="eastAsia" w:ascii="宋体" w:hAnsi="宋体" w:eastAsia="宋体" w:cs="宋体"/>
                <w:b/>
                <w:bCs/>
                <w:color w:val="auto"/>
                <w:szCs w:val="21"/>
                <w:highlight w:val="none"/>
                <w:lang w:val="zh-CN" w:eastAsia="zh-CN"/>
              </w:rPr>
              <w:t xml:space="preserve">据</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提供</w:t>
            </w:r>
            <w:r>
              <w:rPr>
                <w:rFonts w:hint="eastAsia" w:ascii="宋体" w:hAnsi="宋体" w:eastAsia="宋体" w:cs="宋体"/>
                <w:b/>
                <w:bCs/>
                <w:color w:val="auto"/>
                <w:szCs w:val="21"/>
                <w:highlight w:val="none"/>
                <w:lang w:val="en-US" w:eastAsia="zh-CN"/>
              </w:rPr>
              <w:t xml:space="preserve">的公共类活动现场管理服务方案：</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方案完整、细致，符合项目需求，操作性强得5分；</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方案较为完整、细致，基本符合项目需求，操作性较强得3分；</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方案不完整、不细致，与项目需求响应度低，操作性差得1分；</w:t>
            </w:r>
            <w:r/>
          </w:p>
          <w:p>
            <w:pPr>
              <w:ind w:right="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90"/>
        </w:trPr>
        <w:tc>
          <w:tcPr>
            <w:tcW w:w="1201" w:type="dxa"/>
            <w:vAlign w:val="center"/>
            <w:vMerge w:val="continue"/>
            <w:textDirection w:val="lrTb"/>
            <w:noWrap w:val="false"/>
          </w:tcPr>
          <w:p>
            <w:pPr>
              <w:ind w:right="0" w:firstLine="42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Cs w:val="21"/>
                <w:highlight w:val="none"/>
                <w:lang w:val="zh-CN"/>
              </w:rPr>
              <w:suppressLineNumbers w:val="0"/>
            </w:pPr>
            <w:r>
              <w:rPr>
                <w:rFonts w:hint="eastAsia" w:ascii="宋体" w:hAnsi="宋体" w:eastAsia="宋体" w:cs="宋体"/>
                <w:color w:val="auto"/>
                <w:sz w:val="21"/>
                <w:szCs w:val="21"/>
                <w:highlight w:val="none"/>
                <w:lang w:val="en-US" w:eastAsia="zh-CN" w:bidi="ar"/>
              </w:rPr>
              <w:t xml:space="preserve">项目内部管理制度（5分）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zh-CN" w:eastAsia="zh-CN"/>
              </w:rPr>
              <w:t xml:space="preserve">从激励机制、监督机制、自我约束机制、信息反馈处理机制、清扫保洁人员的培训计划、人员录用与考核及淘汰机制等方面综合比较；</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管理方案完整性、合理性、可操作性。制度合理，描述详细且具有针对性的得5分，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较合理、严密、描述较为详细，得3分，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措施具有不合理项、描述略欠缺得1分，其余不得分。</w:t>
            </w:r>
            <w:r/>
          </w:p>
        </w:tc>
      </w:tr>
      <w:tr>
        <w:trPr>
          <w:jc w:val="center"/>
          <w:trHeight w:val="270"/>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both"/>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安全、</w:t>
            </w:r>
            <w:r>
              <w:rPr>
                <w:rFonts w:hint="eastAsia" w:ascii="宋体" w:hAnsi="宋体" w:eastAsia="宋体" w:cs="宋体"/>
                <w:color w:val="auto"/>
                <w:szCs w:val="21"/>
                <w:highlight w:val="none"/>
                <w:lang w:val="zh-CN"/>
              </w:rPr>
              <w:t xml:space="preserve">文明作业保障措施</w:t>
            </w:r>
            <w:r>
              <w:rPr>
                <w:rFonts w:hint="eastAsia" w:ascii="宋体" w:hAnsi="宋体" w:eastAsia="宋体" w:cs="宋体"/>
                <w:color w:val="auto"/>
                <w:sz w:val="21"/>
                <w:szCs w:val="21"/>
                <w:highlight w:val="none"/>
                <w:lang w:val="en-US" w:eastAsia="zh-CN" w:bidi="ar"/>
              </w:rPr>
              <w:t xml:space="preserve">（5分）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val="zh-CN" w:eastAsia="zh-CN"/>
              </w:rPr>
              <w:t xml:space="preserve">根据投标文件中提出的</w:t>
            </w:r>
            <w:r>
              <w:rPr>
                <w:rFonts w:hint="eastAsia" w:ascii="宋体" w:hAnsi="宋体" w:eastAsia="宋体" w:cs="宋体"/>
                <w:b/>
                <w:bCs/>
                <w:color w:val="auto"/>
                <w:szCs w:val="21"/>
                <w:highlight w:val="none"/>
                <w:lang w:val="en-US" w:eastAsia="zh-CN"/>
              </w:rPr>
              <w:t xml:space="preserve">安全、</w:t>
            </w:r>
            <w:r>
              <w:rPr>
                <w:rFonts w:hint="eastAsia" w:ascii="宋体" w:hAnsi="宋体" w:eastAsia="宋体" w:cs="宋体"/>
                <w:b/>
                <w:bCs/>
                <w:color w:val="auto"/>
                <w:szCs w:val="21"/>
                <w:highlight w:val="none"/>
                <w:lang w:val="zh-CN" w:eastAsia="zh-CN"/>
              </w:rPr>
              <w:t xml:space="preserve">文明作业保障措施细节综合比较其合理性、可操作性等；</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措施完善、合理性强得5分；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措施较完善、合理性较强得3分；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措施应对一般、合理性一般得1分；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措施应对差、合理性差不得分。其余不得分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jc w:val="both"/>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安全事故处理措施</w:t>
            </w:r>
            <w:r>
              <w:rPr>
                <w:rFonts w:hint="eastAsia" w:ascii="宋体" w:hAnsi="宋体" w:eastAsia="宋体" w:cs="宋体"/>
                <w:color w:val="auto"/>
                <w:sz w:val="21"/>
                <w:szCs w:val="21"/>
                <w:highlight w:val="none"/>
                <w:lang w:val="en-US" w:eastAsia="zh-CN" w:bidi="ar"/>
              </w:rPr>
              <w:t xml:space="preserve">（5分）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lang w:val="zh-CN" w:eastAsia="zh-CN"/>
              </w:rPr>
              <w:t xml:space="preserve">根据</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对本项目服务要求，制定完善、合理的意外伤害赔偿措施、工伤赔偿措施、风险规避措施等；</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措施完善、合理性强得5分；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措施较完善、合理性较强得3分；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措施应对一般、合理性一般得1分；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措施应对差、合理性差不得分。其余不得分</w:t>
            </w:r>
            <w:r>
              <w:rPr>
                <w:rFonts w:hint="eastAsia" w:ascii="宋体" w:hAnsi="宋体" w:eastAsia="宋体" w:cs="宋体"/>
                <w:color w:val="auto"/>
                <w:sz w:val="21"/>
                <w:szCs w:val="21"/>
                <w:highlight w:val="none"/>
                <w:lang w:val="en-US" w:eastAsia="zh-CN" w:bidi="ar"/>
              </w:rPr>
              <w:t xml:space="preserve">。</w:t>
            </w:r>
            <w:r/>
          </w:p>
        </w:tc>
      </w:tr>
      <w:tr>
        <w:trPr>
          <w:jc w:val="center"/>
          <w:trHeight w:val="663"/>
        </w:trPr>
        <w:tc>
          <w:tcPr>
            <w:tcW w:w="1201" w:type="dxa"/>
            <w:vAlign w:val="center"/>
            <w:vMerge w:val="continue"/>
            <w:textDirection w:val="lrTb"/>
            <w:noWrap w:val="false"/>
          </w:tcPr>
          <w:p>
            <w:pPr>
              <w:ind w:right="0" w:firstLine="420"/>
              <w:jc w:val="center"/>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264" w:type="dxa"/>
            <w:vAlign w:val="center"/>
            <w:textDirection w:val="lrTb"/>
            <w:noWrap w:val="false"/>
          </w:tcPr>
          <w:p>
            <w:pPr>
              <w:ind w:right="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应急预案</w:t>
            </w:r>
            <w:r>
              <w:rPr>
                <w:rFonts w:hint="eastAsia" w:ascii="宋体" w:hAnsi="宋体" w:eastAsia="宋体" w:cs="宋体"/>
                <w:color w:val="auto"/>
                <w:sz w:val="21"/>
                <w:szCs w:val="21"/>
                <w:highlight w:val="none"/>
                <w:lang w:val="en-US" w:eastAsia="zh-CN" w:bidi="ar"/>
              </w:rPr>
              <w:t xml:space="preserve">（5分）</w:t>
            </w:r>
            <w:r/>
          </w:p>
        </w:tc>
        <w:tc>
          <w:tcPr>
            <w:tcW w:w="6671" w:type="dxa"/>
            <w:vAlign w:val="center"/>
            <w:textDirection w:val="lrTb"/>
            <w:noWrap w:val="false"/>
          </w:tcPr>
          <w:p>
            <w:pPr>
              <w:ind w:right="0"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val="zh-CN" w:eastAsia="zh-CN"/>
              </w:rPr>
              <w:t xml:space="preserve">根据</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提供重大活动、突发事件应急处理预案；</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方案科学、严密、合理，描述详细且具有针对性的得5分，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较合理、严密、描述较为详细，得3分，</w:t>
            </w:r>
            <w:r/>
          </w:p>
          <w:p>
            <w:pPr>
              <w:numPr>
                <w:ilvl w:val="0"/>
                <w:numId w:val="0"/>
              </w:numPr>
              <w:ind w:right="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措施具有不合理项、描述略欠缺得1分，其余不得分。</w:t>
            </w:r>
            <w:r/>
          </w:p>
        </w:tc>
      </w:tr>
      <w:tr>
        <w:trPr>
          <w:jc w:val="center"/>
          <w:trHeight w:val="663"/>
        </w:trPr>
        <w:tc>
          <w:tcPr>
            <w:tcW w:w="1201" w:type="dxa"/>
            <w:vAlign w:val="center"/>
            <w:textDirection w:val="lrTb"/>
            <w:noWrap w:val="false"/>
          </w:tcPr>
          <w:p>
            <w:pPr>
              <w:ind w:right="0"/>
              <w:jc w:val="both"/>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机械设备（20分）</w:t>
            </w:r>
            <w:r/>
          </w:p>
        </w:tc>
        <w:tc>
          <w:tcPr>
            <w:gridSpan w:val="2"/>
            <w:tcW w:w="7935" w:type="dxa"/>
            <w:vAlign w:val="center"/>
            <w:textDirection w:val="lrTb"/>
            <w:noWrap w:val="false"/>
          </w:tcPr>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配备4方侧挂三轮收集车，每有1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分，最高得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 w:val="21"/>
                <w:szCs w:val="21"/>
                <w:highlight w:val="none"/>
                <w:lang w:val="zh-CN" w:eastAsia="zh-CN" w:bidi="ar-SA"/>
              </w:rPr>
              <w:t xml:space="preserve">（</w:t>
            </w:r>
            <w:r>
              <w:rPr>
                <w:rFonts w:hint="eastAsia" w:ascii="宋体" w:hAnsi="宋体" w:cs="宋体"/>
                <w:b w:val="0"/>
                <w:bCs w:val="0"/>
                <w:color w:val="auto"/>
                <w:sz w:val="21"/>
                <w:szCs w:val="21"/>
                <w:highlight w:val="none"/>
                <w:lang w:val="en-US" w:eastAsia="zh-CN" w:bidi="ar-SA"/>
              </w:rPr>
              <w:t xml:space="preserve">2</w:t>
            </w:r>
            <w:r>
              <w:rPr>
                <w:rFonts w:hint="eastAsia" w:ascii="宋体" w:hAnsi="宋体" w:cs="宋体"/>
                <w:b w:val="0"/>
                <w:bCs w:val="0"/>
                <w:color w:val="auto"/>
                <w:sz w:val="21"/>
                <w:szCs w:val="21"/>
                <w:highlight w:val="none"/>
                <w:lang w:val="zh-CN"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配备三轮后高位自装卸垃圾收集车，每有1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CN" w:eastAsia="zh-CN" w:bidi="ar-SA"/>
              </w:rPr>
              <w:t xml:space="preserve">分，最高得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CN" w:eastAsia="zh-CN" w:bidi="ar-SA"/>
              </w:rPr>
              <w:t xml:space="preserve">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 w:val="21"/>
                <w:szCs w:val="21"/>
                <w:highlight w:val="none"/>
                <w:lang w:val="zh-CN" w:eastAsia="zh-CN" w:bidi="ar-SA"/>
              </w:rPr>
              <w:t xml:space="preserve">（</w:t>
            </w:r>
            <w:r>
              <w:rPr>
                <w:rFonts w:hint="eastAsia" w:ascii="宋体" w:hAnsi="宋体" w:cs="宋体"/>
                <w:b w:val="0"/>
                <w:bCs w:val="0"/>
                <w:color w:val="auto"/>
                <w:sz w:val="21"/>
                <w:szCs w:val="21"/>
                <w:highlight w:val="none"/>
                <w:lang w:val="en-US" w:eastAsia="zh-CN" w:bidi="ar-SA"/>
              </w:rPr>
              <w:t xml:space="preserve">3</w:t>
            </w:r>
            <w:r>
              <w:rPr>
                <w:rFonts w:hint="eastAsia" w:ascii="宋体" w:hAnsi="宋体" w:cs="宋体"/>
                <w:b w:val="0"/>
                <w:bCs w:val="0"/>
                <w:color w:val="auto"/>
                <w:sz w:val="21"/>
                <w:szCs w:val="21"/>
                <w:highlight w:val="none"/>
                <w:lang w:val="zh-CN"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微四轮高压清洗车（纯电动），每有1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CN" w:eastAsia="zh-CN" w:bidi="ar-SA"/>
              </w:rPr>
              <w:t xml:space="preserve">分，最高得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CN" w:eastAsia="zh-CN" w:bidi="ar-SA"/>
              </w:rPr>
              <w:t xml:space="preserve">分；</w:t>
            </w:r>
            <w:r/>
          </w:p>
          <w:p>
            <w:pPr>
              <w:ind w:right="0"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纯吸式扫地车</w:t>
            </w:r>
            <w:r>
              <w:rPr>
                <w:rFonts w:hint="eastAsia" w:ascii="宋体" w:hAnsi="宋体" w:eastAsia="宋体" w:cs="宋体"/>
                <w:b w:val="0"/>
                <w:bCs w:val="0"/>
                <w:color w:val="auto"/>
                <w:sz w:val="21"/>
                <w:szCs w:val="21"/>
                <w:highlight w:val="none"/>
                <w:lang w:val="zh-CN" w:eastAsia="zh-CN" w:bidi="ar-SA"/>
              </w:rPr>
              <w:t xml:space="preserve">，每有1</w:t>
            </w:r>
            <w:r>
              <w:rPr>
                <w:rFonts w:hint="eastAsia" w:ascii="宋体" w:hAnsi="宋体" w:eastAsia="宋体" w:cs="宋体"/>
                <w:b w:val="0"/>
                <w:bCs w:val="0"/>
                <w:color w:val="auto"/>
                <w:sz w:val="21"/>
                <w:szCs w:val="21"/>
                <w:highlight w:val="none"/>
                <w:lang w:val="en-US" w:eastAsia="zh-CN" w:bidi="ar-SA"/>
              </w:rPr>
              <w:t xml:space="preserve">辆</w:t>
            </w:r>
            <w:r>
              <w:rPr>
                <w:rFonts w:hint="eastAsia" w:ascii="宋体" w:hAnsi="宋体" w:eastAsia="宋体" w:cs="宋体"/>
                <w:b w:val="0"/>
                <w:bCs w:val="0"/>
                <w:color w:val="auto"/>
                <w:sz w:val="21"/>
                <w:szCs w:val="21"/>
                <w:highlight w:val="none"/>
                <w:lang w:val="zh-CN" w:eastAsia="zh-CN" w:bidi="ar-SA"/>
              </w:rPr>
              <w:t xml:space="preserve">得</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CN" w:eastAsia="zh-CN" w:bidi="ar-SA"/>
              </w:rPr>
              <w:t xml:space="preserve">分，最高得</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CN" w:eastAsia="zh-CN" w:bidi="ar-SA"/>
              </w:rPr>
              <w:t xml:space="preserve">分；</w:t>
            </w:r>
            <w:r/>
          </w:p>
          <w:p>
            <w:pPr>
              <w:numPr>
                <w:ilvl w:val="0"/>
                <w:numId w:val="0"/>
              </w:numPr>
              <w:ind w:right="0" w:firstLine="422"/>
              <w:jc w:val="left"/>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lang w:val="zh-CN" w:eastAsia="zh-CN"/>
              </w:rPr>
              <w:t xml:space="preserve">如</w:t>
            </w:r>
            <w:r>
              <w:rPr>
                <w:rFonts w:hint="eastAsia" w:ascii="宋体" w:hAnsi="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eastAsia="zh-CN"/>
              </w:rPr>
              <w:t xml:space="preserve">提供的车辆为自有，须提供购车发票（凭证）、整车出厂合格证；如为租赁，则需提供整车出厂合格证</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zh-CN" w:eastAsia="zh-CN"/>
              </w:rPr>
              <w:t xml:space="preserve">租赁合同。</w:t>
            </w:r>
            <w:r>
              <w:rPr>
                <w:rFonts w:hint="eastAsia" w:ascii="宋体" w:hAnsi="宋体" w:eastAsia="宋体" w:cs="宋体"/>
                <w:b/>
                <w:bCs/>
                <w:color w:val="auto"/>
                <w:szCs w:val="21"/>
                <w:highlight w:val="none"/>
                <w:lang w:val="zh-CN"/>
              </w:rPr>
              <w:t xml:space="preserve">以上</w:t>
            </w:r>
            <w:r>
              <w:rPr>
                <w:rFonts w:hint="eastAsia" w:ascii="宋体" w:hAnsi="宋体" w:eastAsia="宋体" w:cs="宋体"/>
                <w:b/>
                <w:bCs/>
                <w:color w:val="auto"/>
                <w:szCs w:val="21"/>
                <w:highlight w:val="none"/>
                <w:lang w:val="en-US" w:eastAsia="zh-CN"/>
              </w:rPr>
              <w:t xml:space="preserve">相关资料</w:t>
            </w:r>
            <w:r>
              <w:rPr>
                <w:rFonts w:hint="eastAsia" w:ascii="宋体" w:hAnsi="宋体" w:eastAsia="宋体" w:cs="宋体"/>
                <w:b/>
                <w:bCs/>
                <w:color w:val="auto"/>
                <w:szCs w:val="21"/>
                <w:highlight w:val="none"/>
                <w:lang w:val="zh-CN"/>
              </w:rPr>
              <w:t xml:space="preserve">须提供原件扫描上传,未按要求提供或不提供不得分。</w:t>
            </w:r>
            <w:r/>
          </w:p>
        </w:tc>
      </w:tr>
      <w:tr>
        <w:trPr>
          <w:jc w:val="center"/>
          <w:trHeight w:val="804"/>
        </w:trPr>
        <w:tc>
          <w:tcPr>
            <w:tcW w:w="1201" w:type="dxa"/>
            <w:vAlign w:val="center"/>
            <w:textDirection w:val="lrTb"/>
            <w:noWrap w:val="false"/>
          </w:tcPr>
          <w:p>
            <w:pPr>
              <w:ind w:right="0"/>
              <w:jc w:val="both"/>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 w:val="21"/>
                <w:szCs w:val="21"/>
                <w:highlight w:val="none"/>
                <w:lang w:val="en-US" w:eastAsia="zh-CN"/>
              </w:rPr>
              <w:t xml:space="preserve">企业</w:t>
            </w:r>
            <w:r>
              <w:rPr>
                <w:rFonts w:hint="eastAsia" w:ascii="宋体" w:hAnsi="宋体" w:eastAsia="宋体" w:cs="宋体"/>
                <w:b/>
                <w:bCs/>
                <w:color w:val="auto"/>
                <w:szCs w:val="21"/>
                <w:highlight w:val="none"/>
                <w:lang w:val="zh-CN"/>
              </w:rPr>
              <w:t xml:space="preserve">业绩（</w:t>
            </w:r>
            <w:r>
              <w:rPr>
                <w:rFonts w:hint="eastAsia" w:ascii="宋体" w:hAnsi="宋体" w:cs="宋体"/>
                <w:b/>
                <w:bCs/>
                <w:color w:val="auto"/>
                <w:szCs w:val="21"/>
                <w:highlight w:val="none"/>
                <w:lang w:val="en-US" w:eastAsia="zh-CN"/>
              </w:rPr>
              <w:t xml:space="preserve">10</w:t>
            </w:r>
            <w:r>
              <w:rPr>
                <w:rFonts w:hint="eastAsia" w:ascii="宋体" w:hAnsi="宋体" w:eastAsia="宋体" w:cs="宋体"/>
                <w:b/>
                <w:bCs/>
                <w:color w:val="auto"/>
                <w:szCs w:val="21"/>
                <w:highlight w:val="none"/>
                <w:lang w:val="zh-CN"/>
              </w:rPr>
              <w:t xml:space="preserve">分）</w:t>
            </w:r>
            <w:r/>
          </w:p>
        </w:tc>
        <w:tc>
          <w:tcPr>
            <w:gridSpan w:val="2"/>
            <w:tcW w:w="7935" w:type="dxa"/>
            <w:vAlign w:val="center"/>
            <w:textDirection w:val="lrTb"/>
            <w:noWrap w:val="false"/>
          </w:tcPr>
          <w:p>
            <w:pPr>
              <w:ind w:right="0" w:firstLine="420"/>
              <w:jc w:val="left"/>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eastAsia="宋体" w:cs="宋体"/>
                <w:b w:val="0"/>
                <w:bCs w:val="0"/>
                <w:color w:val="auto"/>
                <w:szCs w:val="21"/>
                <w:highlight w:val="none"/>
                <w:lang w:val="en-US" w:eastAsia="zh-CN"/>
              </w:rPr>
              <w:t xml:space="preserve">2022</w:t>
            </w:r>
            <w:r>
              <w:rPr>
                <w:rFonts w:hint="eastAsia" w:ascii="宋体" w:hAnsi="宋体" w:eastAsia="宋体" w:cs="宋体"/>
                <w:b w:val="0"/>
                <w:bCs w:val="0"/>
                <w:color w:val="auto"/>
                <w:szCs w:val="21"/>
                <w:highlight w:val="none"/>
                <w:lang w:val="zh-CN"/>
              </w:rPr>
              <w:t xml:space="preserve">年1月1日至今承担过类似项目</w:t>
            </w:r>
            <w:r>
              <w:rPr>
                <w:rFonts w:hint="eastAsia" w:ascii="宋体" w:hAnsi="宋体" w:eastAsia="宋体" w:cs="宋体"/>
                <w:b w:val="0"/>
                <w:bCs w:val="0"/>
                <w:color w:val="auto"/>
                <w:szCs w:val="21"/>
                <w:highlight w:val="none"/>
                <w:lang w:val="en-US" w:eastAsia="zh-CN"/>
              </w:rPr>
              <w:t xml:space="preserve">业绩</w:t>
            </w:r>
            <w:r>
              <w:rPr>
                <w:rFonts w:hint="eastAsia" w:ascii="宋体" w:hAnsi="宋体" w:eastAsia="宋体" w:cs="宋体"/>
                <w:b w:val="0"/>
                <w:bCs w:val="0"/>
                <w:color w:val="auto"/>
                <w:szCs w:val="21"/>
                <w:highlight w:val="none"/>
                <w:lang w:val="zh-CN"/>
              </w:rPr>
              <w:t xml:space="preserve">，有一项得</w:t>
            </w: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val="zh-CN"/>
              </w:rPr>
              <w:t xml:space="preserve">分，最多得</w:t>
            </w:r>
            <w:r>
              <w:rPr>
                <w:rFonts w:hint="eastAsia" w:ascii="宋体" w:hAnsi="宋体" w:cs="宋体"/>
                <w:b w:val="0"/>
                <w:bCs w:val="0"/>
                <w:color w:val="auto"/>
                <w:szCs w:val="21"/>
                <w:highlight w:val="none"/>
                <w:lang w:val="en-US" w:eastAsia="zh-CN"/>
              </w:rPr>
              <w:t xml:space="preserve">10</w:t>
            </w:r>
            <w:r>
              <w:rPr>
                <w:rFonts w:hint="eastAsia" w:ascii="宋体" w:hAnsi="宋体" w:eastAsia="宋体" w:cs="宋体"/>
                <w:b w:val="0"/>
                <w:bCs w:val="0"/>
                <w:color w:val="auto"/>
                <w:szCs w:val="21"/>
                <w:highlight w:val="none"/>
                <w:lang w:val="zh-CN"/>
              </w:rPr>
              <w:t xml:space="preserve">分。</w:t>
            </w:r>
            <w:r/>
          </w:p>
          <w:p>
            <w:pPr>
              <w:ind w:right="0" w:firstLine="422"/>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 w:val="21"/>
                <w:szCs w:val="21"/>
                <w:highlight w:val="none"/>
                <w:lang w:val="en-US" w:eastAsia="zh-CN"/>
              </w:rPr>
              <w:t xml:space="preserve">注：需</w:t>
            </w:r>
            <w:r>
              <w:rPr>
                <w:rFonts w:hint="eastAsia" w:ascii="宋体" w:hAnsi="宋体" w:eastAsia="宋体" w:cs="宋体"/>
                <w:b/>
                <w:bCs/>
                <w:color w:val="auto"/>
                <w:sz w:val="21"/>
                <w:szCs w:val="21"/>
                <w:highlight w:val="none"/>
                <w:lang w:val="zh-CN"/>
              </w:rPr>
              <w:t xml:space="preserve">提供合同</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lang w:val="zh-CN"/>
              </w:rPr>
              <w:t xml:space="preserve">，业绩认定时间以</w:t>
            </w:r>
            <w:r>
              <w:rPr>
                <w:rFonts w:hint="eastAsia" w:ascii="宋体" w:hAnsi="宋体" w:eastAsia="宋体" w:cs="宋体"/>
                <w:b/>
                <w:bCs/>
                <w:color w:val="auto"/>
                <w:sz w:val="21"/>
                <w:szCs w:val="21"/>
                <w:highlight w:val="none"/>
                <w:lang w:val="en-US" w:eastAsia="zh-CN"/>
              </w:rPr>
              <w:t xml:space="preserve">合同签订</w:t>
            </w:r>
            <w:r>
              <w:rPr>
                <w:rFonts w:hint="eastAsia" w:ascii="宋体" w:hAnsi="宋体" w:eastAsia="宋体" w:cs="宋体"/>
                <w:b/>
                <w:bCs/>
                <w:color w:val="auto"/>
                <w:sz w:val="21"/>
                <w:szCs w:val="21"/>
                <w:highlight w:val="none"/>
                <w:lang w:val="zh-CN"/>
              </w:rPr>
              <w:t xml:space="preserve">时间为准</w:t>
            </w:r>
            <w:r>
              <w:rPr>
                <w:rFonts w:hint="eastAsia" w:ascii="宋体" w:hAnsi="宋体" w:cs="宋体"/>
                <w:b/>
                <w:bCs/>
                <w:color w:val="auto"/>
                <w:sz w:val="21"/>
                <w:szCs w:val="21"/>
                <w:highlight w:val="none"/>
                <w:lang w:val="zh-CN"/>
              </w:rPr>
              <w:t xml:space="preserve">。</w:t>
            </w:r>
            <w:r/>
          </w:p>
        </w:tc>
      </w:tr>
      <w:tr>
        <w:trPr>
          <w:jc w:val="center"/>
          <w:trHeight w:val="944"/>
        </w:trPr>
        <w:tc>
          <w:tcPr>
            <w:tcW w:w="1201"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bCs/>
                <w:color w:val="auto"/>
                <w:sz w:val="21"/>
                <w:szCs w:val="21"/>
                <w:highlight w:val="none"/>
                <w:lang w:val="zh-CN" w:eastAsia="zh-CN"/>
              </w:rPr>
              <w:t xml:space="preserve">服务</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lang w:val="zh-CN" w:eastAsia="zh-CN"/>
              </w:rPr>
              <w:t xml:space="preserve">承诺</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zh-CN"/>
              </w:rPr>
              <w:t xml:space="preserve">分）</w:t>
            </w:r>
            <w:r/>
          </w:p>
        </w:tc>
        <w:tc>
          <w:tcPr>
            <w:gridSpan w:val="2"/>
            <w:tcW w:w="7935"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）承诺提供</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24小时电话服务支持</w:t>
            </w:r>
            <w:r>
              <w:rPr>
                <w:rFonts w:hint="eastAsia" w:ascii="宋体" w:hAnsi="宋体" w:eastAsia="宋体" w:cs="宋体"/>
                <w:color w:val="auto"/>
                <w:szCs w:val="21"/>
                <w:highlight w:val="none"/>
                <w:lang w:val="en-US" w:eastAsia="zh-CN"/>
              </w:rPr>
              <w:t xml:space="preserve">得2分</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提供承诺函原件，格式自拟</w:t>
            </w:r>
            <w:r>
              <w:rPr>
                <w:rFonts w:hint="eastAsia" w:ascii="宋体" w:hAnsi="宋体" w:eastAsia="宋体" w:cs="宋体"/>
                <w:color w:val="auto"/>
                <w:sz w:val="21"/>
                <w:szCs w:val="21"/>
                <w:highlight w:val="none"/>
                <w:lang w:val="zh-CN" w:eastAsia="zh-CN" w:bidi="ar-SA"/>
              </w:rPr>
              <w:t xml:space="preserve">）</w:t>
            </w:r>
            <w:r/>
          </w:p>
          <w:p>
            <w:pPr>
              <w:ind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）接到保洁任务电话或书面通知后，1小时内</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到达并提供解决方案的得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分，2小时内</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到达并提供解决方案的得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小时内</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到达并提供解决方案的得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分，没有不得分。</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提供承诺函原件，格式自拟</w:t>
            </w:r>
            <w:r>
              <w:rPr>
                <w:rFonts w:hint="eastAsia" w:ascii="宋体" w:hAnsi="宋体" w:eastAsia="宋体" w:cs="宋体"/>
                <w:color w:val="auto"/>
                <w:sz w:val="21"/>
                <w:szCs w:val="21"/>
                <w:highlight w:val="none"/>
                <w:lang w:val="zh-CN" w:eastAsia="zh-CN" w:bidi="ar-SA"/>
              </w:rPr>
              <w:t xml:space="preserve">）</w:t>
            </w:r>
            <w:r/>
          </w:p>
          <w:p>
            <w:pPr>
              <w:numPr>
                <w:ilvl w:val="0"/>
                <w:numId w:val="0"/>
              </w:numPr>
              <w:ind w:right="0" w:firstLine="422"/>
              <w:jc w:val="left"/>
              <w:keepLines w:val="0"/>
              <w:keepNext w:val="0"/>
              <w:pageBreakBefore w:val="0"/>
              <w:spacing w:line="360" w:lineRule="auto"/>
              <w:rPr>
                <w:rFonts w:hint="eastAsia" w:ascii="宋体" w:hAnsi="宋体" w:eastAsia="宋体" w:cs="宋体"/>
                <w:color w:val="auto"/>
                <w:highlight w:val="none"/>
                <w:lang w:val="zh-CN"/>
              </w:rPr>
            </w:pPr>
            <w:r>
              <w:rPr>
                <w:rFonts w:hint="eastAsia" w:ascii="宋体" w:hAnsi="宋体" w:eastAsia="宋体" w:cs="宋体"/>
                <w:b/>
                <w:bCs/>
                <w:color w:val="auto"/>
                <w:sz w:val="21"/>
                <w:szCs w:val="21"/>
                <w:highlight w:val="none"/>
                <w:lang w:val="en-US" w:eastAsia="zh-CN" w:bidi="ar-SA"/>
              </w:rPr>
              <w:t xml:space="preserve">注：原件上传，</w:t>
            </w:r>
            <w:r>
              <w:rPr>
                <w:rFonts w:hint="eastAsia" w:ascii="宋体" w:hAnsi="宋体" w:eastAsia="宋体" w:cs="宋体"/>
                <w:b/>
                <w:bCs/>
                <w:color w:val="auto"/>
                <w:szCs w:val="21"/>
                <w:highlight w:val="none"/>
                <w:lang w:val="zh-CN"/>
              </w:rPr>
              <w:t xml:space="preserve">未按要求提供或不提供不得分</w:t>
            </w:r>
            <w:r/>
          </w:p>
        </w:tc>
      </w:tr>
    </w:tbl>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bookmarkEnd w:id="66"/>
      <w:r/>
      <w:bookmarkEnd w:id="67"/>
      <w:r/>
      <w:bookmarkEnd w:id="70"/>
      <w:r/>
      <w:bookmarkEnd w:id="71"/>
      <w:r/>
      <w:bookmarkEnd w:id="72"/>
      <w:r/>
      <w:r/>
    </w:p>
    <w:p>
      <w:pPr>
        <w:pStyle w:val="1202"/>
        <w:rPr>
          <w:rFonts w:hint="eastAsia"/>
          <w:color w:val="auto"/>
          <w:highlight w:val="none"/>
        </w:rPr>
      </w:pPr>
      <w:r/>
      <w:bookmarkStart w:id="75" w:name="_Toc31318"/>
      <w:r/>
      <w:bookmarkStart w:id="76" w:name="_Toc25733"/>
      <w:r/>
      <w:bookmarkStart w:id="77" w:name="_Toc49090576"/>
      <w:r/>
      <w:bookmarkStart w:id="78" w:name="_Toc120614282"/>
      <w:r/>
      <w:bookmarkStart w:id="79" w:name="_Toc26554094"/>
      <w:r>
        <w:rPr>
          <w:rFonts w:hint="eastAsia"/>
          <w:color w:val="auto"/>
          <w:highlight w:val="none"/>
        </w:rPr>
        <w:t xml:space="preserve">第六章 </w:t>
      </w:r>
      <w:r>
        <w:rPr>
          <w:rFonts w:hint="eastAsia"/>
          <w:color w:val="auto"/>
          <w:highlight w:val="none"/>
          <w:lang w:val="en-US" w:eastAsia="zh-CN"/>
        </w:rPr>
        <w:t xml:space="preserve"> </w:t>
      </w:r>
      <w:r>
        <w:rPr>
          <w:rFonts w:hint="eastAsia"/>
          <w:color w:val="auto"/>
          <w:highlight w:val="none"/>
        </w:rPr>
        <w:t xml:space="preserve">投标文件格式</w:t>
      </w:r>
      <w:bookmarkEnd w:id="75"/>
      <w:r/>
      <w:bookmarkEnd w:id="76"/>
      <w:r>
        <w:rPr>
          <w:rFonts w:hint="eastAsia"/>
          <w:color w:val="auto"/>
          <w:highlight w:val="none"/>
        </w:rPr>
        <w:t xml:space="preserve"> </w:t>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w:t>
      </w:r>
      <w:r>
        <w:rPr>
          <w:rFonts w:hint="eastAsia" w:ascii="宋体" w:hAnsi="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名称 ：</w:t>
      </w:r>
      <w:r>
        <w:rPr>
          <w:rFonts w:hint="eastAsia" w:ascii="宋体" w:hAnsi="宋体" w:eastAsia="宋体" w:cs="宋体"/>
          <w:b/>
          <w:color w:val="auto"/>
          <w:sz w:val="36"/>
          <w:szCs w:val="21"/>
          <w:highlight w:val="none"/>
          <w:u w:val="single"/>
        </w:rPr>
        <w:t xml:space="preserve">（加盖CA电子公章）</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jc w:val="cente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pacing w:line="240" w:lineRule="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投标文件的组成</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一、基本目录</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1.开标一览表（格式见附件1）</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2.投标分项报价表（格式见附件2）</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3.技术要求响应及偏离表（格式见附件3）</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4.商务要求响应及偏离表（格式见附件4）</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5.法人授权书（格式见附件5）</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6.投标函（格式见附件6）</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7.主要标的信息（格式见附件7）</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w:t>
      </w:r>
      <w:r/>
    </w:p>
    <w:p>
      <w:pPr>
        <w:pStyle w:val="1211"/>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****（格式见附件**）</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二、资格审查内容</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上一年度</w:t>
      </w:r>
      <w:r>
        <w:rPr>
          <w:rFonts w:hint="eastAsia" w:ascii="宋体" w:hAnsi="宋体" w:eastAsia="宋体" w:cs="宋体"/>
          <w:color w:val="auto"/>
          <w:sz w:val="21"/>
          <w:szCs w:val="21"/>
          <w:highlight w:val="none"/>
        </w:rPr>
        <w:t xml:space="preserve">财务状况报告（成立不满一年无需提供）</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依法缴纳税收和社会保障资金的相关材料（提供提交投标文件截止时间前一年内任意一个月依法缴纳税收和社会保障资金的证明材料。</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依法享受缓缴、免缴税收、社会保障资金的，应提供证明材料</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4.具备履行合同所必需的设备和专业技术能力的书面声明（格式见附件8）</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 3 年内在经营活动中没有重大违法记录的书面声明（格式见附件9）</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6.供应商信用承诺函（格式见附件10）</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7.企业报价折扣证明文件：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中小企业声明函（格式见附件11）。如果本项目专门面向中小企业采购，则必须提供。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监狱企业的证明文件。</w:t>
      </w:r>
      <w:r/>
    </w:p>
    <w:p>
      <w:pPr>
        <w:pStyle w:val="1211"/>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8.联合体协议（格式见附件13）。如果本项目接受联合体投标，</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是联合体的，则必须提供。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9.特定资格要求的证明文件。如果本项目对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做出特定资格要求的，则必须提供。</w:t>
      </w:r>
      <w:r/>
    </w:p>
    <w:p>
      <w:pPr>
        <w:pStyle w:val="1205"/>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三、实质性要求响应及偏离表</w:t>
      </w:r>
      <w:r/>
    </w:p>
    <w:p>
      <w:pPr>
        <w:ind w:left="0"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eastAsia="zh-CN"/>
        </w:rPr>
        <w:t xml:space="preserve">供应商</w:t>
      </w:r>
      <w:r>
        <w:rPr>
          <w:rFonts w:hint="eastAsia" w:ascii="宋体" w:hAnsi="宋体" w:eastAsia="宋体" w:cs="宋体"/>
          <w:i w:val="0"/>
          <w:iCs w:val="0"/>
          <w:color w:val="auto"/>
          <w:sz w:val="21"/>
          <w:szCs w:val="21"/>
          <w:highlight w:val="none"/>
          <w:u w:val="none"/>
        </w:rPr>
        <w:t xml:space="preserve">必须对技术要求和商务要求中加斜体下划线的实质性要求逐条做出响应，并按照招标文件要求提供证明材料，否则</w:t>
      </w:r>
      <w:r>
        <w:rPr>
          <w:rFonts w:hint="eastAsia" w:ascii="宋体" w:hAnsi="宋体" w:eastAsia="宋体" w:cs="宋体"/>
          <w:i w:val="0"/>
          <w:iCs w:val="0"/>
          <w:color w:val="auto"/>
          <w:sz w:val="21"/>
          <w:szCs w:val="21"/>
          <w:highlight w:val="none"/>
          <w:u w:val="none"/>
          <w:lang w:eastAsia="zh-CN"/>
        </w:rPr>
        <w:t xml:space="preserve">作</w:t>
      </w:r>
      <w:r>
        <w:rPr>
          <w:rFonts w:hint="eastAsia" w:ascii="宋体" w:hAnsi="宋体" w:eastAsia="宋体" w:cs="宋体"/>
          <w:i w:val="0"/>
          <w:iCs w:val="0"/>
          <w:color w:val="auto"/>
          <w:sz w:val="21"/>
          <w:szCs w:val="21"/>
          <w:highlight w:val="none"/>
          <w:u w:val="none"/>
        </w:rPr>
        <w:t xml:space="preserve">无效投标处理。（格式见附件</w:t>
      </w:r>
      <w:r>
        <w:rPr>
          <w:rFonts w:hint="eastAsia" w:ascii="宋体" w:hAnsi="宋体" w:eastAsia="宋体" w:cs="宋体"/>
          <w:i w:val="0"/>
          <w:iCs w:val="0"/>
          <w:color w:val="auto"/>
          <w:sz w:val="21"/>
          <w:szCs w:val="21"/>
          <w:highlight w:val="none"/>
          <w:u w:val="none"/>
          <w:lang w:val="en-US" w:eastAsia="zh-CN"/>
        </w:rPr>
        <w:t xml:space="preserve">14</w:t>
      </w:r>
      <w:r>
        <w:rPr>
          <w:rFonts w:hint="eastAsia" w:ascii="宋体" w:hAnsi="宋体" w:eastAsia="宋体" w:cs="宋体"/>
          <w:i w:val="0"/>
          <w:iCs w:val="0"/>
          <w:color w:val="auto"/>
          <w:sz w:val="21"/>
          <w:szCs w:val="21"/>
          <w:highlight w:val="none"/>
          <w:u w:val="none"/>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w:t>
      </w:r>
      <w:r>
        <w:rPr>
          <w:rFonts w:hint="eastAsia" w:ascii="宋体" w:hAnsi="宋体" w:eastAsia="宋体" w:cs="宋体"/>
          <w:b/>
          <w:bCs/>
          <w:color w:val="auto"/>
          <w:sz w:val="21"/>
          <w:szCs w:val="21"/>
          <w:highlight w:val="none"/>
          <w:lang w:val="en-US" w:eastAsia="zh-CN"/>
        </w:rPr>
        <w:t xml:space="preserve">价格扣除</w:t>
      </w:r>
      <w:r>
        <w:rPr>
          <w:rFonts w:hint="eastAsia" w:ascii="宋体" w:hAnsi="宋体" w:eastAsia="宋体" w:cs="宋体"/>
          <w:b/>
          <w:bCs/>
          <w:color w:val="auto"/>
          <w:sz w:val="21"/>
          <w:szCs w:val="21"/>
          <w:highlight w:val="none"/>
        </w:rPr>
        <w:t xml:space="preserve">证明文件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1.中小企业声明函（格式见附件11）</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2.残疾人福利性单位声明函（格式见附件12）</w:t>
      </w:r>
      <w:r/>
    </w:p>
    <w:p>
      <w:pPr>
        <w:ind w:left="0" w:firstLine="480"/>
        <w:keepLines w:val="0"/>
        <w:keepNext w:val="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 </w:t>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开标一览表</w:t>
      </w:r>
      <w:r/>
    </w:p>
    <w:p>
      <w:pPr>
        <w:ind w:firstLine="482"/>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全称（加盖CA电子签章）：</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1204"/>
        <w:tblW w:w="7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1"/>
      </w:tblGrid>
      <w:tr>
        <w:trPr>
          <w:cantSplit/>
          <w:jc w:val="center"/>
          <w:trHeight w:val="739"/>
        </w:trPr>
        <w:tc>
          <w:tcPr>
            <w:tcW w:w="7791" w:type="dxa"/>
            <w:vAlign w:val="center"/>
            <w:textDirection w:val="lrTb"/>
            <w:noWrap w:val="false"/>
          </w:tcPr>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投标总报价</w:t>
            </w:r>
            <w:r/>
          </w:p>
        </w:tc>
      </w:tr>
      <w:tr>
        <w:trPr>
          <w:cantSplit/>
          <w:jc w:val="center"/>
          <w:trHeight w:val="739"/>
        </w:trPr>
        <w:tc>
          <w:tcPr>
            <w:tcW w:w="779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                             （人民币：元）</w:t>
            </w:r>
            <w:r/>
          </w:p>
        </w:tc>
      </w:tr>
      <w:tr>
        <w:trPr>
          <w:cantSplit/>
          <w:jc w:val="center"/>
          <w:trHeight w:val="625"/>
        </w:trPr>
        <w:tc>
          <w:tcPr>
            <w:tcW w:w="7791" w:type="dxa"/>
            <w:vAlign w:val="center"/>
            <w:textDirection w:val="lrTb"/>
            <w:noWrap w:val="false"/>
          </w:tcPr>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tc>
      </w:tr>
    </w:tbl>
    <w:p>
      <w:pPr>
        <w:pStyle w:val="120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240" w:lineRule="auto"/>
        <w:rPr>
          <w:rFonts w:hint="eastAsia" w:ascii="宋体" w:hAnsi="宋体" w:eastAsia="宋体" w:cs="宋体"/>
          <w:color w:val="auto"/>
          <w:sz w:val="24"/>
          <w:szCs w:val="24"/>
          <w:highlight w:val="none"/>
        </w:rPr>
        <w:sectPr>
          <w:headerReference w:type="default" r:id="rId11"/>
          <w:footerReference w:type="default"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附件2            </w:t>
      </w:r>
      <w:r/>
    </w:p>
    <w:p>
      <w:pPr>
        <w:ind w:firstLine="482"/>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投标分项报价表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全称（加盖CA电子签章）：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bl>
      <w:tblPr>
        <w:tblStyle w:val="1204"/>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0"/>
        <w:gridCol w:w="1336"/>
        <w:gridCol w:w="4719"/>
        <w:gridCol w:w="992"/>
        <w:gridCol w:w="624"/>
        <w:gridCol w:w="1285"/>
        <w:gridCol w:w="975"/>
        <w:gridCol w:w="3662"/>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66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备注</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公园保洁</w:t>
            </w:r>
            <w:r/>
          </w:p>
        </w:tc>
        <w:tc>
          <w:tcPr>
            <w:shd w:val="clear" w:color="auto" w:fill="auto"/>
            <w:tcBorders>
              <w:top w:val="single" w:color="000000" w:sz="4" w:space="0"/>
              <w:left w:val="single" w:color="000000" w:sz="4" w:space="0"/>
              <w:bottom w:val="single" w:color="000000" w:sz="4" w:space="0"/>
              <w:right w:val="single" w:color="000000" w:sz="4" w:space="0"/>
            </w:tcBorders>
            <w:tcW w:w="1665"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1、包括不限于公园范围内的园路、广场、健身步道、亭台、廊架、绿化带等清扫及垃圾清理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2、做到无有色垃圾、无枯枝败叶等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3、保洁期一年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4、保洁质量需满足相关规定及建设单位要求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1008800</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各公园面积见附表1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公园厕所保洁</w:t>
            </w:r>
            <w:r/>
          </w:p>
        </w:tc>
        <w:tc>
          <w:tcPr>
            <w:shd w:val="clear" w:color="auto" w:fill="auto"/>
            <w:tcBorders>
              <w:top w:val="single" w:color="000000" w:sz="4" w:space="0"/>
              <w:left w:val="single" w:color="000000" w:sz="4" w:space="0"/>
              <w:bottom w:val="single" w:color="000000" w:sz="4" w:space="0"/>
              <w:right w:val="single" w:color="000000" w:sz="4" w:space="0"/>
            </w:tcBorders>
            <w:tcW w:w="1665"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1、厕所无异味；大、小便器无污渍；纸篓及时清理；洗手台面干净整洁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2、保洁期一年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3、保洁质量需满足相关规定及建设单位要求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本项目共计26个厕所，根据实际使用情况灵活调配，确保环境卫生达到建设单位要求</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厕所保洁</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保洁用品及耗材</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26.00 </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各公园厕所一年保洁用品包括但不限于各类消杀用品、蚊香、清洁球、垃圾袋等损耗品，保洁用品及耗材见附表2</w:t>
            </w:r>
            <w:r/>
          </w:p>
        </w:tc>
      </w:tr>
      <w:tr>
        <w:trPr>
          <w:trHeight w:val="2567"/>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公园安保</w:t>
            </w:r>
            <w:r/>
          </w:p>
        </w:tc>
        <w:tc>
          <w:tcPr>
            <w:shd w:val="clear" w:color="auto" w:fill="auto"/>
            <w:tcBorders>
              <w:top w:val="single" w:color="000000" w:sz="4" w:space="0"/>
              <w:left w:val="single" w:color="000000" w:sz="4" w:space="0"/>
              <w:bottom w:val="single" w:color="000000" w:sz="4" w:space="0"/>
              <w:right w:val="single" w:color="000000" w:sz="4" w:space="0"/>
            </w:tcBorders>
            <w:tcW w:w="1665"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1、公园内治安巡查、秩序维护</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2、安保期一年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3、安保质量需满足相关规定及建设单位要求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本项目共计79个公园，结合各公园面积、安保需求差异及实际人员流动状况，配置25名保安人员，实行弹性调配、机动巡查，确保安保服务全覆盖达到建设单位要求，该项总价为25名安保人员一年费用之和</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安保人员工资</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不得低于</w:t>
            </w:r>
            <w:r>
              <w:rPr>
                <w:rFonts w:hint="eastAsia" w:ascii="宋体" w:hAnsi="宋体" w:eastAsia="宋体" w:cs="宋体"/>
                <w:b w:val="0"/>
                <w:bCs w:val="0"/>
                <w:i w:val="0"/>
                <w:iCs w:val="0"/>
                <w:color w:val="auto"/>
                <w:sz w:val="21"/>
                <w:szCs w:val="21"/>
                <w:highlight w:val="none"/>
                <w:u w:val="none"/>
                <w:lang w:val="en-US" w:eastAsia="zh-CN" w:bidi="ar"/>
              </w:rPr>
              <w:t xml:space="preserve">扬州市最低标准</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社会保险费</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含养老、工伤、失业、医疗、大病补助</w:t>
            </w:r>
            <w:r>
              <w:rPr>
                <w:rFonts w:hint="eastAsia" w:ascii="宋体" w:hAnsi="宋体" w:cs="宋体"/>
                <w:b w:val="0"/>
                <w:bCs w:val="0"/>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不</w:t>
            </w:r>
            <w:r>
              <w:rPr>
                <w:rFonts w:hint="eastAsia" w:ascii="宋体" w:hAnsi="宋体" w:cs="宋体"/>
                <w:b w:val="0"/>
                <w:bCs w:val="0"/>
                <w:i w:val="0"/>
                <w:iCs w:val="0"/>
                <w:color w:val="auto"/>
                <w:sz w:val="21"/>
                <w:szCs w:val="21"/>
                <w:highlight w:val="none"/>
                <w:u w:val="none"/>
                <w:lang w:val="en-US" w:eastAsia="zh-CN" w:bidi="ar"/>
              </w:rPr>
              <w:t xml:space="preserve">得</w:t>
            </w:r>
            <w:r>
              <w:rPr>
                <w:rFonts w:hint="eastAsia" w:ascii="宋体" w:hAnsi="宋体" w:eastAsia="宋体" w:cs="宋体"/>
                <w:b w:val="0"/>
                <w:bCs w:val="0"/>
                <w:i w:val="0"/>
                <w:iCs w:val="0"/>
                <w:color w:val="auto"/>
                <w:sz w:val="21"/>
                <w:szCs w:val="21"/>
                <w:highlight w:val="none"/>
                <w:u w:val="none"/>
                <w:lang w:val="en-US" w:eastAsia="zh-CN" w:bidi="ar"/>
              </w:rPr>
              <w:t xml:space="preserve">低于扬州市最低标准</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意外保险费</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一年意外伤害险费用</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高温补贴不低于国家相关规定标准300元/月，计4个月/年/人</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考虑春装、夏装、冬装各一套</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过节福利费</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考虑中秋节和春节两个节日福利费</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总</w:t>
            </w:r>
            <w:r>
              <w:rPr>
                <w:rFonts w:hint="eastAsia" w:ascii="宋体" w:hAnsi="宋体" w:eastAsia="宋体" w:cs="宋体"/>
                <w:b w:val="0"/>
                <w:bCs w:val="0"/>
                <w:i w:val="0"/>
                <w:iCs w:val="0"/>
                <w:color w:val="auto"/>
                <w:sz w:val="21"/>
                <w:szCs w:val="21"/>
                <w:highlight w:val="none"/>
                <w:u w:val="none"/>
                <w:lang w:val="en-US" w:eastAsia="zh-CN" w:bidi="ar"/>
              </w:rPr>
              <w:t xml:space="preserve">计</w:t>
            </w:r>
            <w:r/>
          </w:p>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（一项+二项+三项）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bookmarkEnd w:id="77"/>
            <w:r/>
            <w:bookmarkEnd w:id="78"/>
            <w:r/>
            <w:bookmarkEnd w:id="79"/>
            <w:r/>
            <w:r/>
          </w:p>
        </w:tc>
      </w:tr>
    </w:tbl>
    <w:p>
      <w:pPr>
        <w:pStyle w:val="1210"/>
        <w:ind w:firstLine="420"/>
        <w:jc w:val="both"/>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备注：</w:t>
      </w:r>
      <w:r/>
    </w:p>
    <w:p>
      <w:pPr>
        <w:pStyle w:val="1210"/>
        <w:ind w:firstLine="420"/>
        <w:jc w:val="both"/>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投标报价采用总承包方式，“投标总报价”应包括采购人需求的服务（包含与服务相关的货物）价格</w:t>
      </w:r>
      <w:r>
        <w:rPr>
          <w:rFonts w:hint="eastAsia" w:ascii="宋体" w:hAnsi="宋体" w:cs="宋体"/>
          <w:color w:val="auto"/>
          <w:sz w:val="21"/>
          <w:szCs w:val="21"/>
          <w:highlight w:val="none"/>
          <w:lang w:val="en-US" w:eastAsia="zh-CN"/>
        </w:rPr>
        <w:t xml:space="preserve">和</w:t>
      </w:r>
      <w:r>
        <w:rPr>
          <w:rFonts w:ascii="宋体" w:hAnsi="宋体" w:eastAsia="宋体" w:cs="宋体"/>
          <w:color w:val="auto"/>
          <w:sz w:val="21"/>
          <w:szCs w:val="21"/>
          <w:highlight w:val="none"/>
        </w:rPr>
        <w:t xml:space="preserve">所有相关税金费用及为完成整个项目所产生的其它所有费用，招标文件另有规定的除外。</w:t>
      </w:r>
      <w:r/>
    </w:p>
    <w:p>
      <w:pPr>
        <w:pStyle w:val="1210"/>
        <w:ind w:firstLine="420"/>
        <w:jc w:val="both"/>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2.“投标分项报价表”中“投标总报价”数额应当与“开标一览表”中“投标总报价”数额一致。</w:t>
      </w:r>
      <w:r/>
    </w:p>
    <w:p>
      <w:pPr>
        <w:ind w:firstLine="420"/>
        <w:keepLines w:val="0"/>
        <w:keepNext w:val="0"/>
        <w:pageBreakBefore w:val="0"/>
        <w:widowControl w:val="off"/>
        <w:rPr>
          <w:rFonts w:hint="eastAsia" w:ascii="宋体" w:hAnsi="宋体" w:eastAsia="宋体" w:cs="宋体"/>
          <w:color w:val="auto"/>
          <w:sz w:val="21"/>
          <w:szCs w:val="21"/>
          <w:highlight w:val="none"/>
        </w:rPr>
        <w:sectPr>
          <w:headerReference w:type="default" r:id="rId12"/>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auto"/>
          <w:sz w:val="21"/>
          <w:szCs w:val="21"/>
          <w:highlight w:val="none"/>
        </w:rPr>
        <w:t xml:space="preserve">3. 项目经办人可以根据项目实际需要对表格结构进行调整。</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附件3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技术要求响应及偏离表</w:t>
      </w:r>
      <w:r/>
    </w:p>
    <w:tbl>
      <w:tblPr>
        <w:tblStyle w:val="120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568"/>
        <w:gridCol w:w="1912"/>
        <w:gridCol w:w="1405"/>
        <w:gridCol w:w="1998"/>
      </w:tblGrid>
      <w:tr>
        <w:trPr>
          <w:cantSplit/>
        </w:trPr>
        <w:tc>
          <w:tcPr>
            <w:tcW w:w="36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09"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W w:w="1124"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技术要求</w:t>
            </w:r>
            <w:r/>
          </w:p>
        </w:tc>
        <w:tc>
          <w:tcPr>
            <w:tcW w:w="826"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1174"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365"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总体服务基本要求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公园保洁服务标准及工作要求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公园安保秩序维护工作要求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公共类活动现场管理要求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项目内部管理要求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安全、文明作业要求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安全事故处理要求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ind w:firstLine="210"/>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应急预案要求</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ind w:firstLine="210"/>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09"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ind w:firstLine="210"/>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509" w:type="pct"/>
            <w:textDirection w:val="lrTb"/>
            <w:noWrap w:val="false"/>
          </w:tcPr>
          <w:p>
            <w:pPr>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tcW w:w="112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附件3-1  证明材料1，证明材料2，……</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需对技术要求（未加斜体下划线的非实质性要求）逐条做出明确响应。</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需将证明材料列于该表之下。</w:t>
      </w:r>
      <w:r/>
    </w:p>
    <w:p>
      <w:pPr>
        <w:rPr>
          <w:rFonts w:hint="eastAsia" w:ascii="宋体" w:hAnsi="宋体" w:eastAsia="宋体" w:cs="宋体"/>
          <w:b/>
          <w:bCs/>
          <w:i/>
          <w:color w:val="auto"/>
          <w:sz w:val="22"/>
          <w:szCs w:val="22"/>
          <w:highlight w:val="none"/>
          <w:u w:val="single"/>
        </w:rPr>
        <w:sectPr>
          <w:head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i/>
          <w:color w:val="auto"/>
          <w:sz w:val="22"/>
          <w:szCs w:val="22"/>
          <w:highlight w:val="none"/>
          <w:u w:val="singl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             </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rPr>
          <w:rFonts w:hint="eastAsia" w:ascii="宋体" w:hAnsi="宋体" w:eastAsia="宋体" w:cs="宋体"/>
          <w:color w:val="auto"/>
          <w:sz w:val="24"/>
          <w:szCs w:val="24"/>
          <w:highlight w:val="none"/>
        </w:rPr>
        <w:t xml:space="preserve">                               </w:t>
      </w:r>
      <w:r/>
    </w:p>
    <w:tbl>
      <w:tblPr>
        <w:tblStyle w:val="120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2023"/>
        <w:gridCol w:w="2023"/>
        <w:gridCol w:w="2301"/>
        <w:gridCol w:w="1506"/>
      </w:tblGrid>
      <w:tr>
        <w:trPr>
          <w:cantSplit/>
        </w:trPr>
        <w:tc>
          <w:tcPr>
            <w:tcW w:w="391"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87"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W w:w="118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商务要求</w:t>
            </w:r>
            <w:r/>
          </w:p>
        </w:tc>
        <w:tc>
          <w:tcPr>
            <w:tcW w:w="135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88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391"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项目概况</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服务内容</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合同履行期限</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付款方式</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1187" w:type="pct"/>
            <w:textDirection w:val="lrTb"/>
            <w:noWrap w:val="false"/>
          </w:tcPr>
          <w:p>
            <w:pPr>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1187"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其他</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附件4-1  证明材料1，证明材料2，……</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需对商务要求（未加斜体下划线的非实质性要求）逐条做出明确响应。</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需将证明材料列于该表之下。</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spacing w:line="460" w:lineRule="exact"/>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附件5                    </w:t>
      </w:r>
      <w:r/>
    </w:p>
    <w:p>
      <w:pPr>
        <w:jc w:val="center"/>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法人授权书</w:t>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名称）授权________________（被授权人的姓名）为我方就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项目采购活动的合法代理人，以本单位名义全权处理一切与该项目采购有关的事务。</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highlight w:val="none"/>
        </w:rPr>
      </w:pPr>
      <w:r>
        <w:rPr>
          <w:rFonts w:hint="eastAsia" w:ascii="宋体" w:hAnsi="宋体" w:eastAsia="宋体" w:cs="宋体"/>
          <w:b/>
          <w:color w:val="auto"/>
          <w:szCs w:val="44"/>
          <w:highlight w:val="none"/>
        </w:rPr>
        <w:br w:type="page" w:clear="all"/>
      </w:r>
      <w:r>
        <w:rPr>
          <w:rFonts w:hint="eastAsia" w:ascii="宋体" w:hAnsi="宋体" w:eastAsia="宋体" w:cs="宋体"/>
          <w:b/>
          <w:bCs/>
          <w:color w:val="auto"/>
          <w:sz w:val="24"/>
          <w:szCs w:val="24"/>
          <w:highlight w:val="none"/>
        </w:rPr>
        <w:t xml:space="preserve">附件6</w:t>
      </w:r>
      <w:r/>
    </w:p>
    <w:p>
      <w:pPr>
        <w:ind w:left="0" w:firstLine="482"/>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投标函</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江苏远锐工程管理咨询有限公司</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号招标文件，正式授权下述签字人_____(姓名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的名称），全权处理本次项目投标的有关事宜。</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按照</w:t>
      </w:r>
      <w:r>
        <w:rPr>
          <w:rFonts w:hint="eastAsia" w:ascii="宋体" w:hAnsi="宋体" w:eastAsia="宋体" w:cs="宋体"/>
          <w:color w:val="auto"/>
          <w:sz w:val="21"/>
          <w:szCs w:val="21"/>
          <w:highlight w:val="none"/>
        </w:rPr>
        <w:t xml:space="preserve">招标文件规定的各项要求，向买方提供所需的服务。</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开户行：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期：______年____月____日</w:t>
      </w:r>
      <w:r/>
    </w:p>
    <w:p>
      <w:pPr>
        <w:pStyle w:val="1211"/>
        <w:ind w:left="0"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pStyle w:val="1211"/>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附件7           </w:t>
      </w:r>
      <w:r/>
    </w:p>
    <w:p>
      <w:pPr>
        <w:pStyle w:val="1211"/>
        <w:ind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1"/>
          <w:highlight w:val="none"/>
        </w:rPr>
        <w:t xml:space="preserve">主要标的信息（中标后将公示）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全称：            </w:t>
      </w:r>
      <w:r/>
    </w:p>
    <w:tbl>
      <w:tblPr>
        <w:tblStyle w:val="1204"/>
        <w:tblW w:w="7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9"/>
      </w:tblGrid>
      <w:tr>
        <w:trPr>
          <w:jc w:val="center"/>
          <w:trHeight w:val="375"/>
        </w:trPr>
        <w:tc>
          <w:tcPr>
            <w:tcW w:w="7669"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r>
      <w:tr>
        <w:trPr>
          <w:jc w:val="center"/>
          <w:trHeight w:val="2395"/>
        </w:trPr>
        <w:tc>
          <w:tcPr>
            <w:tcW w:w="7669"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服务范围：</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服务要求：</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服务时间：</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服务标准：</w:t>
            </w:r>
            <w:r/>
          </w:p>
        </w:tc>
      </w:tr>
    </w:tbl>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11"/>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pStyle w:val="1211"/>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附件8</w:t>
      </w:r>
      <w:r/>
    </w:p>
    <w:p>
      <w:pPr>
        <w:ind w:firstLine="120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具备履行合同所必需的设备和专业技术能力的书面声明</w:t>
      </w:r>
      <w:r/>
    </w:p>
    <w:p>
      <w:pPr>
        <w:ind w:firstLine="0"/>
        <w:keepLines w:val="0"/>
        <w:keepNext w:val="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0"/>
        <w:keepLines w:val="0"/>
        <w:keepNext w:val="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0"/>
        <w:jc w:val="right"/>
        <w:keepLines w:val="0"/>
        <w:keepNext w:val="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1211"/>
        <w:ind w:firstLine="0"/>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pStyle w:val="1211"/>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附件9</w:t>
      </w:r>
      <w:r>
        <w:rPr>
          <w:rFonts w:hint="eastAsia" w:ascii="宋体" w:hAnsi="宋体" w:eastAsia="宋体" w:cs="宋体"/>
          <w:bCs/>
          <w:color w:val="auto"/>
          <w:sz w:val="24"/>
          <w:szCs w:val="21"/>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参加政府采购活动前 3 年内在经营活动中没有重大违法记录的书面声明</w:t>
      </w:r>
      <w:r/>
    </w:p>
    <w:p>
      <w:pPr>
        <w:ind w:left="0" w:firstLine="482"/>
        <w:jc w:val="center"/>
        <w:keepLines w:val="0"/>
        <w:keepNext w:val="0"/>
        <w:pageBreakBefore w:val="0"/>
        <w:spacing w:line="360" w:lineRule="auto"/>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firstLine="420"/>
        <w:jc w:val="righ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spacing w:line="500" w:lineRule="exact"/>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spacing w:line="5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附件10                     </w:t>
      </w:r>
      <w:r/>
    </w:p>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1"/>
          <w:highlight w:val="none"/>
        </w:rPr>
        <w:t xml:space="preserve">供应商信用承诺函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承诺单位（加盖CA电子公章）：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jc w:val="right"/>
        <w:rPr>
          <w:rFonts w:hint="eastAsia" w:ascii="宋体" w:hAnsi="宋体" w:eastAsia="宋体" w:cs="宋体"/>
          <w:b/>
          <w:bCs/>
          <w:i/>
          <w:color w:val="auto"/>
          <w:sz w:val="21"/>
          <w:szCs w:val="21"/>
          <w:highlight w:val="none"/>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i/>
          <w:color w:val="auto"/>
          <w:sz w:val="21"/>
          <w:szCs w:val="21"/>
          <w:highlight w:val="none"/>
          <w:u w:val="single"/>
        </w:rPr>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附件11 </w:t>
      </w:r>
      <w:r/>
    </w:p>
    <w:p>
      <w:pPr>
        <w:ind w:firstLine="442"/>
        <w:jc w:val="center"/>
        <w:keepLines w:val="0"/>
        <w:keepNext w:val="0"/>
        <w:pageBreakBefore w:val="0"/>
        <w:spacing w:line="360" w:lineRule="auto"/>
        <w:widowControl w:val="off"/>
        <w:rPr>
          <w:rFonts w:hint="eastAsia" w:ascii="宋体" w:hAnsi="宋体" w:eastAsia="宋体" w:cs="宋体"/>
          <w:b/>
          <w:i w:val="0"/>
          <w:iCs w:val="0"/>
          <w:color w:val="auto"/>
          <w:sz w:val="22"/>
          <w:szCs w:val="22"/>
          <w:highlight w:val="none"/>
          <w:u w:val="none"/>
          <w:lang w:eastAsia="zh-CN"/>
        </w:rPr>
      </w:pPr>
      <w:r>
        <w:rPr>
          <w:rFonts w:hint="eastAsia" w:ascii="宋体" w:hAnsi="宋体" w:eastAsia="宋体" w:cs="宋体"/>
          <w:b/>
          <w:i w:val="0"/>
          <w:iCs w:val="0"/>
          <w:color w:val="auto"/>
          <w:sz w:val="22"/>
          <w:szCs w:val="22"/>
          <w:highlight w:val="none"/>
          <w:u w:val="none"/>
        </w:rPr>
        <w:t xml:space="preserve">中小企业声明函</w:t>
      </w:r>
      <w:r>
        <w:rPr>
          <w:rFonts w:hint="eastAsia" w:ascii="宋体" w:hAnsi="宋体" w:eastAsia="宋体" w:cs="宋体"/>
          <w:b/>
          <w:i w:val="0"/>
          <w:iCs w:val="0"/>
          <w:color w:val="auto"/>
          <w:sz w:val="22"/>
          <w:szCs w:val="22"/>
          <w:highlight w:val="none"/>
          <w:u w:val="none"/>
          <w:lang w:eastAsia="zh-CN"/>
        </w:rPr>
        <w:t xml:space="preserve">（</w:t>
      </w:r>
      <w:r>
        <w:rPr>
          <w:rFonts w:hint="eastAsia" w:ascii="宋体" w:hAnsi="宋体" w:eastAsia="宋体" w:cs="宋体"/>
          <w:b/>
          <w:i w:val="0"/>
          <w:iCs w:val="0"/>
          <w:color w:val="auto"/>
          <w:sz w:val="22"/>
          <w:szCs w:val="22"/>
          <w:highlight w:val="none"/>
          <w:u w:val="none"/>
          <w:lang w:val="en-US" w:eastAsia="zh-CN"/>
        </w:rPr>
        <w:t xml:space="preserve">服务类项目</w:t>
      </w:r>
      <w:r>
        <w:rPr>
          <w:rFonts w:hint="eastAsia" w:ascii="宋体" w:hAnsi="宋体" w:eastAsia="宋体" w:cs="宋体"/>
          <w:b/>
          <w:i w:val="0"/>
          <w:iCs w:val="0"/>
          <w:color w:val="auto"/>
          <w:sz w:val="22"/>
          <w:szCs w:val="22"/>
          <w:highlight w:val="none"/>
          <w:u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80" w:name="_Toc150519795"/>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b/>
          <w:i w:val="0"/>
          <w:iCs w:val="0"/>
          <w:color w:val="auto"/>
          <w:sz w:val="21"/>
          <w:szCs w:val="21"/>
          <w:highlight w:val="none"/>
          <w:u w:val="single"/>
          <w:lang w:val="en-US" w:eastAsia="zh-CN"/>
        </w:rPr>
        <w:t xml:space="preserve">其他未列明行业</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en-US"/>
        </w:rPr>
        <w:fldChar w:fldCharType="begin"/>
      </w:r>
      <w:r>
        <w:rPr>
          <w:rFonts w:hint="eastAsia" w:ascii="宋体" w:hAnsi="宋体" w:eastAsia="宋体" w:cs="宋体"/>
          <w:color w:val="auto"/>
          <w:spacing w:val="-1"/>
          <w:sz w:val="21"/>
          <w:szCs w:val="21"/>
          <w:highlight w:val="none"/>
          <w:vertAlign w:val="superscript"/>
        </w:rPr>
        <w:instrText xml:space="preserve"> HYPERLINK \l "br1" </w:instrText>
      </w:r>
      <w:r>
        <w:rPr>
          <w:rFonts w:hint="eastAsia" w:ascii="宋体" w:hAnsi="宋体" w:eastAsia="宋体" w:cs="宋体"/>
          <w:color w:val="auto"/>
          <w:sz w:val="21"/>
          <w:szCs w:val="21"/>
          <w:highlight w:val="none"/>
          <w:lang w:eastAsia="en-US"/>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z w:val="21"/>
          <w:szCs w:val="21"/>
          <w:highlight w:val="none"/>
          <w:lang w:eastAsia="en-US"/>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b/>
          <w:i w:val="0"/>
          <w:iCs w:val="0"/>
          <w:color w:val="auto"/>
          <w:sz w:val="21"/>
          <w:szCs w:val="21"/>
          <w:highlight w:val="none"/>
          <w:u w:val="single"/>
          <w:lang w:val="en-US" w:eastAsia="zh-CN"/>
        </w:rPr>
        <w:t xml:space="preserve">其他未列明行业</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420"/>
        <w:jc w:val="righ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日 期：</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2.专门面向中小企业采购的项目，供应商如不提供此声明函，则不能通过资格审查；非专门面向中小企业采购的项目，供应商如不提供此声明函，价格将不做相应扣除。</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3.供应商应对照《工业和信息化部、国家统计局、国家发展和改革委员会、</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财政部关于印发中小企业划型标准规定的通知》(工信部联企业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《国家统计局关于印发〈统计上大中小微型企业划分办法（2017）〉的通知》（国统字〔2017〕213号）的规定，自行勾选制造商的企业规模类型。    </w:t>
      </w:r>
      <w:r/>
    </w:p>
    <w:p>
      <w:pPr>
        <w:pStyle w:val="1215"/>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1"/>
          <w:szCs w:val="21"/>
          <w:highlight w:val="none"/>
        </w:rPr>
        <w:t xml:space="preserve">中小微企业划型标准</w:t>
      </w:r>
      <w:bookmarkEnd w:id="80"/>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中小微企业划型标准如下：</w:t>
      </w:r>
      <w:r/>
    </w:p>
    <w:tbl>
      <w:tblPr>
        <w:tblStyle w:val="1204"/>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bl>
    <w:p>
      <w:pPr>
        <w:ind w:firstLine="810"/>
        <w:jc w:val="left"/>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说明：上述标准参照《关于印发中小企业划型标准规定的通知》（工信部联企业</w:t>
      </w:r>
      <w:r>
        <w:rPr>
          <w:rFonts w:hint="eastAsia" w:ascii="宋体" w:hAnsi="宋体" w:eastAsia="宋体" w:cs="宋体"/>
          <w:b/>
          <w:color w:val="auto"/>
          <w:sz w:val="21"/>
          <w:szCs w:val="21"/>
          <w:highlight w:val="none"/>
          <w:lang w:eastAsia="zh-CN"/>
        </w:rPr>
        <w:t xml:space="preserve">〔2011〕300号</w:t>
      </w:r>
      <w:r>
        <w:rPr>
          <w:rFonts w:hint="eastAsia" w:ascii="宋体" w:hAnsi="宋体" w:eastAsia="宋体" w:cs="宋体"/>
          <w:b/>
          <w:color w:val="auto"/>
          <w:sz w:val="21"/>
          <w:szCs w:val="21"/>
          <w:highlight w:val="none"/>
        </w:rPr>
        <w:t xml:space="preserve">），大型、中型和小型企业须同时满足所列指标的下限，否则下划一档；微型企业只</w:t>
      </w:r>
      <w:r>
        <w:rPr>
          <w:rFonts w:hint="eastAsia" w:ascii="宋体" w:hAnsi="宋体" w:eastAsia="宋体" w:cs="宋体"/>
          <w:b/>
          <w:color w:val="auto"/>
          <w:sz w:val="21"/>
          <w:szCs w:val="21"/>
          <w:highlight w:val="none"/>
          <w:lang w:eastAsia="zh-CN"/>
        </w:rPr>
        <w:t xml:space="preserve">需</w:t>
      </w:r>
      <w:r>
        <w:rPr>
          <w:rFonts w:hint="eastAsia" w:ascii="宋体" w:hAnsi="宋体" w:eastAsia="宋体" w:cs="宋体"/>
          <w:b/>
          <w:color w:val="auto"/>
          <w:sz w:val="21"/>
          <w:szCs w:val="21"/>
          <w:highlight w:val="none"/>
        </w:rPr>
        <w:t xml:space="preserve">满足所列指标中的一项即可。</w:t>
      </w:r>
      <w:r/>
    </w:p>
    <w:p>
      <w:pP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24"/>
          <w:szCs w:val="21"/>
          <w:highlight w:val="none"/>
        </w:rPr>
        <w:t xml:space="preserve">附件12</w:t>
      </w:r>
      <w:r/>
    </w:p>
    <w:p>
      <w:pPr>
        <w:ind w:right="0" w:firstLine="482"/>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rPr>
          <w:rFonts w:hint="eastAsia" w:ascii="宋体" w:hAnsi="宋体" w:eastAsia="宋体" w:cs="宋体"/>
          <w:b/>
          <w:i w:val="0"/>
          <w:iCs w:val="0"/>
          <w:color w:val="auto"/>
          <w:sz w:val="24"/>
          <w:szCs w:val="24"/>
          <w:highlight w:val="none"/>
          <w:u w:val="none"/>
          <w:lang w:eastAsia="zh-CN"/>
        </w:rPr>
        <w:t xml:space="preserve">（</w:t>
      </w:r>
      <w:r>
        <w:rPr>
          <w:rFonts w:hint="eastAsia" w:ascii="宋体" w:hAnsi="宋体" w:eastAsia="宋体" w:cs="宋体"/>
          <w:b/>
          <w:i w:val="0"/>
          <w:iCs w:val="0"/>
          <w:color w:val="auto"/>
          <w:sz w:val="24"/>
          <w:szCs w:val="24"/>
          <w:highlight w:val="none"/>
          <w:u w:val="none"/>
          <w:lang w:val="en-US" w:eastAsia="zh-CN"/>
        </w:rPr>
        <w:t xml:space="preserve">服务类项目</w:t>
      </w:r>
      <w:r>
        <w:rPr>
          <w:rFonts w:hint="eastAsia" w:ascii="宋体" w:hAnsi="宋体" w:eastAsia="宋体" w:cs="宋体"/>
          <w:b/>
          <w:i w:val="0"/>
          <w:iCs w:val="0"/>
          <w:color w:val="auto"/>
          <w:sz w:val="24"/>
          <w:szCs w:val="24"/>
          <w:highlight w:val="none"/>
          <w:u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lang w:eastAsia="zh-CN"/>
        </w:rPr>
        <w:t xml:space="preserve">〔2017〕141号</w:t>
      </w:r>
      <w:r>
        <w:rPr>
          <w:rFonts w:hint="eastAsia" w:ascii="宋体" w:hAnsi="宋体" w:eastAsia="宋体" w:cs="宋体"/>
          <w:color w:val="auto"/>
          <w:sz w:val="21"/>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项目采购活动提供本单位制造的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，或者提供其他残疾人福利性单位制造的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（不包括使用非残疾人福利性单位注册商标的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right"/>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w:t>
      </w:r>
      <w:r/>
    </w:p>
    <w:p>
      <w:pPr>
        <w:jc w:val="center"/>
        <w:spacing w:line="5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left"/>
        <w:spacing w:line="560" w:lineRule="exact"/>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jc w:val="left"/>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4"/>
          <w:szCs w:val="21"/>
          <w:highlight w:val="none"/>
        </w:rPr>
        <w:t xml:space="preserve">附件13 </w:t>
      </w:r>
      <w:r/>
    </w:p>
    <w:p>
      <w:pPr>
        <w:jc w:val="cente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联合体协议（参考格式）</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自愿组成联合体，参加江苏省政府代理机构组织的采购编号为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项目（分包号：**）的政府采购活动，我联合体指定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jc w:val="righ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jc w:val="righ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联合体中各供应商全称（加盖CA电子公章）：     </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            </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实质性要求响应及偏离表</w:t>
      </w:r>
      <w:r/>
    </w:p>
    <w:p>
      <w:pPr>
        <w:pStyle w:val="12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120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17"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60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17"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317"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附件14-1 证明材料1，证明材料2，……</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必须对技术要求和商务要求中的实质性要求</w:t>
      </w:r>
      <w:r>
        <w:rPr>
          <w:rFonts w:hint="eastAsia" w:ascii="宋体" w:hAnsi="宋体" w:eastAsia="宋体" w:cs="宋体"/>
          <w:b/>
          <w:bCs/>
          <w:i/>
          <w:iCs/>
          <w:color w:val="auto"/>
          <w:sz w:val="21"/>
          <w:szCs w:val="21"/>
          <w:highlight w:val="none"/>
          <w:u w:val="none"/>
        </w:rPr>
        <w:t xml:space="preserve">（斜体且有下划线部分）</w:t>
      </w:r>
      <w:r>
        <w:rPr>
          <w:rFonts w:hint="eastAsia" w:ascii="宋体" w:hAnsi="宋体" w:eastAsia="宋体" w:cs="宋体"/>
          <w:color w:val="auto"/>
          <w:sz w:val="21"/>
          <w:szCs w:val="21"/>
          <w:highlight w:val="none"/>
        </w:rPr>
        <w:t xml:space="preserve">逐条做出明确响应。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必须将证明材料列于该表之下。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未对实质性要求逐条作出明确响应的，或未按招标文件要求提供证明材料的，该采购包作无效投标处理。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r/>
      <w:r/>
    </w:p>
    <w:sectPr>
      <w:headerReference w:type="default" r:id="rId14"/>
      <w:footerReference w:type="default" r:id="rId21"/>
      <w:footerReference w:type="first" r:id="rId2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rPr>
        <w:rStyle w:val="1218"/>
      </w:rPr>
      <w:framePr w:wrap="around" w:vAnchor="text" w:hAnchor="margin" w:xAlign="center" w:y="1"/>
    </w:pPr>
    <w:r>
      <w:fldChar w:fldCharType="begin"/>
    </w:r>
    <w:r>
      <w:rPr>
        <w:rStyle w:val="1218"/>
      </w:rPr>
      <w:instrText xml:space="preserve">PAGE  </w:instrText>
    </w:r>
    <w:r>
      <w:fldChar w:fldCharType="separate"/>
    </w:r>
    <w:r>
      <w:rPr>
        <w:rStyle w:val="1218"/>
      </w:rPr>
      <w:t xml:space="preserve">1</w:t>
    </w:r>
    <w:r>
      <w:fldChar w:fldCharType="end"/>
    </w:r>
    <w:r/>
  </w:p>
  <w:p>
    <w:pPr>
      <w:pStyle w:val="12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left"/>
      <w:tabs>
        <w:tab w:val="left" w:pos="2019" w:leader="none"/>
      </w:tabs>
      <w:rPr>
        <w:rFonts w:hint="eastAsia" w:eastAsia="宋体"/>
        <w:lang w:eastAsia="zh-CN"/>
      </w:rPr>
      <w:pBdr>
        <w:bottom w:val="single" w:color="auto" w:sz="4" w:space="0"/>
      </w:pBdr>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ind w:firstLine="360"/>
      <w:jc w:val="left"/>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p>
    <w:pPr>
      <w:pStyle w:val="12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ascii="宋体" w:hAnsi="宋体" w:eastAsia="宋体" w:cs="宋体"/>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ind w:left="5940" w:hanging="5940"/>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val="en-US" w:eastAsia="zh-CN"/>
      </w:rPr>
      <w:t xml:space="preserve"> JSZC-321002-JSYR-G2026-0005                              </w:t>
    </w:r>
    <w:r>
      <w:rPr>
        <w:rFonts w:hint="eastAsia"/>
        <w:lang w:eastAsia="zh-CN"/>
      </w:rPr>
      <w:t xml:space="preserve">江苏远锐工程管理咨询有限公司</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eastAsia="zh-CN"/>
      </w:rPr>
      <w:t xml:space="preserve">JSZC-321002-JSYR-G2026-0005</w:t>
    </w: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29">
    <w:name w:val="Heading 1 Char"/>
    <w:basedOn w:val="1203"/>
    <w:link w:val="1202"/>
    <w:uiPriority w:val="9"/>
    <w:rPr>
      <w:rFonts w:ascii="Arial" w:hAnsi="Arial" w:eastAsia="Arial" w:cs="Arial"/>
      <w:sz w:val="40"/>
      <w:szCs w:val="40"/>
    </w:rPr>
  </w:style>
  <w:style w:type="paragraph" w:styleId="1030">
    <w:name w:val="Heading 2"/>
    <w:basedOn w:val="1201"/>
    <w:next w:val="1201"/>
    <w:link w:val="1031"/>
    <w:uiPriority w:val="9"/>
    <w:unhideWhenUsed/>
    <w:qFormat/>
    <w:pPr>
      <w:keepLines/>
      <w:keepNext/>
      <w:spacing w:before="360" w:after="200"/>
      <w:outlineLvl w:val="1"/>
    </w:pPr>
    <w:rPr>
      <w:rFonts w:ascii="Arial" w:hAnsi="Arial" w:eastAsia="Arial" w:cs="Arial"/>
      <w:sz w:val="34"/>
    </w:rPr>
  </w:style>
  <w:style w:type="character" w:styleId="1031">
    <w:name w:val="Heading 2 Char"/>
    <w:basedOn w:val="1203"/>
    <w:link w:val="1030"/>
    <w:uiPriority w:val="9"/>
    <w:rPr>
      <w:rFonts w:ascii="Arial" w:hAnsi="Arial" w:eastAsia="Arial" w:cs="Arial"/>
      <w:sz w:val="34"/>
    </w:rPr>
  </w:style>
  <w:style w:type="paragraph" w:styleId="1032">
    <w:name w:val="Heading 3"/>
    <w:basedOn w:val="1201"/>
    <w:next w:val="1201"/>
    <w:link w:val="1033"/>
    <w:uiPriority w:val="9"/>
    <w:unhideWhenUsed/>
    <w:qFormat/>
    <w:pPr>
      <w:keepLines/>
      <w:keepNext/>
      <w:spacing w:before="320" w:after="200"/>
      <w:outlineLvl w:val="2"/>
    </w:pPr>
    <w:rPr>
      <w:rFonts w:ascii="Arial" w:hAnsi="Arial" w:eastAsia="Arial" w:cs="Arial"/>
      <w:sz w:val="30"/>
      <w:szCs w:val="30"/>
    </w:rPr>
  </w:style>
  <w:style w:type="character" w:styleId="1033">
    <w:name w:val="Heading 3 Char"/>
    <w:basedOn w:val="1203"/>
    <w:link w:val="1032"/>
    <w:uiPriority w:val="9"/>
    <w:rPr>
      <w:rFonts w:ascii="Arial" w:hAnsi="Arial" w:eastAsia="Arial" w:cs="Arial"/>
      <w:sz w:val="30"/>
      <w:szCs w:val="30"/>
    </w:rPr>
  </w:style>
  <w:style w:type="paragraph" w:styleId="1034">
    <w:name w:val="Heading 4"/>
    <w:basedOn w:val="1201"/>
    <w:next w:val="1201"/>
    <w:link w:val="1035"/>
    <w:uiPriority w:val="9"/>
    <w:unhideWhenUsed/>
    <w:qFormat/>
    <w:pPr>
      <w:keepLines/>
      <w:keepNext/>
      <w:spacing w:before="320" w:after="200"/>
      <w:outlineLvl w:val="3"/>
    </w:pPr>
    <w:rPr>
      <w:rFonts w:ascii="Arial" w:hAnsi="Arial" w:eastAsia="Arial" w:cs="Arial"/>
      <w:b/>
      <w:bCs/>
      <w:sz w:val="26"/>
      <w:szCs w:val="26"/>
    </w:rPr>
  </w:style>
  <w:style w:type="character" w:styleId="1035">
    <w:name w:val="Heading 4 Char"/>
    <w:basedOn w:val="1203"/>
    <w:link w:val="1034"/>
    <w:uiPriority w:val="9"/>
    <w:rPr>
      <w:rFonts w:ascii="Arial" w:hAnsi="Arial" w:eastAsia="Arial" w:cs="Arial"/>
      <w:b/>
      <w:bCs/>
      <w:sz w:val="26"/>
      <w:szCs w:val="26"/>
    </w:rPr>
  </w:style>
  <w:style w:type="paragraph" w:styleId="1036">
    <w:name w:val="Heading 5"/>
    <w:basedOn w:val="1201"/>
    <w:next w:val="1201"/>
    <w:link w:val="1037"/>
    <w:uiPriority w:val="9"/>
    <w:unhideWhenUsed/>
    <w:qFormat/>
    <w:pPr>
      <w:keepLines/>
      <w:keepNext/>
      <w:spacing w:before="320" w:after="200"/>
      <w:outlineLvl w:val="4"/>
    </w:pPr>
    <w:rPr>
      <w:rFonts w:ascii="Arial" w:hAnsi="Arial" w:eastAsia="Arial" w:cs="Arial"/>
      <w:b/>
      <w:bCs/>
      <w:sz w:val="24"/>
      <w:szCs w:val="24"/>
    </w:rPr>
  </w:style>
  <w:style w:type="character" w:styleId="1037">
    <w:name w:val="Heading 5 Char"/>
    <w:basedOn w:val="1203"/>
    <w:link w:val="1036"/>
    <w:uiPriority w:val="9"/>
    <w:rPr>
      <w:rFonts w:ascii="Arial" w:hAnsi="Arial" w:eastAsia="Arial" w:cs="Arial"/>
      <w:b/>
      <w:bCs/>
      <w:sz w:val="24"/>
      <w:szCs w:val="24"/>
    </w:rPr>
  </w:style>
  <w:style w:type="paragraph" w:styleId="1038">
    <w:name w:val="Heading 6"/>
    <w:basedOn w:val="1201"/>
    <w:next w:val="1201"/>
    <w:link w:val="1039"/>
    <w:uiPriority w:val="9"/>
    <w:unhideWhenUsed/>
    <w:qFormat/>
    <w:pPr>
      <w:keepLines/>
      <w:keepNext/>
      <w:spacing w:before="320" w:after="200"/>
      <w:outlineLvl w:val="5"/>
    </w:pPr>
    <w:rPr>
      <w:rFonts w:ascii="Arial" w:hAnsi="Arial" w:eastAsia="Arial" w:cs="Arial"/>
      <w:b/>
      <w:bCs/>
      <w:sz w:val="22"/>
      <w:szCs w:val="22"/>
    </w:rPr>
  </w:style>
  <w:style w:type="character" w:styleId="1039">
    <w:name w:val="Heading 6 Char"/>
    <w:basedOn w:val="1203"/>
    <w:link w:val="1038"/>
    <w:uiPriority w:val="9"/>
    <w:rPr>
      <w:rFonts w:ascii="Arial" w:hAnsi="Arial" w:eastAsia="Arial" w:cs="Arial"/>
      <w:b/>
      <w:bCs/>
      <w:sz w:val="22"/>
      <w:szCs w:val="22"/>
    </w:rPr>
  </w:style>
  <w:style w:type="paragraph" w:styleId="1040">
    <w:name w:val="Heading 7"/>
    <w:basedOn w:val="1201"/>
    <w:next w:val="1201"/>
    <w:link w:val="1041"/>
    <w:uiPriority w:val="9"/>
    <w:unhideWhenUsed/>
    <w:qFormat/>
    <w:pPr>
      <w:keepLines/>
      <w:keepNext/>
      <w:spacing w:before="320" w:after="200"/>
      <w:outlineLvl w:val="6"/>
    </w:pPr>
    <w:rPr>
      <w:rFonts w:ascii="Arial" w:hAnsi="Arial" w:eastAsia="Arial" w:cs="Arial"/>
      <w:b/>
      <w:bCs/>
      <w:i/>
      <w:iCs/>
      <w:sz w:val="22"/>
      <w:szCs w:val="22"/>
    </w:rPr>
  </w:style>
  <w:style w:type="character" w:styleId="1041">
    <w:name w:val="Heading 7 Char"/>
    <w:basedOn w:val="1203"/>
    <w:link w:val="1040"/>
    <w:uiPriority w:val="9"/>
    <w:rPr>
      <w:rFonts w:ascii="Arial" w:hAnsi="Arial" w:eastAsia="Arial" w:cs="Arial"/>
      <w:b/>
      <w:bCs/>
      <w:i/>
      <w:iCs/>
      <w:sz w:val="22"/>
      <w:szCs w:val="22"/>
    </w:rPr>
  </w:style>
  <w:style w:type="paragraph" w:styleId="1042">
    <w:name w:val="Heading 8"/>
    <w:basedOn w:val="1201"/>
    <w:next w:val="1201"/>
    <w:link w:val="1043"/>
    <w:uiPriority w:val="9"/>
    <w:unhideWhenUsed/>
    <w:qFormat/>
    <w:pPr>
      <w:keepLines/>
      <w:keepNext/>
      <w:spacing w:before="320" w:after="200"/>
      <w:outlineLvl w:val="7"/>
    </w:pPr>
    <w:rPr>
      <w:rFonts w:ascii="Arial" w:hAnsi="Arial" w:eastAsia="Arial" w:cs="Arial"/>
      <w:i/>
      <w:iCs/>
      <w:sz w:val="22"/>
      <w:szCs w:val="22"/>
    </w:rPr>
  </w:style>
  <w:style w:type="character" w:styleId="1043">
    <w:name w:val="Heading 8 Char"/>
    <w:basedOn w:val="1203"/>
    <w:link w:val="1042"/>
    <w:uiPriority w:val="9"/>
    <w:rPr>
      <w:rFonts w:ascii="Arial" w:hAnsi="Arial" w:eastAsia="Arial" w:cs="Arial"/>
      <w:i/>
      <w:iCs/>
      <w:sz w:val="22"/>
      <w:szCs w:val="22"/>
    </w:rPr>
  </w:style>
  <w:style w:type="paragraph" w:styleId="1044">
    <w:name w:val="Heading 9"/>
    <w:basedOn w:val="1201"/>
    <w:next w:val="1201"/>
    <w:link w:val="1045"/>
    <w:uiPriority w:val="9"/>
    <w:unhideWhenUsed/>
    <w:qFormat/>
    <w:pPr>
      <w:keepLines/>
      <w:keepNext/>
      <w:spacing w:before="320" w:after="200"/>
      <w:outlineLvl w:val="8"/>
    </w:pPr>
    <w:rPr>
      <w:rFonts w:ascii="Arial" w:hAnsi="Arial" w:eastAsia="Arial" w:cs="Arial"/>
      <w:i/>
      <w:iCs/>
      <w:sz w:val="21"/>
      <w:szCs w:val="21"/>
    </w:rPr>
  </w:style>
  <w:style w:type="character" w:styleId="1045">
    <w:name w:val="Heading 9 Char"/>
    <w:basedOn w:val="1203"/>
    <w:link w:val="1044"/>
    <w:uiPriority w:val="9"/>
    <w:rPr>
      <w:rFonts w:ascii="Arial" w:hAnsi="Arial" w:eastAsia="Arial" w:cs="Arial"/>
      <w:i/>
      <w:iCs/>
      <w:sz w:val="21"/>
      <w:szCs w:val="21"/>
    </w:rPr>
  </w:style>
  <w:style w:type="paragraph" w:styleId="1046">
    <w:name w:val="List Paragraph"/>
    <w:basedOn w:val="1201"/>
    <w:uiPriority w:val="34"/>
    <w:qFormat/>
    <w:pPr>
      <w:contextualSpacing/>
      <w:ind w:left="720"/>
    </w:pPr>
  </w:style>
  <w:style w:type="paragraph" w:styleId="1047">
    <w:name w:val="No Spacing"/>
    <w:uiPriority w:val="1"/>
    <w:qFormat/>
    <w:pPr>
      <w:spacing w:before="0" w:after="0" w:line="240" w:lineRule="auto"/>
    </w:pPr>
  </w:style>
  <w:style w:type="paragraph" w:styleId="1048">
    <w:name w:val="Title"/>
    <w:basedOn w:val="1201"/>
    <w:next w:val="1201"/>
    <w:link w:val="1049"/>
    <w:uiPriority w:val="10"/>
    <w:qFormat/>
    <w:pPr>
      <w:contextualSpacing/>
      <w:spacing w:before="300" w:after="200"/>
    </w:pPr>
    <w:rPr>
      <w:sz w:val="48"/>
      <w:szCs w:val="48"/>
    </w:rPr>
  </w:style>
  <w:style w:type="character" w:styleId="1049">
    <w:name w:val="Title Char"/>
    <w:basedOn w:val="1203"/>
    <w:link w:val="1048"/>
    <w:uiPriority w:val="10"/>
    <w:rPr>
      <w:sz w:val="48"/>
      <w:szCs w:val="48"/>
    </w:rPr>
  </w:style>
  <w:style w:type="paragraph" w:styleId="1050">
    <w:name w:val="Subtitle"/>
    <w:basedOn w:val="1201"/>
    <w:next w:val="1201"/>
    <w:link w:val="1051"/>
    <w:uiPriority w:val="11"/>
    <w:qFormat/>
    <w:pPr>
      <w:spacing w:before="200" w:after="200"/>
    </w:pPr>
    <w:rPr>
      <w:sz w:val="24"/>
      <w:szCs w:val="24"/>
    </w:rPr>
  </w:style>
  <w:style w:type="character" w:styleId="1051">
    <w:name w:val="Subtitle Char"/>
    <w:basedOn w:val="1203"/>
    <w:link w:val="1050"/>
    <w:uiPriority w:val="11"/>
    <w:rPr>
      <w:sz w:val="24"/>
      <w:szCs w:val="24"/>
    </w:rPr>
  </w:style>
  <w:style w:type="paragraph" w:styleId="1052">
    <w:name w:val="Quote"/>
    <w:basedOn w:val="1201"/>
    <w:next w:val="1201"/>
    <w:link w:val="1053"/>
    <w:uiPriority w:val="29"/>
    <w:qFormat/>
    <w:pPr>
      <w:ind w:left="720" w:right="720"/>
    </w:pPr>
    <w:rPr>
      <w:i/>
    </w:rPr>
  </w:style>
  <w:style w:type="character" w:styleId="1053">
    <w:name w:val="Quote Char"/>
    <w:link w:val="1052"/>
    <w:uiPriority w:val="29"/>
    <w:rPr>
      <w:i/>
    </w:rPr>
  </w:style>
  <w:style w:type="paragraph" w:styleId="1054">
    <w:name w:val="Intense Quote"/>
    <w:basedOn w:val="1201"/>
    <w:next w:val="1201"/>
    <w:link w:val="10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5">
    <w:name w:val="Intense Quote Char"/>
    <w:link w:val="1054"/>
    <w:uiPriority w:val="30"/>
    <w:rPr>
      <w:i/>
    </w:rPr>
  </w:style>
  <w:style w:type="character" w:styleId="1056">
    <w:name w:val="Header Char"/>
    <w:basedOn w:val="1203"/>
    <w:link w:val="1208"/>
    <w:uiPriority w:val="99"/>
  </w:style>
  <w:style w:type="character" w:styleId="1057">
    <w:name w:val="Footer Char"/>
    <w:basedOn w:val="1203"/>
    <w:link w:val="1207"/>
    <w:uiPriority w:val="99"/>
  </w:style>
  <w:style w:type="paragraph" w:styleId="1058">
    <w:name w:val="Caption"/>
    <w:basedOn w:val="1201"/>
    <w:next w:val="1201"/>
    <w:uiPriority w:val="35"/>
    <w:semiHidden/>
    <w:unhideWhenUsed/>
    <w:qFormat/>
    <w:pPr>
      <w:spacing w:line="276" w:lineRule="auto"/>
    </w:pPr>
    <w:rPr>
      <w:b/>
      <w:bCs/>
      <w:color w:val="4f81bd" w:themeColor="accent1"/>
      <w:sz w:val="18"/>
      <w:szCs w:val="18"/>
    </w:rPr>
  </w:style>
  <w:style w:type="character" w:styleId="1059">
    <w:name w:val="Caption Char"/>
    <w:basedOn w:val="1058"/>
    <w:link w:val="1207"/>
    <w:uiPriority w:val="99"/>
  </w:style>
  <w:style w:type="table" w:styleId="1060">
    <w:name w:val="Table Grid Light"/>
    <w:basedOn w:val="12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1">
    <w:name w:val="Plain Table 1"/>
    <w:basedOn w:val="12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2">
    <w:name w:val="Plain Table 2"/>
    <w:basedOn w:val="12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3">
    <w:name w:val="Plain Table 3"/>
    <w:basedOn w:val="12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4">
    <w:name w:val="Plain Table 4"/>
    <w:basedOn w:val="12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5">
    <w:name w:val="Plain Table 5"/>
    <w:basedOn w:val="12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6">
    <w:name w:val="Grid Table 1 Light"/>
    <w:basedOn w:val="12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7">
    <w:name w:val="Grid Table 1 Light - Accent 1"/>
    <w:basedOn w:val="12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68">
    <w:name w:val="Grid Table 1 Light - Accent 2"/>
    <w:basedOn w:val="12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9">
    <w:name w:val="Grid Table 1 Light - Accent 3"/>
    <w:basedOn w:val="12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0">
    <w:name w:val="Grid Table 1 Light - Accent 4"/>
    <w:basedOn w:val="12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1">
    <w:name w:val="Grid Table 1 Light - Accent 5"/>
    <w:basedOn w:val="12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2">
    <w:name w:val="Grid Table 1 Light - Accent 6"/>
    <w:basedOn w:val="12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3">
    <w:name w:val="Grid Table 2"/>
    <w:basedOn w:val="12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4">
    <w:name w:val="Grid Table 2 - Accent 1"/>
    <w:basedOn w:val="12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75">
    <w:name w:val="Grid Table 2 - Accent 2"/>
    <w:basedOn w:val="12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6">
    <w:name w:val="Grid Table 2 - Accent 3"/>
    <w:basedOn w:val="12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7">
    <w:name w:val="Grid Table 2 - Accent 4"/>
    <w:basedOn w:val="12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78">
    <w:name w:val="Grid Table 2 - Accent 5"/>
    <w:basedOn w:val="12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9">
    <w:name w:val="Grid Table 2 - Accent 6"/>
    <w:basedOn w:val="12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0">
    <w:name w:val="Grid Table 3"/>
    <w:basedOn w:val="12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1">
    <w:name w:val="Grid Table 3 - Accent 1"/>
    <w:basedOn w:val="12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2">
    <w:name w:val="Grid Table 3 - Accent 2"/>
    <w:basedOn w:val="12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3">
    <w:name w:val="Grid Table 3 - Accent 3"/>
    <w:basedOn w:val="12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4">
    <w:name w:val="Grid Table 3 - Accent 4"/>
    <w:basedOn w:val="12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5">
    <w:name w:val="Grid Table 3 - Accent 5"/>
    <w:basedOn w:val="12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6">
    <w:name w:val="Grid Table 3 - Accent 6"/>
    <w:basedOn w:val="12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7">
    <w:name w:val="Grid Table 4"/>
    <w:basedOn w:val="12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8">
    <w:name w:val="Grid Table 4 - Accent 1"/>
    <w:basedOn w:val="12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9">
    <w:name w:val="Grid Table 4 - Accent 2"/>
    <w:basedOn w:val="12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0">
    <w:name w:val="Grid Table 4 - Accent 3"/>
    <w:basedOn w:val="12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1">
    <w:name w:val="Grid Table 4 - Accent 4"/>
    <w:basedOn w:val="12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2">
    <w:name w:val="Grid Table 4 - Accent 5"/>
    <w:basedOn w:val="12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3">
    <w:name w:val="Grid Table 4 - Accent 6"/>
    <w:basedOn w:val="12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4">
    <w:name w:val="Grid Table 5 Dark"/>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5">
    <w:name w:val="Grid Table 5 Dark- Accent 1"/>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96">
    <w:name w:val="Grid Table 5 Dark - Accent 2"/>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97">
    <w:name w:val="Grid Table 5 Dark - Accent 3"/>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98">
    <w:name w:val="Grid Table 5 Dark- Accent 4"/>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99">
    <w:name w:val="Grid Table 5 Dark - Accent 5"/>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00">
    <w:name w:val="Grid Table 5 Dark - Accent 6"/>
    <w:basedOn w:val="12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01">
    <w:name w:val="Grid Table 6 Colorful"/>
    <w:basedOn w:val="12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2">
    <w:name w:val="Grid Table 6 Colorful - Accent 1"/>
    <w:basedOn w:val="12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03">
    <w:name w:val="Grid Table 6 Colorful - Accent 2"/>
    <w:basedOn w:val="12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04">
    <w:name w:val="Grid Table 6 Colorful - Accent 3"/>
    <w:basedOn w:val="12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05">
    <w:name w:val="Grid Table 6 Colorful - Accent 4"/>
    <w:basedOn w:val="12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06">
    <w:name w:val="Grid Table 6 Colorful - Accent 5"/>
    <w:basedOn w:val="12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07">
    <w:name w:val="Grid Table 6 Colorful - Accent 6"/>
    <w:basedOn w:val="12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08">
    <w:name w:val="Grid Table 7 Colorful"/>
    <w:basedOn w:val="12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9">
    <w:name w:val="Grid Table 7 Colorful - Accent 1"/>
    <w:basedOn w:val="12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0">
    <w:name w:val="Grid Table 7 Colorful - Accent 2"/>
    <w:basedOn w:val="12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1">
    <w:name w:val="Grid Table 7 Colorful - Accent 3"/>
    <w:basedOn w:val="12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2">
    <w:name w:val="Grid Table 7 Colorful - Accent 4"/>
    <w:basedOn w:val="12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3">
    <w:name w:val="Grid Table 7 Colorful - Accent 5"/>
    <w:basedOn w:val="12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4">
    <w:name w:val="Grid Table 7 Colorful - Accent 6"/>
    <w:basedOn w:val="12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15">
    <w:name w:val="List Table 1 Light"/>
    <w:basedOn w:val="12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6">
    <w:name w:val="List Table 1 Light - Accent 1"/>
    <w:basedOn w:val="120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7">
    <w:name w:val="List Table 1 Light - Accent 2"/>
    <w:basedOn w:val="120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18">
    <w:name w:val="List Table 1 Light - Accent 3"/>
    <w:basedOn w:val="120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9">
    <w:name w:val="List Table 1 Light - Accent 4"/>
    <w:basedOn w:val="120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0">
    <w:name w:val="List Table 1 Light - Accent 5"/>
    <w:basedOn w:val="120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1">
    <w:name w:val="List Table 1 Light - Accent 6"/>
    <w:basedOn w:val="120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2">
    <w:name w:val="List Table 2"/>
    <w:basedOn w:val="12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3">
    <w:name w:val="List Table 2 - Accent 1"/>
    <w:basedOn w:val="12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4">
    <w:name w:val="List Table 2 - Accent 2"/>
    <w:basedOn w:val="12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5">
    <w:name w:val="List Table 2 - Accent 3"/>
    <w:basedOn w:val="12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6">
    <w:name w:val="List Table 2 - Accent 4"/>
    <w:basedOn w:val="12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7">
    <w:name w:val="List Table 2 - Accent 5"/>
    <w:basedOn w:val="12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28">
    <w:name w:val="List Table 2 - Accent 6"/>
    <w:basedOn w:val="12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9">
    <w:name w:val="List Table 3"/>
    <w:basedOn w:val="12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0">
    <w:name w:val="List Table 3 - Accent 1"/>
    <w:basedOn w:val="12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31">
    <w:name w:val="List Table 3 - Accent 2"/>
    <w:basedOn w:val="12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32">
    <w:name w:val="List Table 3 - Accent 3"/>
    <w:basedOn w:val="12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33">
    <w:name w:val="List Table 3 - Accent 4"/>
    <w:basedOn w:val="12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34">
    <w:name w:val="List Table 3 - Accent 5"/>
    <w:basedOn w:val="12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35">
    <w:name w:val="List Table 3 - Accent 6"/>
    <w:basedOn w:val="12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36">
    <w:name w:val="List Table 4"/>
    <w:basedOn w:val="12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7">
    <w:name w:val="List Table 4 - Accent 1"/>
    <w:basedOn w:val="12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38">
    <w:name w:val="List Table 4 - Accent 2"/>
    <w:basedOn w:val="12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39">
    <w:name w:val="List Table 4 - Accent 3"/>
    <w:basedOn w:val="12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40">
    <w:name w:val="List Table 4 - Accent 4"/>
    <w:basedOn w:val="12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41">
    <w:name w:val="List Table 4 - Accent 5"/>
    <w:basedOn w:val="12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42">
    <w:name w:val="List Table 4 - Accent 6"/>
    <w:basedOn w:val="12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43">
    <w:name w:val="List Table 5 Dark"/>
    <w:basedOn w:val="12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4">
    <w:name w:val="List Table 5 Dark - Accent 1"/>
    <w:basedOn w:val="12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5">
    <w:name w:val="List Table 5 Dark - Accent 2"/>
    <w:basedOn w:val="12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6">
    <w:name w:val="List Table 5 Dark - Accent 3"/>
    <w:basedOn w:val="12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7">
    <w:name w:val="List Table 5 Dark - Accent 4"/>
    <w:basedOn w:val="12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8">
    <w:name w:val="List Table 5 Dark - Accent 5"/>
    <w:basedOn w:val="12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9">
    <w:name w:val="List Table 5 Dark - Accent 6"/>
    <w:basedOn w:val="12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6 Colorful"/>
    <w:basedOn w:val="12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1">
    <w:name w:val="List Table 6 Colorful - Accent 1"/>
    <w:basedOn w:val="12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52">
    <w:name w:val="List Table 6 Colorful - Accent 2"/>
    <w:basedOn w:val="12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53">
    <w:name w:val="List Table 6 Colorful - Accent 3"/>
    <w:basedOn w:val="12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54">
    <w:name w:val="List Table 6 Colorful - Accent 4"/>
    <w:basedOn w:val="12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55">
    <w:name w:val="List Table 6 Colorful - Accent 5"/>
    <w:basedOn w:val="12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56">
    <w:name w:val="List Table 6 Colorful - Accent 6"/>
    <w:basedOn w:val="12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57">
    <w:name w:val="List Table 7 Colorful"/>
    <w:basedOn w:val="12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58">
    <w:name w:val="List Table 7 Colorful - Accent 1"/>
    <w:basedOn w:val="12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59">
    <w:name w:val="List Table 7 Colorful - Accent 2"/>
    <w:basedOn w:val="12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60">
    <w:name w:val="List Table 7 Colorful - Accent 3"/>
    <w:basedOn w:val="12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61">
    <w:name w:val="List Table 7 Colorful - Accent 4"/>
    <w:basedOn w:val="12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62">
    <w:name w:val="List Table 7 Colorful - Accent 5"/>
    <w:basedOn w:val="12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63">
    <w:name w:val="List Table 7 Colorful - Accent 6"/>
    <w:basedOn w:val="12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64">
    <w:name w:val="Lined - Accent"/>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5">
    <w:name w:val="Lined - Accent 1"/>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6">
    <w:name w:val="Lined - Accent 2"/>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7">
    <w:name w:val="Lined - Accent 3"/>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8">
    <w:name w:val="Lined - Accent 4"/>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9">
    <w:name w:val="Lined - Accent 5"/>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0">
    <w:name w:val="Lined - Accent 6"/>
    <w:basedOn w:val="12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71">
    <w:name w:val="Bordered &amp; Lined - Accent"/>
    <w:basedOn w:val="12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2">
    <w:name w:val="Bordered &amp; Lined - Accent 1"/>
    <w:basedOn w:val="12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73">
    <w:name w:val="Bordered &amp; Lined - Accent 2"/>
    <w:basedOn w:val="12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74">
    <w:name w:val="Bordered &amp; Lined - Accent 3"/>
    <w:basedOn w:val="12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75">
    <w:name w:val="Bordered &amp; Lined - Accent 4"/>
    <w:basedOn w:val="12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76">
    <w:name w:val="Bordered &amp; Lined - Accent 5"/>
    <w:basedOn w:val="12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77">
    <w:name w:val="Bordered &amp; Lined - Accent 6"/>
    <w:basedOn w:val="12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78">
    <w:name w:val="Bordered"/>
    <w:basedOn w:val="12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9">
    <w:name w:val="Bordered - Accent 1"/>
    <w:basedOn w:val="12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0">
    <w:name w:val="Bordered - Accent 2"/>
    <w:basedOn w:val="12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1">
    <w:name w:val="Bordered - Accent 3"/>
    <w:basedOn w:val="12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2">
    <w:name w:val="Bordered - Accent 4"/>
    <w:basedOn w:val="12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3">
    <w:name w:val="Bordered - Accent 5"/>
    <w:basedOn w:val="12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4">
    <w:name w:val="Bordered - Accent 6"/>
    <w:basedOn w:val="12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85">
    <w:name w:val="footnote text"/>
    <w:basedOn w:val="1201"/>
    <w:link w:val="1186"/>
    <w:uiPriority w:val="99"/>
    <w:semiHidden/>
    <w:unhideWhenUsed/>
    <w:pPr>
      <w:spacing w:after="40" w:line="240" w:lineRule="auto"/>
    </w:pPr>
    <w:rPr>
      <w:sz w:val="18"/>
    </w:rPr>
  </w:style>
  <w:style w:type="character" w:styleId="1186">
    <w:name w:val="Footnote Text Char"/>
    <w:link w:val="1185"/>
    <w:uiPriority w:val="99"/>
    <w:rPr>
      <w:sz w:val="18"/>
    </w:rPr>
  </w:style>
  <w:style w:type="character" w:styleId="1187">
    <w:name w:val="footnote reference"/>
    <w:basedOn w:val="1203"/>
    <w:uiPriority w:val="99"/>
    <w:unhideWhenUsed/>
    <w:rPr>
      <w:vertAlign w:val="superscript"/>
    </w:rPr>
  </w:style>
  <w:style w:type="paragraph" w:styleId="1188">
    <w:name w:val="endnote text"/>
    <w:basedOn w:val="1201"/>
    <w:link w:val="1189"/>
    <w:uiPriority w:val="99"/>
    <w:semiHidden/>
    <w:unhideWhenUsed/>
    <w:pPr>
      <w:spacing w:after="0" w:line="240" w:lineRule="auto"/>
    </w:pPr>
    <w:rPr>
      <w:sz w:val="20"/>
    </w:rPr>
  </w:style>
  <w:style w:type="character" w:styleId="1189">
    <w:name w:val="Endnote Text Char"/>
    <w:link w:val="1188"/>
    <w:uiPriority w:val="99"/>
    <w:rPr>
      <w:sz w:val="20"/>
    </w:rPr>
  </w:style>
  <w:style w:type="character" w:styleId="1190">
    <w:name w:val="endnote reference"/>
    <w:basedOn w:val="1203"/>
    <w:uiPriority w:val="99"/>
    <w:semiHidden/>
    <w:unhideWhenUsed/>
    <w:rPr>
      <w:vertAlign w:val="superscript"/>
    </w:rPr>
  </w:style>
  <w:style w:type="paragraph" w:styleId="1191">
    <w:name w:val="toc 2"/>
    <w:basedOn w:val="1201"/>
    <w:next w:val="1201"/>
    <w:uiPriority w:val="39"/>
    <w:unhideWhenUsed/>
    <w:pPr>
      <w:ind w:left="283" w:right="0" w:firstLine="0"/>
      <w:spacing w:after="57"/>
    </w:pPr>
  </w:style>
  <w:style w:type="paragraph" w:styleId="1192">
    <w:name w:val="toc 3"/>
    <w:basedOn w:val="1201"/>
    <w:next w:val="1201"/>
    <w:uiPriority w:val="39"/>
    <w:unhideWhenUsed/>
    <w:pPr>
      <w:ind w:left="567" w:right="0" w:firstLine="0"/>
      <w:spacing w:after="57"/>
    </w:pPr>
  </w:style>
  <w:style w:type="paragraph" w:styleId="1193">
    <w:name w:val="toc 4"/>
    <w:basedOn w:val="1201"/>
    <w:next w:val="1201"/>
    <w:uiPriority w:val="39"/>
    <w:unhideWhenUsed/>
    <w:pPr>
      <w:ind w:left="850" w:right="0" w:firstLine="0"/>
      <w:spacing w:after="57"/>
    </w:pPr>
  </w:style>
  <w:style w:type="paragraph" w:styleId="1194">
    <w:name w:val="toc 5"/>
    <w:basedOn w:val="1201"/>
    <w:next w:val="1201"/>
    <w:uiPriority w:val="39"/>
    <w:unhideWhenUsed/>
    <w:pPr>
      <w:ind w:left="1134" w:right="0" w:firstLine="0"/>
      <w:spacing w:after="57"/>
    </w:pPr>
  </w:style>
  <w:style w:type="paragraph" w:styleId="1195">
    <w:name w:val="toc 6"/>
    <w:basedOn w:val="1201"/>
    <w:next w:val="1201"/>
    <w:uiPriority w:val="39"/>
    <w:unhideWhenUsed/>
    <w:pPr>
      <w:ind w:left="1417" w:right="0" w:firstLine="0"/>
      <w:spacing w:after="57"/>
    </w:pPr>
  </w:style>
  <w:style w:type="paragraph" w:styleId="1196">
    <w:name w:val="toc 7"/>
    <w:basedOn w:val="1201"/>
    <w:next w:val="1201"/>
    <w:uiPriority w:val="39"/>
    <w:unhideWhenUsed/>
    <w:pPr>
      <w:ind w:left="1701" w:right="0" w:firstLine="0"/>
      <w:spacing w:after="57"/>
    </w:pPr>
  </w:style>
  <w:style w:type="paragraph" w:styleId="1197">
    <w:name w:val="toc 8"/>
    <w:basedOn w:val="1201"/>
    <w:next w:val="1201"/>
    <w:uiPriority w:val="39"/>
    <w:unhideWhenUsed/>
    <w:pPr>
      <w:ind w:left="1984" w:right="0" w:firstLine="0"/>
      <w:spacing w:after="57"/>
    </w:pPr>
  </w:style>
  <w:style w:type="paragraph" w:styleId="1198">
    <w:name w:val="toc 9"/>
    <w:basedOn w:val="1201"/>
    <w:next w:val="1201"/>
    <w:uiPriority w:val="39"/>
    <w:unhideWhenUsed/>
    <w:pPr>
      <w:ind w:left="2268" w:right="0" w:firstLine="0"/>
      <w:spacing w:after="57"/>
    </w:pPr>
  </w:style>
  <w:style w:type="paragraph" w:styleId="1199">
    <w:name w:val="TOC Heading"/>
    <w:uiPriority w:val="39"/>
    <w:unhideWhenUsed/>
  </w:style>
  <w:style w:type="paragraph" w:styleId="1200">
    <w:name w:val="table of figures"/>
    <w:basedOn w:val="1201"/>
    <w:next w:val="1201"/>
    <w:uiPriority w:val="99"/>
    <w:unhideWhenUsed/>
    <w:pPr>
      <w:spacing w:after="0" w:afterAutospacing="0"/>
    </w:pPr>
  </w:style>
  <w:style w:type="paragraph" w:styleId="1201" w:default="1">
    <w:name w:val="Normal"/>
    <w:link w:val="1218"/>
    <w:uiPriority w:val="0"/>
    <w:qFormat/>
    <w:pPr>
      <w:jc w:val="both"/>
      <w:spacing w:line="360" w:lineRule="auto"/>
      <w:widowControl w:val="off"/>
    </w:pPr>
    <w:rPr>
      <w:rFonts w:hint="default" w:ascii="Times New Roman" w:hAnsi="Times New Roman" w:eastAsia="宋体" w:cs="Times New Roman"/>
      <w:sz w:val="21"/>
      <w:szCs w:val="21"/>
      <w:lang w:val="en-US" w:eastAsia="zh-CN" w:bidi="ar-SA"/>
    </w:rPr>
  </w:style>
  <w:style w:type="paragraph" w:styleId="1202">
    <w:name w:val="Heading 1"/>
    <w:basedOn w:val="1201"/>
    <w:next w:val="1201"/>
    <w:uiPriority w:val="9"/>
    <w:qFormat/>
    <w:pPr>
      <w:jc w:val="center"/>
      <w:keepLines/>
      <w:keepNext/>
      <w:outlineLvl w:val="0"/>
    </w:pPr>
    <w:rPr>
      <w:rFonts w:ascii="Arial" w:hAnsi="Arial" w:eastAsia="宋体" w:cs="Arial"/>
      <w:b/>
      <w:sz w:val="36"/>
      <w:szCs w:val="40"/>
    </w:rPr>
  </w:style>
  <w:style w:type="character" w:styleId="1203" w:default="1">
    <w:name w:val="Default Paragraph Font"/>
    <w:uiPriority w:val="0"/>
    <w:semiHidden/>
  </w:style>
  <w:style w:type="table" w:styleId="1204" w:default="1">
    <w:name w:val="Normal Table"/>
    <w:uiPriority w:val="0"/>
    <w:semiHidden/>
    <w:tblPr>
      <w:tblCellMar>
        <w:left w:w="108" w:type="dxa"/>
        <w:top w:w="0" w:type="dxa"/>
        <w:right w:w="108" w:type="dxa"/>
        <w:bottom w:w="0" w:type="dxa"/>
      </w:tblCellMar>
    </w:tblPr>
  </w:style>
  <w:style w:type="paragraph" w:styleId="1205">
    <w:name w:val="Normal Indent"/>
    <w:basedOn w:val="1201"/>
    <w:next w:val="1201"/>
    <w:uiPriority w:val="0"/>
    <w:unhideWhenUsed/>
    <w:qFormat/>
    <w:pPr>
      <w:ind w:firstLine="420"/>
    </w:pPr>
  </w:style>
  <w:style w:type="paragraph" w:styleId="1206">
    <w:name w:val="Body Text"/>
    <w:basedOn w:val="1201"/>
    <w:next w:val="1201"/>
    <w:uiPriority w:val="0"/>
    <w:qFormat/>
    <w:rPr>
      <w:rFonts w:ascii="楷体_GB2312" w:hAnsi="Arial" w:eastAsia="楷体_GB2312"/>
      <w:sz w:val="28"/>
      <w:szCs w:val="28"/>
    </w:rPr>
  </w:style>
  <w:style w:type="paragraph" w:styleId="1207">
    <w:name w:val="Footer"/>
    <w:basedOn w:val="1201"/>
    <w:uiPriority w:val="99"/>
    <w:unhideWhenUsed/>
    <w:qFormat/>
    <w:pPr>
      <w:spacing w:after="0" w:line="240" w:lineRule="auto"/>
      <w:tabs>
        <w:tab w:val="center" w:pos="7143" w:leader="none"/>
        <w:tab w:val="right" w:pos="14287" w:leader="none"/>
      </w:tabs>
    </w:pPr>
  </w:style>
  <w:style w:type="paragraph" w:styleId="1208">
    <w:name w:val="Header"/>
    <w:basedOn w:val="1201"/>
    <w:uiPriority w:val="99"/>
    <w:unhideWhenUsed/>
    <w:qFormat/>
    <w:pPr>
      <w:spacing w:after="0" w:line="240" w:lineRule="auto"/>
      <w:tabs>
        <w:tab w:val="center" w:pos="7143" w:leader="none"/>
        <w:tab w:val="right" w:pos="14287" w:leader="none"/>
      </w:tabs>
    </w:pPr>
  </w:style>
  <w:style w:type="paragraph" w:styleId="1209">
    <w:name w:val="toc 1"/>
    <w:basedOn w:val="1201"/>
    <w:next w:val="1201"/>
    <w:uiPriority w:val="39"/>
    <w:unhideWhenUsed/>
    <w:qFormat/>
    <w:pPr>
      <w:ind w:left="0" w:right="0" w:firstLine="0"/>
      <w:spacing w:line="480" w:lineRule="auto"/>
    </w:pPr>
    <w:rPr>
      <w:b/>
      <w:sz w:val="28"/>
    </w:rPr>
  </w:style>
  <w:style w:type="paragraph" w:styleId="1210">
    <w:name w:val="Normal (Web)"/>
    <w:basedOn w:val="1201"/>
    <w:uiPriority w:val="99"/>
    <w:semiHidden/>
    <w:unhideWhenUsed/>
    <w:qFormat/>
    <w:pPr>
      <w:ind w:left="0" w:right="0"/>
      <w:jc w:val="left"/>
      <w:spacing w:before="0" w:beforeAutospacing="1" w:after="0" w:afterAutospacing="1"/>
    </w:pPr>
    <w:rPr>
      <w:sz w:val="24"/>
      <w:lang w:val="en-US" w:eastAsia="zh-CN" w:bidi="ar"/>
    </w:rPr>
  </w:style>
  <w:style w:type="paragraph" w:styleId="1211">
    <w:name w:val="Body Text First Indent"/>
    <w:basedOn w:val="1206"/>
    <w:uiPriority w:val="0"/>
    <w:unhideWhenUsed/>
    <w:qFormat/>
    <w:pPr>
      <w:ind w:firstLine="420"/>
      <w:jc w:val="both"/>
      <w:spacing w:after="120"/>
      <w:widowControl w:val="off"/>
    </w:pPr>
    <w:rPr>
      <w:rFonts w:ascii="Times New Roman" w:hAnsi="Times New Roman" w:eastAsia="宋体" w:cs="Times New Roman"/>
      <w:sz w:val="21"/>
      <w:szCs w:val="21"/>
      <w:lang w:val="en-US" w:eastAsia="zh-CN" w:bidi="ar-SA"/>
    </w:rPr>
  </w:style>
  <w:style w:type="table" w:styleId="12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3">
    <w:name w:val="Hyperlink"/>
    <w:uiPriority w:val="99"/>
    <w:unhideWhenUsed/>
    <w:qFormat/>
    <w:rPr>
      <w:color w:val="0026e5" w:themeColor="hyperlink"/>
      <w:u w:val="single"/>
      <w14:textFill>
        <w14:solidFill>
          <w14:schemeClr w14:val="hlink"/>
        </w14:solidFill>
      </w14:textFill>
    </w:rPr>
  </w:style>
  <w:style w:type="paragraph" w:styleId="1214" w:customStyle="1">
    <w:name w:val="普通正文"/>
    <w:basedOn w:val="1201"/>
    <w:uiPriority w:val="0"/>
    <w:qFormat/>
    <w:pPr>
      <w:ind w:firstLine="480"/>
      <w:jc w:val="left"/>
      <w:spacing w:before="120" w:after="120" w:line="360" w:lineRule="auto"/>
    </w:pPr>
    <w:rPr>
      <w:rFonts w:ascii="Arial" w:hAnsi="Arial"/>
      <w:sz w:val="24"/>
      <w:szCs w:val="24"/>
    </w:rPr>
  </w:style>
  <w:style w:type="paragraph" w:styleId="1215" w:customStyle="1">
    <w:name w:val="正文（缩进）"/>
    <w:basedOn w:val="1201"/>
    <w:uiPriority w:val="0"/>
    <w:qFormat/>
    <w:pPr>
      <w:ind w:firstLine="480"/>
    </w:pPr>
  </w:style>
  <w:style w:type="paragraph" w:styleId="1216" w:customStyle="1">
    <w:name w:val="页眉1"/>
    <w:basedOn w:val="1201"/>
    <w:uiPriority w:val="0"/>
    <w:qFormat/>
    <w:pPr>
      <w:jc w:val="center"/>
      <w:tabs>
        <w:tab w:val="center" w:pos="4153" w:leader="none"/>
        <w:tab w:val="right" w:pos="8306" w:leader="none"/>
      </w:tabs>
      <w:pBdr>
        <w:bottom w:val="single" w:color="000000" w:sz="6" w:space="1"/>
      </w:pBdr>
    </w:pPr>
    <w:rPr>
      <w:sz w:val="18"/>
      <w:szCs w:val="18"/>
    </w:rPr>
  </w:style>
  <w:style w:type="paragraph" w:styleId="1217" w:customStyle="1">
    <w:name w:val="页脚1"/>
    <w:basedOn w:val="1201"/>
    <w:uiPriority w:val="0"/>
    <w:qFormat/>
    <w:pPr>
      <w:jc w:val="left"/>
      <w:tabs>
        <w:tab w:val="center" w:pos="4153" w:leader="none"/>
        <w:tab w:val="right" w:pos="8306" w:leader="none"/>
      </w:tabs>
    </w:pPr>
    <w:rPr>
      <w:sz w:val="18"/>
      <w:szCs w:val="18"/>
    </w:rPr>
  </w:style>
  <w:style w:type="character" w:styleId="1218" w:customStyle="1">
    <w:name w:val="页码1"/>
    <w:link w:val="1201"/>
    <w:uiPriority w:val="0"/>
    <w:qFormat/>
    <w:rPr>
      <w:rFonts w:hint="default" w:ascii="Times New Roman" w:hAnsi="Times New Roman" w:eastAsia="宋体" w:cs="Times New Roman"/>
      <w:sz w:val="21"/>
      <w:szCs w:val="21"/>
      <w:lang w:val="en-US" w:eastAsia="zh-CN" w:bidi="ar-SA"/>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臧臧</dc:creator>
  <cp:lastModifiedBy>韩信</cp:lastModifiedBy>
  <cp:revision>9</cp:revision>
  <dcterms:created xsi:type="dcterms:W3CDTF">2026-06-25T09:26:00Z</dcterms:created>
  <dcterms:modified xsi:type="dcterms:W3CDTF">2026-07-17T08:31:26Z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7FC424EFE86140068CF248DF153D07DD_11</vt:lpwstr>
  </property>
  <property fmtid="{D5CDD505-2E9C-101B-9397-08002B2CF9AE}" pid="4" name="KSOTemplateDocerSaveRecord">
    <vt:lpwstr>eyJoZGlkIjoiYzBlZmM0MmU0MGNlYTQ2ODBlYTdhNzM3ZmEyMjdlNjciLCJ1c2VySWQiOiIzMDYxNjIwNjQifQ==</vt:lpwstr>
  </property>
</Properties>
</file>