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ascii="宋体" w:hAnsi="宋体" w:cs="宋体"/>
          <w:b/>
          <w:bCs/>
          <w:color w:val="auto"/>
          <w:sz w:val="36"/>
          <w:highlight w:val="none"/>
        </w:rPr>
      </w:pPr>
      <w:r>
        <w:rPr>
          <w:rFonts w:hint="eastAsia" w:ascii="宋体" w:hAnsi="宋体" w:cs="宋体"/>
          <w:b/>
          <w:bCs/>
          <w:color w:val="auto"/>
          <w:sz w:val="36"/>
          <w:highlight w:val="none"/>
          <w:lang w:val="en-US" w:eastAsia="zh-CN"/>
        </w:rPr>
        <w:t xml:space="preserve">JSZC-321000-JSWC-G2026-0016</w:t>
      </w:r>
      <w:r>
        <w:rPr>
          <w:rFonts w:hint="eastAsia" w:ascii="宋体" w:hAnsi="宋体" w:cs="宋体"/>
          <w:b/>
          <w:bCs/>
          <w:color w:val="auto"/>
          <w:sz w:val="36"/>
          <w:highlight w:val="none"/>
        </w:rPr>
        <w:t xml:space="preserve">号</w:t>
      </w:r>
      <w:r/>
    </w:p>
    <w:p>
      <w:pPr>
        <w:jc w:val="right"/>
        <w:rPr>
          <w:rFonts w:ascii="宋体" w:hAnsi="宋体" w:cs="宋体"/>
          <w:color w:val="auto"/>
          <w:sz w:val="36"/>
          <w:highlight w:val="none"/>
        </w:rPr>
      </w:pPr>
      <w:r>
        <w:rPr>
          <w:rFonts w:ascii="宋体" w:hAnsi="宋体" w:cs="宋体"/>
          <w:color w:val="auto"/>
          <w:sz w:val="36"/>
          <w:highlight w:val="none"/>
        </w:rPr>
      </w:r>
      <w:r/>
    </w:p>
    <w:p>
      <w:pPr>
        <w:jc w:val="center"/>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r>
      <w:r/>
    </w:p>
    <w:p>
      <w:pPr>
        <w:jc w:val="center"/>
        <w:keepLines w:val="0"/>
        <w:keepNext w:val="0"/>
        <w:pageBreakBefore w:val="0"/>
        <w:spacing w:line="360" w:lineRule="auto"/>
        <w:widowControl w:val="off"/>
        <w:rPr>
          <w:rFonts w:ascii="宋体" w:hAnsi="宋体" w:cs="宋体"/>
          <w:b/>
          <w:bCs/>
          <w:color w:val="auto"/>
          <w:sz w:val="36"/>
          <w:highlight w:val="none"/>
        </w:rPr>
      </w:pPr>
      <w:r>
        <w:rPr>
          <w:rFonts w:hint="eastAsia" w:ascii="宋体" w:hAnsi="宋体" w:cs="宋体"/>
          <w:b/>
          <w:bCs/>
          <w:color w:val="auto"/>
          <w:sz w:val="36"/>
          <w:highlight w:val="none"/>
          <w:lang w:eastAsia="zh-CN"/>
        </w:rPr>
        <w:t xml:space="preserve">扬州市妇幼保健院托育综合服务中心智能实训设备采购项目</w:t>
      </w:r>
      <w:r>
        <w:rPr>
          <w:rFonts w:hint="eastAsia" w:ascii="宋体" w:hAnsi="宋体" w:cs="宋体"/>
          <w:b/>
          <w:bCs/>
          <w:color w:val="auto"/>
          <w:sz w:val="36"/>
          <w:highlight w:val="none"/>
        </w:rPr>
        <w:t xml:space="preserve">公开招标文件</w:t>
      </w:r>
      <w:r/>
    </w:p>
    <w:p>
      <w:pPr>
        <w:jc w:val="center"/>
        <w:tabs>
          <w:tab w:val="left" w:pos="4620" w:leader="none"/>
        </w:tabs>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left"/>
        <w:rPr>
          <w:rFonts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91810" cy="3686810"/>
                <wp:effectExtent l="0" t="0" r="14604"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591810" cy="3686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0.3pt;height:290.3pt;mso-wrap-distance-left:0.0pt;mso-wrap-distance-top:0.0pt;mso-wrap-distance-right:0.0pt;mso-wrap-distance-bottom:0.0pt;" stroked="f">
                <v:path textboxrect="0,0,0,0"/>
                <v:imagedata r:id="rId16" o:title=""/>
              </v:shape>
            </w:pict>
          </mc:Fallback>
        </mc:AlternateContent>
      </w:r>
      <w:r/>
    </w:p>
    <w:p>
      <w:pPr>
        <w:jc w:val="center"/>
        <w:rPr>
          <w:rFonts w:ascii="宋体" w:hAnsi="宋体" w:cs="宋体"/>
          <w:color w:val="auto"/>
          <w:sz w:val="36"/>
          <w:highlight w:val="none"/>
        </w:rPr>
      </w:pPr>
      <w:r>
        <w:rPr>
          <w:rFonts w:ascii="宋体" w:hAnsi="宋体" w:cs="宋体"/>
          <w:color w:val="auto"/>
          <w:sz w:val="36"/>
          <w:highlight w:val="none"/>
        </w:rPr>
      </w:r>
      <w:r/>
    </w:p>
    <w:p>
      <w:pPr>
        <w:pStyle w:val="858"/>
        <w:rPr>
          <w:color w:val="auto"/>
          <w:highlight w:val="none"/>
        </w:rPr>
      </w:pPr>
      <w:r>
        <w:rPr>
          <w:color w:val="auto"/>
          <w:highlight w:val="none"/>
        </w:rPr>
      </w:r>
      <w:r/>
    </w:p>
    <w:p>
      <w:pPr>
        <w:ind w:firstLine="1134"/>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扬州市妇幼保健院</w:t>
      </w:r>
      <w:r/>
    </w:p>
    <w:p>
      <w:pPr>
        <w:ind w:firstLine="1134"/>
        <w:keepLines w:val="0"/>
        <w:keepNext w:val="0"/>
        <w:pageBreakBefore w:val="0"/>
        <w:spacing w:line="360" w:lineRule="auto"/>
        <w:widowControl w:val="off"/>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采购代理机构(章)：江苏唯诚建设咨询有限公司</w:t>
      </w:r>
      <w:r/>
    </w:p>
    <w:p>
      <w:pPr>
        <w:ind w:firstLine="1134"/>
        <w:keepLines w:val="0"/>
        <w:keepNext w:val="0"/>
        <w:pageBreakBefore w:val="0"/>
        <w:spacing w:line="360" w:lineRule="auto"/>
        <w:widowControl w:val="off"/>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18</w:t>
      </w:r>
      <w:r>
        <w:rPr>
          <w:rFonts w:hint="eastAsia" w:ascii="宋体" w:hAnsi="宋体" w:cs="宋体"/>
          <w:b/>
          <w:bCs/>
          <w:color w:val="auto"/>
          <w:sz w:val="32"/>
          <w:szCs w:val="32"/>
          <w:highlight w:val="none"/>
        </w:rPr>
        <w:t xml:space="preserve">日</w:t>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844"/>
        <w:spacing w:line="360" w:lineRule="auto"/>
        <w:tabs>
          <w:tab w:val="right" w:pos="8296" w:leader="dot"/>
        </w:tabs>
        <w:rPr>
          <w:rFonts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44"/>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6</w:t>
      </w:r>
      <w:r/>
    </w:p>
    <w:p>
      <w:pPr>
        <w:pStyle w:val="844"/>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18</w:t>
      </w:r>
      <w:r/>
    </w:p>
    <w:p>
      <w:pPr>
        <w:pStyle w:val="844"/>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844"/>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28</w:t>
      </w:r>
      <w:r/>
    </w:p>
    <w:p>
      <w:pPr>
        <w:pStyle w:val="844"/>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32</w:t>
      </w:r>
      <w:r/>
    </w:p>
    <w:p>
      <w:pPr>
        <w:jc w:val="center"/>
        <w:spacing w:line="360" w:lineRule="auto"/>
        <w:rPr>
          <w:rFonts w:ascii="宋体" w:hAnsi="宋体" w:cs="宋体"/>
          <w:color w:val="auto"/>
          <w:sz w:val="28"/>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810"/>
        <w:jc w:val="center"/>
        <w:spacing w:line="360" w:lineRule="auto"/>
        <w:rPr>
          <w:rFonts w:ascii="宋体" w:hAnsi="宋体" w:cs="宋体"/>
          <w:color w:val="auto"/>
          <w:sz w:val="36"/>
          <w:highlight w:val="none"/>
        </w:rPr>
      </w:pPr>
      <w:r/>
      <w:bookmarkStart w:id="1" w:name="OLE_LINK1"/>
      <w:r/>
      <w:bookmarkStart w:id="2" w:name="_Toc497133090"/>
      <w:r>
        <w:rPr>
          <w:rFonts w:hint="eastAsia" w:ascii="宋体" w:hAnsi="宋体" w:cs="宋体"/>
          <w:color w:val="auto"/>
          <w:sz w:val="36"/>
          <w:highlight w:val="none"/>
        </w:rPr>
        <w:t xml:space="preserve">第一章 招标公告</w:t>
      </w:r>
      <w:bookmarkEnd w:id="1"/>
      <w:r/>
      <w:bookmarkEnd w:id="2"/>
      <w:r/>
      <w:r/>
    </w:p>
    <w:p>
      <w:pPr>
        <w:ind w:firstLine="420"/>
        <w:keepLines w:val="0"/>
        <w:keepNext w:val="0"/>
        <w:pageBreakBefore w:val="0"/>
        <w:spacing w:line="360" w:lineRule="auto"/>
        <w:widowControl w:val="off"/>
        <w:tabs>
          <w:tab w:val="left" w:pos="266" w:leader="none"/>
        </w:tabs>
        <w:rPr>
          <w:rFonts w:ascii="宋体" w:hAnsi="宋体" w:cs="宋体"/>
          <w:color w:val="auto"/>
          <w:szCs w:val="21"/>
          <w:highlight w:val="none"/>
        </w:rPr>
      </w:pPr>
      <w:r/>
      <w:bookmarkStart w:id="3"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扬州市妇幼保健院</w:t>
      </w:r>
      <w:r>
        <w:rPr>
          <w:rFonts w:hint="eastAsia" w:ascii="宋体" w:hAnsi="宋体" w:cs="宋体"/>
          <w:color w:val="auto"/>
          <w:highlight w:val="none"/>
        </w:rPr>
        <w:t xml:space="preserve">的委托，江苏唯诚建设咨询有限公司就</w:t>
      </w:r>
      <w:r>
        <w:rPr>
          <w:rFonts w:hint="eastAsia" w:ascii="宋体" w:hAnsi="宋体" w:cs="宋体"/>
          <w:color w:val="auto"/>
          <w:highlight w:val="none"/>
          <w:lang w:eastAsia="zh-CN"/>
        </w:rPr>
        <w:t xml:space="preserve">扬州市妇幼保健院托育综合服务中心智能实训设备采购项目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扬州市妇幼保健院托育综合服务中心智能实训设备采购项目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中国政府采购网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7</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bookmarkStart w:id="4" w:name="_Toc38985263"/>
      <w:r>
        <w:rPr>
          <w:rFonts w:hint="eastAsia" w:ascii="宋体" w:hAnsi="宋体" w:cs="宋体"/>
          <w:b/>
          <w:bCs/>
          <w:color w:val="auto"/>
          <w:highlight w:val="none"/>
        </w:rPr>
        <w:t xml:space="preserve">一、项目基本情况</w:t>
      </w:r>
      <w:bookmarkEnd w:id="4"/>
      <w:r/>
      <w:r/>
    </w:p>
    <w:p>
      <w:pPr>
        <w:ind w:firstLine="420"/>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JSZC-321000-JSWC-G2026-0016</w:t>
      </w:r>
      <w:r>
        <w:rPr>
          <w:rFonts w:hint="eastAsia" w:ascii="宋体" w:hAnsi="宋体" w:cs="宋体"/>
          <w:color w:val="auto"/>
          <w:highlight w:val="none"/>
          <w:lang w:val="en-US" w:eastAsia="zh-CN"/>
        </w:rPr>
        <w:t xml:space="preserve"> </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扬州市妇幼保健院托育综合服务中心智能实训设备采购项目</w:t>
      </w:r>
      <w:r/>
    </w:p>
    <w:p>
      <w:pPr>
        <w:ind w:firstLine="42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highlight w:val="none"/>
        </w:rPr>
        <w:t xml:space="preserve">3.预算金额：</w:t>
      </w:r>
      <w:r>
        <w:rPr>
          <w:rFonts w:hint="eastAsia" w:ascii="宋体" w:hAnsi="宋体" w:cs="宋体"/>
          <w:color w:val="auto"/>
          <w:highlight w:val="none"/>
          <w:u w:val="single"/>
          <w:lang w:val="en-US" w:eastAsia="zh-CN"/>
        </w:rPr>
        <w:t xml:space="preserve"> 135 </w:t>
      </w:r>
      <w:r>
        <w:rPr>
          <w:rFonts w:hint="eastAsia" w:ascii="宋体" w:hAnsi="宋体" w:eastAsia="宋体" w:cs="宋体"/>
          <w:color w:val="auto"/>
          <w:highlight w:val="none"/>
        </w:rPr>
        <w:t xml:space="preserve">万元</w:t>
      </w:r>
      <w:r/>
    </w:p>
    <w:p>
      <w:pPr>
        <w:ind w:firstLine="420"/>
        <w:keepLines w:val="0"/>
        <w:keepNext w:val="0"/>
        <w:pageBreakBefore w:val="0"/>
        <w:spacing w:line="360" w:lineRule="auto"/>
        <w:rPr>
          <w:color w:val="auto"/>
          <w:highlight w:val="none"/>
        </w:rPr>
      </w:pPr>
      <w:r>
        <w:rPr>
          <w:rFonts w:hint="eastAsia" w:ascii="宋体" w:hAnsi="宋体" w:cs="宋体"/>
          <w:color w:val="auto"/>
          <w:highlight w:val="none"/>
        </w:rPr>
        <w:t xml:space="preserve">4.最高限价：</w:t>
      </w:r>
      <w:r>
        <w:rPr>
          <w:rFonts w:hint="eastAsia" w:ascii="宋体" w:hAnsi="宋体" w:cs="宋体"/>
          <w:color w:val="auto"/>
          <w:highlight w:val="none"/>
          <w:u w:val="single"/>
          <w:lang w:val="en-US" w:eastAsia="zh-CN"/>
        </w:rPr>
        <w:t xml:space="preserve"> 135 </w:t>
      </w:r>
      <w:r>
        <w:rPr>
          <w:rFonts w:hint="eastAsia" w:ascii="宋体" w:hAnsi="宋体" w:cs="宋体"/>
          <w:color w:val="auto"/>
          <w:highlight w:val="none"/>
          <w:lang w:val="en-US" w:eastAsia="zh-CN"/>
        </w:rPr>
        <w:t xml:space="preserve">万元，</w:t>
      </w:r>
      <w:r>
        <w:rPr>
          <w:rFonts w:hint="eastAsia" w:ascii="宋体" w:hAnsi="宋体" w:cs="宋体"/>
          <w:color w:val="auto"/>
          <w:highlight w:val="none"/>
        </w:rPr>
        <w:t xml:space="preserve">投标报价高于最高限价的作废标处理。</w:t>
      </w:r>
      <w:r/>
    </w:p>
    <w:p>
      <w:pPr>
        <w:numPr>
          <w:ilvl w:val="0"/>
          <w:numId w:val="0"/>
        </w:numPr>
        <w:ind w:firstLine="420"/>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5.</w:t>
      </w:r>
      <w:r>
        <w:rPr>
          <w:rFonts w:hint="eastAsia" w:ascii="宋体" w:hAnsi="宋体" w:cs="宋体"/>
          <w:color w:val="auto"/>
          <w:highlight w:val="none"/>
        </w:rPr>
        <w:t xml:space="preserve">采购需求：</w:t>
      </w:r>
      <w:r>
        <w:rPr>
          <w:rFonts w:hint="eastAsia" w:ascii="宋体" w:hAnsi="宋体" w:cs="宋体"/>
          <w:color w:val="auto"/>
          <w:highlight w:val="none"/>
          <w:lang w:val="en-US" w:eastAsia="zh-CN"/>
        </w:rPr>
        <w:t xml:space="preserve">详见招标文件第四章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.供货期：</w:t>
      </w:r>
      <w:bookmarkStart w:id="5" w:name="_Toc38985264"/>
      <w:r>
        <w:rPr>
          <w:rFonts w:hint="eastAsia" w:ascii="宋体" w:hAnsi="宋体" w:cs="宋体"/>
          <w:color w:val="auto"/>
          <w:highlight w:val="none"/>
          <w:lang w:val="en-US" w:eastAsia="zh-CN"/>
        </w:rPr>
        <w:t xml:space="preserve">详见招标文件第四章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keepLines w:val="0"/>
        <w:keepNext w:val="0"/>
        <w:pageBreakBefore w:val="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8.本项目</w:t>
      </w:r>
      <w:r>
        <w:rPr>
          <w:rFonts w:hint="eastAsia" w:ascii="宋体" w:hAnsi="宋体" w:cs="宋体"/>
          <w:color w:val="auto"/>
          <w:highlight w:val="none"/>
          <w:u w:val="single"/>
          <w:lang w:val="en-US" w:eastAsia="zh-CN"/>
        </w:rPr>
        <w:t xml:space="preserve">不接受</w:t>
      </w:r>
      <w:r>
        <w:rPr>
          <w:rFonts w:hint="eastAsia" w:ascii="宋体" w:hAnsi="宋体" w:cs="宋体"/>
          <w:color w:val="auto"/>
          <w:highlight w:val="none"/>
          <w:lang w:val="en-US" w:eastAsia="zh-CN"/>
        </w:rPr>
        <w:t xml:space="preserve">进口产品投标。</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5"/>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w:t>
      </w:r>
      <w:r>
        <w:rPr>
          <w:rFonts w:hint="eastAsia" w:ascii="宋体" w:hAnsi="宋体" w:cs="宋体"/>
          <w:b/>
          <w:bCs/>
          <w:i/>
          <w:iCs/>
          <w:color w:val="auto"/>
          <w:szCs w:val="21"/>
          <w:highlight w:val="none"/>
          <w:u w:val="single"/>
          <w:lang w:val="en-US" w:eastAsia="zh-CN"/>
        </w:rPr>
        <w:t xml:space="preserve">一年内</w:t>
      </w:r>
      <w:r>
        <w:rPr>
          <w:rFonts w:hint="eastAsia" w:ascii="宋体" w:hAnsi="宋体" w:cs="宋体"/>
          <w:b/>
          <w:bCs/>
          <w:i/>
          <w:iCs/>
          <w:color w:val="auto"/>
          <w:szCs w:val="21"/>
          <w:highlight w:val="none"/>
          <w:u w:val="single"/>
        </w:rPr>
        <w:t xml:space="preserve">内任意一个月缴纳职工社会保障资金的缴款凭证或缴款证明)（投标人依法享受缓缴、免缴的提供证明材料）</w:t>
      </w:r>
      <w:r/>
    </w:p>
    <w:p>
      <w:pPr>
        <w:ind w:firstLine="420"/>
        <w:keepLines w:val="0"/>
        <w:keepNext w:val="0"/>
        <w:pageBreakBefore w:val="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w:t>
      </w:r>
      <w:r>
        <w:rPr>
          <w:rFonts w:hint="eastAsia" w:ascii="宋体" w:hAnsi="宋体" w:cs="宋体"/>
          <w:i/>
          <w:iCs/>
          <w:color w:val="auto"/>
          <w:szCs w:val="21"/>
          <w:highlight w:val="none"/>
          <w:u w:val="single"/>
          <w:lang w:eastAsia="zh-CN"/>
        </w:rPr>
        <w:t xml:space="preserve">近一年内</w:t>
      </w:r>
      <w:r>
        <w:rPr>
          <w:rFonts w:hint="eastAsia" w:ascii="宋体" w:hAnsi="宋体" w:cs="宋体"/>
          <w:i/>
          <w:iCs/>
          <w:color w:val="auto"/>
          <w:szCs w:val="21"/>
          <w:highlight w:val="none"/>
          <w:u w:val="single"/>
        </w:rPr>
        <w:t xml:space="preserve">任意一</w:t>
      </w:r>
      <w:r>
        <w:rPr>
          <w:rFonts w:hint="eastAsia" w:ascii="宋体" w:hAnsi="宋体" w:cs="宋体"/>
          <w:i/>
          <w:iCs/>
          <w:color w:val="auto"/>
          <w:szCs w:val="21"/>
          <w:highlight w:val="none"/>
          <w:u w:val="single"/>
          <w:lang w:val="en-US" w:eastAsia="zh-CN"/>
        </w:rPr>
        <w:t xml:space="preserve">个月</w:t>
      </w:r>
      <w:r>
        <w:rPr>
          <w:rFonts w:hint="eastAsia" w:ascii="宋体" w:hAnsi="宋体" w:cs="宋体"/>
          <w:i/>
          <w:iCs/>
          <w:color w:val="auto"/>
          <w:szCs w:val="21"/>
          <w:highlight w:val="none"/>
          <w:u w:val="single"/>
        </w:rPr>
        <w:t xml:space="preserve">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keepLines w:val="0"/>
        <w:keepNext w:val="0"/>
        <w:pageBreakBefore w:val="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keepLines w:val="0"/>
        <w:keepNext w:val="0"/>
        <w:pageBreakBefore w:val="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bCs/>
          <w:iCs/>
          <w:color w:val="auto"/>
          <w:szCs w:val="21"/>
          <w:highlight w:val="none"/>
        </w:rPr>
      </w:pPr>
      <w:r>
        <w:rPr>
          <w:rFonts w:hint="eastAsia" w:ascii="宋体" w:hAnsi="宋体" w:eastAsia="宋体" w:cs="宋体"/>
          <w:bCs/>
          <w:i/>
          <w:color w:val="auto"/>
          <w:sz w:val="21"/>
          <w:szCs w:val="22"/>
          <w:highlight w:val="none"/>
          <w:lang w:val="en-US" w:eastAsia="zh-CN" w:bidi="ar-SA"/>
        </w:rPr>
        <w:t xml:space="preserve">2.</w:t>
      </w:r>
      <w:r>
        <w:rPr>
          <w:rFonts w:hint="eastAsia" w:ascii="宋体" w:hAnsi="宋体" w:cs="宋体"/>
          <w:color w:val="auto"/>
          <w:szCs w:val="21"/>
          <w:highlight w:val="none"/>
        </w:rPr>
        <w:t xml:space="preserve">落实政府采购政策需满足的资格要求：</w:t>
      </w: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numPr>
          <w:ilvl w:val="0"/>
          <w:numId w:val="0"/>
        </w:numPr>
        <w:ind w:firstLine="420"/>
        <w:keepLines w:val="0"/>
        <w:keepNext w:val="0"/>
        <w:pageBreakBefore w:val="0"/>
        <w:spacing w:line="360" w:lineRule="auto"/>
        <w:rPr>
          <w:rFonts w:hint="eastAsia" w:ascii="宋体" w:hAnsi="宋体" w:cs="宋体"/>
          <w:bCs/>
          <w:i/>
          <w:color w:val="auto"/>
          <w:highlight w:val="none"/>
          <w:u w:val="single"/>
          <w:lang w:eastAsia="zh-CN"/>
        </w:rPr>
      </w:pPr>
      <w:r>
        <w:rPr>
          <w:rFonts w:hint="eastAsia" w:ascii="宋体" w:hAnsi="宋体" w:cs="宋体"/>
          <w:bCs/>
          <w:iCs/>
          <w:color w:val="auto"/>
          <w:szCs w:val="21"/>
          <w:highlight w:val="none"/>
        </w:rPr>
        <w:t xml:space="preserve">本项目采购标的按中小企业划分标准所属行业区分为：</w:t>
      </w:r>
      <w:r>
        <w:rPr>
          <w:rFonts w:hint="eastAsia" w:ascii="宋体" w:hAnsi="宋体" w:cs="宋体"/>
          <w:bCs/>
          <w:iCs/>
          <w:color w:val="auto"/>
          <w:szCs w:val="21"/>
          <w:highlight w:val="none"/>
          <w:lang w:val="en-US" w:eastAsia="zh-CN"/>
        </w:rPr>
        <w:t xml:space="preserve">工业</w:t>
      </w:r>
      <w:r>
        <w:rPr>
          <w:rFonts w:hint="eastAsia" w:ascii="宋体" w:hAnsi="宋体" w:cs="宋体"/>
          <w:bCs/>
          <w:iCs/>
          <w:color w:val="auto"/>
          <w:szCs w:val="21"/>
          <w:highlight w:val="none"/>
        </w:rPr>
        <w:t xml:space="preserve">（中小微企业划型标准网</w:t>
      </w:r>
      <w:r>
        <w:rPr>
          <w:rFonts w:hint="eastAsia" w:ascii="宋体" w:hAnsi="宋体" w:cs="宋体"/>
          <w:bCs/>
          <w:iCs/>
          <w:color w:val="auto"/>
          <w:szCs w:val="21"/>
          <w:highlight w:val="none"/>
        </w:rPr>
        <w:fldChar w:fldCharType="begin"/>
      </w:r>
      <w:r>
        <w:rPr>
          <w:rFonts w:hint="eastAsia" w:ascii="宋体" w:hAnsi="宋体" w:cs="宋体"/>
          <w:bCs/>
          <w:iCs/>
          <w:color w:val="auto"/>
          <w:szCs w:val="21"/>
          <w:highlight w:val="none"/>
        </w:rPr>
        <w:instrText xml:space="preserve"> HYPERLINK "http://www.ccgp.gov.cn/zcfg/mof/201310/t20131029_3587674.htm" </w:instrText>
      </w:r>
      <w:r>
        <w:rPr>
          <w:rFonts w:hint="eastAsia" w:ascii="宋体" w:hAnsi="宋体" w:cs="宋体"/>
          <w:bCs/>
          <w:iCs/>
          <w:color w:val="auto"/>
          <w:szCs w:val="21"/>
          <w:highlight w:val="none"/>
        </w:rPr>
        <w:fldChar w:fldCharType="separate"/>
      </w:r>
      <w:r>
        <w:rPr>
          <w:rFonts w:hint="eastAsia" w:ascii="宋体" w:hAnsi="宋体" w:cs="宋体"/>
          <w:bCs/>
          <w:iCs/>
          <w:color w:val="auto"/>
          <w:highlight w:val="none"/>
        </w:rPr>
        <w:t xml:space="preserve">http://www.ccgp.gov.cn/zcfg/mof/201310/t20131029_3587674.htm</w:t>
      </w:r>
      <w:r>
        <w:rPr>
          <w:rFonts w:hint="eastAsia" w:ascii="宋体" w:hAnsi="宋体" w:cs="宋体"/>
          <w:bCs/>
          <w:iCs/>
          <w:color w:val="auto"/>
          <w:highlight w:val="none"/>
        </w:rPr>
        <w:fldChar w:fldCharType="end"/>
      </w:r>
      <w:r>
        <w:rPr>
          <w:rFonts w:hint="eastAsia" w:ascii="宋体" w:hAnsi="宋体" w:cs="宋体"/>
          <w:bCs/>
          <w:iCs/>
          <w:color w:val="auto"/>
          <w:szCs w:val="21"/>
          <w:highlight w:val="none"/>
        </w:rPr>
        <w:t xml:space="preserve">）。</w:t>
      </w:r>
      <w:r/>
    </w:p>
    <w:p>
      <w:pPr>
        <w:ind w:firstLine="420"/>
        <w:keepLines w:val="0"/>
        <w:keepNext w:val="0"/>
        <w:pageBreakBefore w:val="0"/>
        <w:spacing w:line="360" w:lineRule="auto"/>
        <w:widowControl w:val="off"/>
        <w:tabs>
          <w:tab w:val="left" w:pos="266" w:leader="none"/>
        </w:tabs>
        <w:rPr>
          <w:rFonts w:hint="eastAsia" w:ascii="宋体" w:hAnsi="宋体" w:eastAsia="宋体" w:cs="宋体"/>
          <w:bCs/>
          <w:i/>
          <w:color w:val="auto"/>
          <w:highlight w:val="none"/>
          <w:u w:val="singl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val="en-US" w:eastAsia="zh-CN"/>
        </w:rPr>
        <w:t xml:space="preserve">无</w:t>
      </w:r>
      <w:r/>
    </w:p>
    <w:p>
      <w:pPr>
        <w:ind w:firstLine="422"/>
        <w:keepLines w:val="0"/>
        <w:keepNext w:val="0"/>
        <w:pageBreakBefore w:val="0"/>
        <w:spacing w:line="360" w:lineRule="auto"/>
        <w:widowControl w:val="off"/>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keepLines w:val="0"/>
        <w:keepNext w:val="0"/>
        <w:pageBreakBefore w:val="0"/>
        <w:spacing w:line="360" w:lineRule="auto"/>
        <w:widowControl w:val="off"/>
        <w:rPr>
          <w:rFonts w:ascii="宋体" w:hAnsi="宋体" w:cs="宋体"/>
          <w:color w:val="auto"/>
          <w:highlight w:val="none"/>
        </w:rPr>
      </w:pPr>
      <w:r/>
      <w:bookmarkStart w:id="6" w:name="_Toc38985266"/>
      <w:r>
        <w:rPr>
          <w:rFonts w:hint="eastAsia" w:ascii="宋体" w:hAnsi="宋体" w:cs="宋体"/>
          <w:color w:val="auto"/>
          <w:highlight w:val="none"/>
        </w:rPr>
        <w:t xml:space="preserve">1.时间：自招标文件公告发布之日起5个工作日。</w:t>
      </w:r>
      <w:r/>
    </w:p>
    <w:p>
      <w:pPr>
        <w:ind w:firstLine="422"/>
        <w:keepLines w:val="0"/>
        <w:keepNext w:val="0"/>
        <w:pageBreakBefore w:val="0"/>
        <w:spacing w:line="360" w:lineRule="auto"/>
        <w:widowControl w:val="off"/>
        <w:rPr>
          <w:rFonts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（3）“CA数字证书”的办理材料以及供应商操作手册详见：http</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//zfcg.yangzhou.gov.cn/zfcg/xzzx/202309/4d7de1f7865f4a2894fc22bc452f94d8.shtml。</w:t>
      </w:r>
      <w:r/>
    </w:p>
    <w:p>
      <w:pPr>
        <w:ind w:firstLine="422"/>
        <w:jc w:val="left"/>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//jszfcg.jsczt.cn/。</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bookmarkEnd w:id="6"/>
      <w:r/>
      <w:r/>
    </w:p>
    <w:p>
      <w:pPr>
        <w:ind w:firstLine="420"/>
        <w:keepLines w:val="0"/>
        <w:keepNext w:val="0"/>
        <w:pageBreakBefore w:val="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7</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hint="eastAsia" w:ascii="宋体" w:hAnsi="宋体" w:cs="宋体"/>
          <w:bCs/>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keepLines w:val="0"/>
        <w:keepNext w:val="0"/>
        <w:pageBreakBefore w:val="0"/>
        <w:spacing w:line="360" w:lineRule="auto"/>
        <w:rPr>
          <w:rFonts w:ascii="宋体" w:hAnsi="宋体" w:cs="宋体"/>
          <w:b w:val="0"/>
          <w:bCs/>
          <w:color w:val="auto"/>
          <w:highlight w:val="none"/>
          <w:u w:val="single"/>
        </w:rPr>
      </w:pPr>
      <w:r>
        <w:rPr>
          <w:rFonts w:hint="eastAsia" w:ascii="宋体" w:hAnsi="宋体" w:cs="宋体"/>
          <w:color w:val="auto"/>
          <w:highlight w:val="none"/>
        </w:rPr>
        <w:t xml:space="preserve">2.开标地点：</w:t>
      </w:r>
      <w:r>
        <w:rPr>
          <w:rFonts w:hint="eastAsia" w:ascii="宋体" w:hAnsi="宋体"/>
          <w:b w:val="0"/>
          <w:bCs/>
          <w:color w:val="auto"/>
          <w:szCs w:val="21"/>
          <w:highlight w:val="none"/>
        </w:rPr>
        <w:t xml:space="preserve">“苏采云”系统（网址：http</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rPr>
        <w:t xml:space="preserve">//jszfcg.jsczt.cn/）“开标大厅”</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bookmarkStart w:id="7" w:name="_Toc38985267"/>
      <w:r>
        <w:rPr>
          <w:rFonts w:hint="eastAsia" w:ascii="宋体" w:hAnsi="宋体" w:cs="宋体"/>
          <w:b/>
          <w:bCs/>
          <w:color w:val="auto"/>
          <w:highlight w:val="none"/>
        </w:rPr>
        <w:t xml:space="preserve">五、公告期限</w:t>
      </w:r>
      <w:bookmarkEnd w:id="7"/>
      <w:r/>
      <w:r/>
    </w:p>
    <w:p>
      <w:pPr>
        <w:ind w:firstLine="420"/>
        <w:keepLines w:val="0"/>
        <w:keepNext w:val="0"/>
        <w:pageBreakBefore w:val="0"/>
        <w:spacing w:line="360" w:lineRule="auto"/>
        <w:rPr>
          <w:rFonts w:ascii="宋体" w:hAnsi="宋体" w:cs="宋体"/>
          <w:color w:val="auto"/>
          <w:highlight w:val="none"/>
        </w:rPr>
      </w:pPr>
      <w:r/>
      <w:bookmarkStart w:id="8" w:name="_Toc38985268"/>
      <w:r>
        <w:rPr>
          <w:rFonts w:hint="eastAsia" w:ascii="宋体" w:hAnsi="宋体" w:cs="宋体"/>
          <w:color w:val="auto"/>
          <w:highlight w:val="none"/>
        </w:rPr>
        <w:t xml:space="preserve">招标公告及招标文件公告期限为自本公告发布之日起5个工作日。</w:t>
      </w:r>
      <w:bookmarkEnd w:id="8"/>
      <w:r/>
      <w:r/>
    </w:p>
    <w:p>
      <w:pPr>
        <w:ind w:firstLine="422"/>
        <w:keepLines w:val="0"/>
        <w:keepNext w:val="0"/>
        <w:pageBreakBefore w:val="0"/>
        <w:spacing w:line="360" w:lineRule="auto"/>
        <w:tabs>
          <w:tab w:val="left" w:pos="266" w:leader="none"/>
        </w:tabs>
        <w:rPr>
          <w:rFonts w:ascii="宋体" w:hAnsi="宋体" w:cs="宋体"/>
          <w:b/>
          <w:bCs/>
          <w:color w:val="auto"/>
          <w:highlight w:val="none"/>
        </w:rPr>
      </w:pPr>
      <w:r/>
      <w:bookmarkStart w:id="9" w:name="_Toc28359010"/>
      <w:r/>
      <w:bookmarkStart w:id="10" w:name="_Toc28359087"/>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//www.crcrfsp.com）”向参与政府采购融资业务的金融机构申请线上融资，相关事宜可向市人民银行咨询，联系电话：0514-87936653。</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9"/>
      <w:r/>
      <w:bookmarkEnd w:id="10"/>
      <w:r/>
      <w:r/>
    </w:p>
    <w:p>
      <w:pPr>
        <w:ind w:firstLine="422"/>
        <w:keepLines w:val="0"/>
        <w:keepNext w:val="0"/>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keepLines w:val="0"/>
        <w:keepNext w:val="0"/>
        <w:pageBreakBefore w:val="0"/>
        <w:spacing w:line="360" w:lineRule="auto"/>
        <w:rPr>
          <w:rFonts w:ascii="宋体" w:hAnsi="宋体" w:cs="宋体"/>
          <w:b/>
          <w:bCs/>
          <w:color w:val="auto"/>
          <w:szCs w:val="21"/>
          <w:highlight w:val="none"/>
        </w:rPr>
      </w:pPr>
      <w:r/>
      <w:bookmarkStart w:id="11"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keepLines w:val="0"/>
        <w:keepNext w:val="0"/>
        <w:pageBreakBefore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keepLines w:val="0"/>
        <w:keepNext w:val="0"/>
        <w:pageBreakBefore w:val="0"/>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keepLines w:val="0"/>
        <w:keepNext w:val="0"/>
        <w:pageBreakBefore w:val="0"/>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keepLines w:val="0"/>
        <w:keepNext w:val="0"/>
        <w:pageBreakBefore w:val="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keepLines w:val="0"/>
        <w:keepNext w:val="0"/>
        <w:pageBreakBefore w:val="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发布的信息。</w:t>
      </w:r>
      <w:r/>
    </w:p>
    <w:p>
      <w:pPr>
        <w:ind w:firstLine="422"/>
        <w:jc w:val="left"/>
        <w:keepLines w:val="0"/>
        <w:keepNext w:val="0"/>
        <w:pageBreakBefore w:val="0"/>
        <w:spacing w:line="360" w:lineRule="auto"/>
        <w:widowControl w:val="off"/>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firstLine="420"/>
        <w:jc w:val="left"/>
        <w:keepLines w:val="0"/>
        <w:keepNext w:val="0"/>
        <w:pageBreakBefore w:val="0"/>
        <w:spacing w:line="360" w:lineRule="auto"/>
        <w:widowControl w:val="off"/>
        <w:rPr>
          <w:rFonts w:ascii="宋体" w:hAnsi="宋体" w:eastAsia="宋体" w:cs="宋体"/>
          <w:bCs/>
          <w:color w:val="auto"/>
          <w:szCs w:val="21"/>
          <w:highlight w:val="none"/>
        </w:rPr>
      </w:pPr>
      <w:r>
        <w:rPr>
          <w:rFonts w:ascii="宋体" w:hAnsi="宋体" w:eastAsia="宋体" w:cs="宋体"/>
          <w:bCs/>
          <w:color w:val="auto"/>
          <w:szCs w:val="21"/>
          <w:highlight w:val="none"/>
        </w:rPr>
        <w:t xml:space="preserve">9</w:t>
      </w:r>
      <w:r>
        <w:rPr>
          <w:rFonts w:hint="eastAsia" w:ascii="宋体" w:hAnsi="宋体" w:eastAsia="宋体" w:cs="宋体"/>
          <w:bCs/>
          <w:color w:val="auto"/>
          <w:szCs w:val="21"/>
          <w:highlight w:val="none"/>
        </w:rPr>
        <w:t xml:space="preserve">.如在开标时间发生系统崩溃等不可预见的情况，造成开评标活动无法正常进行的，</w:t>
      </w:r>
      <w:r>
        <w:rPr>
          <w:rFonts w:hint="eastAsia" w:ascii="宋体" w:hAnsi="宋体" w:eastAsia="宋体" w:cs="宋体"/>
          <w:bCs/>
          <w:color w:val="auto"/>
          <w:szCs w:val="21"/>
          <w:highlight w:val="none"/>
          <w:lang w:val="en-US" w:eastAsia="zh-CN"/>
        </w:rPr>
        <w:t xml:space="preserve">将</w:t>
      </w:r>
      <w:r>
        <w:rPr>
          <w:rFonts w:hint="eastAsia" w:ascii="宋体" w:hAnsi="宋体" w:eastAsia="宋体" w:cs="宋体"/>
          <w:bCs/>
          <w:color w:val="auto"/>
          <w:szCs w:val="21"/>
          <w:highlight w:val="none"/>
        </w:rPr>
        <w:t xml:space="preserve">延迟开评标，具体开评标时间另行通知。</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1"/>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pStyle w:val="1056"/>
        <w:ind w:firstLine="420"/>
        <w:jc w:val="left"/>
        <w:keepLines w:val="0"/>
        <w:keepNext w:val="0"/>
        <w:pageBreakBefore w:val="0"/>
        <w:spacing w:line="360" w:lineRule="auto"/>
        <w:rPr>
          <w:rFonts w:hint="eastAsia" w:ascii="宋体" w:hAnsi="宋体" w:eastAsia="宋体" w:cs="宋体"/>
          <w:color w:val="auto"/>
          <w:szCs w:val="21"/>
          <w:highlight w:val="none"/>
          <w:lang w:eastAsia="zh-CN"/>
        </w:rPr>
      </w:pPr>
      <w:r/>
      <w:bookmarkStart w:id="12" w:name="_Toc28359009"/>
      <w:r/>
      <w:bookmarkStart w:id="13" w:name="_Toc28359086"/>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称：</w:t>
      </w:r>
      <w:r>
        <w:rPr>
          <w:rFonts w:hint="eastAsia" w:ascii="宋体" w:hAnsi="宋体" w:cs="宋体"/>
          <w:color w:val="auto"/>
          <w:szCs w:val="21"/>
          <w:highlight w:val="none"/>
          <w:lang w:eastAsia="zh-CN"/>
        </w:rPr>
        <w:t xml:space="preserve">扬州市妇幼保健院</w:t>
      </w:r>
      <w:r/>
    </w:p>
    <w:p>
      <w:pPr>
        <w:pStyle w:val="1056"/>
        <w:ind w:firstLine="420"/>
        <w:jc w:val="left"/>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址：扬州市</w:t>
      </w:r>
      <w:r>
        <w:rPr>
          <w:rFonts w:hint="eastAsia" w:ascii="宋体" w:hAnsi="宋体" w:cs="宋体"/>
          <w:color w:val="auto"/>
          <w:szCs w:val="21"/>
          <w:highlight w:val="none"/>
          <w:lang w:val="en-US" w:eastAsia="zh-CN"/>
        </w:rPr>
        <w:t xml:space="preserve">京杭北路50号</w:t>
      </w:r>
      <w:r/>
    </w:p>
    <w:p>
      <w:pPr>
        <w:pStyle w:val="1056"/>
        <w:ind w:firstLine="420"/>
        <w:jc w:val="left"/>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人：</w:t>
      </w:r>
      <w:r>
        <w:rPr>
          <w:rFonts w:hint="eastAsia" w:ascii="宋体" w:hAnsi="宋体" w:cs="宋体"/>
          <w:color w:val="auto"/>
          <w:szCs w:val="21"/>
          <w:highlight w:val="none"/>
          <w:lang w:val="en-US" w:eastAsia="zh-CN"/>
        </w:rPr>
        <w:t xml:space="preserve">徐佳慧</w:t>
      </w:r>
      <w:r/>
    </w:p>
    <w:p>
      <w:pPr>
        <w:pStyle w:val="1056"/>
        <w:ind w:firstLine="420"/>
        <w:jc w:val="left"/>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联系方式：0514-80828096</w:t>
      </w:r>
      <w:r>
        <w:rPr>
          <w:rFonts w:hint="eastAsia" w:ascii="宋体" w:hAnsi="宋体" w:cs="宋体"/>
          <w:color w:val="auto"/>
          <w:szCs w:val="21"/>
          <w:highlight w:val="none"/>
          <w:lang w:val="en-US" w:eastAsia="zh-CN"/>
        </w:rPr>
        <w:t xml:space="preserve"> </w:t>
      </w:r>
      <w:r/>
    </w:p>
    <w:p>
      <w:pPr>
        <w:ind w:firstLine="420"/>
        <w:jc w:val="left"/>
        <w:keepLines w:val="0"/>
        <w:keepNext w:val="0"/>
        <w:pageBreakBefore w:val="0"/>
        <w:spacing w:line="360" w:lineRule="auto"/>
        <w:rPr>
          <w:rFonts w:ascii="宋体" w:hAnsi="宋体" w:cs="宋体"/>
          <w:color w:val="auto"/>
          <w:highlight w:val="none"/>
        </w:rPr>
      </w:pPr>
      <w:r>
        <w:rPr>
          <w:rFonts w:hint="eastAsia" w:ascii="宋体" w:hAnsi="宋体" w:cs="宋体"/>
          <w:color w:val="auto"/>
          <w:highlight w:val="none"/>
        </w:rPr>
        <w:t xml:space="preserve">2.代理机构信息</w:t>
      </w:r>
      <w:bookmarkEnd w:id="12"/>
      <w:r/>
      <w:bookmarkEnd w:id="13"/>
      <w:r/>
      <w:r/>
    </w:p>
    <w:p>
      <w:pPr>
        <w:ind w:firstLine="420"/>
        <w:jc w:val="left"/>
        <w:keepLines w:val="0"/>
        <w:keepNext w:val="0"/>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    称：江苏唯诚建设咨询有限公司</w:t>
      </w:r>
      <w:r/>
    </w:p>
    <w:p>
      <w:pPr>
        <w:ind w:firstLine="420"/>
        <w:jc w:val="left"/>
        <w:keepLines w:val="0"/>
        <w:keepNext w:val="0"/>
        <w:pageBreakBefore w:val="0"/>
        <w:spacing w:line="360" w:lineRule="auto"/>
        <w:rPr>
          <w:rFonts w:ascii="宋体" w:hAnsi="宋体" w:cs="宋体"/>
          <w:color w:val="auto"/>
          <w:highlight w:val="none"/>
        </w:rPr>
      </w:pPr>
      <w:r>
        <w:rPr>
          <w:rFonts w:hint="eastAsia" w:ascii="宋体" w:hAnsi="宋体" w:cs="宋体"/>
          <w:color w:val="auto"/>
          <w:highlight w:val="none"/>
        </w:rPr>
        <w:t xml:space="preserve">地　  址：扬州市维扬路106-1#扬州商城国际大厦19F</w:t>
      </w:r>
      <w:r/>
    </w:p>
    <w:p>
      <w:pPr>
        <w:ind w:firstLine="420"/>
        <w:jc w:val="left"/>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 系 人：林祖超</w:t>
      </w:r>
      <w:r/>
    </w:p>
    <w:p>
      <w:pPr>
        <w:ind w:firstLine="420"/>
        <w:jc w:val="left"/>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联系方式：18652401357</w:t>
      </w:r>
      <w:r/>
    </w:p>
    <w:p>
      <w:pPr>
        <w:pStyle w:val="1052"/>
        <w:rPr>
          <w:color w:val="auto"/>
          <w:highlight w:val="none"/>
        </w:rPr>
      </w:pPr>
      <w:r>
        <w:rPr>
          <w:color w:val="auto"/>
          <w:highlight w:val="none"/>
        </w:rPr>
      </w:r>
      <w:r/>
    </w:p>
    <w:p>
      <w:pPr>
        <w:pStyle w:val="810"/>
        <w:jc w:val="center"/>
        <w:keepLines/>
        <w:keepNext/>
        <w:pageBreakBefore w:val="0"/>
        <w:spacing w:line="240" w:lineRule="auto"/>
        <w:widowControl w:val="off"/>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
      <w:r/>
      <w:r/>
    </w:p>
    <w:p>
      <w:pPr>
        <w:ind w:left="0" w:firstLine="422"/>
        <w:keepLines w:val="0"/>
        <w:keepNext w:val="0"/>
        <w:pageBreakBefore w:val="0"/>
        <w:spacing w:line="360" w:lineRule="auto"/>
        <w:widowControl w:val="off"/>
        <w:rPr>
          <w:rFonts w:ascii="宋体" w:hAnsi="宋体"/>
          <w:b/>
          <w:color w:val="auto"/>
          <w:szCs w:val="21"/>
          <w:highlight w:val="none"/>
        </w:rPr>
      </w:pPr>
      <w:r/>
      <w:bookmarkStart w:id="14" w:name="_Toc497133092"/>
      <w:r>
        <w:rPr>
          <w:rFonts w:hint="eastAsia" w:ascii="宋体" w:hAnsi="宋体"/>
          <w:b/>
          <w:color w:val="auto"/>
          <w:szCs w:val="21"/>
          <w:highlight w:val="none"/>
        </w:rPr>
        <w:t xml:space="preserve">1、招标方式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val="en-US" w:eastAsia="zh-CN"/>
        </w:rPr>
        <w:t xml:space="preserve">JSZC-321000-JSWC-G2026-0016</w:t>
      </w:r>
      <w:r>
        <w:rPr>
          <w:rFonts w:hint="eastAsia" w:ascii="宋体" w:hAnsi="宋体"/>
          <w:bCs/>
          <w:color w:val="auto"/>
          <w:szCs w:val="21"/>
          <w:highlight w:val="none"/>
        </w:rPr>
        <w:t xml:space="preserve">号项目。</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2、投标人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3、适用法律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4、投标费用</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4.2本次采购由中标人在领取中标通知书前按《招标代理服务收费管理暂行办法》(计价格【2002】1980 号文)货物类</w:t>
      </w:r>
      <w:r>
        <w:rPr>
          <w:rFonts w:hint="eastAsia" w:ascii="宋体" w:hAnsi="宋体" w:cs="宋体"/>
          <w:color w:val="auto"/>
          <w:highlight w:val="none"/>
          <w:lang w:val="en-US" w:eastAsia="zh-CN"/>
        </w:rPr>
        <w:t xml:space="preserve">标准70%</w:t>
      </w:r>
      <w:r>
        <w:rPr>
          <w:rFonts w:hint="eastAsia" w:ascii="宋体" w:hAnsi="宋体" w:cs="宋体"/>
          <w:color w:val="auto"/>
          <w:highlight w:val="none"/>
        </w:rPr>
        <w:t xml:space="preserve">一次性支付给代理机构代理服务费。 </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（1）代理服务费以人民币支付； </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（3）招标代理服务费不在投标报价中单列，包含在投标总价中，由中标单位支付给代理机构。 </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代理服务费开户银行：江苏银行扬州广陵支行</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left="0"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开户帐号：05000140900000685</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6、招标文件构成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（1）招标公告</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（4）项目需求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公布，补充文件将作为招标文件的组成部分，并对投标人具有约束力。</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12、分项报价表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12.2 标的物</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12.3其它费用处理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12.4投标货币</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16、投标有效期</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360" w:lineRule="auto"/>
        <w:widowControl w:val="off"/>
        <w:rPr>
          <w:rFonts w:ascii="宋体" w:hAnsi="宋体"/>
          <w:b/>
          <w:color w:val="auto"/>
          <w:szCs w:val="21"/>
          <w:highlight w:val="none"/>
        </w:rPr>
      </w:pPr>
      <w:r/>
      <w:bookmarkStart w:id="15" w:name="_Toc16938541"/>
      <w:r/>
      <w:bookmarkStart w:id="16" w:name="_Toc513029225"/>
      <w:r/>
      <w:bookmarkStart w:id="17" w:name="_Toc20823297"/>
      <w:r/>
      <w:bookmarkStart w:id="18" w:name="_Toc462564084"/>
      <w:r>
        <w:rPr>
          <w:rFonts w:hint="eastAsia" w:ascii="宋体" w:hAnsi="宋体"/>
          <w:b/>
          <w:color w:val="auto"/>
          <w:szCs w:val="21"/>
          <w:highlight w:val="none"/>
        </w:rPr>
        <w:t xml:space="preserve">17、投标文件</w:t>
      </w:r>
      <w:bookmarkEnd w:id="15"/>
      <w:r/>
      <w:bookmarkEnd w:id="16"/>
      <w:r/>
      <w:bookmarkEnd w:id="17"/>
      <w:r/>
      <w:bookmarkEnd w:id="18"/>
      <w:r>
        <w:rPr>
          <w:rFonts w:hint="eastAsia" w:ascii="宋体" w:hAnsi="宋体"/>
          <w:b/>
          <w:color w:val="auto"/>
          <w:szCs w:val="21"/>
          <w:highlight w:val="none"/>
        </w:rPr>
        <w:t xml:space="preserve">的递交</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19" w:name="_Toc20823298"/>
      <w:r/>
      <w:bookmarkStart w:id="20" w:name="_Toc16938542"/>
      <w:r/>
      <w:bookmarkStart w:id="21" w:name="_Toc513029226"/>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17.2政府采购管理交易系统（苏采云）相关要求是本招标文件的组成部分。</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17.3投标人应对 CA 证书妥善保管，如被他人盗用投标，因此带来的结果均由投标人自行承担。</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17.4投标人应当对招标文件提出的要求和条件作出实质性响应，并在电子投标系统逐条应答。</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17.5投标人应对要求提供的资格证明文件（如资质证书、资格证书）、技术资料（如白皮书、彩页、手册、检测报告等）扫描上传至投标系统。</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0"/>
        <w:keepLines w:val="0"/>
        <w:keepNext w:val="0"/>
        <w:pageBreakBefore w:val="0"/>
        <w:spacing w:line="360" w:lineRule="auto"/>
        <w:widowControl w:val="off"/>
        <w:rPr>
          <w:b w:val="0"/>
          <w:bCs/>
          <w:color w:val="auto"/>
          <w:highlight w:val="none"/>
        </w:rPr>
      </w:pPr>
      <w:r>
        <w:rPr>
          <w:rFonts w:hint="eastAsia" w:ascii="宋体" w:hAnsi="宋体"/>
          <w:b w:val="0"/>
          <w:bCs/>
          <w:color w:val="auto"/>
          <w:szCs w:val="21"/>
          <w:highlight w:val="none"/>
        </w:rPr>
        <w:t xml:space="preserve">17.7各投标人应在规定时间内凭CA证书进行网上解密。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18、投标截止日期</w:t>
      </w:r>
      <w:bookmarkEnd w:id="19"/>
      <w:r/>
      <w:bookmarkEnd w:id="20"/>
      <w:r/>
      <w:bookmarkEnd w:id="21"/>
      <w:r/>
      <w:r/>
    </w:p>
    <w:p>
      <w:pPr>
        <w:ind w:left="0" w:firstLine="420"/>
        <w:keepLines w:val="0"/>
        <w:keepNext w:val="0"/>
        <w:pageBreakBefore w:val="0"/>
        <w:spacing w:line="360" w:lineRule="auto"/>
        <w:widowControl w:val="off"/>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360" w:lineRule="auto"/>
        <w:widowControl w:val="off"/>
        <w:rPr>
          <w:rFonts w:ascii="宋体" w:hAnsi="宋体"/>
          <w:b/>
          <w:color w:val="auto"/>
          <w:szCs w:val="21"/>
          <w:highlight w:val="none"/>
        </w:rPr>
      </w:pPr>
      <w:r/>
      <w:bookmarkStart w:id="22" w:name="_Toc16938543"/>
      <w:r/>
      <w:bookmarkStart w:id="23" w:name="_Toc20823299"/>
      <w:r/>
      <w:bookmarkStart w:id="24" w:name="_Toc513029227"/>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left="0" w:firstLine="422"/>
        <w:keepLines w:val="0"/>
        <w:keepNext w:val="0"/>
        <w:pageBreakBefore w:val="0"/>
        <w:spacing w:line="360" w:lineRule="auto"/>
        <w:widowControl w:val="off"/>
        <w:rPr>
          <w:rFonts w:ascii="宋体" w:hAnsi="宋体"/>
          <w:b/>
          <w:color w:val="auto"/>
          <w:szCs w:val="21"/>
          <w:highlight w:val="none"/>
        </w:rPr>
      </w:pPr>
      <w:r/>
      <w:bookmarkStart w:id="25" w:name="_Toc20823300"/>
      <w:r/>
      <w:bookmarkStart w:id="26" w:name="_Toc16938544"/>
      <w:r/>
      <w:bookmarkStart w:id="27" w:name="_Toc513029228"/>
      <w:r>
        <w:rPr>
          <w:rFonts w:hint="eastAsia" w:ascii="宋体" w:hAnsi="宋体"/>
          <w:b/>
          <w:color w:val="auto"/>
          <w:szCs w:val="21"/>
          <w:highlight w:val="none"/>
        </w:rPr>
        <w:t xml:space="preserve">20、投标文件的撤回和修改</w:t>
      </w:r>
      <w:bookmarkEnd w:id="25"/>
      <w:r/>
      <w:bookmarkEnd w:id="26"/>
      <w:r/>
      <w:bookmarkEnd w:id="27"/>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21、开标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21.3开标仪式由代理机构主持。“政府采购管理交易系统（苏采云）”将自动对项目进行开标，并宣读各投标人的《开标一览表》。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22、评标委员会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开标后，代理机构将立即组织评标委员会（以下简称评委会）进行评标。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评委会由采购人代表和有关技术、经济等方面的专家组成，且人员构成符合政府采购有关规定。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22.3评委会独立工作，负责评审所有投标文件并确定中标候选人。</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24、投标的澄清</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24.3 接到评委会澄清要求的投标人如未按规定做出澄清，其风险由投标人自行承担。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 异常低价投标（响应）</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.3投标（响应）报价低于采购项目最高限价45%的，即投标（响应）报价&lt;采购项目最高限价×45%； </w:t>
      </w:r>
      <w:r/>
    </w:p>
    <w:p>
      <w:pPr>
        <w:ind w:firstLine="420"/>
        <w:keepLines w:val="0"/>
        <w:keepNext w:val="0"/>
        <w:pageBreakBefore w:val="0"/>
        <w:spacing w:line="360" w:lineRule="auto"/>
        <w:widowControl w:val="off"/>
        <w:rPr>
          <w:color w:val="auto"/>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.4 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.5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其他法律、法规及本招标文件规定的属无效投标的情形。</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发布中标公告，公告期限为1个工作日。</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28、质疑处理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29、中标通知书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30、 签订合同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left="0"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810"/>
        <w:jc w:val="center"/>
        <w:keepLines/>
        <w:keepNext/>
        <w:pageBreakBefore w:val="0"/>
        <w:spacing w:line="360" w:lineRule="auto"/>
        <w:widowControl w:val="off"/>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4"/>
      <w:r/>
      <w:r/>
    </w:p>
    <w:p>
      <w:pPr>
        <w:pStyle w:val="836"/>
        <w:ind w:firstLine="420"/>
        <w:keepLines w:val="0"/>
        <w:keepNext w:val="0"/>
        <w:pageBreakBefore w:val="0"/>
        <w:spacing w:line="360" w:lineRule="auto"/>
        <w:widowControl w:val="off"/>
        <w:rPr>
          <w:rFonts w:hAnsi="宋体" w:cs="宋体"/>
          <w:color w:val="auto"/>
          <w:sz w:val="21"/>
          <w:highlight w:val="none"/>
        </w:rPr>
      </w:pPr>
      <w:r/>
      <w:bookmarkStart w:id="28" w:name="_Hlt16619369"/>
      <w:r/>
      <w:bookmarkEnd w:id="28"/>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836"/>
        <w:rPr>
          <w:rFonts w:hAnsi="宋体" w:cs="宋体"/>
          <w:color w:val="auto"/>
          <w:highlight w:val="none"/>
        </w:rPr>
      </w:pPr>
      <w:r>
        <w:rPr>
          <w:rFonts w:hAnsi="宋体" w:cs="宋体"/>
          <w:color w:val="auto"/>
          <w:highlight w:val="none"/>
        </w:rPr>
      </w:r>
      <w:r/>
    </w:p>
    <w:p>
      <w:pPr>
        <w:pStyle w:val="836"/>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政府采购合同</w:t>
      </w:r>
      <w:r>
        <w:rPr>
          <w:rFonts w:hAnsi="宋体"/>
          <w:b/>
          <w:bCs/>
          <w:color w:val="auto"/>
          <w:sz w:val="21"/>
          <w:highlight w:val="none"/>
        </w:rPr>
        <w:t xml:space="preserve"> </w:t>
      </w:r>
      <w:r/>
    </w:p>
    <w:p>
      <w:pPr>
        <w:pStyle w:val="836"/>
        <w:spacing w:before="120" w:after="120" w:line="360" w:lineRule="auto"/>
        <w:rPr>
          <w:rFonts w:hAnsi="宋体" w:cs="宋体"/>
          <w:color w:val="auto"/>
          <w:sz w:val="21"/>
          <w:highlight w:val="none"/>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扬州市妇幼保健院托育综合服务中心智能实训设备采购项目</w:t>
      </w:r>
      <w:r>
        <w:rPr>
          <w:rFonts w:hint="eastAsia" w:hAnsi="宋体" w:cs="宋体"/>
          <w:color w:val="auto"/>
          <w:sz w:val="21"/>
          <w:highlight w:val="none"/>
        </w:rPr>
        <w:t xml:space="preserve">                       </w:t>
      </w:r>
      <w:r/>
    </w:p>
    <w:p>
      <w:pPr>
        <w:pStyle w:val="836"/>
        <w:spacing w:before="120" w:after="120" w:line="360" w:lineRule="auto"/>
        <w:rPr>
          <w:rFonts w:hAnsi="宋体" w:cs="宋体"/>
          <w:color w:val="auto"/>
          <w:sz w:val="21"/>
          <w:highlight w:val="none"/>
        </w:rPr>
      </w:pPr>
      <w:r>
        <w:rPr>
          <w:rFonts w:hint="eastAsia" w:hAnsi="宋体" w:cs="宋体"/>
          <w:color w:val="auto"/>
          <w:sz w:val="21"/>
          <w:highlight w:val="none"/>
        </w:rPr>
        <w:t xml:space="preserve">编号：</w:t>
      </w:r>
      <w:r>
        <w:rPr>
          <w:rFonts w:hint="eastAsia" w:hAnsi="宋体" w:cs="宋体"/>
          <w:color w:val="auto"/>
          <w:sz w:val="21"/>
          <w:szCs w:val="22"/>
          <w:highlight w:val="none"/>
          <w:lang w:val="en-US" w:eastAsia="zh-CN"/>
        </w:rPr>
        <w:t xml:space="preserve">JSZC-321000-JSWC-G2026-0016</w:t>
      </w:r>
      <w:r>
        <w:rPr>
          <w:rFonts w:hint="eastAsia" w:hAnsi="宋体" w:cs="宋体"/>
          <w:color w:val="auto"/>
          <w:sz w:val="22"/>
          <w:szCs w:val="22"/>
          <w:highlight w:val="none"/>
        </w:rPr>
        <w:t xml:space="preserve">号</w:t>
      </w:r>
      <w:r/>
    </w:p>
    <w:p>
      <w:pPr>
        <w:pStyle w:val="836"/>
        <w:spacing w:before="120" w:after="120" w:line="360" w:lineRule="auto"/>
        <w:rPr>
          <w:rFonts w:hAnsi="宋体" w:cs="宋体"/>
          <w:color w:val="auto"/>
          <w:sz w:val="21"/>
          <w:highlight w:val="none"/>
        </w:rPr>
      </w:pPr>
      <w:r>
        <w:rPr>
          <w:rFonts w:hint="eastAsia" w:hAnsi="宋体" w:cs="宋体"/>
          <w:color w:val="auto"/>
          <w:sz w:val="21"/>
          <w:highlight w:val="none"/>
        </w:rPr>
        <w:t xml:space="preserve">甲方（采购人/买方）：</w:t>
      </w:r>
      <w:r>
        <w:rPr>
          <w:rFonts w:hint="eastAsia" w:hAnsi="宋体" w:cs="宋体"/>
          <w:color w:val="auto"/>
          <w:sz w:val="21"/>
          <w:highlight w:val="none"/>
          <w:lang w:eastAsia="zh-CN"/>
        </w:rPr>
        <w:t xml:space="preserve">扬州市妇幼保健院</w:t>
      </w:r>
      <w:r>
        <w:rPr>
          <w:rFonts w:hint="eastAsia" w:hAnsi="宋体" w:cs="宋体"/>
          <w:color w:val="auto"/>
          <w:sz w:val="21"/>
          <w:highlight w:val="none"/>
        </w:rPr>
        <w:t xml:space="preserve">       </w:t>
      </w:r>
      <w:r/>
    </w:p>
    <w:p>
      <w:pPr>
        <w:pStyle w:val="836"/>
        <w:spacing w:before="120" w:after="120" w:line="360" w:lineRule="auto"/>
        <w:rPr>
          <w:rFonts w:hAnsi="宋体" w:cs="宋体"/>
          <w:color w:val="auto"/>
          <w:sz w:val="21"/>
          <w:highlight w:val="non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836"/>
        <w:spacing w:before="120" w:after="120" w:line="360" w:lineRule="auto"/>
        <w:rPr>
          <w:rFonts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根据《中华人民共和国政府采购法》、《中华人民共和国民法典》等法律法规的规定，甲乙双方按照江苏唯诚建设咨询有限公司关于本项目招标结果签订本合同。</w:t>
      </w:r>
      <w:r/>
    </w:p>
    <w:p>
      <w:pPr>
        <w:pStyle w:val="836"/>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1、合同标的</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乙方根据甲方需求，提供下列货物：</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836"/>
        <w:ind w:firstLine="420"/>
        <w:spacing w:before="120" w:after="120" w:line="360" w:lineRule="auto"/>
        <w:rPr>
          <w:rFonts w:hAnsi="宋体" w:cs="宋体"/>
          <w:b/>
          <w:color w:val="auto"/>
          <w:sz w:val="21"/>
          <w:highlight w:val="none"/>
        </w:rPr>
      </w:pPr>
      <w:r>
        <w:rPr>
          <w:rFonts w:hint="eastAsia" w:hAnsi="宋体" w:cs="宋体"/>
          <w:color w:val="auto"/>
          <w:sz w:val="21"/>
          <w:highlight w:val="none"/>
        </w:rPr>
        <w:t xml:space="preserve">货物名称、规格及数量等要求详见招投标文件。</w:t>
      </w:r>
      <w:r/>
    </w:p>
    <w:p>
      <w:pPr>
        <w:pStyle w:val="836"/>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2、合同总金额</w:t>
      </w:r>
      <w:r/>
    </w:p>
    <w:p>
      <w:pPr>
        <w:pStyle w:val="836"/>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2.1 本合同金额为（大写）：______________元人民币（¥_____元）。</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2.3 在招标文件未列明，而乙方认为履行本合同必需的费用也包含在合同总金额中。</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2.4 本合同总金额还包含乙方提供的伴随服务/售后服务费用。</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836"/>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836"/>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3.1乙方应按招标文件规定的时间向甲方提供使用货物的有关技术资料。</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836"/>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836"/>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（1）投标响应文件；               （2）投标产品配置与报价文件；</w:t>
      </w:r>
      <w:r/>
    </w:p>
    <w:p>
      <w:pPr>
        <w:pStyle w:val="836"/>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（3）供货一览表；                 （4）技术参数响应表；</w:t>
      </w:r>
      <w:r/>
    </w:p>
    <w:p>
      <w:pPr>
        <w:pStyle w:val="836"/>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（5）服务承诺；                   （6）中标通知书；</w:t>
      </w:r>
      <w:r/>
    </w:p>
    <w:p>
      <w:pPr>
        <w:pStyle w:val="836"/>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（7）甲乙双方补充协议；           （8）乙方投标时提供的响应文件。</w:t>
      </w:r>
      <w:r/>
    </w:p>
    <w:p>
      <w:pPr>
        <w:pStyle w:val="836"/>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4、知识产权保证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836"/>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5、产权保证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836"/>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6、履约保证金</w:t>
      </w:r>
      <w:r/>
    </w:p>
    <w:p>
      <w:pPr>
        <w:pStyle w:val="836"/>
        <w:ind w:left="0" w:firstLine="420"/>
        <w:keepLines w:val="0"/>
        <w:keepNext w:val="0"/>
        <w:pageBreakBefore w:val="0"/>
        <w:spacing w:before="120" w:after="120" w:line="360" w:lineRule="auto"/>
        <w:widowControl w:val="off"/>
        <w:rPr>
          <w:rFonts w:hint="eastAsia" w:ascii="宋体" w:hAnsi="宋体" w:eastAsia="宋体" w:cs="宋体"/>
          <w:color w:val="auto"/>
          <w:sz w:val="21"/>
          <w:highlight w:val="none"/>
          <w:u w:val="none"/>
        </w:rPr>
      </w:pPr>
      <w:r>
        <w:rPr>
          <w:rFonts w:hint="eastAsia" w:ascii="宋体" w:hAnsi="宋体" w:eastAsia="宋体" w:cs="宋体"/>
          <w:color w:val="auto"/>
          <w:sz w:val="21"/>
          <w:highlight w:val="none"/>
          <w:u w:val="none"/>
        </w:rPr>
        <w:t xml:space="preserve">6.1</w:t>
      </w:r>
      <w:r>
        <w:rPr>
          <w:rFonts w:hint="eastAsia" w:ascii="宋体" w:hAnsi="宋体" w:eastAsia="宋体" w:cs="宋体"/>
          <w:color w:val="auto"/>
          <w:sz w:val="21"/>
          <w:highlight w:val="none"/>
          <w:u w:val="none"/>
          <w:lang w:val="en-US" w:eastAsia="zh-CN"/>
        </w:rPr>
        <w:t xml:space="preserve">本项目</w:t>
      </w:r>
      <w:r>
        <w:rPr>
          <w:rFonts w:hint="eastAsia" w:hAnsi="宋体" w:cs="宋体"/>
          <w:color w:val="auto"/>
          <w:sz w:val="21"/>
          <w:highlight w:val="none"/>
          <w:u w:val="none"/>
          <w:lang w:val="en-US" w:eastAsia="zh-CN"/>
        </w:rPr>
        <w:t xml:space="preserve">不</w:t>
      </w:r>
      <w:r>
        <w:rPr>
          <w:rFonts w:hint="eastAsia" w:ascii="宋体" w:hAnsi="宋体" w:eastAsia="宋体" w:cs="宋体"/>
          <w:color w:val="auto"/>
          <w:sz w:val="21"/>
          <w:highlight w:val="none"/>
          <w:u w:val="none"/>
          <w:lang w:val="en-US" w:eastAsia="zh-CN"/>
        </w:rPr>
        <w:t xml:space="preserve">收取履约保证金</w:t>
      </w:r>
      <w:r>
        <w:rPr>
          <w:rFonts w:hint="eastAsia" w:hAnsi="宋体" w:cs="宋体"/>
          <w:color w:val="auto"/>
          <w:sz w:val="21"/>
          <w:highlight w:val="none"/>
          <w:u w:val="none"/>
          <w:lang w:val="en-US" w:eastAsia="zh-CN"/>
        </w:rPr>
        <w:t xml:space="preserve">。</w:t>
      </w:r>
      <w:r/>
    </w:p>
    <w:p>
      <w:pPr>
        <w:pStyle w:val="836"/>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7、转包或分包</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7.1 本合同禁止转包，本合同范围的货物，应由乙方直接供应的，不得转让他人供应。</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7.2 经甲方同意，乙方可以依法采取分包方式履行合同，但是分包方式履行的，乙方应就采购项目向甲方负全责。</w:t>
      </w:r>
      <w:r>
        <w:rPr>
          <w:rFonts w:hint="eastAsia" w:hAnsi="宋体" w:cs="宋体"/>
          <w:color w:val="auto"/>
          <w:sz w:val="21"/>
          <w:highlight w:val="none"/>
        </w:rPr>
        <w:tab/>
      </w:r>
      <w:r/>
    </w:p>
    <w:p>
      <w:pPr>
        <w:pStyle w:val="836"/>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8、质保期</w:t>
      </w:r>
      <w:r/>
    </w:p>
    <w:p>
      <w:pPr>
        <w:pStyle w:val="836"/>
        <w:ind w:firstLine="420"/>
        <w:spacing w:before="120" w:after="120" w:line="360" w:lineRule="auto"/>
        <w:tabs>
          <w:tab w:val="left" w:pos="2100" w:leader="none"/>
        </w:tabs>
        <w:rPr>
          <w:rFonts w:hint="eastAsia" w:hAnsi="宋体" w:eastAsia="宋体" w:cs="宋体"/>
          <w:bCs/>
          <w:color w:val="auto"/>
          <w:sz w:val="21"/>
          <w:highlight w:val="none"/>
          <w:lang w:eastAsia="zh-CN"/>
        </w:rPr>
      </w:pPr>
      <w:r>
        <w:rPr>
          <w:rFonts w:hint="eastAsia" w:hAnsi="宋体" w:cs="宋体"/>
          <w:bCs/>
          <w:color w:val="auto"/>
          <w:sz w:val="21"/>
          <w:highlight w:val="none"/>
        </w:rPr>
        <w:t xml:space="preserve">质保期</w:t>
      </w:r>
      <w:r>
        <w:rPr>
          <w:rFonts w:hint="eastAsia" w:hAnsi="宋体" w:cs="宋体"/>
          <w:bCs/>
          <w:color w:val="auto"/>
          <w:sz w:val="21"/>
          <w:highlight w:val="none"/>
          <w:lang w:eastAsia="zh-CN"/>
        </w:rPr>
        <w:t xml:space="preserve">：自验收合格之日起5年硬件的免费质保与技术支持、软件的终身免费质保与技术支持。</w:t>
      </w:r>
      <w:r/>
    </w:p>
    <w:p>
      <w:pPr>
        <w:pStyle w:val="836"/>
        <w:ind w:firstLine="420"/>
        <w:spacing w:before="120" w:after="120" w:line="360" w:lineRule="auto"/>
        <w:rPr>
          <w:rFonts w:hAnsi="宋体" w:cs="宋体"/>
          <w:b/>
          <w:bCs w:val="0"/>
          <w:color w:val="auto"/>
          <w:sz w:val="21"/>
          <w:highlight w:val="none"/>
        </w:rPr>
      </w:pPr>
      <w:r>
        <w:rPr>
          <w:rFonts w:hint="eastAsia" w:hAnsi="宋体" w:cs="宋体"/>
          <w:b/>
          <w:bCs w:val="0"/>
          <w:color w:val="auto"/>
          <w:sz w:val="21"/>
          <w:highlight w:val="none"/>
        </w:rPr>
        <w:t xml:space="preserve">9、交货期、交货方式及交货地点</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cs="宋体"/>
          <w:bCs/>
          <w:color w:val="auto"/>
          <w:highlight w:val="none"/>
        </w:rPr>
        <w:t xml:space="preserve">9.1 交货期：合同签订后</w:t>
      </w:r>
      <w:r>
        <w:rPr>
          <w:rFonts w:hint="eastAsia" w:ascii="宋体" w:hAnsi="宋体" w:cs="宋体"/>
          <w:bCs/>
          <w:color w:val="auto"/>
          <w:highlight w:val="none"/>
          <w:lang w:val="en-US" w:eastAsia="zh-CN"/>
        </w:rPr>
        <w:t xml:space="preserve">3</w:t>
      </w:r>
      <w:r>
        <w:rPr>
          <w:rFonts w:hint="eastAsia" w:ascii="宋体" w:hAnsi="宋体" w:cs="宋体"/>
          <w:bCs/>
          <w:color w:val="auto"/>
          <w:highlight w:val="none"/>
        </w:rPr>
        <w:t xml:space="preserve">0日历天内</w:t>
      </w:r>
      <w:r>
        <w:rPr>
          <w:rFonts w:hint="eastAsia" w:ascii="宋体" w:hAnsi="宋体" w:cs="宋体"/>
          <w:bCs/>
          <w:color w:val="auto"/>
          <w:highlight w:val="none"/>
          <w:lang w:val="en-US" w:eastAsia="zh-CN"/>
        </w:rPr>
        <w:t xml:space="preserve">完成</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9.2 交货方式：甲方指定方式</w:t>
      </w:r>
      <w:r/>
    </w:p>
    <w:p>
      <w:pPr>
        <w:pStyle w:val="836"/>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9.3 交货地点：甲方指定地点</w:t>
      </w:r>
      <w:r/>
    </w:p>
    <w:p>
      <w:pPr>
        <w:pStyle w:val="836"/>
        <w:ind w:firstLine="420"/>
        <w:spacing w:before="120" w:after="120" w:line="360" w:lineRule="auto"/>
        <w:rPr>
          <w:rFonts w:hAnsi="宋体" w:cs="宋体"/>
          <w:b/>
          <w:bCs w:val="0"/>
          <w:color w:val="auto"/>
          <w:sz w:val="21"/>
          <w:highlight w:val="none"/>
        </w:rPr>
      </w:pPr>
      <w:r>
        <w:rPr>
          <w:rFonts w:hint="eastAsia" w:hAnsi="宋体" w:cs="宋体"/>
          <w:b/>
          <w:bCs w:val="0"/>
          <w:color w:val="auto"/>
          <w:sz w:val="21"/>
          <w:highlight w:val="none"/>
        </w:rPr>
        <w:t xml:space="preserve">10、货款支付</w:t>
      </w:r>
      <w:r/>
    </w:p>
    <w:p>
      <w:pPr>
        <w:pStyle w:val="836"/>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10.1 本合同项下所有款项均以人民币支付。 </w:t>
      </w:r>
      <w:r/>
    </w:p>
    <w:p>
      <w:pPr>
        <w:pStyle w:val="836"/>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10.2 本合同项下的采购资金由甲方支付，付款前乙方向甲方开具发票。</w:t>
      </w:r>
      <w:r/>
    </w:p>
    <w:p>
      <w:pPr>
        <w:pStyle w:val="836"/>
        <w:ind w:firstLine="420"/>
        <w:spacing w:before="120" w:after="120" w:line="360" w:lineRule="auto"/>
        <w:rPr>
          <w:rFonts w:hAnsi="宋体" w:cs="宋体"/>
          <w:b w:val="0"/>
          <w:bCs/>
          <w:strike/>
          <w:color w:val="auto"/>
          <w:sz w:val="21"/>
          <w:highlight w:val="none"/>
        </w:rPr>
      </w:pPr>
      <w:r>
        <w:rPr>
          <w:rFonts w:hint="eastAsia" w:hAnsi="宋体" w:cs="宋体"/>
          <w:bCs/>
          <w:color w:val="auto"/>
          <w:sz w:val="21"/>
          <w:highlight w:val="none"/>
        </w:rPr>
        <w:t xml:space="preserve">10.3 付款方式：</w:t>
      </w:r>
      <w:r>
        <w:rPr>
          <w:rFonts w:hint="eastAsia" w:hAnsi="宋体" w:cs="宋体"/>
          <w:b w:val="0"/>
          <w:bCs/>
          <w:color w:val="auto"/>
          <w:sz w:val="21"/>
          <w:highlight w:val="none"/>
        </w:rPr>
        <w:t xml:space="preserve">合同签订，工程师进场实施，制定实施计划后支付</w:t>
      </w:r>
      <w:r>
        <w:rPr>
          <w:rFonts w:hint="eastAsia" w:hAnsi="宋体" w:cs="宋体"/>
          <w:b w:val="0"/>
          <w:bCs/>
          <w:color w:val="auto"/>
          <w:sz w:val="21"/>
          <w:highlight w:val="none"/>
          <w:lang w:val="en-US" w:eastAsia="zh-CN"/>
        </w:rPr>
        <w:t xml:space="preserve">合同价的</w:t>
      </w:r>
      <w:r>
        <w:rPr>
          <w:rFonts w:hint="eastAsia" w:hAnsi="宋体" w:cs="宋体"/>
          <w:b w:val="0"/>
          <w:bCs/>
          <w:color w:val="auto"/>
          <w:sz w:val="21"/>
          <w:highlight w:val="none"/>
        </w:rPr>
        <w:t xml:space="preserve">30%，项目验收合格，签署验收报告后，支付</w:t>
      </w:r>
      <w:r>
        <w:rPr>
          <w:rFonts w:hint="eastAsia" w:hAnsi="宋体" w:cs="宋体"/>
          <w:b w:val="0"/>
          <w:bCs/>
          <w:color w:val="auto"/>
          <w:sz w:val="21"/>
          <w:highlight w:val="none"/>
          <w:lang w:val="en-US" w:eastAsia="zh-CN"/>
        </w:rPr>
        <w:t xml:space="preserve">合同价的</w:t>
      </w:r>
      <w:r>
        <w:rPr>
          <w:rFonts w:hint="eastAsia" w:hAnsi="宋体" w:cs="宋体"/>
          <w:b w:val="0"/>
          <w:bCs/>
          <w:color w:val="auto"/>
          <w:sz w:val="21"/>
          <w:highlight w:val="none"/>
        </w:rPr>
        <w:t xml:space="preserve">60%，验收合格满一年，公司提供服务报告后支付</w:t>
      </w:r>
      <w:r>
        <w:rPr>
          <w:rFonts w:hint="eastAsia" w:hAnsi="宋体" w:cs="宋体"/>
          <w:b w:val="0"/>
          <w:bCs/>
          <w:color w:val="auto"/>
          <w:sz w:val="21"/>
          <w:highlight w:val="none"/>
          <w:lang w:val="en-US" w:eastAsia="zh-CN"/>
        </w:rPr>
        <w:t xml:space="preserve">合同价的</w:t>
      </w:r>
      <w:r>
        <w:rPr>
          <w:rFonts w:hint="eastAsia" w:hAnsi="宋体" w:cs="宋体"/>
          <w:b w:val="0"/>
          <w:bCs/>
          <w:color w:val="auto"/>
          <w:sz w:val="21"/>
          <w:highlight w:val="none"/>
        </w:rPr>
        <w:t xml:space="preserve">10%。</w:t>
      </w:r>
      <w:r/>
    </w:p>
    <w:p>
      <w:pPr>
        <w:pStyle w:val="836"/>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11、税费</w:t>
      </w:r>
      <w:r/>
    </w:p>
    <w:p>
      <w:pPr>
        <w:pStyle w:val="836"/>
        <w:ind w:firstLine="420"/>
        <w:spacing w:before="120" w:after="120" w:line="360" w:lineRule="auto"/>
        <w:rPr>
          <w:rFonts w:hAnsi="宋体" w:cs="宋体"/>
          <w:b/>
          <w:bCs/>
          <w:color w:val="auto"/>
          <w:sz w:val="21"/>
          <w:highlight w:val="none"/>
        </w:rPr>
      </w:pPr>
      <w:r>
        <w:rPr>
          <w:rFonts w:hint="eastAsia" w:hAnsi="宋体" w:cs="宋体"/>
          <w:color w:val="auto"/>
          <w:sz w:val="21"/>
          <w:highlight w:val="none"/>
        </w:rPr>
        <w:t xml:space="preserve">本合同执行中相关的一切税费均由乙方负担。</w:t>
      </w:r>
      <w:r/>
    </w:p>
    <w:p>
      <w:pPr>
        <w:pStyle w:val="836"/>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12、质量保证及售后服务</w:t>
      </w:r>
      <w:r/>
    </w:p>
    <w:p>
      <w:pPr>
        <w:ind w:firstLine="420"/>
        <w:spacing w:before="156" w:after="156" w:line="360" w:lineRule="auto"/>
        <w:rPr>
          <w:rFonts w:ascii="宋体" w:hAnsi="宋体" w:cs="宋体"/>
          <w:color w:val="auto"/>
          <w:szCs w:val="21"/>
          <w:highlight w:val="none"/>
        </w:rPr>
      </w:pPr>
      <w:r>
        <w:rPr>
          <w:rFonts w:hint="eastAsia" w:ascii="宋体" w:hAnsi="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12.3 乙方提供的货物在质保期内因货物本身的质量问题发生故障，乙方应负责免费更换。对达不到技术要求者，根据实际情况，经双方协商，可按以下办法处理：</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⑵贬值处理：由甲乙双方合议定价。</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⑶退货处理：乙方应退还甲方支付的合同款，同时应承担该货物的直接费用（运输、保险、检验、货款利息及银行手续费等）。</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12.4 如在使用过程中发生质量问题，乙方在接到甲方通知后在24小时内到达甲方现场，48小时内完成维修。</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12.5 在质保期内，乙方应对货物出现的质量及安全问题负责处理解决并承担一切费用。</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12.6上述的货物免费保修期为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836"/>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13、交货、调试和验收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工作日</w:t>
      </w:r>
      <w:r>
        <w:rPr>
          <w:rFonts w:hint="eastAsia" w:ascii="宋体" w:hAnsi="宋体" w:cs="宋体"/>
          <w:color w:val="auto"/>
          <w:szCs w:val="21"/>
          <w:highlight w:val="none"/>
        </w:rPr>
        <w:t xml:space="preserve">内将货物交付甲方，地点由甲方指定，招标文件有约定的，从其约定。在发货前，乙方应对产品作出全面检查和对验收文件进行整理，并列出清单，作为甲方初步验收的技术条件依据。甲方对乙方提交的货物依据招标文件上的技术规格要求和国家有关质量标准进行现场初步验收，外观、说明书、包装需符合招标文件技术要求。检验的结果应随货物交甲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 货到甲方后，甲、乙双方须在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w:t>
      </w:r>
      <w:r>
        <w:rPr>
          <w:rFonts w:hint="eastAsia" w:ascii="宋体" w:hAnsi="宋体" w:cs="宋体"/>
          <w:color w:val="auto"/>
          <w:highlight w:val="none"/>
        </w:rPr>
        <w:t xml:space="preserve">乙方按照招标文件要求负责</w:t>
      </w:r>
      <w:r>
        <w:rPr>
          <w:rFonts w:hint="eastAsia" w:ascii="宋体" w:hAnsi="宋体" w:cs="宋体"/>
          <w:bCs/>
          <w:color w:val="auto"/>
          <w:highlight w:val="none"/>
        </w:rPr>
        <w:t xml:space="preserve">系统集成、联通完毕</w:t>
      </w:r>
      <w:r>
        <w:rPr>
          <w:rFonts w:hint="eastAsia" w:ascii="宋体" w:hAnsi="宋体" w:cs="宋体"/>
          <w:color w:val="auto"/>
          <w:highlight w:val="none"/>
        </w:rPr>
        <w:t xml:space="preserve">并培训甲方的使用操作人员，乙方在甲方使用前进行调试，调试直到符合技术要求的甲方才做最终验收</w:t>
      </w:r>
      <w:r>
        <w:rPr>
          <w:rFonts w:hint="eastAsia" w:ascii="宋体" w:hAnsi="宋体" w:cs="宋体"/>
          <w:color w:val="auto"/>
          <w:szCs w:val="21"/>
          <w:highlight w:val="none"/>
        </w:rPr>
        <w:t xml:space="preserve">，初步验收不合格的不予签收。</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13.3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s="宋体"/>
          <w:color w:val="auto"/>
          <w:sz w:val="18"/>
          <w:szCs w:val="18"/>
          <w:highlight w:val="none"/>
        </w:rPr>
      </w:pPr>
      <w:r>
        <w:rPr>
          <w:rFonts w:hint="eastAsia" w:ascii="宋体" w:hAnsi="宋体" w:cs="宋体"/>
          <w:color w:val="auto"/>
          <w:szCs w:val="21"/>
          <w:highlight w:val="none"/>
        </w:rPr>
        <w:t xml:space="preserve">13.4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36"/>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14、货物包装、发运及运输</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 乙方发货时，产品使用说明书、检验证明书、随配附件和工具以及清单一并附于货物内。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 货物在交付甲方前发生的风险均由乙方负责。</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14.5 货物在规定的交付期限内由乙方送达甲方指定的地点，经初步验收即视为货物交付。</w:t>
      </w:r>
      <w:r/>
    </w:p>
    <w:p>
      <w:pPr>
        <w:pStyle w:val="836"/>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15、违约责任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 甲方无正当理由拒绝初验收和终验收货物的，甲方应按未付货款金额</w:t>
      </w:r>
      <w:r>
        <w:rPr>
          <w:rFonts w:hint="eastAsia" w:ascii="宋体" w:hAnsi="宋体" w:cs="宋体"/>
          <w:color w:val="auto"/>
          <w:szCs w:val="21"/>
          <w:highlight w:val="none"/>
          <w:lang w:val="en-US" w:eastAsia="zh-CN"/>
        </w:rPr>
        <w:t xml:space="preserve">LPR利率计算</w:t>
      </w:r>
      <w:r>
        <w:rPr>
          <w:rFonts w:hint="eastAsia" w:ascii="宋体" w:hAnsi="宋体" w:cs="宋体"/>
          <w:color w:val="auto"/>
          <w:szCs w:val="21"/>
          <w:highlight w:val="none"/>
        </w:rPr>
        <w:t xml:space="preserve">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 甲方无故逾期验收和无故逾期办理货款支付手续的,甲方应按逾期付款金额</w:t>
      </w:r>
      <w:r>
        <w:rPr>
          <w:rFonts w:hint="eastAsia" w:ascii="宋体" w:hAnsi="宋体" w:cs="宋体"/>
          <w:color w:val="auto"/>
          <w:szCs w:val="21"/>
          <w:highlight w:val="none"/>
          <w:lang w:val="en-US" w:eastAsia="zh-CN"/>
        </w:rPr>
        <w:t xml:space="preserve">LPR利率计算</w:t>
      </w:r>
      <w:r>
        <w:rPr>
          <w:rFonts w:hint="eastAsia" w:ascii="宋体" w:hAnsi="宋体" w:cs="宋体"/>
          <w:color w:val="auto"/>
          <w:szCs w:val="21"/>
          <w:highlight w:val="none"/>
        </w:rPr>
        <w:t xml:space="preserve">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836"/>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16、不可抗力事件处理</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36"/>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17、争议解决</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836"/>
        <w:ind w:firstLine="315"/>
        <w:spacing w:before="120" w:after="120" w:line="360" w:lineRule="auto"/>
        <w:rPr>
          <w:rFonts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836"/>
        <w:ind w:left="420" w:hanging="105"/>
        <w:spacing w:before="120" w:after="120" w:line="360" w:lineRule="auto"/>
        <w:rPr>
          <w:rFonts w:hAnsi="宋体" w:cs="宋体"/>
          <w:color w:val="auto"/>
          <w:sz w:val="21"/>
          <w:highlight w:val="none"/>
        </w:rPr>
      </w:pPr>
      <w:r>
        <w:rPr>
          <w:rFonts w:hint="eastAsia" w:hAnsi="宋体" w:cs="宋体"/>
          <w:color w:val="auto"/>
          <w:sz w:val="21"/>
          <w:highlight w:val="none"/>
        </w:rPr>
        <w:t xml:space="preserve">（2）向扬州仲裁委员会按其仲裁规则申请仲裁。</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17.3 若甲乙双方任何一方都没有选择解除合同的，为避免扩大损失，在诉讼或仲裁期间，双方应继续履行。</w:t>
      </w:r>
      <w:r/>
    </w:p>
    <w:p>
      <w:pPr>
        <w:pStyle w:val="836"/>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18、合同其它</w:t>
      </w:r>
      <w:r/>
    </w:p>
    <w:p>
      <w:pPr>
        <w:pStyle w:val="83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836"/>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18.2 合同经双方法定代表人或授权代表签字并加盖单位公章，并经江苏唯诚建设咨询有限公司见证盖章后生效。</w:t>
      </w:r>
      <w:r/>
    </w:p>
    <w:p>
      <w:pPr>
        <w:pStyle w:val="836"/>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18.2本合同未尽事宜，遵照《</w:t>
      </w:r>
      <w:r>
        <w:rPr>
          <w:rFonts w:hint="eastAsia" w:hAnsi="宋体" w:cs="宋体"/>
          <w:color w:val="auto"/>
          <w:sz w:val="21"/>
          <w:highlight w:val="none"/>
          <w:lang w:val="en-US" w:eastAsia="zh-CN"/>
        </w:rPr>
        <w:t xml:space="preserve">中华人民共和国</w:t>
      </w:r>
      <w:r>
        <w:rPr>
          <w:rFonts w:hint="eastAsia" w:hAnsi="宋体" w:cs="宋体"/>
          <w:color w:val="auto"/>
          <w:sz w:val="21"/>
          <w:highlight w:val="none"/>
        </w:rPr>
        <w:t xml:space="preserve">民法典》有关条文执行。</w:t>
      </w:r>
      <w:r/>
    </w:p>
    <w:p>
      <w:pPr>
        <w:pStyle w:val="836"/>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18.3 </w:t>
      </w:r>
      <w:r>
        <w:rPr>
          <w:rFonts w:hint="eastAsia" w:hAnsi="宋体" w:cs="宋体"/>
          <w:color w:val="auto"/>
          <w:sz w:val="21"/>
          <w:highlight w:val="none"/>
          <w:lang w:val="zh-CN"/>
        </w:rPr>
        <w:t xml:space="preserve">本合同正本一式</w:t>
      </w:r>
      <w:r>
        <w:rPr>
          <w:rFonts w:hint="eastAsia" w:hAnsi="宋体" w:cs="宋体"/>
          <w:color w:val="auto"/>
          <w:sz w:val="21"/>
          <w:highlight w:val="none"/>
          <w:lang w:val="en-US" w:eastAsia="zh-CN"/>
        </w:rPr>
        <w:t xml:space="preserve">肆</w:t>
      </w:r>
      <w:r>
        <w:rPr>
          <w:rFonts w:hint="eastAsia" w:hAnsi="宋体" w:cs="宋体"/>
          <w:color w:val="auto"/>
          <w:sz w:val="21"/>
          <w:highlight w:val="none"/>
          <w:lang w:val="zh-CN"/>
        </w:rPr>
        <w:t xml:space="preserve">份，具有同等法律效力，甲方</w:t>
      </w:r>
      <w:r>
        <w:rPr>
          <w:rFonts w:hint="eastAsia" w:hAnsi="宋体" w:cs="宋体"/>
          <w:color w:val="auto"/>
          <w:sz w:val="21"/>
          <w:highlight w:val="none"/>
          <w:lang w:val="en-US" w:eastAsia="zh-CN"/>
        </w:rPr>
        <w:t xml:space="preserve">贰</w:t>
      </w:r>
      <w:r>
        <w:rPr>
          <w:rFonts w:hint="eastAsia" w:hAnsi="宋体" w:cs="宋体"/>
          <w:color w:val="auto"/>
          <w:sz w:val="21"/>
          <w:highlight w:val="none"/>
          <w:lang w:val="zh-CN"/>
        </w:rPr>
        <w:t xml:space="preserve">份，乙方壹份，见证方壹份。</w:t>
      </w:r>
      <w:r/>
    </w:p>
    <w:p>
      <w:pPr>
        <w:pStyle w:val="836"/>
        <w:ind w:left="420" w:hanging="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836"/>
        <w:ind w:left="420" w:hanging="210"/>
        <w:spacing w:before="120" w:after="120" w:line="360" w:lineRule="auto"/>
        <w:rPr>
          <w:rFonts w:hAnsi="宋体" w:cs="宋体"/>
          <w:color w:val="auto"/>
          <w:sz w:val="21"/>
          <w:highlight w:val="none"/>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扬州市妇幼保健院</w:t>
      </w:r>
      <w:r>
        <w:rPr>
          <w:rFonts w:hint="eastAsia" w:hAnsi="宋体" w:cs="宋体"/>
          <w:color w:val="auto"/>
          <w:sz w:val="21"/>
          <w:highlight w:val="none"/>
        </w:rPr>
        <w:t xml:space="preserve">             </w:t>
      </w:r>
      <w:r>
        <w:rPr>
          <w:rFonts w:hint="eastAsia" w:hAnsi="宋体" w:cs="宋体"/>
          <w:color w:val="auto"/>
          <w:sz w:val="21"/>
          <w:highlight w:val="none"/>
          <w:lang w:val="en-US" w:eastAsia="zh-CN"/>
        </w:rPr>
        <w:t xml:space="preserve">      </w:t>
      </w:r>
      <w:r>
        <w:rPr>
          <w:rFonts w:hint="eastAsia" w:hAnsi="宋体" w:cs="宋体"/>
          <w:color w:val="auto"/>
          <w:sz w:val="21"/>
          <w:highlight w:val="none"/>
        </w:rPr>
        <w:t xml:space="preserve">乙方： </w:t>
      </w:r>
      <w:r/>
    </w:p>
    <w:p>
      <w:pPr>
        <w:pStyle w:val="836"/>
        <w:spacing w:before="120" w:after="120" w:line="360" w:lineRule="auto"/>
        <w:rPr>
          <w:rFonts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836"/>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法定代表人或授权代表：                   法定代表人或授权代表：</w:t>
      </w:r>
      <w:r/>
    </w:p>
    <w:p>
      <w:pPr>
        <w:pStyle w:val="836"/>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联系电话：                               联系电话：</w:t>
      </w:r>
      <w:r/>
    </w:p>
    <w:p>
      <w:pPr>
        <w:pStyle w:val="836"/>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  </w:t>
      </w:r>
      <w:r/>
    </w:p>
    <w:p>
      <w:pPr>
        <w:pStyle w:val="836"/>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见证方：江苏唯诚建设咨询有限公司</w:t>
      </w:r>
      <w:r/>
    </w:p>
    <w:p>
      <w:pPr>
        <w:pStyle w:val="836"/>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项目经办人：</w:t>
      </w:r>
      <w:r/>
    </w:p>
    <w:p>
      <w:pPr>
        <w:pStyle w:val="836"/>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日期：     年   月   日</w:t>
      </w:r>
      <w:r/>
    </w:p>
    <w:p>
      <w:pPr>
        <w:pStyle w:val="836"/>
        <w:ind w:left="420" w:hanging="210"/>
        <w:spacing w:before="120" w:after="120" w:line="360" w:lineRule="auto"/>
        <w:rPr>
          <w:rFonts w:hint="eastAsia" w:hAnsi="宋体" w:cs="宋体"/>
          <w:color w:val="auto"/>
          <w:sz w:val="21"/>
          <w:highlight w:val="none"/>
          <w:lang w:eastAsia="zh-CN"/>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color w:val="auto"/>
          <w:sz w:val="21"/>
          <w:highlight w:val="none"/>
          <w:lang w:eastAsia="zh-CN"/>
        </w:rPr>
      </w:r>
      <w:r/>
    </w:p>
    <w:p>
      <w:pPr>
        <w:pStyle w:val="810"/>
        <w:numPr>
          <w:ilvl w:val="0"/>
          <w:numId w:val="0"/>
        </w:numPr>
        <w:jc w:val="center"/>
        <w:keepLines/>
        <w:keepNext/>
        <w:pageBreakBefore w:val="0"/>
        <w:spacing w:line="360" w:lineRule="auto"/>
        <w:widowControl w:val="off"/>
        <w:rPr>
          <w:rFonts w:ascii="宋体" w:hAnsi="宋体"/>
          <w:color w:val="auto"/>
          <w:sz w:val="36"/>
          <w:highlight w:val="none"/>
        </w:rPr>
      </w:pPr>
      <w:r>
        <w:rPr>
          <w:rFonts w:hint="eastAsia" w:ascii="宋体" w:hAnsi="宋体" w:eastAsia="宋体" w:cs="Times New Roman"/>
          <w:b/>
          <w:bCs/>
          <w:color w:val="auto"/>
          <w:sz w:val="36"/>
          <w:szCs w:val="44"/>
          <w:highlight w:val="none"/>
          <w:lang w:val="en-US" w:eastAsia="zh-CN" w:bidi="ar-SA"/>
        </w:rPr>
        <w:t xml:space="preserve">第四章</w:t>
      </w:r>
      <w:r>
        <w:rPr>
          <w:rFonts w:hint="eastAsia" w:ascii="宋体" w:hAnsi="宋体" w:cs="Times New Roman"/>
          <w:b/>
          <w:bCs/>
          <w:color w:val="auto"/>
          <w:sz w:val="36"/>
          <w:szCs w:val="44"/>
          <w:highlight w:val="none"/>
          <w:lang w:val="en-US" w:eastAsia="zh-CN" w:bidi="ar-SA"/>
        </w:rPr>
        <w:t xml:space="preserve"> </w:t>
      </w:r>
      <w:r>
        <w:rPr>
          <w:rFonts w:hint="eastAsia" w:ascii="宋体" w:hAnsi="宋体"/>
          <w:color w:val="auto"/>
          <w:sz w:val="36"/>
          <w:highlight w:val="none"/>
        </w:rPr>
        <w:t xml:space="preserve">项目需求</w:t>
      </w:r>
      <w:r/>
    </w:p>
    <w:p>
      <w:pPr>
        <w:numPr>
          <w:ilvl w:val="0"/>
          <w:numId w:val="7"/>
        </w:numPr>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bookmarkStart w:id="29" w:name="_Toc497133122"/>
      <w:r>
        <w:rPr>
          <w:rFonts w:hint="eastAsia" w:ascii="宋体" w:hAnsi="宋体" w:eastAsia="宋体" w:cs="宋体"/>
          <w:b/>
          <w:bCs/>
          <w:color w:val="auto"/>
          <w:sz w:val="21"/>
          <w:szCs w:val="21"/>
          <w:highlight w:val="none"/>
          <w:lang w:val="en-US" w:eastAsia="zh-CN"/>
        </w:rPr>
        <w:t xml:space="preserve">项目概况</w:t>
      </w:r>
      <w:r/>
    </w:p>
    <w:p>
      <w:pPr>
        <w:pStyle w:val="854"/>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项目名称：</w:t>
      </w:r>
      <w:r>
        <w:rPr>
          <w:rFonts w:hint="eastAsia" w:ascii="宋体" w:hAnsi="宋体" w:cs="宋体"/>
          <w:b w:val="0"/>
          <w:bCs w:val="0"/>
          <w:color w:val="auto"/>
          <w:sz w:val="21"/>
          <w:szCs w:val="21"/>
          <w:highlight w:val="none"/>
          <w:lang w:val="en-US" w:eastAsia="zh-CN"/>
        </w:rPr>
        <w:t xml:space="preserve">扬州市妇幼保健院托育综合服务中心智能实训设备采购项目</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shd w:val="clear" w:color="auto" w:fill="ffffff"/>
        </w:rPr>
        <w:t xml:space="preserve">采购预算：</w:t>
      </w:r>
      <w:r>
        <w:rPr>
          <w:rFonts w:hint="eastAsia" w:ascii="宋体" w:hAnsi="宋体" w:eastAsia="宋体" w:cs="宋体"/>
          <w:bCs/>
          <w:color w:val="auto"/>
          <w:sz w:val="21"/>
          <w:szCs w:val="21"/>
          <w:highlight w:val="none"/>
          <w:shd w:val="clear" w:color="auto" w:fill="ffffff"/>
        </w:rPr>
        <w:t xml:space="preserve">人民币</w:t>
      </w:r>
      <w:r>
        <w:rPr>
          <w:rFonts w:hint="eastAsia" w:ascii="宋体" w:hAnsi="宋体" w:cs="宋体"/>
          <w:bCs/>
          <w:color w:val="auto"/>
          <w:sz w:val="21"/>
          <w:szCs w:val="21"/>
          <w:highlight w:val="none"/>
          <w:shd w:val="clear" w:color="auto" w:fill="ffffff"/>
          <w:lang w:val="en-US" w:eastAsia="zh-CN"/>
        </w:rPr>
        <w:t xml:space="preserve">135</w:t>
      </w:r>
      <w:r>
        <w:rPr>
          <w:rFonts w:hint="eastAsia" w:ascii="宋体" w:hAnsi="宋体" w:eastAsia="宋体" w:cs="宋体"/>
          <w:bCs/>
          <w:color w:val="auto"/>
          <w:sz w:val="21"/>
          <w:szCs w:val="21"/>
          <w:highlight w:val="none"/>
          <w:shd w:val="clear" w:color="auto" w:fill="ffffff"/>
        </w:rPr>
        <w:t xml:space="preserve">万元，本项目设定最高限价人民币</w:t>
      </w:r>
      <w:r>
        <w:rPr>
          <w:rFonts w:hint="eastAsia" w:ascii="宋体" w:hAnsi="宋体" w:cs="宋体"/>
          <w:bCs/>
          <w:color w:val="auto"/>
          <w:sz w:val="21"/>
          <w:szCs w:val="21"/>
          <w:highlight w:val="none"/>
          <w:shd w:val="clear" w:color="auto" w:fill="ffffff"/>
          <w:lang w:val="en-US" w:eastAsia="zh-CN"/>
        </w:rPr>
        <w:t xml:space="preserve">135</w:t>
      </w:r>
      <w:r>
        <w:rPr>
          <w:rFonts w:hint="eastAsia" w:ascii="宋体" w:hAnsi="宋体" w:eastAsia="宋体" w:cs="宋体"/>
          <w:bCs/>
          <w:color w:val="auto"/>
          <w:sz w:val="21"/>
          <w:szCs w:val="21"/>
          <w:highlight w:val="none"/>
          <w:shd w:val="clear" w:color="auto" w:fill="ffffff"/>
        </w:rPr>
        <w:t xml:space="preserve">万元</w:t>
      </w:r>
      <w:r>
        <w:rPr>
          <w:rFonts w:hint="eastAsia" w:ascii="宋体" w:hAnsi="宋体" w:eastAsia="宋体" w:cs="宋体"/>
          <w:bCs/>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rPr>
        <w:t xml:space="preserve">投标报价超过最高限价的为无效报价，按无效响应处理。</w:t>
      </w:r>
      <w:r/>
    </w:p>
    <w:p>
      <w:pPr>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项目属性：</w:t>
      </w:r>
      <w:r>
        <w:rPr>
          <w:rFonts w:hint="eastAsia" w:ascii="宋体" w:hAnsi="宋体" w:eastAsia="宋体" w:cs="宋体"/>
          <w:b w:val="0"/>
          <w:bCs w:val="0"/>
          <w:color w:val="auto"/>
          <w:sz w:val="21"/>
          <w:szCs w:val="21"/>
          <w:highlight w:val="none"/>
          <w:lang w:val="en-US" w:eastAsia="zh-CN"/>
        </w:rPr>
        <w:t xml:space="preserve">货物类</w:t>
      </w:r>
      <w:r/>
    </w:p>
    <w:p>
      <w:pPr>
        <w:ind w:firstLine="422"/>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核心产品：</w:t>
      </w:r>
      <w:r>
        <w:rPr>
          <w:rFonts w:hint="eastAsia" w:ascii="新宋体" w:hAnsi="新宋体" w:eastAsia="新宋体" w:cs="新宋体"/>
          <w:i w:val="0"/>
          <w:iCs w:val="0"/>
          <w:color w:val="auto"/>
          <w:sz w:val="21"/>
          <w:szCs w:val="21"/>
          <w:highlight w:val="none"/>
          <w:u w:val="none"/>
          <w:lang w:val="en-US" w:eastAsia="zh-CN" w:bidi="ar"/>
        </w:rPr>
        <w:t xml:space="preserve">智能仿真婴儿</w:t>
      </w:r>
      <w:r/>
    </w:p>
    <w:p>
      <w:pPr>
        <w:numPr>
          <w:ilvl w:val="-1"/>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二、采购清单</w:t>
      </w:r>
      <w:r/>
    </w:p>
    <w:tbl>
      <w:tblPr>
        <w:tblStyle w:val="82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6"/>
        <w:gridCol w:w="1660"/>
        <w:gridCol w:w="787"/>
        <w:gridCol w:w="787"/>
        <w:gridCol w:w="4522"/>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备注</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智能笔</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支持白板课件、PPT、PDF等多种格式的课件进行远程无线翻页</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机柜（可容纳服务器）</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配备3个机柜专用托盘，用于装服务器、网络设备</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智慧音频终端组</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智慧音频终端组包括：一套无线话筒（包含手持话筒2只，桌面会议话筒1只，领夹话筒1只），一台话筒智能混音器，一台多功能功率放大器，四只语音声柱音箱。可以满足日常教学扩声的各种场景（老师单向讲课扩声，师生互动交流扩声，培训讲课扩声，会议扩声）等教学应用</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全国托育职业技能竞赛备赛平台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（竞赛备赛）</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依据全国托育技能大赛赛项内容制定的模拟考核测评</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婴幼儿照护多模态AI评价系统</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婴幼儿照护多模态AI评价系统，通过视频理解模型人工智能数据分析，实操关键点检测技术，结合AI识别算法，对实操过程中的动作，角度，顺序，时间点等操作要点进行数据分析，判断是否标准，智能评分，实现测评评价数据</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育婴员岗位技能虚拟教学平台</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依据《国家职业标准》与《育婴员》职业技能教材开发，分为初、中、高级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·可开展考证培训 技能练习实训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·可开展模拟考核 测评</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·平台学习大数据报告</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·云认证 支持鉴定机构学员学习、 练习刷题、模拟考试；题库不少于4400道模拟题，单选题、多选题、判断题、技能考核题。对应融合线上、线下实训课程，有针对性的练习，并附带解析、考点、难度等学习标识。 </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·云课堂 系统提供数字化课程资源，包含五大模块，不少于29项学习任务，可支持实际场景下的30课时教学，育婴员岗位技能教学视频不少于28个。</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·云仿真 虚拟仿真漫游包含九个体验场景</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保育师岗位技能虚拟教学平台</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依据《国家职业标准》与《保育师》职业技能教材开发、分为初、中、高级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·可开展职业技能等级证书考核培训 技能练习实训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·可开展模拟考核 测评</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·平台学习大数据报告</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·云认证 支持鉴定机构学员学习、 练习刷题、模拟考试；题库不少于3000道模拟题，对应融合四大模块、29项学习任务，结合保育师有针对性的练习，并附带解析。 </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·云课堂 系统提供数字化课程资源，包含四大模块，不少于29项学习任务，可支持实际场景下的30课时教学。</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·云仿真 虚拟仿真漫游包含十八个体验场景</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仿真婴儿展示柜</w:t>
            </w:r>
            <w:r/>
          </w:p>
        </w:tc>
        <w:tc>
          <w:tcPr>
            <w:shd w:val="clear" w:color="auto" w:fill="auto"/>
            <w:tcBorders>
              <w:top w:val="non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件</w:t>
            </w:r>
            <w:r/>
          </w:p>
        </w:tc>
        <w:tc>
          <w:tcPr>
            <w:shd w:val="clear" w:color="auto" w:fill="auto"/>
            <w:tcBorders>
              <w:top w:val="non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可放置仿真婴儿，方便柜体移动，透明亚克力柜门能清楚展示婴儿</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学生椅</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用于教学与实训</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婴幼儿智能照护实训台</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岗课赛证全场景实训应用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托育从业人员培训，托育服务与管理专业课程教学，适用于国家教育部、人社部、民政部、卫健委及行业协会赛事，支持、托育、幼儿保育、保育师、育婴员、婴幼儿发展引导员等赛项比赛。育婴员，保育师，等职业技能鉴定中心培训与应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应用于智能照护实训、科学育儿指导、家长课堂（搭配智能仿真婴儿、内嵌实践教学系统）</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智能仿真婴儿</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回应性照护实训、职业技能等级证书考核实训、职业技能大赛备赛、岗位技能的提升、婴幼儿照护技能实训。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基于国家卫健委发布的《卫生健康行业人工智能应用场景参考指引》智慧托育培训应用。包括喂食、拍嗝、安抚、更换尿片、头部支撑、防止粗暴护理、纠正错误姿势和着装感知。根据气质类型，设定实操任务，让照护者能够根据不同婴儿的气质进行个性化照护训练。</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新生儿仿真教学模型</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清洁照护实训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新生儿脐部护理、沐浴、更换尿布、人工喂养、抚触、模拟体格检查等</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早教婴儿模型</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早期发展、健康照护实训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被动操、主被动操、模拟体格检查、婴儿早教示范等</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婴儿仿真教学模型</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清洁照护、保健护理实训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沐浴、抚触、温水擦浴、臀红护理、口服给药、外伤处理、包扎练习、模拟体格检查、婴儿早教示范等</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婴儿急救护理模型</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急救、保健护理实训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一岁以下心肺复苏 CPR 操作气道异物阻塞的模拟；模拟体格检查、模拟生命体征测量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幼儿教学模型</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1.5-3岁婴幼儿早期发展支持实训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饮食照护、保健护理实训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幼儿游戏训练与展示</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基础皮肤护理、外伤处理</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包扎练习、模拟体格检查</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幼儿急救护理模型</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急救 保健护理实训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一岁以上婴幼儿急救</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心肺复苏、气道异物处理</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外伤处理、包扎练习、基础皮肤护理、模拟体格检查、模拟生命体征测量等</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婴儿照护仿真模型</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清洁照护、保健护理实训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沐浴、更换尿布、人工喂养</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口服给药、外伤处理、包扎练习、模拟体格检查、温水擦浴、臀红护理等</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托育园VR仿真教学终端系统</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托育园VR仿真教学系统对接婴幼儿照护岗位的核心能力需求和实训教学中关键技能要点，设有自主漫游和专项训练两种不同的模式，结合虚拟现实技术，沉浸式，情境化，场景化打造虚拟与实体融合贯通的实践课程体系，锻炼学习者实践和实操技能</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973"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幼儿保育VR仿真教学终端系统</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left"/>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幼儿保育VR仿真教学终端系统对接婴幼儿照护岗位的核心能力需求和实训教学中关键技能要点，设有场景漫游、环境创设、专项技能训练三种不同的模式，结合虚拟现实技术，沉浸式，情境化，场景化打造虚拟与实体融合贯通的实践课程体系，锻炼学习者实践和实操技能</w:t>
            </w:r>
            <w:r/>
          </w:p>
        </w:tc>
      </w:tr>
    </w:tbl>
    <w:p>
      <w:pPr>
        <w:numPr>
          <w:ilvl w:val="0"/>
          <w:numId w:val="0"/>
        </w:numPr>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三、技术要求</w:t>
      </w:r>
      <w:r/>
    </w:p>
    <w:tbl>
      <w:tblPr>
        <w:tblStyle w:val="820"/>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24"/>
        <w:gridCol w:w="6895"/>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4046" w:type="pct"/>
            <w:vAlign w:val="center"/>
            <w:textDirection w:val="lrTb"/>
            <w:noWrap/>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技术参数</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智能笔</w:t>
            </w:r>
            <w:r/>
          </w:p>
        </w:tc>
        <w:tc>
          <w:tcPr>
            <w:shd w:val="clear" w:color="auto" w:fill="auto"/>
            <w:tcBorders>
              <w:top w:val="single" w:color="000000" w:sz="4" w:space="0"/>
              <w:left w:val="single" w:color="000000" w:sz="4" w:space="0"/>
              <w:bottom w:val="single" w:color="000000" w:sz="4" w:space="0"/>
              <w:right w:val="single" w:color="000000"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1.采用笔型设计，具有三个遥控按键（上下翻页和功能键），既可用于触摸书写，也可用于远程操控。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2.采用2.4G无线连接技术，无线接收距离最大可达15米。</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3.无线接收器采用微型设计，并能收纳在笔上，整洁美观。</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4.使用电池驱动，并带自动休眠节电设计。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5.单接收器设计，android、windows双系统同时响应。只需安装一个接收器，双系统都能响应智能笔的操作指令。</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6.支持白板课件、PPT、PDF等多种格式的课件进行远程无线翻页。</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7.功能按键可通过长按/短按实现两种快捷功能，方便教师操作。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8.支持自定义按键功能，可选功能包括：一键启动任意通道批注、一键启动/退出PPT播放、一键启动PPT批注、一键启动任意通道冻结与放大屏幕内容。</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机柜（可容纳服务器）</w:t>
            </w:r>
            <w:r/>
          </w:p>
        </w:tc>
        <w:tc>
          <w:tcPr>
            <w:shd w:val="clear" w:color="auto" w:fill="auto"/>
            <w:tcBorders>
              <w:top w:val="single" w:color="000000" w:sz="4" w:space="0"/>
              <w:left w:val="single" w:color="000000" w:sz="4" w:space="0"/>
              <w:bottom w:val="single" w:color="000000" w:sz="4" w:space="0"/>
              <w:right w:val="single" w:color="000000"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1.尺寸：约600*1000*1200mm</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2.材质：方孔条耐指纹镀铝锌板；其余SPCC优质冷轧钢板制作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3.颜色：灰白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4.防护等级：IP20  </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5.功能：配备3个机柜专用托盘，用于装服务器、网络设备等。</w:t>
            </w:r>
            <w:r/>
          </w:p>
        </w:tc>
      </w:tr>
      <w:tr>
        <w:trPr>
          <w:jc w:val="center"/>
          <w:trHeight w:val="567"/>
        </w:trPr>
        <w:tc>
          <w:tcPr>
            <w:shd w:val="clear" w:color="auto" w:fill="auto"/>
            <w:tcBorders>
              <w:top w:val="single" w:color="000000" w:sz="4" w:space="0"/>
              <w:left w:val="single" w:color="000000" w:sz="4" w:space="0"/>
              <w:bottom w:val="single" w:color="auto" w:sz="4" w:space="0"/>
              <w:right w:val="single" w:color="000000"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智慧音频终端组</w:t>
            </w:r>
            <w:r/>
          </w:p>
        </w:tc>
        <w:tc>
          <w:tcPr>
            <w:shd w:val="clear" w:color="auto" w:fill="auto"/>
            <w:tcBorders>
              <w:top w:val="single" w:color="000000" w:sz="4" w:space="0"/>
              <w:left w:val="single" w:color="000000" w:sz="4" w:space="0"/>
              <w:bottom w:val="single" w:color="auto" w:sz="4" w:space="0"/>
              <w:right w:val="single" w:color="000000"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一、功率放大器（1台）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1、带U盘播放（优先播放，格式MP3）和蓝牙播放，带LCD液晶显示屏，四路音源切换按键（带记忆功能），对线路1/线路2/线路3/（蓝牙/U盘）进行切换；</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2、带2路有线话筒输入（6.35话筒口，+48V幻像电源可切换）、2路无线话筒输入（1路3.5三芯+1路USB，USB可用于2.4G无线话筒供电）、2组立体声线路输入（RCA*4莲花接口）、1路线路平衡输入（凤凰接口）；</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3、带2组立体声线路输出（RCA*4莲花接口）、1路线路平衡输出（凤凰接口）；</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4、带1路RS232控制接口、1路一键静音控制接口；</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5、话筒和线路音量、高/低音独立可调，带功放L输出通道信号大小调节功能；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6、额定功率(RMS)：2×300W  8Ω,2×570W  4Ω；                              </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7、总谐波失真：≤1%；</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8、线路频率响应：20Hz～20KHz  ±3dB，话筒频率响应：80Hz～16KHz  ±3dB；</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9、输入灵敏度：300±30mV线路，60±6mV有线话筒，200±20mV无线话筒；</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10、信噪比：≥82dB；                            </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11、线路高音提衰量（10KHz）：14dB±2dB，线路低音提衰量（100Hz）：14dB±2dB，话筒高音提衰量（10KHz）：14dB±2dB，话筒低音提衰量（100Hz）14dB±2dB；</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二、柱阵列音箱（4只）</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1、额定阻抗：8Ω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2、额定功率：150W</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3、最大功率：600W</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4、特性灵敏度：93dB</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5、连续声压级：115dB</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6、最大声压级：121dB</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7、额定频率范围：110～18000Hz</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8、全频扬声器：3.5"×4</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9、覆盖角度（H×V）：120°×60°</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10、尺寸(mm)：560(H)×145(W)×165(D)</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三、无线话筒（手持话筒*2，领夹话筒*1，鹅颈话筒*1）</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1、使用EIA标准金属机箱，采用天线分集式接收线路、CPU控制选讯+导频识别功能，理想使用距离可达80米以上；</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2、频率调节采用无互调干扰群组预设、用户自定义调节等方式，单机≥2000个频率可供客户调节；</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3、4.6寸LCD显示器可实时显示群组、频率、电池电量、静音位准、电子音量等信息；</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4、各通道支持SQ(降噪)六档独立调节；</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5、接收机内置开关电源，由AC 220V市电直接供电，并支持电源环出功能；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6、接收机天线座提供偏置电压，可连接有源对数周期天线提升接收距离和信号质量。并支持射频级联功能，无需天线分配器即可实现≤8套叠机使用；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7、具有5个XLR平衡输出、1个TS非平衡输出、4个TNC-K天线端口，MIC/LINE输出切换开关；</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8、通道数量：四通道、接收频率范围：UHF530.000-690.000MHz（常规 640.000MHz-690.000MHz）、频率间隔：25kHz、音频频率响应：65Hz-15kHz、总谐波失真（THD+N）:≤0.5%  (10mV@1kHz)、音频灵敏度: -48±3dB、最大频偏：±45KHz、最大输出电平：≥+10dBV、动态范围：≥100dBA、指向性频响曲线：300-2000Hz≤-8dB； </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9、发射器采用动圈式拾音头、指向性：超心形、载波功率：两档可调、显示方式：TFT显示、电源：2×AA碱性电池、连续工作时间：约8小时；</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四、智能混音器（1台）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1、输出电平指示灯： 8级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2、优先通道设置开关： 9位2档</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3、耳机监听电平可调： 有对应音量旋钮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4、耳机插孔： Φ6.35mm插孔</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5、扩展连接与输出过载指示： Lock out指示灯</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6、总输出电平调整： Master旋钮受控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7、辅助输入电平调整： AUX in旋钮受控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8、通道输入增益调节： 8路MIC音量受控且对应</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9、MIC输入信号指示： 红灯，各路对应</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10、电源输入： 220V AC供电</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11、MIC输入： 8路卡农输入</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12、前级、辅助输出： 4路莲花插口</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13、音频主输出： 2路莲花，1路卡农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14、扩展输入： 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15、扩展输出： 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16、48V幻象供电开关： 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17、外部控制输出：有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18、RS-232端子： 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19、Auxin辅助输入： 1路莲花</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20、高压测试： 开关关、闭状态下，1.5KV（10mA） 60S </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21、绝缘测试： ≥4MΩ</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全国托育职业技能竞赛备赛平台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（竞赛备赛）</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一、技术指标需求</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（一）基础功能需求</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1.平台应采用B/S架构，支持PC端和移动端多终端访问，实现云端数据存储及多端功能同步。</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2.PC端支持主流浏览器直接访问，无需本地安装客户端。</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3.移动端应采用Flutter开发原生APP，保障功能完整性和跨平台性能一致性。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4.支持分布式部署，确保支持7×24小时不间断运行，支持万人在线。</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5.平台应支持密码、扫码、微信等多种登录方式。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（二）智能大数据功能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1.平台集成人工智能大模型能力，能够理解教师提出的教学管理、内容设计等问题，并提供多维度、可操作的解决方案或内容建议。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2.平台集成智能语音评测引擎，根据用户录制的音频，可输出流畅度、完整度、声韵、调型等多维度分析结果，辅助用户提升普通话应用能力。</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▲3.平台应支持学习活动大数据功能，支持学生查看学习时长、学习走势、学习排名等数据，帮助学生更好地了解自己的学习情况。（需提供系统平台对应截图）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（三）认证与测评练习功能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1.平台题库支持单选题、多选题、判断题等多种题型。</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2.平台支持章节、专项、随机、错题等多种练习方式。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▲3.平台支持答题、背题、听题等多种练习模式。（需提供系统平台对应截图）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4.平台提供学情分析功能，支持查看答题数量、正确率、平均成绩等数据。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5.平台支持纠错管理功能，用户可对试题进行纠错，可展示多个报错类型，以便及时提升试题质量。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6.平台提供答题竞赛功能，支持二人赛、四人赛、挑战赛等模式，并实时生成与展示竞赛排名。</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（四）虚拟仿真实训功能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1.平台参考《2021年第一届全国乡村振兴职业技能大赛》育婴员赛项《2024年第二届全国乡村振兴职业技能大赛》育婴赛项规程与赛场要求，创设模拟赛场场景，支持沉浸式漫游与交互操作。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2.平台支持仿真赛场沉浸式漫游功能，支持学生在3D漫游模式下自由切换漫游赛场内各场景，并进行360度视角调整，实现全方位沉浸式观察。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3.平台支持仿真任务模块训练，学生可按需自由选择任务进行仿真实训。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4.仿真任务综合运用动画、实景视频、真人讲解等多媒体技术呈现，学员可通过虚拟交互、情景话术练习、过程模拟、技能点问答等互动方式完成仿真实训。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5.仿真任务包含视频引领、实操目标、仿真训练环节，任务内容包含多种人机交互。训练完成后，系统自动判错并实时提供操作反馈与指导。</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6.支持智慧实训室3D展示，以实训室布局为蓝本构建线上虚拟场景，实现实训室硬件配置的线上展示，以及虚实结合教学场景的统一呈现。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二、内容指标要求</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（一）云课堂（备赛指导）分系统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系统提供数字化课程资源体系，包含课程导学及五大核心模块，共计不少于25项学习任务，以及不少于80个育婴员大赛赛项技能模拟演示视频及教学视频资源。</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1.课程导学。至少包含2个学习任务。核心学习任务包括：育婴员职业技能竞赛实训总述和育婴员赛场核心物料。</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2.模块一：生活照料。至少包含5个学习任务。核心学习任务包括：呼吸道传染病高发季节携幼儿外出及归来、呛奶处理、沐浴、冲调奶粉及人工喂养、二便处理及尿布更换。</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▲3.模块二：保健护理。至少包含4个学习任务。核心学习任务包括：口服给药、温水擦浴、口腔护理、臀红处理。（需提供系统平台对应截图）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4.模块三：健康管理。至少包含7个学习任务。核心学习任务包括：气道异物梗阻、心肺复苏、外伤处置、烫伤的初步处置、惊厥护理、抚触、主动操。</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模块四：教育实施。至少包含6个学习任务。核心学习任务包括：设计幼儿粗大动作训练游戏与展示、设计婴幼儿语言学习游戏与展示、幼儿自理能力培养活动方案设计与展示、幼儿专注能力培养活动方案设计与展示、幼儿认知发展能力培养活动方案设计与展示、幼儿社会情感发展培养活动方案设计与展示。</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6.模块五：指导与培训。至少包含1个学习任务。核心学习任务包括：“新生儿抚触”指导培训。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（二）云认证（职业素养）分系统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系统提供与课程配套的育婴员竞赛认证考核题库，融合五大模块课程内容，进行有针对性地练习。</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1.育婴员竞赛测评系统。题库涵盖历届育婴大赛真题及模拟题，提供真题不少于1000道，模拟题不少于1000道，辅助选手备赛及竞赛能力提高。</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题型包括单选题、多选题、判断题等。试题内容对应融合线上线下实训课程，支持针对性练习，试题附带解析、考点、难度等学习标识，助力学生夯实备赛理论基础。</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2.线上答题智能竞赛系统。支持二人赛、四人赛、挑战赛等竞赛模式，赛后系统自动根据比赛结果生成并展示学生排名。助力院校构建“以赛促教、以赛促学”的专业人才培养生态。</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（三）云仿真（仿真赛场）分系统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系统利用虚拟现实技术，为学习者构建一个理论与实践、岗位与能力相结合的虚拟学习情境。</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育婴员赛场漫游依据2021全国乡村振兴职业技能大赛场景，构建包含入场区、赛场走廊（多段）、竞赛区（A/B/C）、裁判室、备赛室（A/B/C）、休息室、办公室、候赛室、储存室等十四个功能区的1：1虚拟赛场环境。所有场景布局、物品陈设及环境细节均基于育婴员职业技能竞赛场景进行1：1建模还原。按照赛场分区布局，包含必备的竞赛区域和操作区域等。用户可在3D漫游模式下自由切换场景，进行360°视角旋转调整，实现对竞赛场地布局、设施配置及竞赛流程规范的全方位熟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2.系统提供智慧实训室线上体验，构建与实体智慧实训对应的环境，实现实训室资源线上常态化开放与漫游体验，在线漫游体验支持多种形式交互操作，支持开展多样化实践教学活动。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提供与课程配套的虚拟仿真学习任务，融合五大模块课程内容，融合核心知识点与实操技能点，践行理实一体、虚实结合的教学理念。学生在虚拟仿真任务中通过人机交互的方式进行相关赛项内容的学习与技能掌握。</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婴幼儿照护多模态AI评价系统</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一、系统功能：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基于AI视频分析技术，在婴幼儿照护技能实训中，构建能够自动识别操作者动作、语言、表情等行为的智能评价系统。该系统可搭配高清摄像头、实训教学推车、主机、服务器、婴幼儿智能照护实训台使用，结合多模态AI大模型视频理解技术与AI人体关键点检测技术，设计特定领域的提示模板，通过多维度分析婴幼儿照护行为数据，结合AI识别结果与融合算法，最终输出数据报告，达成技能操作从过程到评价的自动化与可视化。</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二、“互联网+”AI交互模块</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1.基于MiniCPM架构的视觉语言模型，实现高效轻量级的视频内容深度语义理解。</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2.基于运动向量的动作序列分析，通过连续骨骼点轨迹追踪，实现动态动作的精准判定。</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3.通过细粒度动作单元检测，将核心动作拆解为可量化指标，精准定位动作起止点、完成度与规范性。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4.采用标准动作库比对算法，构建多场景任务动作库，通过偏差度计算实现动作准确性评估。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5.通过人、物交互关系建模，识别操作者与物料的交互行为，提升动作识别的情境准确性。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6.采用实时情绪状态监测，捕捉操作者面部微表情变化，评估情感表达的适宜性，辅助系统完成操作态度、情感交流等软技能评价。</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7.实现场景维度智能评价，结合操作实际情况，对操作场景、物料使用及操作规范进行客观评估。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8.采用多模态融合算法，整合视觉、语音、动作等多维度信息，输出综合评价报告。</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9.针对位置、动作、顺序、时间节点设计评估规则，根据不同操作场景动态调整评价维度与权重。</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10.采用云端部署架构，支持多终端接入与数据集中管理。</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11.采用模型量化与压缩技术，在保证精度前提下实现资源占用合理。</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12.充分利用图形处理器算力，满足多任务并发执行需求，保障实时响应速度。具备异常情况自动处理能力，保障系统持续稳定运行。</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13.通过对敏感数据进行加密存储与传输、访问权限管理，实现数据安全保障。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14.支持形成多维度评价报告，涵盖动作规范性、操作准确性、情感表达、时间管理等维度。</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15.直观展示操作结果，满足可视化数据呈现需求，在完整记录操作过程的同时，支持回放分析与教学研讨。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16.系统具备良好的硬件兼容性与扩展性，支持对接高清摄像头、实训推车、GPU服务器、智能照护实训台等设备，可实现在多角度倾斜与全方位旋转状态下的稳定性测试，满足多场景灵活部署需求。</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17.系统满足个性化学习需求，支持筛选技能实操任务，并可根据不同需求进行训练和考核。</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18.系统通过多模态AI技术，可识别并实时呈现技能操作全过程。</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19.系统通过多模态AI技术，可对技能操作全过程进行智能化评价和多维度记录。</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20.系统支持查看预设技能操作视频及相关信息。</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21.系统支持查看任务操作说明，通过任务说明提前熟悉操作前准备工作。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22.系统支持操作前的自动检测与识别，为后续任务的流畅操作提供保障。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23.系统通过多模态AI技术，支持操作步骤的自动识别与跳转。</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24.系统支持专项练习过程中对操作步骤进行实时自动评分，可即时查看识别结果，并支持对该环节进行手动重复操作训练。</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25.系统支持专项练习过程中对预设操作视频进行自主学习。</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26.系统支持对操作全过程的录制、回放及操作关键帧的查看。</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27.系统支持接收和查看技能考核推送信息，并完成相应考核操作。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28.系统支持对不同模式下的操作大数据进行统计与保存，可实现学生端与教师端数据同步。</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29.系统支持对操作大数据进行不同维度的统计与分析，并生成数据报告。</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30.系统满足个性化技能考核需求，支持按不同需求发布任务进行考核。</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31.系统支持学习大数据统计与管理，可查看和筛选班级学生的技能操作数据。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32.系统支持对班级操作数据多维度分析，包括班级学生的累计操作时长、累计操作次数、累计任务平均分等。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33.系统支持查看相关资讯信息，并实现对资讯信息的收藏与推荐。</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三、内容指标</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1.系统可支持社会性培训，例如保育师、育婴员、婴幼儿发展引导员、家庭教育指导师等技能等级证书的训练及考核；</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2.系统可支持国家教育部、人社部、民政部、卫健委及行业协会赛事，能够支持早教、托育、幼儿保育、保育师、育婴员、婴幼儿发展引导员等赛事应用；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3.系统可适用于学前教育、早期教育、婴幼儿托育服务与管理三大专业以及其他托幼专业群中《婴幼儿回应性照料》、《婴幼儿营养与喂养》、《婴幼儿常见病识别与预防》等课程实训教学应用；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4.系统满足智能仿真婴儿照护识别，可支持不同功能仿真婴儿的实操动作识别（如日常照护类、喂养类等）；</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育婴员岗位技能虚拟教学平台</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一、技术指标</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1.平台应采用B/S架构，支持PC端和移动端多终端访问，实现云端数据存储及多端功能同步。</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2.PC端支持主流浏览器直接访问，无需本地安装客户端。移动端应采用Flutter开发原生APP，保障功能完整性和跨平台性能一致性。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3.支持分布式部署，确保支持7×24小时不间断运行，支持万人在线。</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4.平台应采用HTTPS安全通讯协议，对核心数据实施加密存储。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5.平台应具备防御XSS、CSRF、SQL注入等常见网络攻击的能力。</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6.平台应支持用户敏感信息在前端脱敏显示。</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7.平台虚拟仿真应采用Unity3D引擎嵌入式开发，可实现典型工作场景的交互式训练。</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8.平台应支持Office文件在线预览。</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9.平台应具备大数据分析能力，支持用户行为数据采集、多维度统计分析与可视化报表生成。</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10.平台应支持语音评测功能，根据用户录制的音频，可输出流畅度、完整度、声韵、调型等多维度分析结果，辅助用户提升普通话应用能力。</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二、功能指标</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（一）基础功能模块</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1.平台应支持密码、扫码、微信等多种登录方式。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2.平台应支持三种默认的用户角色（管理员、老师、学生），管理员应能创建自定义角色，并赋予不同权限。</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3.平台应支持同一账号多终端跨平台应用。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4.平台应支持课程名称搜索功能，通过搜索关键字快速锁定目标课程。</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5.平台应支持自定义功能，支持自定义课程名称、应用的名称及顺序等。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6.平台应支持公共班级管理功能，便于所有教师快速导入此班级。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7.平台应支持教师管理，支持教师创建自己的团队，并赋予不同角色教师不同权限。</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8.平台应支持班级管理，支持班级管小组，小组管学生三级管理方式，支持教师通过批量导入、手动录入或扫码添加的方式在班级中添加学生。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9.平台应支持教师一键导出学生的学习成果，至少包括学习时长、完成课程章节数量等数据。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10.平台应支持资源库建设，支持对图片、音频、视频及文件等资源的查看及管理。</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11.平台应支持作业功能，支持一键发布作业，作业内容应支持上传图片、音频及视频等附件。</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12.平台应支持ABC、分数及优良等多种作业评分方式。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▲13.平台应支持教师对学生上传的作业进行评优功能。（需提供系统平台对应截图）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14.平台应支持教师批改作业时，可对图片进行标注、绘制、旋转、裁剪等功能。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15.平台应支持教师作业留言时，使用语音留言及文字留言。</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16.平台应支持作业隐私功能，使用一键开启或关闭作业全部学生可见功能。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17.平台应支持辅助批阅功能，使用一键开启或关闭团队教师批阅功能。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18.平台应支持教师查看作业数据，至少包括完成率、查看未开始、进行中及已完成的学生作业。</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19.平台应支持教师对作业进行一键驳回及一键导出。</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20.平台应支持考试功能，包含考试一键发放、学生在线答题及试卷自动批阅等功能。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▲21.平台应支持试卷试题至少包含单选题、多选题、填空题、判断题、简答题等不少于7种题型。（需提供系统平台对应截图）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22.平台应支持考试试卷管理，实现一份试卷多次使用。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23.平台应支持考试试卷多种创建方式，包含手动添加或文件导入等方式。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▲24.平台应支持考试试卷乱序出题，在保证公平公正考试的前提下，防止作弊。（需提供系统平台对应截图）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25.平台应支持考试成绩数据分析及统计，教师根据统计结果查看已完成的考试数据，内容至少包含排行榜、考试次数走势、题型分类占比等。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26.平台应支持考试试题纠错管理，允许用户对试题进行纠错并选择报错类型。</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27.平台应集成人工智能大模型能力，能够理解教师提出的教学管理、内容设计等问题，并提供多维度、可操作的解决方案或内容建议。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28.平台应支持教学管理大数据功能，支持管理员查看教师、学生、课程的综合数据，至少包括教师综合排名、发布互动数排名、发布作业数排名、发布考试数排名、学生综合排名、班级综合排名、自建课程综合排名等数据，帮助管理者更好地了解教学整体情况。</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▲29.平台应支持教学活动大数据功能，支持教师查看课程综合排名、学生综合排名、学生活跃度分布等数据，帮助教师分析和评估学生的学习效果。（需提供系统平台对应截图）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30.平台应支持学习活动大数据功能，支持学生查看学习时长、学习走势、学习排名等数据，帮助学生更好地了解自己的学习情况。</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（二）“互联网+”云课堂共建功能模块</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1.此模块应支持多种课程制作方式，满足教师不同场景下的使用需求。形式至少包含：通过富文本编辑器创建课程、单独上传PPT文件即实现上课、富文本编辑器及PPT混合使用创建课程。</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2.此模块应支持教师一键导入平台共享的教学资源，快速引入教学内容。</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3.课程制作应支持多教学环节自定义设计，并可实时预览课程呈现效果。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4.课程制作过程中应支持上传ppt、word、excel、pdf等常规形式文件及图片、音频、视频等教学资源。</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5.课程制作过程中应支持预设签到、投票、选人、选组、视频题等至少10种课程活动。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6.此模块应支持在不增加其他外置设备条件下，具有一键投屏功能。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7.一键投屏功能应支持数字投屏及扫码投屏至少两种方式。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8.此模块应支持教师通过触摸一体机完成整个教学过程，即同屏内教学资源直接调用。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9.此模块应支持教师在授课前发送教学通知，通知应支持带附件形式，通知应包括抄送功能。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10.此模块应支持学生实时参与教师课上互动，实时查看通知、资料、作业及考试等。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11.此模块应支持教师实时查看学生参与活动情况，互动结果教师学生同步可见。</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12.此模块应支持教师查看学生成绩排行榜、答题用时、已完成人员名单、未完成人员名单、班级整体正确率及各个小题正确率等数据。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13.此模块应支持课程资源可见性管理功能，允许教师对已上传的学习资源进行“隐藏/显示”设置。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14.此模块应支持教学课件资源库数据统计功能，统计内容至少包含页面浏览量、班级数量、学习时长、累计互动数等。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（三）“互联网+”第三方认证评价功能模块</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1.此模块应包含认证评价分系统，支持教师直接调用第三方测试题库。</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2.此模块应支持按章节练习、顺序练习、考点练习等多种练习方式。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3.此模块包含答题模式、背题模式、可语音听题等练习模式。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4.平台应提供未做题功能，让学生更有针对性地进行练习。</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5.此模块应支持学生查看自己的学习进度，掌握做题数量、学习数据及模考数据等内容。</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6.此模块应支持教师查看学生的学习进度，掌握答题次数、模考次数、学习时长以及学生排名等内容。</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7.此模块应支持学情分析功能，根据学生的学习记录进行多维度的数据分析，教师可根据分析结果指导学生有针对性地学习。</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8.此模块应支持PC端（Web）及移动端（App）多终端练题，满足用户多场景学习需求。</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9.平台应支持游戏化自学方式不少于3种，包含4人赛、双人对战、挑战答题等方式，同时系统能根据比赛结果对学生进行排名。</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三、内容指标</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（一）云课堂共建分系统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系统提供数字化课程资源，至少包含五大模块，不少于30项学习任务。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1.模块一：职业基本素质。至少包含5个学习任务。学习任务需有：育婴员职业素养、婴幼儿生理发育、婴幼儿生理系统等。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▲2.模块二：初级职业技能。至少包含10个学习任务。学习任务需有：母乳喂养、人工喂养、辅食添加等。（需提供系统平台对应截图）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▲3.模块三：中级职业技能。至少包含7个学习任务。学习任务需有：婴幼儿生活习惯的培养、婴幼儿体操、婴幼儿抚触等。（需提供系统平台对应截图）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▲4.模块四：高级职业技能。至少包含8个学习任务。学习任务需有：意外伤害的现场救助、训练婴幼儿粗大运动、训练婴幼儿精细运动等。（需提供系统平台对应截图）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5.模块五：育婴员大赛。任务需有：大赛初识，内容包括2025年中华人民共和国第三届职业技能大赛赛项规程、赛卷等相关文件。</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（二）第三方认证评价分系统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系统能够根据初中高三个等级进行搭建，提供与课程配套的认证考核题库，具体如下：</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至少包含初级、中级、高级、共三个级别的学习训练题库，不少于4500道模拟题，可支持第三方认证测评备考。包含单选题、多选题、判断题。对应融合五大模块、30项学习任务，结合育婴员有针对性地练习，并附带解析。满足学生各种学习场景需求。协助学院建设育婴员职业技能等级考核测评试题库，有力对接国家职业技能考核标准、支撑中高职院校，幼儿保育、学前教育、早教等专业学生考取育婴员职业技能等级证书。</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2.线上答题智能竞赛系统。支持二人赛、四人赛、挑战赛，同时系统能根据比赛结果对学生进行排名。协助院校建立“以赛促教、以赛促学”的专业课程学习竞赛平台。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3.为保证产品质量，投标人需提供同类软件生产厂家的软件著作权证书和授权书。</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保育师岗位技能虚拟教学平台</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一、技术指标</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1.平台应采用B/S架构，支持PC端和移动端多终端访问，实现云端数据存储及多端功能同步。</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2.PC端支持主流浏览器直接访问，无需本地安装客户端。移动端应采用Flutter开发原生APP，保障功能完整性和跨平台性能一致性。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3.支持分布式部署，确保支持7×24小时不间断运行，支持万人在线。</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4.平台应采用HTTPS安全通讯协议，对核心数据实施加密存储。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5.平台应具备防御XSS、CSRF、SQL注入等常见网络攻击的能力。</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6.平台应支持用户敏感信息在前端脱敏显示。</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7.平台虚拟仿真应采用Unity3D引擎嵌入式开发，可实现典型工作场景的交互式训练。</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8.平台应支持Office文件在线预览。</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9.平台应具备大数据分析能力，支持用户行为数据采集、多维度统计分析与可视化报表生成。</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10.平台应支持语音评测功能，根据用户录制的音频，可输出流畅度、完整度、声韵、调型等多维度分析结果，辅助用户提升普通话应用能力。</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二、功能指标</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（一）基础功能模块</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▲1.平台应支持密码、扫码、微信等多种登录方式。（需提供系统平台对应截图）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▲2.平台应支持三种默认的用户角色（管理员、老师、学生），管理员应能创建自定义角色，并赋予不同权限。（需提供系统平台对应截图）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▲3.平台应支持同一账号多终端跨平台应用。（需提供系统平台对应截图）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4.平台应支持课程名称搜索功能，通过搜索关键字快速锁定目标课程。</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5.平台应支持自定义功能，支持自定义课程名称、应用的名称及顺序等。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6.平台应支持公共班级管理功能，便于所有教师快速导入此班级。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7.平台应支持教师管理，支持教师创建自己的团队，并赋予不同角色教师不同权限。</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8.平台应支持班级管理，支持班级管小组，小组管学生三级管理方式，支持教师通过批量导入、手动录入或扫码添加的方式在班级中添加学生。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9.平台应支持教师一键导出学生的学习成果，至少包括学习时长、完成课程章节数量等数据。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10.平台应支持资源库建设，支持对图片、音频、视频及文件等资源的查看及管理。</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11.平台应支持作业功能，支持一键发布作业，作业内容应支持上传图片、音频及视频等附件。</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12.平台应支持ABC、分数及优良等多种作业评分方式。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13.平台应支持教师对学生上传的作业进行评优功能。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14.平台应支持教师批改作业时，可对图片进行标注、绘制、旋转、裁剪等功能。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15.平台应支持教师作业留言时，使用语音留言及文字留言。</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16.平台应支持作业隐私功能，使用一键开启或关闭作业全部学生可见功能。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17.平台应支持辅助批阅功能，使用一键开启或关闭团队教师批阅功能。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18.平台应支持教师查看作业数据，至少包括完成率、查看未开始、进行中及已完成的学生作业。</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19.平台应支持教师对作业进行一键驳回及一键导出。</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20.平台应支持考试功能，包含考试一键发放、学生在线答题及试卷自动批阅等功能。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21.平台应支持试卷试题至少包含单选题、多选题、填空题、判断题、简答题等不少于7种题型。</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22.平台应支持考试试卷管理，实现一份试卷多次使用。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23.平台应支持考试试卷多种创建方式，包含手动添加或文件导入等方式。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24.平台应支持考试试卷乱序出题，在保证公平公正考试的前提下，防止作弊。</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25.平台应支持考试成绩数据分析及统计，教师根据统计结果查看已完成的考试数据，内容至少包含排行榜、考试次数走势、题型分类占比等。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26.平台应支持考试试题纠错管理，允许用户对试题进行纠错并选择报错类型。</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27.平台应集成人工智能大模型能力，能够理解教师提出的教学管理、内容设计等问题，并提供多维度、可操作的解决方案或内容建议。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28.平台应支持教学管理大数据功能，支持管理员查看教师、学生、课程的综合数据，至少包括教师综合排名、发布互动数排名、发布作业数排名、发布考试数排名、学生综合排名、班级综合排名、自建课程综合排名等数据，帮助管理者更好地了解教学整体情况。</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29.平台应支持教学活动大数据功能，支持教师查看课程综合排名、学生综合排名、学生活跃度分布等数据，帮助教师分析和评估学生的学习效果。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30.平台应支持学习活动大数据功能，支持学生查看学习时长、学习走势、学习排名等数据，帮助学生更好地了解自己的学习情况。</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（二）“互联网+”云课堂共建功能模块</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1.此模块应支持多种课程制作方式，满足教师不同场景下的使用需求。形式至少包含：通过富文本编辑器创建课程、单独上传PPT文件即实现上课、富文本编辑器及PPT混合使用创建课程。</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2.此模块应支持教师一键导入平台共享的教学资源，快速引入教学内容。</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3.课程制作应支持多教学环节自定义设计，并可实时预览课程呈现效果。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4.课程制作过程中应支持上传ppt、word、excel、pdf等常规形式文件及图片、音频、视频、仿真任务链接等教学资源。</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5.课程制作过程中应支持预设签到、投票、选人、选组、视频题等至少10种课程活动。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6.此模块应支持在不增加其他外置设备条件下，具有一键投屏功能。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7.一键投屏功能应支持数字投屏及扫码投屏至少两种方式。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8.此模块应支持教师通过触摸一体机完成整个教学过程，即同屏内教学资源直接调用。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9.此模块应支持教师在授课前发送教学通知，通知应支持带附件形式，通知应包括抄送功能。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10.此模块应支持学生实时参与教师课上互动，实时查看通知、资料、作业及考试等。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11.此模块应支持教师实时查看学生参与活动情况，互动结果教师学生同步可见。</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12.此模块应支持教师查看学生成绩排行榜、答题用时、已完成人员名单、未完成人员名单、班级整体正确率及各个小题正确率等数据。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13.此模块应支持课程资源可见性管理功能，允许教师对已上传的学习资源进行“隐藏/显示”设置。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▲14.此模块应支持教学课件资源库数据统计功能，统计内容至少包含页面浏览量、班级数量、学习时长、累计互动数等。（需提供系统平台对应截图）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（三）“互联网+”第三方认证评价功能模块</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1.此模块应包含认证测评分系统，教师可直接调用第三方的测试题库。</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2.此模块应支持按章节练习、顺序练习、随机练习、专项练习等多种练习方式。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3.此模块应支持答题模式、背题模式、可语音听题等练习模式。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4.此模块应支持学生随时查看自己的学习进度，掌握做题数量、学习数据及模考数据等内容。</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5.此模块应支持教师查看学生的学习进度，掌握答题次数、模考次数、学习时长以及学生排名等内容。</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6.此模块应支持PC端（Web）及移动端（App）多终端练题，满足用户多场景学习需求。</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7.此模块应支持学情分析功能，根据学生的学习记录进行多维度的数据分析，教师可根据分析结果指导学生有针对性地学习。</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8.此模块应支持游戏化自学功能，至少提供二人赛、四人赛、挑战赛3种竞赛对垒模式，同时系统能根据比赛结果对学生进行排名。</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三、内容指标</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（一）云课堂共建分系统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系统提供数字化课程资源，至少包含6大模块。不少于35个学习任务。包含初级、中级、高级三个等级内容，每个任务须基于此知识点在不同等级培训内容中进行统一化搭建，保证知识的连续性。同时教师可根据培训群体鉴定的不同等级，进行章节化选择。</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▲模块一：职业基本素质。至少包含6个学习任务，学习任务需有：职业道德与职业认知、婴幼儿生理系统与感官保育、婴幼儿心理发展与常见问题等。（需提供系统平台对应截图）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模块二：卫生管理与教育。至少包含5大学习任务，学习任务需有：室内清洁与通风（四、五级）、污物的清洁与处理（四级）等。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模块三：生活管理与教育。至少包含9个学习任务，学习任务需有：进餐前准备（四、五级）、进餐后指导（五级）等。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模块四：健康管理与教育。至少包含9个学习任务，学习任务需有：婴幼儿的健康观察（五级）、意外伤害预防与处理（三级）等。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模块五：辅助教育活动与家长工作。至少包含4个学习任务，学习任务需有：室内外活动准备与整理（三、五级）、游戏组织与指导（四级）等。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模块六：培训与指导。至少包含2个学习任务，学习任务需有：技能培训（三级）、工作指导（三级）。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（二）第三方认证评价分系统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1.系统架构：系统应提供与课程配套的认证考核题库，根据初、中、高三个等级进行搭建。线上答题竞赛要支持二人赛、四人赛、挑战赛，同时系统能根据比赛结果对学生进行排名。</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2.题库：包含单选题、多选题、判断题。每个等级可按章节进行对应知识模块的练习，可按序或随机进行答题和背题。试题数量不少于3500题。</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3.为保证产品质量，投标人需提供同类软件生产厂家的软件著作权证书和授权书。</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仿真婴儿展示柜</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1.尺寸：（现场实际尺寸定制）</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2.材质：木质，透明亚克力柜门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3.可放置24个婴儿，方便柜体移动，透明亚克力柜门能清楚展示婴儿，一目了然，柜体有效防止灰尘进入，增加娃娃使用寿命。</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学生椅</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1.座面软硬：硬座面</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2.材质：PP</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3.高约46cm</w:t>
            </w:r>
            <w:r/>
          </w:p>
        </w:tc>
      </w:tr>
      <w:tr>
        <w:trPr>
          <w:jc w:val="center"/>
          <w:trHeight w:val="567"/>
        </w:trPr>
        <w:tc>
          <w:tcPr>
            <w:shd w:val="clear" w:color="auto" w:fill="auto"/>
            <w:tcBorders>
              <w:top w:val="single" w:color="auto" w:sz="4" w:space="0"/>
              <w:left w:val="single" w:color="000000" w:sz="4" w:space="0"/>
              <w:bottom w:val="single" w:color="000000" w:sz="4" w:space="0"/>
              <w:right w:val="single" w:color="000000"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婴幼儿智能照护实训台</w:t>
            </w:r>
            <w:r/>
          </w:p>
        </w:tc>
        <w:tc>
          <w:tcPr>
            <w:shd w:val="clear" w:color="auto" w:fill="auto"/>
            <w:tcBorders>
              <w:top w:val="single" w:color="auto" w:sz="4" w:space="0"/>
              <w:left w:val="single" w:color="000000" w:sz="4" w:space="0"/>
              <w:bottom w:val="single" w:color="000000" w:sz="4" w:space="0"/>
              <w:right w:val="single" w:color="000000"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一、实训台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1.规格：1400mm（长）×650mm（宽）×840mm（高），允许偏差应在±5mm以内。</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2.材质应采用海洋板，全圆弧防撞设计，可触及区域应无毛刺、无锐边锐角，确保操作者安全。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3.实训台应具备抗冲击、耐盐浴、耐冷热循环等特性；甲醛释放量应≤0.08mg/m³。</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4.配备360度可旋转双层台面，支持一字型、T字型等多种摆放方式，多角度灵活调整，满足多人协同训练及多样化场景需求。</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5.配备软垫及婴儿体重秤，支持护理技能实训操作与身高体重测量。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6.透明展示区应具备照明、婴儿收纳展示及充电功能。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7.底座应采用静音万向脚轮，具备锁定功能，可自主根据操作情境移动摆放。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8.支持亚克力面板个性化定制，可根据实际情况定制产品尺寸，适配不同教学场景。</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二、数智车</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1.移动数智车应采用可移动一体化设计。尺寸550mm（高）*400mm（宽）*500mm（深），允许偏差应在±5mm以内。前置应采用检修门设计，箱体内部应采用主动式散热设计。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2.底座应采用静音万向脚轮，具备锁定功能，可自主根据操作情境移动摆放。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3.应集成电源控制开关，可一键控制设备电源。</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4.移动数智车应配备多功能万向臂，水平展开尺寸不小于1.2米。内部应采用隐藏走线设计，应支持折叠收缩及旋转。支持多种型号摄像机安装，可悬停任意位置进行拍摄。</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5.应配备摄像机一台，内置麦克风，拾音距离≤5m，同时支持外接拾音器与扬声器。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6.摄像机应支持录播直播功能，支持SD卡存储，一键开启视频录制。最低照度0.1 Lux @ （F1.2, AGC ON）；镜头焦距2.7 mm~13 mm。</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7.立柱应采用隐藏走线设计，内部应采用铝合金框架结构，高度1.78～1.98米范围内可电动调节。</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8.移动数智车配置20-30英寸触控显示终端，安装高度应支持手动调节，配备键盘和鼠标。</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9.触控显示终端应支持Windows操作系统，内存≥8G，硬盘≥256G，分辨率≥1920*1080，应支持WIFI6 ，配置HDMI、USB、音频等接口。</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10.应支持无线VR设备接入，通过沉浸式交互仿真任务，提升实践操作技能。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智能仿真婴儿</w:t>
            </w:r>
            <w:r/>
          </w:p>
        </w:tc>
        <w:tc>
          <w:tcPr>
            <w:shd w:val="clear" w:color="auto" w:fill="auto"/>
            <w:tcBorders>
              <w:top w:val="single" w:color="000000" w:sz="4" w:space="0"/>
              <w:left w:val="single" w:color="000000" w:sz="4" w:space="0"/>
              <w:bottom w:val="single" w:color="000000" w:sz="4" w:space="0"/>
              <w:right w:val="single" w:color="000000"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一、应用场景</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1.适用于社会性培训，例如保育师、育婴员、婴幼儿发展引导员、家庭教育指导师等技能等级证书、专项证书的训练及考核；</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2.适用于教育部、人社部、民政部、卫健委及行业协会赛事，能够支持早教、托育、幼儿保育、保育师、育婴员、婴幼儿发展引导员等赛事，包括人工喂养、二便处理等赛项；</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3.适用于学前教育、早期教育、托育服务三大专业以及其他托幼专业群中《婴幼儿营养与喂养》《婴幼儿回应性照料》等课程教学实训；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4.适用于岗位技能的提升，开展多种类型的婴幼儿照护技能训练，营造真实的婴幼儿照护体验氛围，将理论知识用于实践。</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二、基础参数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1.规格：身长55-60cm，重量2500-4000g，可区分性别。</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2.材质：搪胶。</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3.外观：模拟同龄真人；婴儿可随体位变动自然地进行睁闭眼状态切换。</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4.支持：设备可支持PC端（Web）和移动端（App）进行操作，可支持记录用户喂奶、拍嗝、换尿布、安抚、颈部暴力、粗暴重击、危险体位等的操作过程并形成护理报告，生成的数据可实现云端储存和实时同步。</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配件：至少包含外出服1件（内置无线智能芯片）；睡衣1件（内置无线智能芯片）；连体衣1件（内置无线智能芯片）；尿布2块（内置无线智能芯片）；奶瓶1个（内置无线智能芯片）；婴儿腕带2条；充电器1个；说明书1本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三、硬件参数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1.设备可通过蓝牙WiFi连接至PC端（Web）和移动端（App）交互系统，无需外接数据接收器。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2.设备具备自动配网、手动配网两种模式，且可以随意切换。</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3.婴儿可发出多种婴儿声音，至少包含呼噜、吸吮、咳嗽、打嗝、哭闹、愉快等声音。</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4.设备内置陀螺仪，可检测婴儿体位变化。</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5.设备内置电池模块：</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（1）内置电池容量≥9000mah；一次充满电静态模式待机时间5-7天；工作模式待机时间3-5天；</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（2）需支持外接电源和内置电池两种方式供电；</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（3）需支持Type-C外接电源接口供电；</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（4）需支持自动评估电量功能，在低电量情况下可自动提醒用户进行及时充电。</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6.设备需至少具备2个指示灯，可实现同时显示电量状态及操作状态。</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7.设备需呈现真实婴儿状态，开机状态下无需进行其他交互操作，当婴儿遭遇粗暴对待时，会给予相应的真实情绪反馈，并需要用户进行相应的安抚操作。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8.设备可与学生实训任务相结合，支持多种回应性照护。</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9.设备内置传感器，可与睡衣、尿布、奶瓶等配件进行匹配，并伴有声音提示。</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10.设备内置传感器至少可提供9项功能：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喂奶：当婴儿因发生喂奶需求而哭泣时，正确抱持婴儿后拿起奶瓶接触婴儿嘴部，哭泣声会停止并发出吮吸声音，喂奶需求得到满足后，会发出愉悦的声音；婴儿融合奶瓶识别与体位感测，避免呛奶风险，正确体位方可进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（2）拍嗝：当婴儿因发生拍嗝需求而哭泣时，抱起婴儿轻轻拍打背部会使其停止哭泣，发出打嗝声；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（3）尿布：当婴儿因发生换尿布需求而哭泣时，正确替换新尿布，婴儿自动感知到前后双智能芯片会停止哭泣，发出愉悦声音；</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（4）安抚：当婴儿因发生轻摇安抚需求而哭泣时，抱起婴儿并持续轻摇安抚，哭泣声音会自动停止，婴儿会发出愉悦声音；</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（5）颈部暴力：婴儿在头部未得到支撑情况下会发出剧烈哭声，具有头部支撑失败数据记录和数据上传功能；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（6）粗暴重击：婴儿在受到猛烈拍打、坠落或虐待的情况下会发出剧烈哭声，具有粗暴护理数据记录和数据上传功能；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（7）危险体位：婴儿具有体位监测功能，一旦监测到婴儿处于俯卧、头身倒置等危险体位时，即刻启动憋闷和哭泣反馈，具有危险体位数据记录和数据上传功能；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（8）着装感知：婴儿在自检模式下具有着装感知功能；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（9）高温预警：婴儿遇高温环境即触发预警机制并上传服务器。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四、交互系统参数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（一）技术指标</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1.平台应采用B/S架构，支持PC端和移动端多终端访问，实现云端数据存储及多端功能同步，支持7×24小时不间断运行。</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2.PC端支持主流浏览器直接访问，无需本地安装客户端。移动端应采用Flutter开发原生APP，保障功能完整性和跨平台性能一致性。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3.平台应采用HTTPS安全通讯协议，对核心数据实施加密存储。具备防御XSS、CSRF、SQL注入等常见网络攻击的能力。</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▲4.平台应支持用户敏感信息在前端脱敏显示，保障隐私安全。（需提供系统平台对应截图）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5.平台虚拟仿真应采用Unity3D引擎嵌入式开发，可实现典型工作场景的交互式训练。</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6.平台应支持密码、扫码、微信等多种登录方式。</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7.平台应支持三种默认用户角色（管理员、老师、学生），管理员可创建自定义角色，并赋予不同权限。</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8.平台应支持公共班级管理功能，便于所有教师快速导入此班级。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9.平台应支持“班级-小组-学生”三级管理方式，支持教师通过批量导入、手动录入或扫码添加的方式在班级中添加学生。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10.平台应支持教师一键导出学生的学习成果，至少包括学习时长、完成课程章节数量等数据。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▲11.平台应支持语音评测功能，根据用户录制的音频，可输出流畅度、完整度、声韵、调型等多维度分析结果，辅助用户提升普通话应用能力。（需提供系统平台对应截图）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12.平台应集成人工智能大模型能力，能够理解教师提出的教学管理、内容设计等问题，并提供多维度、可操作的解决方案或内容建议。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13.平台应支持教学管理大数据功能，支持管理员查看教师、学生、课程的综合数据，至少包括教师综合排名、发布互动数排名、发布作业数排名、发布考试数排名、学生综合排名、班级综合排名、自建课程综合排名等数据，帮助管理者更好地了解教学整体情况。</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14.平台应支持教学活动大数据功能，支持教师查看课程综合排名、学生综合排名、学生活跃度分布等数据，帮助教师分析和评估学生的学习效果。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15.平台应支持学习活动大数据功能，支持学生查看学习时长、学习走势、学习排名等数据，帮助学生更好地了解自己的学习情况。</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（二）“互联网+”智能仿真婴儿交互模块</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1.平台需支持PC端（Web）和移动端（App）操作，双端可同时远程操控至少100个智能仿真婴儿。</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▲2.平台PC端（Web）、移动端（App）需具备自检、专项训练、领养、查找功能。（需提供系统平台对应截图）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3.平台PC端（Web）、移动端（App）自检功能需支持开机自主进行硬件功能自检，用户可配合婴儿进行任务功能检测，并给予检测结果反馈。</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▲4.平台PC端（Web）、移动端（App）专项训练下发至少支持预设、自定义两种模式。（需提供系统平台对应截图）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5.平台PC端（Web）、移动端（App）专项训练自定义模式需支持任务间隔时长、操作时长设置不受限。</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6.平台PC端（Web）、移动端（App）专项训练任务至少包含喂奶、拍嗝、换尿布、安抚，任务可无限次下发。</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▲7.平台PC端（Web）、移动端（App）专项训练结束后会生成数据，数据至少包括完成、断续、错过、错误环节等内容。（需提供系统平台对应截图）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▲8.平台PC端（Web）、移动端（App）领养模式至少包括肠绞痛照护、湿疹照护、红臀照护等20种模式。（需提供系统平台对应截图）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9.平台PC端（Web）、移动端（App）领养模式的难易程度需根据婴儿不同的气质类型、日龄进行分类。</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10.平台PC端（Web）、移动端（App）领养模式时长需满足1分钟-16天，领养模式的难易程度程度至少支持随机、自定义，自定义模式下用户可对每一天的困难程度进行设定。</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11.平台PC端（Web）领养模式结束后会生成数据报告，数据报告至少包括领养基础信息、护理报告、错误护理、节点日志、GIF、婴儿心理活动、照护建议等综合数据。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12.平台移动端（App）领养模式结束后会生成数据报告，数据报告至少包括领养基础信息、护理报告、错误护理、错过日志等综合数据。</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13.平台PC端（Web）、移动端（App）领养数据报告中的综合数据，至少包含喂食的次数、拍嗝的次数、换尿片的次数、安抚的次数、颈部暴力的次数、粗暴重击次数、危险体位的次数等内容，并能自动对用户的照护行为进行数据统计。（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14.平台PC端（Web）、移动端（App）领养数据报告需支持下载。</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15.领养模式下需支持日托功能，帮助用户在无法照护婴儿时进行托管，日托次数≤5次，日托总时长≤24小时。</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16.平台PC端（Web）、移动端（App）查找功能：在连接多个婴儿时，能够通过编号区分不同身份的婴儿，婴儿会做出声音反馈，使用户迅速确定目标婴儿。</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17.平台需支持教师批量下发专项、领养任务。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18.平台需具备婴儿出生证明功能，模拟真实的《中国出生医学证明》，可自主编辑、下载，内容至少包含新生儿姓名、性别、出生时间、出生地点、母亲姓名、父亲姓名、孕周、出生体重、出生身长等。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19.平台需支持教师大数据功能，能够提供可视化的数据展示，至少包括婴儿数量、婴儿健康度、预警数据、领养分数排名、班级排名等，帮助教师分析和评估学生的学习效果，从而有针对性地进行教学指导。（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20.平台需支持在领养模式下模拟竞赛场景，根据用户对婴儿的照护行为数据进行自动分析处理，为裁判提供客观的数据评价。</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（三）“互联网+”云课堂学习模块</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1.模块应支持至少10种活动，包括但不限于签到、投票、选人、选组、视频题等。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▲2.模块应支持一键投屏功能，支持数字投屏与扫码投屏两种方式。（需提供系统平台对应截图）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3.模块应支持教师通过触摸一体机完成教学，即同屏内教学资源直接调用。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4.模块应支持教师实时查看学生参与活动情况，互动结果教师学生同步可见。</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5.模块应支持教学课件资源库数据统计功能，统计内容至少包含页面浏览量、班级数量、学习时长、累计互动数等。（需提供系统平台对应截图）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6.应提供数字化课程资源，不少于3大模块、8个学习任务，覆盖岗证赛融通要求，支持PC端（Web）、移动端（App）双端同步学习。</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7.应提供颗粒化学习资源，包含视频、图片、文档等多种类型资源不少于35个，支持PC端（Web）、移动端（App）双端同步学习。</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▲8.操作说明模块：至少包含1个学习任务，提供智能仿真婴儿操作讲解视频与说明书等不少于2个资源，支持PC端（Web）、移动端（App）双端同步学习。（需提供系统平台对应截图）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大赛经验学习模块：至少包含3个学习任务，资源涵盖不少于10个赛项规程（如世界职业院校技能大赛）、不少于10个政策法规（如《中国儿童发展纲要（2021-2030年）》）、不少于5个0-3岁婴幼儿生活照料项目实操经典案例视频（每个视频不少于5分钟），支持PC端（Web）、移动端（App）双端同步学习。</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10.岗位技能学习模块：至少包含4个学习任务，涵盖人工喂养、拍嗝照护、尿布更换、抱持姿势等核心技能，每个任务配套不少于2个资源，支持PC端（Web）、移动端（App）双端同步学习。</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10.为保证产品质量，投标人需提供同类仿真婴儿生产厂家的软件著作权证书和授权书。</w:t>
            </w:r>
            <w:r/>
          </w:p>
        </w:tc>
      </w:tr>
      <w:tr>
        <w:trPr>
          <w:jc w:val="center"/>
          <w:trHeight w:val="567"/>
        </w:trPr>
        <w:tc>
          <w:tcPr>
            <w:shd w:val="clear" w:color="auto" w:fill="auto"/>
            <w:tcBorders>
              <w:top w:val="single" w:color="000000" w:sz="4" w:space="0"/>
              <w:left w:val="single" w:color="000000" w:sz="4" w:space="0"/>
              <w:bottom w:val="single" w:color="auto" w:sz="4" w:space="0"/>
              <w:right w:val="single" w:color="000000"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新生儿仿真教学模型</w:t>
            </w:r>
            <w:r/>
          </w:p>
        </w:tc>
        <w:tc>
          <w:tcPr>
            <w:shd w:val="clear" w:color="auto" w:fill="auto"/>
            <w:tcBorders>
              <w:top w:val="single" w:color="000000" w:sz="4" w:space="0"/>
              <w:left w:val="single" w:color="000000" w:sz="4" w:space="0"/>
              <w:bottom w:val="single" w:color="auto" w:sz="4" w:space="0"/>
              <w:right w:val="single" w:color="000000"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一、规格参数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1.尺寸：身长约42-45cm；</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2.材质：硅胶仿真婴儿模型；质感逼真，四肢灵活，可自由活动、符合生理曲度。</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3.配备服装1套。</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二、功能参数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支持新生儿脐部护理、沐浴、更换尿布、人工喂养、抚触、模拟体格检查等实训任务。</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早教婴儿模型</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一、规格参数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1.规格：身长约50cm。</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2.材质：头、手、脚为搪胶；身体、四肢为PP棉。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3.配备服装1套，说明书1本。</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二、功能参数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支持被动操、主被动操、模拟体格检查、模拟生命体征测量、婴儿早教示范等实训任务；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支持保育师、育婴员、婴幼儿发展引导员等职业技能等级训练及考核；支持国家级职业技能大赛赛项。</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婴儿仿真教学模型</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一、规格参数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1.规格：身长约50cm，坐高不低于30cm；</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2.材质：硅胶；质感逼真，可水洗。四肢灵活可弯动，躯体符合生理曲度。</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3.配备不少于2套服装，说明书1本。</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二、功能参数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支持抚触、沐浴、温水擦浴、臀红护理、口服给药、外伤处理、包扎练习、模拟体格检查、模拟生命体征测量、婴儿早教示范等实训任务；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支持保育师、育婴员、婴幼儿发展引导员等职业技能等级训练及考核；支持国家级职业技能大赛相关赛项。</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婴儿急救护理模型</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一、规格参数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1.尺寸：身长约55cm。</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2.材质：优质PVC材料，手感真实、肤色统一、形态逼真、外观美观、牢固耐用。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3.功能：标准婴儿真人比例，可触及胸骨和肋骨，气道贯通时胸部扩张。</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4.配备不少于2套服装，说明书1本、梗塞填充物20个、便携式帆布袋1个、气道2个、一次性CPR训练屏障消毒面膜10张。。</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二、功能参数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支持一岁以内婴儿急救—窒息、气道异物阻塞的模拟；；CPR操作（人工呼吸和心外按压），一岁以内婴儿急救-心肺复苏、一岁以内婴儿急救-气道异物、模拟体格检查、模拟生命体征测量、婴儿早教示范等实训任务；支持保育师、育婴员、婴幼儿发展引导员等职业技能等级训练及考核；支持国家级职业技能大赛相关赛项。</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幼儿教学模型</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一、规格参数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1.尺寸：身高82-85cm。</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2.材质：硬塑胶。</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3.功能特点：真实儿童身材比例，可穿90码左右衣服。娃娃可坐，可在外物辅助下站立。头、手肘、膝盖有关节，可以灵活转动。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4.配备不少于2套服装、说明书1本、儿童鞋1双。</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二、功能参数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支持幼儿游戏训练与展示、基础护理技能、模拟体格检查等实训任务；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支持保育师、育婴员、婴幼儿发展引导员等职业技能等级训练及考核；支持国家级职业技能大赛相关赛项。</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幼儿急救护理模型</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一、规格参数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1.尺寸：身高约105cm。</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2.模拟标准气道开放。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3.人工手指位胸外按压显示报警：</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•按压位置正确、错误的指示灯显示及错误的报警；</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•按压强度正确（4~5cm区域）、错误（&lt;4cm&lt;区域）的指示灯显示及错误的报警。</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4.人工口对口呼吸（吹气）显示报警：</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•吹入的潮气量&lt;150ml~200ml&lt;的指示灯显示及报警；</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•吹入的潮气量在150ml~200ml之间正确指示灯显示；</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•吹入潮气量过快或超大，造成气体进入胃部指示灯显示及报警。</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5.按压与人工呼吸比：30：2/单人比或15：2/双人。</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6.操作周期：按压与人工吹气30：2或15：2五个循环周期CPR操作。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7.操作频率：最新国际标准：100-120次/分。</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8.操作方式：训练操作。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9.检查肱动脉反应：手捏压力皮球，模拟肱动脉搏动。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10.工作状态：采用220V电源，经过稳压器稳压输出电源6V。</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11.标准配置：幼儿急救护理模型一具；配备2套服装、马甲一个、牛津收纳袋一个；控制器一台，电源线一条、数据线一条；复苏操作垫一条、屏障面膜（50张/盒）一盒、肺袋5条、可换面皮一只；说明书1本、急救手册1本。</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二、功能参数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支持一岁以上婴幼儿急救-心肺复苏、一岁以上婴幼儿急救-气道异物、外伤处理、包扎练习、模拟体格检查、模拟生命体征测量、基础皮肤护理等实训任务；支持保育师、育婴员、婴幼儿发展引导员等职业技能等级训练及考核；支持国家级职业技能大赛相关赛项。</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婴儿照护仿真模型</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一、规格参数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1.尺寸：身长约50cm左右；</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2.材质：头、四肢及身体为全搪胶制作 ，软性环保；</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3.特点：质感逼真，四肢灵活，活动弯曲符合生理曲度，可坐可躺，可入水；</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4.有男女两种性别选择；</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5.配备不少于2套服装，说明书1本。</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二、功能参数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支持沐浴、抚触、外伤处理、包扎练习、模拟体格检查、婴儿早教示范、温水擦浴、臀红护理等实训任务；支持保育师、育婴员、婴幼儿发展引导员等职业技能等级训练及考核；支持国家级职业技能大赛相关赛项。</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托育园VR仿真教学终端系统</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numPr>
                <w:ilvl w:val="0"/>
                <w:numId w:val="8"/>
              </w:numPr>
              <w:jc w:val="left"/>
              <w:keepLines w:val="0"/>
              <w:keepNext w:val="0"/>
              <w:pageBreakBefore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技术参数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1.系统应基于VR眼镜的人体工学设计与高精度传感系统，实现对用户操作动作的精确捕捉与实时反馈，以支撑在虚拟环境中的交互式实践操作。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2.系统应集成AI语音识别技术至VR眼镜中，支持用户通过语音指令进行交互并反馈交互结果。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3.为确保VR眼镜的运行流畅性与体验效率，系统应采用YooAsset或同等效能及以上资源管理方案，以实现资源的快速加载与高效利用。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4.为支持学习内容的便捷更新与维护，系统应采用ILRuntime或具备同等能力的热更新方案，以实现在不重新安装应用的情况下，更新核心代码及学习内容。</w:t>
            </w:r>
            <w:r/>
          </w:p>
          <w:p>
            <w:pPr>
              <w:numPr>
                <w:ilvl w:val="0"/>
                <w:numId w:val="0"/>
              </w:num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5.配备6个配套的VR眼镜。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二、内容指标</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1.托育园VR仿真系统提供3D仿真场景至少包含：接待大厅、保健室、乳儿班、托小班、托大班、感统教室、绘本室、母婴室等不少于10个区域。</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2.虚拟仿真托育中心应与真实托育中心环境布局一致，所有环境应是三维建模完成，每一个区域都可以进行沉浸式参观体验。</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3.虚拟仿真实训任务中应包含：托育教师、保健医、不同年龄段婴幼儿等3D人物角色。角色应为三维建模模型，动作协调、逼真生动，形象、服装与仪容仪表等符合岗位规范。</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4.托育园VR仿真系统提供虚拟仿真实训练习，至少包含7大版块，不少于41个仿真实操实训任务。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（1）生活照料。至少包含5个仿真实训任务：配方奶粉的冲调、人工喂养、睡眠照料等。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（2）安全看护。至少包含5个仿真实训任务：婴儿气道异物阻塞的应急处理、幼儿气道异物阻塞的应急处理、幼儿心肺复苏等。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（3）卫生保健。至少包含12个仿真实训任务：体重测量、奶瓶的清洁消毒、生命体征测量—体温测量、婴儿抚触照料-头面部抚触等。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（4）早期发展支持。至少包含8个仿真实训任务：球类触觉游戏、精细动作游戏、语言发展活动的设计与实施、大动作发展活动的设计与实施等。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（5）环境安全。至少包含4个仿真实训任务：接待大厅环境安全、乳儿班环境安全等。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（6）环境创设。至少包含4个仿真实训任务：乳儿班环境创设、托小班环境创设等。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（7）玩教具选择。至少包含3个仿真实训任务：托小班玩教具选择、托大班玩教具选择等。</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strike w:val="0"/>
                <w:color w:val="auto"/>
                <w:sz w:val="21"/>
                <w:szCs w:val="21"/>
                <w:highlight w:val="none"/>
                <w:u w:val="none"/>
                <w:lang w:val="en-US" w:eastAsia="zh-CN" w:bidi="ar"/>
              </w:rPr>
              <w:t xml:space="preserve">5.为保证产品质量，投标人需提供同类软件生产厂家的软件著作权证书。</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jc w:val="center"/>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幼儿保育VR仿真教学终端系统</w:t>
            </w:r>
            <w:r/>
          </w:p>
        </w:tc>
        <w:tc>
          <w:tcPr>
            <w:shd w:val="clear" w:color="auto" w:fill="auto"/>
            <w:tcBorders>
              <w:top w:val="single" w:color="auto" w:sz="4" w:space="0"/>
              <w:left w:val="single" w:color="auto" w:sz="4" w:space="0"/>
              <w:bottom w:val="single" w:color="auto" w:sz="4" w:space="0"/>
              <w:right w:val="single" w:color="auto" w:sz="4" w:space="0"/>
            </w:tcBorders>
            <w:tcW w:w="4046" w:type="pct"/>
            <w:vAlign w:val="center"/>
            <w:textDirection w:val="lrTb"/>
            <w:noWrap w:val="false"/>
          </w:tcPr>
          <w:p>
            <w:pPr>
              <w:numPr>
                <w:ilvl w:val="0"/>
                <w:numId w:val="9"/>
              </w:numPr>
              <w:jc w:val="left"/>
              <w:keepLines w:val="0"/>
              <w:keepNext w:val="0"/>
              <w:pageBreakBefore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技术参数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1.系统应基于VR眼镜的人体工学设计与高精度传感系统，实现对用户操作动作的精确捕捉与实时反馈，以支撑在虚拟环境中的交互式实践操作。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2.系统应集成AI语音识别技术至VR眼镜中，支持用户通过语音指令进行交互并反馈交互结果。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3.为确保VR眼镜的运行流畅性与体验效率，系统应采用YooAsset或同等效能及以上资源管理方案，以实现资源的快速加载与高效利用。</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4.为支持学习内容的便捷更新与维护，系统应采用ILRuntime或具备同等能力的热更新方案，以实现在不重新安装应用的情况下，更新核心代码及学习内容。</w:t>
            </w:r>
            <w:r/>
          </w:p>
          <w:p>
            <w:pPr>
              <w:numPr>
                <w:ilvl w:val="0"/>
                <w:numId w:val="0"/>
              </w:numPr>
              <w:jc w:val="left"/>
              <w:keepLines w:val="0"/>
              <w:keepNext w:val="0"/>
              <w:pageBreakBefore w:val="0"/>
              <w:widowControl/>
              <w:rPr>
                <w:rFonts w:hint="eastAsia" w:ascii="新宋体" w:hAnsi="新宋体" w:eastAsia="新宋体" w:cs="新宋体"/>
                <w:i w:val="0"/>
                <w:iCs w:val="0"/>
                <w:color w:val="auto"/>
                <w:sz w:val="21"/>
                <w:szCs w:val="21"/>
                <w:highlight w:val="none"/>
                <w:u w:val="none"/>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5.配备6个配套的VR眼镜。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二、功能参数</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1.系统支持学习者根据学习目标或个人能力水平，自由选择仿真任务进行实训。</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2.虚拟仿真任务完成后，系统能够自动判错并及时给予任务操作反馈和指导。</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3.系统以VR终端一体机实现沉浸式体验，体验者佩戴头盔，手持手柄，通过手柄完成三维场景内的任务选择与仿真实训任务操作。</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4.系统中虚拟场景的布局严格参考《托儿所、幼儿园建筑设计规范》，教室布局与硬件配备等参考幼儿园实际情况进行设计和配备。</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5.VR虚拟仿真实训任务中应包含：主班老师、配班老师、保育员老师、多名幼儿和男女家长等不少于8个核心3D人物角色。角色应为三维建模模型，动作协调、逼真生动，形象、服装与仪容仪表等符合岗位规范。</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6.系统虚拟场景参照真实幼儿园布局，通过三维建模高度还原真实环境细节，帮助学生掌握幼儿园保教工作流程，通过沉浸式操作实现交互式体验。</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7.漫游模式下，用户可通过点击小地图跳转区域与房间进行漫游参观，也可以使用手柄自主漫游，每一个已开放的区域与房间均支持沉浸式虚拟游览。</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8.系统支持在场景漫游模式下切换不同节日。</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三、内容指标</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《幼儿保育VR仿真教学终端系统》至少包括场景漫游、环境创设、专项训练及虚拟仿真任务四大模块。</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1.场景漫游</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支持手柄操作练习和幼儿园场景漫游。</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虚拟仿真场景依托真实场景搭建。至少包含接待大厅、托大班、保健室、绘本室、小班、中班、大班、乐高教室等不少于12类室内区域。小班、中班、大班需包含盥洗室、睡眠室及幼儿活动室三部分。每个班级区角设置应不同，数量不少于5个。区角类别不少于8个（如植物角、科学区、蛋糕屋等）。区角内物品为三维建模，并具备差异性。</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提供不少于3类节日主题活动（如国庆节、爱眼日等），支持场景漫游与交互体验，交互点不少于15个，可自动或手动切换。交互点涵盖至少4方面：如握笔姿势指导、爱国主义教育、传统习俗等，体现不同节庆下的保育要点。</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2.环境创设：基于托大班，至少涵盖托大班环境安全与创设。</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3.专项训练：至少包含骨关节肌肉扭伤的应急处理、外伤出血的处理办法2个仿真任务。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4.虚拟仿真任务：对应幼儿保育专业介绍中，《幼儿生活照护》《幼儿安全照护》《幼儿健康照护》等专业核心课，至少提供20个仿真任务。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（1）环境设施消毒与管理：不少于8个仿真任务，如班级环境创设的原则、桌椅床的管理与摆放、空气消毒—开窗通风、毛巾的清洁与消毒、水杯的清洁与消毒等仿真实训任务。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（2）一日生活的组织与保育：不少于8个仿真任务，如晨间接待教师组织要点、如厕环节教师组织要点、饮水环节教师组织要点、餐前环节教师组织要点等仿真实训任务。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color w:val="auto"/>
                <w:sz w:val="21"/>
                <w:szCs w:val="21"/>
                <w:highlight w:val="none"/>
                <w:u w:val="none"/>
                <w:lang w:val="en-US" w:eastAsia="zh-CN" w:bidi="ar"/>
              </w:rPr>
              <w:t xml:space="preserve">（3）幼儿安全与健康照护：不少于4个仿真任务，如海姆立克急救法、热性惊厥患儿的紧急处理等仿真实训任务。</w:t>
            </w:r>
            <w:r>
              <w:rPr>
                <w:rFonts w:hint="eastAsia" w:ascii="新宋体" w:hAnsi="新宋体" w:eastAsia="新宋体" w:cs="新宋体"/>
                <w:i w:val="0"/>
                <w:iCs w:val="0"/>
                <w:color w:val="auto"/>
                <w:sz w:val="21"/>
                <w:szCs w:val="21"/>
                <w:highlight w:val="none"/>
                <w:u w:val="none"/>
                <w:lang w:val="en-US" w:eastAsia="zh-CN" w:bidi="ar"/>
              </w:rPr>
              <w:br/>
            </w:r>
            <w:r>
              <w:rPr>
                <w:rFonts w:hint="eastAsia" w:ascii="新宋体" w:hAnsi="新宋体" w:eastAsia="新宋体" w:cs="新宋体"/>
                <w:i w:val="0"/>
                <w:iCs w:val="0"/>
                <w:strike w:val="0"/>
                <w:color w:val="auto"/>
                <w:sz w:val="21"/>
                <w:szCs w:val="21"/>
                <w:highlight w:val="none"/>
                <w:u w:val="none"/>
                <w:lang w:val="en-US" w:eastAsia="zh-CN" w:bidi="ar"/>
              </w:rPr>
              <w:t xml:space="preserve">5.为保证产品质量，投标人需提供同类软件生产厂家的软件著作权证书。</w:t>
            </w:r>
            <w:r/>
          </w:p>
        </w:tc>
      </w:tr>
    </w:tbl>
    <w:p>
      <w:pPr>
        <w:numPr>
          <w:ilvl w:val="0"/>
          <w:numId w:val="0"/>
        </w:numPr>
        <w:ind w:left="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四、项目实施要求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结合</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实际情况，制定详细的系统实施方案，包括但不限于实施进度计划、实施体系、质量保障措施、安装调测方案。保证在合同规定时间内上线及上线系统的基本平稳</w:t>
      </w:r>
      <w:r>
        <w:rPr>
          <w:rFonts w:hint="eastAsia" w:ascii="宋体" w:hAnsi="宋体" w:eastAsia="宋体" w:cs="宋体"/>
          <w:bCs/>
          <w:color w:val="auto"/>
          <w:sz w:val="21"/>
          <w:szCs w:val="21"/>
          <w:highlight w:val="none"/>
          <w:lang w:eastAsia="zh-CN"/>
        </w:rPr>
        <w:t xml:space="preserve">。</w:t>
      </w:r>
      <w:r/>
    </w:p>
    <w:p>
      <w:pPr>
        <w:numPr>
          <w:ilvl w:val="0"/>
          <w:numId w:val="1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项目工期：合同签订后</w:t>
      </w:r>
      <w:r>
        <w:rPr>
          <w:rFonts w:hint="eastAsia" w:ascii="宋体" w:hAnsi="宋体" w:cs="宋体"/>
          <w:bCs/>
          <w:color w:val="auto"/>
          <w:sz w:val="21"/>
          <w:szCs w:val="21"/>
          <w:highlight w:val="none"/>
          <w:lang w:val="en-US" w:eastAsia="zh-CN"/>
        </w:rPr>
        <w:t xml:space="preserve">30</w:t>
      </w:r>
      <w:r>
        <w:rPr>
          <w:rFonts w:hint="eastAsia" w:ascii="宋体" w:hAnsi="宋体" w:eastAsia="宋体" w:cs="宋体"/>
          <w:bCs/>
          <w:color w:val="auto"/>
          <w:sz w:val="21"/>
          <w:szCs w:val="21"/>
          <w:highlight w:val="none"/>
          <w:lang w:val="en-US" w:eastAsia="zh-CN"/>
        </w:rPr>
        <w:t xml:space="preserve">日历天内</w:t>
      </w:r>
      <w:r>
        <w:rPr>
          <w:rFonts w:hint="eastAsia" w:ascii="宋体" w:hAnsi="宋体" w:cs="宋体"/>
          <w:bCs/>
          <w:color w:val="auto"/>
          <w:sz w:val="21"/>
          <w:szCs w:val="21"/>
          <w:highlight w:val="none"/>
          <w:lang w:val="en-US" w:eastAsia="zh-CN"/>
        </w:rPr>
        <w:t xml:space="preserve">完成</w:t>
      </w:r>
      <w:r/>
    </w:p>
    <w:p>
      <w:pPr>
        <w:numPr>
          <w:ilvl w:val="0"/>
          <w:numId w:val="1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实施体系</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w:t>
      </w:r>
      <w:r>
        <w:rPr>
          <w:rFonts w:hint="eastAsia" w:ascii="宋体" w:hAnsi="宋体" w:eastAsia="宋体" w:cs="宋体"/>
          <w:color w:val="auto"/>
          <w:sz w:val="21"/>
          <w:szCs w:val="21"/>
          <w:highlight w:val="none"/>
        </w:rPr>
        <w:t xml:space="preserve">标人</w:t>
      </w:r>
      <w:r>
        <w:rPr>
          <w:rFonts w:hint="eastAsia" w:ascii="宋体" w:hAnsi="宋体" w:eastAsia="宋体" w:cs="宋体"/>
          <w:color w:val="auto"/>
          <w:sz w:val="21"/>
          <w:szCs w:val="21"/>
          <w:highlight w:val="none"/>
          <w:lang w:val="en-US" w:eastAsia="zh-CN"/>
        </w:rPr>
        <w:t xml:space="preserve">应具备专业的实施管理体系，并</w:t>
      </w:r>
      <w:r>
        <w:rPr>
          <w:rFonts w:hint="eastAsia" w:ascii="宋体" w:hAnsi="宋体" w:eastAsia="宋体" w:cs="宋体"/>
          <w:color w:val="auto"/>
          <w:sz w:val="21"/>
          <w:szCs w:val="21"/>
          <w:highlight w:val="none"/>
        </w:rPr>
        <w:t xml:space="preserve">为本项目组建专业实施团队，专业分配合理，至少包括项目经理、技术负责人、设备安装、安全保障等</w:t>
      </w: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rPr>
        <w:t xml:space="preserve">人员</w:t>
      </w:r>
      <w:r>
        <w:rPr>
          <w:rFonts w:hint="eastAsia" w:ascii="宋体" w:hAnsi="宋体" w:eastAsia="宋体" w:cs="宋体"/>
          <w:color w:val="auto"/>
          <w:sz w:val="21"/>
          <w:szCs w:val="21"/>
          <w:highlight w:val="none"/>
          <w:lang w:eastAsia="zh-CN"/>
        </w:rPr>
        <w:t xml:space="preserve">。</w:t>
      </w:r>
      <w:r/>
    </w:p>
    <w:p>
      <w:pPr>
        <w:numPr>
          <w:ilvl w:val="0"/>
          <w:numId w:val="1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质量保障</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为保障项目顺利实施，投标人需要提供项目质量保障措施，确保最终项目满足产品需求并遵循系统设计，以保障交付给</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的是完整、稳定、可靠的产品</w:t>
      </w:r>
      <w:r>
        <w:rPr>
          <w:rFonts w:hint="eastAsia" w:ascii="宋体" w:hAnsi="宋体" w:eastAsia="宋体" w:cs="宋体"/>
          <w:color w:val="auto"/>
          <w:sz w:val="21"/>
          <w:szCs w:val="21"/>
          <w:highlight w:val="none"/>
          <w:lang w:eastAsia="zh-CN"/>
        </w:rPr>
        <w:t xml:space="preserve">。</w:t>
      </w:r>
      <w:r/>
    </w:p>
    <w:p>
      <w:pPr>
        <w:numPr>
          <w:ilvl w:val="0"/>
          <w:numId w:val="1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安装调测方案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投标人需制定详细的系统调试和验收方案，内容包括不限于调试内容、方法、验收标准等</w:t>
      </w:r>
      <w:r>
        <w:rPr>
          <w:rFonts w:hint="eastAsia" w:ascii="宋体" w:hAnsi="宋体" w:eastAsia="宋体" w:cs="宋体"/>
          <w:bCs/>
          <w:color w:val="auto"/>
          <w:sz w:val="21"/>
          <w:szCs w:val="21"/>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五、售后服务要求</w:t>
      </w:r>
      <w:r/>
    </w:p>
    <w:p>
      <w:pPr>
        <w:numPr>
          <w:ilvl w:val="0"/>
          <w:numId w:val="0"/>
        </w:numPr>
        <w:ind w:left="0"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1、项目质保期：</w:t>
      </w:r>
      <w:r>
        <w:rPr>
          <w:rFonts w:hint="eastAsia" w:ascii="宋体" w:hAnsi="宋体" w:eastAsia="宋体" w:cs="宋体"/>
          <w:bCs/>
          <w:color w:val="auto"/>
          <w:sz w:val="21"/>
          <w:szCs w:val="21"/>
          <w:highlight w:val="none"/>
        </w:rPr>
        <w:t xml:space="preserve">提供自验收合格之日起</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lang w:val="en-US" w:eastAsia="zh-CN"/>
        </w:rPr>
        <w:t xml:space="preserve">硬件的</w:t>
      </w:r>
      <w:r>
        <w:rPr>
          <w:rFonts w:hint="eastAsia" w:ascii="宋体" w:hAnsi="宋体" w:eastAsia="宋体" w:cs="宋体"/>
          <w:bCs/>
          <w:color w:val="auto"/>
          <w:sz w:val="21"/>
          <w:szCs w:val="21"/>
          <w:highlight w:val="none"/>
        </w:rPr>
        <w:t xml:space="preserve">免费质保与技术支持</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软件的终身免费质保与技术支持。</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2、服务体系：投标人应具备完善的售后服务体系，在项目质保期内提供全方位技术支持。</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3、服务响应要求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质保期内，对采购人提出的合理服务要求，投标人须即时进行电话、邮件及远程网络支持，并在2小时内到场服务。如不到场，采购人有权自行处理，相关费用由投标人负责</w:t>
      </w:r>
      <w:r>
        <w:rPr>
          <w:rFonts w:hint="eastAsia" w:ascii="宋体" w:hAnsi="宋体" w:eastAsia="宋体" w:cs="宋体"/>
          <w:bCs/>
          <w:color w:val="auto"/>
          <w:sz w:val="21"/>
          <w:szCs w:val="21"/>
          <w:highlight w:val="none"/>
          <w:lang w:eastAsia="zh-CN"/>
        </w:rPr>
        <w:t xml:space="preserve">。</w:t>
      </w:r>
      <w:r/>
    </w:p>
    <w:p>
      <w:pPr>
        <w:numPr>
          <w:ilvl w:val="0"/>
          <w:numId w:val="0"/>
        </w:numPr>
        <w:ind w:left="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4、售后服务内容要求</w:t>
      </w:r>
      <w:r/>
    </w:p>
    <w:p>
      <w:pPr>
        <w:numPr>
          <w:ilvl w:val="0"/>
          <w:numId w:val="11"/>
        </w:numPr>
        <w:ind w:left="0"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在项目质保期内，中标人需免费负责系统软、硬件的安装、运行、维护和升级服务，对系统运行进行定期巡检，根据巡检情况进行系统分析和优化。</w:t>
      </w:r>
      <w:r/>
    </w:p>
    <w:p>
      <w:pPr>
        <w:numPr>
          <w:ilvl w:val="0"/>
          <w:numId w:val="11"/>
        </w:numPr>
        <w:ind w:left="0"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在项目质保期内，中标人需负责对其提供的硬件设备、软件系统进行现场维修服务，不收取额外费用。系统和设备由于实施质量或产品本身质量原因造成的损伤或损坏，中标人须免费修理或更换，由此产生的费用由中标人承担。</w:t>
      </w:r>
      <w:r/>
    </w:p>
    <w:p>
      <w:pPr>
        <w:numPr>
          <w:ilvl w:val="0"/>
          <w:numId w:val="11"/>
        </w:numPr>
        <w:ind w:left="0"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中标人需承诺中标后提供婴幼儿智能照护实训台和智能仿真婴儿的原厂质保函。</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5、运维及应急响应服务</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投标人应具备成熟的应急响应服务体系</w:t>
      </w:r>
      <w:r>
        <w:rPr>
          <w:rFonts w:hint="eastAsia" w:ascii="宋体" w:hAnsi="宋体" w:eastAsia="宋体" w:cs="宋体"/>
          <w:color w:val="auto"/>
          <w:sz w:val="21"/>
          <w:szCs w:val="21"/>
          <w:highlight w:val="none"/>
          <w:lang w:val="en-US" w:eastAsia="zh-CN"/>
        </w:rPr>
        <w:t xml:space="preserve">，能针对系统出现的突发情况给予技术支持和应急响应服务，并提供针对重大节日活动、会议期间的技术保障。</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（2）应急响应时间：全年7×24小时。</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（3）响应方式：远程支持或现场支持。远程支持可以采用电话、E-mail，远程加密登录等方式。当远程支持无法解决问题时，中标人需派遣专业的紧急响应服务人员在第一时间到达现场提供服务。</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六、培训服务</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投标人需根据项目相关交付内容提供有针对性的培训方案，包括但不限于培训计划、培训方式、培训对象、培训内容等。</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培训的具体时间根据采购人要求进行。培训场地应可以提供系统运行所需网络环境进行实操学习</w:t>
      </w:r>
      <w:r>
        <w:rPr>
          <w:rFonts w:hint="eastAsia" w:ascii="宋体" w:hAnsi="宋体" w:eastAsia="宋体" w:cs="宋体"/>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投标人为所有被培训人员提供培训使用的教材讲义、操作指南等相关材料</w:t>
      </w:r>
      <w:r>
        <w:rPr>
          <w:rFonts w:hint="eastAsia" w:ascii="宋体" w:hAnsi="宋体" w:eastAsia="宋体" w:cs="宋体"/>
          <w:bCs/>
          <w:color w:val="auto"/>
          <w:sz w:val="21"/>
          <w:szCs w:val="21"/>
          <w:highlight w:val="none"/>
          <w:lang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七、报价说明</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投标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2、投标人的任何错漏、优惠、竞争性报价不得作为减轻责任、减少服务、增加收费、降低服务质量的理由。</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3、投标人报价除包含招标文件中列明的项目外还应包括保障服务正常运行应当具有的物资和服务，对项目正常运行应当具有的物资和服务理解不一致的以采购人理解为准。</w:t>
      </w:r>
      <w:r/>
    </w:p>
    <w:p>
      <w:pPr>
        <w:pStyle w:val="1134"/>
        <w:ind w:left="0" w:firstLine="420"/>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br w:type="page" w:clear="all"/>
      </w:r>
      <w:bookmarkEnd w:id="29"/>
      <w:r/>
      <w:r/>
    </w:p>
    <w:p>
      <w:pPr>
        <w:pStyle w:val="1134"/>
        <w:ind w:left="0" w:firstLine="0"/>
        <w:jc w:val="center"/>
        <w:keepLines w:val="0"/>
        <w:keepNext w:val="0"/>
        <w:pageBreakBefore w:val="0"/>
        <w:spacing w:line="360" w:lineRule="auto"/>
        <w:widowControl w:val="off"/>
        <w:rPr>
          <w:rFonts w:ascii="宋体" w:hAnsi="宋体"/>
          <w:color w:val="auto"/>
          <w:highlight w:val="none"/>
        </w:rPr>
        <w:outlineLvl w:val="0"/>
      </w:pPr>
      <w:r/>
      <w:bookmarkStart w:id="30" w:name="_Toc497133123"/>
      <w:r>
        <w:rPr>
          <w:rFonts w:hint="eastAsia" w:ascii="宋体" w:hAnsi="宋体"/>
          <w:b/>
          <w:bCs/>
          <w:color w:val="auto"/>
          <w:sz w:val="36"/>
          <w:highlight w:val="none"/>
        </w:rPr>
        <w:t xml:space="preserve">第五章 评标方法及评标标准</w:t>
      </w:r>
      <w:r/>
    </w:p>
    <w:p>
      <w:pPr>
        <w:pStyle w:val="1135"/>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bookmarkStart w:id="31" w:name="_Toc449016388"/>
      <w:r/>
      <w:bookmarkStart w:id="32" w:name="_Toc449017024"/>
      <w:r>
        <w:rPr>
          <w:rFonts w:hint="eastAsia" w:ascii="宋体" w:hAnsi="宋体"/>
          <w:b/>
          <w:color w:val="auto"/>
          <w:szCs w:val="21"/>
          <w:highlight w:val="none"/>
        </w:rPr>
        <w:t xml:space="preserve">二、政府采购政策功能落实</w:t>
      </w:r>
      <w:bookmarkEnd w:id="31"/>
      <w:r/>
      <w:bookmarkEnd w:id="32"/>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%的扣除价格，用扣除后的价格参与评审。</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35"/>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 </w:t>
      </w:r>
      <w:r/>
    </w:p>
    <w:p>
      <w:pPr>
        <w:pStyle w:val="113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%价格扣除，用扣除后的价格参与评审。</w:t>
      </w:r>
      <w:r/>
    </w:p>
    <w:p>
      <w:pPr>
        <w:pStyle w:val="1135"/>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大中型企业向小型、微型企业分包的，分包意向协议约定小型、微型企业合同份额占到合同总金额30%以上的，给予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w:t>
      </w:r>
      <w:r>
        <w:rPr>
          <w:rFonts w:hint="eastAsia" w:ascii="宋体" w:hAnsi="宋体" w:eastAsia="宋体" w:cs="宋体"/>
          <w:color w:val="auto"/>
          <w:szCs w:val="21"/>
          <w:highlight w:val="none"/>
        </w:rPr>
        <w:t xml:space="preserve">的价格扣除</w:t>
      </w:r>
      <w:bookmarkStart w:id="40" w:name="_GoBack"/>
      <w:r/>
      <w:bookmarkEnd w:id="40"/>
      <w:r>
        <w:rPr>
          <w:rFonts w:hint="eastAsia" w:ascii="宋体" w:hAnsi="宋体" w:eastAsia="宋体" w:cs="宋体"/>
          <w:color w:val="auto"/>
          <w:szCs w:val="21"/>
          <w:highlight w:val="none"/>
        </w:rPr>
        <w:t xml:space="preserve">，用扣除后的价格参与评审。</w:t>
      </w:r>
      <w:r/>
    </w:p>
    <w:p>
      <w:pPr>
        <w:pStyle w:val="1135"/>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采购本国产品的支持政策</w:t>
      </w:r>
      <w:r/>
    </w:p>
    <w:p>
      <w:pPr>
        <w:pStyle w:val="1135"/>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本项目政府采购活动中既有本国产品又有非本国产品参与竞争的，依法对本国产品给予价格评审优惠，对本国产品的报价给予 20%的价格扣除，用扣除后的价格参与评审。</w:t>
      </w:r>
      <w:r/>
    </w:p>
    <w:p>
      <w:pPr>
        <w:pStyle w:val="1135"/>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5"/>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供应商需按照招标文件的要求提供《关于符合本国产品标准的声明函》（以下简称《声明函》），如不提供将不享受本国产品价格评审优惠。</w:t>
      </w:r>
      <w:r/>
    </w:p>
    <w:p>
      <w:pPr>
        <w:pStyle w:val="1135"/>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35"/>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35"/>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bookmarkEnd w:id="30"/>
      <w:r/>
      <w:r/>
    </w:p>
    <w:tbl>
      <w:tblPr>
        <w:tblStyle w:val="820"/>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6"/>
        <w:gridCol w:w="6644"/>
        <w:gridCol w:w="726"/>
      </w:tblGrid>
      <w:tr>
        <w:trPr>
          <w:jc w:val="center"/>
          <w:trHeight w:val="567"/>
        </w:trPr>
        <w:tc>
          <w:tcPr>
            <w:shd w:val="clear" w:color="auto" w:fill="auto"/>
            <w:tcW w:w="579" w:type="pct"/>
            <w:vAlign w:val="center"/>
            <w:textDirection w:val="lrTb"/>
            <w:noWrap/>
          </w:tcPr>
          <w:p>
            <w:pPr>
              <w:jc w:val="center"/>
              <w:keepLines w:val="0"/>
              <w:keepNext w:val="0"/>
              <w:pageBreakBefore w:val="0"/>
              <w:spacing w:line="300"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评分项目</w:t>
            </w:r>
            <w:r/>
          </w:p>
        </w:tc>
        <w:tc>
          <w:tcPr>
            <w:shd w:val="clear" w:color="auto" w:fill="auto"/>
            <w:tcW w:w="3985" w:type="pct"/>
            <w:vAlign w:val="center"/>
            <w:textDirection w:val="lrTb"/>
            <w:noWrap/>
          </w:tcPr>
          <w:p>
            <w:pPr>
              <w:jc w:val="center"/>
              <w:keepLines w:val="0"/>
              <w:keepNext w:val="0"/>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评分标准</w:t>
            </w:r>
            <w:r/>
          </w:p>
        </w:tc>
        <w:tc>
          <w:tcPr>
            <w:shd w:val="clear" w:color="auto" w:fill="auto"/>
            <w:tcW w:w="435" w:type="pct"/>
            <w:vAlign w:val="center"/>
            <w:textDirection w:val="lrTb"/>
            <w:noWrap/>
          </w:tcPr>
          <w:p>
            <w:pPr>
              <w:jc w:val="center"/>
              <w:keepLines w:val="0"/>
              <w:keepNext w:val="0"/>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分值</w:t>
            </w:r>
            <w:r/>
          </w:p>
        </w:tc>
      </w:tr>
      <w:tr>
        <w:trPr>
          <w:jc w:val="center"/>
          <w:trHeight w:val="567"/>
        </w:trPr>
        <w:tc>
          <w:tcPr>
            <w:shd w:val="clear" w:color="auto" w:fill="auto"/>
            <w:tcW w:w="579" w:type="pct"/>
            <w:vAlign w:val="center"/>
            <w:textDirection w:val="lrTb"/>
            <w:noWrap/>
          </w:tcPr>
          <w:p>
            <w:pPr>
              <w:jc w:val="cente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投标报价</w:t>
            </w:r>
            <w:r/>
          </w:p>
        </w:tc>
        <w:tc>
          <w:tcPr>
            <w:shd w:val="clear" w:color="auto" w:fill="auto"/>
            <w:tcW w:w="3985" w:type="pct"/>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投标基准价：满足投标文件要求且价格最低的最终报价为投标基准价，投标基准价为满分30分。其他投标人的报价得分按照下列公式计算：投标报价得分=（投标基准价/最终报价）×30</w:t>
            </w:r>
            <w:r>
              <w:rPr>
                <w:rFonts w:hint="eastAsia" w:ascii="宋体" w:hAnsi="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得分保留至小数点后两位，四舍五入。</w:t>
            </w:r>
            <w:r/>
          </w:p>
        </w:tc>
        <w:tc>
          <w:tcPr>
            <w:shd w:val="clear" w:color="auto" w:fill="auto"/>
            <w:tcW w:w="435" w:type="pct"/>
            <w:vAlign w:val="center"/>
            <w:textDirection w:val="lrTb"/>
            <w:noWrap/>
          </w:tcPr>
          <w:p>
            <w:pPr>
              <w:jc w:val="cente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r>
      <w:tr>
        <w:trPr>
          <w:jc w:val="center"/>
          <w:trHeight w:val="567"/>
        </w:trPr>
        <w:tc>
          <w:tcPr>
            <w:shd w:val="clear" w:color="auto" w:fill="auto"/>
            <w:tcW w:w="579" w:type="pct"/>
            <w:vAlign w:val="center"/>
            <w:textDirection w:val="lrTb"/>
            <w:noWrap w:val="false"/>
          </w:tcPr>
          <w:p>
            <w:pPr>
              <w:jc w:val="cente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业绩</w:t>
            </w:r>
            <w:r/>
          </w:p>
        </w:tc>
        <w:tc>
          <w:tcPr>
            <w:shd w:val="clear" w:color="auto" w:fill="auto"/>
            <w:tcW w:w="3985" w:type="pct"/>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自 202</w:t>
            </w:r>
            <w:r>
              <w:rPr>
                <w:rFonts w:hint="eastAsia" w:ascii="宋体" w:hAnsi="宋体" w:eastAsia="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年1月1日至今</w:t>
            </w:r>
            <w:r>
              <w:rPr>
                <w:rFonts w:hint="eastAsia" w:ascii="宋体" w:hAnsi="宋体" w:cs="宋体"/>
                <w:color w:val="auto"/>
                <w:sz w:val="22"/>
                <w:szCs w:val="22"/>
                <w:highlight w:val="none"/>
                <w:lang w:val="en-US" w:eastAsia="zh-CN" w:bidi="ar"/>
              </w:rPr>
              <w:t xml:space="preserve">投标人</w:t>
            </w:r>
            <w:r>
              <w:rPr>
                <w:rFonts w:hint="eastAsia" w:ascii="宋体" w:hAnsi="宋体" w:eastAsia="宋体" w:cs="宋体"/>
                <w:color w:val="auto"/>
                <w:sz w:val="22"/>
                <w:szCs w:val="22"/>
                <w:highlight w:val="none"/>
                <w:lang w:bidi="ar"/>
              </w:rPr>
              <w:t xml:space="preserve">已承揽的</w:t>
            </w:r>
            <w:r>
              <w:rPr>
                <w:rFonts w:hint="eastAsia" w:ascii="宋体" w:hAnsi="宋体" w:cs="宋体"/>
                <w:color w:val="auto"/>
                <w:sz w:val="22"/>
                <w:szCs w:val="22"/>
                <w:highlight w:val="none"/>
                <w:lang w:val="en-US" w:eastAsia="zh-CN" w:bidi="ar"/>
              </w:rPr>
              <w:t xml:space="preserve">类似</w:t>
            </w:r>
            <w:r>
              <w:rPr>
                <w:rFonts w:hint="eastAsia" w:ascii="宋体" w:hAnsi="宋体" w:eastAsia="宋体" w:cs="宋体"/>
                <w:color w:val="auto"/>
                <w:sz w:val="22"/>
                <w:szCs w:val="22"/>
                <w:highlight w:val="none"/>
                <w:lang w:bidi="ar"/>
              </w:rPr>
              <w:t xml:space="preserve">项目</w:t>
            </w:r>
            <w:r>
              <w:rPr>
                <w:rFonts w:hint="eastAsia" w:ascii="宋体" w:hAnsi="宋体" w:cs="宋体"/>
                <w:color w:val="auto"/>
                <w:sz w:val="22"/>
                <w:szCs w:val="22"/>
                <w:highlight w:val="none"/>
                <w:lang w:val="en-US" w:eastAsia="zh-CN" w:bidi="ar"/>
              </w:rPr>
              <w:t xml:space="preserve">业绩</w:t>
            </w:r>
            <w:r>
              <w:rPr>
                <w:rFonts w:hint="eastAsia" w:ascii="宋体" w:hAnsi="宋体" w:eastAsia="宋体" w:cs="宋体"/>
                <w:color w:val="auto"/>
                <w:sz w:val="22"/>
                <w:szCs w:val="22"/>
                <w:highlight w:val="none"/>
                <w:lang w:bidi="ar"/>
              </w:rPr>
              <w:t xml:space="preserve">，每份得2分，满分</w:t>
            </w: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p>
            <w:pPr>
              <w:jc w:val="left"/>
              <w:keepLines w:val="0"/>
              <w:keepNext w:val="0"/>
              <w:pageBreakBefore w:val="0"/>
              <w:spacing w:line="30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注：1、</w:t>
            </w:r>
            <w:r>
              <w:rPr>
                <w:rFonts w:hint="eastAsia" w:ascii="宋体" w:hAnsi="宋体" w:cs="宋体"/>
                <w:color w:val="auto"/>
                <w:sz w:val="22"/>
                <w:szCs w:val="22"/>
                <w:highlight w:val="none"/>
                <w:lang w:val="en-US" w:eastAsia="zh-CN" w:bidi="ar"/>
              </w:rPr>
              <w:t xml:space="preserve">类似</w:t>
            </w:r>
            <w:r>
              <w:rPr>
                <w:rFonts w:hint="eastAsia" w:ascii="宋体" w:hAnsi="宋体" w:eastAsia="宋体" w:cs="宋体"/>
                <w:color w:val="auto"/>
                <w:sz w:val="22"/>
                <w:szCs w:val="22"/>
                <w:highlight w:val="none"/>
                <w:lang w:val="en-US" w:eastAsia="zh-CN" w:bidi="ar"/>
              </w:rPr>
              <w:t xml:space="preserve">项目认定方式以合同内包含</w:t>
            </w:r>
            <w:r>
              <w:rPr>
                <w:rFonts w:hint="eastAsia" w:ascii="宋体" w:hAnsi="宋体" w:cs="宋体"/>
                <w:color w:val="auto"/>
                <w:sz w:val="22"/>
                <w:szCs w:val="22"/>
                <w:highlight w:val="none"/>
                <w:lang w:val="en-US" w:eastAsia="zh-CN" w:bidi="ar"/>
              </w:rPr>
              <w:t xml:space="preserve">核心产品</w:t>
            </w:r>
            <w:r>
              <w:rPr>
                <w:rFonts w:hint="eastAsia" w:ascii="宋体" w:hAnsi="宋体" w:eastAsia="宋体" w:cs="宋体"/>
                <w:color w:val="auto"/>
                <w:sz w:val="22"/>
                <w:szCs w:val="22"/>
                <w:highlight w:val="none"/>
                <w:lang w:val="en-US" w:eastAsia="zh-CN" w:bidi="ar"/>
              </w:rPr>
              <w:t xml:space="preserve">或</w:t>
            </w:r>
            <w:r>
              <w:rPr>
                <w:rFonts w:hint="eastAsia" w:ascii="宋体" w:hAnsi="宋体" w:cs="宋体"/>
                <w:color w:val="auto"/>
                <w:sz w:val="22"/>
                <w:szCs w:val="22"/>
                <w:highlight w:val="none"/>
                <w:lang w:val="en-US" w:eastAsia="zh-CN" w:bidi="ar"/>
              </w:rPr>
              <w:t xml:space="preserve">相关</w:t>
            </w:r>
            <w:r>
              <w:rPr>
                <w:rFonts w:hint="eastAsia" w:ascii="宋体" w:hAnsi="宋体" w:eastAsia="宋体" w:cs="宋体"/>
                <w:color w:val="auto"/>
                <w:sz w:val="22"/>
                <w:szCs w:val="22"/>
                <w:highlight w:val="none"/>
                <w:lang w:val="en-US" w:eastAsia="zh-CN" w:bidi="ar"/>
              </w:rPr>
              <w:t xml:space="preserve">软件为准</w:t>
            </w:r>
            <w:r>
              <w:rPr>
                <w:rFonts w:hint="eastAsia" w:ascii="宋体" w:hAnsi="宋体" w:eastAsia="宋体" w:cs="宋体"/>
                <w:color w:val="auto"/>
                <w:sz w:val="22"/>
                <w:szCs w:val="22"/>
                <w:highlight w:val="none"/>
                <w:lang w:bidi="ar"/>
              </w:rPr>
              <w:t xml:space="preserve">。</w:t>
            </w:r>
            <w:r/>
          </w:p>
          <w:p>
            <w:pPr>
              <w:jc w:val="left"/>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rPr>
                <w:rFonts w:hint="eastAsia" w:ascii="宋体" w:hAnsi="宋体" w:cs="宋体"/>
                <w:color w:val="auto"/>
                <w:sz w:val="22"/>
                <w:szCs w:val="22"/>
                <w:highlight w:val="none"/>
                <w:lang w:val="en-US" w:eastAsia="zh-CN" w:bidi="ar"/>
              </w:rPr>
              <w:t xml:space="preserve">类似</w:t>
            </w:r>
            <w:r>
              <w:rPr>
                <w:rFonts w:hint="eastAsia" w:ascii="宋体" w:hAnsi="宋体" w:eastAsia="宋体" w:cs="宋体"/>
                <w:color w:val="auto"/>
                <w:sz w:val="22"/>
                <w:szCs w:val="22"/>
                <w:highlight w:val="none"/>
                <w:lang w:bidi="ar"/>
              </w:rPr>
              <w:t xml:space="preserve">项目认定时间以合同签署时间为准。</w:t>
            </w:r>
            <w:r/>
          </w:p>
        </w:tc>
        <w:tc>
          <w:tcPr>
            <w:shd w:val="clear" w:color="auto" w:fill="auto"/>
            <w:tcW w:w="435" w:type="pct"/>
            <w:vAlign w:val="center"/>
            <w:textDirection w:val="lrTb"/>
            <w:noWrap/>
          </w:tcPr>
          <w:p>
            <w:pPr>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r>
      <w:tr>
        <w:trPr>
          <w:jc w:val="center"/>
          <w:trHeight w:val="567"/>
        </w:trPr>
        <w:tc>
          <w:tcPr>
            <w:shd w:val="clear" w:color="auto" w:fill="auto"/>
            <w:tcW w:w="579" w:type="pct"/>
            <w:vAlign w:val="center"/>
            <w:textDirection w:val="lrTb"/>
            <w:noWrap/>
          </w:tcPr>
          <w:p>
            <w:pPr>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bidi="ar"/>
              </w:rPr>
              <w:t xml:space="preserve">技术</w:t>
            </w:r>
            <w:r>
              <w:rPr>
                <w:rFonts w:hint="eastAsia" w:ascii="宋体" w:hAnsi="宋体" w:eastAsia="宋体" w:cs="宋体"/>
                <w:color w:val="auto"/>
                <w:sz w:val="22"/>
                <w:szCs w:val="22"/>
                <w:highlight w:val="none"/>
                <w:lang w:val="en-US" w:eastAsia="zh-CN" w:bidi="ar"/>
              </w:rPr>
              <w:t xml:space="preserve">响应情况</w:t>
            </w:r>
            <w:r/>
          </w:p>
        </w:tc>
        <w:tc>
          <w:tcPr>
            <w:shd w:val="clear" w:color="auto" w:fill="auto"/>
            <w:tcW w:w="3985" w:type="pct"/>
            <w:vAlign w:val="center"/>
            <w:textDirection w:val="lrTb"/>
            <w:noWrap/>
          </w:tcPr>
          <w:p>
            <w:pPr>
              <w:keepLines w:val="0"/>
              <w:keepNext w:val="0"/>
              <w:pageBreakBefore w:val="0"/>
              <w:spacing w:line="30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技术参数：</w:t>
            </w:r>
            <w:r/>
          </w:p>
          <w:p>
            <w:p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评标委员会根据</w:t>
            </w:r>
            <w:r>
              <w:rPr>
                <w:rFonts w:hint="eastAsia" w:ascii="宋体" w:hAnsi="宋体" w:eastAsia="宋体" w:cs="宋体"/>
                <w:color w:val="auto"/>
                <w:sz w:val="22"/>
                <w:szCs w:val="22"/>
                <w:highlight w:val="none"/>
                <w:lang w:val="en-US" w:eastAsia="zh-CN"/>
              </w:rPr>
              <w:t xml:space="preserve">采购</w:t>
            </w:r>
            <w:r>
              <w:rPr>
                <w:rFonts w:hint="eastAsia" w:ascii="宋体" w:hAnsi="宋体" w:eastAsia="宋体" w:cs="宋体"/>
                <w:color w:val="auto"/>
                <w:sz w:val="22"/>
                <w:szCs w:val="22"/>
                <w:highlight w:val="none"/>
              </w:rPr>
              <w:t xml:space="preserve">文件要求的技术响应</w:t>
            </w:r>
            <w:r>
              <w:rPr>
                <w:rFonts w:hint="eastAsia" w:ascii="宋体" w:hAnsi="宋体" w:eastAsia="宋体" w:cs="宋体"/>
                <w:color w:val="auto"/>
                <w:sz w:val="22"/>
                <w:szCs w:val="22"/>
                <w:highlight w:val="none"/>
                <w:lang w:val="en-US" w:eastAsia="zh-CN"/>
              </w:rPr>
              <w:t xml:space="preserve">指标</w:t>
            </w:r>
            <w:r>
              <w:rPr>
                <w:rFonts w:hint="eastAsia" w:ascii="宋体" w:hAnsi="宋体" w:eastAsia="宋体" w:cs="宋体"/>
                <w:color w:val="auto"/>
                <w:sz w:val="22"/>
                <w:szCs w:val="22"/>
                <w:highlight w:val="none"/>
              </w:rPr>
              <w:t xml:space="preserve">来进</w:t>
            </w:r>
            <w:r>
              <w:rPr>
                <w:rFonts w:hint="eastAsia" w:ascii="宋体" w:hAnsi="宋体" w:eastAsia="宋体" w:cs="宋体"/>
                <w:color w:val="auto"/>
                <w:sz w:val="22"/>
                <w:szCs w:val="22"/>
                <w:highlight w:val="none"/>
                <w:lang w:val="en-US" w:eastAsia="zh-CN"/>
              </w:rPr>
              <w:t xml:space="preserve">行评审；</w:t>
            </w:r>
            <w:r/>
          </w:p>
          <w:p>
            <w:p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全部满足技术</w:t>
            </w:r>
            <w:r>
              <w:rPr>
                <w:rFonts w:hint="eastAsia" w:ascii="宋体" w:hAnsi="宋体" w:eastAsia="宋体" w:cs="宋体"/>
                <w:color w:val="auto"/>
                <w:sz w:val="22"/>
                <w:szCs w:val="22"/>
                <w:highlight w:val="none"/>
                <w:lang w:val="en-US" w:eastAsia="zh-CN"/>
              </w:rPr>
              <w:t xml:space="preserve">参数</w:t>
            </w:r>
            <w:r>
              <w:rPr>
                <w:rFonts w:hint="eastAsia" w:ascii="宋体" w:hAnsi="宋体" w:eastAsia="宋体" w:cs="宋体"/>
                <w:color w:val="auto"/>
                <w:sz w:val="22"/>
                <w:szCs w:val="22"/>
                <w:highlight w:val="none"/>
              </w:rPr>
              <w:t xml:space="preserve">指标的，得基础分</w:t>
            </w:r>
            <w:r>
              <w:rPr>
                <w:rFonts w:hint="eastAsia" w:ascii="宋体" w:hAnsi="宋体" w:cs="宋体"/>
                <w:color w:val="auto"/>
                <w:sz w:val="22"/>
                <w:szCs w:val="22"/>
                <w:highlight w:val="none"/>
                <w:lang w:val="en-US" w:eastAsia="zh-CN"/>
              </w:rPr>
              <w:t xml:space="preserve">28</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w:t>
            </w:r>
            <w:r/>
          </w:p>
          <w:p>
            <w:pPr>
              <w:keepLines w:val="0"/>
              <w:keepNext w:val="0"/>
              <w:pageBreakBefore w:val="0"/>
              <w:spacing w:line="30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标记“▲”的</w:t>
            </w:r>
            <w:r>
              <w:rPr>
                <w:rFonts w:hint="eastAsia" w:ascii="宋体" w:hAnsi="宋体" w:eastAsia="宋体" w:cs="宋体"/>
                <w:color w:val="auto"/>
                <w:sz w:val="22"/>
                <w:szCs w:val="22"/>
                <w:highlight w:val="none"/>
              </w:rPr>
              <w:t xml:space="preserve">参数为重要技术参数，</w:t>
            </w:r>
            <w:r>
              <w:rPr>
                <w:rFonts w:hint="eastAsia" w:ascii="宋体" w:hAnsi="宋体" w:cs="宋体"/>
                <w:color w:val="auto"/>
                <w:sz w:val="22"/>
                <w:szCs w:val="22"/>
                <w:highlight w:val="none"/>
                <w:lang w:val="en-US" w:eastAsia="zh-CN"/>
              </w:rPr>
              <w:t xml:space="preserve">全部满足得25分，</w:t>
            </w:r>
            <w:r>
              <w:rPr>
                <w:rFonts w:hint="eastAsia" w:ascii="宋体" w:hAnsi="宋体" w:eastAsia="宋体" w:cs="宋体"/>
                <w:color w:val="auto"/>
                <w:sz w:val="22"/>
                <w:szCs w:val="22"/>
                <w:highlight w:val="none"/>
              </w:rPr>
              <w:t xml:space="preserve">每有</w:t>
            </w:r>
            <w:r>
              <w:rPr>
                <w:rFonts w:hint="eastAsia" w:ascii="宋体" w:hAnsi="宋体" w:eastAsia="宋体" w:cs="宋体"/>
                <w:color w:val="auto"/>
                <w:sz w:val="22"/>
                <w:szCs w:val="22"/>
                <w:highlight w:val="none"/>
                <w:lang w:val="zh-CN"/>
              </w:rPr>
              <w:t xml:space="preserve">一项</w:t>
            </w:r>
            <w:r>
              <w:rPr>
                <w:rFonts w:hint="eastAsia" w:ascii="宋体" w:hAnsi="宋体" w:eastAsia="宋体" w:cs="宋体"/>
                <w:color w:val="auto"/>
                <w:sz w:val="22"/>
                <w:szCs w:val="22"/>
                <w:highlight w:val="none"/>
                <w:lang w:val="en-US" w:eastAsia="zh-CN"/>
              </w:rPr>
              <w:t xml:space="preserve">不满足</w:t>
            </w:r>
            <w:r>
              <w:rPr>
                <w:rFonts w:hint="eastAsia" w:ascii="宋体" w:hAnsi="宋体" w:eastAsia="宋体" w:cs="宋体"/>
                <w:color w:val="auto"/>
                <w:sz w:val="22"/>
                <w:szCs w:val="22"/>
                <w:highlight w:val="none"/>
                <w:lang w:val="zh-CN"/>
              </w:rPr>
              <w:t xml:space="preserve">扣</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rPr>
              <w:t xml:space="preserve">分</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扣完为止</w:t>
            </w:r>
            <w:r>
              <w:rPr>
                <w:rFonts w:hint="eastAsia" w:ascii="宋体" w:hAnsi="宋体" w:eastAsia="宋体" w:cs="宋体"/>
                <w:color w:val="auto"/>
                <w:sz w:val="22"/>
                <w:szCs w:val="22"/>
                <w:highlight w:val="none"/>
                <w:lang w:val="zh-CN"/>
              </w:rPr>
              <w:t xml:space="preserve">；</w:t>
            </w:r>
            <w:r/>
          </w:p>
          <w:p>
            <w:pPr>
              <w:keepLines w:val="0"/>
              <w:keepNext w:val="0"/>
              <w:pageBreakBefore w:val="0"/>
              <w:spacing w:line="300" w:lineRule="auto"/>
              <w:widowControl/>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en-US" w:eastAsia="zh-CN"/>
              </w:rPr>
              <w:t xml:space="preserve">未标记“▲”的</w:t>
            </w:r>
            <w:r>
              <w:rPr>
                <w:rFonts w:hint="eastAsia" w:ascii="宋体" w:hAnsi="宋体" w:eastAsia="宋体" w:cs="宋体"/>
                <w:color w:val="auto"/>
                <w:sz w:val="22"/>
                <w:szCs w:val="22"/>
                <w:highlight w:val="none"/>
              </w:rPr>
              <w:t xml:space="preserve">参数</w:t>
            </w:r>
            <w:r>
              <w:rPr>
                <w:rFonts w:hint="eastAsia" w:ascii="宋体" w:hAnsi="宋体" w:eastAsia="宋体" w:cs="宋体"/>
                <w:color w:val="auto"/>
                <w:sz w:val="22"/>
                <w:szCs w:val="22"/>
                <w:highlight w:val="none"/>
                <w:lang w:val="en-US" w:eastAsia="zh-CN"/>
              </w:rPr>
              <w:t xml:space="preserve">为一般参数，</w:t>
            </w:r>
            <w:r>
              <w:rPr>
                <w:rFonts w:hint="eastAsia" w:ascii="宋体" w:hAnsi="宋体" w:cs="宋体"/>
                <w:color w:val="auto"/>
                <w:sz w:val="22"/>
                <w:szCs w:val="22"/>
                <w:highlight w:val="none"/>
                <w:lang w:val="en-US" w:eastAsia="zh-CN"/>
              </w:rPr>
              <w:t xml:space="preserve">全部满足得3分</w:t>
            </w:r>
            <w:r>
              <w:rPr>
                <w:rFonts w:ascii="宋体" w:hAnsi="宋体" w:eastAsia="宋体" w:cs="宋体"/>
                <w:color w:val="auto"/>
                <w:sz w:val="21"/>
                <w:szCs w:val="24"/>
                <w:highlight w:val="none"/>
                <w:lang w:val="en-US" w:eastAsia="en-US" w:bidi="ar-SA"/>
              </w:rPr>
              <w:t xml:space="preserve">，负偏离任意一项均不得分。</w:t>
            </w:r>
            <w:r/>
          </w:p>
        </w:tc>
        <w:tc>
          <w:tcPr>
            <w:shd w:val="clear" w:color="auto" w:fill="auto"/>
            <w:tcW w:w="435" w:type="pct"/>
            <w:vAlign w:val="center"/>
            <w:textDirection w:val="lrTb"/>
            <w:noWrap/>
          </w:tcPr>
          <w:p>
            <w:pPr>
              <w:jc w:val="center"/>
              <w:keepLines w:val="0"/>
              <w:keepNext w:val="0"/>
              <w:pageBreakBefore w:val="0"/>
              <w:spacing w:line="300" w:lineRule="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28</w:t>
            </w:r>
            <w:r/>
          </w:p>
        </w:tc>
      </w:tr>
      <w:tr>
        <w:trPr>
          <w:jc w:val="center"/>
          <w:trHeight w:val="567"/>
        </w:trPr>
        <w:tc>
          <w:tcPr>
            <w:shd w:val="clear" w:color="auto" w:fill="auto"/>
            <w:tcW w:w="579" w:type="pct"/>
            <w:vAlign w:val="center"/>
            <w:textDirection w:val="lrTb"/>
            <w:noWrap/>
          </w:tcPr>
          <w:p>
            <w:pPr>
              <w:jc w:val="cente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项目技术方案</w:t>
            </w:r>
            <w:r/>
          </w:p>
        </w:tc>
        <w:tc>
          <w:tcPr>
            <w:shd w:val="clear" w:color="auto" w:fill="auto"/>
            <w:tcW w:w="3985" w:type="pct"/>
            <w:vAlign w:val="center"/>
            <w:textDirection w:val="lrTb"/>
            <w:noWrap w:val="false"/>
          </w:tcPr>
          <w:p>
            <w:pP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根据采购</w:t>
            </w:r>
            <w:r>
              <w:rPr>
                <w:rFonts w:hint="eastAsia" w:ascii="宋体" w:hAnsi="宋体" w:eastAsia="宋体" w:cs="宋体"/>
                <w:color w:val="auto"/>
                <w:sz w:val="22"/>
                <w:szCs w:val="22"/>
                <w:highlight w:val="none"/>
                <w:lang w:val="en-US" w:eastAsia="zh-CN"/>
              </w:rPr>
              <w:t xml:space="preserve">文件要</w:t>
            </w:r>
            <w:r>
              <w:rPr>
                <w:rFonts w:hint="eastAsia" w:ascii="宋体" w:hAnsi="宋体" w:eastAsia="宋体" w:cs="宋体"/>
                <w:color w:val="auto"/>
                <w:sz w:val="22"/>
                <w:szCs w:val="22"/>
                <w:highlight w:val="none"/>
                <w:lang w:val="zh-CN"/>
              </w:rPr>
              <w:t xml:space="preserve">求</w:t>
            </w:r>
            <w:r>
              <w:rPr>
                <w:rFonts w:hint="eastAsia" w:ascii="宋体" w:hAnsi="宋体" w:eastAsia="宋体" w:cs="宋体"/>
                <w:color w:val="auto"/>
                <w:sz w:val="22"/>
                <w:szCs w:val="22"/>
                <w:highlight w:val="none"/>
                <w:lang w:val="en-US" w:eastAsia="zh-CN"/>
              </w:rPr>
              <w:t xml:space="preserve">及投标人</w:t>
            </w:r>
            <w:r>
              <w:rPr>
                <w:rFonts w:hint="eastAsia" w:ascii="宋体" w:hAnsi="宋体" w:eastAsia="宋体" w:cs="宋体"/>
                <w:color w:val="auto"/>
                <w:sz w:val="22"/>
                <w:szCs w:val="22"/>
                <w:highlight w:val="none"/>
              </w:rPr>
              <w:t xml:space="preserve">提供</w:t>
            </w:r>
            <w:r>
              <w:rPr>
                <w:rFonts w:hint="eastAsia" w:ascii="宋体" w:hAnsi="宋体" w:eastAsia="宋体" w:cs="宋体"/>
                <w:color w:val="auto"/>
                <w:sz w:val="22"/>
                <w:szCs w:val="22"/>
                <w:highlight w:val="none"/>
                <w:lang w:val="en-US" w:eastAsia="zh-CN"/>
              </w:rPr>
              <w:t xml:space="preserve">的</w:t>
            </w:r>
            <w:r>
              <w:rPr>
                <w:rFonts w:hint="eastAsia" w:ascii="宋体" w:hAnsi="宋体" w:eastAsia="宋体" w:cs="宋体"/>
                <w:color w:val="auto"/>
                <w:sz w:val="22"/>
                <w:szCs w:val="22"/>
                <w:highlight w:val="none"/>
                <w:lang w:val="zh-CN"/>
              </w:rPr>
              <w:t xml:space="preserve">总体方案</w:t>
            </w:r>
            <w:r>
              <w:rPr>
                <w:rFonts w:hint="eastAsia" w:ascii="宋体" w:hAnsi="宋体" w:eastAsia="宋体" w:cs="宋体"/>
                <w:color w:val="auto"/>
                <w:sz w:val="22"/>
                <w:szCs w:val="22"/>
                <w:highlight w:val="none"/>
                <w:lang w:val="en-US" w:eastAsia="zh-CN"/>
              </w:rPr>
              <w:t xml:space="preserve">进行综合评审</w:t>
            </w:r>
            <w:r>
              <w:rPr>
                <w:rFonts w:hint="eastAsia" w:ascii="宋体" w:hAnsi="宋体" w:eastAsia="宋体" w:cs="宋体"/>
                <w:color w:val="auto"/>
                <w:sz w:val="22"/>
                <w:szCs w:val="22"/>
                <w:highlight w:val="none"/>
                <w:lang w:val="zh-CN"/>
              </w:rPr>
              <w:t xml:space="preserve">，包括服务目标及整体设</w:t>
            </w:r>
            <w:r>
              <w:rPr>
                <w:rFonts w:hint="eastAsia" w:ascii="宋体" w:hAnsi="宋体" w:eastAsia="宋体" w:cs="宋体"/>
                <w:color w:val="auto"/>
                <w:sz w:val="22"/>
                <w:szCs w:val="22"/>
                <w:highlight w:val="none"/>
                <w:lang w:val="en-US" w:eastAsia="zh-CN"/>
              </w:rPr>
              <w:t xml:space="preserve">计</w:t>
            </w:r>
            <w:r>
              <w:rPr>
                <w:rFonts w:hint="eastAsia" w:ascii="宋体" w:hAnsi="宋体" w:eastAsia="宋体" w:cs="宋体"/>
                <w:color w:val="auto"/>
                <w:sz w:val="22"/>
                <w:szCs w:val="22"/>
                <w:highlight w:val="none"/>
                <w:lang w:val="zh-CN"/>
              </w:rPr>
              <w:t xml:space="preserve">情况，</w:t>
            </w:r>
            <w:r>
              <w:rPr>
                <w:rFonts w:hint="eastAsia" w:ascii="宋体" w:hAnsi="宋体" w:eastAsia="宋体" w:cs="宋体"/>
                <w:color w:val="auto"/>
                <w:sz w:val="22"/>
                <w:szCs w:val="22"/>
                <w:highlight w:val="none"/>
              </w:rPr>
              <w:t xml:space="preserve">方案包</w:t>
            </w:r>
            <w:r>
              <w:rPr>
                <w:rFonts w:hint="eastAsia" w:ascii="宋体" w:hAnsi="宋体" w:eastAsia="宋体" w:cs="宋体"/>
                <w:color w:val="auto"/>
                <w:sz w:val="22"/>
                <w:szCs w:val="22"/>
                <w:highlight w:val="none"/>
                <w:lang w:val="en-US" w:eastAsia="zh-CN"/>
              </w:rPr>
              <w:t xml:space="preserve">括但不限于</w:t>
            </w:r>
            <w:r>
              <w:rPr>
                <w:rFonts w:hint="eastAsia" w:ascii="宋体" w:hAnsi="宋体" w:eastAsia="宋体" w:cs="宋体"/>
                <w:color w:val="auto"/>
                <w:sz w:val="22"/>
                <w:szCs w:val="22"/>
                <w:highlight w:val="none"/>
              </w:rPr>
              <w:t xml:space="preserve">：</w:t>
            </w:r>
            <w:r/>
          </w:p>
          <w:p>
            <w:p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方案针对</w:t>
            </w:r>
            <w:r>
              <w:rPr>
                <w:rFonts w:hint="eastAsia" w:ascii="宋体" w:hAnsi="宋体" w:eastAsia="宋体" w:cs="宋体"/>
                <w:color w:val="auto"/>
                <w:sz w:val="22"/>
                <w:szCs w:val="22"/>
                <w:highlight w:val="none"/>
              </w:rPr>
              <w:t xml:space="preserve">产教融合、</w:t>
            </w:r>
            <w:r>
              <w:rPr>
                <w:rFonts w:hint="eastAsia" w:ascii="宋体" w:hAnsi="宋体" w:cs="宋体"/>
                <w:color w:val="auto"/>
                <w:sz w:val="22"/>
                <w:szCs w:val="22"/>
                <w:highlight w:val="none"/>
                <w:lang w:val="en-US" w:eastAsia="zh-CN"/>
              </w:rPr>
              <w:t xml:space="preserve">托育综合服务中心、</w:t>
            </w:r>
            <w:r>
              <w:rPr>
                <w:rFonts w:hint="eastAsia" w:ascii="宋体" w:hAnsi="宋体" w:eastAsia="宋体" w:cs="宋体"/>
                <w:color w:val="auto"/>
                <w:sz w:val="22"/>
                <w:szCs w:val="22"/>
                <w:highlight w:val="none"/>
              </w:rPr>
              <w:t xml:space="preserve">托幼一体化、社会培训服务、“医育”结合等方向进行整体设计</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zh-CN"/>
              </w:rPr>
              <w:t xml:space="preserve">条理清晰、内容完整</w:t>
            </w:r>
            <w:r>
              <w:rPr>
                <w:rFonts w:hint="eastAsia" w:ascii="宋体" w:hAnsi="宋体" w:eastAsia="宋体" w:cs="宋体"/>
                <w:color w:val="auto"/>
                <w:sz w:val="22"/>
                <w:szCs w:val="22"/>
                <w:highlight w:val="none"/>
                <w:lang w:val="en-US" w:eastAsia="zh-CN"/>
              </w:rPr>
              <w:t xml:space="preserve">出色，能完全满足采购人实际使用需求的得</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p>
            <w:pPr>
              <w:numPr>
                <w:ilvl w:val="0"/>
                <w:numId w:val="12"/>
              </w:num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方案条理比较清晰、内容比较完整比较出色，能满足采购人实际使用需求的得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p>
          <w:p>
            <w:pPr>
              <w:numPr>
                <w:ilvl w:val="0"/>
                <w:numId w:val="12"/>
              </w:numPr>
              <w:keepLines w:val="0"/>
              <w:keepNext w:val="0"/>
              <w:pageBreakBefore w:val="0"/>
              <w:spacing w:line="300" w:lineRule="auto"/>
              <w:widowControl/>
              <w:rPr>
                <w:rFonts w:hint="default"/>
                <w:color w:val="auto"/>
                <w:highlight w:val="none"/>
                <w:lang w:val="en-US" w:eastAsia="zh-CN"/>
              </w:rPr>
            </w:pPr>
            <w:r>
              <w:rPr>
                <w:rFonts w:hint="eastAsia" w:ascii="宋体" w:hAnsi="宋体" w:eastAsia="宋体" w:cs="宋体"/>
                <w:color w:val="auto"/>
                <w:sz w:val="22"/>
                <w:szCs w:val="22"/>
                <w:highlight w:val="none"/>
                <w:lang w:val="en-US" w:eastAsia="zh-CN"/>
              </w:rPr>
              <w:t xml:space="preserve">方案条理清晰度一般、内容基本完整，部分满足采购人实际使用需求的得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p>
          <w:p>
            <w:p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、方案普通、内容不完整、不能满足采购人实际使用需求的得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keepLines w:val="0"/>
              <w:keepNext w:val="0"/>
              <w:pageBreakBefore w:val="0"/>
              <w:spacing w:line="300" w:lineRule="auto"/>
              <w:widowControl/>
              <w:rPr>
                <w:rFonts w:hint="eastAsia" w:ascii="宋体" w:hAnsi="宋体" w:eastAsia="宋体" w:cs="宋体"/>
                <w:color w:val="auto"/>
                <w:sz w:val="24"/>
                <w:szCs w:val="32"/>
                <w:highlight w:val="none"/>
                <w:lang w:val="en-US" w:eastAsia="zh-CN"/>
              </w:rPr>
            </w:pP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、未提供此方案不得分。</w:t>
            </w:r>
            <w:r/>
          </w:p>
        </w:tc>
        <w:tc>
          <w:tcPr>
            <w:shd w:val="clear" w:color="auto" w:fill="auto"/>
            <w:tcW w:w="435" w:type="pct"/>
            <w:vAlign w:val="center"/>
            <w:textDirection w:val="lrTb"/>
            <w:noWrap/>
          </w:tcPr>
          <w:p>
            <w:pPr>
              <w:jc w:val="center"/>
              <w:keepLines w:val="0"/>
              <w:keepNext w:val="0"/>
              <w:pageBreakBefore w:val="0"/>
              <w:spacing w:line="300" w:lineRule="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9</w:t>
            </w:r>
            <w:r/>
          </w:p>
        </w:tc>
      </w:tr>
      <w:tr>
        <w:trPr>
          <w:jc w:val="center"/>
          <w:trHeight w:val="567"/>
        </w:trPr>
        <w:tc>
          <w:tcPr>
            <w:shd w:val="clear" w:color="auto" w:fill="auto"/>
            <w:tcW w:w="579" w:type="pct"/>
            <w:vAlign w:val="center"/>
            <w:textDirection w:val="lrTb"/>
            <w:noWrap/>
          </w:tcPr>
          <w:p>
            <w:pPr>
              <w:jc w:val="cente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项目实施方案</w:t>
            </w:r>
            <w:r/>
          </w:p>
        </w:tc>
        <w:tc>
          <w:tcPr>
            <w:shd w:val="clear" w:color="auto" w:fill="auto"/>
            <w:tcW w:w="3985" w:type="pct"/>
            <w:vAlign w:val="center"/>
            <w:textDirection w:val="lrTb"/>
            <w:noWrap w:val="false"/>
          </w:tcPr>
          <w:p>
            <w:pPr>
              <w:keepLines w:val="0"/>
              <w:keepNext w:val="0"/>
              <w:pageBreakBefore w:val="0"/>
              <w:spacing w:line="30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根</w:t>
            </w:r>
            <w:r>
              <w:rPr>
                <w:rFonts w:hint="eastAsia" w:ascii="宋体" w:hAnsi="宋体" w:eastAsia="宋体" w:cs="宋体"/>
                <w:color w:val="auto"/>
                <w:sz w:val="22"/>
                <w:szCs w:val="22"/>
                <w:highlight w:val="none"/>
                <w:lang w:val="en-US" w:eastAsia="zh-CN"/>
              </w:rPr>
              <w:t xml:space="preserve">据采购文件要求及投标人提供的项目实施方案进行综合评审，方案包括但不限于：（1）实施计划；（2）供货方案及保证进度措施；（3）安装调试方案；（4）质量保证措施</w:t>
            </w:r>
            <w:r>
              <w:rPr>
                <w:rFonts w:hint="eastAsia" w:ascii="宋体" w:hAnsi="宋体" w:cs="宋体"/>
                <w:color w:val="auto"/>
                <w:sz w:val="22"/>
                <w:szCs w:val="22"/>
                <w:highlight w:val="none"/>
                <w:lang w:val="en-US" w:eastAsia="zh-CN"/>
              </w:rPr>
              <w:t xml:space="preserve">；</w:t>
            </w:r>
            <w:r/>
          </w:p>
          <w:p>
            <w:p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1、实施计划内容完整、供货方案及措施科学有效、安装调试方案实用性强、质量保证措施完整、有针对性，能完全满足采购文件要求的得</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p>
            <w:p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2、实施计划比较完整、供货方案比较有效、安装调试方案、质量保证措施较为完整</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能满足采购人使用需求的得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p>
          <w:p>
            <w:pPr>
              <w:keepLines w:val="0"/>
              <w:keepNext w:val="0"/>
              <w:pageBreakBefore w:val="0"/>
              <w:spacing w:line="30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3、实施计划基本完整、供货方案基本有效、安装调试方案、质量保证措施一般</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基本能满足采购人使用需求的得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p>
          <w:p>
            <w:p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4、实施计划不完整，供货方案及措施一般、安装调试方案、质量保证措施不完整</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部分或不能满足采购人使用需求的得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keepLines w:val="0"/>
              <w:keepNext w:val="0"/>
              <w:pageBreakBefore w:val="0"/>
              <w:spacing w:line="300" w:lineRule="auto"/>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2"/>
                <w:szCs w:val="22"/>
                <w:highlight w:val="none"/>
                <w:lang w:val="en-US" w:eastAsia="zh-CN"/>
              </w:rPr>
              <w:t xml:space="preserve">5、未提供此方案不得分。</w:t>
            </w:r>
            <w:r/>
          </w:p>
        </w:tc>
        <w:tc>
          <w:tcPr>
            <w:shd w:val="clear" w:color="auto" w:fill="auto"/>
            <w:tcW w:w="435" w:type="pct"/>
            <w:vAlign w:val="center"/>
            <w:textDirection w:val="lrTb"/>
            <w:noWrap/>
          </w:tcPr>
          <w:p>
            <w:pPr>
              <w:jc w:val="center"/>
              <w:keepLines w:val="0"/>
              <w:keepNext w:val="0"/>
              <w:pageBreakBefore w:val="0"/>
              <w:spacing w:line="300" w:lineRule="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9</w:t>
            </w:r>
            <w:r/>
          </w:p>
        </w:tc>
      </w:tr>
      <w:tr>
        <w:trPr>
          <w:jc w:val="center"/>
          <w:trHeight w:val="567"/>
        </w:trPr>
        <w:tc>
          <w:tcPr>
            <w:shd w:val="clear" w:color="auto" w:fill="auto"/>
            <w:tcW w:w="579" w:type="pct"/>
            <w:vAlign w:val="center"/>
            <w:textDirection w:val="lrTb"/>
            <w:noWrap/>
          </w:tcPr>
          <w:p>
            <w:pPr>
              <w:jc w:val="cente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项目售后服务方案</w:t>
            </w:r>
            <w:r/>
          </w:p>
        </w:tc>
        <w:tc>
          <w:tcPr>
            <w:shd w:val="clear" w:color="auto" w:fill="auto"/>
            <w:tcW w:w="3985" w:type="pct"/>
            <w:vAlign w:val="center"/>
            <w:textDirection w:val="lrTb"/>
            <w:noWrap w:val="false"/>
          </w:tcPr>
          <w:p>
            <w:pPr>
              <w:pStyle w:val="823"/>
              <w:numPr>
                <w:ilvl w:val="0"/>
                <w:numId w:val="0"/>
              </w:num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根据采购文件要求及投标人提供的售后服务</w:t>
            </w:r>
            <w:r>
              <w:rPr>
                <w:rFonts w:hint="eastAsia" w:ascii="宋体" w:hAnsi="宋体" w:eastAsia="宋体" w:cs="宋体"/>
                <w:color w:val="auto"/>
                <w:sz w:val="22"/>
                <w:szCs w:val="22"/>
                <w:highlight w:val="none"/>
                <w:lang w:val="zh-CN" w:eastAsia="zh-CN"/>
              </w:rPr>
              <w:t xml:space="preserve">方案</w:t>
            </w:r>
            <w:r>
              <w:rPr>
                <w:rFonts w:hint="eastAsia" w:ascii="宋体" w:hAnsi="宋体" w:eastAsia="宋体" w:cs="宋体"/>
                <w:color w:val="auto"/>
                <w:sz w:val="22"/>
                <w:szCs w:val="22"/>
                <w:highlight w:val="none"/>
                <w:lang w:val="en-US" w:eastAsia="zh-CN"/>
              </w:rPr>
              <w:t xml:space="preserve">进行综合评审，方案包括但不限于：（1）售后服务方案；（2）售后服务人员配备情况；</w:t>
            </w:r>
            <w:r/>
          </w:p>
          <w:p>
            <w:pPr>
              <w:pStyle w:val="823"/>
              <w:numPr>
                <w:ilvl w:val="0"/>
                <w:numId w:val="0"/>
              </w:num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（3）耗材及备品备件情况。</w:t>
            </w:r>
            <w:r/>
          </w:p>
          <w:p>
            <w:pPr>
              <w:pStyle w:val="823"/>
              <w:numPr>
                <w:ilvl w:val="0"/>
                <w:numId w:val="0"/>
              </w:num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1、售后服务方案完整，针对性强、售后服务人员配置得当且完善合理、耗材及备品备件情况充足，能完全满足采购文件要求的得</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p>
            <w:pPr>
              <w:pStyle w:val="823"/>
              <w:numPr>
                <w:ilvl w:val="0"/>
                <w:numId w:val="0"/>
              </w:num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2、售后服务方案比较完整、售后服务人员配置比较合理、耗材及备品备件情况比较充足，能满足采购文件要求的得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p>
          <w:p>
            <w:pPr>
              <w:pStyle w:val="823"/>
              <w:numPr>
                <w:ilvl w:val="0"/>
                <w:numId w:val="0"/>
              </w:numPr>
              <w:keepLines w:val="0"/>
              <w:keepNext w:val="0"/>
              <w:pageBreakBefore w:val="0"/>
              <w:spacing w:line="30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3、售后服务方案基本完整、售后服务人员配置基本合理、耗材及备品备件情况一般，部分能满足采购文件要求的得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p>
          <w:p>
            <w:pPr>
              <w:pStyle w:val="823"/>
              <w:numPr>
                <w:ilvl w:val="0"/>
                <w:numId w:val="0"/>
              </w:num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4、售后服务方案不完整、售后服务人员配置不完善、耗材及备品备件情况不充足或不提供，不能满足采购文件要求的得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pStyle w:val="823"/>
              <w:numPr>
                <w:ilvl w:val="0"/>
                <w:numId w:val="0"/>
              </w:num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5、未提供此方案不得分。</w:t>
            </w:r>
            <w:r/>
          </w:p>
        </w:tc>
        <w:tc>
          <w:tcPr>
            <w:shd w:val="clear" w:color="auto" w:fill="auto"/>
            <w:tcW w:w="435" w:type="pct"/>
            <w:vAlign w:val="center"/>
            <w:textDirection w:val="lrTb"/>
            <w:noWrap/>
          </w:tcPr>
          <w:p>
            <w:pPr>
              <w:jc w:val="center"/>
              <w:keepLines w:val="0"/>
              <w:keepNext w:val="0"/>
              <w:pageBreakBefore w:val="0"/>
              <w:spacing w:line="300" w:lineRule="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9</w:t>
            </w:r>
            <w:r/>
          </w:p>
        </w:tc>
      </w:tr>
      <w:tr>
        <w:trPr>
          <w:jc w:val="center"/>
          <w:trHeight w:val="567"/>
        </w:trPr>
        <w:tc>
          <w:tcPr>
            <w:shd w:val="clear" w:color="auto" w:fill="auto"/>
            <w:tcW w:w="579" w:type="pct"/>
            <w:vAlign w:val="center"/>
            <w:textDirection w:val="lrTb"/>
            <w:noWrap/>
          </w:tcPr>
          <w:p>
            <w:pPr>
              <w:jc w:val="cente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项目培训方案</w:t>
            </w:r>
            <w:r/>
          </w:p>
        </w:tc>
        <w:tc>
          <w:tcPr>
            <w:shd w:val="clear" w:color="auto" w:fill="auto"/>
            <w:tcW w:w="3985" w:type="pct"/>
            <w:vAlign w:val="center"/>
            <w:textDirection w:val="lrTb"/>
            <w:noWrap w:val="false"/>
          </w:tcPr>
          <w:p>
            <w:p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bidi="ar"/>
              </w:rPr>
              <w:t xml:space="preserve">根据</w:t>
            </w:r>
            <w:r>
              <w:rPr>
                <w:rFonts w:hint="eastAsia" w:ascii="宋体" w:hAnsi="宋体" w:eastAsia="宋体" w:cs="宋体"/>
                <w:color w:val="auto"/>
                <w:sz w:val="22"/>
                <w:szCs w:val="22"/>
                <w:highlight w:val="none"/>
                <w:lang w:val="en-US" w:eastAsia="zh-CN"/>
              </w:rPr>
              <w:t xml:space="preserve">采购文件要求及</w:t>
            </w:r>
            <w:r>
              <w:rPr>
                <w:rFonts w:hint="eastAsia" w:ascii="宋体" w:hAnsi="宋体" w:eastAsia="宋体" w:cs="宋体"/>
                <w:color w:val="auto"/>
                <w:sz w:val="22"/>
                <w:szCs w:val="22"/>
                <w:highlight w:val="none"/>
                <w:lang w:bidi="ar"/>
              </w:rPr>
              <w:t xml:space="preserve">投标人提供的</w:t>
            </w:r>
            <w:r>
              <w:rPr>
                <w:rFonts w:hint="eastAsia" w:ascii="宋体" w:hAnsi="宋体" w:eastAsia="宋体" w:cs="宋体"/>
                <w:color w:val="auto"/>
                <w:sz w:val="22"/>
                <w:szCs w:val="22"/>
                <w:highlight w:val="none"/>
                <w:lang w:val="en-US" w:eastAsia="zh-CN" w:bidi="ar"/>
              </w:rPr>
              <w:t xml:space="preserve">项目</w:t>
            </w:r>
            <w:r>
              <w:rPr>
                <w:rFonts w:hint="eastAsia" w:ascii="宋体" w:hAnsi="宋体" w:eastAsia="宋体" w:cs="宋体"/>
                <w:color w:val="auto"/>
                <w:sz w:val="22"/>
                <w:szCs w:val="22"/>
                <w:highlight w:val="none"/>
                <w:lang w:bidi="ar"/>
              </w:rPr>
              <w:t xml:space="preserve">培训方案</w:t>
            </w:r>
            <w:r>
              <w:rPr>
                <w:rFonts w:hint="eastAsia" w:ascii="宋体" w:hAnsi="宋体" w:eastAsia="宋体" w:cs="宋体"/>
                <w:color w:val="auto"/>
                <w:sz w:val="22"/>
                <w:szCs w:val="22"/>
                <w:highlight w:val="none"/>
                <w:lang w:val="en-US" w:eastAsia="zh-CN" w:bidi="ar"/>
              </w:rPr>
              <w:t xml:space="preserve">进行综合评审</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方案包括但不限于：</w:t>
            </w:r>
            <w:r>
              <w:rPr>
                <w:rFonts w:hint="eastAsia" w:ascii="宋体" w:hAnsi="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rPr>
              <w:t xml:space="preserve">整体</w:t>
            </w:r>
            <w:r>
              <w:rPr>
                <w:rFonts w:hint="eastAsia" w:ascii="宋体" w:hAnsi="宋体" w:eastAsia="宋体" w:cs="宋体"/>
                <w:color w:val="auto"/>
                <w:sz w:val="22"/>
                <w:szCs w:val="22"/>
                <w:highlight w:val="none"/>
              </w:rPr>
              <w:t xml:space="preserve">培训</w:t>
            </w:r>
            <w:r>
              <w:rPr>
                <w:rFonts w:hint="eastAsia" w:ascii="宋体" w:hAnsi="宋体" w:eastAsia="宋体" w:cs="宋体"/>
                <w:color w:val="auto"/>
                <w:sz w:val="22"/>
                <w:szCs w:val="22"/>
                <w:highlight w:val="none"/>
                <w:lang w:val="en-US" w:eastAsia="zh-CN"/>
              </w:rPr>
              <w:t xml:space="preserve">方案</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en-US" w:eastAsia="zh-CN"/>
              </w:rPr>
              <w:t xml:space="preserve">培训计划</w:t>
            </w:r>
            <w:r>
              <w:rPr>
                <w:rFonts w:hint="eastAsia" w:ascii="宋体" w:hAnsi="宋体" w:cs="宋体"/>
                <w:color w:val="auto"/>
                <w:sz w:val="22"/>
                <w:szCs w:val="22"/>
                <w:highlight w:val="none"/>
                <w:lang w:val="en-US" w:eastAsia="zh-CN"/>
              </w:rPr>
              <w:t xml:space="preserve">及内容</w:t>
            </w:r>
            <w:r>
              <w:rPr>
                <w:rFonts w:hint="eastAsia" w:ascii="宋体" w:hAnsi="宋体" w:eastAsia="宋体" w:cs="宋体"/>
                <w:color w:val="auto"/>
                <w:sz w:val="22"/>
                <w:szCs w:val="22"/>
                <w:highlight w:val="none"/>
                <w:lang w:val="en-US" w:eastAsia="zh-CN"/>
              </w:rPr>
              <w:t xml:space="preserve">、培训流程、培训师资等。</w:t>
            </w:r>
            <w:r/>
          </w:p>
          <w:p>
            <w:pPr>
              <w:numPr>
                <w:ilvl w:val="0"/>
                <w:numId w:val="0"/>
              </w:numP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培训方案内容完整，</w:t>
            </w:r>
            <w:r>
              <w:rPr>
                <w:rFonts w:hint="eastAsia" w:ascii="宋体" w:hAnsi="宋体" w:eastAsia="宋体" w:cs="宋体"/>
                <w:color w:val="auto"/>
                <w:sz w:val="22"/>
                <w:szCs w:val="22"/>
                <w:highlight w:val="none"/>
                <w:lang w:val="en-US" w:eastAsia="zh-CN"/>
              </w:rPr>
              <w:t xml:space="preserve">培训内容能</w:t>
            </w:r>
            <w:r>
              <w:rPr>
                <w:rFonts w:hint="eastAsia" w:ascii="宋体" w:hAnsi="宋体" w:eastAsia="宋体" w:cs="宋体"/>
                <w:color w:val="auto"/>
                <w:sz w:val="22"/>
                <w:szCs w:val="22"/>
                <w:highlight w:val="none"/>
              </w:rPr>
              <w:t xml:space="preserve">清晰展示出各培训课时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课程内容</w:t>
            </w:r>
            <w:r>
              <w:rPr>
                <w:rFonts w:hint="eastAsia" w:ascii="宋体" w:hAnsi="宋体" w:eastAsia="宋体" w:cs="宋体"/>
                <w:color w:val="auto"/>
                <w:sz w:val="22"/>
                <w:szCs w:val="22"/>
                <w:highlight w:val="none"/>
                <w:lang w:val="en-US" w:eastAsia="zh-CN"/>
              </w:rPr>
              <w:t xml:space="preserve">的得</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p>
            <w:pPr>
              <w:numPr>
                <w:ilvl w:val="0"/>
                <w:numId w:val="0"/>
              </w:num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培训方案比较完整，培训内容能</w:t>
            </w:r>
            <w:r>
              <w:rPr>
                <w:rFonts w:hint="eastAsia" w:ascii="宋体" w:hAnsi="宋体" w:eastAsia="宋体" w:cs="宋体"/>
                <w:color w:val="auto"/>
                <w:sz w:val="22"/>
                <w:szCs w:val="22"/>
                <w:highlight w:val="none"/>
              </w:rPr>
              <w:t xml:space="preserve">展示出各培训课时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课程内容</w:t>
            </w:r>
            <w:r>
              <w:rPr>
                <w:rFonts w:hint="eastAsia" w:ascii="宋体" w:hAnsi="宋体" w:eastAsia="宋体" w:cs="宋体"/>
                <w:color w:val="auto"/>
                <w:sz w:val="22"/>
                <w:szCs w:val="22"/>
                <w:highlight w:val="none"/>
                <w:lang w:val="en-US" w:eastAsia="zh-CN"/>
              </w:rPr>
              <w:t xml:space="preserve">的得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p>
          <w:p>
            <w:pPr>
              <w:numPr>
                <w:ilvl w:val="0"/>
                <w:numId w:val="0"/>
              </w:numPr>
              <w:keepLines w:val="0"/>
              <w:keepNext w:val="0"/>
              <w:pageBreakBefore w:val="0"/>
              <w:spacing w:line="300" w:lineRule="auto"/>
              <w:widowControl/>
              <w:rPr>
                <w:rFonts w:hint="eastAsia"/>
                <w:color w:val="auto"/>
                <w:highlight w:val="none"/>
                <w:lang w:val="en-US" w:eastAsia="zh-CN"/>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培训方案基本完整，培训内容基本能</w:t>
            </w:r>
            <w:r>
              <w:rPr>
                <w:rFonts w:hint="eastAsia" w:ascii="宋体" w:hAnsi="宋体" w:eastAsia="宋体" w:cs="宋体"/>
                <w:color w:val="auto"/>
                <w:sz w:val="22"/>
                <w:szCs w:val="22"/>
                <w:highlight w:val="none"/>
              </w:rPr>
              <w:t xml:space="preserve">展示出各培训课时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课程内容</w:t>
            </w:r>
            <w:r>
              <w:rPr>
                <w:rFonts w:hint="eastAsia" w:ascii="宋体" w:hAnsi="宋体" w:eastAsia="宋体" w:cs="宋体"/>
                <w:color w:val="auto"/>
                <w:sz w:val="22"/>
                <w:szCs w:val="22"/>
                <w:highlight w:val="none"/>
                <w:lang w:val="en-US" w:eastAsia="zh-CN"/>
              </w:rPr>
              <w:t xml:space="preserve">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p>
          <w:p>
            <w:pPr>
              <w:numPr>
                <w:ilvl w:val="0"/>
                <w:numId w:val="0"/>
              </w:num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培训方案不完整，培训内容不能</w:t>
            </w:r>
            <w:r>
              <w:rPr>
                <w:rFonts w:hint="eastAsia" w:ascii="宋体" w:hAnsi="宋体" w:eastAsia="宋体" w:cs="宋体"/>
                <w:color w:val="auto"/>
                <w:sz w:val="22"/>
                <w:szCs w:val="22"/>
                <w:highlight w:val="none"/>
              </w:rPr>
              <w:t xml:space="preserve">展示出各培训课时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课程内容</w:t>
            </w:r>
            <w:r>
              <w:rPr>
                <w:rFonts w:hint="eastAsia" w:ascii="宋体" w:hAnsi="宋体" w:eastAsia="宋体" w:cs="宋体"/>
                <w:color w:val="auto"/>
                <w:sz w:val="22"/>
                <w:szCs w:val="22"/>
                <w:highlight w:val="none"/>
                <w:lang w:val="en-US" w:eastAsia="zh-CN"/>
              </w:rPr>
              <w:t xml:space="preserve">的得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numPr>
                <w:ilvl w:val="0"/>
                <w:numId w:val="0"/>
              </w:numPr>
              <w:keepLines w:val="0"/>
              <w:keepNext w:val="0"/>
              <w:pageBreakBefore w:val="0"/>
              <w:spacing w:line="300" w:lineRule="auto"/>
              <w:widowControl/>
              <w:rPr>
                <w:rFonts w:hint="eastAsia" w:ascii="宋体" w:hAnsi="宋体" w:eastAsia="宋体" w:cs="宋体"/>
                <w:color w:val="auto"/>
                <w:sz w:val="24"/>
                <w:szCs w:val="32"/>
                <w:highlight w:val="none"/>
                <w:lang w:eastAsia="zh-CN"/>
              </w:rPr>
            </w:pP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未提供此方案不得分。</w:t>
            </w:r>
            <w:r/>
          </w:p>
        </w:tc>
        <w:tc>
          <w:tcPr>
            <w:shd w:val="clear" w:color="auto" w:fill="auto"/>
            <w:tcW w:w="435" w:type="pct"/>
            <w:vAlign w:val="center"/>
            <w:textDirection w:val="lrTb"/>
            <w:noWrap/>
          </w:tcPr>
          <w:p>
            <w:pPr>
              <w:jc w:val="center"/>
              <w:keepLines w:val="0"/>
              <w:keepNext w:val="0"/>
              <w:pageBreakBefore w:val="0"/>
              <w:spacing w:line="300" w:lineRule="auto"/>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9</w:t>
            </w:r>
            <w:r/>
          </w:p>
        </w:tc>
      </w:tr>
    </w:tbl>
    <w:p>
      <w:pPr>
        <w:rPr>
          <w:rFonts w:hint="eastAsia" w:ascii="宋体" w:hAnsi="宋体"/>
          <w:color w:val="auto"/>
          <w:highlight w:val="none"/>
        </w:rPr>
      </w:pPr>
      <w:r>
        <w:rPr>
          <w:rFonts w:hint="eastAsia" w:ascii="宋体" w:hAnsi="宋体"/>
          <w:color w:val="auto"/>
          <w:highlight w:val="none"/>
        </w:rPr>
        <w:br w:type="page" w:clear="all"/>
      </w:r>
      <w:r/>
    </w:p>
    <w:p>
      <w:pPr>
        <w:pStyle w:val="810"/>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11"/>
        <w:numPr>
          <w:ilvl w:val="0"/>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20"/>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法人或者其他组织的营业执照等证明文件，自然人的身份证明</w:t>
            </w:r>
            <w:r/>
          </w:p>
        </w:tc>
        <w:tc>
          <w:tcPr>
            <w:tcW w:w="2158" w:type="dxa"/>
            <w:vAlign w:val="center"/>
            <w:textDirection w:val="lrTb"/>
            <w:noWrap w:val="false"/>
          </w:tcPr>
          <w:p>
            <w:pPr>
              <w:keepLines w:val="0"/>
              <w:keepNext w:val="0"/>
              <w:pageBreakBefore w:val="0"/>
              <w:spacing w:line="240" w:lineRule="auto"/>
              <w:widowControl w:val="off"/>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依法缴纳职工社会保障资金的证明材料(税务、银行或社会保险基金管理部门出具的近</w:t>
            </w:r>
            <w:r>
              <w:rPr>
                <w:rFonts w:hint="eastAsia" w:ascii="宋体" w:hAnsi="宋体" w:eastAsia="宋体" w:cs="宋体"/>
                <w:bCs/>
                <w:i w:val="0"/>
                <w:iCs/>
                <w:color w:val="auto"/>
                <w:highlight w:val="none"/>
                <w:u w:val="none"/>
                <w:lang w:val="en-US" w:eastAsia="zh-CN"/>
              </w:rPr>
              <w:t xml:space="preserve">一年内</w:t>
            </w:r>
            <w:r>
              <w:rPr>
                <w:rFonts w:hint="eastAsia" w:ascii="宋体" w:hAnsi="宋体" w:eastAsia="宋体" w:cs="宋体"/>
                <w:bCs/>
                <w:i w:val="0"/>
                <w:iCs/>
                <w:color w:val="auto"/>
                <w:highlight w:val="none"/>
                <w:u w:val="none"/>
                <w:lang w:eastAsia="zh-CN"/>
              </w:rPr>
              <w:t xml:space="preserve">内任意一个月缴纳职工社会保障资金的缴款凭证或缴款证明)（投标人依法享受缓缴、免缴的提供证明材料）</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投标人近一年内任意一</w:t>
            </w:r>
            <w:r>
              <w:rPr>
                <w:rFonts w:hint="eastAsia" w:ascii="宋体" w:hAnsi="宋体" w:eastAsia="宋体" w:cs="宋体"/>
                <w:bCs/>
                <w:i w:val="0"/>
                <w:iCs/>
                <w:color w:val="auto"/>
                <w:highlight w:val="none"/>
                <w:u w:val="none"/>
                <w:lang w:val="en-US" w:eastAsia="zh-CN"/>
              </w:rPr>
              <w:t xml:space="preserve">个月</w:t>
            </w:r>
            <w:r>
              <w:rPr>
                <w:rFonts w:hint="eastAsia" w:ascii="宋体" w:hAnsi="宋体" w:eastAsia="宋体" w:cs="宋体"/>
                <w:bCs/>
                <w:i w:val="0"/>
                <w:iCs/>
                <w:color w:val="auto"/>
                <w:highlight w:val="none"/>
                <w:u w:val="none"/>
                <w:lang w:eastAsia="zh-CN"/>
              </w:rPr>
              <w:t xml:space="preserve">依法纳税的缴款凭证（投标人依法享受缓缴、免缴的提供证明材料）</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上一年度的财务报告情况（成立不满一年不需提供）</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具备履行合同所必需的设备和专业技术能力的证明材料</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参加本次政府采购活动前3年内在经营活动中没有重大违法记录的书面声明</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供应商信用承诺函</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9</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根据《政府采购促进中小企业发展管理办法》的规定，本项目专门面向中小企业采购，供应商投标时须提供《中小企业声明函》，《中小企业声明函》不符合要求或未提供的，响应文件无效。</w:t>
            </w:r>
            <w:r/>
          </w:p>
          <w:p>
            <w:pPr>
              <w:keepLines w:val="0"/>
              <w:keepNext w:val="0"/>
              <w:pageBreakBefore w:val="0"/>
              <w:spacing w:line="240" w:lineRule="auto"/>
              <w:widowControl w:val="off"/>
              <w:rPr>
                <w:rFonts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本项目采购标的按中小企业划分标准所属行业区分为：工业（中小微企业划型标准网http://www.ccgp.gov.cn/zcfg/mof/201310/t20131029_3587674.htm）。</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jc w:val="both"/>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无</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其他</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5447" w:type="dxa"/>
            <w:vAlign w:val="center"/>
            <w:textDirection w:val="lrTb"/>
            <w:noWrap w:val="false"/>
          </w:tcPr>
          <w:p>
            <w:pPr>
              <w:jc w:val="left"/>
              <w:keepLines w:val="0"/>
              <w:keepNext w:val="0"/>
              <w:pageBreakBefore w:val="0"/>
              <w:spacing w:line="240" w:lineRule="auto"/>
              <w:widowControl w:val="off"/>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5447" w:type="dxa"/>
            <w:vAlign w:val="center"/>
            <w:textDirection w:val="lrTb"/>
            <w:noWrap w:val="false"/>
          </w:tcPr>
          <w:p>
            <w:pPr>
              <w:jc w:val="left"/>
              <w:keepLines w:val="0"/>
              <w:keepNext w:val="0"/>
              <w:pageBreakBefore w:val="0"/>
              <w:spacing w:line="240" w:lineRule="auto"/>
              <w:widowControl w:val="off"/>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35"/>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致：江苏唯诚建设咨询有限公司</w:t>
      </w:r>
      <w:r/>
    </w:p>
    <w:p>
      <w:pPr>
        <w:pStyle w:val="113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lang w:eastAsia="zh-CN"/>
        </w:rPr>
        <w:t xml:space="preserve">JSZC-321000-JSWC-G2026-0016</w:t>
      </w:r>
      <w:r>
        <w:rPr>
          <w:rFonts w:hint="eastAsia" w:ascii="宋体" w:hAnsi="宋体"/>
          <w:color w:val="auto"/>
          <w:sz w:val="21"/>
          <w:szCs w:val="21"/>
          <w:highlight w:val="none"/>
        </w:rPr>
        <w:t xml:space="preserve">号招标文件，正式授权下述签字人_________________(姓名)代表我方______________（投标人的名称），全权处理本次项目投标的有关事宜。</w:t>
      </w:r>
      <w:r/>
    </w:p>
    <w:p>
      <w:pPr>
        <w:pStyle w:val="113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3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3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3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3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3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3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35"/>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4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4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42"/>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4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42"/>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42"/>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42"/>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42"/>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w:t>
      </w:r>
      <w:r/>
    </w:p>
    <w:p>
      <w:pPr>
        <w:ind w:firstLine="420"/>
        <w:spacing w:line="460" w:lineRule="exact"/>
        <w:rPr>
          <w:rFonts w:hint="eastAsia" w:ascii="宋体" w:hAnsi="宋体"/>
          <w:bCs/>
          <w:color w:val="auto"/>
          <w:highlight w:val="none"/>
        </w:rPr>
      </w:pPr>
      <w:r>
        <w:rPr>
          <w:rFonts w:hint="eastAsia" w:ascii="宋体" w:hAnsi="宋体"/>
          <w:bCs/>
          <w:color w:val="auto"/>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lang w:val="en-US" w:eastAsia="zh-CN"/>
        </w:rPr>
        <w:t xml:space="preserve">法定代表人</w:t>
      </w:r>
      <w:r>
        <w:rPr>
          <w:rFonts w:hint="eastAsia" w:ascii="宋体" w:hAnsi="宋体"/>
          <w:bCs/>
          <w:color w:val="auto"/>
          <w:highlight w:val="none"/>
        </w:rPr>
        <w:t xml:space="preserve">身份证复印</w:t>
      </w:r>
      <w:r/>
    </w:p>
    <w:p>
      <w:pPr>
        <w:pStyle w:val="811"/>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tbl>
      <w:tblPr>
        <w:tblStyle w:val="820"/>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jc w:val="cente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2"/>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11"/>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tbl>
      <w:tblPr>
        <w:tblStyle w:val="820"/>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jc w:val="cente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780"/>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lang w:val="en-US" w:eastAsia="zh-CN"/>
        </w:rPr>
        <w:t xml:space="preserve">工业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lang w:val="en-US" w:eastAsia="zh-CN"/>
        </w:rPr>
        <w:t xml:space="preserve">  </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注：1、供应商如不提供此声明函，价格将不做相应扣除。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2、企业声明函请完整填写，中标后将公示。</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企业名称（盖章）：</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日 期：</w:t>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jc w:val="center"/>
        <w:spacing w:before="312" w:after="312" w:line="360" w:lineRule="auto"/>
        <w:rPr>
          <w:color w:val="auto"/>
          <w:highlight w:val="none"/>
        </w:rPr>
      </w:pPr>
      <w:r>
        <w:rPr>
          <w:color w:val="auto"/>
          <w:highlight w:val="none"/>
        </w:rPr>
        <w:t xml:space="preserve"> </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811"/>
        <w:numPr>
          <w:ilvl w:val="0"/>
          <w:numId w:val="0"/>
        </w:numPr>
        <w:jc w:val="center"/>
        <w:spacing w:line="360" w:lineRule="auto"/>
        <w:widowControl/>
        <w:rPr>
          <w:rFonts w:ascii="宋体" w:hAnsi="宋体" w:cs="微软雅黑"/>
          <w:bCs w:val="0"/>
          <w:color w:val="auto"/>
          <w:sz w:val="21"/>
          <w:szCs w:val="21"/>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Cs w:val="0"/>
          <w:color w:val="auto"/>
          <w:sz w:val="21"/>
          <w:szCs w:val="21"/>
          <w:highlight w:val="none"/>
        </w:rPr>
      </w:r>
      <w:r/>
    </w:p>
    <w:p>
      <w:pPr>
        <w:pStyle w:val="811"/>
        <w:numPr>
          <w:ilvl w:val="0"/>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54"/>
        <w:ind w:firstLine="420"/>
        <w:spacing w:before="300" w:after="452" w:line="360" w:lineRule="auto"/>
        <w:widowControl/>
        <w:rPr>
          <w:rFonts w:ascii="宋体" w:hAnsi="宋体"/>
          <w:color w:val="auto"/>
          <w:sz w:val="21"/>
          <w:szCs w:val="21"/>
          <w:highlight w:val="none"/>
        </w:rPr>
      </w:pPr>
      <w:r>
        <w:rPr>
          <w:rStyle w:val="860"/>
          <w:rFonts w:hint="eastAsia" w:ascii="宋体" w:hAnsi="宋体" w:cs="仿宋"/>
          <w:color w:val="auto"/>
          <w:sz w:val="21"/>
          <w:szCs w:val="21"/>
          <w:highlight w:val="none"/>
        </w:rPr>
        <w:t xml:space="preserve">中小微企业划型标准如下：</w:t>
      </w:r>
      <w:r/>
    </w:p>
    <w:tbl>
      <w:tblPr>
        <w:tblStyle w:val="820"/>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4"/>
              <w:jc w:val="center"/>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4"/>
              <w:spacing w:line="360" w:lineRule="auto"/>
              <w:widowControl/>
              <w:rPr>
                <w:rFonts w:ascii="宋体" w:hAnsi="宋体"/>
                <w:b/>
                <w:bCs/>
                <w:color w:val="auto"/>
                <w:sz w:val="21"/>
                <w:szCs w:val="21"/>
                <w:highlight w:val="none"/>
              </w:rPr>
            </w:pPr>
            <w:r>
              <w:rPr>
                <w:rStyle w:val="860"/>
                <w:rFonts w:hint="eastAsia" w:ascii="宋体" w:hAnsi="宋体" w:cs="仿宋"/>
                <w:b/>
                <w:bCs/>
                <w:color w:val="auto"/>
                <w:sz w:val="21"/>
                <w:szCs w:val="21"/>
                <w:highlight w:val="none"/>
              </w:rPr>
              <w:t xml:space="preserve">X＜10</w:t>
            </w:r>
            <w:r/>
          </w:p>
        </w:tc>
      </w:tr>
    </w:tbl>
    <w:p>
      <w:pPr>
        <w:pStyle w:val="854"/>
        <w:ind w:firstLine="462"/>
        <w:spacing w:before="300" w:after="452" w:line="360" w:lineRule="auto"/>
        <w:widowControl/>
        <w:rPr>
          <w:rStyle w:val="860"/>
          <w:rFonts w:ascii="宋体" w:hAnsi="宋体" w:cs="仿宋"/>
          <w:color w:val="auto"/>
          <w:sz w:val="21"/>
          <w:szCs w:val="21"/>
          <w:highlight w:val="none"/>
        </w:rPr>
      </w:pPr>
      <w:r>
        <w:rPr>
          <w:rStyle w:val="860"/>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cs="Arial"/>
          <w:b/>
          <w:bCs/>
          <w:color w:val="auto"/>
          <w:highlight w:val="none"/>
        </w:rPr>
      </w:pPr>
      <w:r>
        <w:rPr>
          <w:rFonts w:ascii="宋体" w:hAnsi="宋体" w:cs="Arial"/>
          <w:b/>
          <w:bCs/>
          <w:color w:val="auto"/>
          <w:highlight w:val="none"/>
        </w:rPr>
        <w:br w:type="page" w:clear="all"/>
      </w:r>
      <w:r/>
    </w:p>
    <w:p>
      <w:pPr>
        <w:jc w:val="center"/>
        <w:shd w:val="clear" w:color="auto"/>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54"/>
        <w:ind w:firstLine="420"/>
        <w:spacing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54"/>
        <w:ind w:firstLine="420"/>
        <w:spacing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4"/>
        <w:ind w:firstLine="4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shd w:val="clear" w:color="auto" w:fill="ffffff"/>
        </w:rPr>
        <w:t xml:space="preserve">1.</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Style w:val="864"/>
          <w:rFonts w:hint="eastAsia" w:ascii="方正魏碑_GBK" w:hAnsi="方正魏碑_GBK" w:eastAsia="方正魏碑_GBK" w:cs="方正魏碑_GBK"/>
          <w:i w:val="0"/>
          <w:color w:val="auto"/>
          <w:sz w:val="24"/>
          <w:szCs w:val="24"/>
          <w:highlight w:val="none"/>
          <w:shd w:val="clear" w:color="auto" w:fill="ffffff"/>
          <w:vertAlign w:val="superscript"/>
        </w:rPr>
        <w:t xml:space="preserve">1</w:t>
      </w:r>
      <w:r>
        <w:rPr>
          <w:rFonts w:hint="eastAsia" w:ascii="方正魏碑_GBK" w:hAnsi="方正魏碑_GBK" w:eastAsia="方正魏碑_GBK" w:cs="方正魏碑_GBK"/>
          <w:color w:val="auto"/>
          <w:szCs w:val="24"/>
          <w:highlight w:val="none"/>
          <w:shd w:val="clear" w:color="auto" w:fill="ffffff"/>
        </w:rPr>
        <w:t xml:space="preserve">，生产厂为</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（厂名）</w:t>
      </w:r>
      <w:r>
        <w:rPr>
          <w:rStyle w:val="864"/>
          <w:rFonts w:hint="eastAsia" w:ascii="方正魏碑_GBK" w:hAnsi="方正魏碑_GBK" w:eastAsia="方正魏碑_GBK" w:cs="方正魏碑_GBK"/>
          <w:i w:val="0"/>
          <w:color w:val="auto"/>
          <w:sz w:val="24"/>
          <w:szCs w:val="24"/>
          <w:highlight w:val="none"/>
          <w:shd w:val="clear" w:color="auto" w:fill="ffffff"/>
          <w:vertAlign w:val="superscript"/>
        </w:rPr>
        <w:t xml:space="preserve">2</w:t>
      </w:r>
      <w:r>
        <w:rPr>
          <w:rFonts w:hint="eastAsia" w:ascii="方正魏碑_GBK" w:hAnsi="方正魏碑_GBK" w:eastAsia="方正魏碑_GBK" w:cs="方正魏碑_GBK"/>
          <w:color w:val="auto"/>
          <w:szCs w:val="24"/>
          <w:highlight w:val="none"/>
          <w:shd w:val="clear" w:color="auto" w:fill="ffffff"/>
        </w:rPr>
        <w:t xml:space="preserve">，厂址为</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（生产厂址）</w:t>
      </w:r>
      <w:r>
        <w:rPr>
          <w:rFonts w:hint="eastAsia" w:ascii="方正魏碑_GBK" w:hAnsi="方正魏碑_GBK" w:eastAsia="方正魏碑_GBK" w:cs="方正魏碑_GBK"/>
          <w:color w:val="auto"/>
          <w:szCs w:val="24"/>
          <w:highlight w:val="none"/>
          <w:shd w:val="clear" w:color="auto" w:fill="ffffff"/>
        </w:rPr>
        <w:t xml:space="preserve">。</w:t>
      </w:r>
      <w:r>
        <w:rPr>
          <w:rFonts w:hint="eastAsia" w:ascii="方正魏碑_GBK" w:hAnsi="方正魏碑_GBK" w:eastAsia="方正魏碑_GBK" w:cs="方正魏碑_GBK"/>
          <w:color w:val="auto"/>
          <w:szCs w:val="24"/>
          <w:highlight w:val="none"/>
          <w:u w:val="single"/>
          <w:shd w:val="clear" w:color="auto" w:fill="ffffff"/>
        </w:rPr>
        <w:t xml:space="preserve"> </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（产品名称1） </w:t>
      </w:r>
      <w:r>
        <w:rPr>
          <w:rFonts w:hint="eastAsia" w:ascii="方正魏碑_GBK" w:hAnsi="方正魏碑_GBK" w:eastAsia="方正魏碑_GBK" w:cs="方正魏碑_GBK"/>
          <w:color w:val="auto"/>
          <w:szCs w:val="24"/>
          <w:highlight w:val="none"/>
          <w:shd w:val="clear" w:color="auto" w:fill="ffffff"/>
        </w:rPr>
        <w:t xml:space="preserve">的中国境内生产的组件成本占比≥</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（规定</w:t>
      </w:r>
      <w:r>
        <w:rPr>
          <w:rStyle w:val="864"/>
          <w:rFonts w:ascii="方正魏碑_GBK" w:hAnsi="方正魏碑_GBK" w:eastAsia="方正魏碑_GBK" w:cs="方正魏碑_GBK"/>
          <w:i w:val="0"/>
          <w:color w:val="auto"/>
          <w:sz w:val="24"/>
          <w:szCs w:val="24"/>
          <w:highlight w:val="none"/>
          <w:u w:val="single"/>
          <w:shd w:val="clear" w:color="auto" w:fill="ffffff"/>
        </w:rPr>
        <w:t xml:space="preserve">比例</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w:t>
      </w:r>
      <w:r>
        <w:rPr>
          <w:rStyle w:val="864"/>
          <w:rFonts w:hint="eastAsia" w:ascii="方正魏碑_GBK" w:hAnsi="方正魏碑_GBK" w:eastAsia="方正魏碑_GBK" w:cs="方正魏碑_GBK"/>
          <w:i w:val="0"/>
          <w:color w:val="auto"/>
          <w:sz w:val="24"/>
          <w:szCs w:val="24"/>
          <w:highlight w:val="none"/>
          <w:shd w:val="clear" w:color="auto" w:fill="ffffff"/>
          <w:vertAlign w:val="superscript"/>
        </w:rPr>
        <w:t xml:space="preserve">3</w:t>
      </w:r>
      <w:r>
        <w:rPr>
          <w:rFonts w:hint="eastAsia" w:ascii="方正魏碑_GBK" w:hAnsi="方正魏碑_GBK" w:eastAsia="方正魏碑_GBK" w:cs="方正魏碑_GBK"/>
          <w:color w:val="auto"/>
          <w:szCs w:val="24"/>
          <w:highlight w:val="none"/>
          <w:shd w:val="clear" w:color="auto" w:fill="ffffff"/>
        </w:rPr>
        <w:t xml:space="preserve">。</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Cs w:val="24"/>
          <w:highlight w:val="none"/>
          <w:shd w:val="clear" w:color="auto" w:fill="ffffff"/>
        </w:rPr>
        <w:t xml:space="preserve">的</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（关键</w:t>
      </w:r>
      <w:r>
        <w:rPr>
          <w:rStyle w:val="864"/>
          <w:rFonts w:ascii="方正魏碑_GBK" w:hAnsi="方正魏碑_GBK" w:eastAsia="方正魏碑_GBK" w:cs="方正魏碑_GBK"/>
          <w:i w:val="0"/>
          <w:color w:val="auto"/>
          <w:sz w:val="24"/>
          <w:szCs w:val="24"/>
          <w:highlight w:val="none"/>
          <w:u w:val="single"/>
          <w:shd w:val="clear" w:color="auto" w:fill="ffffff"/>
        </w:rPr>
        <w:t xml:space="preserve">组件</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w:t>
      </w:r>
      <w:r>
        <w:rPr>
          <w:rStyle w:val="864"/>
          <w:rFonts w:hint="eastAsia" w:ascii="方正魏碑_GBK" w:hAnsi="方正魏碑_GBK" w:eastAsia="方正魏碑_GBK" w:cs="方正魏碑_GBK"/>
          <w:i w:val="0"/>
          <w:color w:val="auto"/>
          <w:sz w:val="24"/>
          <w:szCs w:val="24"/>
          <w:highlight w:val="none"/>
          <w:shd w:val="clear" w:color="auto" w:fill="ffffff"/>
          <w:vertAlign w:val="superscript"/>
        </w:rPr>
        <w:t xml:space="preserve">4</w:t>
      </w:r>
      <w:r>
        <w:rPr>
          <w:rFonts w:hint="eastAsia" w:ascii="方正魏碑_GBK" w:hAnsi="方正魏碑_GBK" w:eastAsia="方正魏碑_GBK" w:cs="方正魏碑_GBK"/>
          <w:color w:val="auto"/>
          <w:szCs w:val="24"/>
          <w:highlight w:val="none"/>
          <w:shd w:val="clear" w:color="auto" w:fill="ffffff"/>
        </w:rPr>
        <w:t xml:space="preserve">在中国境内生产。</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Cs w:val="24"/>
          <w:highlight w:val="none"/>
          <w:shd w:val="clear" w:color="auto" w:fill="ffffff"/>
        </w:rPr>
        <w:t xml:space="preserve">的</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（关键工序）</w:t>
      </w:r>
      <w:r>
        <w:rPr>
          <w:rStyle w:val="864"/>
          <w:rFonts w:hint="eastAsia" w:ascii="方正魏碑_GBK" w:hAnsi="方正魏碑_GBK" w:eastAsia="方正魏碑_GBK" w:cs="方正魏碑_GBK"/>
          <w:i w:val="0"/>
          <w:color w:val="auto"/>
          <w:sz w:val="24"/>
          <w:szCs w:val="24"/>
          <w:highlight w:val="none"/>
          <w:shd w:val="clear" w:color="auto" w:fill="ffffff"/>
          <w:vertAlign w:val="superscript"/>
        </w:rPr>
        <w:t xml:space="preserve">5</w:t>
      </w:r>
      <w:r>
        <w:rPr>
          <w:rFonts w:hint="eastAsia" w:ascii="方正魏碑_GBK" w:hAnsi="方正魏碑_GBK" w:eastAsia="方正魏碑_GBK" w:cs="方正魏碑_GBK"/>
          <w:color w:val="auto"/>
          <w:szCs w:val="24"/>
          <w:highlight w:val="none"/>
          <w:shd w:val="clear" w:color="auto" w:fill="ffffff"/>
        </w:rPr>
        <w:t xml:space="preserve">在中国境内完成。</w:t>
      </w:r>
      <w:r/>
    </w:p>
    <w:p>
      <w:pPr>
        <w:pStyle w:val="854"/>
        <w:ind w:firstLine="4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5926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5926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5926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5926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5926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5926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5926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shd w:val="clear" w:color="auto" w:fill="ffffff"/>
        </w:rPr>
        <w:t xml:space="preserve">2.</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Cs w:val="24"/>
          <w:highlight w:val="none"/>
          <w:shd w:val="clear" w:color="auto" w:fill="ffffff"/>
        </w:rPr>
        <w:t xml:space="preserve">，生产厂为</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（厂名）</w:t>
      </w:r>
      <w:r>
        <w:rPr>
          <w:rFonts w:hint="eastAsia" w:ascii="方正魏碑_GBK" w:hAnsi="方正魏碑_GBK" w:eastAsia="方正魏碑_GBK" w:cs="方正魏碑_GBK"/>
          <w:color w:val="auto"/>
          <w:szCs w:val="24"/>
          <w:highlight w:val="none"/>
          <w:shd w:val="clear" w:color="auto" w:fill="ffffff"/>
        </w:rPr>
        <w:t xml:space="preserve">，厂址为</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（生产厂址）</w:t>
      </w:r>
      <w:r>
        <w:rPr>
          <w:rFonts w:hint="eastAsia" w:ascii="方正魏碑_GBK" w:hAnsi="方正魏碑_GBK" w:eastAsia="方正魏碑_GBK" w:cs="方正魏碑_GBK"/>
          <w:color w:val="auto"/>
          <w:szCs w:val="24"/>
          <w:highlight w:val="none"/>
          <w:shd w:val="clear" w:color="auto" w:fill="ffffff"/>
        </w:rPr>
        <w:t xml:space="preserve">。</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Cs w:val="24"/>
          <w:highlight w:val="none"/>
          <w:shd w:val="clear" w:color="auto" w:fill="ffffff"/>
        </w:rPr>
        <w:t xml:space="preserve">的中国境内生产的组件成本占比≥</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（规定</w:t>
      </w:r>
      <w:r>
        <w:rPr>
          <w:rStyle w:val="864"/>
          <w:rFonts w:ascii="方正魏碑_GBK" w:hAnsi="方正魏碑_GBK" w:eastAsia="方正魏碑_GBK" w:cs="方正魏碑_GBK"/>
          <w:i w:val="0"/>
          <w:color w:val="auto"/>
          <w:sz w:val="24"/>
          <w:szCs w:val="24"/>
          <w:highlight w:val="none"/>
          <w:u w:val="single"/>
          <w:shd w:val="clear" w:color="auto" w:fill="ffffff"/>
        </w:rPr>
        <w:t xml:space="preserve">比例</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w:t>
      </w:r>
      <w:r>
        <w:rPr>
          <w:rFonts w:hint="eastAsia" w:ascii="方正魏碑_GBK" w:hAnsi="方正魏碑_GBK" w:eastAsia="方正魏碑_GBK" w:cs="方正魏碑_GBK"/>
          <w:color w:val="auto"/>
          <w:szCs w:val="24"/>
          <w:highlight w:val="none"/>
          <w:shd w:val="clear" w:color="auto" w:fill="ffffff"/>
        </w:rPr>
        <w:t xml:space="preserve">。</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Cs w:val="24"/>
          <w:highlight w:val="none"/>
          <w:shd w:val="clear" w:color="auto" w:fill="ffffff"/>
        </w:rPr>
        <w:t xml:space="preserve">的</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（关键</w:t>
      </w:r>
      <w:r>
        <w:rPr>
          <w:rStyle w:val="864"/>
          <w:rFonts w:ascii="方正魏碑_GBK" w:hAnsi="方正魏碑_GBK" w:eastAsia="方正魏碑_GBK" w:cs="方正魏碑_GBK"/>
          <w:i w:val="0"/>
          <w:color w:val="auto"/>
          <w:sz w:val="24"/>
          <w:szCs w:val="24"/>
          <w:highlight w:val="none"/>
          <w:u w:val="single"/>
          <w:shd w:val="clear" w:color="auto" w:fill="ffffff"/>
        </w:rPr>
        <w:t xml:space="preserve">组件</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w:t>
      </w:r>
      <w:r>
        <w:rPr>
          <w:rFonts w:hint="eastAsia" w:ascii="方正魏碑_GBK" w:hAnsi="方正魏碑_GBK" w:eastAsia="方正魏碑_GBK" w:cs="方正魏碑_GBK"/>
          <w:color w:val="auto"/>
          <w:szCs w:val="24"/>
          <w:highlight w:val="none"/>
          <w:shd w:val="clear" w:color="auto" w:fill="ffffff"/>
        </w:rPr>
        <w:t xml:space="preserve">在中国境内生产。</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Cs w:val="24"/>
          <w:highlight w:val="none"/>
          <w:shd w:val="clear" w:color="auto" w:fill="ffffff"/>
        </w:rPr>
        <w:t xml:space="preserve">的</w:t>
      </w:r>
      <w:r>
        <w:rPr>
          <w:rStyle w:val="864"/>
          <w:rFonts w:hint="eastAsia" w:ascii="方正魏碑_GBK" w:hAnsi="方正魏碑_GBK" w:eastAsia="方正魏碑_GBK" w:cs="方正魏碑_GBK"/>
          <w:i w:val="0"/>
          <w:color w:val="auto"/>
          <w:sz w:val="24"/>
          <w:szCs w:val="24"/>
          <w:highlight w:val="none"/>
          <w:u w:val="single"/>
          <w:shd w:val="clear" w:color="auto" w:fill="ffffff"/>
        </w:rPr>
        <w:t xml:space="preserve">（关键工序）</w:t>
      </w:r>
      <w:r>
        <w:rPr>
          <w:rFonts w:hint="eastAsia" w:ascii="方正魏碑_GBK" w:hAnsi="方正魏碑_GBK" w:eastAsia="方正魏碑_GBK" w:cs="方正魏碑_GBK"/>
          <w:color w:val="auto"/>
          <w:szCs w:val="24"/>
          <w:highlight w:val="none"/>
          <w:shd w:val="clear" w:color="auto" w:fill="ffffff"/>
        </w:rPr>
        <w:t xml:space="preserve">在中国境内完成。</w:t>
      </w:r>
      <w:r/>
    </w:p>
    <w:p>
      <w:pPr>
        <w:pStyle w:val="854"/>
        <w:ind w:firstLine="4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shd w:val="clear" w:color="auto" w:fill="ffffff"/>
        </w:rPr>
        <w:t xml:space="preserve">……</w:t>
      </w:r>
      <w:r/>
    </w:p>
    <w:p>
      <w:pPr>
        <w:pStyle w:val="854"/>
        <w:ind w:firstLine="4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shd w:val="clear" w:color="auto" w:fill="ffffff"/>
        </w:rPr>
        <w:t xml:space="preserve">本公司（单位）对上述声明内容的真实性负责。如有虚假，愿承担相应法律责任。</w:t>
      </w:r>
      <w:r/>
    </w:p>
    <w:p>
      <w:pPr>
        <w:pStyle w:val="854"/>
        <w:spacing w:before="30" w:after="30" w:line="0" w:lineRule="atLeast"/>
        <w:shd w:val="clear" w:color="auto"/>
        <w:rPr>
          <w:rFonts w:ascii="方正魏碑_GBK" w:hAnsi="方正魏碑_GBK" w:eastAsia="方正魏碑_GBK" w:cs="方正魏碑_GBK"/>
          <w:color w:val="auto"/>
          <w:szCs w:val="24"/>
          <w:highlight w:val="none"/>
        </w:rPr>
      </w:pPr>
      <w:r>
        <w:rPr>
          <w:rFonts w:ascii="方正魏碑_GBK" w:hAnsi="方正魏碑_GBK" w:eastAsia="方正魏碑_GBK" w:cs="方正魏碑_GBK"/>
          <w:color w:val="auto"/>
          <w:szCs w:val="24"/>
          <w:highlight w:val="none"/>
        </w:rPr>
      </w:r>
      <w:r/>
    </w:p>
    <w:p>
      <w:pPr>
        <w:pStyle w:val="854"/>
        <w:ind w:right="480" w:firstLine="37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shd w:val="clear" w:color="auto" w:fill="ffffff"/>
        </w:rPr>
        <w:t xml:space="preserve">公司（单位）名称（盖章）：　        </w:t>
      </w:r>
      <w:r/>
    </w:p>
    <w:p>
      <w:pPr>
        <w:pStyle w:val="854"/>
        <w:jc w:val="center"/>
        <w:spacing w:before="30" w:after="30" w:line="0" w:lineRule="atLeas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szCs w:val="24"/>
          <w:highlight w:val="none"/>
          <w:shd w:val="clear" w:color="auto" w:fill="ffffff"/>
        </w:rPr>
        <w:t xml:space="preserve">                    </w:t>
      </w:r>
      <w:r>
        <w:rPr>
          <w:rFonts w:ascii="方正魏碑_GBK" w:hAnsi="方正魏碑_GBK" w:eastAsia="方正魏碑_GBK" w:cs="方正魏碑_GBK"/>
          <w:color w:val="auto"/>
          <w:szCs w:val="24"/>
          <w:highlight w:val="none"/>
          <w:shd w:val="clear" w:color="auto" w:fill="ffffff"/>
        </w:rPr>
        <w:t xml:space="preserve">            </w:t>
      </w:r>
      <w:r>
        <w:rPr>
          <w:rFonts w:hint="eastAsia" w:ascii="方正魏碑_GBK" w:hAnsi="方正魏碑_GBK" w:eastAsia="方正魏碑_GBK" w:cs="方正魏碑_GBK"/>
          <w:color w:val="auto"/>
          <w:szCs w:val="24"/>
          <w:highlight w:val="none"/>
          <w:shd w:val="clear" w:color="auto" w:fill="ffffff"/>
        </w:rPr>
        <w:t xml:space="preserve">日期：　   年　  月　  日    </w:t>
      </w:r>
      <w:r>
        <w:rPr>
          <w:rFonts w:hint="eastAsia" w:ascii="方正魏碑_GBK" w:hAnsi="方正魏碑_GBK" w:eastAsia="方正魏碑_GBK" w:cs="方正魏碑_GBK"/>
          <w:color w:val="auto"/>
          <w:highlight w:val="none"/>
          <w:shd w:val="clear" w:color="auto" w:fill="ffffff"/>
        </w:rPr>
        <w:t xml:space="preserve">     </w:t>
      </w:r>
      <w:r/>
    </w:p>
    <w:p>
      <w:pPr>
        <w:pStyle w:val="854"/>
        <w:spacing w:before="30" w:after="30" w:line="0" w:lineRule="atLeas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54"/>
        <w:spacing w:before="30" w:after="3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54"/>
        <w:spacing w:before="30" w:after="3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54"/>
        <w:spacing w:before="30" w:after="3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54"/>
        <w:spacing w:before="30" w:after="3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54"/>
        <w:spacing w:before="30" w:after="3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54"/>
        <w:spacing w:before="30" w:after="3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12"/>
        <w:numPr>
          <w:ilvl w:val="0"/>
          <w:numId w:val="0"/>
        </w:numPr>
        <w:jc w:val="center"/>
        <w:rPr>
          <w:rFonts w:ascii="宋体" w:hAnsi="宋体"/>
          <w:b w:val="0"/>
          <w:color w:val="auto"/>
          <w:sz w:val="32"/>
          <w:highlight w:val="none"/>
        </w:rPr>
      </w:pPr>
      <w:r>
        <w:rPr>
          <w:rStyle w:val="860"/>
          <w:rFonts w:cs="仿宋"/>
          <w:b w:val="0"/>
          <w:bCs w:val="0"/>
          <w:color w:val="auto"/>
          <w:sz w:val="21"/>
          <w:szCs w:val="21"/>
          <w:highlight w:val="none"/>
        </w:rPr>
        <w:br w:type="page" w:clear="all"/>
      </w:r>
      <w:r>
        <w:rPr>
          <w:rFonts w:hint="eastAsia" w:ascii="宋体" w:hAnsi="宋体" w:eastAsia="宋体" w:cs="Arial"/>
          <w:b/>
          <w:bCs/>
          <w:color w:val="auto"/>
          <w:sz w:val="32"/>
          <w:szCs w:val="44"/>
          <w:highlight w:val="none"/>
          <w:lang w:val="en-US" w:eastAsia="zh-CN" w:bidi="ar-SA"/>
        </w:rPr>
        <w:t xml:space="preserve">四、开标一览表</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820"/>
        <w:tblW w:w="8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7"/>
        <w:gridCol w:w="6272"/>
      </w:tblGrid>
      <w:tr>
        <w:trPr>
          <w:cantSplit/>
          <w:trHeight w:val="1460"/>
        </w:trPr>
        <w:tc>
          <w:tcPr>
            <w:tcW w:w="2427" w:type="dxa"/>
            <w:vAlign w:val="center"/>
            <w:textDirection w:val="lrTb"/>
            <w:noWrap w:val="false"/>
          </w:tcPr>
          <w:p>
            <w:pPr>
              <w:pStyle w:val="828"/>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272"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2264"/>
        </w:trPr>
        <w:tc>
          <w:tcPr>
            <w:tcW w:w="2427" w:type="dxa"/>
            <w:vAlign w:val="center"/>
            <w:textDirection w:val="lrTb"/>
            <w:noWrap w:val="false"/>
          </w:tcPr>
          <w:p>
            <w:pPr>
              <w:pStyle w:val="828"/>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72" w:type="dxa"/>
            <w:vAlign w:val="center"/>
            <w:textDirection w:val="lrTb"/>
            <w:noWrap w:val="false"/>
          </w:tcPr>
          <w:p>
            <w:pPr>
              <w:pStyle w:val="1135"/>
              <w:ind w:firstLine="42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135"/>
              <w:ind w:firstLine="42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r>
        <w:trPr>
          <w:cantSplit/>
          <w:trHeight w:val="1787"/>
        </w:trPr>
        <w:tc>
          <w:tcPr>
            <w:tcW w:w="2427" w:type="dxa"/>
            <w:vAlign w:val="center"/>
            <w:textDirection w:val="lrTb"/>
            <w:noWrap w:val="false"/>
          </w:tcPr>
          <w:p>
            <w:pPr>
              <w:pStyle w:val="828"/>
              <w:jc w:val="center"/>
              <w:spacing w:line="30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是否小微企业制造</w:t>
            </w:r>
            <w:r/>
          </w:p>
        </w:tc>
        <w:tc>
          <w:tcPr>
            <w:tcW w:w="6272" w:type="dxa"/>
            <w:vAlign w:val="center"/>
            <w:textDirection w:val="lrTb"/>
            <w:noWrap w:val="false"/>
          </w:tcPr>
          <w:p>
            <w:pPr>
              <w:pStyle w:val="828"/>
              <w:jc w:val="center"/>
              <w:spacing w:line="300" w:lineRule="auto"/>
              <w:shd w:val="clear" w:color="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□是             □否</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11"/>
        <w:numPr>
          <w:ilvl w:val="0"/>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821"/>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13"/>
        </w:numPr>
        <w:jc w:val="center"/>
        <w:spacing w:line="360" w:lineRule="auto"/>
        <w:rPr>
          <w:rFonts w:hint="eastAsia" w:ascii="宋体" w:hAnsi="宋体" w:cs="Arial"/>
          <w:b/>
          <w:bCs/>
          <w:color w:val="auto"/>
          <w:sz w:val="32"/>
          <w:szCs w:val="44"/>
          <w:highlight w:val="none"/>
        </w:rPr>
      </w:pPr>
      <w:r>
        <w:rPr>
          <w:rFonts w:hint="eastAsia" w:ascii="宋体" w:hAnsi="宋体"/>
          <w:color w:val="auto"/>
          <w:sz w:val="32"/>
          <w:szCs w:val="32"/>
          <w:highlight w:val="none"/>
        </w:rPr>
        <w:br w:type="page" w:clear="all"/>
      </w:r>
      <w:r>
        <w:rPr>
          <w:rFonts w:hint="eastAsia" w:ascii="宋体" w:hAnsi="宋体" w:cs="Arial"/>
          <w:b/>
          <w:bCs/>
          <w:color w:val="auto"/>
          <w:sz w:val="32"/>
          <w:szCs w:val="44"/>
          <w:highlight w:val="none"/>
        </w:rPr>
        <w:t xml:space="preserve">投标产品配置及分项报价表</w:t>
      </w:r>
      <w:r/>
    </w:p>
    <w:p>
      <w:pPr>
        <w:pStyle w:val="858"/>
        <w:numPr>
          <w:ilvl w:val="0"/>
          <w:numId w:val="0"/>
        </w:numPr>
        <w:ind w:left="840"/>
        <w:rPr>
          <w:color w:val="auto"/>
          <w:highlight w:val="none"/>
        </w:rPr>
      </w:pPr>
      <w:r>
        <w:rPr>
          <w:color w:val="auto"/>
          <w:highlight w:val="none"/>
        </w:rPr>
      </w:r>
      <w:r/>
    </w:p>
    <w:tbl>
      <w:tblPr>
        <w:tblStyle w:val="82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3"/>
        <w:gridCol w:w="1701"/>
        <w:gridCol w:w="1563"/>
        <w:gridCol w:w="1722"/>
      </w:tblGrid>
      <w:tr>
        <w:trPr>
          <w:cantSplit/>
          <w:trHeight w:val="712"/>
        </w:trPr>
        <w:tc>
          <w:tcPr>
            <w:tcW w:w="2073"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998"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W w:w="917"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W w:w="1010" w:type="pct"/>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备注</w:t>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color w:val="auto"/>
                <w:szCs w:val="21"/>
                <w:highlight w:val="none"/>
              </w:rPr>
              <w:t xml:space="preserve">合计</w:t>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bCs w:val="0"/>
          <w:color w:val="auto"/>
          <w:sz w:val="32"/>
          <w:szCs w:val="32"/>
          <w:highlight w:val="none"/>
        </w:rPr>
      </w:pPr>
      <w:r>
        <w:rPr>
          <w:rFonts w:hint="eastAsia" w:ascii="宋体" w:hAnsi="宋体"/>
          <w:bCs w:val="0"/>
          <w:color w:val="auto"/>
          <w:sz w:val="32"/>
          <w:szCs w:val="32"/>
          <w:highlight w:val="none"/>
        </w:rPr>
        <w:br w:type="page" w:clear="all"/>
      </w:r>
      <w:r/>
    </w:p>
    <w:p>
      <w:pPr>
        <w:pStyle w:val="811"/>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820"/>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outlineLvl w:val="1"/>
      </w:pPr>
      <w:r>
        <w:rPr>
          <w:rFonts w:hint="eastAsia" w:ascii="黑体" w:hAnsi="Arial" w:eastAsia="黑体"/>
          <w:color w:val="auto"/>
          <w:sz w:val="32"/>
          <w:highlight w:val="none"/>
        </w:rPr>
        <w:br w:type="page" w:clear="all"/>
      </w:r>
      <w:bookmarkStart w:id="33" w:name="_Hlt26955054"/>
      <w:r/>
      <w:bookmarkEnd w:id="33"/>
      <w:r/>
      <w:bookmarkStart w:id="34" w:name="_Toc113352363"/>
      <w:r>
        <w:rPr>
          <w:rFonts w:hint="eastAsia" w:ascii="宋体" w:hAnsi="宋体"/>
          <w:b/>
          <w:color w:val="auto"/>
          <w:sz w:val="32"/>
          <w:szCs w:val="32"/>
          <w:highlight w:val="none"/>
        </w:rPr>
        <w:t xml:space="preserve">七、商务条款响应及偏离表</w:t>
      </w:r>
      <w:bookmarkEnd w:id="34"/>
      <w:r/>
      <w:r/>
    </w:p>
    <w:tbl>
      <w:tblPr>
        <w:tblStyle w:val="820"/>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21"/>
        <w:ind w:firstLine="480"/>
        <w:rPr>
          <w:rFonts w:ascii="宋体" w:hAnsi="宋体"/>
          <w:color w:val="auto"/>
          <w:sz w:val="24"/>
          <w:highlight w:val="none"/>
        </w:rPr>
      </w:pPr>
      <w:r/>
      <w:bookmarkStart w:id="35" w:name="_Hlt26955066"/>
      <w:r/>
      <w:bookmarkEnd w:id="35"/>
      <w:r/>
      <w:bookmarkStart w:id="36" w:name="_Hlt26671374"/>
      <w:r/>
      <w:bookmarkEnd w:id="36"/>
      <w:r/>
      <w:bookmarkStart w:id="37" w:name="_Hlt26609389"/>
      <w:r/>
      <w:bookmarkEnd w:id="37"/>
      <w:r/>
      <w:bookmarkStart w:id="38" w:name="_Toc462564146"/>
      <w:r/>
      <w:r/>
    </w:p>
    <w:p>
      <w:pPr>
        <w:pStyle w:val="821"/>
        <w:ind w:firstLine="480"/>
        <w:rPr>
          <w:rFonts w:ascii="宋体" w:hAnsi="宋体"/>
          <w:color w:val="auto"/>
          <w:sz w:val="24"/>
          <w:highlight w:val="none"/>
        </w:rPr>
      </w:pPr>
      <w:r>
        <w:rPr>
          <w:rFonts w:ascii="宋体" w:hAnsi="宋体"/>
          <w:color w:val="auto"/>
          <w:sz w:val="24"/>
          <w:highlight w:val="none"/>
        </w:rPr>
      </w:r>
      <w:r/>
    </w:p>
    <w:p>
      <w:pPr>
        <w:pStyle w:val="821"/>
        <w:ind w:firstLine="480"/>
        <w:rPr>
          <w:rFonts w:ascii="宋体" w:hAnsi="宋体"/>
          <w:color w:val="auto"/>
          <w:sz w:val="24"/>
          <w:highlight w:val="none"/>
        </w:rPr>
      </w:pPr>
      <w:r>
        <w:rPr>
          <w:rFonts w:ascii="宋体" w:hAnsi="宋体"/>
          <w:color w:val="auto"/>
          <w:sz w:val="24"/>
          <w:highlight w:val="none"/>
        </w:rPr>
      </w:r>
      <w:r/>
    </w:p>
    <w:p>
      <w:pPr>
        <w:pStyle w:val="821"/>
        <w:ind w:firstLine="480"/>
        <w:rPr>
          <w:rFonts w:ascii="宋体" w:hAnsi="宋体"/>
          <w:color w:val="auto"/>
          <w:sz w:val="24"/>
          <w:highlight w:val="none"/>
        </w:rPr>
      </w:pPr>
      <w:r>
        <w:rPr>
          <w:rFonts w:ascii="宋体" w:hAnsi="宋体"/>
          <w:color w:val="auto"/>
          <w:sz w:val="24"/>
          <w:highlight w:val="none"/>
        </w:rPr>
      </w:r>
      <w:r/>
    </w:p>
    <w:p>
      <w:pPr>
        <w:pStyle w:val="821"/>
        <w:ind w:firstLine="480"/>
        <w:rPr>
          <w:rFonts w:ascii="宋体" w:hAnsi="宋体"/>
          <w:color w:val="auto"/>
          <w:sz w:val="24"/>
          <w:highlight w:val="none"/>
        </w:rPr>
      </w:pPr>
      <w:r>
        <w:rPr>
          <w:rFonts w:hint="eastAsia" w:ascii="宋体" w:hAnsi="宋体"/>
          <w:color w:val="auto"/>
          <w:sz w:val="24"/>
          <w:highlight w:val="none"/>
        </w:rPr>
        <w:t xml:space="preserve">.</w:t>
      </w:r>
      <w:r/>
    </w:p>
    <w:p>
      <w:pPr>
        <w:pStyle w:val="821"/>
        <w:ind w:firstLine="480"/>
        <w:rPr>
          <w:rFonts w:ascii="宋体" w:hAnsi="宋体"/>
          <w:color w:val="auto"/>
          <w:sz w:val="24"/>
          <w:highlight w:val="none"/>
        </w:rPr>
      </w:pPr>
      <w:r>
        <w:rPr>
          <w:rFonts w:ascii="宋体" w:hAnsi="宋体"/>
          <w:color w:val="auto"/>
          <w:sz w:val="24"/>
          <w:highlight w:val="none"/>
        </w:rPr>
      </w:r>
      <w:r/>
    </w:p>
    <w:p>
      <w:pPr>
        <w:pStyle w:val="821"/>
        <w:ind w:firstLine="643"/>
        <w:rPr>
          <w:rFonts w:ascii="宋体" w:hAnsi="宋体"/>
          <w:b/>
          <w:color w:val="auto"/>
          <w:sz w:val="32"/>
          <w:szCs w:val="32"/>
          <w:highlight w:val="none"/>
        </w:rPr>
      </w:pPr>
      <w:r>
        <w:rPr>
          <w:rFonts w:ascii="宋体" w:hAnsi="宋体"/>
          <w:b/>
          <w:color w:val="auto"/>
          <w:sz w:val="32"/>
          <w:szCs w:val="32"/>
          <w:highlight w:val="none"/>
        </w:rPr>
      </w:r>
      <w:r/>
    </w:p>
    <w:p>
      <w:pPr>
        <w:pStyle w:val="821"/>
        <w:ind w:firstLine="480"/>
        <w:rPr>
          <w:rFonts w:ascii="宋体" w:hAnsi="宋体"/>
          <w:color w:val="auto"/>
          <w:sz w:val="24"/>
          <w:highlight w:val="none"/>
        </w:rPr>
      </w:pPr>
      <w:r>
        <w:rPr>
          <w:rFonts w:hint="eastAsia" w:ascii="宋体" w:hAnsi="宋体"/>
          <w:b/>
          <w:color w:val="auto"/>
          <w:sz w:val="32"/>
          <w:szCs w:val="32"/>
          <w:highlight w:val="none"/>
        </w:rPr>
        <w:br w:type="page" w:clear="all"/>
      </w:r>
      <w:bookmarkEnd w:id="38"/>
      <w:r/>
      <w:r/>
    </w:p>
    <w:p>
      <w:pPr>
        <w:pStyle w:val="821"/>
        <w:ind w:firstLine="480"/>
        <w:rPr>
          <w:rFonts w:ascii="宋体" w:hAnsi="宋体"/>
          <w:color w:val="auto"/>
          <w:sz w:val="24"/>
          <w:highlight w:val="none"/>
        </w:rPr>
      </w:pPr>
      <w:r>
        <w:rPr>
          <w:rFonts w:ascii="宋体" w:hAnsi="宋体"/>
          <w:color w:val="auto"/>
          <w:sz w:val="24"/>
          <w:highlight w:val="none"/>
        </w:rPr>
      </w:r>
      <w:r/>
    </w:p>
    <w:p>
      <w:pPr>
        <w:jc w:val="center"/>
        <w:widowControl/>
        <w:rPr>
          <w:rFonts w:ascii="宋体" w:hAnsi="宋体"/>
          <w:b/>
          <w:color w:val="auto"/>
          <w:highlight w:val="none"/>
        </w:rPr>
      </w:pPr>
      <w:r/>
      <w:bookmarkStart w:id="39" w:name="_格式2__法定代表人授权书"/>
      <w:r/>
      <w:bookmarkEnd w:id="39"/>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20"/>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新宋体">
    <w:panose1 w:val="02010609030101010101"/>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Pr>
        <w:rFonts w:hint="eastAsia" w:ascii="宋体" w:hAnsi="宋体" w:cs="宋体"/>
        <w:highlight w:val="none"/>
        <w:lang w:val="en-US" w:eastAsia="zh-CN"/>
      </w:rPr>
      <w:t xml:space="preserve">JSZC-321000-JSWC-G2026-0016</w:t>
    </w:r>
    <w:r>
      <w:rPr>
        <w:rFonts w:hint="eastAsia" w:ascii="宋体" w:hAnsi="宋体" w:cs="宋体"/>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Pr>
        <w:rFonts w:hint="eastAsia" w:ascii="宋体" w:hAnsi="宋体" w:cs="宋体"/>
        <w:highlight w:val="none"/>
        <w:lang w:val="en-US" w:eastAsia="zh-CN"/>
      </w:rPr>
      <w:t xml:space="preserve">JSZC-321000-JSWC-G2026-0016</w:t>
    </w:r>
    <w:r>
      <w:rPr>
        <w:rFonts w:hint="eastAsia" w:ascii="宋体" w:hAnsi="宋体" w:cs="宋体"/>
      </w:rPr>
      <w:t xml:space="preserve">号</w:t>
    </w:r>
    <w:r>
      <w:rPr>
        <w:rFonts w:hint="eastAsia"/>
      </w:rPr>
      <w:t xml:space="preserve">                                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Bdr>
        <w:bottom w:val="single" w:color="auto" w:sz="4" w:space="1"/>
      </w:pBdr>
    </w:pPr>
    <w:r>
      <w:rPr>
        <w:rFonts w:hint="eastAsia"/>
      </w:rPr>
      <w:t xml:space="preserve">JSZC-321000-JSWC-</w:t>
    </w:r>
    <w:r>
      <w:rPr>
        <w:rFonts w:hint="eastAsia"/>
        <w:lang w:eastAsia="zh-CN"/>
      </w:rPr>
      <w:t xml:space="preserve">G2026</w:t>
    </w:r>
    <w:r>
      <w:rPr>
        <w:rFonts w:hint="eastAsia"/>
      </w:rPr>
      <w:t xml:space="preserve">-</w:t>
    </w:r>
    <w:r>
      <w:rPr>
        <w:rFonts w:hint="eastAsia"/>
        <w:lang w:eastAsia="zh-CN"/>
      </w:rPr>
      <w:t xml:space="preserve">0054</w:t>
    </w:r>
    <w:r>
      <w:rPr>
        <w:rFonts w:hint="eastAsia"/>
      </w:rPr>
      <w:t xml:space="preserve">号                                      江苏唯诚建设咨询有限公司</w:t>
    </w:r>
    <w:r/>
  </w:p>
  <w:p>
    <w:pPr>
      <w:pStyle w:val="84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36"/>
      <w:isLgl/>
      <w:suff w:val="tab"/>
      <w:lvlText w:val="%1.%2"/>
      <w:lvlJc w:val="left"/>
      <w:pPr>
        <w:ind w:left="0" w:firstLine="0"/>
        <w:tabs>
          <w:tab w:val="left" w:pos="851" w:leader="none"/>
        </w:tabs>
      </w:pPr>
    </w:lvl>
    <w:lvl w:ilvl="2">
      <w:start w:val="1"/>
      <w:numFmt w:val="decimal"/>
      <w:pStyle w:val="1120"/>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bullet"/>
      <w:pStyle w:val="1116"/>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bullet"/>
      <w:pStyle w:val="87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811"/>
      <w:isLgl w:val="false"/>
      <w:suff w:val="space"/>
      <w:lvlText w:val="%1.%2"/>
      <w:lvlJc w:val="left"/>
      <w:pPr>
        <w:ind w:left="851" w:hanging="567"/>
      </w:pPr>
      <w:rPr>
        <w:rFonts w:hint="default" w:ascii="Arial" w:hAnsi="Arial" w:eastAsia="黑体"/>
        <w:b/>
        <w:i w:val="0"/>
        <w:sz w:val="28"/>
        <w:szCs w:val="28"/>
      </w:rPr>
    </w:lvl>
    <w:lvl w:ilvl="2">
      <w:start w:val="1"/>
      <w:numFmt w:val="decimal"/>
      <w:pStyle w:val="812"/>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japaneseCounting"/>
      <w:pStyle w:val="1126"/>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7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1"/>
  </w:num>
  <w:num w:numId="4">
    <w:abstractNumId w:val="2"/>
  </w:num>
  <w:num w:numId="5">
    <w:abstractNumId w:val="1"/>
  </w:num>
  <w:num w:numId="6">
    <w:abstractNumId w:val="7"/>
  </w:num>
  <w:num w:numId="7">
    <w:abstractNumId w:val="8"/>
  </w:num>
  <w:num w:numId="8">
    <w:abstractNumId w:val="4"/>
  </w:num>
  <w:num w:numId="9">
    <w:abstractNumId w:val="10"/>
  </w:num>
  <w:num w:numId="10">
    <w:abstractNumId w:val="0"/>
  </w:num>
  <w:num w:numId="11">
    <w:abstractNumId w:val="9"/>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0">
    <w:name w:val="Heading 1"/>
    <w:basedOn w:val="809"/>
    <w:next w:val="809"/>
    <w:link w:val="1030"/>
    <w:uiPriority w:val="9"/>
    <w:qFormat/>
    <w:pPr>
      <w:keepLines/>
      <w:keepNext/>
      <w:spacing w:before="340" w:after="330" w:line="578" w:lineRule="auto"/>
      <w:outlineLvl w:val="0"/>
    </w:pPr>
    <w:rPr>
      <w:b/>
      <w:bCs/>
      <w:sz w:val="44"/>
      <w:szCs w:val="44"/>
    </w:rPr>
  </w:style>
  <w:style w:type="paragraph" w:styleId="811">
    <w:name w:val="Heading 2"/>
    <w:basedOn w:val="809"/>
    <w:next w:val="821"/>
    <w:link w:val="1031"/>
    <w:uiPriority w:val="9"/>
    <w:qFormat/>
    <w:pPr>
      <w:numPr>
        <w:ilvl w:val="1"/>
        <w:numId w:val="1"/>
      </w:numPr>
      <w:jc w:val="left"/>
      <w:keepLines/>
      <w:keepNext/>
      <w:spacing w:before="312" w:after="312"/>
      <w:outlineLvl w:val="1"/>
    </w:pPr>
    <w:rPr>
      <w:rFonts w:ascii="Arial" w:hAnsi="Arial"/>
      <w:b/>
      <w:bCs/>
      <w:sz w:val="28"/>
      <w:szCs w:val="36"/>
    </w:rPr>
  </w:style>
  <w:style w:type="paragraph" w:styleId="812">
    <w:name w:val="Heading 3"/>
    <w:basedOn w:val="809"/>
    <w:next w:val="809"/>
    <w:link w:val="1033"/>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13">
    <w:name w:val="Heading 4"/>
    <w:basedOn w:val="809"/>
    <w:next w:val="821"/>
    <w:link w:val="1034"/>
    <w:uiPriority w:val="0"/>
    <w:qFormat/>
    <w:pPr>
      <w:spacing w:before="280" w:after="290" w:line="377" w:lineRule="auto"/>
      <w:outlineLvl w:val="3"/>
    </w:pPr>
    <w:rPr>
      <w:rFonts w:ascii="Arial" w:hAnsi="Arial" w:eastAsia="黑体"/>
      <w:b/>
      <w:bCs/>
      <w:sz w:val="28"/>
      <w:szCs w:val="28"/>
    </w:rPr>
  </w:style>
  <w:style w:type="paragraph" w:styleId="814">
    <w:name w:val="Heading 5"/>
    <w:basedOn w:val="809"/>
    <w:next w:val="809"/>
    <w:link w:val="1035"/>
    <w:uiPriority w:val="0"/>
    <w:qFormat/>
    <w:pPr>
      <w:keepLines/>
      <w:keepNext/>
      <w:spacing w:before="280" w:after="290" w:line="376" w:lineRule="auto"/>
      <w:outlineLvl w:val="4"/>
    </w:pPr>
    <w:rPr>
      <w:rFonts w:ascii="Calibri" w:hAnsi="Calibri"/>
      <w:b/>
      <w:bCs/>
      <w:sz w:val="28"/>
      <w:szCs w:val="28"/>
    </w:rPr>
  </w:style>
  <w:style w:type="paragraph" w:styleId="815">
    <w:name w:val="Heading 6"/>
    <w:basedOn w:val="809"/>
    <w:next w:val="809"/>
    <w:link w:val="1036"/>
    <w:uiPriority w:val="0"/>
    <w:qFormat/>
    <w:pPr>
      <w:ind w:left="1152" w:hanging="1152"/>
      <w:keepLines/>
      <w:keepNext/>
      <w:spacing w:before="240" w:after="64" w:line="320" w:lineRule="auto"/>
      <w:outlineLvl w:val="5"/>
    </w:pPr>
    <w:rPr>
      <w:rFonts w:ascii="Cambria" w:hAnsi="Cambria"/>
      <w:b/>
      <w:bCs/>
      <w:sz w:val="24"/>
      <w:szCs w:val="24"/>
    </w:rPr>
  </w:style>
  <w:style w:type="paragraph" w:styleId="816">
    <w:name w:val="Heading 7"/>
    <w:basedOn w:val="809"/>
    <w:next w:val="809"/>
    <w:link w:val="1037"/>
    <w:uiPriority w:val="0"/>
    <w:qFormat/>
    <w:pPr>
      <w:ind w:left="1296" w:hanging="1296"/>
      <w:keepLines/>
      <w:keepNext/>
      <w:spacing w:before="240" w:after="64" w:line="320" w:lineRule="auto"/>
      <w:outlineLvl w:val="6"/>
    </w:pPr>
    <w:rPr>
      <w:b/>
      <w:bCs/>
      <w:sz w:val="24"/>
      <w:szCs w:val="24"/>
    </w:rPr>
  </w:style>
  <w:style w:type="paragraph" w:styleId="817">
    <w:name w:val="Heading 8"/>
    <w:basedOn w:val="809"/>
    <w:next w:val="809"/>
    <w:link w:val="1038"/>
    <w:uiPriority w:val="0"/>
    <w:qFormat/>
    <w:pPr>
      <w:ind w:left="1440" w:hanging="1440"/>
      <w:keepLines/>
      <w:keepNext/>
      <w:spacing w:before="240" w:after="64" w:line="320" w:lineRule="auto"/>
      <w:outlineLvl w:val="7"/>
    </w:pPr>
    <w:rPr>
      <w:rFonts w:ascii="Cambria" w:hAnsi="Cambria"/>
      <w:sz w:val="24"/>
      <w:szCs w:val="24"/>
    </w:rPr>
  </w:style>
  <w:style w:type="paragraph" w:styleId="818">
    <w:name w:val="Heading 9"/>
    <w:basedOn w:val="809"/>
    <w:next w:val="809"/>
    <w:link w:val="1039"/>
    <w:uiPriority w:val="0"/>
    <w:qFormat/>
    <w:pPr>
      <w:ind w:left="1584" w:hanging="1584"/>
      <w:keepLines/>
      <w:keepNext/>
      <w:spacing w:before="240" w:after="64" w:line="320" w:lineRule="auto"/>
      <w:outlineLvl w:val="8"/>
    </w:pPr>
    <w:rPr>
      <w:rFonts w:ascii="Cambria" w:hAnsi="Cambria"/>
      <w:sz w:val="20"/>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Normal Indent"/>
    <w:basedOn w:val="809"/>
    <w:link w:val="1032"/>
    <w:uiPriority w:val="0"/>
    <w:unhideWhenUsed/>
    <w:qFormat/>
    <w:pPr>
      <w:ind w:firstLine="420"/>
    </w:pPr>
  </w:style>
  <w:style w:type="paragraph" w:styleId="822">
    <w:name w:val="toc 7"/>
    <w:basedOn w:val="809"/>
    <w:next w:val="809"/>
    <w:uiPriority w:val="39"/>
    <w:unhideWhenUsed/>
    <w:qFormat/>
    <w:pPr>
      <w:ind w:left="1701" w:right="0" w:firstLine="0"/>
      <w:spacing w:after="57"/>
    </w:pPr>
  </w:style>
  <w:style w:type="paragraph" w:styleId="823">
    <w:name w:val="table of authorities"/>
    <w:basedOn w:val="809"/>
    <w:next w:val="809"/>
    <w:uiPriority w:val="0"/>
    <w:qFormat/>
    <w:pPr>
      <w:ind w:left="420"/>
    </w:pPr>
  </w:style>
  <w:style w:type="paragraph" w:styleId="824">
    <w:name w:val="Caption"/>
    <w:basedOn w:val="809"/>
    <w:next w:val="809"/>
    <w:uiPriority w:val="0"/>
    <w:qFormat/>
    <w:rPr>
      <w:rFonts w:ascii="Arial" w:hAnsi="Arial" w:eastAsia="黑体"/>
      <w:sz w:val="20"/>
    </w:rPr>
  </w:style>
  <w:style w:type="paragraph" w:styleId="825">
    <w:name w:val="Document Map"/>
    <w:basedOn w:val="809"/>
    <w:link w:val="1040"/>
    <w:uiPriority w:val="0"/>
    <w:qFormat/>
    <w:rPr>
      <w:rFonts w:ascii="宋体"/>
      <w:sz w:val="18"/>
      <w:szCs w:val="18"/>
    </w:rPr>
  </w:style>
  <w:style w:type="paragraph" w:styleId="826">
    <w:name w:val="annotation text"/>
    <w:basedOn w:val="809"/>
    <w:link w:val="1041"/>
    <w:uiPriority w:val="99"/>
    <w:unhideWhenUsed/>
    <w:qFormat/>
    <w:pPr>
      <w:jc w:val="left"/>
    </w:pPr>
    <w:rPr>
      <w:sz w:val="20"/>
      <w:szCs w:val="24"/>
    </w:rPr>
  </w:style>
  <w:style w:type="paragraph" w:styleId="827">
    <w:name w:val="Body Text 3"/>
    <w:basedOn w:val="809"/>
    <w:link w:val="1042"/>
    <w:uiPriority w:val="0"/>
    <w:qFormat/>
    <w:rPr>
      <w:rFonts w:ascii="宋体"/>
      <w:sz w:val="24"/>
      <w:szCs w:val="20"/>
    </w:rPr>
  </w:style>
  <w:style w:type="paragraph" w:styleId="828">
    <w:name w:val="Body Text"/>
    <w:basedOn w:val="809"/>
    <w:link w:val="1043"/>
    <w:uiPriority w:val="0"/>
    <w:qFormat/>
    <w:rPr>
      <w:rFonts w:ascii="楷体_GB2312" w:hAnsi="Arial" w:eastAsia="楷体_GB2312"/>
      <w:sz w:val="28"/>
      <w:szCs w:val="28"/>
    </w:rPr>
  </w:style>
  <w:style w:type="paragraph" w:styleId="829">
    <w:name w:val="Body Text Indent"/>
    <w:basedOn w:val="809"/>
    <w:next w:val="830"/>
    <w:link w:val="1044"/>
    <w:uiPriority w:val="99"/>
    <w:qFormat/>
    <w:pPr>
      <w:ind w:left="420"/>
      <w:spacing w:after="120"/>
    </w:pPr>
    <w:rPr>
      <w:sz w:val="20"/>
      <w:szCs w:val="24"/>
    </w:rPr>
  </w:style>
  <w:style w:type="paragraph" w:styleId="830">
    <w:name w:val="envelope return"/>
    <w:basedOn w:val="809"/>
    <w:uiPriority w:val="0"/>
    <w:qFormat/>
    <w:rPr>
      <w:rFonts w:ascii="Arial" w:hAnsi="Arial"/>
    </w:rPr>
  </w:style>
  <w:style w:type="paragraph" w:styleId="831">
    <w:name w:val="Block Text"/>
    <w:basedOn w:val="809"/>
    <w:uiPriority w:val="0"/>
    <w:qFormat/>
    <w:pPr>
      <w:spacing w:line="856" w:lineRule="atLeast"/>
      <w:widowControl/>
    </w:pPr>
    <w:rPr>
      <w:color w:val="000000"/>
      <w:szCs w:val="20"/>
    </w:rPr>
  </w:style>
  <w:style w:type="paragraph" w:styleId="832">
    <w:name w:val="List Bullet 2"/>
    <w:basedOn w:val="809"/>
    <w:uiPriority w:val="99"/>
    <w:unhideWhenUsed/>
    <w:qFormat/>
    <w:pPr>
      <w:ind w:left="780" w:hanging="360"/>
      <w:tabs>
        <w:tab w:val="left" w:pos="780" w:leader="none"/>
      </w:tabs>
    </w:pPr>
  </w:style>
  <w:style w:type="paragraph" w:styleId="833">
    <w:name w:val="index 4"/>
    <w:next w:val="809"/>
    <w:uiPriority w:val="0"/>
    <w:qFormat/>
    <w:pPr>
      <w:ind w:left="600"/>
      <w:jc w:val="both"/>
      <w:widowControl w:val="off"/>
    </w:pPr>
    <w:rPr>
      <w:rFonts w:hint="default" w:ascii="Times New Roman" w:hAnsi="Times New Roman" w:eastAsia="宋体" w:cs="Times New Roman"/>
      <w:sz w:val="21"/>
      <w:szCs w:val="21"/>
      <w:lang w:val="en-US" w:eastAsia="zh-CN" w:bidi="ar-SA"/>
    </w:rPr>
  </w:style>
  <w:style w:type="paragraph" w:styleId="834">
    <w:name w:val="toc 5"/>
    <w:basedOn w:val="809"/>
    <w:next w:val="809"/>
    <w:uiPriority w:val="39"/>
    <w:unhideWhenUsed/>
    <w:qFormat/>
    <w:pPr>
      <w:ind w:left="1134" w:right="0" w:firstLine="0"/>
      <w:spacing w:after="57"/>
    </w:pPr>
  </w:style>
  <w:style w:type="paragraph" w:styleId="835">
    <w:name w:val="toc 3"/>
    <w:basedOn w:val="809"/>
    <w:next w:val="809"/>
    <w:uiPriority w:val="39"/>
    <w:unhideWhenUsed/>
    <w:qFormat/>
    <w:pPr>
      <w:ind w:left="840"/>
    </w:pPr>
    <w:rPr>
      <w:rFonts w:ascii="Calibri" w:hAnsi="Calibri"/>
    </w:rPr>
  </w:style>
  <w:style w:type="paragraph" w:styleId="836">
    <w:name w:val="Plain Text"/>
    <w:basedOn w:val="809"/>
    <w:link w:val="1045"/>
    <w:uiPriority w:val="0"/>
    <w:qFormat/>
    <w:rPr>
      <w:rFonts w:ascii="宋体" w:hAnsi="Courier New"/>
      <w:sz w:val="20"/>
      <w:szCs w:val="21"/>
    </w:rPr>
  </w:style>
  <w:style w:type="paragraph" w:styleId="837">
    <w:name w:val="toc 8"/>
    <w:basedOn w:val="809"/>
    <w:next w:val="809"/>
    <w:uiPriority w:val="39"/>
    <w:unhideWhenUsed/>
    <w:qFormat/>
    <w:pPr>
      <w:ind w:left="1984" w:right="0" w:firstLine="0"/>
      <w:spacing w:after="57"/>
    </w:pPr>
  </w:style>
  <w:style w:type="paragraph" w:styleId="838">
    <w:name w:val="Date"/>
    <w:basedOn w:val="809"/>
    <w:next w:val="809"/>
    <w:uiPriority w:val="0"/>
    <w:semiHidden/>
    <w:qFormat/>
    <w:rPr>
      <w:szCs w:val="20"/>
    </w:rPr>
  </w:style>
  <w:style w:type="paragraph" w:styleId="839">
    <w:name w:val="Body Text Indent 2"/>
    <w:basedOn w:val="809"/>
    <w:link w:val="1046"/>
    <w:uiPriority w:val="0"/>
    <w:qFormat/>
    <w:pPr>
      <w:ind w:firstLine="562"/>
      <w:spacing w:line="480" w:lineRule="exact"/>
    </w:pPr>
    <w:rPr>
      <w:rFonts w:ascii="楷体_GB2312" w:eastAsia="楷体_GB2312"/>
      <w:b/>
      <w:bCs/>
      <w:sz w:val="28"/>
      <w:szCs w:val="24"/>
    </w:rPr>
  </w:style>
  <w:style w:type="paragraph" w:styleId="840">
    <w:name w:val="endnote text"/>
    <w:basedOn w:val="809"/>
    <w:link w:val="1021"/>
    <w:uiPriority w:val="99"/>
    <w:semiHidden/>
    <w:unhideWhenUsed/>
    <w:qFormat/>
    <w:pPr>
      <w:spacing w:after="0" w:line="240" w:lineRule="auto"/>
    </w:pPr>
    <w:rPr>
      <w:sz w:val="20"/>
    </w:rPr>
  </w:style>
  <w:style w:type="paragraph" w:styleId="841">
    <w:name w:val="Balloon Text"/>
    <w:basedOn w:val="809"/>
    <w:link w:val="1047"/>
    <w:uiPriority w:val="99"/>
    <w:unhideWhenUsed/>
    <w:qFormat/>
    <w:rPr>
      <w:sz w:val="18"/>
      <w:szCs w:val="18"/>
    </w:rPr>
  </w:style>
  <w:style w:type="paragraph" w:styleId="842">
    <w:name w:val="Footer"/>
    <w:basedOn w:val="809"/>
    <w:link w:val="1048"/>
    <w:uiPriority w:val="99"/>
    <w:unhideWhenUsed/>
    <w:qFormat/>
    <w:pPr>
      <w:jc w:val="left"/>
      <w:tabs>
        <w:tab w:val="center" w:pos="4153" w:leader="none"/>
        <w:tab w:val="right" w:pos="8306" w:leader="none"/>
      </w:tabs>
    </w:pPr>
    <w:rPr>
      <w:sz w:val="18"/>
      <w:szCs w:val="18"/>
    </w:rPr>
  </w:style>
  <w:style w:type="paragraph" w:styleId="843">
    <w:name w:val="Header"/>
    <w:basedOn w:val="809"/>
    <w:link w:val="10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4">
    <w:name w:val="toc 1"/>
    <w:basedOn w:val="809"/>
    <w:next w:val="809"/>
    <w:uiPriority w:val="39"/>
    <w:unhideWhenUsed/>
    <w:qFormat/>
    <w:rPr>
      <w:rFonts w:ascii="Calibri" w:hAnsi="Calibri"/>
    </w:rPr>
  </w:style>
  <w:style w:type="paragraph" w:styleId="845">
    <w:name w:val="toc 4"/>
    <w:basedOn w:val="809"/>
    <w:next w:val="809"/>
    <w:uiPriority w:val="39"/>
    <w:unhideWhenUsed/>
    <w:qFormat/>
    <w:pPr>
      <w:ind w:left="850" w:right="0" w:firstLine="0"/>
      <w:spacing w:after="57"/>
    </w:pPr>
  </w:style>
  <w:style w:type="paragraph" w:styleId="846">
    <w:name w:val="Subtitle"/>
    <w:basedOn w:val="809"/>
    <w:next w:val="809"/>
    <w:link w:val="887"/>
    <w:uiPriority w:val="11"/>
    <w:qFormat/>
    <w:pPr>
      <w:spacing w:before="200" w:after="200"/>
    </w:pPr>
    <w:rPr>
      <w:sz w:val="24"/>
      <w:szCs w:val="24"/>
    </w:rPr>
  </w:style>
  <w:style w:type="paragraph" w:styleId="847">
    <w:name w:val="List"/>
    <w:basedOn w:val="809"/>
    <w:uiPriority w:val="99"/>
    <w:qFormat/>
    <w:pPr>
      <w:ind w:left="200" w:hanging="200"/>
    </w:pPr>
    <w:rPr>
      <w:szCs w:val="24"/>
    </w:rPr>
  </w:style>
  <w:style w:type="paragraph" w:styleId="848">
    <w:name w:val="footnote text"/>
    <w:basedOn w:val="809"/>
    <w:link w:val="1020"/>
    <w:uiPriority w:val="99"/>
    <w:semiHidden/>
    <w:unhideWhenUsed/>
    <w:qFormat/>
    <w:pPr>
      <w:spacing w:after="40" w:line="240" w:lineRule="auto"/>
    </w:pPr>
    <w:rPr>
      <w:sz w:val="18"/>
    </w:rPr>
  </w:style>
  <w:style w:type="paragraph" w:styleId="849">
    <w:name w:val="toc 6"/>
    <w:basedOn w:val="809"/>
    <w:next w:val="809"/>
    <w:uiPriority w:val="39"/>
    <w:unhideWhenUsed/>
    <w:qFormat/>
    <w:pPr>
      <w:ind w:left="1417" w:right="0" w:firstLine="0"/>
      <w:spacing w:after="57"/>
    </w:pPr>
  </w:style>
  <w:style w:type="paragraph" w:styleId="850">
    <w:name w:val="table of figures"/>
    <w:basedOn w:val="809"/>
    <w:next w:val="809"/>
    <w:uiPriority w:val="0"/>
    <w:semiHidden/>
    <w:qFormat/>
    <w:pPr>
      <w:ind w:left="840" w:hanging="420"/>
      <w:spacing w:before="156" w:after="156"/>
    </w:pPr>
    <w:rPr>
      <w:sz w:val="24"/>
      <w:szCs w:val="24"/>
    </w:rPr>
  </w:style>
  <w:style w:type="paragraph" w:styleId="851">
    <w:name w:val="toc 2"/>
    <w:basedOn w:val="809"/>
    <w:next w:val="809"/>
    <w:uiPriority w:val="39"/>
    <w:unhideWhenUsed/>
    <w:qFormat/>
    <w:pPr>
      <w:ind w:left="420"/>
    </w:pPr>
    <w:rPr>
      <w:rFonts w:ascii="Calibri" w:hAnsi="Calibri"/>
    </w:rPr>
  </w:style>
  <w:style w:type="paragraph" w:styleId="852">
    <w:name w:val="toc 9"/>
    <w:basedOn w:val="809"/>
    <w:next w:val="809"/>
    <w:uiPriority w:val="0"/>
    <w:semiHidden/>
    <w:qFormat/>
    <w:pPr>
      <w:ind w:left="3360"/>
    </w:pPr>
  </w:style>
  <w:style w:type="paragraph" w:styleId="853">
    <w:name w:val="Body Text 2"/>
    <w:basedOn w:val="809"/>
    <w:uiPriority w:val="0"/>
    <w:qFormat/>
    <w:pPr>
      <w:spacing w:after="120" w:line="480" w:lineRule="auto"/>
    </w:pPr>
  </w:style>
  <w:style w:type="paragraph" w:styleId="854">
    <w:name w:val="Normal (Web)"/>
    <w:basedOn w:val="809"/>
    <w:uiPriority w:val="99"/>
    <w:unhideWhenUsed/>
    <w:qFormat/>
    <w:rPr>
      <w:sz w:val="24"/>
    </w:rPr>
  </w:style>
  <w:style w:type="paragraph" w:styleId="855">
    <w:name w:val="Title"/>
    <w:basedOn w:val="809"/>
    <w:next w:val="809"/>
    <w:link w:val="886"/>
    <w:uiPriority w:val="10"/>
    <w:qFormat/>
    <w:pPr>
      <w:contextualSpacing/>
      <w:spacing w:before="300" w:after="200"/>
    </w:pPr>
    <w:rPr>
      <w:sz w:val="48"/>
      <w:szCs w:val="48"/>
    </w:rPr>
  </w:style>
  <w:style w:type="paragraph" w:styleId="856">
    <w:name w:val="annotation subject"/>
    <w:basedOn w:val="826"/>
    <w:next w:val="826"/>
    <w:link w:val="1050"/>
    <w:uiPriority w:val="99"/>
    <w:unhideWhenUsed/>
    <w:qFormat/>
    <w:rPr>
      <w:b/>
      <w:bCs/>
      <w:szCs w:val="20"/>
    </w:rPr>
  </w:style>
  <w:style w:type="paragraph" w:styleId="857">
    <w:name w:val="Body Text First Indent"/>
    <w:basedOn w:val="828"/>
    <w:uiPriority w:val="0"/>
    <w:qFormat/>
    <w:pPr>
      <w:ind w:left="300" w:firstLine="420"/>
      <w:spacing w:after="120"/>
    </w:pPr>
    <w:rPr>
      <w:rFonts w:ascii="宋体" w:hAnsi="Verdana"/>
      <w:lang w:val="en-GB"/>
    </w:rPr>
  </w:style>
  <w:style w:type="paragraph" w:styleId="858">
    <w:name w:val="Body Text First Indent 2"/>
    <w:basedOn w:val="829"/>
    <w:link w:val="1051"/>
    <w:uiPriority w:val="99"/>
    <w:qFormat/>
    <w:pPr>
      <w:ind w:firstLine="420"/>
    </w:pPr>
  </w:style>
  <w:style w:type="table" w:styleId="859">
    <w:name w:val="Table Grid"/>
    <w:basedOn w:val="820"/>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0">
    <w:name w:val="Strong"/>
    <w:uiPriority w:val="22"/>
    <w:qFormat/>
    <w:rPr>
      <w:rFonts w:ascii="Tahoma" w:hAnsi="Tahoma" w:eastAsia="宋体"/>
      <w:b/>
      <w:bCs/>
      <w:spacing w:val="10"/>
      <w:sz w:val="24"/>
      <w:lang w:val="en-US" w:eastAsia="zh-CN" w:bidi="ar-SA"/>
    </w:rPr>
  </w:style>
  <w:style w:type="character" w:styleId="861">
    <w:name w:val="endnote reference"/>
    <w:basedOn w:val="819"/>
    <w:uiPriority w:val="99"/>
    <w:semiHidden/>
    <w:unhideWhenUsed/>
    <w:qFormat/>
    <w:rPr>
      <w:vertAlign w:val="superscript"/>
    </w:rPr>
  </w:style>
  <w:style w:type="character" w:styleId="862">
    <w:name w:val="page number"/>
    <w:uiPriority w:val="0"/>
    <w:qFormat/>
  </w:style>
  <w:style w:type="character" w:styleId="863">
    <w:name w:val="FollowedHyperlink"/>
    <w:uiPriority w:val="99"/>
    <w:unhideWhenUsed/>
    <w:qFormat/>
    <w:rPr>
      <w:color w:val="333333"/>
      <w:u w:val="none"/>
    </w:rPr>
  </w:style>
  <w:style w:type="character" w:styleId="864">
    <w:name w:val="Emphasis"/>
    <w:uiPriority w:val="0"/>
    <w:qFormat/>
    <w:rPr>
      <w:rFonts w:ascii="Times New Roman" w:hAnsi="Times New Roman"/>
      <w:i/>
      <w:iCs/>
      <w:sz w:val="21"/>
      <w:szCs w:val="20"/>
    </w:rPr>
  </w:style>
  <w:style w:type="character" w:styleId="865">
    <w:name w:val="HTML Definition"/>
    <w:uiPriority w:val="99"/>
    <w:unhideWhenUsed/>
    <w:qFormat/>
    <w:rPr>
      <w:i/>
    </w:rPr>
  </w:style>
  <w:style w:type="character" w:styleId="866">
    <w:name w:val="Hyperlink"/>
    <w:uiPriority w:val="99"/>
    <w:unhideWhenUsed/>
    <w:qFormat/>
    <w:rPr>
      <w:color w:val="333333"/>
      <w:u w:val="none"/>
    </w:rPr>
  </w:style>
  <w:style w:type="character" w:styleId="867">
    <w:name w:val="HTML Code"/>
    <w:uiPriority w:val="99"/>
    <w:unhideWhenUsed/>
    <w:qFormat/>
    <w:rPr>
      <w:rFonts w:ascii="Consolas" w:hAnsi="Consolas" w:eastAsia="Consolas" w:cs="Consolas"/>
      <w:color w:val="c7254e"/>
      <w:sz w:val="21"/>
      <w:szCs w:val="21"/>
      <w:shd w:val="clear" w:color="auto" w:fill="f9f2f4"/>
    </w:rPr>
  </w:style>
  <w:style w:type="character" w:styleId="868">
    <w:name w:val="annotation reference"/>
    <w:uiPriority w:val="99"/>
    <w:unhideWhenUsed/>
    <w:qFormat/>
    <w:rPr>
      <w:sz w:val="21"/>
      <w:szCs w:val="21"/>
    </w:rPr>
  </w:style>
  <w:style w:type="character" w:styleId="869">
    <w:name w:val="footnote reference"/>
    <w:basedOn w:val="819"/>
    <w:uiPriority w:val="99"/>
    <w:unhideWhenUsed/>
    <w:qFormat/>
    <w:rPr>
      <w:vertAlign w:val="superscript"/>
    </w:rPr>
  </w:style>
  <w:style w:type="character" w:styleId="870">
    <w:name w:val="HTML Keyboard"/>
    <w:uiPriority w:val="99"/>
    <w:unhideWhenUsed/>
    <w:qFormat/>
    <w:rPr>
      <w:rFonts w:hint="default" w:ascii="Consolas" w:hAnsi="Consolas" w:eastAsia="Consolas" w:cs="Consolas"/>
      <w:color w:val="ffffff"/>
      <w:sz w:val="21"/>
      <w:szCs w:val="21"/>
      <w:shd w:val="clear" w:color="auto" w:fill="333333"/>
    </w:rPr>
  </w:style>
  <w:style w:type="character" w:styleId="871">
    <w:name w:val="HTML Sample"/>
    <w:uiPriority w:val="99"/>
    <w:unhideWhenUsed/>
    <w:qFormat/>
    <w:rPr>
      <w:rFonts w:hint="default" w:ascii="Consolas" w:hAnsi="Consolas" w:eastAsia="Consolas" w:cs="Consolas"/>
      <w:sz w:val="21"/>
      <w:szCs w:val="21"/>
    </w:rPr>
  </w:style>
  <w:style w:type="paragraph" w:styleId="872" w:customStyle="1">
    <w:name w:val="ListBullet2"/>
    <w:basedOn w:val="809"/>
    <w:uiPriority w:val="0"/>
    <w:qFormat/>
    <w:pPr>
      <w:numPr>
        <w:ilvl w:val="0"/>
        <w:numId w:val="2"/>
      </w:numPr>
    </w:pPr>
  </w:style>
  <w:style w:type="paragraph" w:styleId="873" w:customStyle="1">
    <w:name w:val="首行缩进"/>
    <w:basedOn w:val="809"/>
    <w:uiPriority w:val="0"/>
    <w:qFormat/>
    <w:pPr>
      <w:ind w:firstLine="420"/>
      <w:spacing w:line="360" w:lineRule="auto"/>
    </w:pPr>
  </w:style>
  <w:style w:type="paragraph" w:styleId="874" w:customStyle="1">
    <w:name w:val="正文文本11"/>
    <w:basedOn w:val="809"/>
    <w:next w:val="809"/>
    <w:uiPriority w:val="0"/>
    <w:qFormat/>
    <w:rPr>
      <w:rFonts w:ascii="楷体_GB2312" w:hAnsi="Arial" w:eastAsia="楷体_GB2312"/>
      <w:sz w:val="28"/>
      <w:szCs w:val="28"/>
    </w:rPr>
  </w:style>
  <w:style w:type="paragraph" w:styleId="875" w:customStyle="1">
    <w:name w:val="ListBullet21"/>
    <w:basedOn w:val="809"/>
    <w:uiPriority w:val="0"/>
    <w:qFormat/>
    <w:pPr>
      <w:numPr>
        <w:ilvl w:val="0"/>
        <w:numId w:val="3"/>
      </w:numPr>
    </w:pPr>
  </w:style>
  <w:style w:type="character" w:styleId="876" w:customStyle="1">
    <w:name w:val="Heading 1 Char"/>
    <w:basedOn w:val="819"/>
    <w:uiPriority w:val="9"/>
    <w:qFormat/>
    <w:rPr>
      <w:rFonts w:ascii="Arial" w:hAnsi="Arial" w:eastAsia="Arial" w:cs="Arial"/>
      <w:sz w:val="40"/>
      <w:szCs w:val="40"/>
    </w:rPr>
  </w:style>
  <w:style w:type="character" w:styleId="877" w:customStyle="1">
    <w:name w:val="Heading 2 Char"/>
    <w:basedOn w:val="819"/>
    <w:uiPriority w:val="9"/>
    <w:qFormat/>
    <w:rPr>
      <w:rFonts w:ascii="Arial" w:hAnsi="Arial" w:eastAsia="Arial" w:cs="Arial"/>
      <w:sz w:val="34"/>
    </w:rPr>
  </w:style>
  <w:style w:type="character" w:styleId="878" w:customStyle="1">
    <w:name w:val="Heading 3 Char"/>
    <w:basedOn w:val="819"/>
    <w:uiPriority w:val="9"/>
    <w:qFormat/>
    <w:rPr>
      <w:rFonts w:ascii="Arial" w:hAnsi="Arial" w:eastAsia="Arial" w:cs="Arial"/>
      <w:sz w:val="30"/>
      <w:szCs w:val="30"/>
    </w:rPr>
  </w:style>
  <w:style w:type="character" w:styleId="879" w:customStyle="1">
    <w:name w:val="Heading 4 Char"/>
    <w:basedOn w:val="819"/>
    <w:uiPriority w:val="9"/>
    <w:qFormat/>
    <w:rPr>
      <w:rFonts w:ascii="Arial" w:hAnsi="Arial" w:eastAsia="Arial" w:cs="Arial"/>
      <w:b/>
      <w:bCs/>
      <w:sz w:val="26"/>
      <w:szCs w:val="26"/>
    </w:rPr>
  </w:style>
  <w:style w:type="character" w:styleId="880" w:customStyle="1">
    <w:name w:val="Heading 5 Char"/>
    <w:basedOn w:val="819"/>
    <w:uiPriority w:val="9"/>
    <w:qFormat/>
    <w:rPr>
      <w:rFonts w:ascii="Arial" w:hAnsi="Arial" w:eastAsia="Arial" w:cs="Arial"/>
      <w:b/>
      <w:bCs/>
      <w:sz w:val="24"/>
      <w:szCs w:val="24"/>
    </w:rPr>
  </w:style>
  <w:style w:type="character" w:styleId="881" w:customStyle="1">
    <w:name w:val="Heading 6 Char"/>
    <w:basedOn w:val="819"/>
    <w:uiPriority w:val="9"/>
    <w:qFormat/>
    <w:rPr>
      <w:rFonts w:ascii="Arial" w:hAnsi="Arial" w:eastAsia="Arial" w:cs="Arial"/>
      <w:b/>
      <w:bCs/>
      <w:sz w:val="22"/>
      <w:szCs w:val="22"/>
    </w:rPr>
  </w:style>
  <w:style w:type="character" w:styleId="882" w:customStyle="1">
    <w:name w:val="Heading 8 Char"/>
    <w:basedOn w:val="819"/>
    <w:uiPriority w:val="9"/>
    <w:qFormat/>
    <w:rPr>
      <w:rFonts w:ascii="Arial" w:hAnsi="Arial" w:eastAsia="Arial" w:cs="Arial"/>
      <w:i/>
      <w:iCs/>
      <w:sz w:val="22"/>
      <w:szCs w:val="22"/>
    </w:rPr>
  </w:style>
  <w:style w:type="character" w:styleId="883" w:customStyle="1">
    <w:name w:val="Heading 9 Char"/>
    <w:basedOn w:val="819"/>
    <w:uiPriority w:val="9"/>
    <w:qFormat/>
    <w:rPr>
      <w:rFonts w:ascii="Arial" w:hAnsi="Arial" w:eastAsia="Arial" w:cs="Arial"/>
      <w:i/>
      <w:iCs/>
      <w:sz w:val="21"/>
      <w:szCs w:val="21"/>
    </w:rPr>
  </w:style>
  <w:style w:type="paragraph" w:styleId="884">
    <w:name w:val="List Paragraph"/>
    <w:basedOn w:val="809"/>
    <w:uiPriority w:val="34"/>
    <w:qFormat/>
    <w:pPr>
      <w:contextualSpacing/>
      <w:ind w:left="720"/>
    </w:pPr>
  </w:style>
  <w:style w:type="paragraph" w:styleId="885">
    <w:name w:val="No Spacing"/>
    <w:uiPriority w:val="1"/>
    <w:qFormat/>
    <w:pPr>
      <w:spacing w:before="0" w:after="0" w:line="240" w:lineRule="auto"/>
    </w:pPr>
    <w:rPr>
      <w:rFonts w:hint="default" w:ascii="Times New Roman" w:hAnsi="Times New Roman" w:eastAsia="宋体" w:cs="Times New Roman"/>
    </w:rPr>
  </w:style>
  <w:style w:type="character" w:styleId="886" w:customStyle="1">
    <w:name w:val="Title Char"/>
    <w:basedOn w:val="819"/>
    <w:link w:val="855"/>
    <w:uiPriority w:val="10"/>
    <w:qFormat/>
    <w:rPr>
      <w:sz w:val="48"/>
      <w:szCs w:val="48"/>
    </w:rPr>
  </w:style>
  <w:style w:type="character" w:styleId="887" w:customStyle="1">
    <w:name w:val="Subtitle Char"/>
    <w:basedOn w:val="819"/>
    <w:link w:val="846"/>
    <w:uiPriority w:val="11"/>
    <w:qFormat/>
    <w:rPr>
      <w:sz w:val="24"/>
      <w:szCs w:val="24"/>
    </w:rPr>
  </w:style>
  <w:style w:type="paragraph" w:styleId="888">
    <w:name w:val="Quote"/>
    <w:basedOn w:val="809"/>
    <w:next w:val="809"/>
    <w:link w:val="889"/>
    <w:uiPriority w:val="29"/>
    <w:qFormat/>
    <w:pPr>
      <w:ind w:left="720" w:right="720"/>
    </w:pPr>
    <w:rPr>
      <w:i/>
    </w:rPr>
  </w:style>
  <w:style w:type="character" w:styleId="889" w:customStyle="1">
    <w:name w:val="Quote Char"/>
    <w:link w:val="888"/>
    <w:uiPriority w:val="29"/>
    <w:qFormat/>
    <w:rPr>
      <w:i/>
    </w:rPr>
  </w:style>
  <w:style w:type="paragraph" w:styleId="890">
    <w:name w:val="Intense Quote"/>
    <w:basedOn w:val="809"/>
    <w:next w:val="809"/>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Intense Quote Char"/>
    <w:link w:val="890"/>
    <w:uiPriority w:val="30"/>
    <w:qFormat/>
    <w:rPr>
      <w:i/>
    </w:rPr>
  </w:style>
  <w:style w:type="character" w:styleId="892" w:customStyle="1">
    <w:name w:val="Header Char"/>
    <w:basedOn w:val="819"/>
    <w:uiPriority w:val="99"/>
    <w:qFormat/>
  </w:style>
  <w:style w:type="character" w:styleId="893" w:customStyle="1">
    <w:name w:val="Footer Char"/>
    <w:basedOn w:val="819"/>
    <w:uiPriority w:val="99"/>
    <w:qFormat/>
  </w:style>
  <w:style w:type="character" w:styleId="894" w:customStyle="1">
    <w:name w:val="Caption Char"/>
    <w:uiPriority w:val="99"/>
    <w:qFormat/>
  </w:style>
  <w:style w:type="table" w:styleId="895" w:customStyle="1">
    <w:name w:val="Table Grid Light"/>
    <w:basedOn w:val="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Plain Table 1"/>
    <w:basedOn w:val="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2"/>
    <w:basedOn w:val="8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3"/>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Plain Table 4"/>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Plain Table 5"/>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Grid Table 1 Light"/>
    <w:basedOn w:val="8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basedOn w:val="82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basedOn w:val="82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basedOn w:val="82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basedOn w:val="82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basedOn w:val="82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basedOn w:val="82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Grid Table 2"/>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basedOn w:val="82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basedOn w:val="82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basedOn w:val="82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basedOn w:val="82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basedOn w:val="82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basedOn w:val="82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Grid Table 3"/>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basedOn w:val="82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82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82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82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82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82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w:basedOn w:val="8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basedOn w:val="82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4" w:customStyle="1">
    <w:name w:val="Grid Table 4 - Accent 2"/>
    <w:basedOn w:val="82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5" w:customStyle="1">
    <w:name w:val="Grid Table 4 - Accent 3"/>
    <w:basedOn w:val="82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6" w:customStyle="1">
    <w:name w:val="Grid Table 4 - Accent 4"/>
    <w:basedOn w:val="82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basedOn w:val="82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basedOn w:val="82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Grid Table 5 Dark"/>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Grid Table 6 Colorful"/>
    <w:basedOn w:val="8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basedOn w:val="82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8" w:customStyle="1">
    <w:name w:val="Grid Table 6 Colorful - Accent 2"/>
    <w:basedOn w:val="82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9" w:customStyle="1">
    <w:name w:val="Grid Table 6 Colorful - Accent 3"/>
    <w:basedOn w:val="82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0" w:customStyle="1">
    <w:name w:val="Grid Table 6 Colorful - Accent 4"/>
    <w:basedOn w:val="82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1" w:customStyle="1">
    <w:name w:val="Grid Table 6 Colorful - Accent 5"/>
    <w:basedOn w:val="82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6 Colorful - Accent 6"/>
    <w:basedOn w:val="82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7 Colorful"/>
    <w:basedOn w:val="8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basedOn w:val="82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basedOn w:val="82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basedOn w:val="82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basedOn w:val="82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basedOn w:val="82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basedOn w:val="82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0" w:customStyle="1">
    <w:name w:val="List Table 1 Light"/>
    <w:basedOn w:val="8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basedOn w:val="82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1 Light - Accent 2"/>
    <w:basedOn w:val="82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3" w:customStyle="1">
    <w:name w:val="List Table 1 Light - Accent 3"/>
    <w:basedOn w:val="82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4" w:customStyle="1">
    <w:name w:val="List Table 1 Light - Accent 4"/>
    <w:basedOn w:val="82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basedOn w:val="82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List Table 1 Light - Accent 6"/>
    <w:basedOn w:val="82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List Table 2"/>
    <w:basedOn w:val="8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basedOn w:val="82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9" w:customStyle="1">
    <w:name w:val="List Table 2 - Accent 2"/>
    <w:basedOn w:val="82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0" w:customStyle="1">
    <w:name w:val="List Table 2 - Accent 3"/>
    <w:basedOn w:val="82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1" w:customStyle="1">
    <w:name w:val="List Table 2 - Accent 4"/>
    <w:basedOn w:val="82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2" w:customStyle="1">
    <w:name w:val="List Table 2 - Accent 5"/>
    <w:basedOn w:val="82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3" w:customStyle="1">
    <w:name w:val="List Table 2 - Accent 6"/>
    <w:basedOn w:val="82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4" w:customStyle="1">
    <w:name w:val="List Table 3"/>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basedOn w:val="82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3 - Accent 2"/>
    <w:basedOn w:val="82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7" w:customStyle="1">
    <w:name w:val="List Table 3 - Accent 3"/>
    <w:basedOn w:val="82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8" w:customStyle="1">
    <w:name w:val="List Table 3 - Accent 4"/>
    <w:basedOn w:val="82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9" w:customStyle="1">
    <w:name w:val="List Table 3 - Accent 5"/>
    <w:basedOn w:val="82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0" w:customStyle="1">
    <w:name w:val="List Table 3 - Accent 6"/>
    <w:basedOn w:val="82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1" w:customStyle="1">
    <w:name w:val="List Table 4"/>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basedOn w:val="82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4 - Accent 2"/>
    <w:basedOn w:val="82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4" w:customStyle="1">
    <w:name w:val="List Table 4 - Accent 3"/>
    <w:basedOn w:val="82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5" w:customStyle="1">
    <w:name w:val="List Table 4 - Accent 4"/>
    <w:basedOn w:val="82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6" w:customStyle="1">
    <w:name w:val="List Table 4 - Accent 5"/>
    <w:basedOn w:val="82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7" w:customStyle="1">
    <w:name w:val="List Table 4 - Accent 6"/>
    <w:basedOn w:val="82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8" w:customStyle="1">
    <w:name w:val="List Table 5 Dark"/>
    <w:basedOn w:val="8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basedOn w:val="82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basedOn w:val="82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basedOn w:val="82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basedOn w:val="82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basedOn w:val="82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basedOn w:val="82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6 Colorful"/>
    <w:basedOn w:val="8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basedOn w:val="82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7" w:customStyle="1">
    <w:name w:val="List Table 6 Colorful - Accent 2"/>
    <w:basedOn w:val="82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8" w:customStyle="1">
    <w:name w:val="List Table 6 Colorful - Accent 3"/>
    <w:basedOn w:val="82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9" w:customStyle="1">
    <w:name w:val="List Table 6 Colorful - Accent 4"/>
    <w:basedOn w:val="82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0" w:customStyle="1">
    <w:name w:val="List Table 6 Colorful - Accent 5"/>
    <w:basedOn w:val="82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1" w:customStyle="1">
    <w:name w:val="List Table 6 Colorful - Accent 6"/>
    <w:basedOn w:val="82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2" w:customStyle="1">
    <w:name w:val="List Table 7 Colorful"/>
    <w:basedOn w:val="8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basedOn w:val="82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basedOn w:val="82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basedOn w:val="82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basedOn w:val="82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basedOn w:val="82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basedOn w:val="82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9" w:customStyle="1">
    <w:name w:val="Lined - Accent"/>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Lined - Accent 2"/>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Lined - Accent 3"/>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Lined - Accent 4"/>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Lined - Accent 5"/>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Lined - Accent 6"/>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amp; Lined - Accent"/>
    <w:basedOn w:val="8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basedOn w:val="82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Bordered &amp; Lined - Accent 2"/>
    <w:basedOn w:val="82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Bordered &amp; Lined - Accent 3"/>
    <w:basedOn w:val="82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Bordered &amp; Lined - Accent 4"/>
    <w:basedOn w:val="82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Bordered &amp; Lined - Accent 5"/>
    <w:basedOn w:val="82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Bordered &amp; Lined - Accent 6"/>
    <w:basedOn w:val="82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w:basedOn w:val="8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basedOn w:val="82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5" w:customStyle="1">
    <w:name w:val="Bordered - Accent 2"/>
    <w:basedOn w:val="82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6" w:customStyle="1">
    <w:name w:val="Bordered - Accent 3"/>
    <w:basedOn w:val="82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7" w:customStyle="1">
    <w:name w:val="Bordered - Accent 4"/>
    <w:basedOn w:val="82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8" w:customStyle="1">
    <w:name w:val="Bordered - Accent 5"/>
    <w:basedOn w:val="82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9" w:customStyle="1">
    <w:name w:val="Bordered - Accent 6"/>
    <w:basedOn w:val="82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0" w:customStyle="1">
    <w:name w:val="Footnote Text Char"/>
    <w:link w:val="848"/>
    <w:uiPriority w:val="99"/>
    <w:qFormat/>
    <w:rPr>
      <w:sz w:val="18"/>
    </w:rPr>
  </w:style>
  <w:style w:type="character" w:styleId="1021" w:customStyle="1">
    <w:name w:val="Endnote Text Char"/>
    <w:link w:val="840"/>
    <w:uiPriority w:val="99"/>
    <w:qFormat/>
    <w:rPr>
      <w:sz w:val="20"/>
    </w:rPr>
  </w:style>
  <w:style w:type="paragraph" w:styleId="1022" w:customStyle="1">
    <w:name w:val="TOC Heading"/>
    <w:uiPriority w:val="39"/>
    <w:unhideWhenUsed/>
    <w:qFormat/>
    <w:rPr>
      <w:rFonts w:hint="default" w:ascii="Times New Roman" w:hAnsi="Times New Roman" w:eastAsia="宋体" w:cs="Times New Roman"/>
    </w:rPr>
  </w:style>
  <w:style w:type="paragraph" w:styleId="1023" w:customStyle="1">
    <w:name w:val="正文（缩进）"/>
    <w:basedOn w:val="809"/>
    <w:next w:val="1024"/>
    <w:uiPriority w:val="0"/>
    <w:qFormat/>
    <w:pPr>
      <w:ind w:firstLine="480"/>
    </w:pPr>
  </w:style>
  <w:style w:type="paragraph" w:styleId="1024" w:customStyle="1">
    <w:name w:val="Char Char Char Char Char Char Char Char Char"/>
    <w:basedOn w:val="809"/>
    <w:next w:val="1025"/>
    <w:uiPriority w:val="99"/>
    <w:qFormat/>
    <w:pPr>
      <w:ind w:left="360" w:firstLine="5784"/>
    </w:pPr>
  </w:style>
  <w:style w:type="paragraph" w:styleId="1025" w:customStyle="1">
    <w:name w:val="正文文本 21"/>
    <w:basedOn w:val="809"/>
    <w:next w:val="1026"/>
    <w:uiPriority w:val="99"/>
    <w:qFormat/>
    <w:pPr>
      <w:ind w:left="720" w:firstLine="5680"/>
      <w:widowControl/>
    </w:pPr>
  </w:style>
  <w:style w:type="paragraph" w:styleId="1026" w:customStyle="1">
    <w:name w:val="默认段落字体 Para Char Char Char Char Char Char Char"/>
    <w:basedOn w:val="809"/>
    <w:next w:val="1027"/>
    <w:uiPriority w:val="99"/>
    <w:qFormat/>
    <w:pPr>
      <w:ind w:firstLine="200"/>
    </w:pPr>
    <w:rPr>
      <w:rFonts w:cs="Arial"/>
    </w:rPr>
  </w:style>
  <w:style w:type="paragraph" w:styleId="1027" w:customStyle="1">
    <w:name w:val="样式 首行缩进:  2 字符"/>
    <w:basedOn w:val="809"/>
    <w:next w:val="1028"/>
    <w:uiPriority w:val="99"/>
    <w:qFormat/>
    <w:pPr>
      <w:ind w:left="480" w:firstLine="5856"/>
      <w:spacing w:line="360" w:lineRule="auto"/>
    </w:pPr>
  </w:style>
  <w:style w:type="paragraph" w:styleId="1028" w:customStyle="1">
    <w:name w:val="样式 段后: 0.25 行"/>
    <w:basedOn w:val="809"/>
    <w:next w:val="1029"/>
    <w:uiPriority w:val="99"/>
    <w:qFormat/>
    <w:pPr>
      <w:ind w:left="420" w:firstLine="5796"/>
      <w:spacing w:line="300" w:lineRule="auto"/>
      <w:widowControl/>
    </w:pPr>
  </w:style>
  <w:style w:type="paragraph" w:styleId="1029" w:customStyle="1">
    <w:name w:val="正文 New New New New New New New New New New New New New New"/>
    <w:next w:val="852"/>
    <w:uiPriority w:val="99"/>
    <w:qFormat/>
    <w:pPr>
      <w:ind w:firstLine="2048"/>
      <w:jc w:val="both"/>
      <w:widowControl w:val="off"/>
    </w:pPr>
    <w:rPr>
      <w:rFonts w:hint="default" w:ascii="Calibri" w:hAnsi="Calibri" w:eastAsia="宋体" w:cs="Times New Roman"/>
      <w:lang w:val="en-US" w:eastAsia="zh-CN" w:bidi="ar-SA"/>
    </w:rPr>
  </w:style>
  <w:style w:type="character" w:styleId="1030" w:customStyle="1">
    <w:name w:val="标题 1 字符"/>
    <w:link w:val="810"/>
    <w:uiPriority w:val="9"/>
    <w:qFormat/>
    <w:rPr>
      <w:b/>
      <w:bCs/>
      <w:sz w:val="44"/>
      <w:szCs w:val="44"/>
    </w:rPr>
  </w:style>
  <w:style w:type="character" w:styleId="1031" w:customStyle="1">
    <w:name w:val="标题 2 字符"/>
    <w:link w:val="811"/>
    <w:uiPriority w:val="9"/>
    <w:qFormat/>
    <w:rPr>
      <w:rFonts w:ascii="Arial" w:hAnsi="Arial" w:eastAsia="宋体" w:cs="Times New Roman"/>
      <w:b/>
      <w:bCs/>
      <w:sz w:val="28"/>
      <w:szCs w:val="36"/>
    </w:rPr>
  </w:style>
  <w:style w:type="character" w:styleId="1032" w:customStyle="1">
    <w:name w:val="正文缩进 字符"/>
    <w:link w:val="821"/>
    <w:uiPriority w:val="0"/>
    <w:qFormat/>
  </w:style>
  <w:style w:type="character" w:styleId="1033" w:customStyle="1">
    <w:name w:val="标题 3 字符"/>
    <w:link w:val="812"/>
    <w:uiPriority w:val="0"/>
    <w:qFormat/>
    <w:rPr>
      <w:rFonts w:ascii="Arial" w:hAnsi="Arial" w:eastAsia="黑体" w:cs="Times New Roman"/>
      <w:b/>
      <w:bCs/>
      <w:sz w:val="30"/>
      <w:szCs w:val="32"/>
    </w:rPr>
  </w:style>
  <w:style w:type="character" w:styleId="1034" w:customStyle="1">
    <w:name w:val="标题 4 字符"/>
    <w:link w:val="813"/>
    <w:uiPriority w:val="0"/>
    <w:qFormat/>
    <w:rPr>
      <w:rFonts w:ascii="Arial" w:hAnsi="Arial" w:eastAsia="黑体" w:cs="Arial"/>
      <w:b/>
      <w:bCs/>
      <w:sz w:val="28"/>
      <w:szCs w:val="28"/>
    </w:rPr>
  </w:style>
  <w:style w:type="character" w:styleId="1035" w:customStyle="1">
    <w:name w:val="标题 5 字符1"/>
    <w:link w:val="814"/>
    <w:uiPriority w:val="0"/>
    <w:qFormat/>
    <w:rPr>
      <w:rFonts w:ascii="Calibri" w:hAnsi="Calibri" w:eastAsia="宋体" w:cs="Times New Roman"/>
      <w:b/>
      <w:bCs/>
      <w:sz w:val="28"/>
      <w:szCs w:val="28"/>
    </w:rPr>
  </w:style>
  <w:style w:type="character" w:styleId="1036" w:customStyle="1">
    <w:name w:val="标题 6 字符"/>
    <w:link w:val="815"/>
    <w:uiPriority w:val="0"/>
    <w:qFormat/>
    <w:rPr>
      <w:rFonts w:ascii="Cambria" w:hAnsi="Cambria" w:eastAsia="宋体" w:cs="Times New Roman"/>
      <w:b/>
      <w:bCs/>
      <w:sz w:val="24"/>
      <w:szCs w:val="24"/>
    </w:rPr>
  </w:style>
  <w:style w:type="character" w:styleId="1037" w:customStyle="1">
    <w:name w:val="标题 7 字符"/>
    <w:link w:val="816"/>
    <w:uiPriority w:val="0"/>
    <w:qFormat/>
    <w:rPr>
      <w:rFonts w:ascii="Times New Roman" w:hAnsi="Times New Roman" w:eastAsia="宋体" w:cs="Times New Roman"/>
      <w:b/>
      <w:bCs/>
      <w:sz w:val="24"/>
      <w:szCs w:val="24"/>
    </w:rPr>
  </w:style>
  <w:style w:type="character" w:styleId="1038" w:customStyle="1">
    <w:name w:val="标题 8 字符"/>
    <w:link w:val="817"/>
    <w:uiPriority w:val="0"/>
    <w:qFormat/>
    <w:rPr>
      <w:rFonts w:ascii="Cambria" w:hAnsi="Cambria" w:eastAsia="宋体" w:cs="Times New Roman"/>
      <w:sz w:val="24"/>
      <w:szCs w:val="24"/>
    </w:rPr>
  </w:style>
  <w:style w:type="character" w:styleId="1039" w:customStyle="1">
    <w:name w:val="标题 9 字符"/>
    <w:link w:val="818"/>
    <w:uiPriority w:val="0"/>
    <w:qFormat/>
    <w:rPr>
      <w:rFonts w:ascii="Cambria" w:hAnsi="Cambria" w:eastAsia="宋体" w:cs="Times New Roman"/>
      <w:sz w:val="20"/>
      <w:szCs w:val="21"/>
    </w:rPr>
  </w:style>
  <w:style w:type="character" w:styleId="1040" w:customStyle="1">
    <w:name w:val="文档结构图 字符"/>
    <w:link w:val="825"/>
    <w:uiPriority w:val="0"/>
    <w:qFormat/>
    <w:rPr>
      <w:rFonts w:ascii="宋体" w:hAnsi="Times New Roman"/>
      <w:sz w:val="18"/>
      <w:szCs w:val="18"/>
    </w:rPr>
  </w:style>
  <w:style w:type="character" w:styleId="1041" w:customStyle="1">
    <w:name w:val="批注文字 字符"/>
    <w:link w:val="826"/>
    <w:uiPriority w:val="99"/>
    <w:qFormat/>
    <w:rPr>
      <w:rFonts w:ascii="Times New Roman" w:hAnsi="Times New Roman" w:eastAsia="宋体" w:cs="Times New Roman"/>
      <w:szCs w:val="24"/>
    </w:rPr>
  </w:style>
  <w:style w:type="character" w:styleId="1042" w:customStyle="1">
    <w:name w:val="正文文本 3 字符"/>
    <w:link w:val="827"/>
    <w:uiPriority w:val="0"/>
    <w:qFormat/>
    <w:rPr>
      <w:rFonts w:ascii="宋体" w:hAnsi="Times New Roman"/>
      <w:sz w:val="24"/>
    </w:rPr>
  </w:style>
  <w:style w:type="character" w:styleId="1043" w:customStyle="1">
    <w:name w:val="正文文本 字符"/>
    <w:link w:val="828"/>
    <w:uiPriority w:val="0"/>
    <w:qFormat/>
    <w:rPr>
      <w:rFonts w:ascii="楷体_GB2312" w:hAnsi="Arial" w:eastAsia="楷体_GB2312" w:cs="Times New Roman"/>
      <w:sz w:val="28"/>
      <w:szCs w:val="28"/>
    </w:rPr>
  </w:style>
  <w:style w:type="character" w:styleId="1044" w:customStyle="1">
    <w:name w:val="正文文本缩进 字符"/>
    <w:link w:val="829"/>
    <w:uiPriority w:val="99"/>
    <w:qFormat/>
    <w:rPr>
      <w:rFonts w:ascii="Times New Roman" w:hAnsi="Times New Roman"/>
      <w:szCs w:val="24"/>
    </w:rPr>
  </w:style>
  <w:style w:type="character" w:styleId="1045" w:customStyle="1">
    <w:name w:val="纯文本 字符"/>
    <w:link w:val="836"/>
    <w:uiPriority w:val="0"/>
    <w:qFormat/>
    <w:rPr>
      <w:rFonts w:ascii="宋体" w:hAnsi="Courier New" w:eastAsia="宋体" w:cs="Times New Roman"/>
      <w:szCs w:val="21"/>
    </w:rPr>
  </w:style>
  <w:style w:type="character" w:styleId="1046" w:customStyle="1">
    <w:name w:val="正文文本缩进 2 字符"/>
    <w:link w:val="839"/>
    <w:uiPriority w:val="0"/>
    <w:qFormat/>
    <w:rPr>
      <w:rFonts w:ascii="楷体_GB2312" w:hAnsi="Times New Roman" w:eastAsia="楷体_GB2312"/>
      <w:b/>
      <w:bCs/>
      <w:sz w:val="28"/>
      <w:szCs w:val="24"/>
    </w:rPr>
  </w:style>
  <w:style w:type="character" w:styleId="1047" w:customStyle="1">
    <w:name w:val="批注框文本 字符"/>
    <w:link w:val="841"/>
    <w:uiPriority w:val="99"/>
    <w:qFormat/>
    <w:rPr>
      <w:sz w:val="18"/>
      <w:szCs w:val="18"/>
    </w:rPr>
  </w:style>
  <w:style w:type="character" w:styleId="1048" w:customStyle="1">
    <w:name w:val="页脚 字符"/>
    <w:link w:val="842"/>
    <w:uiPriority w:val="99"/>
    <w:qFormat/>
    <w:rPr>
      <w:rFonts w:ascii="Times New Roman" w:hAnsi="Times New Roman" w:eastAsia="宋体" w:cs="Times New Roman"/>
      <w:sz w:val="18"/>
      <w:szCs w:val="18"/>
    </w:rPr>
  </w:style>
  <w:style w:type="character" w:styleId="1049" w:customStyle="1">
    <w:name w:val="页眉 字符"/>
    <w:link w:val="843"/>
    <w:uiPriority w:val="99"/>
    <w:qFormat/>
    <w:rPr>
      <w:rFonts w:ascii="Times New Roman" w:hAnsi="Times New Roman" w:eastAsia="宋体" w:cs="Times New Roman"/>
      <w:sz w:val="18"/>
      <w:szCs w:val="18"/>
    </w:rPr>
  </w:style>
  <w:style w:type="character" w:styleId="1050" w:customStyle="1">
    <w:name w:val="批注主题 字符"/>
    <w:link w:val="856"/>
    <w:uiPriority w:val="99"/>
    <w:qFormat/>
    <w:rPr>
      <w:b/>
      <w:bCs/>
    </w:rPr>
  </w:style>
  <w:style w:type="character" w:styleId="1051" w:customStyle="1">
    <w:name w:val="正文文本首行缩进 2 字符"/>
    <w:link w:val="858"/>
    <w:uiPriority w:val="99"/>
    <w:qFormat/>
    <w:rPr>
      <w:szCs w:val="24"/>
    </w:rPr>
  </w:style>
  <w:style w:type="paragraph" w:styleId="1052" w:customStyle="1">
    <w:name w:val="正文1"/>
    <w:basedOn w:val="809"/>
    <w:next w:val="1053"/>
    <w:link w:val="1059"/>
    <w:uiPriority w:val="99"/>
    <w:qFormat/>
    <w:pPr>
      <w:ind w:firstLine="480"/>
      <w:spacing w:line="440" w:lineRule="exact"/>
    </w:pPr>
    <w:rPr>
      <w:rFonts w:ascii="微软雅黑" w:hAnsi="微软雅黑" w:eastAsia="微软雅黑"/>
      <w:sz w:val="24"/>
      <w:szCs w:val="20"/>
    </w:rPr>
  </w:style>
  <w:style w:type="paragraph" w:styleId="1053" w:customStyle="1">
    <w:name w:val="正文文本1"/>
    <w:basedOn w:val="1052"/>
    <w:next w:val="1054"/>
    <w:uiPriority w:val="0"/>
    <w:qFormat/>
    <w:pPr>
      <w:spacing w:after="120"/>
    </w:pPr>
    <w:rPr>
      <w:lang w:eastAsia="en-US"/>
    </w:rPr>
  </w:style>
  <w:style w:type="paragraph" w:styleId="1054" w:customStyle="1">
    <w:name w:val="一级条标题"/>
    <w:basedOn w:val="1055"/>
    <w:next w:val="10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5" w:customStyle="1">
    <w:name w:val="章标题"/>
    <w:next w:val="105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6" w:customStyle="1">
    <w:name w:val="正文11"/>
    <w:next w:val="10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7" w:customStyle="1">
    <w:name w:val="标题 31"/>
    <w:basedOn w:val="809"/>
    <w:next w:val="1056"/>
    <w:uiPriority w:val="0"/>
    <w:qFormat/>
    <w:pPr>
      <w:keepLines/>
      <w:keepNext/>
      <w:spacing w:before="260" w:after="260" w:line="416" w:lineRule="auto"/>
      <w:outlineLvl w:val="2"/>
    </w:pPr>
    <w:rPr>
      <w:b/>
      <w:bCs/>
      <w:sz w:val="32"/>
      <w:szCs w:val="32"/>
    </w:rPr>
  </w:style>
  <w:style w:type="paragraph" w:styleId="1058" w:customStyle="1">
    <w:name w:val="段"/>
    <w:next w:val="1056"/>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1059" w:customStyle="1">
    <w:name w:val="正文1 Char Char"/>
    <w:link w:val="1052"/>
    <w:uiPriority w:val="99"/>
    <w:qFormat/>
    <w:rPr>
      <w:rFonts w:ascii="微软雅黑" w:hAnsi="微软雅黑" w:eastAsia="微软雅黑"/>
      <w:sz w:val="24"/>
    </w:rPr>
  </w:style>
  <w:style w:type="character" w:styleId="1060" w:customStyle="1">
    <w:name w:val="ca-161"/>
    <w:uiPriority w:val="0"/>
    <w:qFormat/>
    <w:rPr>
      <w:rFonts w:hint="eastAsia" w:ascii="宋体" w:hAnsi="宋体" w:eastAsia="宋体"/>
      <w:spacing w:val="0"/>
      <w:sz w:val="21"/>
      <w:szCs w:val="21"/>
    </w:rPr>
  </w:style>
  <w:style w:type="character" w:styleId="1061" w:customStyle="1">
    <w:name w:val="列出段落 Char"/>
    <w:link w:val="1062"/>
    <w:uiPriority w:val="0"/>
    <w:qFormat/>
    <w:rPr>
      <w:rFonts w:ascii="Calibri" w:hAnsi="Calibri" w:eastAsia="宋体" w:cs="Times New Roman"/>
    </w:rPr>
  </w:style>
  <w:style w:type="paragraph" w:styleId="1062" w:customStyle="1">
    <w:name w:val="列出段落1"/>
    <w:basedOn w:val="809"/>
    <w:link w:val="1061"/>
    <w:uiPriority w:val="0"/>
    <w:qFormat/>
    <w:pPr>
      <w:ind w:firstLine="200"/>
    </w:pPr>
    <w:rPr>
      <w:rFonts w:ascii="Calibri" w:hAnsi="Calibri"/>
      <w:sz w:val="20"/>
      <w:szCs w:val="20"/>
    </w:rPr>
  </w:style>
  <w:style w:type="character" w:styleId="1063" w:customStyle="1">
    <w:name w:val="表格文字 Char"/>
    <w:link w:val="1064"/>
    <w:uiPriority w:val="0"/>
    <w:qFormat/>
    <w:rPr>
      <w:szCs w:val="21"/>
    </w:rPr>
  </w:style>
  <w:style w:type="paragraph" w:styleId="1064" w:customStyle="1">
    <w:name w:val="表格文字"/>
    <w:basedOn w:val="809"/>
    <w:link w:val="1063"/>
    <w:uiPriority w:val="0"/>
    <w:qFormat/>
    <w:pPr>
      <w:jc w:val="left"/>
    </w:pPr>
    <w:rPr>
      <w:sz w:val="20"/>
      <w:szCs w:val="21"/>
    </w:rPr>
  </w:style>
  <w:style w:type="character" w:styleId="1065" w:customStyle="1">
    <w:name w:val="标题 5 字符"/>
    <w:uiPriority w:val="0"/>
    <w:semiHidden/>
    <w:qFormat/>
    <w:rPr>
      <w:rFonts w:ascii="Calibri" w:hAnsi="Calibri"/>
      <w:b/>
      <w:bCs/>
      <w:sz w:val="28"/>
      <w:szCs w:val="28"/>
    </w:rPr>
  </w:style>
  <w:style w:type="character" w:styleId="1066" w:customStyle="1">
    <w:name w:val="文档结构图 Char1"/>
    <w:uiPriority w:val="99"/>
    <w:semiHidden/>
    <w:qFormat/>
    <w:rPr>
      <w:rFonts w:ascii="宋体"/>
      <w:sz w:val="18"/>
      <w:szCs w:val="18"/>
    </w:rPr>
  </w:style>
  <w:style w:type="character" w:styleId="1067" w:customStyle="1">
    <w:name w:val="font201"/>
    <w:uiPriority w:val="0"/>
    <w:qFormat/>
    <w:rPr>
      <w:rFonts w:hint="default" w:ascii="Times New Roman" w:hAnsi="Times New Roman" w:cs="Times New Roman"/>
      <w:color w:val="000000"/>
      <w:sz w:val="20"/>
      <w:szCs w:val="20"/>
      <w:u w:val="none"/>
    </w:rPr>
  </w:style>
  <w:style w:type="character" w:styleId="1068" w:customStyle="1">
    <w:name w:val="_Style 86"/>
    <w:uiPriority w:val="19"/>
    <w:qFormat/>
    <w:rPr>
      <w:rFonts w:ascii="Times New Roman" w:hAnsi="Times New Roman"/>
      <w:i/>
      <w:iCs/>
      <w:color w:val="808080"/>
      <w:sz w:val="21"/>
      <w:szCs w:val="20"/>
    </w:rPr>
  </w:style>
  <w:style w:type="character" w:styleId="1069" w:customStyle="1">
    <w:name w:val="H2 Char"/>
    <w:uiPriority w:val="0"/>
    <w:qFormat/>
    <w:rPr>
      <w:rFonts w:ascii="Arial" w:hAnsi="Arial" w:eastAsia="黑体" w:cs="Times New Roman"/>
      <w:b/>
      <w:bCs/>
      <w:sz w:val="32"/>
      <w:szCs w:val="32"/>
    </w:rPr>
  </w:style>
  <w:style w:type="character" w:styleId="1070" w:customStyle="1">
    <w:name w:val="font41"/>
    <w:basedOn w:val="819"/>
    <w:uiPriority w:val="0"/>
    <w:qFormat/>
    <w:rPr>
      <w:rFonts w:hint="eastAsia" w:ascii="宋体" w:hAnsi="宋体" w:eastAsia="宋体"/>
      <w:color w:val="000000"/>
      <w:sz w:val="32"/>
      <w:szCs w:val="32"/>
      <w:u w:val="none"/>
    </w:rPr>
  </w:style>
  <w:style w:type="character" w:styleId="1071" w:customStyle="1">
    <w:name w:val="font191"/>
    <w:uiPriority w:val="0"/>
    <w:qFormat/>
    <w:rPr>
      <w:rFonts w:ascii="Wingdings 2" w:hAnsi="Wingdings 2" w:eastAsia="Wingdings 2" w:cs="Wingdings 2"/>
      <w:color w:val="000000"/>
      <w:sz w:val="20"/>
      <w:szCs w:val="20"/>
      <w:u w:val="none"/>
    </w:rPr>
  </w:style>
  <w:style w:type="character" w:styleId="1072" w:customStyle="1">
    <w:name w:val="font231"/>
    <w:uiPriority w:val="0"/>
    <w:qFormat/>
    <w:rPr>
      <w:rFonts w:hint="eastAsia" w:ascii="宋体" w:hAnsi="宋体" w:eastAsia="宋体" w:cs="宋体"/>
      <w:color w:val="000000"/>
      <w:sz w:val="20"/>
      <w:szCs w:val="20"/>
      <w:u w:val="none"/>
    </w:rPr>
  </w:style>
  <w:style w:type="character" w:styleId="1073" w:customStyle="1">
    <w:name w:val="font241"/>
    <w:uiPriority w:val="0"/>
    <w:qFormat/>
    <w:rPr>
      <w:rFonts w:hint="eastAsia" w:ascii="宋体" w:hAnsi="宋体" w:eastAsia="宋体" w:cs="宋体"/>
      <w:color w:val="000000"/>
      <w:sz w:val="20"/>
      <w:szCs w:val="20"/>
      <w:u w:val="none"/>
    </w:rPr>
  </w:style>
  <w:style w:type="character" w:styleId="1074" w:customStyle="1">
    <w:name w:val="Char Char9"/>
    <w:uiPriority w:val="0"/>
    <w:qFormat/>
    <w:rPr>
      <w:rFonts w:ascii="等线 Light" w:hAnsi="等线 Light" w:eastAsia="等线 Light" w:cs="Times New Roman"/>
      <w:b/>
      <w:bCs/>
      <w:sz w:val="28"/>
      <w:szCs w:val="28"/>
    </w:rPr>
  </w:style>
  <w:style w:type="character" w:styleId="1075" w:customStyle="1">
    <w:name w:val="Char Char10"/>
    <w:uiPriority w:val="0"/>
    <w:qFormat/>
    <w:rPr>
      <w:rFonts w:ascii="Arial" w:hAnsi="Arial" w:eastAsia="黑体" w:cs="Times New Roman"/>
      <w:b/>
      <w:bCs/>
      <w:sz w:val="30"/>
      <w:szCs w:val="32"/>
    </w:rPr>
  </w:style>
  <w:style w:type="character" w:styleId="1076" w:customStyle="1">
    <w:name w:val="表格样式居左 Char"/>
    <w:link w:val="1077"/>
    <w:uiPriority w:val="0"/>
    <w:qFormat/>
    <w:rPr>
      <w:rFonts w:eastAsia="仿宋_GB2312"/>
      <w:bCs/>
      <w:color w:val="000000"/>
      <w:sz w:val="21"/>
      <w:szCs w:val="44"/>
      <w:lang w:val="en-US" w:eastAsia="zh-CN" w:bidi="ar-SA"/>
    </w:rPr>
  </w:style>
  <w:style w:type="paragraph" w:styleId="1077" w:customStyle="1">
    <w:name w:val="表格样式居左"/>
    <w:link w:val="1076"/>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78" w:customStyle="1">
    <w:name w:val="font101"/>
    <w:uiPriority w:val="0"/>
    <w:qFormat/>
    <w:rPr>
      <w:rFonts w:hint="eastAsia" w:ascii="宋体" w:hAnsi="宋体" w:eastAsia="宋体" w:cs="宋体"/>
      <w:b/>
      <w:color w:val="000000"/>
      <w:sz w:val="18"/>
      <w:szCs w:val="18"/>
      <w:u w:val="none"/>
    </w:rPr>
  </w:style>
  <w:style w:type="character" w:styleId="1079" w:customStyle="1">
    <w:name w:val="段落 Char1"/>
    <w:link w:val="1080"/>
    <w:uiPriority w:val="0"/>
    <w:qFormat/>
    <w:rPr>
      <w:rFonts w:eastAsia="仿宋_GB2312"/>
      <w:sz w:val="32"/>
      <w:szCs w:val="32"/>
      <w:lang w:val="en-US" w:eastAsia="zh-CN" w:bidi="ar-SA"/>
    </w:rPr>
  </w:style>
  <w:style w:type="paragraph" w:styleId="1080" w:customStyle="1">
    <w:name w:val="段落"/>
    <w:link w:val="1079"/>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81" w:customStyle="1">
    <w:name w:val="font131"/>
    <w:uiPriority w:val="0"/>
    <w:qFormat/>
    <w:rPr>
      <w:rFonts w:ascii="Wingdings 2" w:hAnsi="Wingdings 2" w:eastAsia="Wingdings 2" w:cs="Wingdings 2"/>
      <w:color w:val="000000"/>
      <w:sz w:val="20"/>
      <w:szCs w:val="20"/>
      <w:u w:val="none"/>
    </w:rPr>
  </w:style>
  <w:style w:type="character" w:styleId="1082" w:customStyle="1">
    <w:name w:val="一级缩进 Char"/>
    <w:link w:val="1083"/>
    <w:uiPriority w:val="0"/>
    <w:qFormat/>
    <w:rPr>
      <w:rFonts w:eastAsia="仿宋_GB2312"/>
      <w:sz w:val="32"/>
      <w:szCs w:val="32"/>
      <w:lang w:val="en-US" w:eastAsia="zh-CN" w:bidi="ar-SA"/>
    </w:rPr>
  </w:style>
  <w:style w:type="paragraph" w:styleId="1083" w:customStyle="1">
    <w:name w:val="一级缩进"/>
    <w:link w:val="1082"/>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84" w:customStyle="1">
    <w:name w:val="正文文本 3 Char1"/>
    <w:uiPriority w:val="99"/>
    <w:semiHidden/>
    <w:qFormat/>
    <w:rPr>
      <w:sz w:val="16"/>
      <w:szCs w:val="16"/>
    </w:rPr>
  </w:style>
  <w:style w:type="character" w:styleId="1085" w:customStyle="1">
    <w:name w:val="apple-style-span"/>
    <w:uiPriority w:val="0"/>
    <w:qFormat/>
  </w:style>
  <w:style w:type="character" w:styleId="1086" w:customStyle="1">
    <w:name w:val="批注框文本 Char1"/>
    <w:uiPriority w:val="99"/>
    <w:semiHidden/>
    <w:qFormat/>
    <w:rPr>
      <w:rFonts w:ascii="Times New Roman" w:hAnsi="Times New Roman"/>
      <w:sz w:val="18"/>
      <w:szCs w:val="18"/>
    </w:rPr>
  </w:style>
  <w:style w:type="character" w:styleId="1087" w:customStyle="1">
    <w:name w:val="font221"/>
    <w:uiPriority w:val="0"/>
    <w:qFormat/>
    <w:rPr>
      <w:rFonts w:hint="eastAsia" w:ascii="宋体" w:hAnsi="宋体" w:eastAsia="宋体" w:cs="宋体"/>
      <w:b/>
      <w:color w:val="000000"/>
      <w:sz w:val="20"/>
      <w:szCs w:val="20"/>
      <w:u w:val="none"/>
    </w:rPr>
  </w:style>
  <w:style w:type="character" w:styleId="1088" w:customStyle="1">
    <w:name w:val="font61"/>
    <w:uiPriority w:val="0"/>
    <w:qFormat/>
    <w:rPr>
      <w:rFonts w:hint="eastAsia" w:ascii="宋体" w:hAnsi="宋体" w:eastAsia="宋体" w:cs="宋体"/>
      <w:color w:val="000000"/>
      <w:sz w:val="20"/>
      <w:szCs w:val="20"/>
      <w:u w:val="none"/>
    </w:rPr>
  </w:style>
  <w:style w:type="character" w:styleId="1089" w:customStyle="1">
    <w:name w:val="top_title1"/>
    <w:uiPriority w:val="0"/>
    <w:qFormat/>
    <w:rPr>
      <w:b/>
      <w:bCs/>
      <w:color w:val="333333"/>
      <w:sz w:val="24"/>
      <w:szCs w:val="24"/>
    </w:rPr>
  </w:style>
  <w:style w:type="character" w:styleId="1090" w:customStyle="1">
    <w:name w:val="font81"/>
    <w:uiPriority w:val="0"/>
    <w:qFormat/>
    <w:rPr>
      <w:rFonts w:ascii="Symbol" w:hAnsi="Symbol" w:cs="Symbol"/>
      <w:color w:val="000000"/>
      <w:sz w:val="20"/>
      <w:szCs w:val="20"/>
      <w:u w:val="none"/>
    </w:rPr>
  </w:style>
  <w:style w:type="character" w:styleId="1091" w:customStyle="1">
    <w:name w:val="font141"/>
    <w:uiPriority w:val="0"/>
    <w:qFormat/>
    <w:rPr>
      <w:rFonts w:hint="eastAsia" w:ascii="宋体" w:hAnsi="宋体" w:eastAsia="宋体" w:cs="宋体"/>
      <w:color w:val="ff0000"/>
      <w:sz w:val="20"/>
      <w:szCs w:val="20"/>
      <w:u w:val="none"/>
      <w:vertAlign w:val="superscript"/>
    </w:rPr>
  </w:style>
  <w:style w:type="character" w:styleId="1092" w:customStyle="1">
    <w:name w:val="正文文本缩进 Char1"/>
    <w:uiPriority w:val="99"/>
    <w:semiHidden/>
    <w:qFormat/>
  </w:style>
  <w:style w:type="character" w:styleId="1093" w:customStyle="1">
    <w:name w:val="正文缩进 Char1"/>
    <w:uiPriority w:val="0"/>
    <w:qFormat/>
    <w:rPr>
      <w:rFonts w:ascii="Times New Roman" w:hAnsi="Times New Roman" w:eastAsia="宋体" w:cs="Times New Roman"/>
      <w:szCs w:val="20"/>
    </w:rPr>
  </w:style>
  <w:style w:type="character" w:styleId="1094" w:customStyle="1">
    <w:name w:val="font11"/>
    <w:uiPriority w:val="0"/>
    <w:qFormat/>
    <w:rPr>
      <w:rFonts w:hint="eastAsia" w:ascii="宋体" w:hAnsi="宋体" w:eastAsia="宋体" w:cs="宋体"/>
      <w:color w:val="000000"/>
      <w:sz w:val="20"/>
      <w:szCs w:val="20"/>
      <w:u w:val="none"/>
    </w:rPr>
  </w:style>
  <w:style w:type="character" w:styleId="1095" w:customStyle="1">
    <w:name w:val="表格样式居中 Char"/>
    <w:link w:val="1096"/>
    <w:uiPriority w:val="0"/>
    <w:qFormat/>
    <w:rPr>
      <w:rFonts w:ascii="宋体" w:hAnsi="宋体"/>
      <w:bCs/>
      <w:sz w:val="21"/>
      <w:szCs w:val="21"/>
      <w:lang w:val="zh-CN" w:eastAsia="zh-CN" w:bidi="ar-SA"/>
    </w:rPr>
  </w:style>
  <w:style w:type="paragraph" w:styleId="1096" w:customStyle="1">
    <w:name w:val="表格样式居中"/>
    <w:link w:val="1095"/>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97" w:customStyle="1">
    <w:name w:val="正文文本缩进 2 Char1"/>
    <w:uiPriority w:val="99"/>
    <w:semiHidden/>
    <w:qFormat/>
  </w:style>
  <w:style w:type="character" w:styleId="1098" w:customStyle="1">
    <w:name w:val="font161"/>
    <w:uiPriority w:val="0"/>
    <w:qFormat/>
    <w:rPr>
      <w:rFonts w:hint="eastAsia" w:ascii="宋体" w:hAnsi="宋体" w:eastAsia="宋体" w:cs="宋体"/>
      <w:b/>
      <w:color w:val="ff0000"/>
      <w:sz w:val="20"/>
      <w:szCs w:val="20"/>
      <w:u w:val="none"/>
    </w:rPr>
  </w:style>
  <w:style w:type="character" w:styleId="1099" w:customStyle="1">
    <w:name w:val="批注主题 Char1"/>
    <w:uiPriority w:val="99"/>
    <w:semiHidden/>
    <w:qFormat/>
    <w:rPr>
      <w:rFonts w:ascii="Times New Roman" w:hAnsi="Times New Roman" w:eastAsia="宋体" w:cs="Times New Roman"/>
      <w:b/>
      <w:bCs/>
      <w:szCs w:val="24"/>
    </w:rPr>
  </w:style>
  <w:style w:type="character" w:styleId="1100" w:customStyle="1">
    <w:name w:val="font51"/>
    <w:uiPriority w:val="0"/>
    <w:qFormat/>
    <w:rPr>
      <w:rFonts w:hint="eastAsia" w:ascii="宋体" w:hAnsi="宋体" w:eastAsia="宋体" w:cs="宋体"/>
      <w:b/>
      <w:color w:val="000000"/>
      <w:sz w:val="20"/>
      <w:szCs w:val="20"/>
      <w:u w:val="none"/>
    </w:rPr>
  </w:style>
  <w:style w:type="character" w:styleId="1101" w:customStyle="1">
    <w:name w:val="font01"/>
    <w:basedOn w:val="819"/>
    <w:uiPriority w:val="0"/>
    <w:qFormat/>
    <w:rPr>
      <w:rFonts w:hint="eastAsia" w:ascii="宋体" w:hAnsi="宋体" w:eastAsia="宋体"/>
      <w:color w:val="000000"/>
      <w:sz w:val="24"/>
      <w:szCs w:val="24"/>
      <w:u w:val="none"/>
    </w:rPr>
  </w:style>
  <w:style w:type="character" w:styleId="1102" w:customStyle="1">
    <w:name w:val="批注文字 Char"/>
    <w:uiPriority w:val="99"/>
    <w:qFormat/>
    <w:rPr>
      <w:sz w:val="21"/>
      <w:szCs w:val="22"/>
    </w:rPr>
  </w:style>
  <w:style w:type="character" w:styleId="1103" w:customStyle="1">
    <w:name w:val="unnamed11"/>
    <w:uiPriority w:val="99"/>
    <w:qFormat/>
    <w:rPr>
      <w:rFonts w:hint="eastAsia" w:ascii="宋体" w:hAnsi="宋体" w:eastAsia="宋体"/>
      <w:sz w:val="21"/>
      <w:szCs w:val="21"/>
    </w:rPr>
  </w:style>
  <w:style w:type="character" w:styleId="1104" w:customStyle="1">
    <w:name w:val="font71"/>
    <w:uiPriority w:val="0"/>
    <w:qFormat/>
    <w:rPr>
      <w:rFonts w:hint="eastAsia" w:ascii="宋体" w:hAnsi="宋体" w:eastAsia="宋体" w:cs="宋体"/>
      <w:color w:val="000000"/>
      <w:sz w:val="20"/>
      <w:szCs w:val="20"/>
      <w:u w:val="none"/>
    </w:rPr>
  </w:style>
  <w:style w:type="character" w:styleId="1105" w:customStyle="1">
    <w:name w:val="Char Char8"/>
    <w:uiPriority w:val="0"/>
    <w:qFormat/>
    <w:rPr>
      <w:rFonts w:ascii="Calibri" w:hAnsi="Calibri" w:eastAsia="宋体" w:cs="Times New Roman"/>
      <w:b/>
      <w:bCs/>
      <w:sz w:val="28"/>
      <w:szCs w:val="28"/>
    </w:rPr>
  </w:style>
  <w:style w:type="character" w:styleId="1106" w:customStyle="1">
    <w:name w:val="Char Char11"/>
    <w:uiPriority w:val="0"/>
    <w:qFormat/>
    <w:rPr>
      <w:rFonts w:ascii="Arial" w:hAnsi="Arial" w:eastAsia="宋体" w:cs="Times New Roman"/>
      <w:b/>
      <w:bCs/>
      <w:sz w:val="28"/>
      <w:szCs w:val="36"/>
    </w:rPr>
  </w:style>
  <w:style w:type="character" w:styleId="1107" w:customStyle="1">
    <w:name w:val="Char Char12"/>
    <w:uiPriority w:val="0"/>
    <w:qFormat/>
    <w:rPr>
      <w:b/>
      <w:bCs/>
      <w:sz w:val="44"/>
      <w:szCs w:val="44"/>
    </w:rPr>
  </w:style>
  <w:style w:type="character" w:styleId="1108" w:customStyle="1">
    <w:name w:val="font111"/>
    <w:uiPriority w:val="0"/>
    <w:qFormat/>
    <w:rPr>
      <w:rFonts w:hint="eastAsia" w:ascii="宋体" w:hAnsi="宋体" w:eastAsia="宋体" w:cs="宋体"/>
      <w:color w:val="ff0000"/>
      <w:sz w:val="18"/>
      <w:szCs w:val="18"/>
      <w:u w:val="none"/>
    </w:rPr>
  </w:style>
  <w:style w:type="character" w:styleId="1109" w:customStyle="1">
    <w:name w:val="font21"/>
    <w:uiPriority w:val="0"/>
    <w:qFormat/>
    <w:rPr>
      <w:rFonts w:hint="eastAsia" w:ascii="仿宋_GB2312" w:hAnsi="Times New Roman" w:eastAsia="仿宋_GB2312" w:cs="仿宋_GB2312"/>
      <w:color w:val="000000"/>
      <w:sz w:val="22"/>
      <w:szCs w:val="22"/>
      <w:u w:val="none"/>
    </w:rPr>
  </w:style>
  <w:style w:type="character" w:styleId="1110" w:customStyle="1">
    <w:name w:val="无间隔 Char"/>
    <w:link w:val="1111"/>
    <w:uiPriority w:val="0"/>
    <w:qFormat/>
    <w:rPr>
      <w:sz w:val="21"/>
      <w:szCs w:val="22"/>
      <w:lang w:val="en-US" w:eastAsia="zh-CN" w:bidi="ar-SA"/>
    </w:rPr>
  </w:style>
  <w:style w:type="paragraph" w:styleId="1111" w:customStyle="1">
    <w:name w:val="msonospacing"/>
    <w:link w:val="111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2" w:customStyle="1">
    <w:name w:val="font211"/>
    <w:uiPriority w:val="0"/>
    <w:qFormat/>
    <w:rPr>
      <w:rFonts w:hint="eastAsia" w:ascii="宋体" w:hAnsi="宋体" w:eastAsia="宋体" w:cs="宋体"/>
      <w:color w:val="ff0000"/>
      <w:sz w:val="20"/>
      <w:szCs w:val="20"/>
      <w:u w:val="none"/>
      <w:vertAlign w:val="superscript"/>
    </w:rPr>
  </w:style>
  <w:style w:type="character" w:styleId="1113" w:customStyle="1">
    <w:name w:val="NormalCharacter"/>
    <w:uiPriority w:val="0"/>
    <w:qFormat/>
    <w:rPr>
      <w:sz w:val="21"/>
      <w:szCs w:val="22"/>
      <w:lang w:val="en-US" w:eastAsia="zh-CN" w:bidi="ar-SA"/>
    </w:rPr>
  </w:style>
  <w:style w:type="character" w:styleId="1114" w:customStyle="1">
    <w:name w:val="font171"/>
    <w:uiPriority w:val="0"/>
    <w:qFormat/>
    <w:rPr>
      <w:rFonts w:hint="eastAsia" w:ascii="宋体" w:hAnsi="宋体" w:eastAsia="宋体" w:cs="宋体"/>
      <w:color w:val="000000"/>
      <w:sz w:val="20"/>
      <w:szCs w:val="20"/>
      <w:u w:val="none"/>
    </w:rPr>
  </w:style>
  <w:style w:type="character" w:styleId="1115" w:customStyle="1">
    <w:name w:val="项目排列 Char"/>
    <w:link w:val="1116"/>
    <w:uiPriority w:val="0"/>
    <w:qFormat/>
    <w:rPr>
      <w:sz w:val="24"/>
      <w:szCs w:val="24"/>
    </w:rPr>
  </w:style>
  <w:style w:type="paragraph" w:styleId="1116" w:customStyle="1">
    <w:name w:val="项目排列"/>
    <w:basedOn w:val="809"/>
    <w:link w:val="1115"/>
    <w:uiPriority w:val="0"/>
    <w:qFormat/>
    <w:pPr>
      <w:numPr>
        <w:ilvl w:val="0"/>
        <w:numId w:val="4"/>
      </w:numPr>
      <w:spacing w:before="156" w:after="156" w:line="300" w:lineRule="auto"/>
      <w:tabs>
        <w:tab w:val="left" w:pos="900" w:leader="none"/>
      </w:tabs>
    </w:pPr>
    <w:rPr>
      <w:sz w:val="24"/>
      <w:szCs w:val="24"/>
    </w:rPr>
  </w:style>
  <w:style w:type="character" w:styleId="1117" w:customStyle="1">
    <w:name w:val="hover4"/>
    <w:uiPriority w:val="0"/>
    <w:qFormat/>
    <w:rPr>
      <w:color w:val="999999"/>
    </w:rPr>
  </w:style>
  <w:style w:type="character" w:styleId="1118" w:customStyle="1">
    <w:name w:val="font91"/>
    <w:uiPriority w:val="0"/>
    <w:qFormat/>
    <w:rPr>
      <w:rFonts w:hint="eastAsia" w:ascii="宋体" w:hAnsi="宋体" w:eastAsia="宋体" w:cs="宋体"/>
      <w:color w:val="000000"/>
      <w:sz w:val="16"/>
      <w:szCs w:val="16"/>
      <w:u w:val="none"/>
    </w:rPr>
  </w:style>
  <w:style w:type="paragraph" w:styleId="1119" w:customStyle="1">
    <w:name w:val="Char"/>
    <w:basedOn w:val="809"/>
    <w:uiPriority w:val="0"/>
    <w:qFormat/>
    <w:pPr>
      <w:ind w:left="1350" w:hanging="1350"/>
      <w:tabs>
        <w:tab w:val="left" w:pos="1350" w:leader="none"/>
      </w:tabs>
    </w:pPr>
    <w:rPr>
      <w:sz w:val="24"/>
      <w:szCs w:val="24"/>
    </w:rPr>
  </w:style>
  <w:style w:type="paragraph" w:styleId="1120" w:customStyle="1">
    <w:name w:val="正文 1.1.1"/>
    <w:basedOn w:val="809"/>
    <w:next w:val="809"/>
    <w:uiPriority w:val="0"/>
    <w:qFormat/>
    <w:pPr>
      <w:numPr>
        <w:ilvl w:val="2"/>
        <w:numId w:val="5"/>
      </w:numPr>
      <w:outlineLvl w:val="2"/>
    </w:pPr>
    <w:rPr>
      <w:rFonts w:hAnsi="宋体"/>
      <w:color w:val="ff0000"/>
    </w:rPr>
  </w:style>
  <w:style w:type="paragraph" w:styleId="1121" w:customStyle="1">
    <w:name w:val="Default Paragraph Font Para Char"/>
    <w:basedOn w:val="809"/>
    <w:uiPriority w:val="0"/>
    <w:qFormat/>
    <w:pPr>
      <w:jc w:val="left"/>
      <w:spacing w:before="156" w:after="160" w:line="240" w:lineRule="exact"/>
      <w:widowControl/>
    </w:pPr>
    <w:rPr>
      <w:rFonts w:ascii="Verdana" w:hAnsi="Verdana"/>
      <w:sz w:val="20"/>
      <w:szCs w:val="20"/>
      <w:lang w:eastAsia="en-US"/>
    </w:rPr>
  </w:style>
  <w:style w:type="paragraph" w:styleId="1122" w:customStyle="1">
    <w:name w:val="unnamed1"/>
    <w:basedOn w:val="809"/>
    <w:uiPriority w:val="0"/>
    <w:qFormat/>
    <w:pPr>
      <w:jc w:val="left"/>
      <w:spacing w:before="100" w:beforeAutospacing="1" w:after="100" w:afterAutospacing="1" w:line="288" w:lineRule="auto"/>
      <w:widowControl/>
    </w:pPr>
    <w:rPr>
      <w:rFonts w:hint="eastAsia" w:ascii="宋体" w:hAnsi="宋体"/>
      <w:szCs w:val="21"/>
    </w:rPr>
  </w:style>
  <w:style w:type="paragraph" w:styleId="1123" w:customStyle="1">
    <w:name w:val="正文缩进1"/>
    <w:basedOn w:val="809"/>
    <w:uiPriority w:val="0"/>
    <w:qFormat/>
    <w:pPr>
      <w:ind w:firstLine="420"/>
      <w:jc w:val="left"/>
      <w:spacing w:line="360" w:lineRule="auto"/>
      <w:widowControl/>
    </w:pPr>
    <w:rPr>
      <w:rFonts w:ascii="宋体"/>
      <w:sz w:val="20"/>
      <w:szCs w:val="20"/>
    </w:rPr>
  </w:style>
  <w:style w:type="paragraph" w:styleId="1124" w:customStyle="1">
    <w:name w:val="Char1"/>
    <w:basedOn w:val="809"/>
    <w:uiPriority w:val="0"/>
    <w:qFormat/>
    <w:rPr>
      <w:rFonts w:ascii="仿宋_GB2312" w:eastAsia="仿宋_GB2312"/>
      <w:b/>
      <w:sz w:val="32"/>
      <w:szCs w:val="32"/>
    </w:rPr>
  </w:style>
  <w:style w:type="paragraph" w:styleId="1125" w:customStyle="1">
    <w:name w:val="文档正文"/>
    <w:basedOn w:val="809"/>
    <w:uiPriority w:val="0"/>
    <w:qFormat/>
    <w:pPr>
      <w:ind w:firstLine="567"/>
      <w:spacing w:line="480" w:lineRule="atLeast"/>
    </w:pPr>
    <w:rPr>
      <w:rFonts w:ascii="仿宋_GB2312" w:eastAsia="仿宋_GB2312"/>
      <w:sz w:val="28"/>
      <w:szCs w:val="24"/>
    </w:rPr>
  </w:style>
  <w:style w:type="paragraph" w:styleId="1126" w:customStyle="1">
    <w:name w:val="二级目录"/>
    <w:next w:val="809"/>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27" w:customStyle="1">
    <w:name w:val="List Paragraph1"/>
    <w:basedOn w:val="809"/>
    <w:uiPriority w:val="0"/>
    <w:qFormat/>
    <w:pPr>
      <w:ind w:firstLine="420"/>
    </w:pPr>
    <w:rPr>
      <w:szCs w:val="20"/>
    </w:rPr>
  </w:style>
  <w:style w:type="paragraph" w:styleId="1128" w:customStyle="1">
    <w:name w:val="_Style 2"/>
    <w:basedOn w:val="809"/>
    <w:uiPriority w:val="34"/>
    <w:qFormat/>
    <w:pPr>
      <w:ind w:firstLine="420"/>
    </w:pPr>
    <w:rPr>
      <w:szCs w:val="24"/>
    </w:rPr>
  </w:style>
  <w:style w:type="paragraph" w:styleId="1129"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30" w:customStyle="1">
    <w:name w:val="文档标题"/>
    <w:basedOn w:val="809"/>
    <w:uiPriority w:val="0"/>
    <w:qFormat/>
    <w:pPr>
      <w:jc w:val="center"/>
      <w:spacing w:before="312" w:after="312" w:line="300" w:lineRule="auto"/>
    </w:pPr>
    <w:rPr>
      <w:rFonts w:ascii="Arial" w:hAnsi="Arial" w:eastAsia="黑体" w:cs="Arial"/>
      <w:b/>
      <w:sz w:val="48"/>
      <w:szCs w:val="32"/>
    </w:rPr>
  </w:style>
  <w:style w:type="paragraph" w:styleId="1131" w:customStyle="1">
    <w:name w:val="Char1 Char Char Char Char Char Char"/>
    <w:basedOn w:val="809"/>
    <w:uiPriority w:val="0"/>
    <w:qFormat/>
    <w:rPr>
      <w:szCs w:val="24"/>
    </w:rPr>
  </w:style>
  <w:style w:type="paragraph" w:styleId="1132" w:customStyle="1">
    <w:name w:val="Char Char Char Char Char Char Char"/>
    <w:basedOn w:val="825"/>
    <w:uiPriority w:val="0"/>
    <w:qFormat/>
    <w:pPr>
      <w:shd w:val="clear" w:color="auto" w:fill="000080"/>
    </w:pPr>
    <w:rPr>
      <w:rFonts w:ascii="Times New Roman"/>
      <w:sz w:val="21"/>
      <w:szCs w:val="20"/>
    </w:rPr>
  </w:style>
  <w:style w:type="paragraph" w:styleId="1133"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4" w:customStyle="1">
    <w:name w:val="列表段落1"/>
    <w:basedOn w:val="809"/>
    <w:uiPriority w:val="34"/>
    <w:qFormat/>
    <w:pPr>
      <w:ind w:left="720"/>
    </w:pPr>
    <w:rPr>
      <w:szCs w:val="21"/>
    </w:rPr>
  </w:style>
  <w:style w:type="paragraph" w:styleId="1135" w:customStyle="1">
    <w:name w:val="普通正文"/>
    <w:basedOn w:val="1056"/>
    <w:uiPriority w:val="0"/>
    <w:qFormat/>
    <w:pPr>
      <w:jc w:val="left"/>
      <w:spacing w:before="120" w:after="120" w:line="360" w:lineRule="auto"/>
    </w:pPr>
    <w:rPr>
      <w:rFonts w:ascii="Arial" w:hAnsi="Arial" w:eastAsia="宋体"/>
      <w:szCs w:val="24"/>
    </w:rPr>
  </w:style>
  <w:style w:type="paragraph" w:styleId="1136" w:customStyle="1">
    <w:name w:val="正文 1.1"/>
    <w:basedOn w:val="809"/>
    <w:next w:val="1120"/>
    <w:uiPriority w:val="0"/>
    <w:qFormat/>
    <w:pPr>
      <w:numPr>
        <w:ilvl w:val="1"/>
        <w:numId w:val="5"/>
      </w:numPr>
      <w:ind w:firstLine="550"/>
      <w:outlineLvl w:val="1"/>
    </w:pPr>
    <w:rPr>
      <w:rFonts w:ascii="仿宋" w:hAnsi="仿宋"/>
      <w:b/>
    </w:rPr>
  </w:style>
  <w:style w:type="paragraph" w:styleId="1137" w:customStyle="1">
    <w:name w:val="Table Paragraph"/>
    <w:basedOn w:val="809"/>
    <w:uiPriority w:val="1"/>
    <w:qFormat/>
    <w:rPr>
      <w:rFonts w:ascii="Calibri" w:hAnsi="Calibri"/>
      <w:lang w:eastAsia="en-US"/>
    </w:rPr>
  </w:style>
  <w:style w:type="paragraph" w:styleId="1138"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39"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0" w:customStyle="1">
    <w:name w:val="CD 正文"/>
    <w:basedOn w:val="809"/>
    <w:uiPriority w:val="0"/>
    <w:qFormat/>
    <w:pPr>
      <w:jc w:val="left"/>
    </w:pPr>
    <w:rPr>
      <w:rFonts w:ascii="Arial" w:hAnsi="Arial" w:eastAsia="微软雅黑" w:cs="Arial"/>
      <w:szCs w:val="21"/>
    </w:rPr>
  </w:style>
  <w:style w:type="paragraph" w:styleId="1141"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lang w:val="en-US" w:eastAsia="zh-CN" w:bidi="ar-SA"/>
    </w:rPr>
  </w:style>
  <w:style w:type="paragraph" w:styleId="1142" w:customStyle="1">
    <w:name w:val="Char2"/>
    <w:basedOn w:val="809"/>
    <w:uiPriority w:val="0"/>
    <w:qFormat/>
    <w:pPr>
      <w:ind w:firstLine="200"/>
      <w:tabs>
        <w:tab w:val="left" w:pos="360" w:leader="none"/>
      </w:tabs>
    </w:pPr>
    <w:rPr>
      <w:sz w:val="28"/>
      <w:szCs w:val="30"/>
    </w:rPr>
  </w:style>
  <w:style w:type="paragraph" w:styleId="1143"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44" w:customStyle="1">
    <w:name w:val="p0"/>
    <w:basedOn w:val="809"/>
    <w:uiPriority w:val="0"/>
    <w:qFormat/>
    <w:pPr>
      <w:widowControl/>
    </w:pPr>
    <w:rPr>
      <w:szCs w:val="21"/>
    </w:rPr>
  </w:style>
  <w:style w:type="paragraph" w:styleId="1145" w:customStyle="1">
    <w:name w:val="msonormal"/>
    <w:basedOn w:val="809"/>
    <w:uiPriority w:val="0"/>
    <w:qFormat/>
    <w:pPr>
      <w:jc w:val="left"/>
      <w:spacing w:before="100" w:beforeAutospacing="1" w:after="100" w:afterAutospacing="1"/>
      <w:widowControl/>
    </w:pPr>
    <w:rPr>
      <w:rFonts w:ascii="宋体" w:hAnsi="宋体" w:cs="宋体"/>
      <w:sz w:val="24"/>
      <w:szCs w:val="24"/>
    </w:rPr>
  </w:style>
  <w:style w:type="paragraph" w:styleId="1146" w:customStyle="1">
    <w:name w:val="font5"/>
    <w:basedOn w:val="809"/>
    <w:uiPriority w:val="0"/>
    <w:qFormat/>
    <w:pPr>
      <w:jc w:val="left"/>
      <w:spacing w:before="100" w:beforeAutospacing="1" w:after="100" w:afterAutospacing="1"/>
      <w:widowControl/>
    </w:pPr>
    <w:rPr>
      <w:rFonts w:ascii="宋体" w:hAnsi="宋体" w:cs="宋体"/>
      <w:sz w:val="18"/>
      <w:szCs w:val="18"/>
    </w:rPr>
  </w:style>
  <w:style w:type="paragraph" w:styleId="1147" w:customStyle="1">
    <w:name w:val="font6"/>
    <w:basedOn w:val="809"/>
    <w:uiPriority w:val="0"/>
    <w:qFormat/>
    <w:pPr>
      <w:jc w:val="left"/>
      <w:spacing w:before="100" w:beforeAutospacing="1" w:after="100" w:afterAutospacing="1"/>
      <w:widowControl/>
    </w:pPr>
    <w:rPr>
      <w:rFonts w:ascii="Calibri" w:hAnsi="Calibri" w:cs="Calibri"/>
      <w:sz w:val="18"/>
      <w:szCs w:val="18"/>
    </w:rPr>
  </w:style>
  <w:style w:type="paragraph" w:styleId="1148" w:customStyle="1">
    <w:name w:val="xl84"/>
    <w:basedOn w:val="809"/>
    <w:uiPriority w:val="0"/>
    <w:qFormat/>
    <w:pPr>
      <w:jc w:val="left"/>
      <w:spacing w:before="100" w:beforeAutospacing="1" w:after="100" w:afterAutospacing="1"/>
      <w:widowControl/>
    </w:pPr>
    <w:rPr>
      <w:rFonts w:ascii="宋体" w:hAnsi="宋体" w:cs="宋体"/>
      <w:color w:val="000000"/>
      <w:sz w:val="24"/>
      <w:szCs w:val="24"/>
    </w:rPr>
  </w:style>
  <w:style w:type="paragraph" w:styleId="1149" w:customStyle="1">
    <w:name w:val="xl85"/>
    <w:basedOn w:val="80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0" w:customStyle="1">
    <w:name w:val="xl86"/>
    <w:basedOn w:val="809"/>
    <w:uiPriority w:val="0"/>
    <w:qFormat/>
    <w:pPr>
      <w:jc w:val="left"/>
      <w:spacing w:before="100" w:beforeAutospacing="1" w:after="100" w:afterAutospacing="1"/>
      <w:widowControl/>
    </w:pPr>
    <w:rPr>
      <w:rFonts w:ascii="宋体" w:hAnsi="宋体" w:cs="宋体"/>
      <w:sz w:val="24"/>
      <w:szCs w:val="24"/>
    </w:rPr>
  </w:style>
  <w:style w:type="paragraph" w:styleId="1151" w:customStyle="1">
    <w:name w:val="xl87"/>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52" w:customStyle="1">
    <w:name w:val="xl88"/>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53" w:customStyle="1">
    <w:name w:val="xl89"/>
    <w:basedOn w:val="809"/>
    <w:uiPriority w:val="0"/>
    <w:qFormat/>
    <w:pPr>
      <w:jc w:val="left"/>
      <w:spacing w:before="100" w:beforeAutospacing="1" w:after="100" w:afterAutospacing="1"/>
      <w:widowControl/>
    </w:pPr>
    <w:rPr>
      <w:rFonts w:ascii="宋体" w:hAnsi="宋体" w:cs="宋体"/>
      <w:sz w:val="24"/>
      <w:szCs w:val="24"/>
    </w:rPr>
  </w:style>
  <w:style w:type="paragraph" w:styleId="1154" w:customStyle="1">
    <w:name w:val="xl90"/>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5" w:customStyle="1">
    <w:name w:val="xl91"/>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6" w:customStyle="1">
    <w:name w:val="xl92"/>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7" w:customStyle="1">
    <w:name w:val="xl93"/>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8" w:customStyle="1">
    <w:name w:val="xl94"/>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9" w:customStyle="1">
    <w:name w:val="xl95"/>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60" w:customStyle="1">
    <w:name w:val="xl96"/>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1" w:customStyle="1">
    <w:name w:val="xl97"/>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2" w:customStyle="1">
    <w:name w:val="xl98"/>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3" w:customStyle="1">
    <w:name w:val="xl99"/>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4" w:customStyle="1">
    <w:name w:val="xl100"/>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5" w:customStyle="1">
    <w:name w:val="xl101"/>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6" w:customStyle="1">
    <w:name w:val="xl102"/>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7" w:customStyle="1">
    <w:name w:val="xl103"/>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68" w:customStyle="1">
    <w:name w:val="xl104"/>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9" w:customStyle="1">
    <w:name w:val="xl105"/>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0" w:customStyle="1">
    <w:name w:val="xl106"/>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1" w:customStyle="1">
    <w:name w:val="xl107"/>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xl108"/>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3" w:customStyle="1">
    <w:name w:val="xl109"/>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4" w:customStyle="1">
    <w:name w:val="xl110"/>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5" w:customStyle="1">
    <w:name w:val="xl111"/>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6" w:customStyle="1">
    <w:name w:val="xl112"/>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7" w:customStyle="1">
    <w:name w:val="xl113"/>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8" w:customStyle="1">
    <w:name w:val="xl115"/>
    <w:basedOn w:val="80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9" w:customStyle="1">
    <w:name w:val="xl116"/>
    <w:basedOn w:val="80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0" w:customStyle="1">
    <w:name w:val="xl117"/>
    <w:basedOn w:val="80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1" w:customStyle="1">
    <w:name w:val="xl118"/>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2" w:customStyle="1">
    <w:name w:val="xl119"/>
    <w:basedOn w:val="809"/>
    <w:uiPriority w:val="0"/>
    <w:qFormat/>
    <w:pPr>
      <w:jc w:val="center"/>
      <w:spacing w:before="100" w:beforeAutospacing="1" w:after="100" w:afterAutospacing="1"/>
      <w:widowControl/>
    </w:pPr>
    <w:rPr>
      <w:rFonts w:ascii="宋体" w:hAnsi="宋体" w:cs="宋体"/>
      <w:sz w:val="24"/>
      <w:szCs w:val="24"/>
    </w:rPr>
  </w:style>
  <w:style w:type="paragraph" w:styleId="1183" w:customStyle="1">
    <w:name w:val="xl120"/>
    <w:basedOn w:val="809"/>
    <w:uiPriority w:val="0"/>
    <w:qFormat/>
    <w:pPr>
      <w:jc w:val="center"/>
      <w:spacing w:before="100" w:beforeAutospacing="1" w:after="100" w:afterAutospacing="1"/>
      <w:widowControl/>
    </w:pPr>
    <w:rPr>
      <w:rFonts w:ascii="宋体" w:hAnsi="宋体" w:cs="宋体"/>
      <w:sz w:val="24"/>
      <w:szCs w:val="24"/>
    </w:rPr>
  </w:style>
  <w:style w:type="paragraph" w:styleId="1184" w:customStyle="1">
    <w:name w:val="xl121"/>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5" w:customStyle="1">
    <w:name w:val="xl122"/>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6" w:customStyle="1">
    <w:name w:val="xl123"/>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7" w:customStyle="1">
    <w:name w:val="xl124"/>
    <w:basedOn w:val="8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88" w:customStyle="1">
    <w:name w:val="xl125"/>
    <w:basedOn w:val="80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89" w:customStyle="1">
    <w:name w:val="xl126"/>
    <w:basedOn w:val="80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0" w:customStyle="1">
    <w:name w:val="xl114"/>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1" w:customStyle="1">
    <w:name w:val="xl127"/>
    <w:basedOn w:val="80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2" w:customStyle="1">
    <w:name w:val="xl128"/>
    <w:basedOn w:val="809"/>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93" w:customStyle="1">
    <w:name w:val="xl129"/>
    <w:basedOn w:val="809"/>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94" w:customStyle="1">
    <w:name w:val="xl130"/>
    <w:basedOn w:val="809"/>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95" w:customStyle="1">
    <w:name w:val="xl131"/>
    <w:basedOn w:val="80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96" w:customStyle="1">
    <w:name w:val="xl132"/>
    <w:basedOn w:val="80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97" w:customStyle="1">
    <w:name w:val="xl133"/>
    <w:basedOn w:val="80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98" w:customStyle="1">
    <w:name w:val="xl134"/>
    <w:basedOn w:val="8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99" w:customStyle="1">
    <w:name w:val="xl135"/>
    <w:basedOn w:val="80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00" w:customStyle="1">
    <w:name w:val="xl136"/>
    <w:basedOn w:val="80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01" w:customStyle="1">
    <w:name w:val="xl137"/>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02" w:customStyle="1">
    <w:name w:val="_Style 227"/>
    <w:uiPriority w:val="99"/>
    <w:semiHidden/>
    <w:qFormat/>
    <w:rPr>
      <w:rFonts w:hint="default" w:ascii="等线" w:hAnsi="等线" w:eastAsia="等线" w:cs="Times New Roman"/>
      <w:sz w:val="21"/>
      <w:szCs w:val="22"/>
      <w:lang w:val="en-US" w:eastAsia="zh-CN" w:bidi="ar-SA"/>
    </w:rPr>
  </w:style>
  <w:style w:type="paragraph" w:styleId="1203" w:customStyle="1">
    <w:name w:val="正文_0"/>
    <w:next w:val="809"/>
    <w:uiPriority w:val="3"/>
    <w:qFormat/>
    <w:pPr>
      <w:jc w:val="both"/>
      <w:widowControl w:val="off"/>
    </w:pPr>
    <w:rPr>
      <w:rFonts w:hint="default" w:ascii="Calibri" w:hAnsi="Calibri" w:eastAsia="宋体" w:cs="Times New Roman"/>
      <w:sz w:val="21"/>
      <w:lang w:val="en-US" w:eastAsia="zh-CN" w:bidi="ar-SA"/>
    </w:rPr>
  </w:style>
  <w:style w:type="paragraph" w:styleId="1204" w:customStyle="1">
    <w:name w:val="Char Char Char Char Char Char Char1 Char"/>
    <w:basedOn w:val="809"/>
    <w:uiPriority w:val="0"/>
    <w:qFormat/>
    <w:rPr>
      <w:rFonts w:ascii="Tahoma" w:hAnsi="Tahoma"/>
      <w:sz w:val="24"/>
      <w:szCs w:val="24"/>
    </w:rPr>
  </w:style>
  <w:style w:type="paragraph" w:styleId="1205" w:customStyle="1">
    <w:name w:val="toc 1"/>
    <w:basedOn w:val="809"/>
    <w:next w:val="809"/>
    <w:uiPriority w:val="0"/>
    <w:qFormat/>
  </w:style>
  <w:style w:type="paragraph" w:styleId="1206" w:customStyle="1">
    <w:name w:val="标题 71"/>
    <w:basedOn w:val="809"/>
    <w:next w:val="809"/>
    <w:link w:val="1207"/>
    <w:uiPriority w:val="9"/>
    <w:unhideWhenUsed/>
    <w:qFormat/>
    <w:pPr>
      <w:keepLines/>
      <w:keepNext/>
      <w:spacing w:before="320" w:after="200"/>
      <w:outlineLvl w:val="6"/>
    </w:pPr>
    <w:rPr>
      <w:rFonts w:ascii="Arial" w:hAnsi="Arial" w:eastAsia="Arial"/>
      <w:b/>
      <w:bCs/>
      <w:i/>
      <w:iCs/>
      <w:sz w:val="22"/>
    </w:rPr>
  </w:style>
  <w:style w:type="character" w:styleId="1207" w:customStyle="1">
    <w:name w:val="Heading 7 Char"/>
    <w:link w:val="1206"/>
    <w:uiPriority w:val="9"/>
    <w:qFormat/>
    <w:rPr>
      <w:rFonts w:ascii="Arial" w:hAnsi="Arial" w:eastAsia="Arial" w:cs="Arial"/>
      <w:b/>
      <w:bCs/>
      <w:i/>
      <w:iCs/>
      <w:sz w:val="22"/>
      <w:szCs w:val="22"/>
    </w:rPr>
  </w:style>
  <w:style w:type="paragraph" w:styleId="1208" w:customStyle="1">
    <w:name w:val="正文文本缩进1"/>
    <w:basedOn w:val="809"/>
    <w:next w:val="809"/>
    <w:uiPriority w:val="99"/>
    <w:unhideWhenUsed/>
    <w:qFormat/>
    <w:pPr>
      <w:ind w:firstLine="540"/>
      <w:spacing w:line="400" w:lineRule="exact"/>
    </w:pPr>
    <w:rPr>
      <w:sz w:val="24"/>
    </w:rPr>
  </w:style>
  <w:style w:type="character" w:styleId="1209" w:customStyle="1">
    <w:name w:val="font31"/>
    <w:basedOn w:val="819"/>
    <w:uiPriority w:val="0"/>
    <w:qFormat/>
    <w:rPr>
      <w:rFonts w:hint="eastAsia" w:ascii="宋体" w:hAnsi="宋体" w:eastAsia="宋体" w:cs="宋体"/>
      <w:color w:val="000000"/>
      <w:sz w:val="24"/>
      <w:szCs w:val="24"/>
      <w:u w:val="none"/>
      <w:vertAlign w:val="superscript"/>
    </w:rPr>
  </w:style>
  <w:style w:type="paragraph" w:styleId="1210" w:customStyle="1">
    <w:name w:val="样式 宋体 加粗 居中"/>
    <w:basedOn w:val="809"/>
    <w:uiPriority w:val="0"/>
    <w:qFormat/>
    <w:pPr>
      <w:jc w:val="center"/>
    </w:pPr>
    <w:rPr>
      <w:rFonts w:ascii="宋体" w:hAnsi="宋体" w:cs="宋体"/>
      <w:b/>
      <w:bCs/>
      <w:sz w:val="32"/>
      <w:szCs w:val="20"/>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林祖超</cp:lastModifiedBy>
  <cp:revision>21</cp:revision>
  <dcterms:created xsi:type="dcterms:W3CDTF">2023-03-02T15:44:00Z</dcterms:created>
  <dcterms:modified xsi:type="dcterms:W3CDTF">2026-06-18T02:37:14Z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66E5638714A947CB8F0147998DB37549_13</vt:lpwstr>
  </property>
  <property fmtid="{D5CDD505-2E9C-101B-9397-08002B2CF9AE}" pid="4" name="KSOTemplateDocerSaveRecord">
    <vt:lpwstr>eyJoZGlkIjoiZTVkNzQ3OWEyMTdhMmNjZTE0YWI3MmE4NDZlMmFlODAiLCJ1c2VySWQiOiI0MTk2MzY1OTUifQ==</vt:lpwstr>
  </property>
</Properties>
</file>