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3"/>
        <w:ind w:firstLine="0"/>
        <w:jc w:val="center"/>
        <w:rPr>
          <w:rFonts w:hint="eastAsia" w:ascii="宋体" w:hAnsi="宋体" w:eastAsia="宋体" w:cs="宋体"/>
          <w:b/>
          <w:bCs/>
          <w:sz w:val="48"/>
          <w:szCs w:val="48"/>
          <w:highlight w:val="none"/>
        </w:rPr>
      </w:pPr>
      <w:r>
        <w:rPr>
          <w:rFonts w:hint="eastAsia" w:ascii="宋体" w:hAnsi="宋体" w:eastAsia="宋体" w:cs="宋体"/>
          <w:b/>
          <w:bCs/>
          <w:sz w:val="48"/>
          <w:szCs w:val="48"/>
          <w:highlight w:val="none"/>
        </w:rPr>
      </w:r>
      <w:r/>
    </w:p>
    <w:p>
      <w:pPr>
        <w:pStyle w:val="703"/>
        <w:ind w:firstLine="0"/>
        <w:jc w:val="center"/>
        <w:rPr>
          <w:rFonts w:hint="eastAsia" w:ascii="宋体" w:hAnsi="宋体" w:eastAsia="宋体" w:cs="宋体"/>
          <w:b/>
          <w:bCs/>
          <w:sz w:val="48"/>
          <w:szCs w:val="48"/>
          <w:highlight w:val="none"/>
        </w:rPr>
      </w:pPr>
      <w:r>
        <w:rPr>
          <w:rFonts w:hint="eastAsia" w:ascii="宋体" w:hAnsi="宋体" w:eastAsia="宋体" w:cs="宋体"/>
          <w:b/>
          <w:bCs/>
          <w:sz w:val="48"/>
          <w:szCs w:val="48"/>
          <w:highlight w:val="none"/>
        </w:rPr>
      </w:r>
      <w:r/>
    </w:p>
    <w:p>
      <w:pPr>
        <w:pStyle w:val="703"/>
        <w:ind w:firstLine="0"/>
        <w:jc w:val="center"/>
        <w:rPr>
          <w:rFonts w:hint="eastAsia" w:ascii="宋体" w:hAnsi="宋体" w:eastAsia="宋体" w:cs="宋体"/>
          <w:b/>
          <w:bCs/>
          <w:sz w:val="48"/>
          <w:szCs w:val="48"/>
          <w:highlight w:val="none"/>
        </w:rPr>
      </w:pPr>
      <w:r>
        <w:rPr>
          <w:rFonts w:hint="eastAsia" w:ascii="宋体" w:hAnsi="宋体" w:eastAsia="宋体" w:cs="宋体"/>
          <w:b/>
          <w:bCs/>
          <w:sz w:val="48"/>
          <w:szCs w:val="48"/>
          <w:highlight w:val="none"/>
        </w:rPr>
      </w:r>
      <w:r/>
    </w:p>
    <w:p>
      <w:pPr>
        <w:pStyle w:val="703"/>
        <w:ind w:firstLine="0"/>
        <w:jc w:val="center"/>
        <w:rPr>
          <w:rFonts w:hint="eastAsia" w:ascii="宋体" w:hAnsi="宋体" w:eastAsia="宋体" w:cs="宋体"/>
          <w:b/>
          <w:bCs/>
          <w:sz w:val="48"/>
          <w:szCs w:val="48"/>
          <w:highlight w:val="none"/>
        </w:rPr>
      </w:pPr>
      <w:r>
        <w:rPr>
          <w:rFonts w:hint="eastAsia" w:ascii="宋体" w:hAnsi="宋体" w:eastAsia="宋体" w:cs="宋体"/>
          <w:b/>
          <w:bCs/>
          <w:sz w:val="48"/>
          <w:szCs w:val="48"/>
          <w:highlight w:val="none"/>
        </w:rPr>
        <w:t xml:space="preserve">扬州市妇幼保健院</w:t>
      </w:r>
      <w:r/>
    </w:p>
    <w:p>
      <w:pPr>
        <w:pStyle w:val="703"/>
        <w:ind w:firstLine="0"/>
        <w:spacing w:line="240" w:lineRule="auto"/>
        <w:rPr>
          <w:rFonts w:hint="eastAsia" w:ascii="宋体" w:hAnsi="宋体" w:eastAsia="宋体" w:cs="宋体"/>
          <w:b/>
          <w:bCs/>
          <w:sz w:val="48"/>
          <w:szCs w:val="48"/>
          <w:highlight w:val="none"/>
        </w:rPr>
      </w:pPr>
      <w:r>
        <w:rPr>
          <w:rFonts w:hint="eastAsia" w:ascii="宋体" w:hAnsi="宋体" w:eastAsia="宋体" w:cs="宋体"/>
          <w:b/>
          <w:bCs/>
          <w:sz w:val="48"/>
          <w:szCs w:val="48"/>
          <w:highlight w:val="none"/>
        </w:rPr>
      </w:r>
      <w:r/>
    </w:p>
    <w:p>
      <w:pPr>
        <w:pStyle w:val="703"/>
        <w:ind w:firstLine="0"/>
        <w:jc w:val="center"/>
        <w:rPr>
          <w:rFonts w:hint="eastAsia" w:ascii="宋体" w:hAnsi="宋体" w:eastAsia="宋体" w:cs="宋体"/>
          <w:b/>
          <w:bCs/>
          <w:sz w:val="72"/>
          <w:szCs w:val="72"/>
          <w:highlight w:val="none"/>
        </w:rPr>
      </w:pPr>
      <w:r>
        <w:rPr>
          <w:rFonts w:hint="eastAsia" w:ascii="宋体" w:hAnsi="宋体" w:eastAsia="宋体" w:cs="宋体"/>
          <w:b/>
          <w:bCs/>
          <w:sz w:val="72"/>
          <w:szCs w:val="72"/>
          <w:highlight w:val="none"/>
        </w:rPr>
        <w:t xml:space="preserve">招 标 文 件</w:t>
      </w:r>
      <w:r/>
    </w:p>
    <w:p>
      <w:pPr>
        <w:pStyle w:val="703"/>
        <w:ind w:firstLine="0"/>
        <w:jc w:val="center"/>
        <w:rPr>
          <w:rFonts w:hint="eastAsia" w:ascii="宋体" w:hAnsi="宋体" w:eastAsia="宋体" w:cs="宋体"/>
          <w:b/>
          <w:bCs/>
          <w:sz w:val="72"/>
          <w:szCs w:val="72"/>
          <w:highlight w:val="none"/>
        </w:rPr>
      </w:pPr>
      <w:r>
        <w:rPr>
          <w:rFonts w:hint="eastAsia" w:ascii="宋体" w:hAnsi="宋体" w:eastAsia="宋体" w:cs="宋体"/>
          <w:b/>
          <w:bCs/>
          <w:sz w:val="72"/>
          <w:szCs w:val="72"/>
          <w:highlight w:val="none"/>
        </w:rPr>
      </w:r>
      <w:r/>
    </w:p>
    <w:p>
      <w:pPr>
        <w:ind w:firstLine="482"/>
        <w:jc w:val="both"/>
        <w:spacing w:before="100" w:after="100" w:line="360" w:lineRule="auto"/>
        <w:rPr>
          <w:rFonts w:hint="eastAsia" w:ascii="宋体" w:hAnsi="宋体" w:eastAsia="宋体" w:cs="Microsoft New Tai Lue"/>
          <w:b/>
          <w:bCs/>
          <w:sz w:val="32"/>
          <w:szCs w:val="32"/>
          <w:highlight w:val="none"/>
        </w:rPr>
      </w:pPr>
      <w:r>
        <w:rPr>
          <w:rFonts w:hint="eastAsia" w:ascii="宋体" w:hAnsi="宋体" w:eastAsia="宋体" w:cs="Microsoft New Tai Lue"/>
          <w:b/>
          <w:bCs/>
          <w:sz w:val="32"/>
          <w:szCs w:val="32"/>
          <w:highlight w:val="none"/>
        </w:rPr>
      </w:r>
      <w:r/>
    </w:p>
    <w:p>
      <w:pPr>
        <w:ind w:firstLine="482"/>
        <w:jc w:val="both"/>
        <w:spacing w:before="100" w:after="100" w:line="360" w:lineRule="auto"/>
        <w:rPr>
          <w:rFonts w:hint="eastAsia" w:ascii="宋体" w:hAnsi="宋体" w:eastAsia="宋体" w:cs="Microsoft New Tai Lue"/>
          <w:b/>
          <w:bCs/>
          <w:sz w:val="32"/>
          <w:szCs w:val="32"/>
          <w:highlight w:val="none"/>
        </w:rPr>
      </w:pPr>
      <w:r>
        <w:rPr>
          <w:rFonts w:hint="eastAsia" w:ascii="宋体" w:hAnsi="宋体" w:eastAsia="宋体" w:cs="Microsoft New Tai Lue"/>
          <w:b/>
          <w:bCs/>
          <w:sz w:val="32"/>
          <w:szCs w:val="32"/>
          <w:highlight w:val="none"/>
        </w:rPr>
      </w:r>
      <w:r/>
    </w:p>
    <w:p>
      <w:pPr>
        <w:ind w:firstLine="482"/>
        <w:jc w:val="both"/>
        <w:spacing w:before="100" w:after="100" w:line="360" w:lineRule="auto"/>
        <w:rPr>
          <w:rFonts w:hint="eastAsia" w:ascii="宋体" w:hAnsi="宋体" w:eastAsia="宋体" w:cs="Microsoft New Tai Lue"/>
          <w:b/>
          <w:bCs/>
          <w:sz w:val="32"/>
          <w:szCs w:val="32"/>
          <w:highlight w:val="none"/>
          <w:lang w:eastAsia="zh-CN"/>
        </w:rPr>
      </w:pPr>
      <w:r>
        <w:rPr>
          <w:rFonts w:hint="eastAsia" w:ascii="宋体" w:hAnsi="宋体" w:eastAsia="宋体" w:cs="Microsoft New Tai Lue"/>
          <w:b/>
          <w:bCs/>
          <w:sz w:val="32"/>
          <w:szCs w:val="32"/>
          <w:highlight w:val="none"/>
        </w:rPr>
        <w:t xml:space="preserve">项目编号：JSZC-321000-JITC-G2026-0216</w:t>
      </w:r>
      <w:r/>
    </w:p>
    <w:p>
      <w:pPr>
        <w:ind w:firstLine="482"/>
        <w:jc w:val="both"/>
        <w:spacing w:before="100" w:after="100" w:line="360" w:lineRule="auto"/>
        <w:rPr>
          <w:rFonts w:hint="default" w:ascii="宋体" w:hAnsi="宋体" w:eastAsia="宋体" w:cs="Microsoft New Tai Lue"/>
          <w:b/>
          <w:bCs/>
          <w:sz w:val="32"/>
          <w:szCs w:val="32"/>
          <w:highlight w:val="none"/>
          <w:lang w:val="en-US" w:eastAsia="zh-CN"/>
        </w:rPr>
      </w:pPr>
      <w:r>
        <w:rPr>
          <w:rFonts w:hint="eastAsia" w:ascii="宋体" w:hAnsi="宋体" w:eastAsia="宋体" w:cs="Microsoft New Tai Lue"/>
          <w:b/>
          <w:bCs/>
          <w:sz w:val="32"/>
          <w:szCs w:val="32"/>
          <w:highlight w:val="none"/>
        </w:rPr>
        <w:t xml:space="preserve">项目名称：</w:t>
      </w:r>
      <w:r>
        <w:rPr>
          <w:rFonts w:hint="eastAsia" w:ascii="宋体" w:hAnsi="宋体" w:cs="Microsoft New Tai Lue"/>
          <w:b/>
          <w:bCs/>
          <w:sz w:val="32"/>
          <w:szCs w:val="32"/>
          <w:highlight w:val="none"/>
          <w:lang w:eastAsia="zh-CN"/>
        </w:rPr>
        <w:t xml:space="preserve">扬州市妇幼保健院托育综合服务中心玩教具</w:t>
      </w:r>
      <w:r>
        <w:rPr>
          <w:rFonts w:hint="eastAsia" w:ascii="宋体" w:hAnsi="宋体" w:cs="Microsoft New Tai Lue"/>
          <w:b/>
          <w:bCs/>
          <w:sz w:val="32"/>
          <w:szCs w:val="32"/>
          <w:highlight w:val="none"/>
          <w:lang w:val="en-US" w:eastAsia="zh-CN"/>
        </w:rPr>
        <w:t xml:space="preserve">采购项目</w:t>
      </w:r>
      <w:r/>
    </w:p>
    <w:p>
      <w:pPr>
        <w:ind w:firstLine="482"/>
        <w:jc w:val="both"/>
        <w:spacing w:before="100" w:after="100" w:line="360" w:lineRule="auto"/>
        <w:rPr>
          <w:rFonts w:hint="eastAsia" w:ascii="宋体" w:hAnsi="宋体" w:eastAsia="宋体" w:cs="Microsoft New Tai Lue"/>
          <w:b/>
          <w:bCs/>
          <w:sz w:val="32"/>
          <w:szCs w:val="32"/>
          <w:highlight w:val="none"/>
        </w:rPr>
      </w:pPr>
      <w:r>
        <w:rPr>
          <w:rFonts w:hint="eastAsia" w:ascii="宋体" w:hAnsi="宋体" w:eastAsia="宋体" w:cs="Microsoft New Tai Lue"/>
          <w:b/>
          <w:bCs/>
          <w:sz w:val="32"/>
          <w:szCs w:val="32"/>
          <w:highlight w:val="none"/>
        </w:rPr>
        <w:t xml:space="preserve">采 购 人：扬州市妇幼保健院</w:t>
      </w:r>
      <w:r/>
    </w:p>
    <w:p>
      <w:pPr>
        <w:ind w:left="420" w:firstLine="482"/>
        <w:jc w:val="left"/>
        <w:spacing w:before="100" w:after="100"/>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ind w:firstLine="482"/>
        <w:jc w:val="center"/>
        <w:rPr>
          <w:rFonts w:hint="eastAsia" w:ascii="宋体" w:hAnsi="宋体" w:eastAsia="宋体" w:cs="宋体"/>
          <w:b/>
          <w:bCs/>
          <w:sz w:val="32"/>
          <w:highlight w:val="none"/>
        </w:rPr>
      </w:pPr>
      <w:r>
        <w:rPr>
          <w:rFonts w:hint="eastAsia" w:ascii="宋体" w:hAnsi="宋体" w:eastAsia="宋体" w:cs="宋体"/>
          <w:b/>
          <w:bCs/>
          <w:sz w:val="32"/>
          <w:highlight w:val="none"/>
        </w:rPr>
      </w:r>
      <w:r/>
    </w:p>
    <w:p>
      <w:pPr>
        <w:ind w:firstLine="482"/>
        <w:jc w:val="center"/>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700"/>
        <w:ind w:left="1260"/>
        <w:rPr>
          <w:rFonts w:hint="eastAsia" w:ascii="宋体" w:hAnsi="宋体" w:eastAsia="宋体" w:cs="宋体"/>
          <w:b/>
          <w:bCs/>
          <w:highlight w:val="none"/>
        </w:rPr>
      </w:pPr>
      <w:r>
        <w:rPr>
          <w:rFonts w:hint="eastAsia" w:ascii="宋体" w:hAnsi="宋体" w:eastAsia="宋体" w:cs="宋体"/>
          <w:b/>
          <w:bCs/>
          <w:highlight w:val="none"/>
        </w:rPr>
      </w:r>
      <w:r/>
    </w:p>
    <w:p>
      <w:pPr>
        <w:ind w:firstLine="482"/>
        <w:jc w:val="center"/>
        <w:spacing w:line="360" w:lineRule="auto"/>
        <w:rPr>
          <w:rFonts w:hint="eastAsia" w:ascii="宋体" w:hAnsi="宋体" w:eastAsia="宋体" w:cs="Microsoft New Tai Lue"/>
          <w:b/>
          <w:bCs/>
          <w:sz w:val="32"/>
          <w:szCs w:val="21"/>
          <w:highlight w:val="none"/>
        </w:rPr>
      </w:pPr>
      <w:r>
        <w:rPr>
          <w:rFonts w:hint="eastAsia" w:ascii="宋体" w:hAnsi="宋体" w:eastAsia="宋体" w:cs="Microsoft New Tai Lue"/>
          <w:b/>
          <w:bCs/>
          <w:sz w:val="32"/>
          <w:szCs w:val="21"/>
          <w:highlight w:val="none"/>
        </w:rPr>
      </w:r>
      <w:r/>
    </w:p>
    <w:p>
      <w:pPr>
        <w:ind w:left="0" w:firstLine="0"/>
        <w:jc w:val="center"/>
        <w:spacing w:line="360" w:lineRule="auto"/>
        <w:rPr>
          <w:rFonts w:hint="eastAsia" w:ascii="宋体" w:hAnsi="宋体" w:eastAsia="宋体" w:cs="Microsoft New Tai Lue"/>
          <w:b/>
          <w:bCs/>
          <w:sz w:val="32"/>
          <w:szCs w:val="21"/>
          <w:highlight w:val="none"/>
        </w:rPr>
      </w:pPr>
      <w:r>
        <w:rPr>
          <w:rFonts w:hint="eastAsia" w:ascii="宋体" w:hAnsi="宋体" w:eastAsia="宋体" w:cs="Microsoft New Tai Lue"/>
          <w:b/>
          <w:bCs/>
          <w:sz w:val="32"/>
          <w:szCs w:val="21"/>
          <w:highlight w:val="none"/>
        </w:rPr>
        <w:t xml:space="preserve">采购代理机构：江苏省招标中心有限公司</w:t>
      </w:r>
      <w:r/>
    </w:p>
    <w:p>
      <w:pPr>
        <w:ind w:left="0" w:firstLine="0"/>
        <w:jc w:val="center"/>
        <w:spacing w:line="360" w:lineRule="auto"/>
        <w:rPr>
          <w:rFonts w:hint="eastAsia" w:ascii="宋体" w:hAnsi="宋体" w:eastAsia="宋体" w:cs="Microsoft New Tai Lue"/>
          <w:b/>
          <w:bCs/>
          <w:sz w:val="32"/>
          <w:szCs w:val="21"/>
          <w:highlight w:val="none"/>
        </w:rPr>
      </w:pPr>
      <w:r>
        <w:rPr>
          <w:rFonts w:hint="eastAsia" w:ascii="宋体" w:hAnsi="宋体" w:eastAsia="宋体" w:cs="Microsoft New Tai Lue"/>
          <w:b/>
          <w:bCs/>
          <w:sz w:val="32"/>
          <w:szCs w:val="21"/>
          <w:highlight w:val="none"/>
        </w:rPr>
        <w:t xml:space="preserve">二O二</w:t>
      </w:r>
      <w:r>
        <w:rPr>
          <w:rFonts w:hint="eastAsia" w:ascii="宋体" w:hAnsi="宋体" w:cs="Microsoft New Tai Lue"/>
          <w:b/>
          <w:bCs/>
          <w:sz w:val="32"/>
          <w:szCs w:val="21"/>
          <w:highlight w:val="none"/>
          <w:lang w:val="en-US" w:eastAsia="zh-CN"/>
        </w:rPr>
        <w:t xml:space="preserve">六</w:t>
      </w:r>
      <w:r>
        <w:rPr>
          <w:rFonts w:hint="eastAsia" w:ascii="宋体" w:hAnsi="宋体" w:eastAsia="宋体" w:cs="Microsoft New Tai Lue"/>
          <w:b/>
          <w:bCs/>
          <w:sz w:val="32"/>
          <w:szCs w:val="21"/>
          <w:highlight w:val="none"/>
        </w:rPr>
        <w:t xml:space="preserve">年</w:t>
      </w:r>
      <w:r>
        <w:rPr>
          <w:rFonts w:hint="eastAsia" w:ascii="宋体" w:hAnsi="宋体" w:cs="Microsoft New Tai Lue"/>
          <w:b/>
          <w:bCs/>
          <w:sz w:val="32"/>
          <w:szCs w:val="21"/>
          <w:highlight w:val="none"/>
          <w:lang w:val="en-US" w:eastAsia="zh-CN"/>
        </w:rPr>
        <w:t xml:space="preserve">六</w:t>
      </w:r>
      <w:r>
        <w:rPr>
          <w:rFonts w:hint="eastAsia" w:ascii="宋体" w:hAnsi="宋体" w:eastAsia="宋体" w:cs="Microsoft New Tai Lue"/>
          <w:b/>
          <w:bCs/>
          <w:sz w:val="32"/>
          <w:szCs w:val="21"/>
          <w:highlight w:val="none"/>
        </w:rPr>
        <w:t xml:space="preserve">月</w:t>
      </w:r>
      <w:r/>
    </w:p>
    <w:p>
      <w:pPr>
        <w:jc w:val="center"/>
        <w:spacing w:line="360" w:lineRule="auto"/>
        <w:rPr>
          <w:rFonts w:hint="eastAsia" w:ascii="宋体" w:hAnsi="宋体"/>
          <w:sz w:val="32"/>
          <w:highlight w:val="none"/>
        </w:rPr>
        <w:sectPr>
          <w:headerReference w:type="default" r:id="rId9"/>
          <w:footerReference w:type="default" r:id="rId12"/>
          <w:footnotePr/>
          <w:endnotePr/>
          <w:type w:val="nextPage"/>
          <w:pgSz w:w="11907" w:h="16839" w:orient="portrait"/>
          <w:pgMar w:top="1440" w:right="1487" w:bottom="1440" w:left="1380" w:header="1092" w:footer="1027" w:gutter="0"/>
          <w:cols w:num="1" w:sep="0" w:space="720" w:equalWidth="1"/>
          <w:docGrid w:linePitch="360"/>
        </w:sectPr>
      </w:pPr>
      <w:r>
        <w:rPr>
          <w:rFonts w:hint="eastAsia" w:ascii="宋体" w:hAnsi="宋体"/>
          <w:sz w:val="32"/>
          <w:highlight w:val="none"/>
        </w:rPr>
      </w:r>
      <w:r/>
    </w:p>
    <w:p>
      <w:pPr>
        <w:jc w:val="center"/>
        <w:spacing w:line="360" w:lineRule="auto"/>
        <w:rPr>
          <w:rFonts w:ascii="宋体" w:hAnsi="宋体"/>
          <w:sz w:val="44"/>
          <w:szCs w:val="32"/>
          <w:highlight w:val="none"/>
        </w:rPr>
      </w:pPr>
      <w:r>
        <w:rPr>
          <w:rFonts w:hint="eastAsia" w:ascii="宋体" w:hAnsi="宋体"/>
          <w:sz w:val="44"/>
          <w:szCs w:val="32"/>
          <w:highlight w:val="none"/>
        </w:rPr>
        <w:t xml:space="preserve">目 录</w:t>
      </w:r>
      <w:r/>
    </w:p>
    <w:p>
      <w:pPr>
        <w:pStyle w:val="708"/>
        <w:spacing w:line="360" w:lineRule="auto"/>
        <w:tabs>
          <w:tab w:val="right" w:pos="9460" w:leader="dot"/>
        </w:tabs>
        <w:rPr>
          <w:rFonts w:hint="eastAsia" w:ascii="宋体" w:hAnsi="宋体" w:eastAsia="宋体" w:cs="宋体"/>
          <w:sz w:val="32"/>
          <w:szCs w:val="32"/>
          <w:highlight w:val="none"/>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TOC \o "1-1" \h \u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"_Toc27241" </w:instrText>
      </w:r>
      <w:r>
        <w:rPr>
          <w:rFonts w:hint="eastAsia" w:ascii="宋体" w:hAnsi="宋体" w:eastAsia="宋体" w:cs="宋体"/>
          <w:sz w:val="32"/>
          <w:szCs w:val="32"/>
        </w:rPr>
        <w:fldChar w:fldCharType="separate"/>
      </w:r>
      <w:r>
        <w:rPr>
          <w:rFonts w:hint="eastAsia" w:ascii="宋体" w:hAnsi="宋体" w:eastAsia="宋体" w:cs="宋体"/>
          <w:sz w:val="32"/>
          <w:szCs w:val="32"/>
          <w:highlight w:val="none"/>
        </w:rPr>
        <w:t xml:space="preserve">第一章 招标公告</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_Toc27241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2</w:t>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fldChar w:fldCharType="end"/>
      </w:r>
      <w:r/>
    </w:p>
    <w:p>
      <w:pPr>
        <w:pStyle w:val="708"/>
        <w:spacing w:line="360" w:lineRule="auto"/>
        <w:tabs>
          <w:tab w:val="right" w:pos="9460" w:leader="dot"/>
        </w:tabs>
        <w:rPr>
          <w:rFonts w:hint="eastAsia" w:ascii="宋体" w:hAnsi="宋体" w:eastAsia="宋体" w:cs="宋体"/>
          <w:sz w:val="32"/>
          <w:szCs w:val="32"/>
          <w:highlight w:val="none"/>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"_Toc31546" </w:instrText>
      </w:r>
      <w:r>
        <w:rPr>
          <w:rFonts w:hint="eastAsia" w:ascii="宋体" w:hAnsi="宋体" w:eastAsia="宋体" w:cs="宋体"/>
          <w:sz w:val="32"/>
          <w:szCs w:val="32"/>
        </w:rPr>
        <w:fldChar w:fldCharType="separate"/>
      </w:r>
      <w:r>
        <w:rPr>
          <w:rFonts w:hint="eastAsia" w:ascii="宋体" w:hAnsi="宋体" w:eastAsia="宋体" w:cs="宋体"/>
          <w:sz w:val="32"/>
          <w:szCs w:val="32"/>
          <w:highlight w:val="none"/>
        </w:rPr>
        <w:t xml:space="preserve">第二章 投标人须知</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_Toc31546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6</w:t>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fldChar w:fldCharType="end"/>
      </w:r>
      <w:r/>
    </w:p>
    <w:p>
      <w:pPr>
        <w:pStyle w:val="708"/>
        <w:spacing w:line="360" w:lineRule="auto"/>
        <w:tabs>
          <w:tab w:val="right" w:pos="9460" w:leader="dot"/>
        </w:tabs>
        <w:rPr>
          <w:rFonts w:hint="eastAsia" w:ascii="宋体" w:hAnsi="宋体" w:eastAsia="宋体" w:cs="宋体"/>
          <w:sz w:val="32"/>
          <w:szCs w:val="32"/>
          <w:highlight w:val="none"/>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"_Toc20555" </w:instrText>
      </w:r>
      <w:r>
        <w:rPr>
          <w:rFonts w:hint="eastAsia" w:ascii="宋体" w:hAnsi="宋体" w:eastAsia="宋体" w:cs="宋体"/>
          <w:sz w:val="32"/>
          <w:szCs w:val="32"/>
        </w:rPr>
        <w:fldChar w:fldCharType="separate"/>
      </w:r>
      <w:r>
        <w:rPr>
          <w:rFonts w:hint="eastAsia" w:ascii="宋体" w:hAnsi="宋体" w:eastAsia="宋体" w:cs="宋体"/>
          <w:sz w:val="32"/>
          <w:szCs w:val="32"/>
          <w:highlight w:val="none"/>
        </w:rPr>
        <w:t xml:space="preserve">第三章 合同条款及格式</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_Toc20555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15</w:t>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fldChar w:fldCharType="end"/>
      </w:r>
      <w:r/>
    </w:p>
    <w:p>
      <w:pPr>
        <w:pStyle w:val="708"/>
        <w:spacing w:line="360" w:lineRule="auto"/>
        <w:tabs>
          <w:tab w:val="right" w:pos="9460" w:leader="dot"/>
        </w:tabs>
        <w:rPr>
          <w:rFonts w:hint="eastAsia" w:ascii="宋体" w:hAnsi="宋体" w:eastAsia="宋体" w:cs="宋体"/>
          <w:sz w:val="32"/>
          <w:szCs w:val="32"/>
          <w:highlight w:val="none"/>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"_Toc7037" </w:instrText>
      </w:r>
      <w:r>
        <w:rPr>
          <w:rFonts w:hint="eastAsia" w:ascii="宋体" w:hAnsi="宋体" w:eastAsia="宋体" w:cs="宋体"/>
          <w:sz w:val="32"/>
          <w:szCs w:val="32"/>
        </w:rPr>
        <w:fldChar w:fldCharType="separate"/>
      </w:r>
      <w:r>
        <w:rPr>
          <w:rFonts w:hint="eastAsia" w:ascii="宋体" w:hAnsi="宋体" w:eastAsia="宋体" w:cs="宋体"/>
          <w:sz w:val="32"/>
          <w:szCs w:val="32"/>
          <w:highlight w:val="none"/>
          <w:lang w:val="en-US" w:eastAsia="zh-CN"/>
        </w:rPr>
        <w:t xml:space="preserve">第四章 </w:t>
      </w:r>
      <w:r>
        <w:rPr>
          <w:rFonts w:hint="eastAsia" w:ascii="宋体" w:hAnsi="宋体" w:eastAsia="宋体" w:cs="宋体"/>
          <w:sz w:val="32"/>
          <w:szCs w:val="32"/>
          <w:highlight w:val="none"/>
        </w:rPr>
        <w:t xml:space="preserve">项目需求</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_Toc7037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19</w:t>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fldChar w:fldCharType="end"/>
      </w:r>
      <w:r/>
    </w:p>
    <w:p>
      <w:pPr>
        <w:pStyle w:val="708"/>
        <w:spacing w:line="360" w:lineRule="auto"/>
        <w:tabs>
          <w:tab w:val="right" w:pos="9460" w:leader="dot"/>
        </w:tabs>
        <w:rPr>
          <w:rFonts w:hint="eastAsia" w:ascii="宋体" w:hAnsi="宋体" w:eastAsia="宋体" w:cs="宋体"/>
          <w:sz w:val="32"/>
          <w:szCs w:val="32"/>
          <w:highlight w:val="none"/>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"_Toc30696" </w:instrText>
      </w:r>
      <w:r>
        <w:rPr>
          <w:rFonts w:hint="eastAsia" w:ascii="宋体" w:hAnsi="宋体" w:eastAsia="宋体" w:cs="宋体"/>
          <w:sz w:val="32"/>
          <w:szCs w:val="32"/>
        </w:rPr>
        <w:fldChar w:fldCharType="separate"/>
      </w:r>
      <w:r>
        <w:rPr>
          <w:rFonts w:hint="eastAsia" w:ascii="宋体" w:hAnsi="宋体" w:eastAsia="宋体" w:cs="宋体"/>
          <w:sz w:val="32"/>
          <w:szCs w:val="32"/>
          <w:highlight w:val="none"/>
        </w:rPr>
        <w:t xml:space="preserve">第五章 评标方法及评标标准</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_Toc30696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157</w:t>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fldChar w:fldCharType="end"/>
      </w:r>
      <w:r/>
    </w:p>
    <w:p>
      <w:pPr>
        <w:pStyle w:val="708"/>
        <w:spacing w:line="360" w:lineRule="auto"/>
        <w:tabs>
          <w:tab w:val="right" w:pos="9460" w:leader="dot"/>
        </w:tabs>
        <w:rPr>
          <w:rFonts w:hint="eastAsia" w:ascii="宋体" w:hAnsi="宋体" w:eastAsia="宋体" w:cs="宋体"/>
          <w:sz w:val="32"/>
          <w:szCs w:val="32"/>
          <w:highlight w:val="none"/>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"_Toc4376" </w:instrText>
      </w:r>
      <w:r>
        <w:rPr>
          <w:rFonts w:hint="eastAsia" w:ascii="宋体" w:hAnsi="宋体" w:eastAsia="宋体" w:cs="宋体"/>
          <w:sz w:val="32"/>
          <w:szCs w:val="32"/>
        </w:rPr>
        <w:fldChar w:fldCharType="separate"/>
      </w:r>
      <w:r>
        <w:rPr>
          <w:rFonts w:hint="eastAsia" w:ascii="宋体" w:hAnsi="宋体" w:eastAsia="宋体" w:cs="宋体"/>
          <w:sz w:val="32"/>
          <w:szCs w:val="32"/>
          <w:highlight w:val="none"/>
        </w:rPr>
        <w:t xml:space="preserve">第六章 投标文件格式</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_Toc4376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161</w:t>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fldChar w:fldCharType="end"/>
      </w:r>
      <w:r/>
    </w:p>
    <w:p>
      <w:pPr>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fldChar w:fldCharType="end"/>
      </w:r>
      <w:r/>
    </w:p>
    <w:p>
      <w:pPr>
        <w:pStyle w:val="875"/>
        <w:jc w:val="center"/>
        <w:pageBreakBefore w:val="0"/>
        <w:spacing w:line="300" w:lineRule="auto"/>
        <w:rPr>
          <w:rFonts w:ascii="宋体" w:hAnsi="宋体" w:cs="宋体"/>
          <w:sz w:val="30"/>
          <w:szCs w:val="30"/>
          <w:highlight w:val="none"/>
        </w:rPr>
      </w:pPr>
      <w:r>
        <w:rPr>
          <w:rFonts w:hint="eastAsia" w:ascii="宋体" w:hAnsi="宋体"/>
          <w:sz w:val="28"/>
          <w:highlight w:val="none"/>
        </w:rPr>
        <w:br w:type="page" w:clear="all"/>
      </w:r>
      <w:bookmarkStart w:id="0" w:name="_Toc27241"/>
      <w:r/>
      <w:bookmarkStart w:id="1" w:name="_Toc7279"/>
      <w:r/>
      <w:bookmarkStart w:id="2" w:name="_Toc55204177"/>
      <w:r>
        <w:rPr>
          <w:rFonts w:hint="eastAsia" w:ascii="宋体" w:hAnsi="宋体"/>
          <w:sz w:val="30"/>
          <w:szCs w:val="30"/>
          <w:highlight w:val="none"/>
        </w:rPr>
        <w:t xml:space="preserve">第一章 招标公告</w:t>
      </w:r>
      <w:bookmarkEnd w:id="0"/>
      <w:r/>
      <w:bookmarkEnd w:id="1"/>
      <w:r/>
      <w:bookmarkEnd w:id="2"/>
      <w:r/>
      <w:r/>
    </w:p>
    <w:p>
      <w:pPr>
        <w:ind w:firstLine="422"/>
        <w:pageBreakBefore w:val="0"/>
        <w:spacing w:line="300" w:lineRule="auto"/>
        <w:rPr>
          <w:rFonts w:ascii="宋体" w:hAnsi="宋体" w:cs="宋体"/>
          <w:b/>
          <w:bCs/>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highlight w:val="none"/>
        </w:rPr>
        <w:t xml:space="preserve">项目概况</w:t>
      </w:r>
      <w:r/>
    </w:p>
    <w:p>
      <w:pPr>
        <w:ind w:firstLine="420"/>
        <w:pageBreakBefore w:val="0"/>
        <w:spacing w:line="300" w:lineRule="auto"/>
        <w:rPr>
          <w:rFonts w:ascii="宋体" w:hAnsi="宋体" w:cs="宋体"/>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highlight w:val="none"/>
          <w:u w:val="single"/>
          <w:lang w:eastAsia="zh-CN"/>
        </w:rPr>
        <w:t xml:space="preserve">扬州市妇幼保健院托育综合服务中心玩教具</w:t>
      </w:r>
      <w:r>
        <w:rPr>
          <w:rFonts w:hint="eastAsia" w:ascii="宋体" w:hAnsi="宋体" w:cs="宋体"/>
          <w:highlight w:val="none"/>
          <w:u w:val="single"/>
          <w:lang w:val="en-US" w:eastAsia="zh-CN"/>
        </w:rPr>
        <w:t xml:space="preserve">采购项目</w:t>
      </w:r>
      <w:r>
        <w:rPr>
          <w:rFonts w:hint="eastAsia" w:ascii="宋体" w:hAnsi="宋体" w:cs="宋体"/>
          <w:highlight w:val="none"/>
          <w:u w:val="single"/>
          <w:lang w:eastAsia="zh-CN"/>
        </w:rPr>
        <w:t xml:space="preserve">（JSZC-321000-JITC-G2026-0216）</w:t>
      </w:r>
      <w:r>
        <w:rPr>
          <w:rFonts w:hint="eastAsia" w:ascii="宋体" w:hAnsi="宋体" w:cs="宋体"/>
          <w:highlight w:val="none"/>
        </w:rPr>
        <w:t xml:space="preserve">招标项目的潜在投标人</w:t>
      </w:r>
      <w:r>
        <w:rPr>
          <w:rFonts w:hint="eastAsia" w:ascii="宋体" w:hAnsi="宋体" w:cs="宋体"/>
          <w:highlight w:val="none"/>
          <w:lang w:val="en-US" w:eastAsia="zh-CN"/>
        </w:rPr>
        <w:t xml:space="preserve">应</w:t>
      </w:r>
      <w:r>
        <w:rPr>
          <w:rFonts w:hint="eastAsia" w:ascii="宋体" w:hAnsi="宋体" w:cs="宋体"/>
          <w:highlight w:val="none"/>
        </w:rPr>
        <w:t xml:space="preserve">在</w:t>
      </w:r>
      <w:r>
        <w:rPr>
          <w:rFonts w:hint="eastAsia" w:ascii="宋体" w:hAnsi="宋体" w:cs="宋体"/>
          <w:highlight w:val="none"/>
          <w:u w:val="single"/>
        </w:rPr>
        <w:t xml:space="preserve"> “</w:t>
      </w:r>
      <w:r>
        <w:rPr>
          <w:rFonts w:hint="eastAsia" w:ascii="宋体" w:hAnsi="宋体" w:cs="宋体"/>
          <w:highlight w:val="none"/>
          <w:u w:val="single"/>
          <w:lang w:val="en-US" w:eastAsia="zh-CN"/>
        </w:rPr>
        <w:t xml:space="preserve">苏采云</w:t>
      </w:r>
      <w:r>
        <w:rPr>
          <w:rFonts w:hint="eastAsia" w:ascii="宋体" w:hAnsi="宋体" w:cs="宋体"/>
          <w:highlight w:val="none"/>
          <w:u w:val="single"/>
        </w:rPr>
        <w:t xml:space="preserve">”</w:t>
      </w:r>
      <w:r>
        <w:rPr>
          <w:rFonts w:hint="eastAsia" w:ascii="宋体" w:hAnsi="宋体" w:cs="宋体"/>
          <w:highlight w:val="none"/>
          <w:u w:val="single"/>
          <w:lang w:val="en-US" w:eastAsia="zh-CN"/>
        </w:rPr>
        <w:t xml:space="preserve">政府采购一体化平台 </w:t>
      </w:r>
      <w:r>
        <w:rPr>
          <w:rFonts w:hint="eastAsia" w:ascii="宋体" w:hAnsi="宋体" w:cs="宋体"/>
          <w:highlight w:val="none"/>
          <w:u w:val="none"/>
          <w:lang w:val="en-US" w:eastAsia="zh-CN"/>
        </w:rPr>
        <w:t xml:space="preserve">获取</w:t>
      </w:r>
      <w:r>
        <w:rPr>
          <w:rFonts w:hint="eastAsia" w:ascii="宋体" w:hAnsi="宋体" w:cs="宋体"/>
          <w:highlight w:val="none"/>
          <w:lang w:val="en-US" w:eastAsia="zh-CN"/>
        </w:rPr>
        <w:t xml:space="preserve">招标</w:t>
      </w:r>
      <w:r>
        <w:rPr>
          <w:rFonts w:hint="eastAsia" w:ascii="宋体" w:hAnsi="宋体" w:cs="宋体"/>
          <w:highlight w:val="none"/>
        </w:rPr>
        <w:t xml:space="preserve">文件，并于</w:t>
      </w:r>
      <w:bookmarkStart w:id="3" w:name="XMTBJSR_1"/>
      <w:r>
        <w:rPr>
          <w:rFonts w:hint="eastAsia" w:ascii="宋体" w:hAnsi="宋体" w:cs="宋体"/>
          <w:highlight w:val="none"/>
          <w:u w:val="single"/>
        </w:rPr>
        <w:t xml:space="preserve">202</w:t>
      </w:r>
      <w:r>
        <w:rPr>
          <w:rFonts w:hint="eastAsia" w:ascii="宋体" w:hAnsi="宋体" w:cs="宋体"/>
          <w:highlight w:val="none"/>
          <w:u w:val="single"/>
          <w:lang w:val="en-US" w:eastAsia="zh-CN"/>
        </w:rPr>
        <w:t xml:space="preserve">6</w:t>
      </w:r>
      <w:r>
        <w:rPr>
          <w:rFonts w:hint="eastAsia" w:ascii="宋体" w:hAnsi="宋体" w:cs="宋体"/>
          <w:highlight w:val="none"/>
          <w:u w:val="single"/>
        </w:rPr>
        <w:t xml:space="preserve">年</w:t>
      </w:r>
      <w:r>
        <w:rPr>
          <w:rFonts w:hint="eastAsia" w:ascii="宋体" w:hAnsi="宋体" w:cs="宋体"/>
          <w:highlight w:val="none"/>
          <w:u w:val="single"/>
          <w:lang w:val="en-US" w:eastAsia="zh-CN"/>
        </w:rPr>
        <w:t xml:space="preserve">08</w:t>
      </w:r>
      <w:r>
        <w:rPr>
          <w:rFonts w:hint="eastAsia" w:ascii="宋体" w:hAnsi="宋体" w:cs="宋体"/>
          <w:highlight w:val="none"/>
          <w:u w:val="single"/>
        </w:rPr>
        <w:t xml:space="preserve">月</w:t>
      </w:r>
      <w:r>
        <w:rPr>
          <w:rFonts w:hint="eastAsia" w:ascii="宋体" w:hAnsi="宋体" w:cs="宋体"/>
          <w:highlight w:val="none"/>
          <w:u w:val="single"/>
          <w:lang w:val="en-US" w:eastAsia="zh-CN"/>
        </w:rPr>
        <w:t xml:space="preserve">06</w:t>
      </w:r>
      <w:r>
        <w:rPr>
          <w:rFonts w:hint="eastAsia" w:ascii="宋体" w:hAnsi="宋体" w:cs="宋体"/>
          <w:highlight w:val="none"/>
          <w:u w:val="single"/>
        </w:rPr>
        <w:t xml:space="preserve">日</w:t>
      </w:r>
      <w:r>
        <w:rPr>
          <w:rFonts w:hint="eastAsia" w:ascii="宋体" w:hAnsi="宋体" w:cs="宋体"/>
          <w:highlight w:val="none"/>
          <w:u w:val="single"/>
          <w:lang w:val="en-US" w:eastAsia="zh-CN"/>
        </w:rPr>
        <w:t xml:space="preserve">上</w:t>
      </w:r>
      <w:r>
        <w:rPr>
          <w:rFonts w:hint="eastAsia" w:ascii="宋体" w:hAnsi="宋体" w:cs="宋体"/>
          <w:highlight w:val="none"/>
          <w:u w:val="single"/>
        </w:rPr>
        <w:t xml:space="preserve">午</w:t>
      </w:r>
      <w:r>
        <w:rPr>
          <w:rFonts w:hint="eastAsia" w:ascii="宋体" w:hAnsi="宋体" w:cs="宋体"/>
          <w:highlight w:val="none"/>
          <w:u w:val="single"/>
          <w:lang w:val="en-US" w:eastAsia="zh-CN"/>
        </w:rPr>
        <w:t xml:space="preserve">9</w:t>
      </w:r>
      <w:r>
        <w:rPr>
          <w:rFonts w:hint="eastAsia" w:ascii="宋体" w:hAnsi="宋体" w:cs="宋体"/>
          <w:highlight w:val="none"/>
          <w:u w:val="single"/>
        </w:rPr>
        <w:t xml:space="preserve">时</w:t>
      </w:r>
      <w:r>
        <w:rPr>
          <w:rFonts w:hint="eastAsia" w:ascii="宋体" w:hAnsi="宋体" w:cs="宋体"/>
          <w:highlight w:val="none"/>
          <w:u w:val="single"/>
          <w:lang w:val="en-US" w:eastAsia="zh-CN"/>
        </w:rPr>
        <w:t xml:space="preserve">00</w:t>
      </w:r>
      <w:r>
        <w:rPr>
          <w:rFonts w:hint="eastAsia" w:ascii="宋体" w:hAnsi="宋体" w:cs="宋体"/>
          <w:highlight w:val="none"/>
          <w:u w:val="single"/>
        </w:rPr>
        <w:t xml:space="preserve">分</w:t>
      </w:r>
      <w:bookmarkEnd w:id="3"/>
      <w:r>
        <w:rPr>
          <w:rFonts w:hint="eastAsia" w:ascii="宋体" w:hAnsi="宋体" w:cs="宋体"/>
          <w:highlight w:val="none"/>
        </w:rPr>
        <w:t xml:space="preserve">（北京时间）</w:t>
      </w:r>
      <w:r>
        <w:rPr>
          <w:rFonts w:hint="eastAsia" w:ascii="宋体" w:hAnsi="宋体" w:cs="宋体"/>
          <w:bCs/>
          <w:highlight w:val="none"/>
        </w:rPr>
        <w:t xml:space="preserve">前递交投标文件</w:t>
      </w:r>
      <w:r>
        <w:rPr>
          <w:rFonts w:hint="eastAsia" w:ascii="宋体" w:hAnsi="宋体" w:cs="宋体"/>
          <w:highlight w:val="none"/>
        </w:rPr>
        <w:t xml:space="preserve">。</w:t>
      </w:r>
      <w:r/>
    </w:p>
    <w:p>
      <w:pPr>
        <w:pageBreakBefore w:val="0"/>
        <w:spacing w:line="300" w:lineRule="auto"/>
        <w:tabs>
          <w:tab w:val="left" w:pos="266" w:leader="none"/>
        </w:tabs>
        <w:rPr>
          <w:rFonts w:ascii="宋体" w:hAnsi="宋体" w:cs="宋体"/>
          <w:b/>
          <w:bCs/>
          <w:highlight w:val="none"/>
        </w:rPr>
      </w:pPr>
      <w:r/>
      <w:bookmarkStart w:id="4" w:name="_Toc38985263"/>
      <w:r/>
      <w:bookmarkStart w:id="5" w:name="_Toc35393790"/>
      <w:r/>
      <w:bookmarkStart w:id="6" w:name="_Toc28359002"/>
      <w:r/>
      <w:bookmarkStart w:id="7" w:name="_Toc35393621"/>
      <w:r/>
      <w:bookmarkStart w:id="8" w:name="_Toc28359079"/>
      <w:r/>
      <w:bookmarkStart w:id="9" w:name="_Hlk24379207"/>
      <w:r>
        <w:rPr>
          <w:rFonts w:hint="eastAsia" w:ascii="宋体" w:hAnsi="宋体" w:cs="宋体"/>
          <w:b/>
          <w:bCs/>
          <w:highlight w:val="none"/>
        </w:rPr>
        <w:t xml:space="preserve">一、项目基本情况</w:t>
      </w:r>
      <w:bookmarkEnd w:id="4"/>
      <w:r/>
      <w:bookmarkEnd w:id="5"/>
      <w:r/>
      <w:bookmarkEnd w:id="6"/>
      <w:r/>
      <w:bookmarkEnd w:id="7"/>
      <w:r/>
      <w:bookmarkEnd w:id="8"/>
      <w:r/>
      <w:r/>
    </w:p>
    <w:p>
      <w:pPr>
        <w:ind w:firstLine="420"/>
        <w:pageBreakBefore w:val="0"/>
        <w:spacing w:line="300" w:lineRule="auto"/>
        <w:rPr>
          <w:rFonts w:hint="default" w:ascii="宋体" w:hAnsi="宋体" w:eastAsia="宋体" w:cs="宋体"/>
          <w:szCs w:val="21"/>
          <w:highlight w:val="none"/>
          <w:lang w:val="en-US" w:eastAsia="zh-CN"/>
        </w:rPr>
      </w:pPr>
      <w:r>
        <w:rPr>
          <w:rFonts w:hint="eastAsia" w:ascii="宋体" w:hAnsi="宋体" w:cs="宋体"/>
          <w:highlight w:val="none"/>
        </w:rPr>
        <w:t xml:space="preserve">1.项目编号：JSZC-321000-JITC-G2026-0216</w:t>
      </w:r>
      <w:r/>
    </w:p>
    <w:p>
      <w:pPr>
        <w:ind w:firstLine="420"/>
        <w:pageBreakBefore w:val="0"/>
        <w:spacing w:line="300" w:lineRule="auto"/>
        <w:rPr>
          <w:rFonts w:hint="eastAsia" w:ascii="宋体" w:hAnsi="宋体" w:eastAsia="宋体" w:cs="宋体"/>
          <w:highlight w:val="none"/>
          <w:lang w:eastAsia="zh-CN"/>
        </w:rPr>
      </w:pPr>
      <w:r>
        <w:rPr>
          <w:rFonts w:hint="eastAsia" w:ascii="宋体" w:hAnsi="宋体" w:cs="宋体"/>
          <w:highlight w:val="none"/>
        </w:rPr>
        <w:t xml:space="preserve">2.项目名称：</w:t>
      </w:r>
      <w:r>
        <w:rPr>
          <w:rFonts w:hint="eastAsia" w:ascii="宋体" w:hAnsi="宋体" w:cs="宋体"/>
          <w:highlight w:val="none"/>
          <w:lang w:eastAsia="zh-CN"/>
        </w:rPr>
        <w:t xml:space="preserve">扬州市妇幼保健院托育综合服务中心玩教具</w:t>
      </w:r>
      <w:r>
        <w:rPr>
          <w:rFonts w:hint="eastAsia" w:ascii="宋体" w:hAnsi="宋体" w:cs="宋体"/>
          <w:highlight w:val="none"/>
          <w:lang w:val="en-US" w:eastAsia="zh-CN"/>
        </w:rPr>
        <w:t xml:space="preserve">采购项目</w:t>
      </w:r>
      <w:r>
        <w:rPr>
          <w:rFonts w:hint="eastAsia" w:ascii="宋体" w:hAnsi="宋体" w:cs="宋体"/>
          <w:highlight w:val="none"/>
          <w:lang w:eastAsia="zh-CN"/>
        </w:rPr>
        <w:t xml:space="preserve">                                    </w:t>
      </w:r>
      <w:bookmarkEnd w:id="9"/>
      <w:r/>
    </w:p>
    <w:p>
      <w:pPr>
        <w:ind w:firstLine="420"/>
        <w:pageBreakBefore w:val="0"/>
        <w:spacing w:line="300" w:lineRule="auto"/>
        <w:rPr>
          <w:rFonts w:hint="eastAsia" w:ascii="宋体" w:hAnsi="宋体" w:cs="宋体"/>
          <w:highlight w:val="none"/>
        </w:rPr>
      </w:pPr>
      <w:r>
        <w:rPr>
          <w:rFonts w:hint="eastAsia" w:ascii="宋体" w:hAnsi="宋体" w:cs="宋体"/>
          <w:highlight w:val="none"/>
        </w:rPr>
        <w:t xml:space="preserve">3.预算金额：</w:t>
      </w:r>
      <w:r>
        <w:rPr>
          <w:rFonts w:hint="eastAsia" w:ascii="宋体" w:hAnsi="宋体" w:cs="宋体"/>
          <w:highlight w:val="none"/>
          <w:lang w:val="en-US" w:eastAsia="zh-CN"/>
        </w:rPr>
        <w:t xml:space="preserve">179</w:t>
      </w:r>
      <w:r>
        <w:rPr>
          <w:rFonts w:hint="eastAsia" w:ascii="宋体" w:hAnsi="宋体" w:cs="宋体"/>
          <w:highlight w:val="none"/>
        </w:rPr>
        <w:t xml:space="preserve">.00</w:t>
      </w:r>
      <w:r>
        <w:rPr>
          <w:rFonts w:hint="eastAsia" w:ascii="宋体" w:hAnsi="宋体" w:cs="宋体"/>
          <w:highlight w:val="none"/>
          <w:lang w:val="en-US" w:eastAsia="zh-CN"/>
        </w:rPr>
        <w:t xml:space="preserve">0000</w:t>
      </w:r>
      <w:r>
        <w:rPr>
          <w:rFonts w:hint="eastAsia" w:ascii="宋体" w:hAnsi="宋体" w:cs="宋体"/>
          <w:highlight w:val="none"/>
        </w:rPr>
        <w:t xml:space="preserve">万元</w:t>
      </w:r>
      <w:r/>
    </w:p>
    <w:p>
      <w:pPr>
        <w:ind w:firstLine="420"/>
        <w:pageBreakBefore w:val="0"/>
        <w:spacing w:line="300" w:lineRule="auto"/>
        <w:rPr>
          <w:rFonts w:hint="eastAsia" w:ascii="宋体" w:hAnsi="宋体" w:cs="宋体"/>
          <w:highlight w:val="none"/>
        </w:rPr>
      </w:pPr>
      <w:r/>
      <w:bookmarkStart w:id="10" w:name="_Toc35393791"/>
      <w:r/>
      <w:bookmarkStart w:id="11" w:name="_Toc38985264"/>
      <w:r/>
      <w:bookmarkStart w:id="12" w:name="_Toc28359080"/>
      <w:r/>
      <w:bookmarkStart w:id="13" w:name="_Toc28359003"/>
      <w:r/>
      <w:bookmarkStart w:id="14" w:name="_Toc35393622"/>
      <w:r>
        <w:rPr>
          <w:rFonts w:hint="eastAsia" w:ascii="宋体" w:hAnsi="宋体" w:cs="宋体"/>
          <w:highlight w:val="none"/>
        </w:rPr>
        <w:t xml:space="preserve">4.最高限价</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如有</w:t>
      </w:r>
      <w:r>
        <w:rPr>
          <w:rFonts w:hint="eastAsia" w:ascii="宋体" w:hAnsi="宋体" w:cs="宋体"/>
          <w:highlight w:val="none"/>
          <w:lang w:eastAsia="zh-CN"/>
        </w:rPr>
        <w:t xml:space="preserve">）</w:t>
      </w:r>
      <w:r>
        <w:rPr>
          <w:rFonts w:hint="eastAsia" w:ascii="宋体" w:hAnsi="宋体" w:cs="宋体"/>
          <w:highlight w:val="none"/>
        </w:rPr>
        <w:t xml:space="preserve">：</w:t>
      </w:r>
      <w:r>
        <w:rPr>
          <w:rFonts w:hint="eastAsia" w:ascii="宋体" w:hAnsi="宋体" w:cs="宋体"/>
          <w:highlight w:val="none"/>
          <w:lang w:val="en-US" w:eastAsia="zh-CN"/>
        </w:rPr>
        <w:t xml:space="preserve">179</w:t>
      </w:r>
      <w:r>
        <w:rPr>
          <w:rFonts w:hint="eastAsia" w:ascii="宋体" w:hAnsi="宋体" w:cs="宋体"/>
          <w:highlight w:val="none"/>
        </w:rPr>
        <w:t xml:space="preserve">.00</w:t>
      </w:r>
      <w:r>
        <w:rPr>
          <w:rFonts w:hint="eastAsia" w:ascii="宋体" w:hAnsi="宋体" w:cs="宋体"/>
          <w:highlight w:val="none"/>
          <w:lang w:val="en-US" w:eastAsia="zh-CN"/>
        </w:rPr>
        <w:t xml:space="preserve">0000</w:t>
      </w:r>
      <w:r>
        <w:rPr>
          <w:rFonts w:ascii="宋体" w:hAnsi="宋体" w:cs="宋体"/>
          <w:highlight w:val="none"/>
        </w:rPr>
        <w:t xml:space="preserve">万元</w:t>
      </w:r>
      <w:r/>
    </w:p>
    <w:p>
      <w:pPr>
        <w:ind w:firstLine="420"/>
        <w:pageBreakBefore w:val="0"/>
        <w:spacing w:line="300" w:lineRule="auto"/>
        <w:rPr>
          <w:rFonts w:hint="eastAsia" w:ascii="宋体" w:hAnsi="宋体" w:cs="宋体"/>
          <w:highlight w:val="none"/>
        </w:rPr>
      </w:pPr>
      <w:r>
        <w:rPr>
          <w:rFonts w:hint="eastAsia" w:ascii="宋体" w:hAnsi="宋体" w:cs="宋体"/>
          <w:highlight w:val="none"/>
        </w:rPr>
        <w:t xml:space="preserve">5.采购需求：</w:t>
      </w:r>
      <w:r/>
    </w:p>
    <w:tbl>
      <w:tblPr>
        <w:tblStyle w:val="692"/>
        <w:tblW w:w="468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55"/>
        <w:gridCol w:w="1121"/>
        <w:gridCol w:w="1415"/>
        <w:gridCol w:w="1711"/>
        <w:gridCol w:w="2071"/>
        <w:gridCol w:w="680"/>
      </w:tblGrid>
      <w:tr>
        <w:trPr>
          <w:jc w:val="center"/>
          <w:trHeight w:val="90"/>
        </w:trPr>
        <w:tc>
          <w:tcPr>
            <w:tcMar>
              <w:left w:w="108" w:type="dxa"/>
              <w:top w:w="0" w:type="dxa"/>
              <w:right w:w="108" w:type="dxa"/>
              <w:bottom w:w="0" w:type="dxa"/>
            </w:tcMar>
            <w:tcW w:w="1047" w:type="pct"/>
            <w:vAlign w:val="center"/>
            <w:textDirection w:val="lrTb"/>
            <w:noWrap w:val="false"/>
          </w:tcPr>
          <w:p>
            <w:pPr>
              <w:jc w:val="center"/>
              <w:pageBreakBefore w:val="0"/>
              <w:spacing w:line="240" w:lineRule="auto"/>
              <w:rPr>
                <w:szCs w:val="21"/>
                <w:highlight w:val="none"/>
              </w:rPr>
              <w:pBdr>
                <w:top w:val="none" w:color="auto" w:sz="0" w:space="0"/>
                <w:left w:val="none" w:color="auto" w:sz="0" w:space="0"/>
                <w:bottom w:val="none" w:color="auto" w:sz="0" w:space="0"/>
                <w:right w:val="none" w:color="auto" w:sz="0" w:space="0"/>
              </w:pBdr>
            </w:pPr>
            <w:r>
              <w:rPr>
                <w:rFonts w:hint="eastAsia" w:ascii="宋体" w:hAnsi="宋体" w:cs="宋体"/>
                <w:szCs w:val="21"/>
                <w:highlight w:val="none"/>
                <w:lang w:val="en-US" w:eastAsia="zh-CN"/>
              </w:rPr>
              <w:t xml:space="preserve">标的</w:t>
            </w:r>
            <w:r>
              <w:rPr>
                <w:rFonts w:ascii="宋体" w:hAnsi="宋体" w:cs="宋体"/>
                <w:szCs w:val="21"/>
                <w:highlight w:val="none"/>
              </w:rPr>
              <w:t xml:space="preserve">名称</w:t>
            </w:r>
            <w:r/>
          </w:p>
        </w:tc>
        <w:tc>
          <w:tcPr>
            <w:tcMar>
              <w:left w:w="108" w:type="dxa"/>
              <w:top w:w="0" w:type="dxa"/>
              <w:right w:w="108" w:type="dxa"/>
              <w:bottom w:w="0" w:type="dxa"/>
            </w:tcMar>
            <w:tcW w:w="633" w:type="pct"/>
            <w:vAlign w:val="center"/>
            <w:textDirection w:val="lrTb"/>
            <w:noWrap w:val="false"/>
          </w:tcPr>
          <w:p>
            <w:pPr>
              <w:jc w:val="center"/>
              <w:pageBreakBefore w:val="0"/>
              <w:spacing w:line="240" w:lineRule="auto"/>
              <w:rPr>
                <w:szCs w:val="21"/>
                <w:highlight w:val="none"/>
              </w:rPr>
              <w:pBdr>
                <w:top w:val="none" w:color="auto" w:sz="0" w:space="0"/>
                <w:left w:val="none" w:color="auto" w:sz="0" w:space="0"/>
                <w:bottom w:val="none" w:color="auto" w:sz="0" w:space="0"/>
                <w:right w:val="none" w:color="auto" w:sz="0" w:space="0"/>
              </w:pBdr>
            </w:pPr>
            <w:r>
              <w:rPr>
                <w:rFonts w:ascii="宋体" w:hAnsi="宋体" w:cs="宋体"/>
                <w:szCs w:val="21"/>
                <w:highlight w:val="none"/>
              </w:rPr>
              <w:t xml:space="preserve">数量</w:t>
            </w:r>
            <w:r/>
          </w:p>
        </w:tc>
        <w:tc>
          <w:tcPr>
            <w:tcMar>
              <w:left w:w="108" w:type="dxa"/>
              <w:top w:w="0" w:type="dxa"/>
              <w:right w:w="108" w:type="dxa"/>
              <w:bottom w:w="0" w:type="dxa"/>
            </w:tcMar>
            <w:tcW w:w="799" w:type="pct"/>
            <w:vAlign w:val="center"/>
            <w:textDirection w:val="lrTb"/>
            <w:noWrap w:val="false"/>
          </w:tcPr>
          <w:p>
            <w:pPr>
              <w:jc w:val="center"/>
              <w:pageBreakBefore w:val="0"/>
              <w:spacing w:line="240" w:lineRule="auto"/>
              <w:rPr>
                <w:szCs w:val="21"/>
                <w:highlight w:val="none"/>
              </w:rPr>
              <w:pBdr>
                <w:top w:val="none" w:color="auto" w:sz="0" w:space="0"/>
                <w:left w:val="none" w:color="auto" w:sz="0" w:space="0"/>
                <w:bottom w:val="none" w:color="auto" w:sz="0" w:space="0"/>
                <w:right w:val="none" w:color="auto" w:sz="0" w:space="0"/>
              </w:pBdr>
            </w:pPr>
            <w:r>
              <w:rPr>
                <w:rFonts w:ascii="宋体" w:hAnsi="宋体" w:cs="宋体"/>
                <w:szCs w:val="21"/>
                <w:highlight w:val="none"/>
              </w:rPr>
              <w:t xml:space="preserve">预算金额（万元）</w:t>
            </w:r>
            <w:r/>
          </w:p>
        </w:tc>
        <w:tc>
          <w:tcPr>
            <w:tcW w:w="966" w:type="pct"/>
            <w:vAlign w:val="center"/>
            <w:textDirection w:val="lrTb"/>
            <w:noWrap w:val="false"/>
          </w:tcPr>
          <w:p>
            <w:pPr>
              <w:jc w:val="center"/>
              <w:pageBreakBefore w:val="0"/>
              <w:spacing w:line="240" w:lineRule="auto"/>
              <w:rPr>
                <w:rFonts w:ascii="宋体" w:hAnsi="宋体" w:cs="宋体"/>
                <w:highlight w:val="none"/>
              </w:rPr>
              <w:pBdr>
                <w:top w:val="none" w:color="auto" w:sz="0" w:space="0"/>
                <w:left w:val="none" w:color="auto" w:sz="0" w:space="0"/>
                <w:bottom w:val="none" w:color="auto" w:sz="0" w:space="0"/>
                <w:right w:val="none" w:color="auto" w:sz="0" w:space="0"/>
              </w:pBdr>
            </w:pPr>
            <w:r>
              <w:rPr>
                <w:rFonts w:hint="eastAsia" w:ascii="宋体" w:hAnsi="宋体" w:cs="宋体"/>
                <w:highlight w:val="none"/>
              </w:rPr>
              <w:t xml:space="preserve">最高限价</w:t>
            </w:r>
            <w:r/>
          </w:p>
          <w:p>
            <w:pPr>
              <w:jc w:val="center"/>
              <w:pageBreakBefore w:val="0"/>
              <w:spacing w:line="240" w:lineRule="auto"/>
              <w:rPr>
                <w:rFonts w:ascii="宋体" w:hAnsi="宋体" w:cs="宋体"/>
                <w:szCs w:val="21"/>
                <w:highlight w:val="none"/>
              </w:rPr>
              <w:pBdr>
                <w:top w:val="none" w:color="auto" w:sz="0" w:space="0"/>
                <w:left w:val="none" w:color="auto" w:sz="0" w:space="0"/>
                <w:bottom w:val="none" w:color="auto" w:sz="0" w:space="0"/>
                <w:right w:val="none" w:color="auto" w:sz="0" w:space="0"/>
              </w:pBdr>
            </w:pPr>
            <w:r>
              <w:rPr>
                <w:rFonts w:hint="eastAsia" w:ascii="宋体" w:hAnsi="宋体" w:cs="宋体"/>
                <w:highlight w:val="none"/>
              </w:rPr>
              <w:t xml:space="preserve">（万元）</w:t>
            </w:r>
            <w:r/>
          </w:p>
        </w:tc>
        <w:tc>
          <w:tcPr>
            <w:tcMar>
              <w:left w:w="108" w:type="dxa"/>
              <w:top w:w="0" w:type="dxa"/>
              <w:right w:w="108" w:type="dxa"/>
              <w:bottom w:w="0" w:type="dxa"/>
            </w:tcMar>
            <w:tcW w:w="1169" w:type="pct"/>
            <w:vAlign w:val="center"/>
            <w:textDirection w:val="lrTb"/>
            <w:noWrap w:val="false"/>
          </w:tcPr>
          <w:p>
            <w:pPr>
              <w:jc w:val="center"/>
              <w:pageBreakBefore w:val="0"/>
              <w:spacing w:line="240" w:lineRule="auto"/>
              <w:rPr>
                <w:szCs w:val="21"/>
                <w:highlight w:val="none"/>
              </w:rPr>
              <w:pBdr>
                <w:top w:val="none" w:color="auto" w:sz="0" w:space="0"/>
                <w:left w:val="none" w:color="auto" w:sz="0" w:space="0"/>
                <w:bottom w:val="none" w:color="auto" w:sz="0" w:space="0"/>
                <w:right w:val="none" w:color="auto" w:sz="0" w:space="0"/>
              </w:pBdr>
            </w:pPr>
            <w:r>
              <w:rPr>
                <w:rFonts w:ascii="宋体" w:hAnsi="宋体" w:cs="宋体"/>
                <w:szCs w:val="21"/>
                <w:highlight w:val="none"/>
              </w:rPr>
              <w:t xml:space="preserve">是否接受进口产品</w:t>
            </w:r>
            <w:r/>
          </w:p>
        </w:tc>
        <w:tc>
          <w:tcPr>
            <w:tcW w:w="384" w:type="pct"/>
            <w:vAlign w:val="center"/>
            <w:textDirection w:val="lrTb"/>
            <w:noWrap w:val="false"/>
          </w:tcPr>
          <w:p>
            <w:pPr>
              <w:jc w:val="center"/>
              <w:pageBreakBefore w:val="0"/>
              <w:spacing w:line="240" w:lineRule="auto"/>
              <w:rPr>
                <w:rFonts w:ascii="宋体" w:hAnsi="宋体" w:cs="宋体"/>
                <w:szCs w:val="21"/>
                <w:highlight w:val="none"/>
              </w:rPr>
              <w:pBdr>
                <w:top w:val="none" w:color="auto" w:sz="0" w:space="0"/>
                <w:left w:val="none" w:color="auto" w:sz="0" w:space="0"/>
                <w:bottom w:val="none" w:color="auto" w:sz="0" w:space="0"/>
                <w:right w:val="none" w:color="auto" w:sz="0" w:space="0"/>
              </w:pBdr>
            </w:pPr>
            <w:r>
              <w:rPr>
                <w:rFonts w:hint="eastAsia" w:ascii="宋体" w:hAnsi="宋体" w:cs="宋体"/>
                <w:szCs w:val="21"/>
                <w:highlight w:val="none"/>
              </w:rPr>
              <w:t xml:space="preserve">备注</w:t>
            </w:r>
            <w:r/>
          </w:p>
        </w:tc>
      </w:tr>
      <w:tr>
        <w:trPr>
          <w:jc w:val="center"/>
          <w:trHeight w:val="510"/>
        </w:trPr>
        <w:tc>
          <w:tcPr>
            <w:tcMar>
              <w:left w:w="108" w:type="dxa"/>
              <w:top w:w="0" w:type="dxa"/>
              <w:right w:w="108" w:type="dxa"/>
              <w:bottom w:w="0" w:type="dxa"/>
            </w:tcMar>
            <w:tcW w:w="1047" w:type="pct"/>
            <w:vAlign w:val="center"/>
            <w:textDirection w:val="lrTb"/>
            <w:noWrap w:val="false"/>
          </w:tcPr>
          <w:p>
            <w:pPr>
              <w:jc w:val="center"/>
              <w:pageBreakBefore w:val="0"/>
              <w:spacing w:line="240" w:lineRule="auto"/>
              <w:rPr>
                <w:rFonts w:hint="default" w:ascii="宋体" w:hAnsi="宋体" w:eastAsia="宋体" w:cs="宋体"/>
                <w:highlight w:val="none"/>
                <w:lang w:val="en-US" w:eastAsia="zh-CN"/>
              </w:rPr>
              <w:pBdr>
                <w:top w:val="none" w:color="auto" w:sz="0" w:space="0"/>
                <w:left w:val="none" w:color="auto" w:sz="0" w:space="0"/>
                <w:bottom w:val="none" w:color="auto" w:sz="0" w:space="0"/>
                <w:right w:val="none" w:color="auto" w:sz="0" w:space="0"/>
              </w:pBdr>
            </w:pPr>
            <w:r>
              <w:rPr>
                <w:rFonts w:hint="default" w:ascii="宋体" w:hAnsi="宋体" w:eastAsia="宋体" w:cs="宋体"/>
                <w:highlight w:val="none"/>
                <w:lang w:val="en-US" w:eastAsia="zh-CN"/>
              </w:rPr>
              <w:t xml:space="preserve">不同年龄段宝宝的玩教具类产品</w:t>
            </w:r>
            <w:r/>
          </w:p>
        </w:tc>
        <w:tc>
          <w:tcPr>
            <w:tcMar>
              <w:left w:w="108" w:type="dxa"/>
              <w:top w:w="0" w:type="dxa"/>
              <w:right w:w="108" w:type="dxa"/>
              <w:bottom w:w="0" w:type="dxa"/>
            </w:tcMar>
            <w:tcW w:w="633" w:type="pct"/>
            <w:vAlign w:val="center"/>
            <w:textDirection w:val="lrTb"/>
            <w:noWrap w:val="false"/>
          </w:tcPr>
          <w:p>
            <w:pPr>
              <w:jc w:val="center"/>
              <w:pageBreakBefore w:val="0"/>
              <w:spacing w:line="240" w:lineRule="auto"/>
              <w:rPr>
                <w:rFonts w:hint="default" w:ascii="宋体" w:hAnsi="宋体" w:eastAsia="宋体" w:cs="宋体"/>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cs="宋体"/>
                <w:highlight w:val="none"/>
                <w:lang w:val="en-US" w:eastAsia="zh-CN"/>
              </w:rPr>
              <w:t xml:space="preserve">1批</w:t>
            </w:r>
            <w:r/>
          </w:p>
        </w:tc>
        <w:tc>
          <w:tcPr>
            <w:tcMar>
              <w:left w:w="108" w:type="dxa"/>
              <w:top w:w="0" w:type="dxa"/>
              <w:right w:w="108" w:type="dxa"/>
              <w:bottom w:w="0" w:type="dxa"/>
            </w:tcMar>
            <w:tcW w:w="799" w:type="pct"/>
            <w:vAlign w:val="center"/>
            <w:textDirection w:val="lrTb"/>
            <w:noWrap w:val="false"/>
          </w:tcPr>
          <w:p>
            <w:pPr>
              <w:jc w:val="center"/>
              <w:pageBreakBefore w:val="0"/>
              <w:spacing w:line="240" w:lineRule="auto"/>
              <w:rPr>
                <w:rFonts w:hint="default" w:ascii="宋体" w:hAnsi="宋体" w:eastAsia="宋体" w:cs="宋体"/>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cs="宋体"/>
                <w:highlight w:val="none"/>
                <w:lang w:val="en-US" w:eastAsia="zh-CN"/>
              </w:rPr>
              <w:t xml:space="preserve">179</w:t>
            </w:r>
            <w:r/>
          </w:p>
        </w:tc>
        <w:tc>
          <w:tcPr>
            <w:tcW w:w="966" w:type="pct"/>
            <w:vAlign w:val="center"/>
            <w:textDirection w:val="lrTb"/>
            <w:noWrap w:val="false"/>
          </w:tcPr>
          <w:p>
            <w:pPr>
              <w:jc w:val="center"/>
              <w:pageBreakBefore w:val="0"/>
              <w:spacing w:line="240" w:lineRule="auto"/>
              <w:rPr>
                <w:rFonts w:hint="default" w:ascii="宋体" w:hAnsi="宋体" w:eastAsia="宋体" w:cs="宋体"/>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cs="宋体"/>
                <w:highlight w:val="none"/>
                <w:lang w:val="en-US" w:eastAsia="zh-CN"/>
              </w:rPr>
              <w:t xml:space="preserve">179</w:t>
            </w:r>
            <w:r/>
          </w:p>
        </w:tc>
        <w:tc>
          <w:tcPr>
            <w:tcMar>
              <w:left w:w="108" w:type="dxa"/>
              <w:top w:w="0" w:type="dxa"/>
              <w:right w:w="108" w:type="dxa"/>
              <w:bottom w:w="0" w:type="dxa"/>
            </w:tcMar>
            <w:tcW w:w="1169" w:type="pct"/>
            <w:vAlign w:val="center"/>
            <w:textDirection w:val="lrTb"/>
            <w:noWrap w:val="false"/>
          </w:tcPr>
          <w:p>
            <w:pPr>
              <w:jc w:val="center"/>
              <w:pageBreakBefore w:val="0"/>
              <w:spacing w:line="240" w:lineRule="auto"/>
              <w:rPr>
                <w:rFonts w:hint="eastAsia" w:ascii="宋体" w:hAnsi="宋体" w:cs="宋体"/>
                <w:highlight w:val="none"/>
              </w:rPr>
              <w:pBdr>
                <w:top w:val="none" w:color="auto" w:sz="0" w:space="0"/>
                <w:left w:val="none" w:color="auto" w:sz="0" w:space="0"/>
                <w:bottom w:val="none" w:color="auto" w:sz="0" w:space="0"/>
                <w:right w:val="none" w:color="auto" w:sz="0" w:space="0"/>
              </w:pBdr>
            </w:pPr>
            <w:r>
              <w:rPr>
                <w:rFonts w:hint="eastAsia" w:ascii="宋体" w:hAnsi="宋体" w:cs="宋体"/>
                <w:highlight w:val="none"/>
              </w:rPr>
              <w:t xml:space="preserve">不接受</w:t>
            </w:r>
            <w:r/>
          </w:p>
        </w:tc>
        <w:tc>
          <w:tcPr>
            <w:tcW w:w="384" w:type="pct"/>
            <w:vAlign w:val="center"/>
            <w:textDirection w:val="lrTb"/>
            <w:noWrap w:val="false"/>
          </w:tcPr>
          <w:p>
            <w:pPr>
              <w:jc w:val="center"/>
              <w:pageBreakBefore w:val="0"/>
              <w:spacing w:line="240" w:lineRule="auto"/>
              <w:rPr>
                <w:rFonts w:hint="eastAsia" w:ascii="宋体" w:hAnsi="宋体" w:cs="宋体"/>
                <w:highlight w:val="none"/>
              </w:rPr>
              <w:pBdr>
                <w:top w:val="none" w:color="auto" w:sz="0" w:space="0"/>
                <w:left w:val="none" w:color="auto" w:sz="0" w:space="0"/>
                <w:bottom w:val="none" w:color="auto" w:sz="0" w:space="0"/>
                <w:right w:val="none" w:color="auto" w:sz="0" w:space="0"/>
              </w:pBdr>
            </w:pPr>
            <w:r>
              <w:rPr>
                <w:rFonts w:hint="eastAsia" w:ascii="宋体" w:hAnsi="宋体" w:cs="宋体"/>
                <w:highlight w:val="none"/>
              </w:rPr>
              <w:t xml:space="preserve">/</w:t>
            </w:r>
            <w:r/>
          </w:p>
        </w:tc>
      </w:tr>
    </w:tbl>
    <w:p>
      <w:pPr>
        <w:ind w:firstLine="420"/>
        <w:pageBreakBefore w:val="0"/>
        <w:spacing w:line="300" w:lineRule="auto"/>
        <w:rPr>
          <w:rFonts w:hint="default" w:ascii="宋体" w:hAnsi="宋体" w:eastAsia="宋体" w:cs="宋体"/>
          <w:highlight w:val="none"/>
          <w:lang w:val="en-US" w:eastAsia="zh-CN"/>
        </w:rPr>
      </w:pPr>
      <w:r>
        <w:rPr>
          <w:rFonts w:hint="eastAsia" w:ascii="宋体" w:hAnsi="宋体" w:cs="宋体"/>
          <w:highlight w:val="none"/>
        </w:rPr>
        <w:t xml:space="preserve">6.合同履行期限：合同签订后，45日历天内将货物送至采购人指定地点，验收合格并交付采购人使用。</w:t>
      </w:r>
      <w:r/>
    </w:p>
    <w:p>
      <w:pPr>
        <w:ind w:firstLine="420"/>
        <w:pageBreakBefore w:val="0"/>
        <w:spacing w:line="300" w:lineRule="auto"/>
        <w:rPr>
          <w:rFonts w:ascii="宋体" w:hAnsi="宋体" w:cs="宋体"/>
          <w:highlight w:val="none"/>
        </w:rPr>
      </w:pPr>
      <w:r>
        <w:rPr>
          <w:rFonts w:hint="eastAsia" w:ascii="宋体" w:hAnsi="宋体" w:cs="宋体"/>
          <w:highlight w:val="none"/>
        </w:rPr>
        <w:t xml:space="preserve">7.本项目(是/否)接受联合体投标:否。</w:t>
      </w:r>
      <w:r/>
    </w:p>
    <w:p>
      <w:pPr>
        <w:pageBreakBefore w:val="0"/>
        <w:spacing w:line="300" w:lineRule="auto"/>
        <w:tabs>
          <w:tab w:val="left" w:pos="266" w:leader="none"/>
        </w:tabs>
        <w:rPr>
          <w:rFonts w:ascii="宋体" w:hAnsi="宋体" w:cs="宋体"/>
          <w:b/>
          <w:bCs/>
          <w:highlight w:val="none"/>
        </w:rPr>
      </w:pPr>
      <w:r>
        <w:rPr>
          <w:rFonts w:hint="eastAsia" w:ascii="宋体" w:hAnsi="宋体" w:cs="宋体"/>
          <w:b/>
          <w:bCs/>
          <w:highlight w:val="none"/>
        </w:rPr>
        <w:t xml:space="preserve">二、申请人的资格要求：</w:t>
      </w:r>
      <w:bookmarkEnd w:id="10"/>
      <w:r/>
      <w:bookmarkEnd w:id="11"/>
      <w:r/>
      <w:bookmarkEnd w:id="12"/>
      <w:r/>
      <w:bookmarkEnd w:id="13"/>
      <w:r/>
      <w:bookmarkEnd w:id="14"/>
      <w:r/>
      <w:r/>
    </w:p>
    <w:p>
      <w:pPr>
        <w:ind w:firstLine="420"/>
        <w:pageBreakBefore w:val="0"/>
        <w:spacing w:line="300" w:lineRule="auto"/>
        <w:rPr>
          <w:rFonts w:ascii="宋体" w:hAnsi="宋体" w:cs="宋体"/>
          <w:szCs w:val="21"/>
          <w:highlight w:val="none"/>
        </w:rPr>
      </w:pPr>
      <w:r/>
      <w:bookmarkStart w:id="15" w:name="_Toc35393623"/>
      <w:r/>
      <w:bookmarkStart w:id="16" w:name="_Toc28359081"/>
      <w:r/>
      <w:bookmarkStart w:id="17" w:name="_Toc38985265"/>
      <w:r/>
      <w:bookmarkStart w:id="18" w:name="_Toc35393792"/>
      <w:r/>
      <w:bookmarkStart w:id="19" w:name="_Toc28359004"/>
      <w:r>
        <w:rPr>
          <w:rFonts w:hint="eastAsia" w:ascii="宋体" w:hAnsi="宋体" w:cs="宋体"/>
          <w:szCs w:val="21"/>
          <w:highlight w:val="none"/>
          <w:lang w:val="en-US" w:eastAsia="zh-CN"/>
        </w:rPr>
        <w:t xml:space="preserve">（一）</w:t>
      </w:r>
      <w:r>
        <w:rPr>
          <w:rFonts w:hint="eastAsia" w:ascii="宋体" w:hAnsi="宋体" w:cs="宋体"/>
          <w:szCs w:val="21"/>
          <w:highlight w:val="none"/>
        </w:rPr>
        <w:t xml:space="preserve">满足《中华人民共和国政府采购法》第二十二条规定，并提供下列材料：</w:t>
      </w:r>
      <w:r/>
    </w:p>
    <w:p>
      <w:pPr>
        <w:ind w:firstLine="422"/>
        <w:pageBreakBefore w:val="0"/>
        <w:spacing w:line="300" w:lineRule="auto"/>
        <w:rPr>
          <w:rFonts w:hint="eastAsia" w:ascii="宋体" w:hAnsi="宋体" w:eastAsia="宋体" w:cs="宋体"/>
          <w:bCs/>
          <w:i/>
          <w:iCs w:val="0"/>
          <w:color w:val="auto"/>
          <w:szCs w:val="21"/>
          <w:highlight w:val="none"/>
          <w:u w:val="single"/>
          <w:lang w:eastAsia="zh-CN"/>
        </w:rPr>
        <w:pBdr>
          <w:top w:val="none" w:color="auto" w:sz="0" w:space="0"/>
          <w:left w:val="none" w:color="auto" w:sz="0" w:space="0"/>
          <w:bottom w:val="none" w:color="auto" w:sz="0" w:space="0"/>
          <w:right w:val="none" w:color="auto" w:sz="0" w:space="0"/>
        </w:pBdr>
      </w:pPr>
      <w:r>
        <w:rPr>
          <w:rFonts w:hint="eastAsia" w:ascii="宋体" w:hAnsi="宋体" w:cs="宋体"/>
          <w:bCs/>
          <w:i/>
          <w:iCs w:val="0"/>
          <w:color w:val="auto"/>
          <w:szCs w:val="21"/>
          <w:highlight w:val="none"/>
          <w:u w:val="single"/>
        </w:rPr>
        <w:t xml:space="preserve">1.</w:t>
      </w:r>
      <w:r>
        <w:rPr>
          <w:rFonts w:hint="eastAsia" w:ascii="宋体" w:hAnsi="宋体" w:cs="宋体"/>
          <w:bCs/>
          <w:i/>
          <w:color w:val="auto"/>
          <w:szCs w:val="21"/>
          <w:highlight w:val="none"/>
          <w:u w:val="single"/>
        </w:rPr>
        <w:t xml:space="preserve">具有独立承担民事责任的能力（提供法人或者其他组织的营业执照等证明文件，自然人的身份证明复印件）</w:t>
      </w:r>
      <w:r>
        <w:rPr>
          <w:rFonts w:hint="eastAsia" w:ascii="宋体" w:hAnsi="宋体" w:cs="宋体"/>
          <w:bCs/>
          <w:i/>
          <w:iCs w:val="0"/>
          <w:color w:val="auto"/>
          <w:szCs w:val="21"/>
          <w:highlight w:val="none"/>
          <w:u w:val="single"/>
          <w:lang w:eastAsia="zh-CN"/>
        </w:rPr>
        <w:t xml:space="preserve">。</w:t>
      </w:r>
      <w:r/>
    </w:p>
    <w:p>
      <w:pPr>
        <w:ind w:firstLine="422"/>
        <w:pageBreakBefore w:val="0"/>
        <w:spacing w:line="300" w:lineRule="auto"/>
        <w:rPr>
          <w:rFonts w:hint="eastAsia" w:ascii="宋体" w:hAnsi="宋体" w:eastAsia="宋体" w:cs="宋体"/>
          <w:bCs/>
          <w:i/>
          <w:iCs w:val="0"/>
          <w:color w:val="auto"/>
          <w:szCs w:val="21"/>
          <w:highlight w:val="none"/>
          <w:u w:val="single"/>
          <w:lang w:eastAsia="zh-CN"/>
        </w:rPr>
        <w:pBdr>
          <w:top w:val="none" w:color="auto" w:sz="0" w:space="0"/>
          <w:left w:val="none" w:color="auto" w:sz="0" w:space="0"/>
          <w:bottom w:val="none" w:color="auto" w:sz="0" w:space="0"/>
          <w:right w:val="none" w:color="auto" w:sz="0" w:space="0"/>
        </w:pBdr>
      </w:pPr>
      <w:r>
        <w:rPr>
          <w:rFonts w:hint="eastAsia" w:ascii="宋体" w:hAnsi="宋体" w:cs="宋体"/>
          <w:bCs/>
          <w:i/>
          <w:iCs w:val="0"/>
          <w:color w:val="auto"/>
          <w:szCs w:val="21"/>
          <w:highlight w:val="none"/>
          <w:u w:val="single"/>
          <w:lang w:val="en-US" w:eastAsia="zh-CN"/>
        </w:rPr>
        <w:t xml:space="preserve">2.</w:t>
      </w:r>
      <w:r>
        <w:rPr>
          <w:rFonts w:hint="eastAsia" w:ascii="宋体" w:hAnsi="宋体" w:cs="宋体"/>
          <w:bCs/>
          <w:i/>
          <w:color w:val="auto"/>
          <w:szCs w:val="21"/>
          <w:highlight w:val="none"/>
          <w:u w:val="single"/>
        </w:rPr>
        <w:t xml:space="preserve">具有良好的商业信誉和健全的财务会计制度</w:t>
      </w:r>
      <w:r>
        <w:rPr>
          <w:rFonts w:hint="eastAsia" w:ascii="宋体" w:hAnsi="宋体" w:cs="宋体"/>
          <w:bCs/>
          <w:i/>
          <w:color w:val="auto"/>
          <w:szCs w:val="21"/>
          <w:highlight w:val="none"/>
          <w:u w:val="single"/>
          <w:lang w:eastAsia="zh-CN"/>
        </w:rPr>
        <w:t xml:space="preserve">（</w:t>
      </w:r>
      <w:r>
        <w:rPr>
          <w:rFonts w:hint="eastAsia" w:ascii="宋体" w:hAnsi="宋体" w:cs="宋体"/>
          <w:bCs/>
          <w:i/>
          <w:color w:val="auto"/>
          <w:szCs w:val="21"/>
          <w:highlight w:val="none"/>
          <w:u w:val="single"/>
        </w:rPr>
        <w:t xml:space="preserve">提供开标</w:t>
      </w:r>
      <w:r>
        <w:rPr>
          <w:rFonts w:hint="eastAsia" w:ascii="宋体" w:hAnsi="宋体" w:cs="宋体"/>
          <w:bCs/>
          <w:i/>
          <w:color w:val="auto"/>
          <w:szCs w:val="21"/>
          <w:highlight w:val="none"/>
          <w:u w:val="single"/>
          <w:lang w:val="en-US" w:eastAsia="zh-CN"/>
        </w:rPr>
        <w:t xml:space="preserve">时间</w:t>
      </w:r>
      <w:r>
        <w:rPr>
          <w:rFonts w:hint="eastAsia" w:ascii="宋体" w:hAnsi="宋体" w:cs="宋体"/>
          <w:bCs/>
          <w:i/>
          <w:color w:val="auto"/>
          <w:szCs w:val="21"/>
          <w:highlight w:val="none"/>
          <w:u w:val="single"/>
        </w:rPr>
        <w:t xml:space="preserve">前</w:t>
      </w:r>
      <w:r>
        <w:rPr>
          <w:rFonts w:hint="eastAsia" w:ascii="宋体" w:hAnsi="宋体" w:cs="宋体"/>
          <w:bCs/>
          <w:i/>
          <w:color w:val="auto"/>
          <w:szCs w:val="21"/>
          <w:highlight w:val="none"/>
          <w:u w:val="single"/>
          <w:lang w:val="en-US" w:eastAsia="zh-CN"/>
        </w:rPr>
        <w:t xml:space="preserve">12</w:t>
      </w:r>
      <w:r>
        <w:rPr>
          <w:rFonts w:hint="eastAsia" w:ascii="宋体" w:hAnsi="宋体" w:cs="宋体"/>
          <w:bCs/>
          <w:i/>
          <w:color w:val="auto"/>
          <w:szCs w:val="21"/>
          <w:highlight w:val="none"/>
          <w:u w:val="single"/>
        </w:rPr>
        <w:t xml:space="preserve">个月内任意</w:t>
      </w:r>
      <w:r>
        <w:rPr>
          <w:rFonts w:hint="eastAsia" w:ascii="宋体" w:hAnsi="宋体" w:cs="宋体"/>
          <w:bCs/>
          <w:i/>
          <w:color w:val="auto"/>
          <w:szCs w:val="21"/>
          <w:highlight w:val="none"/>
          <w:u w:val="single"/>
          <w:lang w:val="en-US" w:eastAsia="zh-CN"/>
        </w:rPr>
        <w:t xml:space="preserve">1</w:t>
      </w:r>
      <w:r>
        <w:rPr>
          <w:rFonts w:hint="eastAsia" w:ascii="宋体" w:hAnsi="宋体" w:cs="宋体"/>
          <w:bCs/>
          <w:i/>
          <w:color w:val="auto"/>
          <w:szCs w:val="21"/>
          <w:highlight w:val="none"/>
          <w:u w:val="single"/>
        </w:rPr>
        <w:t xml:space="preserve">个月的财务状况报告(至少包括资产负债表和利润表)（法人或者其他组织成立未满</w:t>
      </w:r>
      <w:r>
        <w:rPr>
          <w:rFonts w:hint="eastAsia" w:ascii="宋体" w:hAnsi="宋体" w:cs="宋体"/>
          <w:bCs/>
          <w:i/>
          <w:color w:val="auto"/>
          <w:szCs w:val="21"/>
          <w:highlight w:val="none"/>
          <w:u w:val="single"/>
          <w:lang w:val="en-US" w:eastAsia="zh-CN"/>
        </w:rPr>
        <w:t xml:space="preserve">3</w:t>
      </w:r>
      <w:r>
        <w:rPr>
          <w:rFonts w:hint="eastAsia" w:ascii="宋体" w:hAnsi="宋体" w:cs="宋体"/>
          <w:bCs/>
          <w:i/>
          <w:color w:val="auto"/>
          <w:szCs w:val="21"/>
          <w:highlight w:val="none"/>
          <w:u w:val="single"/>
        </w:rPr>
        <w:t xml:space="preserve">个月的可以不提供）</w:t>
      </w:r>
      <w:r>
        <w:rPr>
          <w:rFonts w:hint="eastAsia" w:ascii="宋体" w:hAnsi="宋体" w:cs="宋体"/>
          <w:bCs/>
          <w:i/>
          <w:color w:val="auto"/>
          <w:szCs w:val="21"/>
          <w:highlight w:val="none"/>
          <w:u w:val="single"/>
          <w:lang w:eastAsia="zh-CN"/>
        </w:rPr>
        <w:t xml:space="preserve">、</w:t>
      </w:r>
      <w:r>
        <w:rPr>
          <w:rFonts w:hint="eastAsia" w:ascii="宋体" w:hAnsi="宋体" w:cs="宋体"/>
          <w:bCs/>
          <w:i/>
          <w:color w:val="auto"/>
          <w:szCs w:val="21"/>
          <w:highlight w:val="none"/>
          <w:u w:val="single"/>
        </w:rPr>
        <w:t xml:space="preserve">或开标</w:t>
      </w:r>
      <w:r>
        <w:rPr>
          <w:rFonts w:hint="eastAsia" w:ascii="宋体" w:hAnsi="宋体" w:cs="宋体"/>
          <w:bCs/>
          <w:i/>
          <w:color w:val="auto"/>
          <w:szCs w:val="21"/>
          <w:highlight w:val="none"/>
          <w:u w:val="single"/>
          <w:lang w:val="en-US" w:eastAsia="zh-CN"/>
        </w:rPr>
        <w:t xml:space="preserve">时间</w:t>
      </w:r>
      <w:r>
        <w:rPr>
          <w:rFonts w:hint="eastAsia" w:ascii="宋体" w:hAnsi="宋体" w:cs="宋体"/>
          <w:bCs/>
          <w:i/>
          <w:color w:val="auto"/>
          <w:szCs w:val="21"/>
          <w:highlight w:val="none"/>
          <w:u w:val="single"/>
        </w:rPr>
        <w:t xml:space="preserve">前</w:t>
      </w:r>
      <w:r>
        <w:rPr>
          <w:rFonts w:hint="eastAsia" w:ascii="宋体" w:hAnsi="宋体" w:cs="宋体"/>
          <w:bCs/>
          <w:i/>
          <w:color w:val="auto"/>
          <w:szCs w:val="21"/>
          <w:highlight w:val="none"/>
          <w:u w:val="single"/>
          <w:lang w:val="en-US" w:eastAsia="zh-CN"/>
        </w:rPr>
        <w:t xml:space="preserve">12</w:t>
      </w:r>
      <w:r>
        <w:rPr>
          <w:rFonts w:hint="eastAsia" w:ascii="宋体" w:hAnsi="宋体" w:cs="宋体"/>
          <w:bCs/>
          <w:i/>
          <w:color w:val="auto"/>
          <w:szCs w:val="21"/>
          <w:highlight w:val="none"/>
          <w:u w:val="single"/>
        </w:rPr>
        <w:t xml:space="preserve">个月内银行出具的资信证书复印件</w:t>
      </w:r>
      <w:r>
        <w:rPr>
          <w:rFonts w:hint="eastAsia" w:ascii="宋体" w:hAnsi="宋体" w:cs="宋体"/>
          <w:bCs/>
          <w:i/>
          <w:color w:val="auto"/>
          <w:szCs w:val="21"/>
          <w:highlight w:val="none"/>
          <w:u w:val="single"/>
          <w:lang w:eastAsia="zh-CN"/>
        </w:rPr>
        <w:t xml:space="preserve">、</w:t>
      </w:r>
      <w:r>
        <w:rPr>
          <w:rFonts w:hint="eastAsia" w:ascii="宋体" w:hAnsi="宋体" w:cs="宋体"/>
          <w:bCs/>
          <w:i/>
          <w:color w:val="auto"/>
          <w:szCs w:val="21"/>
          <w:highlight w:val="none"/>
          <w:u w:val="single"/>
        </w:rPr>
        <w:t xml:space="preserve">或其</w:t>
      </w:r>
      <w:r>
        <w:rPr>
          <w:rFonts w:hint="eastAsia" w:ascii="宋体" w:hAnsi="宋体" w:cs="宋体"/>
          <w:bCs/>
          <w:i/>
          <w:color w:val="auto"/>
          <w:szCs w:val="21"/>
          <w:highlight w:val="none"/>
          <w:u w:val="single"/>
          <w:lang w:val="en-US" w:eastAsia="zh-CN"/>
        </w:rPr>
        <w:t xml:space="preserve">2024</w:t>
      </w:r>
      <w:r>
        <w:rPr>
          <w:rFonts w:hint="eastAsia" w:ascii="宋体" w:hAnsi="宋体" w:cs="宋体"/>
          <w:bCs/>
          <w:i/>
          <w:color w:val="auto"/>
          <w:szCs w:val="21"/>
          <w:highlight w:val="none"/>
          <w:u w:val="single"/>
        </w:rPr>
        <w:t xml:space="preserve">年度</w:t>
      </w:r>
      <w:r>
        <w:rPr>
          <w:rFonts w:hint="eastAsia" w:ascii="宋体" w:hAnsi="宋体" w:cs="宋体"/>
          <w:bCs/>
          <w:i/>
          <w:color w:val="auto"/>
          <w:szCs w:val="21"/>
          <w:highlight w:val="none"/>
          <w:u w:val="single"/>
          <w:lang w:val="en-US" w:eastAsia="zh-CN"/>
        </w:rPr>
        <w:t xml:space="preserve">或2025年度</w:t>
      </w:r>
      <w:r>
        <w:rPr>
          <w:rFonts w:hint="eastAsia" w:ascii="宋体" w:hAnsi="宋体" w:cs="宋体"/>
          <w:bCs/>
          <w:i/>
          <w:color w:val="auto"/>
          <w:szCs w:val="21"/>
          <w:highlight w:val="none"/>
          <w:u w:val="single"/>
        </w:rPr>
        <w:t xml:space="preserve">经审计的财务报告(至少</w:t>
      </w:r>
      <w:r>
        <w:rPr>
          <w:rFonts w:hint="eastAsia" w:ascii="宋体" w:hAnsi="宋体" w:cs="宋体"/>
          <w:bCs/>
          <w:i/>
          <w:color w:val="auto"/>
          <w:szCs w:val="21"/>
          <w:highlight w:val="none"/>
          <w:u w:val="single"/>
          <w:lang w:val="en-US" w:eastAsia="zh-CN"/>
        </w:rPr>
        <w:t xml:space="preserve">同时</w:t>
      </w:r>
      <w:r>
        <w:rPr>
          <w:rFonts w:hint="eastAsia" w:ascii="宋体" w:hAnsi="宋体" w:cs="宋体"/>
          <w:bCs/>
          <w:i/>
          <w:color w:val="auto"/>
          <w:szCs w:val="21"/>
          <w:highlight w:val="none"/>
          <w:u w:val="single"/>
        </w:rPr>
        <w:t xml:space="preserve">包括资产负债表</w:t>
      </w:r>
      <w:r>
        <w:rPr>
          <w:rFonts w:hint="eastAsia" w:ascii="宋体" w:hAnsi="宋体" w:cs="宋体"/>
          <w:bCs/>
          <w:i/>
          <w:color w:val="auto"/>
          <w:szCs w:val="21"/>
          <w:highlight w:val="none"/>
          <w:u w:val="single"/>
          <w:lang w:eastAsia="zh-CN"/>
        </w:rPr>
        <w:t xml:space="preserve">、</w:t>
      </w:r>
      <w:r>
        <w:rPr>
          <w:rFonts w:hint="eastAsia" w:ascii="宋体" w:hAnsi="宋体" w:cs="宋体"/>
          <w:bCs/>
          <w:i/>
          <w:color w:val="auto"/>
          <w:szCs w:val="21"/>
          <w:highlight w:val="none"/>
          <w:u w:val="single"/>
        </w:rPr>
        <w:t xml:space="preserve">利润表</w:t>
      </w:r>
      <w:r>
        <w:rPr>
          <w:rFonts w:hint="eastAsia" w:ascii="宋体" w:hAnsi="宋体" w:cs="宋体"/>
          <w:bCs/>
          <w:i/>
          <w:color w:val="auto"/>
          <w:szCs w:val="21"/>
          <w:highlight w:val="none"/>
          <w:u w:val="single"/>
          <w:lang w:eastAsia="zh-CN"/>
        </w:rPr>
        <w:t xml:space="preserve">、</w:t>
      </w:r>
      <w:r>
        <w:rPr>
          <w:rFonts w:hint="eastAsia" w:ascii="宋体" w:hAnsi="宋体" w:cs="宋体"/>
          <w:bCs/>
          <w:i/>
          <w:color w:val="auto"/>
          <w:szCs w:val="21"/>
          <w:highlight w:val="none"/>
          <w:u w:val="single"/>
          <w:lang w:val="en-US" w:eastAsia="zh-CN"/>
        </w:rPr>
        <w:t xml:space="preserve">现金流量表</w:t>
      </w:r>
      <w:r>
        <w:rPr>
          <w:rFonts w:hint="eastAsia" w:ascii="宋体" w:hAnsi="宋体" w:cs="宋体"/>
          <w:bCs/>
          <w:i/>
          <w:color w:val="auto"/>
          <w:szCs w:val="21"/>
          <w:highlight w:val="none"/>
          <w:u w:val="single"/>
        </w:rPr>
        <w:t xml:space="preserve">)复印件</w:t>
      </w:r>
      <w:r>
        <w:rPr>
          <w:rFonts w:hint="eastAsia" w:ascii="宋体" w:hAnsi="宋体" w:cs="宋体"/>
          <w:bCs/>
          <w:i/>
          <w:color w:val="auto"/>
          <w:szCs w:val="21"/>
          <w:highlight w:val="none"/>
          <w:u w:val="single"/>
          <w:lang w:eastAsia="zh-CN"/>
        </w:rPr>
        <w:t xml:space="preserve">）。</w:t>
      </w:r>
      <w:r/>
    </w:p>
    <w:p>
      <w:pPr>
        <w:ind w:firstLine="422"/>
        <w:pageBreakBefore w:val="0"/>
        <w:spacing w:line="300" w:lineRule="auto"/>
        <w:rPr>
          <w:rFonts w:hint="eastAsia" w:ascii="宋体" w:hAnsi="宋体" w:eastAsia="宋体" w:cs="宋体"/>
          <w:b w:val="0"/>
          <w:bCs/>
          <w:i/>
          <w:iCs w:val="0"/>
          <w:color w:val="auto"/>
          <w:szCs w:val="21"/>
          <w:highlight w:val="none"/>
          <w:u w:val="single"/>
          <w:lang w:eastAsia="zh-CN"/>
        </w:rPr>
        <w:pBdr>
          <w:top w:val="none" w:color="auto" w:sz="0" w:space="0"/>
          <w:left w:val="none" w:color="auto" w:sz="0" w:space="0"/>
          <w:bottom w:val="none" w:color="auto" w:sz="0" w:space="0"/>
          <w:right w:val="none" w:color="auto" w:sz="0" w:space="0"/>
        </w:pBdr>
      </w:pPr>
      <w:r>
        <w:rPr>
          <w:rFonts w:hint="eastAsia" w:ascii="宋体" w:hAnsi="宋体" w:cs="宋体"/>
          <w:bCs/>
          <w:i/>
          <w:iCs w:val="0"/>
          <w:color w:val="auto"/>
          <w:szCs w:val="21"/>
          <w:highlight w:val="none"/>
          <w:u w:val="single"/>
        </w:rPr>
        <w:t xml:space="preserve">3</w:t>
      </w:r>
      <w:r>
        <w:rPr>
          <w:rFonts w:hint="eastAsia" w:ascii="宋体" w:hAnsi="宋体" w:cs="宋体"/>
          <w:bCs/>
          <w:i/>
          <w:iCs w:val="0"/>
          <w:color w:val="auto"/>
          <w:szCs w:val="21"/>
          <w:highlight w:val="none"/>
          <w:u w:val="single"/>
          <w:lang w:val="en-US" w:eastAsia="zh-CN"/>
        </w:rPr>
        <w:t xml:space="preserve">.</w:t>
      </w:r>
      <w:r>
        <w:rPr>
          <w:rFonts w:hint="eastAsia" w:ascii="宋体" w:hAnsi="宋体" w:cs="宋体"/>
          <w:bCs/>
          <w:i/>
          <w:color w:val="auto"/>
          <w:szCs w:val="21"/>
          <w:highlight w:val="none"/>
          <w:u w:val="single"/>
        </w:rPr>
        <w:t xml:space="preserve">具有履行合同所必需的设备和专业技术能力（根据项目需求提供履行合同所必需的设备和专业技术能力的证明材料复印件或</w:t>
      </w:r>
      <w:r>
        <w:rPr>
          <w:rFonts w:hint="eastAsia" w:ascii="宋体" w:hAnsi="宋体" w:cs="宋体"/>
          <w:bCs/>
          <w:i/>
          <w:color w:val="auto"/>
          <w:szCs w:val="21"/>
          <w:highlight w:val="none"/>
          <w:u w:val="single"/>
          <w:lang w:val="en-US" w:eastAsia="zh-CN"/>
        </w:rPr>
        <w:t xml:space="preserve">声明函</w:t>
      </w:r>
      <w:r>
        <w:rPr>
          <w:rFonts w:hint="eastAsia" w:ascii="宋体" w:hAnsi="宋体" w:cs="宋体"/>
          <w:bCs/>
          <w:i/>
          <w:color w:val="auto"/>
          <w:szCs w:val="21"/>
          <w:highlight w:val="none"/>
          <w:u w:val="single"/>
        </w:rPr>
        <w:t xml:space="preserve">）</w:t>
      </w:r>
      <w:r>
        <w:rPr>
          <w:rFonts w:hint="eastAsia" w:ascii="宋体" w:hAnsi="宋体" w:cs="宋体"/>
          <w:bCs/>
          <w:i/>
          <w:color w:val="auto"/>
          <w:szCs w:val="21"/>
          <w:highlight w:val="none"/>
          <w:u w:val="single"/>
          <w:lang w:eastAsia="zh-CN"/>
        </w:rPr>
        <w:t xml:space="preserve">。</w:t>
      </w:r>
      <w:r/>
    </w:p>
    <w:p>
      <w:pPr>
        <w:ind w:firstLine="422"/>
        <w:pageBreakBefore w:val="0"/>
        <w:spacing w:line="300" w:lineRule="auto"/>
        <w:rPr>
          <w:rFonts w:hint="eastAsia" w:ascii="宋体" w:hAnsi="宋体" w:cs="宋体"/>
          <w:b w:val="0"/>
          <w:bCs/>
          <w:i/>
          <w:iCs w:val="0"/>
          <w:color w:val="auto"/>
          <w:szCs w:val="21"/>
          <w:highlight w:val="none"/>
          <w:u w:val="single"/>
          <w:lang w:val="en-US"/>
        </w:rPr>
        <w:pBdr>
          <w:top w:val="none" w:color="auto" w:sz="0" w:space="0"/>
          <w:left w:val="none" w:color="auto" w:sz="0" w:space="0"/>
          <w:bottom w:val="none" w:color="auto" w:sz="0" w:space="0"/>
          <w:right w:val="none" w:color="auto" w:sz="0" w:space="0"/>
        </w:pBdr>
      </w:pPr>
      <w:r>
        <w:rPr>
          <w:rFonts w:hint="eastAsia" w:ascii="宋体" w:hAnsi="宋体" w:cs="宋体"/>
          <w:bCs/>
          <w:i/>
          <w:iCs w:val="0"/>
          <w:color w:val="auto"/>
          <w:szCs w:val="21"/>
          <w:highlight w:val="none"/>
          <w:u w:val="single"/>
          <w:lang w:val="en-US" w:eastAsia="zh-CN"/>
        </w:rPr>
        <w:t xml:space="preserve">4.</w:t>
      </w:r>
      <w:r>
        <w:rPr>
          <w:rFonts w:hint="eastAsia" w:ascii="宋体" w:hAnsi="宋体" w:cs="宋体"/>
          <w:bCs/>
          <w:i/>
          <w:color w:val="auto"/>
          <w:szCs w:val="21"/>
          <w:highlight w:val="none"/>
          <w:u w:val="single"/>
        </w:rPr>
        <w:t xml:space="preserve">有依法缴纳税收和社会保障资金的良好记录（提供开标</w:t>
      </w:r>
      <w:r>
        <w:rPr>
          <w:rFonts w:hint="eastAsia" w:ascii="宋体" w:hAnsi="宋体" w:cs="宋体"/>
          <w:bCs/>
          <w:i/>
          <w:color w:val="auto"/>
          <w:szCs w:val="21"/>
          <w:highlight w:val="none"/>
          <w:u w:val="single"/>
          <w:lang w:val="en-US" w:eastAsia="zh-CN"/>
        </w:rPr>
        <w:t xml:space="preserve">时间</w:t>
      </w:r>
      <w:r>
        <w:rPr>
          <w:rFonts w:hint="eastAsia" w:ascii="宋体" w:hAnsi="宋体" w:cs="宋体"/>
          <w:bCs/>
          <w:i/>
          <w:color w:val="auto"/>
          <w:szCs w:val="21"/>
          <w:highlight w:val="none"/>
          <w:u w:val="single"/>
        </w:rPr>
        <w:t xml:space="preserve">前</w:t>
      </w:r>
      <w:r>
        <w:rPr>
          <w:rFonts w:hint="eastAsia" w:ascii="宋体" w:hAnsi="宋体" w:cs="宋体"/>
          <w:bCs/>
          <w:i/>
          <w:color w:val="auto"/>
          <w:szCs w:val="21"/>
          <w:highlight w:val="none"/>
          <w:u w:val="single"/>
          <w:lang w:val="en-US" w:eastAsia="zh-CN"/>
        </w:rPr>
        <w:t xml:space="preserve">6</w:t>
      </w:r>
      <w:r>
        <w:rPr>
          <w:rFonts w:hint="eastAsia" w:ascii="宋体" w:hAnsi="宋体" w:cs="宋体"/>
          <w:bCs/>
          <w:i/>
          <w:color w:val="auto"/>
          <w:szCs w:val="21"/>
          <w:highlight w:val="none"/>
          <w:u w:val="single"/>
        </w:rPr>
        <w:t xml:space="preserve">个月内任意</w:t>
      </w:r>
      <w:r>
        <w:rPr>
          <w:rFonts w:hint="eastAsia" w:ascii="宋体" w:hAnsi="宋体" w:cs="宋体"/>
          <w:bCs/>
          <w:i/>
          <w:color w:val="auto"/>
          <w:szCs w:val="21"/>
          <w:highlight w:val="none"/>
          <w:u w:val="single"/>
          <w:lang w:val="en-US" w:eastAsia="zh-CN"/>
        </w:rPr>
        <w:t xml:space="preserve">1</w:t>
      </w:r>
      <w:r>
        <w:rPr>
          <w:rFonts w:hint="eastAsia" w:ascii="宋体" w:hAnsi="宋体" w:cs="宋体"/>
          <w:bCs/>
          <w:i/>
          <w:color w:val="auto"/>
          <w:szCs w:val="21"/>
          <w:highlight w:val="none"/>
          <w:u w:val="single"/>
        </w:rPr>
        <w:t xml:space="preserve">个月依法缴纳税收和社会保障资金的相关材料复印件，依法享受免缴、缓缴的提供证明材料复印件）</w:t>
      </w:r>
      <w:r>
        <w:rPr>
          <w:rFonts w:hint="eastAsia" w:ascii="宋体" w:hAnsi="宋体" w:cs="宋体"/>
          <w:bCs/>
          <w:i/>
          <w:iCs w:val="0"/>
          <w:color w:val="auto"/>
          <w:szCs w:val="21"/>
          <w:highlight w:val="none"/>
          <w:u w:val="single"/>
          <w:lang w:val="en-US" w:eastAsia="zh-CN"/>
        </w:rPr>
        <w:t xml:space="preserve">。</w:t>
      </w:r>
      <w:r/>
    </w:p>
    <w:p>
      <w:pPr>
        <w:ind w:firstLine="422"/>
        <w:pageBreakBefore w:val="0"/>
        <w:spacing w:line="300" w:lineRule="auto"/>
        <w:rPr>
          <w:rFonts w:hint="eastAsia" w:ascii="宋体" w:hAnsi="宋体" w:cs="宋体"/>
          <w:bCs/>
          <w:i/>
          <w:iCs w:val="0"/>
          <w:color w:val="auto"/>
          <w:szCs w:val="21"/>
          <w:highlight w:val="none"/>
          <w:u w:val="single"/>
        </w:rPr>
        <w:pBdr>
          <w:top w:val="none" w:color="auto" w:sz="0" w:space="0"/>
          <w:left w:val="none" w:color="auto" w:sz="0" w:space="0"/>
          <w:bottom w:val="none" w:color="auto" w:sz="0" w:space="0"/>
          <w:right w:val="none" w:color="auto" w:sz="0" w:space="0"/>
        </w:pBdr>
      </w:pPr>
      <w:r>
        <w:rPr>
          <w:rFonts w:hint="eastAsia" w:ascii="宋体" w:hAnsi="宋体" w:cs="宋体"/>
          <w:bCs/>
          <w:i/>
          <w:iCs w:val="0"/>
          <w:color w:val="auto"/>
          <w:szCs w:val="21"/>
          <w:highlight w:val="none"/>
          <w:u w:val="single"/>
          <w:lang w:val="en-US" w:eastAsia="zh-CN"/>
        </w:rPr>
        <w:t xml:space="preserve">5.</w:t>
      </w:r>
      <w:r>
        <w:rPr>
          <w:rFonts w:hint="eastAsia" w:ascii="宋体" w:hAnsi="宋体" w:cs="宋体"/>
          <w:bCs/>
          <w:i/>
          <w:color w:val="auto"/>
          <w:szCs w:val="21"/>
          <w:highlight w:val="none"/>
          <w:u w:val="single"/>
        </w:rPr>
        <w:t xml:space="preserve">参加政府采购活动前</w:t>
      </w:r>
      <w:r>
        <w:rPr>
          <w:rFonts w:hint="eastAsia" w:ascii="宋体" w:hAnsi="宋体" w:cs="宋体"/>
          <w:bCs/>
          <w:i/>
          <w:color w:val="auto"/>
          <w:szCs w:val="21"/>
          <w:highlight w:val="none"/>
          <w:u w:val="single"/>
          <w:lang w:val="en-US" w:eastAsia="zh-CN"/>
        </w:rPr>
        <w:t xml:space="preserve">3</w:t>
      </w:r>
      <w:r>
        <w:rPr>
          <w:rFonts w:hint="eastAsia" w:ascii="宋体" w:hAnsi="宋体" w:cs="宋体"/>
          <w:bCs/>
          <w:i/>
          <w:color w:val="auto"/>
          <w:szCs w:val="21"/>
          <w:highlight w:val="none"/>
          <w:u w:val="single"/>
        </w:rPr>
        <w:t xml:space="preserve">年内，在经营活动中没有重大违法记录（提供声明函原件（重大违法记录是指供应商因违法经营受到刑事处罚或责令停产停业、吊销许可证或者执照、较大数额罚款等行政处罚））。</w:t>
      </w:r>
      <w:r/>
    </w:p>
    <w:p>
      <w:pPr>
        <w:ind w:firstLine="420"/>
        <w:pageBreakBefore w:val="0"/>
        <w:spacing w:line="300" w:lineRule="auto"/>
        <w:rPr>
          <w:rFonts w:hint="eastAsia" w:ascii="宋体" w:hAnsi="宋体" w:cs="宋体"/>
          <w:i/>
          <w:iCs/>
          <w:szCs w:val="21"/>
          <w:highlight w:val="none"/>
          <w:u w:val="single"/>
        </w:rPr>
      </w:pPr>
      <w:r>
        <w:rPr>
          <w:rFonts w:hint="eastAsia" w:ascii="宋体" w:hAnsi="宋体" w:cs="宋体"/>
          <w:bCs/>
          <w:i/>
          <w:iCs w:val="0"/>
          <w:color w:val="auto"/>
          <w:szCs w:val="21"/>
          <w:highlight w:val="none"/>
          <w:u w:val="single"/>
          <w:lang w:val="en-US" w:eastAsia="zh-CN"/>
        </w:rPr>
        <w:t xml:space="preserve">6.</w:t>
      </w:r>
      <w:r>
        <w:rPr>
          <w:rFonts w:hint="eastAsia" w:ascii="宋体" w:hAnsi="宋体" w:cs="宋体"/>
          <w:bCs/>
          <w:i/>
          <w:color w:val="auto"/>
          <w:szCs w:val="21"/>
          <w:highlight w:val="none"/>
          <w:u w:val="single"/>
        </w:rPr>
        <w:t xml:space="preserve">法律、行政法规规定的其他条件。</w:t>
      </w:r>
      <w:r/>
    </w:p>
    <w:p>
      <w:pPr>
        <w:ind w:firstLine="422"/>
        <w:pageBreakBefore w:val="0"/>
        <w:spacing w:line="300" w:lineRule="auto"/>
        <w:rPr>
          <w:rFonts w:ascii="宋体" w:hAnsi="宋体" w:cs="宋体"/>
          <w:b/>
          <w:i/>
          <w:sz w:val="21"/>
          <w:szCs w:val="21"/>
          <w:highlight w:val="none"/>
          <w:u w:val="single"/>
        </w:rPr>
        <w:pBdr>
          <w:top w:val="none" w:color="auto" w:sz="0" w:space="0"/>
          <w:left w:val="none" w:color="auto" w:sz="0" w:space="0"/>
          <w:bottom w:val="none" w:color="auto" w:sz="0" w:space="0"/>
          <w:right w:val="none" w:color="auto" w:sz="0" w:space="0"/>
        </w:pBdr>
      </w:pPr>
      <w:r>
        <w:rPr>
          <w:rFonts w:hint="eastAsia" w:ascii="宋体" w:hAnsi="宋体" w:cs="宋体"/>
          <w:b/>
          <w:sz w:val="21"/>
          <w:szCs w:val="21"/>
          <w:highlight w:val="none"/>
          <w:lang w:eastAsia="zh-CN"/>
        </w:rPr>
        <w:t xml:space="preserve">（</w:t>
      </w:r>
      <w:r>
        <w:rPr>
          <w:rFonts w:hint="eastAsia" w:ascii="宋体" w:hAnsi="宋体" w:cs="宋体"/>
          <w:b/>
          <w:sz w:val="21"/>
          <w:szCs w:val="21"/>
          <w:highlight w:val="none"/>
          <w:lang w:val="en-US" w:eastAsia="zh-CN"/>
        </w:rPr>
        <w:t xml:space="preserve">二</w:t>
      </w:r>
      <w:r>
        <w:rPr>
          <w:rFonts w:hint="eastAsia" w:ascii="宋体" w:hAnsi="宋体" w:cs="宋体"/>
          <w:b/>
          <w:sz w:val="21"/>
          <w:szCs w:val="21"/>
          <w:highlight w:val="none"/>
          <w:lang w:eastAsia="zh-CN"/>
        </w:rPr>
        <w:t xml:space="preserve">）</w:t>
      </w:r>
      <w:r>
        <w:rPr>
          <w:rFonts w:ascii="宋体" w:hAnsi="宋体" w:cs="宋体"/>
          <w:b/>
          <w:i/>
          <w:sz w:val="21"/>
          <w:szCs w:val="21"/>
          <w:highlight w:val="none"/>
          <w:u w:val="single"/>
        </w:rPr>
        <w:t xml:space="preserve">落实政府采购政策需满足的资格要求：</w:t>
      </w:r>
      <w:r/>
    </w:p>
    <w:p>
      <w:pPr>
        <w:ind w:firstLine="422"/>
        <w:pageBreakBefore w:val="0"/>
        <w:spacing w:line="300" w:lineRule="auto"/>
        <w:rPr>
          <w:rFonts w:hint="eastAsia" w:ascii="宋体" w:hAnsi="宋体" w:cs="宋体"/>
          <w:b w:val="0"/>
          <w:bCs/>
          <w:i/>
          <w:sz w:val="21"/>
          <w:szCs w:val="21"/>
          <w:highlight w:val="none"/>
          <w:u w:val="single"/>
        </w:rPr>
        <w:pBdr>
          <w:top w:val="none" w:color="auto" w:sz="0" w:space="0"/>
          <w:left w:val="none" w:color="auto" w:sz="0" w:space="0"/>
          <w:bottom w:val="none" w:color="auto" w:sz="0" w:space="0"/>
          <w:right w:val="none" w:color="auto" w:sz="0" w:space="0"/>
        </w:pBdr>
      </w:pPr>
      <w:r>
        <w:rPr>
          <w:rFonts w:hint="eastAsia" w:ascii="宋体" w:hAnsi="宋体" w:cs="宋体"/>
          <w:b w:val="0"/>
          <w:bCs/>
          <w:i/>
          <w:sz w:val="21"/>
          <w:szCs w:val="21"/>
          <w:highlight w:val="none"/>
          <w:u w:val="single"/>
          <w:lang w:val="en-US" w:eastAsia="zh-CN"/>
        </w:rPr>
        <w:t xml:space="preserve">1.</w:t>
      </w:r>
      <w:r>
        <w:rPr>
          <w:rFonts w:hint="eastAsia" w:ascii="宋体" w:hAnsi="宋体" w:cs="宋体"/>
          <w:b w:val="0"/>
          <w:bCs/>
          <w:i/>
          <w:sz w:val="21"/>
          <w:szCs w:val="21"/>
          <w:highlight w:val="none"/>
          <w:u w:val="single"/>
        </w:rPr>
        <w:t xml:space="preserve">本项目为非专门面向中小企业项目。</w:t>
      </w:r>
      <w:r/>
    </w:p>
    <w:p>
      <w:pPr>
        <w:ind w:firstLine="422"/>
        <w:pageBreakBefore w:val="0"/>
        <w:spacing w:line="300" w:lineRule="auto"/>
        <w:rPr>
          <w:b w:val="0"/>
          <w:bCs/>
          <w:sz w:val="21"/>
          <w:szCs w:val="21"/>
          <w:highlight w:val="none"/>
        </w:rPr>
        <w:pBdr>
          <w:top w:val="none" w:color="auto" w:sz="0" w:space="0"/>
          <w:left w:val="none" w:color="auto" w:sz="0" w:space="0"/>
          <w:bottom w:val="none" w:color="auto" w:sz="0" w:space="0"/>
          <w:right w:val="none" w:color="auto" w:sz="0" w:space="0"/>
        </w:pBdr>
      </w:pPr>
      <w:r>
        <w:rPr>
          <w:rFonts w:ascii="宋体" w:hAnsi="宋体" w:cs="宋体"/>
          <w:b w:val="0"/>
          <w:bCs/>
          <w:i/>
          <w:sz w:val="21"/>
          <w:szCs w:val="21"/>
          <w:highlight w:val="none"/>
          <w:u w:val="single"/>
        </w:rPr>
        <w:t xml:space="preserve">2.本项目属于货物类采购。根据《政府采购促进中小企业发展管理办法》（财库〔2020〕46号）、《关于做好政府采购支持企业发展有关事项的通知》(苏财购(2020)52号)的要求，小型、微型企业</w:t>
      </w:r>
      <w:r>
        <w:rPr>
          <w:rFonts w:hint="eastAsia" w:ascii="宋体" w:hAnsi="宋体" w:cs="宋体"/>
          <w:b w:val="0"/>
          <w:bCs/>
          <w:i/>
          <w:sz w:val="21"/>
          <w:szCs w:val="21"/>
          <w:highlight w:val="none"/>
          <w:u w:val="single"/>
        </w:rPr>
        <w:t xml:space="preserve">在评标时享受扶持政策。</w:t>
      </w:r>
      <w:r>
        <w:rPr>
          <w:rFonts w:ascii="宋体" w:hAnsi="宋体" w:cs="宋体"/>
          <w:b w:val="0"/>
          <w:bCs/>
          <w:i/>
          <w:sz w:val="21"/>
          <w:szCs w:val="21"/>
          <w:highlight w:val="none"/>
          <w:u w:val="single"/>
        </w:rPr>
        <w:t xml:space="preserve">所称小型、微型企业须满足《政府采购促进中小企业发展管理办法》（财库〔2020〕46号）第二条和第四条的规定，采购货物全部由中小企业制造（货物由中小企业生产且使用该中小企业商号或者注册商标），不限制投标人企业规模。（投标人必须提供中小企业声明函（见格式））</w:t>
      </w:r>
      <w:r/>
    </w:p>
    <w:p>
      <w:pPr>
        <w:ind w:firstLine="422"/>
        <w:pageBreakBefore w:val="0"/>
        <w:spacing w:line="300" w:lineRule="auto"/>
        <w:rPr>
          <w:b w:val="0"/>
          <w:bCs/>
          <w:sz w:val="21"/>
          <w:szCs w:val="21"/>
          <w:highlight w:val="none"/>
        </w:rPr>
        <w:pBdr>
          <w:top w:val="none" w:color="auto" w:sz="0" w:space="0"/>
          <w:left w:val="none" w:color="auto" w:sz="0" w:space="0"/>
          <w:bottom w:val="none" w:color="auto" w:sz="0" w:space="0"/>
          <w:right w:val="none" w:color="auto" w:sz="0" w:space="0"/>
        </w:pBdr>
      </w:pPr>
      <w:r>
        <w:rPr>
          <w:rFonts w:hint="eastAsia" w:ascii="宋体" w:hAnsi="宋体" w:cs="宋体"/>
          <w:b w:val="0"/>
          <w:bCs/>
          <w:i/>
          <w:sz w:val="21"/>
          <w:szCs w:val="21"/>
          <w:highlight w:val="none"/>
          <w:u w:val="single"/>
          <w:lang w:val="en-US" w:eastAsia="zh-CN"/>
        </w:rPr>
        <w:t xml:space="preserve">3</w:t>
      </w:r>
      <w:r>
        <w:rPr>
          <w:rFonts w:ascii="宋体" w:hAnsi="宋体" w:cs="宋体"/>
          <w:b w:val="0"/>
          <w:bCs/>
          <w:i/>
          <w:sz w:val="21"/>
          <w:szCs w:val="21"/>
          <w:highlight w:val="none"/>
          <w:u w:val="single"/>
        </w:rPr>
        <w:t xml:space="preserve">.中小微企业划型标准请对照《关于印发中小企业划型标准规定的通知》（工信部联企业〔2011〕300号）（详见</w:t>
      </w:r>
      <w:r>
        <w:rPr>
          <w:rFonts w:hint="eastAsia" w:ascii="宋体" w:hAnsi="宋体" w:cs="宋体"/>
          <w:b w:val="0"/>
          <w:bCs/>
          <w:i/>
          <w:sz w:val="21"/>
          <w:szCs w:val="21"/>
          <w:highlight w:val="none"/>
          <w:u w:val="single"/>
        </w:rPr>
        <w:t xml:space="preserve">格式</w:t>
      </w:r>
      <w:r>
        <w:rPr>
          <w:rFonts w:ascii="宋体" w:hAnsi="宋体" w:cs="宋体"/>
          <w:b w:val="0"/>
          <w:bCs/>
          <w:i/>
          <w:sz w:val="21"/>
          <w:szCs w:val="21"/>
          <w:highlight w:val="none"/>
          <w:u w:val="single"/>
        </w:rPr>
        <w:t xml:space="preserve">）。本项目采购标的对应的行业主要为工业。</w:t>
      </w:r>
      <w:r/>
    </w:p>
    <w:p>
      <w:pPr>
        <w:ind w:firstLine="422"/>
        <w:pageBreakBefore w:val="0"/>
        <w:spacing w:line="300" w:lineRule="auto"/>
        <w:rPr>
          <w:rFonts w:ascii="宋体" w:hAnsi="宋体" w:cs="宋体"/>
          <w:b/>
          <w:sz w:val="21"/>
          <w:szCs w:val="21"/>
          <w:highlight w:val="none"/>
        </w:rPr>
        <w:pBdr>
          <w:top w:val="none" w:color="auto" w:sz="0" w:space="0"/>
          <w:left w:val="none" w:color="auto" w:sz="0" w:space="0"/>
          <w:bottom w:val="none" w:color="auto" w:sz="0" w:space="0"/>
          <w:right w:val="none" w:color="auto" w:sz="0" w:space="0"/>
        </w:pBdr>
      </w:pPr>
      <w:r>
        <w:rPr>
          <w:rFonts w:hint="eastAsia" w:ascii="宋体" w:hAnsi="宋体" w:cs="宋体"/>
          <w:b/>
          <w:sz w:val="21"/>
          <w:szCs w:val="21"/>
          <w:highlight w:val="none"/>
          <w:lang w:eastAsia="zh-CN"/>
        </w:rPr>
        <w:t xml:space="preserve">（</w:t>
      </w:r>
      <w:r>
        <w:rPr>
          <w:rFonts w:hint="eastAsia" w:ascii="宋体" w:hAnsi="宋体" w:cs="宋体"/>
          <w:b/>
          <w:sz w:val="21"/>
          <w:szCs w:val="21"/>
          <w:highlight w:val="none"/>
          <w:lang w:val="en-US" w:eastAsia="zh-CN"/>
        </w:rPr>
        <w:t xml:space="preserve">三</w:t>
      </w:r>
      <w:r>
        <w:rPr>
          <w:rFonts w:hint="eastAsia" w:ascii="宋体" w:hAnsi="宋体" w:cs="宋体"/>
          <w:b/>
          <w:sz w:val="21"/>
          <w:szCs w:val="21"/>
          <w:highlight w:val="none"/>
          <w:lang w:eastAsia="zh-CN"/>
        </w:rPr>
        <w:t xml:space="preserve">）</w:t>
      </w:r>
      <w:r>
        <w:rPr>
          <w:rFonts w:ascii="宋体" w:hAnsi="宋体" w:cs="宋体"/>
          <w:b/>
          <w:sz w:val="21"/>
          <w:szCs w:val="21"/>
          <w:highlight w:val="none"/>
        </w:rPr>
        <w:t xml:space="preserve">本项目的特定资格要求：</w:t>
      </w:r>
      <w:r/>
    </w:p>
    <w:p>
      <w:pPr>
        <w:ind w:firstLine="422"/>
        <w:pageBreakBefore w:val="0"/>
        <w:spacing w:line="300" w:lineRule="auto"/>
        <w:rPr>
          <w:rFonts w:hint="eastAsia" w:ascii="宋体" w:hAnsi="宋体" w:cs="宋体"/>
          <w:b w:val="0"/>
          <w:bCs/>
          <w:i/>
          <w:color w:val="auto"/>
          <w:sz w:val="21"/>
          <w:szCs w:val="21"/>
          <w:highlight w:val="none"/>
          <w:u w:val="single"/>
          <w:lang w:val="en-US" w:eastAsia="zh-CN"/>
        </w:rPr>
        <w:pBdr>
          <w:top w:val="none" w:color="auto" w:sz="0" w:space="0"/>
          <w:left w:val="none" w:color="auto" w:sz="0" w:space="0"/>
          <w:bottom w:val="none" w:color="auto" w:sz="0" w:space="0"/>
          <w:right w:val="none" w:color="auto" w:sz="0" w:space="0"/>
        </w:pBdr>
      </w:pPr>
      <w:r>
        <w:rPr>
          <w:rFonts w:hint="eastAsia" w:ascii="宋体" w:hAnsi="宋体" w:cs="宋体"/>
          <w:b w:val="0"/>
          <w:bCs/>
          <w:i/>
          <w:sz w:val="21"/>
          <w:szCs w:val="21"/>
          <w:highlight w:val="none"/>
          <w:u w:val="single"/>
          <w:lang w:val="en-US" w:eastAsia="zh-CN"/>
        </w:rPr>
        <w:t xml:space="preserve">1.特定资格条件：</w:t>
      </w:r>
      <w:r>
        <w:rPr>
          <w:rFonts w:hint="eastAsia" w:ascii="宋体" w:hAnsi="宋体" w:cs="宋体"/>
          <w:b w:val="0"/>
          <w:bCs/>
          <w:i/>
          <w:color w:val="auto"/>
          <w:sz w:val="21"/>
          <w:szCs w:val="21"/>
          <w:highlight w:val="none"/>
          <w:u w:val="single"/>
          <w:lang w:val="en-US" w:eastAsia="zh-CN"/>
        </w:rPr>
        <w:t xml:space="preserve">本项目不接受进口产品参与投标（注：指产品而非构成产品的零部件或者原材料，本文件所称进口产品是指通过中国海关报关验放进入中国境内且产自关境外的产品）。</w:t>
      </w:r>
      <w:r/>
    </w:p>
    <w:p>
      <w:pPr>
        <w:ind w:firstLine="422"/>
        <w:pageBreakBefore w:val="0"/>
        <w:spacing w:line="300" w:lineRule="auto"/>
        <w:rPr>
          <w:rFonts w:hint="eastAsia" w:ascii="宋体" w:hAnsi="宋体" w:cs="宋体"/>
          <w:b w:val="0"/>
          <w:bCs/>
          <w:i/>
          <w:sz w:val="21"/>
          <w:szCs w:val="21"/>
          <w:highlight w:val="none"/>
          <w:u w:val="single"/>
          <w:lang w:val="en-US" w:eastAsia="zh-CN"/>
        </w:rPr>
        <w:pBdr>
          <w:top w:val="none" w:color="auto" w:sz="0" w:space="0"/>
          <w:left w:val="none" w:color="auto" w:sz="0" w:space="0"/>
          <w:bottom w:val="none" w:color="auto" w:sz="0" w:space="0"/>
          <w:right w:val="none" w:color="auto" w:sz="0" w:space="0"/>
        </w:pBdr>
      </w:pPr>
      <w:r>
        <w:rPr>
          <w:rFonts w:hint="eastAsia" w:ascii="宋体" w:hAnsi="宋体" w:cs="宋体"/>
          <w:b w:val="0"/>
          <w:bCs/>
          <w:i/>
          <w:sz w:val="21"/>
          <w:szCs w:val="21"/>
          <w:highlight w:val="none"/>
          <w:u w:val="single"/>
          <w:lang w:val="en-US" w:eastAsia="zh-CN"/>
        </w:rPr>
        <w:t xml:space="preserve">2.供应商存在下列情形的不得参加本次采购活动：</w:t>
      </w:r>
      <w:r/>
    </w:p>
    <w:p>
      <w:pPr>
        <w:ind w:firstLine="422"/>
        <w:pageBreakBefore w:val="0"/>
        <w:spacing w:line="300" w:lineRule="auto"/>
        <w:rPr>
          <w:rFonts w:hint="eastAsia" w:ascii="宋体" w:hAnsi="宋体" w:cs="宋体"/>
          <w:b w:val="0"/>
          <w:bCs/>
          <w:i/>
          <w:sz w:val="21"/>
          <w:szCs w:val="21"/>
          <w:highlight w:val="none"/>
          <w:u w:val="single"/>
          <w:lang w:val="en-US" w:eastAsia="zh-CN"/>
        </w:rPr>
        <w:pBdr>
          <w:top w:val="none" w:color="auto" w:sz="0" w:space="0"/>
          <w:left w:val="none" w:color="auto" w:sz="0" w:space="0"/>
          <w:bottom w:val="none" w:color="auto" w:sz="0" w:space="0"/>
          <w:right w:val="none" w:color="auto" w:sz="0" w:space="0"/>
        </w:pBdr>
      </w:pPr>
      <w:r>
        <w:rPr>
          <w:rFonts w:hint="eastAsia" w:ascii="宋体" w:hAnsi="宋体" w:cs="宋体"/>
          <w:b w:val="0"/>
          <w:bCs/>
          <w:i/>
          <w:sz w:val="21"/>
          <w:szCs w:val="21"/>
          <w:highlight w:val="none"/>
          <w:u w:val="single"/>
          <w:lang w:val="en-US" w:eastAsia="zh-CN"/>
        </w:rPr>
        <w:t xml:space="preserve">（1）单位负责人为同一人或者存在直接控股、管理关系的不同供应商，不得参加同一合同项下的政府采购活动。</w:t>
      </w:r>
      <w:r/>
    </w:p>
    <w:p>
      <w:pPr>
        <w:ind w:firstLine="422"/>
        <w:pageBreakBefore w:val="0"/>
        <w:spacing w:line="300" w:lineRule="auto"/>
        <w:rPr>
          <w:rFonts w:hint="eastAsia" w:ascii="宋体" w:hAnsi="宋体" w:cs="宋体"/>
          <w:b w:val="0"/>
          <w:bCs/>
          <w:i/>
          <w:sz w:val="21"/>
          <w:szCs w:val="21"/>
          <w:highlight w:val="none"/>
          <w:u w:val="single"/>
          <w:lang w:val="en-US" w:eastAsia="zh-CN"/>
        </w:rPr>
        <w:pBdr>
          <w:top w:val="none" w:color="auto" w:sz="0" w:space="0"/>
          <w:left w:val="none" w:color="auto" w:sz="0" w:space="0"/>
          <w:bottom w:val="none" w:color="auto" w:sz="0" w:space="0"/>
          <w:right w:val="none" w:color="auto" w:sz="0" w:space="0"/>
        </w:pBdr>
      </w:pPr>
      <w:r>
        <w:rPr>
          <w:rFonts w:hint="eastAsia" w:ascii="宋体" w:hAnsi="宋体" w:cs="宋体"/>
          <w:b w:val="0"/>
          <w:bCs/>
          <w:i/>
          <w:sz w:val="21"/>
          <w:szCs w:val="21"/>
          <w:highlight w:val="none"/>
          <w:u w:val="single"/>
          <w:lang w:val="en-US" w:eastAsia="zh-CN"/>
        </w:rPr>
        <w:t xml:space="preserve">（2）除单一来源项目外，凡为采购项目提供整体设计、规范编制或者项目管理、检测等服务的供应商不得再参加本项目的采购活动。</w:t>
      </w:r>
      <w:r/>
    </w:p>
    <w:p>
      <w:pPr>
        <w:ind w:firstLine="422"/>
        <w:pageBreakBefore w:val="0"/>
        <w:spacing w:line="300" w:lineRule="auto"/>
        <w:rPr>
          <w:rFonts w:hint="eastAsia" w:ascii="宋体" w:hAnsi="宋体" w:cs="宋体"/>
          <w:b w:val="0"/>
          <w:bCs/>
          <w:i/>
          <w:sz w:val="21"/>
          <w:szCs w:val="21"/>
          <w:highlight w:val="none"/>
          <w:u w:val="single"/>
          <w:lang w:val="en-US" w:eastAsia="zh-CN"/>
        </w:rPr>
        <w:pBdr>
          <w:top w:val="none" w:color="auto" w:sz="0" w:space="0"/>
          <w:left w:val="none" w:color="auto" w:sz="0" w:space="0"/>
          <w:bottom w:val="none" w:color="auto" w:sz="0" w:space="0"/>
          <w:right w:val="none" w:color="auto" w:sz="0" w:space="0"/>
        </w:pBdr>
      </w:pPr>
      <w:r>
        <w:rPr>
          <w:rFonts w:hint="eastAsia" w:ascii="宋体" w:hAnsi="宋体" w:cs="宋体"/>
          <w:b w:val="0"/>
          <w:bCs/>
          <w:i/>
          <w:sz w:val="21"/>
          <w:szCs w:val="21"/>
          <w:highlight w:val="none"/>
          <w:u w:val="single"/>
          <w:lang w:val="en-US" w:eastAsia="zh-CN"/>
        </w:rPr>
        <w:t xml:space="preserve">（3）通过“信用中国”网站（http://www.creditchina.gov.cn）、“中国政府采购网”（http://www.ccgp.gov.cn）查询供应商的信用记录，通过以上查询渠道，供应商被列入失信被执行人、重大税收违法失信主体、政府采购严重违法失信行为记录。（查询时间为投标截止时间以后、资格审查阶段采购人或采购代理机构的实际查询时间）</w:t>
      </w:r>
      <w:r/>
    </w:p>
    <w:p>
      <w:pPr>
        <w:ind w:firstLine="422"/>
        <w:pageBreakBefore w:val="0"/>
        <w:spacing w:line="300" w:lineRule="auto"/>
        <w:rPr>
          <w:rFonts w:hint="eastAsia" w:ascii="宋体" w:hAnsi="宋体" w:cs="宋体"/>
          <w:b w:val="0"/>
          <w:bCs/>
          <w:i/>
          <w:sz w:val="21"/>
          <w:szCs w:val="21"/>
          <w:highlight w:val="none"/>
          <w:u w:val="single"/>
          <w:lang w:val="en-US" w:eastAsia="zh-CN"/>
        </w:rPr>
        <w:pBdr>
          <w:top w:val="none" w:color="auto" w:sz="0" w:space="0"/>
          <w:left w:val="none" w:color="auto" w:sz="0" w:space="0"/>
          <w:bottom w:val="none" w:color="auto" w:sz="0" w:space="0"/>
          <w:right w:val="none" w:color="auto" w:sz="0" w:space="0"/>
        </w:pBdr>
      </w:pPr>
      <w:r>
        <w:rPr>
          <w:rFonts w:hint="eastAsia" w:ascii="宋体" w:hAnsi="宋体" w:cs="宋体"/>
          <w:b w:val="0"/>
          <w:bCs/>
          <w:i/>
          <w:sz w:val="21"/>
          <w:szCs w:val="21"/>
          <w:highlight w:val="none"/>
          <w:u w:val="single"/>
          <w:lang w:val="en-US" w:eastAsia="zh-CN"/>
        </w:rPr>
        <w:t xml:space="preserve">3.投标人信用承诺函（注：采购人、采购代理机构、投标人实际控制人为同一人或者存在直接控股、管理关系的，不得参加同一合同项下的采购活动。采购代理机构及其分支机构不得在所代理的招标项目中投标或代理投标。）</w:t>
      </w:r>
      <w:r/>
    </w:p>
    <w:p>
      <w:pPr>
        <w:pageBreakBefore w:val="0"/>
        <w:spacing w:line="300" w:lineRule="auto"/>
        <w:tabs>
          <w:tab w:val="left" w:pos="266" w:leader="none"/>
        </w:tabs>
        <w:rPr>
          <w:rFonts w:hint="eastAsia" w:ascii="宋体" w:hAnsi="宋体" w:cs="宋体"/>
          <w:b/>
          <w:bCs/>
          <w:highlight w:val="none"/>
        </w:rPr>
      </w:pPr>
      <w:r>
        <w:rPr>
          <w:rFonts w:hint="eastAsia" w:ascii="宋体" w:hAnsi="宋体" w:cs="宋体"/>
          <w:b/>
          <w:bCs/>
          <w:highlight w:val="none"/>
        </w:rPr>
        <w:t xml:space="preserve">三、获取</w:t>
      </w:r>
      <w:bookmarkEnd w:id="15"/>
      <w:r/>
      <w:bookmarkEnd w:id="16"/>
      <w:r/>
      <w:bookmarkEnd w:id="17"/>
      <w:r/>
      <w:bookmarkEnd w:id="18"/>
      <w:r/>
      <w:bookmarkEnd w:id="19"/>
      <w:r>
        <w:rPr>
          <w:rFonts w:hint="eastAsia" w:ascii="宋体" w:hAnsi="宋体" w:cs="宋体"/>
          <w:b/>
          <w:bCs/>
          <w:highlight w:val="none"/>
        </w:rPr>
        <w:t xml:space="preserve">采购文件</w:t>
      </w:r>
      <w:r/>
    </w:p>
    <w:p>
      <w:pPr>
        <w:ind w:firstLine="540"/>
        <w:pageBreakBefore w:val="0"/>
        <w:spacing w:line="300" w:lineRule="auto"/>
        <w:rPr>
          <w:rFonts w:hint="eastAsia" w:ascii="宋体" w:hAnsi="宋体" w:cs="宋体"/>
          <w:b w:val="0"/>
          <w:bCs w:val="0"/>
          <w:highlight w:val="none"/>
        </w:rPr>
      </w:pPr>
      <w:r/>
      <w:bookmarkStart w:id="20" w:name="_Toc28359005"/>
      <w:r/>
      <w:bookmarkStart w:id="21" w:name="_Toc28359082"/>
      <w:r/>
      <w:bookmarkStart w:id="22" w:name="_Toc38985266"/>
      <w:r/>
      <w:bookmarkStart w:id="23" w:name="_Toc35393624"/>
      <w:r/>
      <w:bookmarkStart w:id="24" w:name="_Toc35393793"/>
      <w:r>
        <w:rPr>
          <w:rFonts w:hint="eastAsia" w:ascii="宋体" w:hAnsi="宋体" w:cs="宋体"/>
          <w:b w:val="0"/>
          <w:bCs w:val="0"/>
          <w:highlight w:val="none"/>
        </w:rPr>
        <w:t xml:space="preserve">1.时间：自</w:t>
      </w:r>
      <w:r>
        <w:rPr>
          <w:rFonts w:hint="eastAsia" w:ascii="宋体" w:hAnsi="宋体" w:cs="宋体"/>
          <w:b w:val="0"/>
          <w:bCs w:val="0"/>
          <w:highlight w:val="none"/>
          <w:lang w:val="en-US" w:eastAsia="zh-CN"/>
        </w:rPr>
        <w:t xml:space="preserve">招标</w:t>
      </w:r>
      <w:r>
        <w:rPr>
          <w:rFonts w:hint="eastAsia" w:ascii="宋体" w:hAnsi="宋体" w:cs="宋体"/>
          <w:b w:val="0"/>
          <w:bCs w:val="0"/>
          <w:highlight w:val="none"/>
        </w:rPr>
        <w:t xml:space="preserve">文件公告发布之日起5个工作日。</w:t>
      </w:r>
      <w:r/>
    </w:p>
    <w:p>
      <w:pPr>
        <w:ind w:firstLine="540"/>
        <w:pageBreakBefore w:val="0"/>
        <w:spacing w:line="300" w:lineRule="auto"/>
        <w:rPr>
          <w:rFonts w:hint="eastAsia" w:ascii="宋体" w:hAnsi="宋体"/>
          <w:b w:val="0"/>
          <w:bCs w:val="0"/>
          <w:szCs w:val="21"/>
          <w:highlight w:val="none"/>
        </w:rPr>
      </w:pPr>
      <w:r>
        <w:rPr>
          <w:rFonts w:hint="eastAsia" w:ascii="宋体" w:hAnsi="宋体"/>
          <w:b w:val="0"/>
          <w:bCs w:val="0"/>
          <w:szCs w:val="21"/>
          <w:highlight w:val="none"/>
          <w:lang w:val="en-US" w:eastAsia="zh-CN"/>
        </w:rPr>
        <w:t xml:space="preserve">2.</w:t>
      </w:r>
      <w:r>
        <w:rPr>
          <w:rFonts w:hint="eastAsia" w:ascii="宋体" w:hAnsi="宋体"/>
          <w:b w:val="0"/>
          <w:bCs w:val="0"/>
          <w:szCs w:val="21"/>
          <w:highlight w:val="none"/>
        </w:rPr>
        <w:t xml:space="preserve">地点:“苏采云”政府采购一体化平台</w:t>
      </w:r>
      <w:r/>
    </w:p>
    <w:p>
      <w:pPr>
        <w:ind w:firstLine="540"/>
        <w:pageBreakBefore w:val="0"/>
        <w:spacing w:line="300" w:lineRule="auto"/>
        <w:rPr>
          <w:rFonts w:hint="eastAsia" w:ascii="宋体" w:hAnsi="宋体"/>
          <w:b w:val="0"/>
          <w:bCs w:val="0"/>
          <w:szCs w:val="21"/>
          <w:highlight w:val="none"/>
        </w:rPr>
      </w:pPr>
      <w:r>
        <w:rPr>
          <w:rFonts w:hint="eastAsia" w:ascii="宋体" w:hAnsi="宋体"/>
          <w:b w:val="0"/>
          <w:bCs w:val="0"/>
          <w:szCs w:val="21"/>
          <w:highlight w:val="none"/>
          <w:lang w:val="en-US" w:eastAsia="zh-CN"/>
        </w:rPr>
        <w:t xml:space="preserve">3.</w:t>
      </w:r>
      <w:r>
        <w:rPr>
          <w:rFonts w:hint="eastAsia" w:ascii="宋体" w:hAnsi="宋体"/>
          <w:b w:val="0"/>
          <w:bCs w:val="0"/>
          <w:szCs w:val="21"/>
          <w:highlight w:val="none"/>
        </w:rPr>
        <w:t xml:space="preserve">方式:“苏采云”政府采购一体化平台自行免费下载</w:t>
      </w:r>
      <w:r/>
    </w:p>
    <w:p>
      <w:pPr>
        <w:ind w:firstLine="540"/>
        <w:pageBreakBefore w:val="0"/>
        <w:spacing w:line="300" w:lineRule="auto"/>
        <w:rPr>
          <w:rFonts w:ascii="宋体" w:hAnsi="宋体"/>
          <w:b w:val="0"/>
          <w:bCs w:val="0"/>
          <w:sz w:val="24"/>
          <w:szCs w:val="24"/>
          <w:highlight w:val="none"/>
        </w:rPr>
      </w:pPr>
      <w:r>
        <w:rPr>
          <w:rFonts w:hint="eastAsia" w:ascii="宋体" w:hAnsi="宋体"/>
          <w:b w:val="0"/>
          <w:bCs w:val="0"/>
          <w:szCs w:val="21"/>
          <w:highlight w:val="none"/>
          <w:lang w:val="en-US" w:eastAsia="zh-CN"/>
        </w:rPr>
        <w:t xml:space="preserve">4.</w:t>
      </w:r>
      <w:r>
        <w:rPr>
          <w:rFonts w:hint="eastAsia" w:ascii="宋体" w:hAnsi="宋体"/>
          <w:b w:val="0"/>
          <w:bCs w:val="0"/>
          <w:szCs w:val="21"/>
          <w:highlight w:val="none"/>
        </w:rPr>
        <w:t xml:space="preserve">售价:0.00元</w:t>
      </w:r>
      <w:r/>
    </w:p>
    <w:p>
      <w:pPr>
        <w:pageBreakBefore w:val="0"/>
        <w:spacing w:line="300" w:lineRule="auto"/>
        <w:tabs>
          <w:tab w:val="left" w:pos="266" w:leader="none"/>
        </w:tabs>
        <w:rPr>
          <w:rFonts w:ascii="宋体" w:hAnsi="宋体" w:cs="宋体"/>
          <w:b/>
          <w:bCs/>
          <w:highlight w:val="none"/>
        </w:rPr>
      </w:pPr>
      <w:r>
        <w:rPr>
          <w:rFonts w:hint="eastAsia" w:ascii="宋体" w:hAnsi="宋体" w:cs="宋体"/>
          <w:b/>
          <w:bCs/>
          <w:highlight w:val="none"/>
        </w:rPr>
        <w:t xml:space="preserve">四、提交投标文件</w:t>
      </w:r>
      <w:bookmarkEnd w:id="20"/>
      <w:r/>
      <w:bookmarkEnd w:id="21"/>
      <w:r>
        <w:rPr>
          <w:rFonts w:hint="eastAsia" w:ascii="宋体" w:hAnsi="宋体" w:cs="宋体"/>
          <w:b/>
          <w:bCs/>
          <w:highlight w:val="none"/>
        </w:rPr>
        <w:t xml:space="preserve">截止时间、开标时间和地点</w:t>
      </w:r>
      <w:bookmarkEnd w:id="22"/>
      <w:r/>
      <w:bookmarkEnd w:id="23"/>
      <w:r/>
      <w:bookmarkEnd w:id="24"/>
      <w:r/>
      <w:r/>
    </w:p>
    <w:p>
      <w:pPr>
        <w:ind w:firstLine="420"/>
        <w:pageBreakBefore w:val="0"/>
        <w:spacing w:line="300" w:lineRule="auto"/>
        <w:rPr>
          <w:rFonts w:ascii="宋体" w:hAnsi="宋体" w:cs="宋体"/>
          <w:bCs/>
          <w:szCs w:val="21"/>
          <w:highlight w:val="none"/>
          <w:u w:val="single"/>
        </w:rPr>
      </w:pPr>
      <w:r>
        <w:rPr>
          <w:rFonts w:hint="eastAsia" w:ascii="宋体" w:hAnsi="宋体" w:cs="宋体"/>
          <w:highlight w:val="none"/>
        </w:rPr>
        <w:t xml:space="preserve">1.时间：</w:t>
      </w:r>
      <w:r>
        <w:rPr>
          <w:rFonts w:hint="eastAsia" w:ascii="宋体" w:hAnsi="宋体" w:cs="宋体"/>
          <w:highlight w:val="none"/>
          <w:u w:val="single"/>
        </w:rPr>
        <w:t xml:space="preserve">2026-08-0</w:t>
      </w:r>
      <w:r>
        <w:rPr>
          <w:rFonts w:hint="eastAsia" w:ascii="宋体" w:hAnsi="宋体" w:cs="宋体"/>
          <w:highlight w:val="none"/>
          <w:u w:val="single"/>
          <w:lang w:val="en-US" w:eastAsia="zh-CN"/>
        </w:rPr>
        <w:t xml:space="preserve">6</w:t>
      </w:r>
      <w:r>
        <w:rPr>
          <w:rFonts w:hint="eastAsia" w:ascii="宋体" w:hAnsi="宋体" w:cs="宋体"/>
          <w:highlight w:val="none"/>
          <w:u w:val="single"/>
        </w:rPr>
        <w:t xml:space="preserve"> 09:00</w:t>
      </w:r>
      <w:r>
        <w:rPr>
          <w:rFonts w:hint="eastAsia" w:ascii="宋体" w:hAnsi="宋体" w:cs="宋体"/>
          <w:highlight w:val="none"/>
        </w:rPr>
        <w:t xml:space="preserve">（北京时间）</w:t>
      </w:r>
      <w:r/>
    </w:p>
    <w:p>
      <w:pPr>
        <w:ind w:firstLine="420"/>
        <w:pageBreakBefore w:val="0"/>
        <w:spacing w:line="300" w:lineRule="auto"/>
        <w:rPr>
          <w:rFonts w:ascii="宋体" w:hAnsi="宋体" w:cs="宋体"/>
          <w:bCs/>
          <w:highlight w:val="none"/>
          <w:u w:val="single"/>
        </w:rPr>
      </w:pPr>
      <w:r>
        <w:rPr>
          <w:rFonts w:hint="eastAsia" w:ascii="宋体" w:hAnsi="宋体" w:cs="宋体"/>
          <w:highlight w:val="none"/>
        </w:rPr>
        <w:t xml:space="preserve">2.开标地点：</w:t>
      </w:r>
      <w:r>
        <w:rPr>
          <w:rFonts w:hint="eastAsia" w:ascii="宋体" w:hAnsi="宋体"/>
          <w:b/>
          <w:szCs w:val="21"/>
          <w:highlight w:val="none"/>
        </w:rPr>
        <w:t xml:space="preserve">“苏采云”系统（网址：http://jszfcg.jsczt.cn/）“开标大厅”</w:t>
      </w:r>
      <w:r/>
    </w:p>
    <w:p>
      <w:pPr>
        <w:pageBreakBefore w:val="0"/>
        <w:spacing w:line="300" w:lineRule="auto"/>
        <w:tabs>
          <w:tab w:val="left" w:pos="266" w:leader="none"/>
        </w:tabs>
        <w:rPr>
          <w:rFonts w:ascii="宋体" w:hAnsi="宋体" w:cs="宋体"/>
          <w:b/>
          <w:bCs/>
          <w:highlight w:val="none"/>
        </w:rPr>
      </w:pPr>
      <w:r/>
      <w:bookmarkStart w:id="25" w:name="_Toc35393625"/>
      <w:r/>
      <w:bookmarkStart w:id="26" w:name="_Toc28359007"/>
      <w:r/>
      <w:bookmarkStart w:id="27" w:name="_Toc38985267"/>
      <w:r/>
      <w:bookmarkStart w:id="28" w:name="_Toc35393794"/>
      <w:r/>
      <w:bookmarkStart w:id="29" w:name="_Toc28359084"/>
      <w:r>
        <w:rPr>
          <w:rFonts w:hint="eastAsia" w:ascii="宋体" w:hAnsi="宋体" w:cs="宋体"/>
          <w:b/>
          <w:bCs/>
          <w:highlight w:val="none"/>
        </w:rPr>
        <w:t xml:space="preserve">五、公告期限</w:t>
      </w:r>
      <w:bookmarkEnd w:id="25"/>
      <w:r/>
      <w:bookmarkEnd w:id="26"/>
      <w:r/>
      <w:bookmarkEnd w:id="27"/>
      <w:r/>
      <w:bookmarkEnd w:id="28"/>
      <w:r/>
      <w:bookmarkEnd w:id="29"/>
      <w:r/>
      <w:r/>
    </w:p>
    <w:p>
      <w:pPr>
        <w:ind w:firstLine="420"/>
        <w:pageBreakBefore w:val="0"/>
        <w:spacing w:line="300" w:lineRule="auto"/>
        <w:rPr>
          <w:rFonts w:ascii="宋体" w:hAnsi="宋体" w:cs="宋体"/>
          <w:highlight w:val="none"/>
        </w:rPr>
      </w:pPr>
      <w:r/>
      <w:bookmarkStart w:id="30" w:name="_Toc38985268"/>
      <w:r/>
      <w:bookmarkStart w:id="31" w:name="_Toc35393795"/>
      <w:r/>
      <w:bookmarkStart w:id="32" w:name="_Toc35393626"/>
      <w:r>
        <w:rPr>
          <w:rFonts w:hint="eastAsia" w:ascii="宋体" w:hAnsi="宋体" w:cs="宋体"/>
          <w:highlight w:val="none"/>
        </w:rPr>
        <w:t xml:space="preserve">自本公告发布之日起5个工作日。</w:t>
      </w:r>
      <w:r/>
    </w:p>
    <w:p>
      <w:pPr>
        <w:pageBreakBefore w:val="0"/>
        <w:spacing w:line="300" w:lineRule="auto"/>
        <w:tabs>
          <w:tab w:val="left" w:pos="266" w:leader="none"/>
        </w:tabs>
        <w:rPr>
          <w:rFonts w:ascii="宋体" w:hAnsi="宋体" w:cs="宋体"/>
          <w:b/>
          <w:bCs/>
          <w:highlight w:val="none"/>
        </w:rPr>
      </w:pPr>
      <w:r>
        <w:rPr>
          <w:rFonts w:hint="eastAsia" w:ascii="宋体" w:hAnsi="宋体" w:cs="宋体"/>
          <w:b/>
          <w:bCs/>
          <w:highlight w:val="none"/>
        </w:rPr>
        <w:t xml:space="preserve">六、其他补充事宜</w:t>
      </w:r>
      <w:bookmarkEnd w:id="30"/>
      <w:r/>
      <w:bookmarkEnd w:id="31"/>
      <w:r/>
      <w:bookmarkEnd w:id="32"/>
      <w:r/>
      <w:r/>
    </w:p>
    <w:p>
      <w:pPr>
        <w:ind w:firstLine="540"/>
        <w:pageBreakBefore w:val="0"/>
        <w:spacing w:line="300" w:lineRule="auto"/>
        <w:rPr>
          <w:rFonts w:ascii="宋体" w:hAnsi="宋体" w:cs="宋体"/>
          <w:b w:val="0"/>
          <w:bCs w:val="0"/>
          <w:highlight w:val="none"/>
        </w:rPr>
      </w:pPr>
      <w:r/>
      <w:bookmarkStart w:id="33" w:name="_Toc35393796"/>
      <w:r/>
      <w:bookmarkStart w:id="34" w:name="_Toc35393627"/>
      <w:r/>
      <w:bookmarkStart w:id="35" w:name="_Toc28359008"/>
      <w:r/>
      <w:bookmarkStart w:id="36" w:name="_Toc38985269"/>
      <w:r/>
      <w:bookmarkStart w:id="37" w:name="_Toc28359085"/>
      <w:r>
        <w:rPr>
          <w:rFonts w:hint="eastAsia" w:ascii="宋体" w:hAnsi="宋体" w:cs="宋体"/>
          <w:b w:val="0"/>
          <w:bCs w:val="0"/>
          <w:highlight w:val="none"/>
          <w:lang w:eastAsia="zh-CN"/>
        </w:rPr>
        <w:t xml:space="preserve">（</w:t>
      </w:r>
      <w:r>
        <w:rPr>
          <w:rFonts w:hint="eastAsia" w:ascii="宋体" w:hAnsi="宋体" w:cs="宋体"/>
          <w:b w:val="0"/>
          <w:bCs w:val="0"/>
          <w:highlight w:val="none"/>
          <w:lang w:val="en-US" w:eastAsia="zh-CN"/>
        </w:rPr>
        <w:t xml:space="preserve">一</w:t>
      </w:r>
      <w:r>
        <w:rPr>
          <w:rFonts w:hint="eastAsia" w:ascii="宋体" w:hAnsi="宋体" w:cs="宋体"/>
          <w:b w:val="0"/>
          <w:bCs w:val="0"/>
          <w:highlight w:val="none"/>
          <w:lang w:eastAsia="zh-CN"/>
        </w:rPr>
        <w:t xml:space="preserve">）</w:t>
      </w:r>
      <w:r>
        <w:rPr>
          <w:rFonts w:hint="eastAsia" w:ascii="宋体" w:hAnsi="宋体" w:cs="宋体"/>
          <w:b w:val="0"/>
          <w:bCs w:val="0"/>
          <w:highlight w:val="none"/>
        </w:rPr>
        <w:t xml:space="preserve">潜在投标人访问</w:t>
      </w:r>
      <w:r>
        <w:rPr>
          <w:rFonts w:hint="eastAsia" w:ascii="宋体" w:hAnsi="宋体"/>
          <w:b w:val="0"/>
          <w:bCs w:val="0"/>
          <w:szCs w:val="21"/>
          <w:highlight w:val="none"/>
        </w:rPr>
        <w:t xml:space="preserve">政府采购管理交易系统（苏采云）</w:t>
      </w:r>
      <w:r>
        <w:rPr>
          <w:rFonts w:hint="eastAsia" w:ascii="宋体" w:hAnsi="宋体" w:cs="宋体"/>
          <w:b w:val="0"/>
          <w:bCs w:val="0"/>
          <w:highlight w:val="none"/>
        </w:rPr>
        <w:t xml:space="preserve">的网络地址和方法：</w:t>
      </w:r>
      <w:r/>
    </w:p>
    <w:p>
      <w:pPr>
        <w:ind w:firstLine="600"/>
        <w:pageBreakBefore w:val="0"/>
        <w:spacing w:line="300" w:lineRule="auto"/>
        <w:rPr>
          <w:rFonts w:hint="eastAsia" w:ascii="宋体" w:hAnsi="宋体" w:cs="宋体"/>
          <w:b w:val="0"/>
          <w:bCs w:val="0"/>
          <w:highlight w:val="none"/>
        </w:rPr>
        <w:pBdr>
          <w:top w:val="none" w:color="auto" w:sz="0" w:space="0"/>
          <w:left w:val="none" w:color="auto" w:sz="0" w:space="0"/>
          <w:bottom w:val="none" w:color="auto" w:sz="0" w:space="0"/>
          <w:right w:val="none" w:color="auto" w:sz="0" w:space="0"/>
        </w:pBdr>
      </w:pPr>
      <w:r>
        <w:rPr>
          <w:rFonts w:hint="eastAsia" w:ascii="宋体" w:hAnsi="宋体" w:cs="宋体"/>
          <w:b w:val="0"/>
          <w:bCs w:val="0"/>
          <w:highlight w:val="none"/>
          <w:lang w:val="en-US" w:eastAsia="zh-CN"/>
        </w:rPr>
        <w:t xml:space="preserve">1.</w:t>
      </w:r>
      <w:r>
        <w:rPr>
          <w:rFonts w:hint="eastAsia" w:ascii="宋体" w:hAnsi="宋体" w:cs="宋体"/>
          <w:b w:val="0"/>
          <w:bCs w:val="0"/>
          <w:highlight w:val="none"/>
        </w:rPr>
        <w:t xml:space="preserve">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600"/>
        <w:pageBreakBefore w:val="0"/>
        <w:spacing w:line="300" w:lineRule="auto"/>
        <w:rPr>
          <w:rFonts w:hint="eastAsia" w:ascii="宋体" w:hAnsi="宋体" w:cs="宋体"/>
          <w:b w:val="0"/>
          <w:bCs w:val="0"/>
          <w:highlight w:val="none"/>
        </w:rPr>
        <w:pBdr>
          <w:top w:val="none" w:color="auto" w:sz="0" w:space="0"/>
          <w:left w:val="none" w:color="auto" w:sz="0" w:space="0"/>
          <w:bottom w:val="none" w:color="auto" w:sz="0" w:space="0"/>
          <w:right w:val="none" w:color="auto" w:sz="0" w:space="0"/>
        </w:pBdr>
      </w:pPr>
      <w:r>
        <w:rPr>
          <w:rFonts w:hint="eastAsia" w:ascii="宋体" w:hAnsi="宋体" w:cs="宋体"/>
          <w:b w:val="0"/>
          <w:bCs w:val="0"/>
          <w:highlight w:val="none"/>
          <w:lang w:val="en-US" w:eastAsia="zh-CN"/>
        </w:rPr>
        <w:t xml:space="preserve">2.</w:t>
      </w:r>
      <w:r>
        <w:rPr>
          <w:rFonts w:hint="eastAsia" w:ascii="宋体" w:hAnsi="宋体" w:cs="宋体"/>
          <w:b w:val="0"/>
          <w:bCs w:val="0"/>
          <w:highlight w:val="none"/>
        </w:rPr>
        <w:t xml:space="preserve">“CA数字证书”的获取：供应商需办理CA锁，“苏采云”系统目前仅支持“苏采云”系统下的政务CA，省内各地区办理的“苏采云”系统下的政务CA全省通用。</w:t>
      </w:r>
      <w:r/>
    </w:p>
    <w:p>
      <w:pPr>
        <w:ind w:firstLine="600"/>
        <w:pageBreakBefore w:val="0"/>
        <w:spacing w:line="300" w:lineRule="auto"/>
        <w:rPr>
          <w:rFonts w:hint="eastAsia" w:ascii="宋体" w:hAnsi="宋体" w:cs="宋体"/>
          <w:b w:val="0"/>
          <w:bCs w:val="0"/>
          <w:highlight w:val="none"/>
        </w:rPr>
        <w:pBdr>
          <w:top w:val="none" w:color="auto" w:sz="0" w:space="0"/>
          <w:left w:val="none" w:color="auto" w:sz="0" w:space="0"/>
          <w:bottom w:val="none" w:color="auto" w:sz="0" w:space="0"/>
          <w:right w:val="none" w:color="auto" w:sz="0" w:space="0"/>
        </w:pBdr>
      </w:pPr>
      <w:r>
        <w:rPr>
          <w:rFonts w:hint="eastAsia" w:ascii="宋体" w:hAnsi="宋体" w:cs="宋体"/>
          <w:b w:val="0"/>
          <w:bCs w:val="0"/>
          <w:highlight w:val="none"/>
          <w:lang w:val="en-US" w:eastAsia="zh-CN"/>
        </w:rPr>
        <w:t xml:space="preserve">3.</w:t>
      </w:r>
      <w:r>
        <w:rPr>
          <w:rFonts w:hint="eastAsia" w:ascii="宋体" w:hAnsi="宋体" w:cs="宋体"/>
          <w:b w:val="0"/>
          <w:bCs w:val="0"/>
          <w:highlight w:val="none"/>
        </w:rPr>
        <w:t xml:space="preserve">“CA数字证书”的办理材料以及供应商操作手册详见：</w:t>
      </w:r>
      <w:r/>
    </w:p>
    <w:p>
      <w:pPr>
        <w:ind w:firstLine="600"/>
        <w:pageBreakBefore w:val="0"/>
        <w:spacing w:line="300" w:lineRule="auto"/>
        <w:rPr>
          <w:rFonts w:hint="eastAsia" w:ascii="宋体" w:hAnsi="宋体" w:cs="宋体"/>
          <w:b w:val="0"/>
          <w:bCs w:val="0"/>
          <w:highlight w:val="none"/>
        </w:rPr>
        <w:pBdr>
          <w:top w:val="none" w:color="auto" w:sz="0" w:space="0"/>
          <w:left w:val="none" w:color="auto" w:sz="0" w:space="0"/>
          <w:bottom w:val="none" w:color="auto" w:sz="0" w:space="0"/>
          <w:right w:val="none" w:color="auto" w:sz="0" w:space="0"/>
        </w:pBdr>
      </w:pPr>
      <w:r>
        <w:rPr>
          <w:rFonts w:ascii="宋体" w:hAnsi="宋体" w:cs="宋体"/>
          <w:b w:val="0"/>
          <w:bCs w:val="0"/>
          <w:highlight w:val="none"/>
        </w:rPr>
        <w:t xml:space="preserve">http://zfcg.yangzhou.gov.cn/xzzx/art/2023/art_4d7de1f7865f4a2894fc22bc452f94d8.html</w:t>
      </w:r>
      <w:r>
        <w:rPr>
          <w:rFonts w:hint="eastAsia" w:ascii="宋体" w:hAnsi="宋体" w:cs="宋体"/>
          <w:b w:val="0"/>
          <w:bCs w:val="0"/>
          <w:highlight w:val="none"/>
        </w:rPr>
        <w:t xml:space="preserve">。</w:t>
      </w:r>
      <w:r/>
    </w:p>
    <w:p>
      <w:pPr>
        <w:ind w:firstLine="600"/>
        <w:pageBreakBefore w:val="0"/>
        <w:spacing w:line="300" w:lineRule="auto"/>
        <w:rPr>
          <w:rFonts w:hint="eastAsia" w:ascii="宋体" w:hAnsi="宋体" w:cs="宋体"/>
          <w:b w:val="0"/>
          <w:bCs w:val="0"/>
          <w:highlight w:val="none"/>
        </w:rPr>
        <w:pBdr>
          <w:top w:val="none" w:color="auto" w:sz="0" w:space="0"/>
          <w:left w:val="none" w:color="auto" w:sz="0" w:space="0"/>
          <w:bottom w:val="none" w:color="auto" w:sz="0" w:space="0"/>
          <w:right w:val="none" w:color="auto" w:sz="0" w:space="0"/>
        </w:pBdr>
      </w:pPr>
      <w:r>
        <w:rPr>
          <w:rFonts w:hint="eastAsia" w:ascii="宋体" w:hAnsi="宋体" w:cs="宋体"/>
          <w:b w:val="0"/>
          <w:bCs w:val="0"/>
          <w:highlight w:val="none"/>
          <w:lang w:val="en-US" w:eastAsia="zh-CN"/>
        </w:rPr>
        <w:t xml:space="preserve">4.</w:t>
      </w:r>
      <w:r>
        <w:rPr>
          <w:rFonts w:hint="eastAsia" w:ascii="宋体" w:hAnsi="宋体" w:cs="宋体"/>
          <w:b w:val="0"/>
          <w:bCs w:val="0"/>
          <w:highlight w:val="none"/>
        </w:rPr>
        <w:t xml:space="preserve">潜在供应商访问“苏采云”系统的网络地址和方法：“苏采云”系统的网址：http://jszfcg.jsczt.cn/。</w:t>
      </w:r>
      <w:r/>
    </w:p>
    <w:p>
      <w:pPr>
        <w:ind w:firstLine="600"/>
        <w:pageBreakBefore w:val="0"/>
        <w:spacing w:line="300" w:lineRule="auto"/>
        <w:rPr>
          <w:rFonts w:hint="eastAsia" w:ascii="宋体" w:hAnsi="宋体" w:cs="宋体"/>
          <w:b w:val="0"/>
          <w:bCs w:val="0"/>
          <w:highlight w:val="none"/>
        </w:rPr>
        <w:pBdr>
          <w:top w:val="none" w:color="auto" w:sz="0" w:space="0"/>
          <w:left w:val="none" w:color="auto" w:sz="0" w:space="0"/>
          <w:bottom w:val="none" w:color="auto" w:sz="0" w:space="0"/>
          <w:right w:val="none" w:color="auto" w:sz="0" w:space="0"/>
        </w:pBdr>
      </w:pPr>
      <w:r>
        <w:rPr>
          <w:rFonts w:hint="eastAsia" w:ascii="宋体" w:hAnsi="宋体" w:cs="宋体"/>
          <w:b w:val="0"/>
          <w:bCs w:val="0"/>
          <w:highlight w:val="none"/>
          <w:lang w:val="en-US" w:eastAsia="zh-CN"/>
        </w:rPr>
        <w:t xml:space="preserve">5.</w:t>
      </w:r>
      <w:r>
        <w:rPr>
          <w:rFonts w:hint="eastAsia" w:ascii="宋体" w:hAnsi="宋体" w:cs="宋体"/>
          <w:b w:val="0"/>
          <w:bCs w:val="0"/>
          <w:highlight w:val="none"/>
        </w:rPr>
        <w:t xml:space="preserve">采购文件（后缀名为“.kedt”）、供应商操作手册及政府采购客户端工具也可通过“苏采云”系统--已报名项目--报名详情页面内相应链接进行下载。</w:t>
      </w:r>
      <w:r/>
    </w:p>
    <w:p>
      <w:pPr>
        <w:ind w:firstLine="600"/>
        <w:pageBreakBefore w:val="0"/>
        <w:spacing w:line="300" w:lineRule="auto"/>
        <w:rPr>
          <w:rFonts w:hint="eastAsia" w:ascii="宋体" w:hAnsi="宋体" w:cs="宋体"/>
          <w:b w:val="0"/>
          <w:bCs w:val="0"/>
          <w:highlight w:val="none"/>
        </w:rPr>
        <w:pBdr>
          <w:top w:val="none" w:color="auto" w:sz="0" w:space="0"/>
          <w:left w:val="none" w:color="auto" w:sz="0" w:space="0"/>
          <w:bottom w:val="none" w:color="auto" w:sz="0" w:space="0"/>
          <w:right w:val="none" w:color="auto" w:sz="0" w:space="0"/>
        </w:pBdr>
      </w:pPr>
      <w:r>
        <w:rPr>
          <w:rFonts w:hint="eastAsia" w:ascii="宋体" w:hAnsi="宋体" w:cs="宋体"/>
          <w:b w:val="0"/>
          <w:bCs w:val="0"/>
          <w:highlight w:val="none"/>
          <w:lang w:val="en-US" w:eastAsia="zh-CN"/>
        </w:rPr>
        <w:t xml:space="preserve">6.</w:t>
      </w:r>
      <w:r>
        <w:rPr>
          <w:rFonts w:hint="eastAsia" w:ascii="宋体" w:hAnsi="宋体" w:cs="宋体"/>
          <w:b w:val="0"/>
          <w:bCs w:val="0"/>
          <w:highlight w:val="none"/>
        </w:rPr>
        <w:t xml:space="preserve">招标代理机构（采购代理机构）将数据电文形式的采购文件加载至“苏采云”系统，供潜在供应商下载或者查阅。</w:t>
      </w:r>
      <w:r/>
    </w:p>
    <w:p>
      <w:pPr>
        <w:pageBreakBefore w:val="0"/>
        <w:spacing w:line="300" w:lineRule="auto"/>
        <w:tabs>
          <w:tab w:val="left" w:pos="266" w:leader="none"/>
        </w:tabs>
        <w:rPr>
          <w:rFonts w:hint="eastAsia" w:ascii="宋体" w:hAnsi="宋体" w:cs="宋体"/>
          <w:b w:val="0"/>
          <w:bCs w:val="0"/>
          <w:highlight w:val="none"/>
        </w:rPr>
      </w:pPr>
      <w:r>
        <w:rPr>
          <w:rFonts w:hint="eastAsia" w:ascii="宋体" w:hAnsi="宋体" w:cs="宋体"/>
          <w:b w:val="0"/>
          <w:bCs w:val="0"/>
          <w:highlight w:val="none"/>
          <w:lang w:val="en-US" w:eastAsia="zh-CN"/>
        </w:rPr>
        <w:tab/>
      </w:r>
      <w:r>
        <w:rPr>
          <w:rFonts w:hint="eastAsia" w:ascii="宋体" w:hAnsi="宋体" w:cs="宋体"/>
          <w:b w:val="0"/>
          <w:bCs w:val="0"/>
          <w:highlight w:val="none"/>
          <w:lang w:val="en-US" w:eastAsia="zh-CN"/>
        </w:rPr>
        <w:tab/>
      </w:r>
      <w:r>
        <w:rPr>
          <w:rFonts w:hint="eastAsia" w:ascii="宋体" w:hAnsi="宋体" w:cs="宋体"/>
          <w:b w:val="0"/>
          <w:bCs w:val="0"/>
          <w:highlight w:val="none"/>
          <w:lang w:val="en-US" w:eastAsia="zh-CN"/>
        </w:rPr>
        <w:tab/>
      </w:r>
      <w:r>
        <w:rPr>
          <w:rFonts w:hint="eastAsia" w:ascii="宋体" w:hAnsi="宋体" w:cs="宋体"/>
          <w:b w:val="0"/>
          <w:bCs w:val="0"/>
          <w:highlight w:val="none"/>
          <w:lang w:val="en-US" w:eastAsia="zh-CN"/>
        </w:rPr>
        <w:t xml:space="preserve">  7.</w:t>
      </w:r>
      <w:r>
        <w:rPr>
          <w:rFonts w:hint="eastAsia" w:ascii="宋体" w:hAnsi="宋体" w:cs="宋体"/>
          <w:b w:val="0"/>
          <w:bCs w:val="0"/>
          <w:highlight w:val="none"/>
        </w:rPr>
        <w:t xml:space="preserve">苏采云系统使用谷歌浏览器参与不见面开标。</w:t>
      </w:r>
      <w:r/>
    </w:p>
    <w:p>
      <w:pPr>
        <w:pageBreakBefore w:val="0"/>
        <w:spacing w:line="300" w:lineRule="auto"/>
        <w:tabs>
          <w:tab w:val="left" w:pos="266" w:leader="none"/>
        </w:tabs>
        <w:rPr>
          <w:rFonts w:ascii="宋体" w:hAnsi="宋体" w:cs="宋体"/>
          <w:b/>
          <w:bCs/>
          <w:highlight w:val="none"/>
        </w:rPr>
      </w:pPr>
      <w:r>
        <w:rPr>
          <w:rFonts w:hint="eastAsia" w:ascii="宋体" w:hAnsi="宋体" w:cs="宋体"/>
          <w:b/>
          <w:bCs/>
          <w:highlight w:val="none"/>
        </w:rPr>
        <w:t xml:space="preserve">七、</w:t>
      </w:r>
      <w:bookmarkEnd w:id="33"/>
      <w:r/>
      <w:bookmarkEnd w:id="34"/>
      <w:r/>
      <w:bookmarkEnd w:id="35"/>
      <w:r/>
      <w:bookmarkEnd w:id="36"/>
      <w:r/>
      <w:bookmarkEnd w:id="37"/>
      <w:r>
        <w:rPr>
          <w:rFonts w:hint="eastAsia" w:ascii="宋体" w:hAnsi="宋体" w:cs="宋体"/>
          <w:b/>
          <w:bCs/>
          <w:highlight w:val="none"/>
        </w:rPr>
        <w:t xml:space="preserve">对本次招标提出询问，请按以下方式联系。</w:t>
      </w:r>
      <w:r/>
    </w:p>
    <w:p>
      <w:pPr>
        <w:ind w:firstLine="420"/>
        <w:jc w:val="left"/>
        <w:pageBreakBefore w:val="0"/>
        <w:spacing w:line="300" w:lineRule="auto"/>
        <w:widowControl/>
        <w:rPr>
          <w:rFonts w:ascii="宋体" w:hAnsi="宋体" w:cs="宋体"/>
          <w:szCs w:val="21"/>
          <w:highlight w:val="none"/>
        </w:rPr>
      </w:pPr>
      <w:r>
        <w:rPr>
          <w:rFonts w:hint="eastAsia" w:ascii="宋体" w:hAnsi="宋体" w:cs="宋体"/>
          <w:highlight w:val="none"/>
        </w:rPr>
        <w:t xml:space="preserve">1.采购人信息</w:t>
      </w:r>
      <w:r/>
    </w:p>
    <w:p>
      <w:pPr>
        <w:ind w:firstLine="420"/>
        <w:jc w:val="left"/>
        <w:pageBreakBefore w:val="0"/>
        <w:spacing w:line="300" w:lineRule="auto"/>
        <w:tabs>
          <w:tab w:val="left" w:pos="0" w:leader="none"/>
        </w:tabs>
        <w:rPr>
          <w:rFonts w:hint="eastAsia" w:ascii="宋体" w:hAnsi="宋体" w:cs="宋体"/>
          <w:highlight w:val="none"/>
          <w:u w:val="none"/>
        </w:rPr>
      </w:pPr>
      <w:r/>
      <w:bookmarkStart w:id="38" w:name="_Toc28359009"/>
      <w:r/>
      <w:bookmarkStart w:id="39" w:name="_Toc28359086"/>
      <w:r>
        <w:rPr>
          <w:rFonts w:hint="eastAsia" w:ascii="宋体" w:hAnsi="宋体" w:cs="宋体"/>
          <w:highlight w:val="none"/>
          <w:u w:val="none"/>
        </w:rPr>
        <w:t xml:space="preserve">名称：扬州市妇幼保健院</w:t>
      </w:r>
      <w:r/>
    </w:p>
    <w:p>
      <w:pPr>
        <w:ind w:firstLine="420"/>
        <w:jc w:val="left"/>
        <w:pageBreakBefore w:val="0"/>
        <w:spacing w:line="300" w:lineRule="auto"/>
        <w:tabs>
          <w:tab w:val="left" w:pos="0" w:leader="none"/>
        </w:tabs>
        <w:rPr>
          <w:rFonts w:hint="eastAsia" w:ascii="宋体" w:hAnsi="宋体" w:cs="宋体"/>
          <w:highlight w:val="none"/>
          <w:u w:val="none"/>
        </w:rPr>
      </w:pPr>
      <w:r>
        <w:rPr>
          <w:rFonts w:hint="eastAsia" w:ascii="宋体" w:hAnsi="宋体" w:cs="宋体"/>
          <w:highlight w:val="none"/>
          <w:u w:val="none"/>
        </w:rPr>
        <w:t xml:space="preserve">地址：扬州市广陵区京杭北路50号</w:t>
      </w:r>
      <w:r/>
    </w:p>
    <w:p>
      <w:pPr>
        <w:ind w:firstLine="420"/>
        <w:jc w:val="left"/>
        <w:pageBreakBefore w:val="0"/>
        <w:spacing w:line="300" w:lineRule="auto"/>
        <w:tabs>
          <w:tab w:val="left" w:pos="0" w:leader="none"/>
        </w:tabs>
        <w:rPr>
          <w:rFonts w:hint="eastAsia" w:ascii="宋体" w:hAnsi="宋体" w:cs="宋体"/>
          <w:highlight w:val="none"/>
          <w:u w:val="none"/>
        </w:rPr>
      </w:pPr>
      <w:r>
        <w:rPr>
          <w:rFonts w:hint="eastAsia" w:ascii="宋体" w:hAnsi="宋体" w:cs="宋体"/>
          <w:highlight w:val="none"/>
          <w:u w:val="none"/>
        </w:rPr>
        <w:t xml:space="preserve">联系人：</w:t>
      </w:r>
      <w:r>
        <w:rPr>
          <w:rFonts w:hint="eastAsia" w:ascii="宋体" w:hAnsi="宋体" w:cs="宋体"/>
          <w:highlight w:val="none"/>
          <w:u w:val="none"/>
          <w:lang w:val="en-US" w:eastAsia="zh-CN"/>
        </w:rPr>
        <w:t xml:space="preserve">徐</w:t>
      </w:r>
      <w:r>
        <w:rPr>
          <w:rFonts w:hint="eastAsia" w:ascii="宋体" w:hAnsi="宋体" w:cs="宋体"/>
          <w:highlight w:val="none"/>
          <w:u w:val="none"/>
        </w:rPr>
        <w:t xml:space="preserve">老师 </w:t>
      </w:r>
      <w:r/>
    </w:p>
    <w:p>
      <w:pPr>
        <w:ind w:firstLine="420"/>
        <w:jc w:val="left"/>
        <w:pageBreakBefore w:val="0"/>
        <w:spacing w:line="300" w:lineRule="auto"/>
        <w:tabs>
          <w:tab w:val="left" w:pos="0" w:leader="none"/>
        </w:tabs>
        <w:rPr>
          <w:rFonts w:hint="default" w:ascii="宋体" w:hAnsi="宋体" w:cs="宋体"/>
          <w:highlight w:val="none"/>
          <w:u w:val="none"/>
          <w:lang w:val="en-US" w:eastAsia="zh-CN"/>
        </w:rPr>
      </w:pPr>
      <w:r>
        <w:rPr>
          <w:rFonts w:hint="eastAsia" w:ascii="宋体" w:hAnsi="宋体" w:cs="宋体"/>
          <w:highlight w:val="none"/>
          <w:u w:val="none"/>
        </w:rPr>
        <w:t xml:space="preserve">联系方式：</w:t>
      </w:r>
      <w:r>
        <w:rPr>
          <w:rFonts w:hint="eastAsia" w:ascii="宋体" w:hAnsi="宋体" w:cs="宋体"/>
          <w:highlight w:val="none"/>
          <w:u w:val="none"/>
          <w:lang w:val="en-US" w:eastAsia="zh-CN"/>
        </w:rPr>
        <w:t xml:space="preserve">0514-80828096</w:t>
      </w:r>
      <w:r/>
    </w:p>
    <w:p>
      <w:pPr>
        <w:ind w:firstLine="420"/>
        <w:jc w:val="left"/>
        <w:pageBreakBefore w:val="0"/>
        <w:spacing w:line="300" w:lineRule="auto"/>
        <w:rPr>
          <w:rFonts w:ascii="宋体" w:hAnsi="宋体" w:cs="宋体"/>
          <w:highlight w:val="none"/>
        </w:rPr>
      </w:pPr>
      <w:r>
        <w:rPr>
          <w:rFonts w:hint="eastAsia" w:ascii="宋体" w:hAnsi="宋体" w:cs="宋体"/>
          <w:highlight w:val="none"/>
          <w:lang w:val="en-US" w:eastAsia="zh-CN"/>
        </w:rPr>
        <w:t xml:space="preserve">2.采购</w:t>
      </w:r>
      <w:r>
        <w:rPr>
          <w:rFonts w:hint="eastAsia" w:ascii="宋体" w:hAnsi="宋体" w:cs="宋体"/>
          <w:highlight w:val="none"/>
        </w:rPr>
        <w:t xml:space="preserve">代理机构信息</w:t>
      </w:r>
      <w:bookmarkEnd w:id="38"/>
      <w:r/>
      <w:bookmarkEnd w:id="39"/>
      <w:r/>
      <w:r/>
    </w:p>
    <w:p>
      <w:pPr>
        <w:ind w:firstLine="420"/>
        <w:jc w:val="left"/>
        <w:pageBreakBefore w:val="0"/>
        <w:spacing w:line="300" w:lineRule="auto"/>
        <w:widowControl/>
        <w:rPr>
          <w:rFonts w:hint="eastAsia" w:ascii="宋体" w:hAnsi="宋体" w:cs="宋体"/>
          <w:color w:val="auto"/>
          <w:highlight w:val="none"/>
        </w:rPr>
      </w:pPr>
      <w:r/>
      <w:bookmarkStart w:id="40" w:name="_Toc28359010"/>
      <w:r/>
      <w:bookmarkStart w:id="41" w:name="_Toc28359087"/>
      <w:r>
        <w:rPr>
          <w:rFonts w:hint="eastAsia" w:ascii="宋体" w:hAnsi="宋体" w:cs="宋体"/>
          <w:color w:val="auto"/>
          <w:highlight w:val="none"/>
        </w:rPr>
        <w:t xml:space="preserve">地址：扬州市邗江区文昌西路456号（华城科技广场）2幢703室</w:t>
      </w:r>
      <w:r/>
    </w:p>
    <w:p>
      <w:pPr>
        <w:ind w:firstLine="420"/>
        <w:jc w:val="left"/>
        <w:pageBreakBefore w:val="0"/>
        <w:spacing w:line="300" w:lineRule="auto"/>
        <w:widowControl/>
        <w:rPr>
          <w:rFonts w:hint="eastAsia" w:ascii="宋体" w:hAnsi="宋体" w:eastAsia="宋体" w:cs="宋体"/>
          <w:color w:val="auto"/>
          <w:highlight w:val="none"/>
          <w:lang w:val="en-US" w:eastAsia="zh-CN"/>
        </w:rPr>
      </w:pPr>
      <w:r>
        <w:rPr>
          <w:rFonts w:hint="eastAsia" w:ascii="宋体" w:hAnsi="宋体" w:cs="宋体"/>
          <w:color w:val="auto"/>
          <w:highlight w:val="none"/>
        </w:rPr>
        <w:t xml:space="preserve">联系人：池昊15862877288、谢慧玲、王芳（采购代理机构）025-83200601、18362980687</w:t>
      </w:r>
      <w:r/>
    </w:p>
    <w:p>
      <w:pPr>
        <w:ind w:firstLine="420"/>
        <w:jc w:val="left"/>
        <w:pageBreakBefore w:val="0"/>
        <w:spacing w:line="300" w:lineRule="auto"/>
        <w:widowControl/>
        <w:rPr>
          <w:rFonts w:hint="eastAsia" w:ascii="宋体" w:hAnsi="宋体" w:cs="宋体"/>
          <w:color w:val="auto"/>
          <w:highlight w:val="none"/>
          <w:lang w:eastAsia="zh-CN"/>
        </w:rPr>
      </w:pPr>
      <w:r>
        <w:rPr>
          <w:rFonts w:hint="eastAsia" w:ascii="宋体" w:hAnsi="宋体" w:cs="宋体"/>
          <w:color w:val="auto"/>
          <w:highlight w:val="none"/>
        </w:rPr>
        <w:t xml:space="preserve">联系方式：15862877288</w:t>
      </w:r>
      <w:r/>
    </w:p>
    <w:p>
      <w:pPr>
        <w:pageBreakBefore w:val="0"/>
        <w:spacing w:line="300" w:lineRule="auto"/>
        <w:tabs>
          <w:tab w:val="left" w:pos="266" w:leader="none"/>
        </w:tabs>
        <w:rPr>
          <w:rFonts w:ascii="宋体" w:hAnsi="宋体" w:cs="宋体"/>
          <w:b/>
          <w:bCs/>
          <w:highlight w:val="none"/>
        </w:rPr>
      </w:pPr>
      <w:r>
        <w:rPr>
          <w:rFonts w:hint="eastAsia" w:ascii="宋体" w:hAnsi="宋体" w:cs="宋体"/>
          <w:b/>
          <w:bCs/>
          <w:highlight w:val="none"/>
        </w:rPr>
        <w:t xml:space="preserve">八、为提升政府采购投标人的融资可得性，解决中小企业融资难问题，中国人民银行、市财政局、市公共资源交易中心推出了政府采购线上应收账款融资模式。各投标人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bookmarkEnd w:id="40"/>
      <w:bookmarkEnd w:id="41"/>
      <w:r/>
    </w:p>
    <w:p>
      <w:pPr>
        <w:pageBreakBefore w:val="0"/>
        <w:spacing w:line="300" w:lineRule="auto"/>
        <w:rPr>
          <w:rFonts w:ascii="宋体" w:hAnsi="宋体" w:cs="宋体"/>
          <w:b/>
          <w:bCs/>
          <w:highlight w:val="none"/>
        </w:rPr>
      </w:pPr>
      <w:r>
        <w:rPr>
          <w:rFonts w:hint="eastAsia" w:ascii="宋体" w:hAnsi="宋体" w:cs="宋体"/>
          <w:b/>
          <w:bCs/>
          <w:highlight w:val="none"/>
        </w:rPr>
        <w:t xml:space="preserve">九、其他</w:t>
      </w:r>
      <w:r/>
    </w:p>
    <w:p>
      <w:pPr>
        <w:ind w:firstLine="422"/>
        <w:jc w:val="left"/>
        <w:pageBreakBefore w:val="0"/>
        <w:spacing w:line="300" w:lineRule="auto"/>
        <w:widowControl/>
        <w:rPr>
          <w:rFonts w:hint="eastAsia" w:ascii="宋体" w:hAnsi="宋体"/>
          <w:b w:val="0"/>
          <w:bCs w:val="0"/>
          <w:highlight w:val="none"/>
        </w:rPr>
      </w:pPr>
      <w:r/>
      <w:bookmarkStart w:id="42" w:name="_Toc55204178"/>
      <w:r>
        <w:rPr>
          <w:rFonts w:hint="eastAsia" w:ascii="宋体" w:hAnsi="宋体"/>
          <w:b w:val="0"/>
          <w:bCs w:val="0"/>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jc w:val="left"/>
        <w:pageBreakBefore w:val="0"/>
        <w:spacing w:line="300" w:lineRule="auto"/>
        <w:widowControl/>
        <w:rPr>
          <w:rFonts w:ascii="宋体" w:hAnsi="宋体"/>
          <w:b w:val="0"/>
          <w:bCs w:val="0"/>
          <w:highlight w:val="none"/>
        </w:rPr>
      </w:pPr>
      <w:r>
        <w:rPr>
          <w:rFonts w:hint="eastAsia" w:ascii="宋体" w:hAnsi="宋体"/>
          <w:b w:val="0"/>
          <w:bCs w:val="0"/>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2"/>
        <w:jc w:val="left"/>
        <w:pageBreakBefore w:val="0"/>
        <w:spacing w:line="300" w:lineRule="auto"/>
        <w:widowControl/>
        <w:rPr>
          <w:rFonts w:ascii="宋体" w:hAnsi="宋体" w:cs="宋体"/>
          <w:b w:val="0"/>
          <w:bCs w:val="0"/>
          <w:highlight w:val="none"/>
        </w:rPr>
      </w:pPr>
      <w:r>
        <w:rPr>
          <w:rFonts w:hint="eastAsia" w:ascii="宋体" w:hAnsi="宋体" w:cs="宋体"/>
          <w:b w:val="0"/>
          <w:bCs w:val="0"/>
          <w:highlight w:val="none"/>
        </w:rPr>
        <w:t xml:space="preserve">3.潜在投标人对招标文件项目需求部分的询问、质疑请向采购人提出，由采购人负责答复。</w:t>
      </w:r>
      <w:r/>
    </w:p>
    <w:p>
      <w:pPr>
        <w:ind w:firstLine="420"/>
        <w:pageBreakBefore w:val="0"/>
        <w:spacing w:line="300" w:lineRule="auto"/>
        <w:rPr>
          <w:rFonts w:ascii="宋体" w:hAnsi="宋体" w:cs="宋体"/>
          <w:b w:val="0"/>
          <w:bCs w:val="0"/>
          <w:highlight w:val="none"/>
        </w:rPr>
      </w:pPr>
      <w:r>
        <w:rPr>
          <w:rFonts w:hint="eastAsia" w:ascii="宋体" w:hAnsi="宋体" w:cs="宋体"/>
          <w:b w:val="0"/>
          <w:bCs w:val="0"/>
          <w:szCs w:val="21"/>
          <w:highlight w:val="none"/>
        </w:rPr>
        <w:t xml:space="preserve">4.</w:t>
      </w:r>
      <w:r>
        <w:rPr>
          <w:rFonts w:hint="eastAsia" w:ascii="宋体" w:hAnsi="宋体"/>
          <w:b w:val="0"/>
          <w:bCs w:val="0"/>
          <w:highlight w:val="none"/>
        </w:rPr>
        <w:t xml:space="preserve">本次招标不收取投标保证金。</w:t>
      </w:r>
      <w:r/>
    </w:p>
    <w:p>
      <w:pPr>
        <w:ind w:firstLine="420"/>
        <w:pageBreakBefore w:val="0"/>
        <w:spacing w:line="300" w:lineRule="auto"/>
        <w:rPr>
          <w:rFonts w:ascii="宋体" w:hAnsi="宋体" w:cs="宋体"/>
          <w:b w:val="0"/>
          <w:bCs w:val="0"/>
          <w:highlight w:val="none"/>
        </w:rPr>
      </w:pPr>
      <w:r>
        <w:rPr>
          <w:rFonts w:hint="eastAsia" w:ascii="宋体" w:hAnsi="宋体"/>
          <w:b w:val="0"/>
          <w:bCs w:val="0"/>
          <w:szCs w:val="21"/>
          <w:highlight w:val="none"/>
        </w:rPr>
        <w:t xml:space="preserve">5.</w:t>
      </w:r>
      <w:r>
        <w:rPr>
          <w:rFonts w:hint="eastAsia" w:ascii="宋体" w:hAnsi="宋体" w:cs="宋体"/>
          <w:b w:val="0"/>
          <w:bCs w:val="0"/>
          <w:highlight w:val="none"/>
        </w:rPr>
        <w:t xml:space="preserve">有关本次招标的事项若存在变动或修改，敬请及时关注“扬州市政府采购网”、“江苏省政府采购网”发布的信息。</w:t>
      </w:r>
      <w:r/>
    </w:p>
    <w:p>
      <w:pPr>
        <w:ind w:firstLine="422"/>
        <w:pageBreakBefore w:val="0"/>
        <w:spacing w:line="300" w:lineRule="auto"/>
        <w:rPr>
          <w:rFonts w:ascii="宋体" w:hAnsi="宋体" w:cs="宋体"/>
          <w:b/>
          <w:i/>
          <w:iCs/>
          <w:highlight w:val="none"/>
          <w:u w:val="single"/>
        </w:rPr>
      </w:pPr>
      <w:r>
        <w:rPr>
          <w:rFonts w:hint="eastAsia" w:ascii="宋体" w:hAnsi="宋体" w:cs="宋体"/>
          <w:b/>
          <w:i/>
          <w:iCs/>
          <w:highlight w:val="none"/>
          <w:u w:val="single"/>
        </w:rPr>
        <w:t xml:space="preserve">6.本项目招标文件中所有斜体下划线部分为实质性条款，如不满足，则为无效投标。</w:t>
      </w:r>
      <w:r/>
    </w:p>
    <w:p>
      <w:pPr>
        <w:pStyle w:val="890"/>
        <w:ind w:firstLine="402"/>
        <w:jc w:val="left"/>
        <w:pageBreakBefore w:val="0"/>
        <w:spacing w:line="300" w:lineRule="auto"/>
        <w:shd w:val="clear" w:color="auto" w:fill="ffffff"/>
        <w:widowControl/>
        <w:rPr>
          <w:rFonts w:hint="eastAsia" w:ascii="宋体" w:hAnsi="宋体" w:cs="宋体"/>
          <w:b w:val="0"/>
          <w:bCs w:val="0"/>
          <w:sz w:val="21"/>
          <w:szCs w:val="21"/>
          <w:highlight w:val="none"/>
        </w:rPr>
      </w:pPr>
      <w:r>
        <w:rPr>
          <w:rFonts w:hint="eastAsia" w:ascii="宋体" w:hAnsi="宋体" w:cs="宋体"/>
          <w:b w:val="0"/>
          <w:bCs w:val="0"/>
          <w:sz w:val="21"/>
          <w:szCs w:val="21"/>
          <w:highlight w:val="none"/>
          <w:shd w:val="clear" w:color="auto" w:fill="ffffff"/>
        </w:rPr>
        <w:t xml:space="preserve">7.落实好政府采购履约资金扶持政策。中标/成交投标人可凭政府采购合同办理融资贷款，详见江苏政府采购网“政采贷”专栏。</w:t>
      </w:r>
      <w:r/>
    </w:p>
    <w:p>
      <w:pPr>
        <w:ind w:firstLine="422"/>
        <w:jc w:val="left"/>
        <w:pageBreakBefore w:val="0"/>
        <w:spacing w:line="300" w:lineRule="auto"/>
        <w:shd w:val="clear" w:color="auto" w:fill="ffffff"/>
        <w:widowControl/>
        <w:rPr>
          <w:rFonts w:ascii="宋体" w:hAnsi="宋体" w:cs="宋体"/>
          <w:b w:val="0"/>
          <w:bCs w:val="0"/>
          <w:szCs w:val="21"/>
          <w:highlight w:val="none"/>
        </w:rPr>
      </w:pPr>
      <w:r>
        <w:rPr>
          <w:rFonts w:hint="eastAsia" w:ascii="宋体" w:hAnsi="宋体" w:cs="宋体"/>
          <w:b w:val="0"/>
          <w:bCs w:val="0"/>
          <w:szCs w:val="21"/>
          <w:highlight w:val="none"/>
          <w:shd w:val="clear" w:color="auto" w:fill="ffffff"/>
          <w:lang w:bidi="ar"/>
        </w:rPr>
        <w:t xml:space="preserve">8.投标人对于投标产品的包装应按照“财办库〔2020〕123号《关于印发《商品包装政府采购需求标准（试行）》、《快递包装政府采购需求标准（试行）》的通知》”执行。</w:t>
      </w:r>
      <w:r/>
    </w:p>
    <w:p>
      <w:pPr>
        <w:ind w:firstLine="422"/>
        <w:jc w:val="left"/>
        <w:pageBreakBefore w:val="0"/>
        <w:spacing w:line="300" w:lineRule="auto"/>
        <w:shd w:val="clear" w:color="auto" w:fill="ffffff"/>
        <w:widowControl/>
        <w:rPr>
          <w:rFonts w:hint="eastAsia" w:ascii="宋体" w:hAnsi="宋体" w:cs="宋体"/>
          <w:b w:val="0"/>
          <w:bCs w:val="0"/>
          <w:szCs w:val="21"/>
          <w:highlight w:val="none"/>
          <w:shd w:val="clear" w:color="auto" w:fill="ffffff"/>
          <w:lang w:bidi="ar"/>
        </w:rPr>
      </w:pPr>
      <w:r>
        <w:rPr>
          <w:rFonts w:hint="eastAsia" w:ascii="宋体" w:hAnsi="宋体" w:cs="宋体"/>
          <w:b w:val="0"/>
          <w:bCs w:val="0"/>
          <w:szCs w:val="21"/>
          <w:highlight w:val="none"/>
          <w:shd w:val="clear" w:color="auto" w:fill="ffffff"/>
          <w:lang w:bidi="ar"/>
        </w:rPr>
        <w:t xml:space="preserve">9.严格执行政府采购关于支持</w:t>
      </w:r>
      <w:r>
        <w:rPr>
          <w:rFonts w:hint="eastAsia" w:ascii="宋体" w:hAnsi="宋体" w:cs="宋体"/>
          <w:b w:val="0"/>
          <w:bCs w:val="0"/>
          <w:szCs w:val="21"/>
          <w:highlight w:val="none"/>
          <w:shd w:val="clear" w:color="auto" w:fill="ffffff"/>
          <w:lang w:bidi="ar"/>
        </w:rPr>
        <w:t xml:space="preserve">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jc w:val="left"/>
        <w:pageBreakBefore w:val="0"/>
        <w:spacing w:line="300" w:lineRule="auto"/>
        <w:shd w:val="clear" w:color="auto" w:fill="ffffff"/>
        <w:widowControl/>
        <w:rPr>
          <w:rFonts w:hint="default" w:ascii="宋体" w:hAnsi="宋体" w:eastAsia="宋体" w:cs="宋体"/>
          <w:b w:val="0"/>
          <w:bCs w:val="0"/>
          <w:szCs w:val="21"/>
          <w:highlight w:val="none"/>
          <w:shd w:val="clear" w:color="auto" w:fill="ffffff"/>
          <w:lang w:val="en-US" w:eastAsia="zh-CN" w:bidi="ar"/>
        </w:rPr>
      </w:pPr>
      <w:r>
        <w:rPr>
          <w:rFonts w:hint="eastAsia" w:ascii="宋体" w:hAnsi="宋体" w:cs="宋体"/>
          <w:b w:val="0"/>
          <w:bCs w:val="0"/>
          <w:szCs w:val="21"/>
          <w:highlight w:val="none"/>
          <w:shd w:val="clear" w:color="auto" w:fill="ffffff"/>
          <w:lang w:val="en-US" w:eastAsia="zh-CN" w:bidi="ar"/>
        </w:rPr>
        <w:t xml:space="preserve">10.根据《国务院办公厅关于在政府采购中实施本国产品标准及相关政策的通知》（国办发〔2025〕34号）落实本国产品标准及相关政策。（①标准适用于政府采购货物项目和服务项目中涉及的货物。适用本国产品标准的货物具体是指《政府采</w:t>
      </w:r>
      <w:r>
        <w:rPr>
          <w:rFonts w:hint="eastAsia" w:ascii="宋体" w:hAnsi="宋体" w:cs="宋体"/>
          <w:b w:val="0"/>
          <w:bCs w:val="0"/>
          <w:szCs w:val="21"/>
          <w:highlight w:val="none"/>
          <w:shd w:val="clear" w:color="auto" w:fill="ffffff"/>
          <w:lang w:val="en-US" w:eastAsia="zh-CN" w:bidi="ar"/>
        </w:rPr>
        <w:t xml:space="preserve">购品目分类目录》中的货物类产品，但不包括其中的房屋和构筑物，文物和陈列品，图书和档案，特种动植物，农林牧渔业产品，矿与矿物，电力、城市燃气、蒸汽和热水、水，食品、饮料和烟草原料，无形资产。②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75"/>
        <w:jc w:val="center"/>
        <w:pageBreakBefore w:val="0"/>
        <w:spacing w:line="300" w:lineRule="auto"/>
        <w:rPr>
          <w:rFonts w:hint="eastAsia" w:ascii="宋体" w:hAnsi="宋体"/>
          <w:sz w:val="30"/>
          <w:szCs w:val="30"/>
          <w:highlight w:val="none"/>
        </w:rPr>
      </w:pPr>
      <w:r>
        <w:rPr>
          <w:rFonts w:ascii="宋体" w:hAnsi="宋体"/>
          <w:szCs w:val="36"/>
          <w:highlight w:val="none"/>
        </w:rPr>
        <w:br w:type="page" w:clear="all"/>
      </w:r>
      <w:bookmarkStart w:id="43" w:name="_Toc31546"/>
      <w:r/>
      <w:bookmarkStart w:id="44" w:name="_Toc9673"/>
      <w:r>
        <w:rPr>
          <w:rFonts w:hint="eastAsia" w:ascii="宋体" w:hAnsi="宋体"/>
          <w:sz w:val="30"/>
          <w:szCs w:val="30"/>
          <w:highlight w:val="none"/>
        </w:rPr>
        <w:t xml:space="preserve">第二章 投标人须知</w:t>
      </w:r>
      <w:bookmarkEnd w:id="42"/>
      <w:r/>
      <w:bookmarkEnd w:id="43"/>
      <w:r/>
      <w:bookmarkEnd w:id="44"/>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1、招标方式</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1.1 本次招标采取公开招标方式，本采购文件仅适用于</w:t>
      </w:r>
      <w:r>
        <w:rPr>
          <w:rFonts w:hint="eastAsia" w:ascii="宋体" w:hAnsi="宋体"/>
          <w:bCs/>
          <w:szCs w:val="21"/>
          <w:highlight w:val="none"/>
          <w:lang w:val="en-US" w:eastAsia="zh-CN"/>
        </w:rPr>
        <w:t xml:space="preserve">此</w:t>
      </w:r>
      <w:r>
        <w:rPr>
          <w:rFonts w:hint="eastAsia" w:ascii="宋体" w:hAnsi="宋体"/>
          <w:bCs/>
          <w:szCs w:val="21"/>
          <w:highlight w:val="none"/>
        </w:rPr>
        <w:t xml:space="preserve">项目。</w:t>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2、投标人</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2.1 本采购文件中“投标人”，即“投标人”，是指参加投标竞争，并符合采购文件规定资格条件的法人、其他组织或者自然人。</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2.2合格的投标人</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2.2.1 满足招标公告中投标人的资格条件要求的规定。</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2.2.2 满足本文件实质性条款的规定。</w:t>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3、适用法律</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3.1 本次招标及由此产生的合同受中华人民共和国有关的法律法规制约和保护。</w:t>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4、投标费用</w:t>
      </w:r>
      <w:r/>
    </w:p>
    <w:p>
      <w:pPr>
        <w:ind w:firstLine="420"/>
        <w:pageBreakBefore w:val="0"/>
        <w:spacing w:line="300" w:lineRule="auto"/>
        <w:rPr>
          <w:rFonts w:ascii="宋体" w:hAnsi="宋体"/>
          <w:highlight w:val="none"/>
        </w:rPr>
      </w:pPr>
      <w:r>
        <w:rPr>
          <w:rFonts w:ascii="宋体" w:hAnsi="宋体"/>
          <w:highlight w:val="none"/>
        </w:rPr>
        <w:t xml:space="preserve">4.1 投标人应自行承担所有与参加投标有关的费用，无论投标过程中的做法和结果如何，代理机构在任何情况下均无义务和责任承担这些费用。 </w:t>
      </w:r>
      <w:r/>
    </w:p>
    <w:p>
      <w:pPr>
        <w:ind w:firstLine="420"/>
        <w:pageBreakBefore w:val="0"/>
        <w:spacing w:line="300" w:lineRule="auto"/>
        <w:rPr>
          <w:rFonts w:ascii="宋体" w:hAnsi="宋体"/>
          <w:highlight w:val="none"/>
        </w:rPr>
      </w:pPr>
      <w:r>
        <w:rPr>
          <w:rFonts w:ascii="宋体" w:hAnsi="宋体"/>
          <w:highlight w:val="none"/>
        </w:rPr>
        <w:t xml:space="preserve">4.</w:t>
      </w:r>
      <w:r>
        <w:rPr>
          <w:rFonts w:hint="eastAsia" w:ascii="宋体" w:hAnsi="宋体"/>
          <w:highlight w:val="none"/>
        </w:rPr>
        <w:t xml:space="preserve">2代理服务费：领取中标通知书前，以中标金额为</w:t>
      </w:r>
      <w:r>
        <w:rPr>
          <w:rFonts w:hint="eastAsia" w:ascii="宋体" w:hAnsi="宋体"/>
          <w:highlight w:val="none"/>
          <w:lang w:val="en-US" w:eastAsia="zh-CN"/>
        </w:rPr>
        <w:t xml:space="preserve">计算依据</w:t>
      </w:r>
      <w:r>
        <w:rPr>
          <w:rFonts w:hint="eastAsia" w:ascii="宋体" w:hAnsi="宋体"/>
          <w:highlight w:val="none"/>
        </w:rPr>
        <w:t xml:space="preserve">，中标人按照</w:t>
      </w:r>
      <w:r>
        <w:rPr>
          <w:rFonts w:hint="eastAsia" w:ascii="宋体" w:hAnsi="宋体"/>
          <w:highlight w:val="none"/>
          <w:lang w:eastAsia="zh-CN"/>
        </w:rPr>
        <w:t xml:space="preserve">《</w:t>
      </w:r>
      <w:r>
        <w:rPr>
          <w:rFonts w:hint="eastAsia" w:ascii="宋体" w:hAnsi="宋体"/>
          <w:highlight w:val="none"/>
        </w:rPr>
        <w:t xml:space="preserve">江苏省招标代理服务收费的指导意见》(苏招协</w:t>
      </w:r>
      <w:r>
        <w:rPr>
          <w:rFonts w:hint="eastAsia" w:ascii="宋体" w:hAnsi="宋体"/>
          <w:highlight w:val="none"/>
          <w:lang w:val="en-US" w:eastAsia="zh-CN"/>
        </w:rPr>
        <w:t xml:space="preserve">【2022】002号)</w:t>
      </w:r>
      <w:r>
        <w:rPr>
          <w:rFonts w:hint="eastAsia" w:ascii="宋体" w:hAnsi="宋体"/>
          <w:highlight w:val="none"/>
        </w:rPr>
        <w:t xml:space="preserve">收费指导价标准</w:t>
      </w:r>
      <w:r>
        <w:rPr>
          <w:rFonts w:hint="eastAsia" w:ascii="宋体" w:hAnsi="宋体"/>
          <w:highlight w:val="none"/>
          <w:lang w:val="en-US" w:eastAsia="zh-CN"/>
        </w:rPr>
        <w:t xml:space="preserve">的60%</w:t>
      </w:r>
      <w:r>
        <w:rPr>
          <w:rFonts w:hint="eastAsia" w:ascii="宋体" w:hAnsi="宋体"/>
          <w:highlight w:val="none"/>
        </w:rPr>
        <w:t xml:space="preserve">一次性支付给招标代理机构。</w:t>
      </w:r>
      <w:r>
        <w:rPr>
          <w:rFonts w:ascii="宋体" w:hAnsi="宋体"/>
          <w:highlight w:val="none"/>
        </w:rPr>
        <w:t xml:space="preserve"> </w:t>
      </w:r>
      <w:r/>
    </w:p>
    <w:p>
      <w:pPr>
        <w:ind w:firstLine="420"/>
        <w:pageBreakBefore w:val="0"/>
        <w:spacing w:line="300" w:lineRule="auto"/>
        <w:rPr>
          <w:rFonts w:ascii="宋体" w:hAnsi="宋体"/>
          <w:highlight w:val="none"/>
        </w:rPr>
      </w:pPr>
      <w:r>
        <w:rPr>
          <w:rFonts w:ascii="宋体" w:hAnsi="宋体"/>
          <w:highlight w:val="none"/>
        </w:rPr>
        <w:t xml:space="preserve">（1）代理服务费以人民币支付； </w:t>
      </w:r>
      <w:r/>
    </w:p>
    <w:p>
      <w:pPr>
        <w:ind w:firstLine="420"/>
        <w:pageBreakBefore w:val="0"/>
        <w:spacing w:line="300" w:lineRule="auto"/>
        <w:rPr>
          <w:rFonts w:ascii="宋体" w:hAnsi="宋体"/>
          <w:highlight w:val="none"/>
        </w:rPr>
      </w:pPr>
      <w:r>
        <w:rPr>
          <w:rFonts w:ascii="宋体" w:hAnsi="宋体"/>
          <w:highlight w:val="none"/>
        </w:rPr>
        <w:t xml:space="preserve">（2）代理服务费一次性以电汇、转账等非现金形式支付； </w:t>
      </w:r>
      <w:r/>
    </w:p>
    <w:p>
      <w:pPr>
        <w:ind w:firstLine="420"/>
        <w:pageBreakBefore w:val="0"/>
        <w:spacing w:line="300" w:lineRule="auto"/>
        <w:rPr>
          <w:rFonts w:ascii="宋体" w:hAnsi="宋体"/>
          <w:highlight w:val="none"/>
        </w:rPr>
      </w:pPr>
      <w:r>
        <w:rPr>
          <w:rFonts w:ascii="宋体" w:hAnsi="宋体"/>
          <w:highlight w:val="none"/>
        </w:rPr>
        <w:t xml:space="preserve">（3）招标代理服务费不在投标报价中单列，包含在投标总价中，由中标单位支付给代理机构。 </w:t>
      </w:r>
      <w:r/>
    </w:p>
    <w:p>
      <w:pPr>
        <w:ind w:firstLine="420"/>
        <w:pageBreakBefore w:val="0"/>
        <w:spacing w:line="300" w:lineRule="auto"/>
        <w:rPr>
          <w:rFonts w:hint="eastAsia" w:ascii="宋体" w:hAnsi="宋体"/>
          <w:highlight w:val="none"/>
        </w:rPr>
      </w:pPr>
      <w:r>
        <w:rPr>
          <w:rFonts w:hint="eastAsia" w:ascii="宋体" w:hAnsi="宋体"/>
          <w:highlight w:val="none"/>
        </w:rPr>
        <w:t xml:space="preserve">户名：江苏省招标中心有限公司</w:t>
      </w:r>
      <w:r/>
    </w:p>
    <w:p>
      <w:pPr>
        <w:ind w:firstLine="420"/>
        <w:pageBreakBefore w:val="0"/>
        <w:spacing w:line="300" w:lineRule="auto"/>
        <w:rPr>
          <w:rFonts w:hint="eastAsia" w:ascii="宋体" w:hAnsi="宋体"/>
          <w:highlight w:val="none"/>
        </w:rPr>
      </w:pPr>
      <w:r>
        <w:rPr>
          <w:rFonts w:hint="eastAsia" w:ascii="宋体" w:hAnsi="宋体"/>
          <w:highlight w:val="none"/>
        </w:rPr>
        <w:t xml:space="preserve">开户银行：中信银行江苏路支行</w:t>
      </w:r>
      <w:r/>
    </w:p>
    <w:p>
      <w:pPr>
        <w:ind w:firstLine="420"/>
        <w:pageBreakBefore w:val="0"/>
        <w:spacing w:line="300" w:lineRule="auto"/>
        <w:rPr>
          <w:rFonts w:ascii="宋体" w:hAnsi="宋体"/>
          <w:highlight w:val="none"/>
        </w:rPr>
      </w:pPr>
      <w:r>
        <w:rPr>
          <w:rFonts w:hint="eastAsia" w:ascii="宋体" w:hAnsi="宋体"/>
          <w:highlight w:val="none"/>
        </w:rPr>
        <w:t xml:space="preserve">银行账号：7321810182600023404</w:t>
      </w:r>
      <w:r>
        <w:rPr>
          <w:rFonts w:ascii="宋体" w:hAnsi="宋体"/>
          <w:highlight w:val="none"/>
        </w:rPr>
        <w:t xml:space="preserve"> </w:t>
      </w:r>
      <w:r/>
    </w:p>
    <w:p>
      <w:pPr>
        <w:ind w:firstLine="420"/>
        <w:pageBreakBefore w:val="0"/>
        <w:spacing w:line="300" w:lineRule="auto"/>
        <w:rPr>
          <w:rFonts w:ascii="宋体" w:hAnsi="宋体"/>
          <w:highlight w:val="none"/>
        </w:rPr>
      </w:pPr>
      <w:r>
        <w:rPr>
          <w:rFonts w:ascii="宋体" w:hAnsi="宋体"/>
          <w:highlight w:val="none"/>
        </w:rPr>
        <w:t xml:space="preserve">4.</w:t>
      </w:r>
      <w:r>
        <w:rPr>
          <w:rFonts w:hint="eastAsia" w:ascii="宋体" w:hAnsi="宋体"/>
          <w:highlight w:val="none"/>
        </w:rPr>
        <w:t xml:space="preserve">3</w:t>
      </w:r>
      <w:r>
        <w:rPr>
          <w:rFonts w:ascii="宋体" w:hAnsi="宋体"/>
          <w:highlight w:val="none"/>
        </w:rPr>
        <w:t xml:space="preserve">专家评审费按扬财购【2020】40 号文《关于</w:t>
      </w:r>
      <w:r>
        <w:rPr>
          <w:rFonts w:hint="eastAsia" w:ascii="宋体" w:hAnsi="宋体"/>
          <w:highlight w:val="none"/>
        </w:rPr>
        <w:t xml:space="preserve">进一步</w:t>
      </w:r>
      <w:r>
        <w:rPr>
          <w:rFonts w:ascii="宋体" w:hAnsi="宋体"/>
          <w:highlight w:val="none"/>
        </w:rPr>
        <w:t xml:space="preserve">规范扬州市政府采购专家评审费标准的通知》执行。</w:t>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5、采购文件的约束力</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5.1 投标人一旦参加本项目采购活动，即被认为接受了本采购文件的规定和约束。</w:t>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6、采购文件构成</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6.1 采购文件有以下部分组成：</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（1）招标公告</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（2）投标人须知</w:t>
      </w:r>
      <w:r>
        <w:rPr>
          <w:rFonts w:hint="eastAsia" w:ascii="宋体" w:hAnsi="宋体"/>
          <w:bCs/>
          <w:szCs w:val="21"/>
          <w:highlight w:val="none"/>
        </w:rPr>
        <w:tab/>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（3）合同条款及格式</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（4）项目需求</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（5）评标方法与评标标准</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（6）投标文件格式</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请仔细检查采购文件是否齐全，如有缺漏请立即与代理机构联系解决。</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6.2 招标的最小单位是包。招标服务数量及技术要求中未分包的，投标人对要求提供的服务不得部分投标；招标服务数量及技术要求中已经分包的，应当以包为单位投标。</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6.3 采购文件如果要求投标人提交备选投标方案的，投标人可以提交备选方案；否则，备选方案将被拒绝。</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6.4 投标人应认真阅读采购文件中所有的事项、格式、条款和规范等要求。按采购文件要求和规定编制投标文件，并保证所提供的全部资料的真实性，以使其投标文件对采购文件作出实质性响应，否则其风险由投标人自行承担。</w:t>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7、采购文件的澄清</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7.1 任何要求对采购文件进行澄清的投标人，应在投标截止日期的十日前按招标公告中的通讯地址，以书面形式通知代理机构。</w:t>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8、采购文件的修改</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8.1 在投标截止时间前，代理机构可以对采购文件进行修改。</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8.2代理机构在采购文件要求提交投标文件截止时间前，有权按照法定要求推迟投标截止时间和开标时间。</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8.3采购文件的修改将在“扬州市政府采购网”、“江苏省政府采购网”公布，补充文件将作为采购文件的组成部分，并对投标人具有约束力。</w:t>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9、投标文件的语言、度量衡单位、货币</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9.1投标人提交的投标文件以及投标人与代理机构就有关投标的所有来往通知、函件和文件均应使用简体中文。</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9.2 除技术性能另有规定外，投标文件所使用的度量衡单位，均须采用国家法定计量单位。</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9.3投标人应使用人民币报价。</w:t>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10、投标文件构成</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10.1投标文件由以下部分组成</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（1）资格审查响应对照表</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（2）符合性审查响应对照表</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（3）非实质性响应对照表</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（4）开标一览表 </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（5）分项报价表 </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（6）技术参数响应及偏离表 </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（7）商务条款响应及偏离表 </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（8）其他 （投标人认为有必要提供的声明和文件，如有自拟并自行添加）</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10.2投标人应当根据采购文件要求编制投标文件，投标文件应对采购文件提出的要求和条件作出响应，并在相应的投标文件中逐条标明满足与否。</w:t>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11、证明投标人资格及符合采购文件规定的文件</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11.1投标人应按要求提交资格证明文件及符合采购文件规定的文件。</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11.2投标人应提交证明其有资格参加投标和中标后有能力独立履行合同的文件。</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11.3投标人除必须具有履行合同所需提供的产品或服务的能力外，还必须具备相应的财务、技术方面的能力。</w:t>
      </w:r>
      <w:r/>
    </w:p>
    <w:p>
      <w:pPr>
        <w:pageBreakBefore w:val="0"/>
        <w:spacing w:line="300" w:lineRule="auto"/>
        <w:rPr>
          <w:rFonts w:ascii="宋体" w:hAnsi="宋体"/>
          <w:bCs/>
          <w:szCs w:val="21"/>
          <w:highlight w:val="none"/>
        </w:rPr>
      </w:pPr>
      <w:r>
        <w:rPr>
          <w:rFonts w:hint="eastAsia" w:ascii="宋体" w:hAnsi="宋体"/>
          <w:bCs/>
          <w:szCs w:val="21"/>
          <w:highlight w:val="none"/>
        </w:rPr>
        <w:t xml:space="preserve">    11.4投标人应提交根据合同要求提供的证明服务质量合格以及符合采购文件规定的证明文件。</w:t>
      </w:r>
      <w:r/>
    </w:p>
    <w:p>
      <w:pPr>
        <w:pageBreakBefore w:val="0"/>
        <w:spacing w:line="300" w:lineRule="auto"/>
        <w:rPr>
          <w:rFonts w:hint="eastAsia" w:ascii="宋体" w:hAnsi="宋体"/>
          <w:bCs/>
          <w:szCs w:val="21"/>
          <w:highlight w:val="none"/>
        </w:rPr>
      </w:pPr>
      <w:r>
        <w:rPr>
          <w:rFonts w:hint="eastAsia" w:ascii="宋体" w:hAnsi="宋体"/>
          <w:bCs/>
          <w:szCs w:val="21"/>
          <w:highlight w:val="none"/>
        </w:rPr>
        <w:t xml:space="preserve">    11.5证明投标人所提供货物和服务都符合招标文件要求的文件应该是鉴定书、样本、说明书、图样和资料，并须提供：</w:t>
      </w:r>
      <w:r/>
    </w:p>
    <w:p>
      <w:pPr>
        <w:ind w:firstLine="420"/>
        <w:pageBreakBefore w:val="0"/>
        <w:spacing w:line="300" w:lineRule="auto"/>
        <w:rPr>
          <w:rFonts w:hint="eastAsia" w:ascii="宋体" w:hAnsi="宋体"/>
          <w:bCs/>
          <w:szCs w:val="21"/>
          <w:highlight w:val="none"/>
        </w:rPr>
      </w:pPr>
      <w:r>
        <w:rPr>
          <w:rFonts w:hint="eastAsia" w:ascii="宋体" w:hAnsi="宋体"/>
          <w:bCs/>
          <w:szCs w:val="21"/>
          <w:highlight w:val="none"/>
        </w:rPr>
        <w:t xml:space="preserve">① 货物的主要技术数据和性能的详细描述，服务的履约能力、功能需求实现等应以正式印刷的样本、使用手册、说明书、检测报告、或网上公开发布的数据来证实。 </w:t>
      </w:r>
      <w:r/>
    </w:p>
    <w:p>
      <w:pPr>
        <w:ind w:firstLine="420"/>
        <w:pageBreakBefore w:val="0"/>
        <w:spacing w:line="300" w:lineRule="auto"/>
        <w:rPr>
          <w:rFonts w:hint="eastAsia" w:ascii="宋体" w:hAnsi="宋体"/>
          <w:bCs/>
          <w:szCs w:val="21"/>
          <w:highlight w:val="none"/>
        </w:rPr>
      </w:pPr>
      <w:r>
        <w:rPr>
          <w:rFonts w:hint="eastAsia" w:ascii="宋体" w:hAnsi="宋体"/>
          <w:bCs/>
          <w:szCs w:val="21"/>
          <w:highlight w:val="none"/>
        </w:rPr>
        <w:t xml:space="preserve">② 根据招标文件的技术需求逐条说明货物或服务对技术需求的适合性，如有不符之处，应说明其差别之所在；</w:t>
      </w:r>
      <w:r/>
    </w:p>
    <w:p>
      <w:pPr>
        <w:ind w:firstLine="420"/>
        <w:pageBreakBefore w:val="0"/>
        <w:spacing w:line="300" w:lineRule="auto"/>
        <w:rPr>
          <w:rFonts w:hint="eastAsia" w:ascii="宋体" w:hAnsi="宋体"/>
          <w:bCs/>
          <w:szCs w:val="21"/>
          <w:highlight w:val="none"/>
        </w:rPr>
      </w:pPr>
      <w:r>
        <w:rPr>
          <w:rFonts w:hint="eastAsia" w:ascii="宋体" w:hAnsi="宋体"/>
          <w:bCs/>
          <w:szCs w:val="21"/>
          <w:highlight w:val="none"/>
        </w:rPr>
        <w:t xml:space="preserve">③ 对上述②条的说明，请投标人注意：</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招标文件的技术要求中所提出工艺、材料和货物的标准以及参照的品牌或型号仅起说明作用，并没有任何限制性。投标人可以在投标文件中提出不同的标准、品牌或型号以替代，但应使评标委员会相信这些替代实质上满足或超过招标文件的要求，并且使采购代理机构和采购人满意。采购代理机构和采购人保留拒绝这种替代的权利。</w:t>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12、投标配置与分项报价表</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12.1 投标人应按照采购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12.2 标的物</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采购人需求的服务供应、安装，调试及有关技术服务等。</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12.3有关费用处理</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采购文件中另有规定的除外。</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12.4其它费用处理</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采购文件未列明，而投标人认为必需的费用也需列入报价。</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12.5投标货币</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投标文件中的服务单价和总价无特殊规定的采用人民币报价，以元为单位标注。采购文件中另有规定的按规定执行。</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12.6 投标配置与分项报价表上的价格应按下列方式分开填写：</w:t>
      </w:r>
      <w:r/>
    </w:p>
    <w:p>
      <w:pPr>
        <w:ind w:firstLine="420"/>
        <w:pageBreakBefore w:val="0"/>
        <w:spacing w:line="300" w:lineRule="auto"/>
        <w:rPr>
          <w:rFonts w:ascii="宋体" w:hAnsi="宋体"/>
          <w:bCs/>
          <w:szCs w:val="21"/>
          <w:highlight w:val="none"/>
        </w:rPr>
      </w:pPr>
      <w:r>
        <w:rPr>
          <w:rFonts w:hint="eastAsia" w:ascii="宋体" w:hAnsi="宋体"/>
          <w:bCs/>
          <w:szCs w:val="21"/>
          <w:highlight w:val="none"/>
          <w:lang w:eastAsia="zh-CN"/>
        </w:rPr>
        <w:t xml:space="preserve">（</w:t>
      </w:r>
      <w:r>
        <w:rPr>
          <w:rFonts w:hint="eastAsia" w:ascii="宋体" w:hAnsi="宋体"/>
          <w:bCs/>
          <w:szCs w:val="21"/>
          <w:highlight w:val="none"/>
          <w:lang w:val="en-US" w:eastAsia="zh-CN"/>
        </w:rPr>
        <w:t xml:space="preserve">1</w:t>
      </w:r>
      <w:r>
        <w:rPr>
          <w:rFonts w:hint="eastAsia" w:ascii="宋体" w:hAnsi="宋体"/>
          <w:bCs/>
          <w:szCs w:val="21"/>
          <w:highlight w:val="none"/>
          <w:lang w:eastAsia="zh-CN"/>
        </w:rPr>
        <w:t xml:space="preserve">）</w:t>
      </w:r>
      <w:r>
        <w:rPr>
          <w:rFonts w:hint="eastAsia" w:ascii="宋体" w:hAnsi="宋体"/>
          <w:bCs/>
          <w:szCs w:val="21"/>
          <w:highlight w:val="none"/>
        </w:rPr>
        <w:t xml:space="preserve">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pageBreakBefore w:val="0"/>
        <w:spacing w:line="300" w:lineRule="auto"/>
        <w:rPr>
          <w:rFonts w:ascii="宋体" w:hAnsi="宋体"/>
          <w:bCs/>
          <w:szCs w:val="21"/>
          <w:highlight w:val="none"/>
        </w:rPr>
      </w:pPr>
      <w:r>
        <w:rPr>
          <w:rFonts w:hint="eastAsia" w:ascii="宋体" w:hAnsi="宋体"/>
          <w:bCs/>
          <w:szCs w:val="21"/>
          <w:highlight w:val="none"/>
          <w:lang w:eastAsia="zh-CN"/>
        </w:rPr>
        <w:t xml:space="preserve">（</w:t>
      </w:r>
      <w:r>
        <w:rPr>
          <w:rFonts w:hint="eastAsia" w:ascii="宋体" w:hAnsi="宋体"/>
          <w:bCs/>
          <w:szCs w:val="21"/>
          <w:highlight w:val="none"/>
          <w:lang w:val="en-US" w:eastAsia="zh-CN"/>
        </w:rPr>
        <w:t xml:space="preserve">2</w:t>
      </w:r>
      <w:r>
        <w:rPr>
          <w:rFonts w:hint="eastAsia" w:ascii="宋体" w:hAnsi="宋体"/>
          <w:bCs/>
          <w:szCs w:val="21"/>
          <w:highlight w:val="none"/>
          <w:lang w:eastAsia="zh-CN"/>
        </w:rPr>
        <w:t xml:space="preserve">）</w:t>
      </w:r>
      <w:r>
        <w:rPr>
          <w:rFonts w:hint="eastAsia" w:ascii="宋体" w:hAnsi="宋体"/>
          <w:bCs/>
          <w:szCs w:val="21"/>
          <w:highlight w:val="none"/>
        </w:rPr>
        <w:t xml:space="preserve">项目单价按投标配置及分项报价表中要求填报。</w:t>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13、技术参数响应及偏离表、商务条款响应及偏离表及投标货物说明</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13.1 对采购文件中的技术与商务条款要求逐项作出响应或偏离，并说明原因；</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13.2 提供参加本项目类似案例简介；</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13.3 培训计划；</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13.4 详细阐述所投货物的主要组成部分、功能设计、实现思路及关键技术；</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13.5 投标人认为需要的其他技术文件或说明。</w:t>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14、服务承诺及售后服务机构、人员的情况介绍</w:t>
      </w:r>
      <w:r/>
    </w:p>
    <w:p>
      <w:pPr>
        <w:pageBreakBefore w:val="0"/>
        <w:spacing w:line="300" w:lineRule="auto"/>
        <w:rPr>
          <w:rFonts w:ascii="宋体" w:hAnsi="宋体"/>
          <w:bCs/>
          <w:szCs w:val="21"/>
          <w:highlight w:val="none"/>
        </w:rPr>
      </w:pPr>
      <w:r>
        <w:rPr>
          <w:rFonts w:hint="eastAsia" w:ascii="宋体" w:hAnsi="宋体"/>
          <w:bCs/>
          <w:szCs w:val="21"/>
          <w:highlight w:val="none"/>
        </w:rPr>
        <w:t xml:space="preserve">    14.1投标人的服务承诺应按不低于采购文件中商务要求的标准。</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14.2提供投标人有关售后服务的管理制度、售后服务机构的分布情况、售后服务人员的数量、素质、技术水平及售后服务的反应能力。</w:t>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15、投标函和开标一览表</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15.1 投标人应按照采购文件中提供的格式完整、正确填写投标函、开标一览表。</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15.2 开标一览表中的价格应与投标文件中分项报价表中的价格一致，如不一致，不作为无效投标处理，但评标时按开标一览表中价格为准。</w:t>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16、投标有效期</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16.1 投标有效期为开标之日起九十（90）天。投标有效期比规定短的将被视为非响应性投标而予以拒绝。</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采购文件受投标有效期约束的所有权利与义务均延长至新的有效期。</w:t>
      </w:r>
      <w:r/>
    </w:p>
    <w:p>
      <w:pPr>
        <w:ind w:firstLine="422"/>
        <w:pageBreakBefore w:val="0"/>
        <w:spacing w:line="300" w:lineRule="auto"/>
        <w:rPr>
          <w:rFonts w:ascii="宋体" w:hAnsi="宋体"/>
          <w:b/>
          <w:szCs w:val="21"/>
          <w:highlight w:val="none"/>
        </w:rPr>
      </w:pPr>
      <w:r/>
      <w:bookmarkStart w:id="45" w:name="_Toc462564084"/>
      <w:r/>
      <w:bookmarkStart w:id="46" w:name="_Toc20823297"/>
      <w:r/>
      <w:bookmarkStart w:id="47" w:name="_Toc16938541"/>
      <w:r/>
      <w:bookmarkStart w:id="48" w:name="_Toc513029225"/>
      <w:r>
        <w:rPr>
          <w:rFonts w:hint="eastAsia" w:ascii="宋体" w:hAnsi="宋体"/>
          <w:b/>
          <w:szCs w:val="21"/>
          <w:highlight w:val="none"/>
        </w:rPr>
        <w:t xml:space="preserve">17、投标文件</w:t>
      </w:r>
      <w:bookmarkEnd w:id="45"/>
      <w:r/>
      <w:bookmarkEnd w:id="46"/>
      <w:r/>
      <w:bookmarkEnd w:id="47"/>
      <w:r/>
      <w:bookmarkEnd w:id="48"/>
      <w:r>
        <w:rPr>
          <w:rFonts w:hint="eastAsia" w:ascii="宋体" w:hAnsi="宋体"/>
          <w:b/>
          <w:szCs w:val="21"/>
          <w:highlight w:val="none"/>
        </w:rPr>
        <w:t xml:space="preserve">的递交</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17.1 电子投标文件的递交投标人应当按照《操作手册》规定，在投标截止时间前制作并上传电子投标文件。</w:t>
      </w:r>
      <w:bookmarkStart w:id="49" w:name="_Toc20823298"/>
      <w:r/>
      <w:bookmarkStart w:id="50" w:name="_Toc513029226"/>
      <w:r/>
      <w:bookmarkStart w:id="51" w:name="_Toc16938542"/>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17.2</w:t>
      </w:r>
      <w:r>
        <w:rPr>
          <w:rFonts w:hint="eastAsia" w:ascii="宋体" w:hAnsi="宋体"/>
          <w:b/>
          <w:bCs/>
          <w:szCs w:val="21"/>
          <w:highlight w:val="none"/>
        </w:rPr>
        <w:t xml:space="preserve">政府采购管理交易系统（苏采云）</w:t>
      </w:r>
      <w:r>
        <w:rPr>
          <w:rFonts w:hint="eastAsia" w:ascii="宋体" w:hAnsi="宋体"/>
          <w:b/>
          <w:szCs w:val="21"/>
          <w:highlight w:val="none"/>
        </w:rPr>
        <w:t xml:space="preserve">相关要求是本采购文件的组成部分。</w:t>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17.3投标人应对 CA 证书妥善保管，如被他人盗用投标，因此带来的结果均由投标人自行承担。</w:t>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17.4投标人应当对采购文件提出的要求和条件作出实质性响应，并在电子投标系统逐条应答。</w:t>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17.5投标人应对要求提供的资格证明文件（如资质证书、资格证书）、技术资料（如白皮书、彩页、手册、检测报告等）扫描上传至投标系统。</w:t>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17.6投标人应当在采购文件要求提交投标文件的截止时间前，将投标文件提交至“苏采云”系统，逾期提交的投标文件，“苏采云”系统将自动拒收。</w:t>
      </w:r>
      <w:r/>
    </w:p>
    <w:p>
      <w:pPr>
        <w:ind w:firstLine="422"/>
        <w:pageBreakBefore w:val="0"/>
        <w:spacing w:line="300" w:lineRule="auto"/>
        <w:rPr>
          <w:highlight w:val="none"/>
        </w:rPr>
      </w:pPr>
      <w:r>
        <w:rPr>
          <w:rFonts w:hint="eastAsia" w:ascii="宋体" w:hAnsi="宋体"/>
          <w:b/>
          <w:szCs w:val="21"/>
          <w:highlight w:val="none"/>
        </w:rPr>
        <w:t xml:space="preserve">17.7各投标人应在规定时间内凭CA证书进行网上解密。</w:t>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18、投标截止日期</w:t>
      </w:r>
      <w:bookmarkEnd w:id="49"/>
      <w:r/>
      <w:bookmarkEnd w:id="50"/>
      <w:r/>
      <w:bookmarkEnd w:id="51"/>
      <w:r/>
      <w:r/>
    </w:p>
    <w:p>
      <w:pPr>
        <w:ind w:firstLine="420"/>
        <w:pageBreakBefore w:val="0"/>
        <w:spacing w:line="300" w:lineRule="auto"/>
        <w:rPr>
          <w:rFonts w:ascii="宋体" w:hAnsi="宋体"/>
          <w:b/>
          <w:bCs w:val="0"/>
          <w:i/>
          <w:iCs/>
          <w:szCs w:val="21"/>
          <w:highlight w:val="none"/>
          <w:u w:val="single"/>
        </w:rPr>
      </w:pPr>
      <w:r>
        <w:rPr>
          <w:rFonts w:hint="eastAsia" w:ascii="宋体" w:hAnsi="宋体"/>
          <w:b/>
          <w:bCs w:val="0"/>
          <w:i/>
          <w:iCs/>
          <w:szCs w:val="21"/>
          <w:highlight w:val="none"/>
          <w:u w:val="single"/>
        </w:rPr>
        <w:t xml:space="preserve">18.1 投标人上传电子投标文件的时间不得迟于招标公告中规定的投标截止时间。</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投标人应充分考虑到网络环境、网络带宽等风险因素，如因投标人自身原因造成的电子投标文件上传不成功由投标人自行承担全部责任。</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18.2 代理机构可以按照规定，通过修改采购文件延长投标截止日期，在此情况下，投标人的所有权利和义务以及投标人受制的截止日期均应以延长后新的截止日期为准。</w:t>
      </w:r>
      <w:r/>
    </w:p>
    <w:p>
      <w:pPr>
        <w:ind w:firstLine="422"/>
        <w:pageBreakBefore w:val="0"/>
        <w:spacing w:line="300" w:lineRule="auto"/>
        <w:rPr>
          <w:rFonts w:ascii="宋体" w:hAnsi="宋体"/>
          <w:b/>
          <w:szCs w:val="21"/>
          <w:highlight w:val="none"/>
        </w:rPr>
      </w:pPr>
      <w:r/>
      <w:bookmarkStart w:id="52" w:name="_Toc20823299"/>
      <w:r/>
      <w:bookmarkStart w:id="53" w:name="_Toc513029227"/>
      <w:r/>
      <w:bookmarkStart w:id="54" w:name="_Toc16938543"/>
      <w:r>
        <w:rPr>
          <w:rFonts w:hint="eastAsia" w:ascii="宋体" w:hAnsi="宋体"/>
          <w:b/>
          <w:szCs w:val="21"/>
          <w:highlight w:val="none"/>
        </w:rPr>
        <w:t xml:space="preserve">19、投标文件</w:t>
      </w:r>
      <w:bookmarkEnd w:id="52"/>
      <w:r/>
      <w:bookmarkEnd w:id="53"/>
      <w:r/>
      <w:bookmarkEnd w:id="54"/>
      <w:r>
        <w:rPr>
          <w:rFonts w:hint="eastAsia" w:ascii="宋体" w:hAnsi="宋体"/>
          <w:b/>
          <w:szCs w:val="21"/>
          <w:highlight w:val="none"/>
        </w:rPr>
        <w:t xml:space="preserve">的拒收</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19.1代理机构拒绝接收在其规定的投标截止时间后上传的任何投标文件。</w:t>
      </w:r>
      <w:r/>
    </w:p>
    <w:p>
      <w:pPr>
        <w:ind w:firstLine="422"/>
        <w:pageBreakBefore w:val="0"/>
        <w:spacing w:line="300" w:lineRule="auto"/>
        <w:rPr>
          <w:rFonts w:ascii="宋体" w:hAnsi="宋体"/>
          <w:b/>
          <w:szCs w:val="21"/>
          <w:highlight w:val="none"/>
        </w:rPr>
      </w:pPr>
      <w:r/>
      <w:bookmarkStart w:id="55" w:name="_Toc16938544"/>
      <w:r/>
      <w:bookmarkStart w:id="56" w:name="_Toc20823300"/>
      <w:r/>
      <w:bookmarkStart w:id="57" w:name="_Toc513029228"/>
      <w:r>
        <w:rPr>
          <w:rFonts w:hint="eastAsia" w:ascii="宋体" w:hAnsi="宋体"/>
          <w:b/>
          <w:szCs w:val="21"/>
          <w:highlight w:val="none"/>
        </w:rPr>
        <w:t xml:space="preserve">20、投标文件的撤回和修改</w:t>
      </w:r>
      <w:bookmarkEnd w:id="55"/>
      <w:r/>
      <w:bookmarkEnd w:id="56"/>
      <w:r/>
      <w:bookmarkEnd w:id="57"/>
      <w:r/>
      <w:r/>
    </w:p>
    <w:p>
      <w:pPr>
        <w:ind w:firstLine="420"/>
        <w:keepLines w:val="0"/>
        <w:keepNext w:val="0"/>
        <w:pageBreakBefore w:val="0"/>
        <w:spacing w:line="300" w:lineRule="auto"/>
        <w:widowControl w:val="off"/>
        <w:rPr>
          <w:rFonts w:ascii="宋体" w:hAnsi="宋体"/>
          <w:bCs/>
          <w:szCs w:val="21"/>
          <w:highlight w:val="none"/>
        </w:rPr>
      </w:pPr>
      <w:r>
        <w:rPr>
          <w:rFonts w:hint="eastAsia" w:ascii="宋体" w:hAnsi="宋体"/>
          <w:bCs/>
          <w:szCs w:val="21"/>
          <w:highlight w:val="none"/>
        </w:rPr>
        <w:t xml:space="preserve">20.1 投标文件的撤回</w:t>
      </w:r>
      <w:r/>
    </w:p>
    <w:p>
      <w:pPr>
        <w:ind w:firstLine="420"/>
        <w:keepLines w:val="0"/>
        <w:keepNext w:val="0"/>
        <w:pageBreakBefore w:val="0"/>
        <w:spacing w:line="300" w:lineRule="auto"/>
        <w:widowControl w:val="off"/>
        <w:rPr>
          <w:rFonts w:ascii="宋体" w:hAnsi="宋体"/>
          <w:bCs/>
          <w:szCs w:val="21"/>
          <w:highlight w:val="none"/>
        </w:rPr>
      </w:pPr>
      <w:r>
        <w:rPr>
          <w:rFonts w:hint="eastAsia" w:ascii="宋体" w:hAnsi="宋体"/>
          <w:bCs/>
          <w:szCs w:val="21"/>
          <w:highlight w:val="none"/>
        </w:rPr>
        <w:t xml:space="preserve">20.1.1 电子投标文件的撤回</w:t>
      </w:r>
      <w:r/>
    </w:p>
    <w:p>
      <w:pPr>
        <w:ind w:firstLine="420"/>
        <w:keepLines w:val="0"/>
        <w:keepNext w:val="0"/>
        <w:pageBreakBefore w:val="0"/>
        <w:spacing w:line="300" w:lineRule="auto"/>
        <w:widowControl w:val="off"/>
        <w:rPr>
          <w:rFonts w:ascii="宋体" w:hAnsi="宋体"/>
          <w:bCs/>
          <w:szCs w:val="21"/>
          <w:highlight w:val="none"/>
        </w:rPr>
      </w:pPr>
      <w:r>
        <w:rPr>
          <w:rFonts w:hint="eastAsia" w:ascii="宋体" w:hAnsi="宋体"/>
          <w:bCs/>
          <w:szCs w:val="21"/>
          <w:highlight w:val="none"/>
        </w:rPr>
        <w:t xml:space="preserve">投标人可在投标截止时间前，撤回其电子投标文件，具体操作方法见《操作手册》。</w:t>
      </w:r>
      <w:r/>
    </w:p>
    <w:p>
      <w:pPr>
        <w:ind w:firstLine="420"/>
        <w:keepLines w:val="0"/>
        <w:keepNext w:val="0"/>
        <w:pageBreakBefore w:val="0"/>
        <w:spacing w:line="300" w:lineRule="auto"/>
        <w:widowControl w:val="off"/>
        <w:rPr>
          <w:rFonts w:ascii="宋体" w:hAnsi="宋体"/>
          <w:bCs/>
          <w:szCs w:val="21"/>
          <w:highlight w:val="none"/>
        </w:rPr>
      </w:pPr>
      <w:r>
        <w:rPr>
          <w:rFonts w:hint="eastAsia" w:ascii="宋体" w:hAnsi="宋体"/>
          <w:bCs/>
          <w:szCs w:val="21"/>
          <w:highlight w:val="none"/>
        </w:rPr>
        <w:t xml:space="preserve">20.1.2 投标人撤回电子投标文件，则认为其不再参与本项目投标活动。</w:t>
      </w:r>
      <w:r/>
    </w:p>
    <w:p>
      <w:pPr>
        <w:ind w:firstLine="420"/>
        <w:keepLines w:val="0"/>
        <w:keepNext w:val="0"/>
        <w:pageBreakBefore w:val="0"/>
        <w:spacing w:line="300" w:lineRule="auto"/>
        <w:widowControl w:val="off"/>
        <w:rPr>
          <w:rFonts w:ascii="宋体" w:hAnsi="宋体"/>
          <w:bCs/>
          <w:szCs w:val="21"/>
          <w:highlight w:val="none"/>
        </w:rPr>
      </w:pPr>
      <w:r>
        <w:rPr>
          <w:rFonts w:hint="eastAsia" w:ascii="宋体" w:hAnsi="宋体"/>
          <w:bCs/>
          <w:szCs w:val="21"/>
          <w:highlight w:val="none"/>
        </w:rPr>
        <w:t xml:space="preserve">20.2 投标文件的修改</w:t>
      </w:r>
      <w:r/>
    </w:p>
    <w:p>
      <w:pPr>
        <w:ind w:firstLine="420"/>
        <w:keepLines w:val="0"/>
        <w:keepNext w:val="0"/>
        <w:pageBreakBefore w:val="0"/>
        <w:spacing w:line="300" w:lineRule="auto"/>
        <w:widowControl w:val="off"/>
        <w:rPr>
          <w:rFonts w:ascii="宋体" w:hAnsi="宋体"/>
          <w:bCs/>
          <w:szCs w:val="21"/>
          <w:highlight w:val="none"/>
        </w:rPr>
      </w:pPr>
      <w:r>
        <w:rPr>
          <w:rFonts w:hint="eastAsia" w:ascii="宋体" w:hAnsi="宋体"/>
          <w:bCs/>
          <w:szCs w:val="21"/>
          <w:highlight w:val="none"/>
        </w:rPr>
        <w:t xml:space="preserve">投标人可在投标截止时间前，对其电子投标文件进行修改，具体操作方法见《操作手册》。</w:t>
      </w:r>
      <w:r/>
    </w:p>
    <w:p>
      <w:pPr>
        <w:ind w:firstLine="420"/>
        <w:keepLines w:val="0"/>
        <w:keepNext w:val="0"/>
        <w:pageBreakBefore w:val="0"/>
        <w:spacing w:line="300" w:lineRule="auto"/>
        <w:widowControl w:val="off"/>
        <w:rPr>
          <w:rFonts w:ascii="宋体" w:hAnsi="宋体"/>
          <w:bCs/>
          <w:szCs w:val="21"/>
          <w:highlight w:val="none"/>
        </w:rPr>
      </w:pPr>
      <w:r>
        <w:rPr>
          <w:rFonts w:hint="eastAsia" w:ascii="宋体" w:hAnsi="宋体"/>
          <w:bCs/>
          <w:szCs w:val="21"/>
          <w:highlight w:val="none"/>
        </w:rPr>
        <w:t xml:space="preserve">20.3 在投标截止时间之后，投标人不得对其电子投标文件作任何修改。</w:t>
      </w:r>
      <w:r/>
    </w:p>
    <w:p>
      <w:pPr>
        <w:ind w:firstLine="420"/>
        <w:keepLines w:val="0"/>
        <w:keepNext w:val="0"/>
        <w:pageBreakBefore w:val="0"/>
        <w:spacing w:line="300" w:lineRule="auto"/>
        <w:widowControl w:val="off"/>
        <w:rPr>
          <w:rFonts w:ascii="宋体" w:hAnsi="宋体"/>
          <w:bCs/>
          <w:szCs w:val="21"/>
          <w:highlight w:val="none"/>
        </w:rPr>
      </w:pPr>
      <w:r>
        <w:rPr>
          <w:rFonts w:hint="eastAsia" w:ascii="宋体" w:hAnsi="宋体"/>
          <w:bCs/>
          <w:szCs w:val="21"/>
          <w:highlight w:val="none"/>
        </w:rPr>
        <w:t xml:space="preserve">20.4 在投标截止时间至采购文件中规定的投标有效期满之间的这段时间内，投标人不得撤回其投标。</w:t>
      </w:r>
      <w:r/>
    </w:p>
    <w:p>
      <w:pPr>
        <w:ind w:firstLine="422"/>
        <w:keepLines w:val="0"/>
        <w:keepNext w:val="0"/>
        <w:pageBreakBefore w:val="0"/>
        <w:spacing w:line="300" w:lineRule="auto"/>
        <w:widowControl w:val="off"/>
        <w:rPr>
          <w:rFonts w:ascii="宋体" w:hAnsi="宋体"/>
          <w:b/>
          <w:szCs w:val="21"/>
          <w:highlight w:val="none"/>
        </w:rPr>
      </w:pPr>
      <w:r>
        <w:rPr>
          <w:rFonts w:hint="eastAsia" w:ascii="宋体" w:hAnsi="宋体"/>
          <w:b/>
          <w:szCs w:val="21"/>
          <w:highlight w:val="none"/>
        </w:rPr>
        <w:t xml:space="preserve">21、开标</w:t>
      </w:r>
      <w:r/>
    </w:p>
    <w:p>
      <w:pPr>
        <w:ind w:firstLine="420"/>
        <w:keepLines w:val="0"/>
        <w:keepNext w:val="0"/>
        <w:pageBreakBefore w:val="0"/>
        <w:spacing w:line="300" w:lineRule="auto"/>
        <w:widowControl w:val="off"/>
        <w:rPr>
          <w:rFonts w:ascii="宋体" w:hAnsi="宋体"/>
          <w:bCs/>
          <w:szCs w:val="21"/>
          <w:highlight w:val="none"/>
        </w:rPr>
      </w:pPr>
      <w:r>
        <w:rPr>
          <w:rFonts w:hint="eastAsia" w:ascii="宋体" w:hAnsi="宋体"/>
          <w:bCs/>
          <w:szCs w:val="21"/>
          <w:highlight w:val="none"/>
        </w:rPr>
        <w:t xml:space="preserve">21.1 代理机构将在招标公告中规定的时间和地点组织公开开标。投标人应当按照《操作手册》规定，参加开标活动。投标人未参加开标的，视同认可开标结果。</w:t>
      </w:r>
      <w:r/>
    </w:p>
    <w:p>
      <w:pPr>
        <w:keepLines w:val="0"/>
        <w:keepNext w:val="0"/>
        <w:pageBreakBefore w:val="0"/>
        <w:spacing w:line="300" w:lineRule="auto"/>
        <w:widowControl w:val="off"/>
        <w:rPr>
          <w:rFonts w:ascii="宋体" w:hAnsi="宋体"/>
          <w:bCs/>
          <w:szCs w:val="21"/>
          <w:highlight w:val="none"/>
        </w:rPr>
      </w:pPr>
      <w:r>
        <w:rPr>
          <w:rFonts w:hint="eastAsia" w:ascii="宋体" w:hAnsi="宋体"/>
          <w:bCs/>
          <w:szCs w:val="21"/>
          <w:highlight w:val="none"/>
        </w:rPr>
        <w:t xml:space="preserve">    </w:t>
      </w:r>
      <w:r>
        <w:rPr>
          <w:rFonts w:hint="eastAsia" w:ascii="宋体" w:hAnsi="宋体"/>
          <w:b/>
          <w:szCs w:val="21"/>
          <w:highlight w:val="none"/>
        </w:rPr>
        <w:t xml:space="preserve">21.2开标仪式由代理机构组织。“政府采购管理交易系统（苏采云）”将自动对项目进行开标，并宣读各投标人的《开标一览表》。</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21.3投标人在开标过程中涉及到的投标文件解密、开标结果确认等工作，应按照《操作手册》规定执行。</w:t>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22、评标委员会</w:t>
      </w:r>
      <w:r/>
    </w:p>
    <w:p>
      <w:pPr>
        <w:pageBreakBefore w:val="0"/>
        <w:spacing w:line="300" w:lineRule="auto"/>
        <w:rPr>
          <w:rFonts w:ascii="宋体" w:hAnsi="宋体"/>
          <w:bCs/>
          <w:szCs w:val="21"/>
          <w:highlight w:val="none"/>
        </w:rPr>
      </w:pPr>
      <w:r>
        <w:rPr>
          <w:rFonts w:hint="eastAsia" w:ascii="宋体" w:hAnsi="宋体"/>
          <w:bCs/>
          <w:szCs w:val="21"/>
          <w:highlight w:val="none"/>
        </w:rPr>
        <w:t xml:space="preserve">    22.1 开标后，代理机构将立即组织评标委员会（以下简称评委会）进行评标。</w:t>
      </w:r>
      <w:r/>
    </w:p>
    <w:p>
      <w:pPr>
        <w:pageBreakBefore w:val="0"/>
        <w:spacing w:line="300" w:lineRule="auto"/>
        <w:rPr>
          <w:rFonts w:ascii="宋体" w:hAnsi="宋体"/>
          <w:bCs/>
          <w:szCs w:val="21"/>
          <w:highlight w:val="none"/>
        </w:rPr>
      </w:pPr>
      <w:r>
        <w:rPr>
          <w:rFonts w:hint="eastAsia" w:ascii="宋体" w:hAnsi="宋体"/>
          <w:bCs/>
          <w:szCs w:val="21"/>
          <w:highlight w:val="none"/>
        </w:rPr>
        <w:t xml:space="preserve">    22.2 评委会由采购人代表和有关技术、经济等方面的专家组成，且人员构成符合政府采购有关规定。</w:t>
      </w:r>
      <w:r/>
    </w:p>
    <w:p>
      <w:pPr>
        <w:pageBreakBefore w:val="0"/>
        <w:spacing w:line="300" w:lineRule="auto"/>
        <w:rPr>
          <w:rFonts w:ascii="宋体" w:hAnsi="宋体"/>
          <w:bCs/>
          <w:szCs w:val="21"/>
          <w:highlight w:val="none"/>
        </w:rPr>
      </w:pPr>
      <w:r>
        <w:rPr>
          <w:rFonts w:hint="eastAsia" w:ascii="宋体" w:hAnsi="宋体"/>
          <w:bCs/>
          <w:szCs w:val="21"/>
          <w:highlight w:val="none"/>
        </w:rPr>
        <w:t xml:space="preserve">    22.3评委会独立工作，负责评审所有投标文件并确定中标候选人。</w:t>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23、评标过程的保密与公正</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23.2在评标过程中，投标人不得以任何行为影响评标过程，否则其投标文件将被作为无效投标文件。</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23.3 在评标期间，代理机构将设专门工作人员与投标人联系。</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23.4 代理机构和评委会不向未中标的投标人解释未中标原因，也不公布评标过程中的相关细节。</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24、投标的澄清</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pageBreakBefore w:val="0"/>
        <w:spacing w:line="300" w:lineRule="auto"/>
        <w:rPr>
          <w:rFonts w:ascii="宋体" w:hAnsi="宋体"/>
          <w:bCs/>
          <w:szCs w:val="21"/>
          <w:highlight w:val="none"/>
        </w:rPr>
      </w:pPr>
      <w:r>
        <w:rPr>
          <w:rFonts w:hint="eastAsia" w:ascii="宋体" w:hAnsi="宋体"/>
          <w:bCs/>
          <w:szCs w:val="21"/>
          <w:highlight w:val="none"/>
        </w:rPr>
        <w:t xml:space="preserve">    24.3 接到评委会澄清要求的投标人如未按规定做出澄清，其风险由投标人自行承担。</w:t>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25、对投标文件的初审</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25.1投标文件初审分为资格审查和符合性审查。</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25.1.1资格审查：依据法律法规和采购文件的规定，由采购人对投标文件中的资格证明文件进行审查。并将审查结论以书面形式向评委会反馈。</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采购人在进行资格性审查的同时，将在“信用中国”网站（www.creditchina.gov.cn）、“中国政府采购网"(www.ccgp.gov.cn)对投标人是否被列入失信被执行人、重大税收违法失信主体、政府采购严重失信行为记录名单情况进行查询，以确定投标人是否具备投标资格。查询结果将以网页打印的形式留存并归档。</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若接受联合体投标的项目，两个以上的自然人、法人或者其他组织组成一个联合体，以一个投标人的身份共同参加政府采购活动的,联合体成员存在不良信用记录的，视同联合体存在不良信用记录。</w:t>
      </w:r>
      <w:r/>
    </w:p>
    <w:p>
      <w:pPr>
        <w:ind w:firstLine="420"/>
        <w:pageBreakBefore w:val="0"/>
        <w:spacing w:line="300" w:lineRule="auto"/>
        <w:rPr>
          <w:rFonts w:hint="eastAsia" w:ascii="宋体" w:hAnsi="宋体"/>
          <w:bCs/>
          <w:color w:val="auto"/>
          <w:szCs w:val="21"/>
          <w:highlight w:val="none"/>
        </w:rPr>
      </w:pPr>
      <w:r>
        <w:rPr>
          <w:rFonts w:hint="eastAsia" w:ascii="宋体" w:hAnsi="宋体"/>
          <w:bCs/>
          <w:szCs w:val="21"/>
          <w:highlight w:val="none"/>
        </w:rPr>
        <w:t xml:space="preserve">25.1.2符合性检查：依据采购文件的规定，由评委会从投标文件的有效性、完整性和对采购文</w:t>
      </w:r>
      <w:r>
        <w:rPr>
          <w:rFonts w:hint="eastAsia" w:ascii="宋体" w:hAnsi="宋体"/>
          <w:bCs/>
          <w:color w:val="auto"/>
          <w:szCs w:val="21"/>
          <w:highlight w:val="none"/>
        </w:rPr>
        <w:t xml:space="preserve">件的响应程度进行审查，以确定是否对采购文件的实质性要求作出响应。</w:t>
      </w:r>
      <w:r/>
    </w:p>
    <w:p>
      <w:pPr>
        <w:ind w:firstLine="420"/>
        <w:pageBreakBefore w:val="0"/>
        <w:spacing w:line="300" w:lineRule="auto"/>
        <w:rPr>
          <w:rFonts w:hint="eastAsia" w:ascii="宋体" w:hAnsi="宋体"/>
          <w:bCs/>
          <w:color w:val="auto"/>
          <w:szCs w:val="21"/>
          <w:highlight w:val="none"/>
        </w:rPr>
      </w:pPr>
      <w:r>
        <w:rPr>
          <w:rFonts w:hint="eastAsia" w:ascii="宋体" w:hAnsi="宋体"/>
          <w:bCs/>
          <w:color w:val="auto"/>
          <w:szCs w:val="21"/>
          <w:highlight w:val="none"/>
        </w:rPr>
        <w:t xml:space="preserve">（一）评审中出现下列情形之一的，评审委员会应当启动异常低价投标（响应）审查程序：</w:t>
      </w:r>
      <w:r/>
    </w:p>
    <w:p>
      <w:pPr>
        <w:ind w:firstLine="420"/>
        <w:pageBreakBefore w:val="0"/>
        <w:spacing w:line="300" w:lineRule="auto"/>
        <w:rPr>
          <w:rFonts w:hint="eastAsia" w:ascii="宋体" w:hAnsi="宋体"/>
          <w:bCs/>
          <w:color w:val="auto"/>
          <w:szCs w:val="21"/>
          <w:highlight w:val="none"/>
        </w:rPr>
      </w:pPr>
      <w:r>
        <w:rPr>
          <w:rFonts w:hint="eastAsia" w:ascii="宋体" w:hAnsi="宋体"/>
          <w:bCs/>
          <w:color w:val="auto"/>
          <w:szCs w:val="21"/>
          <w:highlight w:val="none"/>
        </w:rPr>
        <w:t xml:space="preserve">1.投标（响应）报价低于全部通过符合性审查供应商投标（响应）报价平均值</w:t>
      </w:r>
      <w:r>
        <w:rPr>
          <w:rFonts w:hint="eastAsia" w:ascii="宋体" w:hAnsi="宋体"/>
          <w:bCs/>
          <w:color w:val="auto"/>
          <w:szCs w:val="21"/>
          <w:highlight w:val="none"/>
          <w:lang w:val="en-US" w:eastAsia="zh-CN"/>
        </w:rPr>
        <w:t xml:space="preserve">65</w:t>
      </w:r>
      <w:r>
        <w:rPr>
          <w:rFonts w:hint="eastAsia" w:ascii="宋体" w:hAnsi="宋体"/>
          <w:bCs/>
          <w:color w:val="auto"/>
          <w:szCs w:val="21"/>
          <w:highlight w:val="none"/>
        </w:rPr>
        <w:t xml:space="preserve">%的，即投标（响应）报价&lt;全部通过符合性审查供应商投标（响应）报价平均值×</w:t>
      </w:r>
      <w:r>
        <w:rPr>
          <w:rFonts w:hint="eastAsia" w:ascii="宋体" w:hAnsi="宋体"/>
          <w:bCs/>
          <w:color w:val="auto"/>
          <w:szCs w:val="21"/>
          <w:highlight w:val="none"/>
          <w:lang w:val="en-US" w:eastAsia="zh-CN"/>
        </w:rPr>
        <w:t xml:space="preserve">65</w:t>
      </w:r>
      <w:r>
        <w:rPr>
          <w:rFonts w:hint="eastAsia" w:ascii="宋体" w:hAnsi="宋体"/>
          <w:bCs/>
          <w:color w:val="auto"/>
          <w:szCs w:val="21"/>
          <w:highlight w:val="none"/>
        </w:rPr>
        <w:t xml:space="preserve">%；</w:t>
      </w:r>
      <w:r/>
    </w:p>
    <w:p>
      <w:pPr>
        <w:ind w:firstLine="420"/>
        <w:pageBreakBefore w:val="0"/>
        <w:spacing w:line="300" w:lineRule="auto"/>
        <w:rPr>
          <w:rFonts w:hint="eastAsia" w:ascii="宋体" w:hAnsi="宋体"/>
          <w:bCs/>
          <w:color w:val="auto"/>
          <w:szCs w:val="21"/>
          <w:highlight w:val="none"/>
        </w:rPr>
      </w:pPr>
      <w:r>
        <w:rPr>
          <w:rFonts w:hint="eastAsia" w:ascii="宋体" w:hAnsi="宋体"/>
          <w:bCs/>
          <w:color w:val="auto"/>
          <w:szCs w:val="21"/>
          <w:highlight w:val="none"/>
        </w:rPr>
        <w:t xml:space="preserve">2.投标（响应）报价低于通过符合性审查的次低报价供应商投标（响应）报价</w:t>
      </w:r>
      <w:r>
        <w:rPr>
          <w:rFonts w:hint="eastAsia" w:ascii="宋体" w:hAnsi="宋体"/>
          <w:bCs/>
          <w:color w:val="auto"/>
          <w:szCs w:val="21"/>
          <w:highlight w:val="none"/>
          <w:lang w:val="en-US" w:eastAsia="zh-CN"/>
        </w:rPr>
        <w:t xml:space="preserve">65</w:t>
      </w:r>
      <w:r>
        <w:rPr>
          <w:rFonts w:hint="eastAsia" w:ascii="宋体" w:hAnsi="宋体"/>
          <w:bCs/>
          <w:color w:val="auto"/>
          <w:szCs w:val="21"/>
          <w:highlight w:val="none"/>
        </w:rPr>
        <w:t xml:space="preserve">%的，即投标（响应）报价&lt;通过符合性审查的次低报价供应商投标（响应）报价×</w:t>
      </w:r>
      <w:r>
        <w:rPr>
          <w:rFonts w:hint="eastAsia" w:ascii="宋体" w:hAnsi="宋体"/>
          <w:bCs/>
          <w:color w:val="auto"/>
          <w:szCs w:val="21"/>
          <w:highlight w:val="none"/>
          <w:lang w:val="en-US" w:eastAsia="zh-CN"/>
        </w:rPr>
        <w:t xml:space="preserve">65</w:t>
      </w:r>
      <w:r>
        <w:rPr>
          <w:rFonts w:hint="eastAsia" w:ascii="宋体" w:hAnsi="宋体"/>
          <w:bCs/>
          <w:color w:val="auto"/>
          <w:szCs w:val="21"/>
          <w:highlight w:val="none"/>
        </w:rPr>
        <w:t xml:space="preserve">%；</w:t>
      </w:r>
      <w:r/>
    </w:p>
    <w:p>
      <w:pPr>
        <w:ind w:firstLine="420"/>
        <w:pageBreakBefore w:val="0"/>
        <w:spacing w:line="300" w:lineRule="auto"/>
        <w:rPr>
          <w:rFonts w:hint="eastAsia" w:ascii="宋体" w:hAnsi="宋体"/>
          <w:bCs/>
          <w:color w:val="auto"/>
          <w:szCs w:val="21"/>
          <w:highlight w:val="none"/>
        </w:rPr>
      </w:pPr>
      <w:r>
        <w:rPr>
          <w:rFonts w:hint="eastAsia" w:ascii="宋体" w:hAnsi="宋体"/>
          <w:bCs/>
          <w:color w:val="auto"/>
          <w:szCs w:val="21"/>
          <w:highlight w:val="none"/>
        </w:rPr>
        <w:t xml:space="preserve">3.投标（响应）报价低于采购项目最高限价</w:t>
      </w:r>
      <w:r>
        <w:rPr>
          <w:rFonts w:hint="eastAsia" w:ascii="宋体" w:hAnsi="宋体"/>
          <w:bCs/>
          <w:color w:val="auto"/>
          <w:szCs w:val="21"/>
          <w:highlight w:val="none"/>
          <w:lang w:val="en-US" w:eastAsia="zh-CN"/>
        </w:rPr>
        <w:t xml:space="preserve">65</w:t>
      </w:r>
      <w:r>
        <w:rPr>
          <w:rFonts w:hint="eastAsia" w:ascii="宋体" w:hAnsi="宋体"/>
          <w:bCs/>
          <w:color w:val="auto"/>
          <w:szCs w:val="21"/>
          <w:highlight w:val="none"/>
        </w:rPr>
        <w:t xml:space="preserve">%的，即投标（响应）报价&lt;采购项目最高限价×</w:t>
      </w:r>
      <w:r>
        <w:rPr>
          <w:rFonts w:hint="eastAsia" w:ascii="宋体" w:hAnsi="宋体"/>
          <w:bCs/>
          <w:color w:val="auto"/>
          <w:szCs w:val="21"/>
          <w:highlight w:val="none"/>
          <w:lang w:val="en-US" w:eastAsia="zh-CN"/>
        </w:rPr>
        <w:t xml:space="preserve">65</w:t>
      </w:r>
      <w:r>
        <w:rPr>
          <w:rFonts w:hint="eastAsia" w:ascii="宋体" w:hAnsi="宋体"/>
          <w:bCs/>
          <w:color w:val="auto"/>
          <w:szCs w:val="21"/>
          <w:highlight w:val="none"/>
        </w:rPr>
        <w:t xml:space="preserve">%；</w:t>
      </w:r>
      <w:r/>
    </w:p>
    <w:p>
      <w:pPr>
        <w:ind w:firstLine="420"/>
        <w:pageBreakBefore w:val="0"/>
        <w:spacing w:line="300" w:lineRule="auto"/>
        <w:rPr>
          <w:rFonts w:hint="eastAsia" w:ascii="宋体" w:hAnsi="宋体"/>
          <w:bCs/>
          <w:color w:val="auto"/>
          <w:szCs w:val="21"/>
          <w:highlight w:val="none"/>
        </w:rPr>
      </w:pPr>
      <w:r>
        <w:rPr>
          <w:rFonts w:hint="eastAsia" w:ascii="宋体" w:hAnsi="宋体"/>
          <w:bCs/>
          <w:color w:val="auto"/>
          <w:szCs w:val="21"/>
          <w:highlight w:val="none"/>
        </w:rPr>
        <w:t xml:space="preserve">4.评审委员会基于专业判断，认为供应商报价过低，有可能影响产品质量或者不能诚信履约的其他情形。</w:t>
      </w:r>
      <w:r/>
    </w:p>
    <w:p>
      <w:pPr>
        <w:ind w:firstLine="420"/>
        <w:pageBreakBefore w:val="0"/>
        <w:spacing w:line="300" w:lineRule="auto"/>
        <w:rPr>
          <w:rFonts w:hint="eastAsia" w:ascii="宋体" w:hAnsi="宋体"/>
          <w:bCs/>
          <w:color w:val="auto"/>
          <w:szCs w:val="21"/>
          <w:highlight w:val="none"/>
        </w:rPr>
      </w:pPr>
      <w:r>
        <w:rPr>
          <w:rFonts w:hint="eastAsia" w:ascii="宋体" w:hAnsi="宋体"/>
          <w:bCs/>
          <w:color w:val="auto"/>
          <w:szCs w:val="21"/>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pageBreakBefore w:val="0"/>
        <w:spacing w:line="300" w:lineRule="auto"/>
        <w:rPr>
          <w:rFonts w:hint="eastAsia" w:ascii="宋体" w:hAnsi="宋体"/>
          <w:bCs/>
          <w:color w:val="auto"/>
          <w:szCs w:val="21"/>
          <w:highlight w:val="none"/>
        </w:rPr>
      </w:pPr>
      <w:r>
        <w:rPr>
          <w:rFonts w:hint="eastAsia" w:ascii="宋体" w:hAnsi="宋体"/>
          <w:bCs/>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25.2在详细评标之前，评委会将首先审查每份投标文件是否实质性响应了采购文件的要求。实质性响应的投标应该是与采购文件要求的全部条款、条件和规格相符，没有重大偏离或保留的投标。</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所谓重大偏离或保留是指与采购文件规定的实质性要求存在负偏离，或者在实质上与采购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25.3如果投标文件实质上没有响应采购文件的要求，评委会将予以拒绝，投标人不得通过修改或撤销不合要求的偏离或保留而使其投标成为实质性响应的投标。</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25.4评委会将对确定为实质性响应的投标进行进一步审核，看其是否有计算上或累加上的算术错误，修正错误的原则如下：</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（1）投标文件中开标一览表内容与投标文件中相应内容不一致的，以开标一览表为准。</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（2）大写金额与小写金额不一致的，以大写金额为准。</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（3）单价金额小数点或者百分比有明显错位的，以开标一览表的总价为准，并修改单价。</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（4）总价金额与按单价汇总金额不一致的，以单价金额计算结果为准。</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同时出现两种以上错误的，按照前款规定的顺序修正。</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采购文件规定的方式确定，采购文件未规定的通过随机抽取的方式确定一个参加评标的投标人，其他投标无效。</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采购文件规定的方式确定，采购文件未规定的采取随机抽取的方式确定一个中标候选人，其他同品牌投标人不作为中标候选人。</w:t>
      </w:r>
      <w:r/>
    </w:p>
    <w:p>
      <w:pPr>
        <w:ind w:firstLine="420"/>
        <w:spacing w:line="360" w:lineRule="auto"/>
        <w:rPr>
          <w:rFonts w:ascii="宋体" w:hAnsi="宋体"/>
          <w:bCs/>
          <w:szCs w:val="21"/>
          <w:highlight w:val="none"/>
        </w:rPr>
      </w:pPr>
      <w:r>
        <w:rPr>
          <w:rFonts w:hint="eastAsia" w:ascii="宋体" w:hAnsi="宋体"/>
          <w:bCs/>
          <w:szCs w:val="21"/>
          <w:highlight w:val="none"/>
        </w:rPr>
        <w:t xml:space="preserve">非单一产品采购项目，采购文件中将载明其中的核心产品。多家投标人提供的核心产品品牌相同的，按前两款规定处理。</w:t>
      </w:r>
      <w:r>
        <w:rPr>
          <w:rFonts w:hint="eastAsia" w:ascii="宋体" w:hAnsi="宋体"/>
          <w:b/>
          <w:szCs w:val="21"/>
          <w:highlight w:val="none"/>
        </w:rPr>
        <w:t xml:space="preserve">本项目核心产品为：</w:t>
      </w:r>
      <w:r>
        <w:rPr>
          <w:rFonts w:hint="eastAsia" w:ascii="宋体" w:hAnsi="宋体"/>
          <w:b/>
          <w:szCs w:val="21"/>
          <w:highlight w:val="none"/>
          <w:u w:val="single"/>
          <w:lang w:val="en-US" w:eastAsia="zh-CN"/>
        </w:rPr>
        <w:t xml:space="preserve">钢琴</w:t>
      </w:r>
      <w:r>
        <w:rPr>
          <w:rFonts w:hint="eastAsia" w:ascii="宋体" w:hAnsi="宋体"/>
          <w:b/>
          <w:szCs w:val="21"/>
          <w:highlight w:val="none"/>
        </w:rPr>
        <w:t xml:space="preserve">。</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25.8 投标人在开、评标全过程中应保持通讯畅通，并安排专人与代理机构及评委会联系。</w:t>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26、无效投标、废标及投标人不足三家的处理</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26.1无效投标条款</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26.1.1 投标人未成功解密电子投标文件的。</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26.1.2 投标人未按照采购文件要求上传电子投标文件的。</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26.1.3投标人在报价时采用选择性报价的。</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26.1.4投标人不具备采购文件中规定资格要求的。</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26.1.5投标人的报价超过了采购预算或最高限价的。</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26.1.6未通过符合性审查的。</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26.1.7不符合采购文件中规定的其他实质性要求和条件的（</w:t>
      </w:r>
      <w:r>
        <w:rPr>
          <w:rFonts w:hint="eastAsia" w:ascii="宋体" w:hAnsi="宋体"/>
          <w:b/>
          <w:bCs w:val="0"/>
          <w:i/>
          <w:iCs/>
          <w:szCs w:val="21"/>
          <w:highlight w:val="none"/>
          <w:u w:val="single"/>
        </w:rPr>
        <w:t xml:space="preserve">本采购文件中斜体且有下划线部分为实质性要求和条件</w:t>
      </w:r>
      <w:r>
        <w:rPr>
          <w:rFonts w:hint="eastAsia" w:ascii="宋体" w:hAnsi="宋体"/>
          <w:bCs/>
          <w:szCs w:val="21"/>
          <w:highlight w:val="none"/>
        </w:rPr>
        <w:t xml:space="preserve">）。</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26.1.8 投标人被 “信用中国”网站（www.creditchina.gov.cn）、“中国政府采购网"(www.ccgp.gov.cn)列入失信被执行人或重大税收违法失信主体或政府采购严重失信行为记录名单。若接受联合体的项目，两个以上的自然人、法人或者其他组织组成一个联合体，以一个投标人的身份共同参加政府采购活动的，联合体成员存在不良信用记录的，视同联合体存在不良应用记录。</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26.1.9  投标文件含有采购人不能接受的附加条件的。</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26.1.11 投标文件未按照采购文件要求加盖电子签章。</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26.1.12 其他法律、法规及本采购文件规定的属无效投标的情形。</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26.2废标条款：</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26.2.1符合专业条件的投标人或者对采购文件作实质响应的投标人不足三家的。26.2.2出现影响采购公正的违法、违规行为的。</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26.2.3因重大变故，采购任务取消的。</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26.2.4评委会认定采购文件存在歧义、重大缺陷导致评审工作无法进行。</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26.3 投标截止时间结束后参加投标的投标人不足三家的处理：</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26.3.1如出现投标截止时间结束后参加投标的投标人或者在评标期间对采购文件做出实质性响应的投标人不足三家情况，按政府采购相关规定执行。</w:t>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27、确定中标单位</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27.1评委会根据本采购文件规定评标方法与评标标准向采购人推荐出中标候选人。</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27.2 采购人应根据评委会推荐的中标候选人确定中标人。</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27.3代理机构将在“扬州市政府采购网”、“江苏省政府采购网”发布中标公告，公告期限为1个工作日。</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27.4若有充分证据证明，中标人出现下列情况之一的，一经查实，将被取消中标资格：</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27.4.1提供虚假材料谋取中标的；</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27.4.2向采购人、代理机构行贿或者提供其他不正当利益的；</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27.4.3恶意竞争，投标总报价明显低于其自身合理成本且又无法提供证明的；</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27.4.4属于本文件规定的无效条件，但在评标过程中又未被评委会发现的；</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27.4.5与采购人或者其他投标人恶意串通的；</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27.4.6采取不正当手段诋毁、排挤其他投标人的；</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27.4.7不符合法律、法规的规定的。</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27.5. 有下列情形之一的，视为投标人串通投标，投标无效：</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27.5.1不同投标人的投标文件由同一单位或者个人编制。</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27.5.2不同投标人委托同一单位或者个人办理投标事宜。</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27.5.3 不同投标人的投标文件载明的项目管理成员或者联系人员为同一人。</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27.5.4不同投标人的投标文件异常一致或者投标报价呈规律性差异。</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27.5.5不同投标人的投标文件相互混装。</w:t>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28、质疑处理</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28.1提出质疑的投标人应当是参与所质疑项目采购活动的投标人。潜在投标人依法获取其可质疑的采购文件的，可以对采购文件提出质疑。</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对项目需求部分的质疑，潜在投标人应向采购人提出，由采购人负责答复。</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jc w:val="left"/>
        <w:pageBreakBefore w:val="0"/>
        <w:spacing w:line="300" w:lineRule="auto"/>
        <w:rPr>
          <w:rFonts w:ascii="宋体" w:hAnsi="宋体"/>
          <w:bCs/>
          <w:szCs w:val="21"/>
          <w:highlight w:val="none"/>
        </w:rPr>
      </w:pPr>
      <w:r>
        <w:rPr>
          <w:rFonts w:hint="eastAsia" w:ascii="宋体" w:hAnsi="宋体"/>
          <w:bCs/>
          <w:szCs w:val="21"/>
          <w:highlight w:val="none"/>
        </w:rPr>
        <w:t xml:space="preserve">28.2.1对采购文件提出质疑的，应当在获取采购文件之日或者采购文件公告期限届满之日起7个工作日内提出。</w:t>
      </w:r>
      <w:r>
        <w:rPr>
          <w:rFonts w:hint="eastAsia" w:ascii="宋体" w:hAnsi="宋体"/>
          <w:bCs/>
          <w:szCs w:val="21"/>
          <w:highlight w:val="none"/>
        </w:rPr>
        <w:br w:type="textWrapping" w:clear="all"/>
      </w:r>
      <w:r>
        <w:rPr>
          <w:rFonts w:hint="eastAsia" w:ascii="宋体" w:hAnsi="宋体"/>
          <w:bCs/>
          <w:szCs w:val="21"/>
          <w:highlight w:val="none"/>
        </w:rPr>
        <w:t xml:space="preserve">    28.2.2对采购过程提出质疑的，为各采购程序环节结束之日起7个工作日内提出。</w:t>
      </w:r>
      <w:r>
        <w:rPr>
          <w:rFonts w:hint="eastAsia" w:ascii="宋体" w:hAnsi="宋体"/>
          <w:bCs/>
          <w:szCs w:val="21"/>
          <w:highlight w:val="none"/>
        </w:rPr>
        <w:br w:type="textWrapping" w:clear="all"/>
      </w:r>
      <w:r>
        <w:rPr>
          <w:rFonts w:hint="eastAsia" w:ascii="宋体" w:hAnsi="宋体"/>
          <w:bCs/>
          <w:szCs w:val="21"/>
          <w:highlight w:val="none"/>
        </w:rPr>
        <w:t xml:space="preserve">    28.2.3对中标结果提出质疑的，为中标结果公告期限届满之日起7个工作日内提出。</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28.3投标人应在法定质疑期内一次性提出针对同一采购程序环节的质疑。投标人如在法定期限内对同一采购程序环节提出多次质疑的，代理机构、采购人将只对投标人第一次质疑作出答复。</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28.4质疑函必须按照《质疑函范本》及《授权委托书》要求的格式和内容进行填写，格式见网址：http://zfcg.yangzhou.gov.cn。投标人如组成联合体参加投标，则《质疑函范本》及《授权委托书》中要求签字、盖章、加盖公章之处，联合体各方均须按要求签字、盖章、加盖公章。</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28.5 代理机构及采购人只接收以纸质原件形式送达的质疑。</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采购人质疑接收人及联系方式见采购文件第一章。</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28.6代理机构收到质疑申请后，将对质疑的形式和内容进行审查，如质疑内容、格式不符合规定，代理机构将告知质疑人进行补正。</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28.7质疑人应当在法定质疑期限内进行补正并重新提交质疑函。</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28.8 以下情形的质疑不予受理</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28.8.1 内容不符合《政府采购质疑和投诉办法》第十二条规定的质疑。</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28.8.2 超出政府采购法定期限的质疑。</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28.8.3 以传真、电子邮件等方式递交的非原件形式的质疑。</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28.8.4 未参加投标活动的投标人或在投标活动中自身权益未受到损害的投标人所提出的质疑。</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28.8.5投标人组成联合体参加投标，联合体中任何一方或多方未按要求签字、盖章、加盖公章的质疑。</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28.9 投标人提出书面质疑必须有理、有据，不得捏造事实、提供虚假材料进行恶意质疑。否则，一经查实，代理机构有权依据政府采购的有关规定，报请政府采购监管部门对该投标人进行相应的行政处罚和记录该投标人的失信信息。 </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28.10代理机构应当在收到投标人的书面质疑后7个工作日内作出答复，并以书面形式通知质疑投标人和其他有关投标人，但答复的内容不得涉及商业秘密。</w:t>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29、中标通知书</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29.l 中标结果确定后，代理机构将向中标人发出中标通知书。</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29.2 中标人可在“政府采购管理交易系统（苏采云）”中标通知书下载模块中自行下载中标通知书。</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30、 签订合同</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30.l中标人应在中标通知书发出之日起十五日内，按照采购文件确定的事项与采购人签订政府采购合同。</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30.2 采购文件、中标人的投标文件及招标过程中有关澄清、承诺文件均应作为合同附件。</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30.3 合同在“政府采购管理交易系统（苏采云）”中签订，签订合同后，</w:t>
      </w:r>
      <w:r>
        <w:rPr>
          <w:rFonts w:hint="eastAsia" w:ascii="宋体" w:hAnsi="宋体"/>
          <w:b/>
          <w:bCs w:val="0"/>
          <w:i/>
          <w:iCs/>
          <w:szCs w:val="21"/>
          <w:highlight w:val="none"/>
          <w:u w:val="single"/>
        </w:rPr>
        <w:t xml:space="preserve">中标人不得将货物或服务及其他服务进行转包</w:t>
      </w:r>
      <w:r>
        <w:rPr>
          <w:rFonts w:hint="eastAsia" w:ascii="宋体" w:hAnsi="宋体"/>
          <w:bCs/>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30.4采购人不得向中标人提出任何不合理的要求作为签订合同的条件，不得与中标人私下订立背离合同实质性内容的协议。所签订的合同不得对采购文件确定事项和中标人投标文件作实质性修改。</w:t>
      </w:r>
      <w:r/>
    </w:p>
    <w:p>
      <w:pPr>
        <w:ind w:firstLine="422"/>
        <w:pageBreakBefore w:val="0"/>
        <w:spacing w:line="300" w:lineRule="auto"/>
        <w:rPr>
          <w:rFonts w:ascii="宋体" w:hAnsi="宋体"/>
          <w:b w:val="0"/>
          <w:bCs/>
          <w:szCs w:val="21"/>
          <w:highlight w:val="none"/>
        </w:rPr>
      </w:pPr>
      <w:r>
        <w:rPr>
          <w:rFonts w:hint="eastAsia" w:ascii="宋体" w:hAnsi="宋体"/>
          <w:b w:val="0"/>
          <w:bCs/>
          <w:szCs w:val="21"/>
          <w:highlight w:val="none"/>
        </w:rPr>
        <w:t xml:space="preserve">31、电子投标文件要求</w:t>
      </w:r>
      <w:r/>
    </w:p>
    <w:p>
      <w:pPr>
        <w:ind w:firstLine="422"/>
        <w:pageBreakBefore w:val="0"/>
        <w:spacing w:line="300" w:lineRule="auto"/>
        <w:rPr>
          <w:rFonts w:ascii="宋体" w:hAnsi="宋体"/>
          <w:b w:val="0"/>
          <w:bCs/>
          <w:szCs w:val="21"/>
          <w:highlight w:val="none"/>
        </w:rPr>
      </w:pPr>
      <w:r>
        <w:rPr>
          <w:rFonts w:hint="eastAsia" w:ascii="宋体" w:hAnsi="宋体"/>
          <w:b w:val="0"/>
          <w:bCs/>
          <w:szCs w:val="21"/>
          <w:highlight w:val="none"/>
        </w:rPr>
        <w:t xml:space="preserve">31.1政府采购管理交易系统（苏采云）相关要求是本采购文件的组成部分。</w:t>
      </w:r>
      <w:r/>
    </w:p>
    <w:p>
      <w:pPr>
        <w:ind w:firstLine="422"/>
        <w:pageBreakBefore w:val="0"/>
        <w:spacing w:line="300" w:lineRule="auto"/>
        <w:rPr>
          <w:rFonts w:ascii="宋体" w:hAnsi="宋体"/>
          <w:b w:val="0"/>
          <w:bCs/>
          <w:szCs w:val="21"/>
          <w:highlight w:val="none"/>
        </w:rPr>
      </w:pPr>
      <w:r>
        <w:rPr>
          <w:rFonts w:hint="eastAsia" w:ascii="宋体" w:hAnsi="宋体"/>
          <w:b w:val="0"/>
          <w:bCs/>
          <w:szCs w:val="21"/>
          <w:highlight w:val="none"/>
        </w:rPr>
        <w:t xml:space="preserve">31.2投标人应对 CA 证书妥善保管，如被他人盗用投标，因此带来的结果均由投标人自行承担。</w:t>
      </w:r>
      <w:r/>
    </w:p>
    <w:p>
      <w:pPr>
        <w:ind w:firstLine="422"/>
        <w:pageBreakBefore w:val="0"/>
        <w:spacing w:line="300" w:lineRule="auto"/>
        <w:rPr>
          <w:rFonts w:ascii="宋体" w:hAnsi="宋体"/>
          <w:b w:val="0"/>
          <w:bCs/>
          <w:szCs w:val="21"/>
          <w:highlight w:val="none"/>
        </w:rPr>
      </w:pPr>
      <w:r>
        <w:rPr>
          <w:rFonts w:hint="eastAsia" w:ascii="宋体" w:hAnsi="宋体"/>
          <w:b w:val="0"/>
          <w:bCs/>
          <w:szCs w:val="21"/>
          <w:highlight w:val="none"/>
        </w:rPr>
        <w:t xml:space="preserve">31.3投标人应当对采购文件提出的要求和条件作出实质性响应，并在电子投标系统逐条应答。</w:t>
      </w:r>
      <w:r/>
    </w:p>
    <w:p>
      <w:pPr>
        <w:ind w:firstLine="422"/>
        <w:pageBreakBefore w:val="0"/>
        <w:spacing w:line="300" w:lineRule="auto"/>
        <w:rPr>
          <w:rFonts w:ascii="宋体" w:hAnsi="宋体"/>
          <w:b w:val="0"/>
          <w:bCs/>
          <w:szCs w:val="21"/>
          <w:highlight w:val="none"/>
        </w:rPr>
      </w:pPr>
      <w:r>
        <w:rPr>
          <w:rFonts w:hint="eastAsia" w:ascii="宋体" w:hAnsi="宋体"/>
          <w:b w:val="0"/>
          <w:bCs/>
          <w:szCs w:val="21"/>
          <w:highlight w:val="none"/>
        </w:rPr>
        <w:t xml:space="preserve">31.4投标人应对要求提供的资格证明文件（如资质证书、资格证书）、技术资料（如白皮书、彩页、手册、检测报告等）扫描上传至投标系统。</w:t>
      </w:r>
      <w:r/>
    </w:p>
    <w:p>
      <w:pPr>
        <w:numPr>
          <w:ilvl w:val="0"/>
          <w:numId w:val="1"/>
        </w:numPr>
        <w:ind w:firstLine="422"/>
        <w:pageBreakBefore w:val="0"/>
        <w:spacing w:line="300" w:lineRule="auto"/>
        <w:rPr>
          <w:rFonts w:ascii="宋体" w:hAnsi="宋体"/>
          <w:b w:val="0"/>
          <w:bCs/>
          <w:szCs w:val="21"/>
          <w:highlight w:val="none"/>
        </w:rPr>
      </w:pPr>
      <w:r>
        <w:rPr>
          <w:rFonts w:hint="eastAsia" w:ascii="宋体" w:hAnsi="宋体"/>
          <w:b w:val="0"/>
          <w:bCs/>
          <w:szCs w:val="21"/>
          <w:highlight w:val="none"/>
        </w:rPr>
        <w:t xml:space="preserve">提交投标文件的截止时间（投标截止时间）</w:t>
      </w:r>
      <w:r/>
    </w:p>
    <w:p>
      <w:pPr>
        <w:ind w:firstLine="422"/>
        <w:pageBreakBefore w:val="0"/>
        <w:spacing w:line="300" w:lineRule="auto"/>
        <w:rPr>
          <w:rFonts w:ascii="宋体" w:hAnsi="宋体"/>
          <w:b w:val="0"/>
          <w:bCs/>
          <w:szCs w:val="21"/>
          <w:highlight w:val="none"/>
        </w:rPr>
      </w:pPr>
      <w:r>
        <w:rPr>
          <w:rFonts w:hint="eastAsia" w:ascii="宋体" w:hAnsi="宋体"/>
          <w:b w:val="0"/>
          <w:bCs/>
          <w:szCs w:val="21"/>
          <w:highlight w:val="none"/>
        </w:rPr>
        <w:t xml:space="preserve">32.1投标人应当在采购文件要求提交投标文件的截止时间前，将投标文件提交至“苏采云”系统，逾期提交的投标文件，“苏采云”系统将自动拒收。</w:t>
      </w:r>
      <w:r/>
    </w:p>
    <w:p>
      <w:pPr>
        <w:ind w:firstLine="422"/>
        <w:pageBreakBefore w:val="0"/>
        <w:spacing w:line="300" w:lineRule="auto"/>
        <w:rPr>
          <w:b w:val="0"/>
          <w:bCs/>
          <w:highlight w:val="none"/>
        </w:rPr>
      </w:pPr>
      <w:r>
        <w:rPr>
          <w:rFonts w:hint="eastAsia" w:ascii="宋体" w:hAnsi="宋体"/>
          <w:b w:val="0"/>
          <w:bCs/>
          <w:szCs w:val="21"/>
          <w:highlight w:val="none"/>
        </w:rPr>
        <w:t xml:space="preserve">32.2各投标人应在规定时间内凭CA证书进行网上解密。</w:t>
      </w:r>
      <w:r/>
    </w:p>
    <w:p>
      <w:pPr>
        <w:ind w:firstLine="422"/>
        <w:jc w:val="left"/>
        <w:pageBreakBefore w:val="0"/>
        <w:spacing w:line="300" w:lineRule="auto"/>
        <w:rPr>
          <w:rFonts w:ascii="宋体" w:hAnsi="宋体"/>
          <w:bCs/>
          <w:szCs w:val="21"/>
          <w:highlight w:val="none"/>
        </w:rPr>
      </w:pPr>
      <w:r>
        <w:rPr>
          <w:rFonts w:hint="eastAsia" w:ascii="宋体" w:hAnsi="宋体"/>
          <w:b w:val="0"/>
          <w:bCs/>
          <w:szCs w:val="21"/>
          <w:highlight w:val="none"/>
        </w:rPr>
        <w:t xml:space="preserve">33、其他</w:t>
      </w:r>
      <w:r>
        <w:rPr>
          <w:b w:val="0"/>
          <w:bCs/>
          <w:highlight w:val="none"/>
        </w:rPr>
        <w:br w:type="textWrapping" w:clear="all"/>
      </w:r>
      <w:r>
        <w:rPr>
          <w:b w:val="0"/>
          <w:bCs/>
          <w:highlight w:val="none"/>
        </w:rPr>
        <w:t xml:space="preserve"> </w:t>
      </w:r>
      <w:r>
        <w:rPr>
          <w:rFonts w:hint="eastAsia" w:ascii="宋体" w:hAnsi="宋体"/>
          <w:b w:val="0"/>
          <w:bCs/>
          <w:szCs w:val="21"/>
          <w:highlight w:val="none"/>
        </w:rPr>
        <w:t xml:space="preserve">   33.1 </w:t>
      </w:r>
      <w:r>
        <w:rPr>
          <w:rFonts w:hint="eastAsia"/>
          <w:b w:val="0"/>
          <w:bCs/>
          <w:highlight w:val="none"/>
        </w:rPr>
        <w:t xml:space="preserve">依据《政府采购促进中小企业发展管理办法》享受享受扶持政策获得政府采购合同的，小微企业不得将合同分包给大中型企</w:t>
      </w:r>
      <w:r>
        <w:rPr>
          <w:rFonts w:hint="eastAsia"/>
          <w:highlight w:val="none"/>
        </w:rPr>
        <w:t xml:space="preserve">业，中型企业不得将合同分包给大型企业。</w:t>
      </w:r>
      <w:r/>
    </w:p>
    <w:p>
      <w:pPr>
        <w:pageBreakBefore w:val="0"/>
        <w:spacing w:line="300" w:lineRule="auto"/>
        <w:rPr>
          <w:rFonts w:ascii="宋体" w:hAnsi="宋体"/>
          <w:bCs/>
          <w:szCs w:val="21"/>
          <w:highlight w:val="none"/>
        </w:rPr>
      </w:pPr>
      <w:r>
        <w:rPr>
          <w:rFonts w:ascii="宋体" w:hAnsi="宋体"/>
          <w:bCs/>
          <w:szCs w:val="21"/>
          <w:highlight w:val="none"/>
        </w:rPr>
      </w:r>
      <w:r/>
    </w:p>
    <w:p>
      <w:pPr>
        <w:pStyle w:val="875"/>
        <w:jc w:val="center"/>
        <w:pageBreakBefore w:val="0"/>
        <w:spacing w:line="300" w:lineRule="auto"/>
        <w:rPr>
          <w:rFonts w:hint="eastAsia" w:ascii="宋体" w:hAnsi="宋体"/>
          <w:sz w:val="30"/>
          <w:szCs w:val="30"/>
          <w:highlight w:val="none"/>
        </w:rPr>
      </w:pPr>
      <w:r/>
      <w:bookmarkStart w:id="58" w:name="_Toc55204179"/>
      <w:r/>
      <w:bookmarkStart w:id="59" w:name="_Hlk69392822"/>
      <w:r>
        <w:rPr>
          <w:rFonts w:hint="eastAsia" w:ascii="宋体" w:hAnsi="宋体"/>
          <w:szCs w:val="36"/>
          <w:highlight w:val="none"/>
        </w:rPr>
        <w:br w:type="page" w:clear="all"/>
      </w:r>
      <w:bookmarkStart w:id="60" w:name="_Toc20555"/>
      <w:r/>
      <w:bookmarkStart w:id="61" w:name="_Toc16478"/>
      <w:r>
        <w:rPr>
          <w:rFonts w:hint="eastAsia" w:ascii="宋体" w:hAnsi="宋体"/>
          <w:sz w:val="30"/>
          <w:szCs w:val="30"/>
          <w:highlight w:val="none"/>
        </w:rPr>
        <w:t xml:space="preserve">第三章 合同条款及格式</w:t>
      </w:r>
      <w:bookmarkEnd w:id="58"/>
      <w:r/>
      <w:bookmarkEnd w:id="60"/>
      <w:r/>
      <w:bookmarkEnd w:id="61"/>
      <w:r/>
      <w:r/>
    </w:p>
    <w:p>
      <w:pPr>
        <w:ind w:firstLine="420"/>
        <w:pageBreakBefore w:val="0"/>
        <w:spacing w:line="300" w:lineRule="auto"/>
        <w:rPr>
          <w:rFonts w:hint="eastAsia" w:ascii="宋体" w:hAnsi="宋体" w:cs="宋体"/>
          <w:bCs/>
          <w:szCs w:val="21"/>
          <w:highlight w:val="none"/>
        </w:rPr>
      </w:pPr>
      <w:r/>
      <w:bookmarkStart w:id="62" w:name="_Toc513029243"/>
      <w:r/>
      <w:bookmarkStart w:id="63" w:name="_Toc20823315"/>
      <w:r/>
      <w:bookmarkStart w:id="64" w:name="_Toc16938559"/>
      <w:r>
        <w:rPr>
          <w:rFonts w:hint="eastAsia" w:ascii="宋体" w:hAnsi="宋体" w:cs="宋体"/>
          <w:bCs/>
          <w:szCs w:val="21"/>
          <w:highlight w:val="none"/>
        </w:rPr>
        <w:t xml:space="preserve">以下为中标后签定本项目合同的通用条款，采购人与中标人应按此签订采购合同。中标人不得提出实质性的修改，关于专用条款将由采购人与中标人结合本项目具体情况协商后签订。</w:t>
      </w:r>
      <w:bookmarkEnd w:id="62"/>
      <w:bookmarkEnd w:id="63"/>
      <w:bookmarkEnd w:id="64"/>
      <w:r/>
    </w:p>
    <w:p>
      <w:pPr>
        <w:ind w:firstLine="210"/>
        <w:pageBreakBefore w:val="0"/>
        <w:spacing w:line="300" w:lineRule="auto"/>
        <w:rPr>
          <w:rFonts w:hint="eastAsia" w:ascii="宋体" w:hAnsi="宋体" w:cs="宋体"/>
          <w:szCs w:val="21"/>
          <w:highlight w:val="none"/>
        </w:rPr>
      </w:pPr>
      <w:r>
        <w:rPr>
          <w:rFonts w:hint="eastAsia" w:ascii="宋体" w:hAnsi="宋体" w:cs="宋体"/>
          <w:szCs w:val="21"/>
          <w:highlight w:val="none"/>
        </w:rPr>
      </w:r>
      <w:r/>
    </w:p>
    <w:p>
      <w:pPr>
        <w:ind w:firstLine="420"/>
        <w:pageBreakBefore w:val="0"/>
        <w:spacing w:line="300" w:lineRule="auto"/>
        <w:rPr>
          <w:rFonts w:hint="default" w:ascii="宋体" w:hAnsi="宋体" w:eastAsia="宋体" w:cs="宋体"/>
          <w:szCs w:val="21"/>
          <w:highlight w:val="none"/>
          <w:lang w:val="en-US" w:eastAsia="zh-CN"/>
        </w:rPr>
      </w:pPr>
      <w:r>
        <w:rPr>
          <w:rFonts w:hint="eastAsia" w:ascii="宋体" w:hAnsi="宋体" w:cs="宋体"/>
          <w:szCs w:val="21"/>
          <w:highlight w:val="none"/>
          <w:lang w:val="zh-CN"/>
        </w:rPr>
        <w:t xml:space="preserve">项目名称：</w:t>
      </w:r>
      <w:r>
        <w:rPr>
          <w:rFonts w:hint="eastAsia" w:ascii="宋体" w:hAnsi="宋体" w:cs="宋体"/>
          <w:szCs w:val="21"/>
          <w:highlight w:val="none"/>
          <w:u w:val="single"/>
          <w:lang w:val="zh-CN"/>
        </w:rPr>
        <w:t xml:space="preserve">扬州市妇幼保健院托育综合服务中心玩教具</w:t>
      </w:r>
      <w:r>
        <w:rPr>
          <w:rFonts w:hint="eastAsia" w:ascii="宋体" w:hAnsi="宋体" w:cs="宋体"/>
          <w:szCs w:val="21"/>
          <w:highlight w:val="none"/>
          <w:u w:val="single"/>
          <w:lang w:val="en-US" w:eastAsia="zh-CN"/>
        </w:rPr>
        <w:t xml:space="preserve">采购项目</w:t>
      </w:r>
      <w:r/>
    </w:p>
    <w:p>
      <w:pPr>
        <w:ind w:firstLine="420"/>
        <w:pageBreakBefore w:val="0"/>
        <w:spacing w:line="300" w:lineRule="auto"/>
        <w:rPr>
          <w:rFonts w:hint="eastAsia" w:ascii="宋体" w:hAnsi="宋体" w:cs="宋体"/>
          <w:szCs w:val="21"/>
          <w:highlight w:val="none"/>
          <w:u w:val="single"/>
          <w:lang w:val="zh-CN"/>
        </w:rPr>
      </w:pPr>
      <w:r>
        <w:rPr>
          <w:rFonts w:hint="eastAsia" w:ascii="宋体" w:hAnsi="宋体" w:cs="宋体"/>
          <w:szCs w:val="21"/>
          <w:highlight w:val="none"/>
          <w:lang w:val="zh-CN"/>
        </w:rPr>
        <w:t xml:space="preserve">编号：</w:t>
      </w:r>
      <w:r/>
    </w:p>
    <w:p>
      <w:pPr>
        <w:ind w:firstLine="420"/>
        <w:keepLines w:val="0"/>
        <w:keepNext w:val="0"/>
        <w:pageBreakBefore w:val="0"/>
        <w:spacing w:line="30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甲方（买方）：</w:t>
      </w:r>
      <w:r>
        <w:rPr>
          <w:rFonts w:hint="eastAsia" w:ascii="宋体" w:hAnsi="宋体" w:eastAsia="宋体" w:cs="宋体"/>
          <w:sz w:val="21"/>
          <w:szCs w:val="21"/>
          <w:u w:val="single"/>
          <w:lang w:val="zh-CN"/>
        </w:rPr>
        <w:t xml:space="preserve">扬州市妇幼保健院</w:t>
      </w:r>
      <w:r/>
    </w:p>
    <w:p>
      <w:pPr>
        <w:ind w:firstLine="420"/>
        <w:keepLines w:val="0"/>
        <w:keepNext w:val="0"/>
        <w:pageBreakBefore w:val="0"/>
        <w:spacing w:line="300" w:lineRule="auto"/>
        <w:rPr>
          <w:rFonts w:hint="default" w:ascii="宋体" w:hAnsi="宋体" w:eastAsia="宋体" w:cs="宋体"/>
          <w:sz w:val="21"/>
          <w:szCs w:val="21"/>
          <w:u w:val="single"/>
          <w:lang w:val="en-US" w:eastAsia="zh-CN"/>
        </w:rPr>
      </w:pPr>
      <w:r>
        <w:rPr>
          <w:rFonts w:hint="eastAsia" w:ascii="宋体" w:hAnsi="宋体" w:eastAsia="宋体" w:cs="宋体"/>
          <w:sz w:val="21"/>
          <w:szCs w:val="21"/>
          <w:lang w:val="zh-CN"/>
        </w:rPr>
        <w:t xml:space="preserve">乙方（卖方）：</w:t>
      </w:r>
      <w:r>
        <w:rPr>
          <w:rFonts w:hint="eastAsia" w:ascii="宋体" w:hAnsi="宋体" w:eastAsia="宋体" w:cs="宋体"/>
          <w:sz w:val="21"/>
          <w:szCs w:val="21"/>
          <w:u w:val="single"/>
          <w:lang w:val="en-US" w:eastAsia="zh-CN"/>
        </w:rPr>
        <w:t xml:space="preserve">           </w:t>
      </w:r>
      <w:r/>
    </w:p>
    <w:p>
      <w:pPr>
        <w:ind w:firstLine="420"/>
        <w:keepLines w:val="0"/>
        <w:keepNext w:val="0"/>
        <w:pageBreakBefore w:val="0"/>
        <w:spacing w:line="300" w:lineRule="auto"/>
        <w:rPr>
          <w:rFonts w:hint="eastAsia" w:ascii="宋体" w:hAnsi="宋体" w:eastAsia="宋体" w:cs="宋体"/>
          <w:sz w:val="21"/>
          <w:szCs w:val="21"/>
          <w:lang w:val="zh-CN" w:eastAsia="zh-CN"/>
        </w:rPr>
      </w:pPr>
      <w:r>
        <w:rPr>
          <w:rFonts w:hint="eastAsia" w:ascii="宋体" w:hAnsi="宋体" w:eastAsia="宋体" w:cs="宋体"/>
          <w:sz w:val="21"/>
          <w:szCs w:val="21"/>
          <w:lang w:val="zh-CN"/>
        </w:rPr>
        <w:t xml:space="preserve">见证方：</w:t>
      </w:r>
      <w:r>
        <w:rPr>
          <w:rFonts w:hint="eastAsia" w:ascii="宋体" w:hAnsi="宋体" w:eastAsia="宋体" w:cs="宋体"/>
          <w:sz w:val="21"/>
          <w:szCs w:val="21"/>
          <w:u w:val="single"/>
          <w:lang w:val="en-US" w:eastAsia="zh-CN"/>
        </w:rPr>
        <w:t xml:space="preserve">江苏省招标中心有限公司</w:t>
      </w:r>
      <w:r/>
    </w:p>
    <w:p>
      <w:pPr>
        <w:ind w:firstLine="420"/>
        <w:keepLines w:val="0"/>
        <w:keepNext w:val="0"/>
        <w:pageBreakBefore w:val="0"/>
        <w:spacing w:line="30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根据《中华人民共和国政府采购法》、《中华人民共和国民法典》等法律法规的规定，甲乙双方按照</w:t>
      </w:r>
      <w:r>
        <w:rPr>
          <w:rFonts w:hint="eastAsia" w:ascii="宋体" w:hAnsi="宋体" w:cs="宋体"/>
          <w:sz w:val="21"/>
          <w:szCs w:val="21"/>
          <w:lang w:val="zh-CN"/>
        </w:rPr>
        <w:t xml:space="preserve">江苏省招标中心有限公司</w:t>
      </w:r>
      <w:r>
        <w:rPr>
          <w:rFonts w:hint="eastAsia" w:ascii="宋体" w:hAnsi="宋体" w:eastAsia="宋体" w:cs="宋体"/>
          <w:sz w:val="21"/>
          <w:szCs w:val="21"/>
          <w:lang w:val="zh-CN"/>
        </w:rPr>
        <w:t xml:space="preserve">关于本项目招标结果签订本合同。</w:t>
      </w:r>
      <w:r/>
    </w:p>
    <w:p>
      <w:pPr>
        <w:ind w:firstLine="422"/>
        <w:keepLines w:val="0"/>
        <w:keepNext w:val="0"/>
        <w:pageBreakBefore w:val="0"/>
        <w:spacing w:line="300" w:lineRule="auto"/>
        <w:rPr>
          <w:rFonts w:hint="eastAsia" w:ascii="宋体" w:hAnsi="宋体" w:eastAsia="宋体" w:cs="宋体"/>
          <w:bCs/>
          <w:sz w:val="21"/>
          <w:szCs w:val="21"/>
          <w:lang w:val="zh-CN"/>
        </w:rPr>
      </w:pPr>
      <w:r>
        <w:rPr>
          <w:rFonts w:hint="eastAsia" w:ascii="宋体" w:hAnsi="宋体" w:eastAsia="宋体" w:cs="宋体"/>
          <w:b/>
          <w:sz w:val="21"/>
          <w:szCs w:val="21"/>
          <w:lang w:val="zh-CN"/>
        </w:rPr>
        <w:t xml:space="preserve">1、合同标的</w:t>
      </w:r>
      <w:r/>
    </w:p>
    <w:p>
      <w:pPr>
        <w:ind w:firstLine="420"/>
        <w:keepLines w:val="0"/>
        <w:keepNext w:val="0"/>
        <w:pageBreakBefore w:val="0"/>
        <w:spacing w:line="30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乙方根据甲方需求，提供下列货物：</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zh-CN"/>
        </w:rPr>
        <w:t xml:space="preserve">。</w:t>
      </w:r>
      <w:r/>
    </w:p>
    <w:p>
      <w:pPr>
        <w:ind w:firstLine="420"/>
        <w:keepLines w:val="0"/>
        <w:keepNext w:val="0"/>
        <w:pageBreakBefore w:val="0"/>
        <w:spacing w:line="30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货物名称、规格及数量等要求详见招投标文件。</w:t>
      </w:r>
      <w:r/>
    </w:p>
    <w:p>
      <w:pPr>
        <w:ind w:firstLine="422"/>
        <w:keepLines w:val="0"/>
        <w:keepNext w:val="0"/>
        <w:pageBreakBefore w:val="0"/>
        <w:spacing w:line="300" w:lineRule="auto"/>
        <w:rPr>
          <w:rFonts w:hint="eastAsia" w:ascii="宋体" w:hAnsi="宋体" w:eastAsia="宋体" w:cs="宋体"/>
          <w:bCs/>
          <w:sz w:val="21"/>
          <w:szCs w:val="21"/>
          <w:lang w:val="zh-CN"/>
        </w:rPr>
      </w:pPr>
      <w:r>
        <w:rPr>
          <w:rFonts w:hint="eastAsia" w:ascii="宋体" w:hAnsi="宋体" w:eastAsia="宋体" w:cs="宋体"/>
          <w:b/>
          <w:sz w:val="21"/>
          <w:szCs w:val="21"/>
          <w:lang w:val="zh-CN"/>
        </w:rPr>
        <w:t xml:space="preserve">2、合同总金额</w:t>
      </w:r>
      <w:r/>
    </w:p>
    <w:p>
      <w:pPr>
        <w:ind w:firstLine="420"/>
        <w:keepLines w:val="0"/>
        <w:keepNext w:val="0"/>
        <w:pageBreakBefore w:val="0"/>
        <w:spacing w:line="300" w:lineRule="auto"/>
        <w:rPr>
          <w:rFonts w:hint="eastAsia" w:ascii="宋体" w:hAnsi="宋体" w:eastAsia="宋体" w:cs="宋体"/>
          <w:sz w:val="21"/>
          <w:szCs w:val="21"/>
          <w:lang w:val="zh-CN" w:eastAsia="zh-CN"/>
        </w:rPr>
      </w:pPr>
      <w:r>
        <w:rPr>
          <w:rFonts w:hint="eastAsia" w:ascii="宋体" w:hAnsi="宋体" w:eastAsia="宋体" w:cs="宋体"/>
          <w:sz w:val="21"/>
          <w:szCs w:val="21"/>
          <w:lang w:val="zh-CN"/>
        </w:rPr>
        <w:t xml:space="preserve">2.1 本合同金额为（大写）：</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元</w:t>
      </w:r>
      <w:r>
        <w:rPr>
          <w:rFonts w:hint="eastAsia" w:ascii="宋体" w:hAnsi="宋体" w:eastAsia="宋体" w:cs="宋体"/>
          <w:b w:val="0"/>
          <w:bCs w:val="0"/>
          <w:sz w:val="21"/>
          <w:szCs w:val="21"/>
          <w:lang w:val="en-US" w:eastAsia="zh-CN"/>
        </w:rPr>
        <w:t xml:space="preserve">整</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eastAsia="zh-CN"/>
        </w:rPr>
        <w:t xml:space="preserve">人民币（¥</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zh-CN" w:eastAsia="zh-CN"/>
        </w:rPr>
        <w:t xml:space="preserve">元）。</w:t>
      </w:r>
      <w:r/>
    </w:p>
    <w:p>
      <w:pPr>
        <w:ind w:firstLine="420"/>
        <w:keepLines w:val="0"/>
        <w:keepNext w:val="0"/>
        <w:pageBreakBefore w:val="0"/>
        <w:spacing w:line="30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2.2 本合同总金额包括乙方提供货物的产品费用、安装费、验收费、维护费用、税金及其他有关的为完成本项目发生的所有费用，采购文件中另有规定的除外。</w:t>
      </w:r>
      <w:r/>
    </w:p>
    <w:p>
      <w:pPr>
        <w:ind w:firstLine="420"/>
        <w:keepLines w:val="0"/>
        <w:keepNext w:val="0"/>
        <w:pageBreakBefore w:val="0"/>
        <w:spacing w:line="30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2.3 在采购文件未列明，而乙方认为履行本合同必需的费用也包含在合同总金额中。</w:t>
      </w:r>
      <w:r/>
    </w:p>
    <w:p>
      <w:pPr>
        <w:ind w:firstLine="420"/>
        <w:keepLines w:val="0"/>
        <w:keepNext w:val="0"/>
        <w:pageBreakBefore w:val="0"/>
        <w:spacing w:line="30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2.4 本合同总金额还包含乙方提供的伴随服务/售后服务费用。</w:t>
      </w:r>
      <w:r/>
    </w:p>
    <w:p>
      <w:pPr>
        <w:ind w:firstLine="420"/>
        <w:keepLines w:val="0"/>
        <w:keepNext w:val="0"/>
        <w:pageBreakBefore w:val="0"/>
        <w:spacing w:line="30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2.5 本合同签订后：甲方需追加与合同标的相同的货物和服务的，在不改变合同其他条款的前提下，可以与乙方协商签订补充合同，但所有补充合同的增加的金额不超过原合同金额的10%；甲方若由于各种客观原因，必须对采购项目所牵涉的货物和服务进行适当的减少时，在与乙方协商一致后，可以按照招标采购时的价格水平做相应的调减，并据此签订补充合同；除上述情况外，本合同执行期间合同总金额不变。</w:t>
      </w:r>
      <w:r/>
    </w:p>
    <w:p>
      <w:pPr>
        <w:ind w:firstLine="422"/>
        <w:keepLines w:val="0"/>
        <w:keepNext w:val="0"/>
        <w:pageBreakBefore w:val="0"/>
        <w:spacing w:line="300" w:lineRule="auto"/>
        <w:rPr>
          <w:rFonts w:hint="eastAsia" w:ascii="宋体" w:hAnsi="宋体" w:eastAsia="宋体" w:cs="宋体"/>
          <w:bCs/>
          <w:sz w:val="21"/>
          <w:szCs w:val="21"/>
          <w:lang w:val="zh-CN"/>
        </w:rPr>
      </w:pPr>
      <w:r>
        <w:rPr>
          <w:rFonts w:hint="eastAsia" w:ascii="宋体" w:hAnsi="宋体" w:eastAsia="宋体" w:cs="宋体"/>
          <w:b/>
          <w:sz w:val="21"/>
          <w:szCs w:val="21"/>
          <w:lang w:val="zh-CN"/>
        </w:rPr>
        <w:t xml:space="preserve">3、组成本合同的有关文件</w:t>
      </w:r>
      <w:r/>
    </w:p>
    <w:p>
      <w:pPr>
        <w:ind w:firstLine="420"/>
        <w:keepLines w:val="0"/>
        <w:keepNext w:val="0"/>
        <w:pageBreakBefore w:val="0"/>
        <w:spacing w:line="30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3.1乙方应按采购文件规定的时间向甲方提供使用货物的有关技术资料。</w:t>
      </w:r>
      <w:r/>
    </w:p>
    <w:p>
      <w:pPr>
        <w:ind w:firstLine="420"/>
        <w:keepLines w:val="0"/>
        <w:keepNext w:val="0"/>
        <w:pageBreakBefore w:val="0"/>
        <w:spacing w:line="30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3.2 没有甲方事先书面同意，乙方不得将由甲方提供的有关合同或任何合同条文、规格、计划、图纸、样品或资料提供给任何其他人。即使向履行本合同有关的人员提供，也应注意保密并限于履行合同的必需范围。</w:t>
      </w:r>
      <w:r/>
    </w:p>
    <w:p>
      <w:pPr>
        <w:ind w:firstLine="420"/>
        <w:keepLines w:val="0"/>
        <w:keepNext w:val="0"/>
        <w:pageBreakBefore w:val="0"/>
        <w:spacing w:line="30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3.3 关于本项目政府采购的招投标文件或与本次采购活动方式相适应的文件及有关附件是本合同不可分割的组成部分，这些文件包括但不限于：</w:t>
      </w:r>
      <w:r/>
    </w:p>
    <w:p>
      <w:pPr>
        <w:ind w:firstLine="420"/>
        <w:keepLines w:val="0"/>
        <w:keepNext w:val="0"/>
        <w:pageBreakBefore w:val="0"/>
        <w:spacing w:line="30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（1）投标响应文件；（2）投标产品配置与报价文件；</w:t>
      </w:r>
      <w:r/>
    </w:p>
    <w:p>
      <w:pPr>
        <w:ind w:firstLine="420"/>
        <w:keepLines w:val="0"/>
        <w:keepNext w:val="0"/>
        <w:pageBreakBefore w:val="0"/>
        <w:spacing w:line="30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（3）供货一览表；（4）技术参数响应表；</w:t>
      </w:r>
      <w:r/>
    </w:p>
    <w:p>
      <w:pPr>
        <w:ind w:firstLine="420"/>
        <w:keepLines w:val="0"/>
        <w:keepNext w:val="0"/>
        <w:pageBreakBefore w:val="0"/>
        <w:spacing w:line="30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（5）服务承诺；（6）中标通知书；</w:t>
      </w:r>
      <w:r/>
    </w:p>
    <w:p>
      <w:pPr>
        <w:ind w:firstLine="420"/>
        <w:keepLines w:val="0"/>
        <w:keepNext w:val="0"/>
        <w:pageBreakBefore w:val="0"/>
        <w:spacing w:line="30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（7）甲乙双方补充协议；（8）乙方投标时提供的响应文件。</w:t>
      </w:r>
      <w:r/>
    </w:p>
    <w:p>
      <w:pPr>
        <w:ind w:firstLine="422"/>
        <w:keepLines w:val="0"/>
        <w:keepNext w:val="0"/>
        <w:pageBreakBefore w:val="0"/>
        <w:spacing w:line="300" w:lineRule="auto"/>
        <w:rPr>
          <w:rFonts w:hint="eastAsia" w:ascii="宋体" w:hAnsi="宋体" w:eastAsia="宋体" w:cs="宋体"/>
          <w:bCs/>
          <w:sz w:val="21"/>
          <w:szCs w:val="21"/>
          <w:lang w:val="zh-CN"/>
        </w:rPr>
      </w:pPr>
      <w:r>
        <w:rPr>
          <w:rFonts w:hint="eastAsia" w:ascii="宋体" w:hAnsi="宋体" w:eastAsia="宋体" w:cs="宋体"/>
          <w:b/>
          <w:sz w:val="21"/>
          <w:szCs w:val="21"/>
          <w:lang w:val="zh-CN"/>
        </w:rPr>
        <w:t xml:space="preserve">4、知识产权保证</w:t>
      </w:r>
      <w:r/>
    </w:p>
    <w:p>
      <w:pPr>
        <w:ind w:firstLine="420"/>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乙方保证甲方在使用、接受本合同货物和服务或其任何一部分时，不受第三方提出侵犯其专利权、版权、商标权和工业设计权等知识产权的起诉。一旦出现侵权，由乙方负全部责任。</w:t>
      </w:r>
      <w:r/>
    </w:p>
    <w:p>
      <w:pPr>
        <w:ind w:firstLine="422"/>
        <w:keepLines w:val="0"/>
        <w:keepNext w:val="0"/>
        <w:pageBreakBefore w:val="0"/>
        <w:spacing w:line="300" w:lineRule="auto"/>
        <w:rPr>
          <w:rFonts w:hint="eastAsia" w:ascii="宋体" w:hAnsi="宋体" w:eastAsia="宋体" w:cs="宋体"/>
          <w:bCs/>
          <w:sz w:val="21"/>
          <w:szCs w:val="21"/>
          <w:lang w:val="zh-CN"/>
        </w:rPr>
      </w:pPr>
      <w:r>
        <w:rPr>
          <w:rFonts w:hint="eastAsia" w:ascii="宋体" w:hAnsi="宋体" w:eastAsia="宋体" w:cs="宋体"/>
          <w:b/>
          <w:sz w:val="21"/>
          <w:szCs w:val="21"/>
          <w:lang w:val="zh-CN"/>
        </w:rPr>
        <w:t xml:space="preserve">5、产权保证</w:t>
      </w:r>
      <w:r/>
    </w:p>
    <w:p>
      <w:pPr>
        <w:ind w:firstLine="420"/>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乙方保证所交付的货物的所有权无任何抵押、查封等权利瑕疵。</w:t>
      </w:r>
      <w:r/>
    </w:p>
    <w:p>
      <w:pPr>
        <w:ind w:firstLine="422"/>
        <w:keepLines w:val="0"/>
        <w:keepNext w:val="0"/>
        <w:pageBreakBefore w:val="0"/>
        <w:spacing w:line="300" w:lineRule="auto"/>
        <w:rPr>
          <w:rFonts w:hint="eastAsia" w:ascii="宋体" w:hAnsi="宋体" w:eastAsia="宋体" w:cs="宋体"/>
          <w:bCs/>
          <w:sz w:val="21"/>
          <w:szCs w:val="21"/>
          <w:lang w:val="zh-CN"/>
        </w:rPr>
      </w:pPr>
      <w:r>
        <w:rPr>
          <w:rFonts w:hint="eastAsia" w:ascii="宋体" w:hAnsi="宋体" w:eastAsia="宋体" w:cs="宋体"/>
          <w:b/>
          <w:sz w:val="21"/>
          <w:szCs w:val="21"/>
          <w:lang w:val="zh-CN"/>
        </w:rPr>
        <w:t xml:space="preserve">6、转包或分包</w:t>
      </w:r>
      <w:r/>
    </w:p>
    <w:p>
      <w:pPr>
        <w:ind w:firstLine="420"/>
        <w:keepLines w:val="0"/>
        <w:keepNext w:val="0"/>
        <w:pageBreakBefore w:val="0"/>
        <w:spacing w:line="30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6.1 本合同禁止转包，本合同范围的货物，应由乙方直接供应的，不得转让他人供应。</w:t>
      </w:r>
      <w:r/>
    </w:p>
    <w:p>
      <w:pPr>
        <w:ind w:firstLine="420"/>
        <w:keepLines w:val="0"/>
        <w:keepNext w:val="0"/>
        <w:pageBreakBefore w:val="0"/>
        <w:spacing w:line="30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6.2 经甲方同意，乙方可以依法采取分包方式履行合同，但是分包方式履行的，乙方应就采购项目向甲方负全责。</w:t>
      </w:r>
      <w:r/>
    </w:p>
    <w:p>
      <w:pPr>
        <w:ind w:firstLine="422"/>
        <w:keepLines w:val="0"/>
        <w:keepNext w:val="0"/>
        <w:pageBreakBefore w:val="0"/>
        <w:spacing w:line="300" w:lineRule="auto"/>
        <w:rPr>
          <w:rFonts w:hint="eastAsia" w:ascii="宋体" w:hAnsi="宋体" w:eastAsia="宋体" w:cs="宋体"/>
          <w:bCs/>
          <w:sz w:val="21"/>
          <w:szCs w:val="21"/>
          <w:lang w:val="zh-CN"/>
        </w:rPr>
      </w:pPr>
      <w:r>
        <w:rPr>
          <w:rFonts w:hint="eastAsia" w:ascii="宋体" w:hAnsi="宋体" w:eastAsia="宋体" w:cs="宋体"/>
          <w:b/>
          <w:sz w:val="21"/>
          <w:szCs w:val="21"/>
          <w:lang w:val="zh-CN"/>
        </w:rPr>
        <w:t xml:space="preserve">7、质保期</w:t>
      </w:r>
      <w:r/>
    </w:p>
    <w:p>
      <w:pPr>
        <w:ind w:firstLine="420"/>
        <w:keepLines w:val="0"/>
        <w:keepNext w:val="0"/>
        <w:pageBreakBefore w:val="0"/>
        <w:spacing w:line="300" w:lineRule="auto"/>
        <w:rPr>
          <w:rFonts w:hint="default" w:ascii="宋体" w:hAnsi="宋体" w:eastAsia="宋体" w:cs="宋体"/>
          <w:sz w:val="21"/>
          <w:szCs w:val="21"/>
          <w:highlight w:val="none"/>
          <w:lang w:val="en-US"/>
        </w:rPr>
      </w:pPr>
      <w:r>
        <w:rPr>
          <w:rFonts w:hint="eastAsia" w:ascii="宋体" w:hAnsi="宋体" w:eastAsia="宋体" w:cs="宋体"/>
          <w:sz w:val="21"/>
          <w:szCs w:val="21"/>
          <w:highlight w:val="none"/>
          <w:lang w:val="zh-CN"/>
        </w:rPr>
        <w:t xml:space="preserve">7.1 质保期</w:t>
      </w:r>
      <w:r>
        <w:rPr>
          <w:rFonts w:hint="eastAsia" w:ascii="宋体" w:hAnsi="宋体" w:cs="宋体"/>
          <w:sz w:val="21"/>
          <w:szCs w:val="21"/>
          <w:highlight w:val="none"/>
          <w:u w:val="single"/>
          <w:lang w:val="en-US" w:eastAsia="zh-CN"/>
        </w:rPr>
        <w:t xml:space="preserve">    </w:t>
      </w:r>
      <w:r/>
    </w:p>
    <w:p>
      <w:pPr>
        <w:ind w:firstLine="422"/>
        <w:keepLines w:val="0"/>
        <w:keepNext w:val="0"/>
        <w:pageBreakBefore w:val="0"/>
        <w:spacing w:line="300" w:lineRule="auto"/>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zh-CN"/>
        </w:rPr>
        <w:t xml:space="preserve">8、供货期、实施地点</w:t>
      </w:r>
      <w:r/>
    </w:p>
    <w:p>
      <w:pPr>
        <w:ind w:firstLine="420"/>
        <w:keepLines w:val="0"/>
        <w:keepNext w:val="0"/>
        <w:pageBreakBefore w:val="0"/>
        <w:spacing w:line="300" w:lineRule="auto"/>
        <w:rPr>
          <w:rFonts w:hint="eastAsia" w:ascii="宋体" w:hAnsi="宋体" w:eastAsia="宋体" w:cs="宋体"/>
          <w:bCs/>
          <w:sz w:val="21"/>
          <w:szCs w:val="21"/>
          <w:highlight w:val="none"/>
          <w:u w:val="single"/>
          <w:lang w:val="zh-CN"/>
        </w:rPr>
      </w:pPr>
      <w:r>
        <w:rPr>
          <w:rFonts w:hint="eastAsia" w:ascii="宋体" w:hAnsi="宋体" w:eastAsia="宋体" w:cs="宋体"/>
          <w:bCs/>
          <w:sz w:val="21"/>
          <w:szCs w:val="21"/>
          <w:highlight w:val="none"/>
          <w:lang w:val="zh-CN"/>
        </w:rPr>
        <w:t xml:space="preserve">8.1 供货期：</w:t>
      </w:r>
      <w:r>
        <w:rPr>
          <w:rFonts w:hint="eastAsia"/>
          <w:highlight w:val="none"/>
        </w:rPr>
        <w:t xml:space="preserve">合同签订后，</w:t>
      </w:r>
      <w:r>
        <w:rPr>
          <w:rFonts w:hint="eastAsia" w:ascii="宋体" w:hAnsi="宋体" w:eastAsia="宋体" w:cs="宋体"/>
          <w:highlight w:val="none"/>
        </w:rPr>
        <w:t xml:space="preserve">45</w:t>
      </w:r>
      <w:r>
        <w:rPr>
          <w:rFonts w:hint="eastAsia"/>
          <w:highlight w:val="none"/>
        </w:rPr>
        <w:t xml:space="preserve">日历天内将货物送至采购人指定地点，验收合格并交付采购人使用。</w:t>
      </w:r>
      <w:r/>
    </w:p>
    <w:p>
      <w:pPr>
        <w:ind w:firstLine="420"/>
        <w:keepLines w:val="0"/>
        <w:keepNext w:val="0"/>
        <w:pageBreakBefore w:val="0"/>
        <w:spacing w:line="300" w:lineRule="auto"/>
        <w:rPr>
          <w:rFonts w:hint="eastAsia" w:ascii="宋体" w:hAnsi="宋体" w:eastAsia="宋体" w:cs="宋体"/>
          <w:bCs/>
          <w:sz w:val="21"/>
          <w:szCs w:val="21"/>
          <w:highlight w:val="none"/>
          <w:u w:val="single"/>
          <w:lang w:val="zh-CN"/>
        </w:rPr>
      </w:pPr>
      <w:r>
        <w:rPr>
          <w:rFonts w:hint="eastAsia" w:ascii="宋体" w:hAnsi="宋体" w:eastAsia="宋体" w:cs="宋体"/>
          <w:bCs/>
          <w:sz w:val="21"/>
          <w:szCs w:val="21"/>
          <w:highlight w:val="none"/>
          <w:lang w:val="zh-CN"/>
        </w:rPr>
        <w:t xml:space="preserve">8.2 实施地点：</w:t>
      </w:r>
      <w:r>
        <w:rPr>
          <w:rFonts w:hint="eastAsia" w:ascii="宋体" w:hAnsi="宋体" w:eastAsia="宋体" w:cs="宋体"/>
          <w:bCs/>
          <w:sz w:val="21"/>
          <w:szCs w:val="21"/>
          <w:highlight w:val="none"/>
          <w:u w:val="single"/>
          <w:lang w:val="en-US" w:eastAsia="zh-CN"/>
        </w:rPr>
        <w:t xml:space="preserve">甲方</w:t>
      </w:r>
      <w:r>
        <w:rPr>
          <w:rFonts w:hint="eastAsia" w:ascii="宋体" w:hAnsi="宋体" w:eastAsia="宋体" w:cs="宋体"/>
          <w:bCs/>
          <w:sz w:val="21"/>
          <w:szCs w:val="21"/>
          <w:highlight w:val="none"/>
          <w:u w:val="single"/>
          <w:lang w:val="zh-CN"/>
        </w:rPr>
        <w:t xml:space="preserve">指定地点。</w:t>
      </w:r>
      <w:r/>
    </w:p>
    <w:p>
      <w:pPr>
        <w:ind w:firstLine="422"/>
        <w:keepLines w:val="0"/>
        <w:keepNext w:val="0"/>
        <w:pageBreakBefore w:val="0"/>
        <w:spacing w:line="300" w:lineRule="auto"/>
        <w:rPr>
          <w:rFonts w:hint="eastAsia" w:ascii="宋体" w:hAnsi="宋体" w:eastAsia="宋体" w:cs="宋体"/>
          <w:bCs/>
          <w:sz w:val="21"/>
          <w:szCs w:val="21"/>
          <w:highlight w:val="none"/>
          <w:lang w:val="zh-CN"/>
        </w:rPr>
      </w:pPr>
      <w:r>
        <w:rPr>
          <w:rFonts w:hint="eastAsia" w:ascii="宋体" w:hAnsi="宋体" w:eastAsia="宋体" w:cs="宋体"/>
          <w:b/>
          <w:sz w:val="21"/>
          <w:szCs w:val="21"/>
          <w:highlight w:val="none"/>
          <w:lang w:val="zh-CN"/>
        </w:rPr>
        <w:t xml:space="preserve">9、货款支付</w:t>
      </w:r>
      <w:r/>
    </w:p>
    <w:p>
      <w:pPr>
        <w:ind w:firstLine="420"/>
        <w:keepLines w:val="0"/>
        <w:keepNext w:val="0"/>
        <w:pageBreakBefore w:val="0"/>
        <w:spacing w:line="30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9.1 本合同项下所有款项均以人民币支付。</w:t>
      </w:r>
      <w:r/>
    </w:p>
    <w:p>
      <w:pPr>
        <w:ind w:firstLine="420"/>
        <w:keepLines w:val="0"/>
        <w:keepNext w:val="0"/>
        <w:pageBreakBefore w:val="0"/>
        <w:spacing w:line="30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9.2 本合同项下的采购资金由甲方支付，每笔款项支付前，乙方必须提供收款单位与本合同签订单位一致的正规、等额、合法、有效的增值税发票及验收单、入库单等办理相关支付手续的报审资料；款项的支付需经甲方代表签字并盖章后支付。</w:t>
      </w:r>
      <w:r/>
    </w:p>
    <w:p>
      <w:pPr>
        <w:ind w:firstLine="420"/>
        <w:keepLines w:val="0"/>
        <w:keepNext w:val="0"/>
        <w:pageBreakBefore w:val="0"/>
        <w:spacing w:line="300" w:lineRule="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9.3中标人应在合同签订后7日内向招标人提交金额为合同总价10%、期限为5年的不可撤销见索即付履约保函。保函格式须经招标人认可。逾期未提交视为违约。</w:t>
      </w:r>
      <w:r/>
    </w:p>
    <w:p>
      <w:pPr>
        <w:ind w:firstLine="420"/>
        <w:keepLines w:val="0"/>
        <w:keepNext w:val="0"/>
        <w:pageBreakBefore w:val="0"/>
        <w:spacing w:line="30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rPr>
        <w:t xml:space="preserve">付款方式：</w:t>
      </w:r>
      <w:r>
        <w:rPr>
          <w:rFonts w:hint="eastAsia" w:ascii="宋体" w:hAnsi="宋体" w:eastAsia="宋体" w:cs="宋体"/>
          <w:b/>
          <w:bCs/>
          <w:color w:val="000000"/>
          <w:sz w:val="21"/>
          <w:szCs w:val="21"/>
          <w:highlight w:val="none"/>
          <w:lang w:val="en-US" w:eastAsia="zh-CN" w:bidi="ar"/>
        </w:rPr>
        <w:t xml:space="preserve">合同签订甲方收到发票后，向乙方支付合同总额的 30%；甲方验收合格后半年内支付合同总额的 60%，自验收合格满一年后付清合同剩余10%。</w:t>
      </w:r>
      <w:r/>
    </w:p>
    <w:p>
      <w:pPr>
        <w:ind w:firstLine="422"/>
        <w:keepLines w:val="0"/>
        <w:keepNext w:val="0"/>
        <w:pageBreakBefore w:val="0"/>
        <w:spacing w:line="300" w:lineRule="auto"/>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zh-CN"/>
        </w:rPr>
        <w:t xml:space="preserve">10、税费</w:t>
      </w:r>
      <w:r/>
    </w:p>
    <w:p>
      <w:pPr>
        <w:ind w:firstLine="420"/>
        <w:keepLines w:val="0"/>
        <w:keepNext w:val="0"/>
        <w:pageBreakBefore w:val="0"/>
        <w:spacing w:line="300" w:lineRule="auto"/>
        <w:rPr>
          <w:rFonts w:hint="eastAsia" w:ascii="宋体" w:hAnsi="宋体" w:eastAsia="宋体" w:cs="宋体"/>
          <w:bCs/>
          <w:sz w:val="21"/>
          <w:szCs w:val="21"/>
          <w:lang w:val="zh-CN"/>
        </w:rPr>
      </w:pPr>
      <w:r>
        <w:rPr>
          <w:rFonts w:hint="eastAsia" w:ascii="宋体" w:hAnsi="宋体" w:eastAsia="宋体" w:cs="宋体"/>
          <w:sz w:val="21"/>
          <w:szCs w:val="21"/>
          <w:lang w:val="zh-CN"/>
        </w:rPr>
        <w:t xml:space="preserve">本合同执行中相关的一切税费均由乙方负担。</w:t>
      </w:r>
      <w:r/>
    </w:p>
    <w:p>
      <w:pPr>
        <w:ind w:firstLine="422"/>
        <w:keepLines w:val="0"/>
        <w:keepNext w:val="0"/>
        <w:pageBreakBefore w:val="0"/>
        <w:spacing w:line="300" w:lineRule="auto"/>
        <w:rPr>
          <w:rFonts w:hint="eastAsia" w:ascii="宋体" w:hAnsi="宋体" w:eastAsia="宋体" w:cs="宋体"/>
          <w:bCs/>
          <w:sz w:val="21"/>
          <w:szCs w:val="21"/>
          <w:lang w:val="zh-CN"/>
        </w:rPr>
      </w:pPr>
      <w:r>
        <w:rPr>
          <w:rFonts w:hint="eastAsia" w:ascii="宋体" w:hAnsi="宋体" w:eastAsia="宋体" w:cs="宋体"/>
          <w:b/>
          <w:sz w:val="21"/>
          <w:szCs w:val="21"/>
          <w:lang w:val="zh-CN"/>
        </w:rPr>
        <w:t xml:space="preserve">11、质量保证及售后服务</w:t>
      </w:r>
      <w:r/>
    </w:p>
    <w:p>
      <w:pPr>
        <w:ind w:firstLine="420"/>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11.1 乙方应按采购文件规定及响应文件承诺的货物性能、技术要求、质量标准向甲方提供未经使用的全新产品；若技术性能无特殊说明，则按国家有关部门最新颁布的标准及规范为准。</w:t>
      </w:r>
      <w:r/>
    </w:p>
    <w:p>
      <w:pPr>
        <w:ind w:firstLine="420"/>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11.2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0"/>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11.3 乙方提供的货物在质保期内因货物本身的质量问题发生故障，乙方应负责免费更换。对达不到技术要求者，根据实际情况，经双方协商，可按以下办法处理：</w:t>
      </w:r>
      <w:r/>
    </w:p>
    <w:p>
      <w:pPr>
        <w:ind w:firstLine="420"/>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⑴更换：由乙方承担所发生的全部费用。</w:t>
      </w:r>
      <w:r/>
    </w:p>
    <w:p>
      <w:pPr>
        <w:ind w:firstLine="420"/>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⑵贬值处理：由甲乙双方合议定价。</w:t>
      </w:r>
      <w:r/>
    </w:p>
    <w:p>
      <w:pPr>
        <w:ind w:firstLine="420"/>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⑶退货处理：乙方应退还甲方支付的合同款，同时应承担该货物的直接费用（运输、保险、检验、货款利息及银行手续费等）。</w:t>
      </w:r>
      <w:r/>
    </w:p>
    <w:p>
      <w:pPr>
        <w:ind w:firstLine="420"/>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11.4  如在使用过程中发生质量问题，乙方在接到甲方通知后在</w:t>
      </w:r>
      <w:r>
        <w:rPr>
          <w:rFonts w:hint="eastAsia" w:ascii="宋体" w:hAnsi="宋体" w:eastAsia="宋体" w:cs="宋体"/>
          <w:sz w:val="21"/>
          <w:szCs w:val="21"/>
          <w:u w:val="single"/>
          <w:lang w:val="en-US" w:eastAsia="zh-CN"/>
        </w:rPr>
        <w:t xml:space="preserve">24</w:t>
      </w:r>
      <w:r>
        <w:rPr>
          <w:rFonts w:hint="eastAsia" w:ascii="宋体" w:hAnsi="宋体" w:eastAsia="宋体" w:cs="宋体"/>
          <w:sz w:val="21"/>
          <w:szCs w:val="21"/>
        </w:rPr>
        <w:t xml:space="preserve">小时内到达甲方现场</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逾期到达现场的，每逾期1小时支付违约金100元；乙方到达现场后需24小时内处理完毕，逾期完成维修的，甲方有权委托第三方维修，费用由乙方承担。</w:t>
      </w:r>
      <w:r/>
    </w:p>
    <w:p>
      <w:pPr>
        <w:ind w:firstLine="420"/>
        <w:keepLines w:val="0"/>
        <w:keepNext w:val="0"/>
        <w:pageBreakBefore w:val="0"/>
        <w:spacing w:line="300" w:lineRule="auto"/>
        <w:rPr>
          <w:rFonts w:hint="eastAsia" w:ascii="宋体" w:hAnsi="宋体" w:eastAsia="宋体" w:cs="宋体"/>
          <w:sz w:val="21"/>
          <w:szCs w:val="21"/>
          <w:lang w:val="zh-CN" w:eastAsia="zh-CN"/>
        </w:rPr>
      </w:pPr>
      <w:r>
        <w:rPr>
          <w:rFonts w:hint="eastAsia" w:ascii="宋体" w:hAnsi="宋体" w:eastAsia="宋体" w:cs="宋体"/>
          <w:sz w:val="21"/>
          <w:szCs w:val="21"/>
        </w:rPr>
        <w:t xml:space="preserve">11.5 在质保期内，乙方应对货物出现的质量及安全问题负责处理解决并承担一切费用。</w:t>
      </w:r>
      <w:r>
        <w:rPr>
          <w:rFonts w:hint="eastAsia" w:ascii="宋体" w:hAnsi="宋体" w:eastAsia="宋体" w:cs="宋体"/>
          <w:sz w:val="21"/>
          <w:szCs w:val="21"/>
          <w:lang w:val="zh-CN" w:eastAsia="zh-CN"/>
        </w:rPr>
        <w:t xml:space="preserve">如因乙方提供的</w:t>
      </w:r>
      <w:r>
        <w:rPr>
          <w:rFonts w:hint="eastAsia" w:ascii="宋体" w:hAnsi="宋体" w:cs="宋体"/>
          <w:sz w:val="21"/>
          <w:szCs w:val="21"/>
          <w:lang w:val="en-US" w:eastAsia="zh-CN"/>
        </w:rPr>
        <w:t xml:space="preserve">产品</w:t>
      </w:r>
      <w:r>
        <w:rPr>
          <w:rFonts w:hint="eastAsia" w:ascii="宋体" w:hAnsi="宋体" w:eastAsia="宋体" w:cs="宋体"/>
          <w:sz w:val="21"/>
          <w:szCs w:val="21"/>
          <w:lang w:val="zh-CN" w:eastAsia="zh-CN"/>
        </w:rPr>
        <w:t xml:space="preserve">质量问题而造成</w:t>
      </w:r>
      <w:r>
        <w:rPr>
          <w:rFonts w:hint="eastAsia" w:ascii="宋体" w:hAnsi="宋体" w:eastAsia="宋体" w:cs="宋体"/>
          <w:sz w:val="21"/>
          <w:szCs w:val="21"/>
          <w:lang w:val="en-US" w:eastAsia="zh-CN"/>
        </w:rPr>
        <w:t xml:space="preserve">医疗不良事件</w:t>
      </w:r>
      <w:r>
        <w:rPr>
          <w:rFonts w:hint="eastAsia" w:ascii="宋体" w:hAnsi="宋体" w:eastAsia="宋体" w:cs="宋体"/>
          <w:sz w:val="21"/>
          <w:szCs w:val="21"/>
          <w:lang w:val="zh-CN" w:eastAsia="zh-CN"/>
        </w:rPr>
        <w:t xml:space="preserve">，乙方应负责并承担由此产生的所有法律责任（包括但不限于经济赔偿责任）。</w:t>
      </w:r>
      <w:r/>
    </w:p>
    <w:p>
      <w:pPr>
        <w:ind w:firstLine="420"/>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11.6上述</w:t>
      </w:r>
      <w:r>
        <w:rPr>
          <w:rFonts w:hint="eastAsia" w:ascii="宋体" w:hAnsi="宋体" w:eastAsia="宋体" w:cs="宋体"/>
          <w:sz w:val="21"/>
          <w:szCs w:val="21"/>
          <w:highlight w:val="none"/>
        </w:rPr>
        <w:t xml:space="preserve">的货物</w:t>
      </w:r>
      <w:r>
        <w:rPr>
          <w:rFonts w:hint="eastAsia" w:ascii="宋体" w:hAnsi="宋体" w:eastAsia="宋体" w:cs="宋体"/>
          <w:sz w:val="21"/>
          <w:szCs w:val="21"/>
          <w:highlight w:val="none"/>
          <w:lang w:val="en-US" w:eastAsia="zh-CN"/>
        </w:rPr>
        <w:t xml:space="preserve">质保期</w:t>
      </w:r>
      <w:r>
        <w:rPr>
          <w:rFonts w:hint="eastAsia" w:ascii="宋体" w:hAnsi="宋体" w:eastAsia="宋体" w:cs="宋体"/>
          <w:sz w:val="21"/>
          <w:szCs w:val="21"/>
          <w:highlight w:val="none"/>
          <w:u w:val="single"/>
          <w:lang w:val="en-US" w:eastAsia="zh-CN"/>
        </w:rPr>
        <w:t xml:space="preserve"> </w:t>
      </w:r>
      <w:r>
        <w:rPr>
          <w:rFonts w:hint="eastAsia" w:ascii="宋体" w:hAnsi="宋体" w:cs="宋体"/>
          <w:sz w:val="21"/>
          <w:szCs w:val="21"/>
          <w:highlight w:val="none"/>
          <w:u w:val="single"/>
          <w:lang w:val="en-US" w:eastAsia="zh-CN"/>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，因人</w:t>
      </w:r>
      <w:r>
        <w:rPr>
          <w:rFonts w:hint="eastAsia" w:ascii="宋体" w:hAnsi="宋体" w:eastAsia="宋体" w:cs="宋体"/>
          <w:sz w:val="21"/>
          <w:szCs w:val="21"/>
        </w:rPr>
        <w:t xml:space="preserve">为因素出现的故障不在免费保修范围内。超过保修期的机器设备，终生维修，维修时只收部件成本费。</w:t>
      </w:r>
      <w:r/>
    </w:p>
    <w:p>
      <w:pPr>
        <w:ind w:firstLine="422"/>
        <w:keepLines w:val="0"/>
        <w:keepNext w:val="0"/>
        <w:pageBreakBefore w:val="0"/>
        <w:spacing w:line="300" w:lineRule="auto"/>
        <w:rPr>
          <w:rFonts w:hint="eastAsia" w:ascii="宋体" w:hAnsi="宋体" w:eastAsia="宋体" w:cs="宋体"/>
          <w:bCs/>
          <w:sz w:val="21"/>
          <w:szCs w:val="21"/>
          <w:lang w:val="zh-CN"/>
        </w:rPr>
      </w:pPr>
      <w:r>
        <w:rPr>
          <w:rFonts w:hint="eastAsia" w:ascii="宋体" w:hAnsi="宋体" w:eastAsia="宋体" w:cs="宋体"/>
          <w:b/>
          <w:sz w:val="21"/>
          <w:szCs w:val="21"/>
          <w:lang w:val="zh-CN"/>
        </w:rPr>
        <w:t xml:space="preserve">12、交付、调试和验收</w:t>
      </w:r>
      <w:r/>
    </w:p>
    <w:p>
      <w:pPr>
        <w:ind w:firstLine="420"/>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12.1乙方应当在</w:t>
      </w:r>
      <w:r>
        <w:rPr>
          <w:rFonts w:hint="eastAsia" w:ascii="宋体" w:hAnsi="宋体" w:cs="宋体"/>
          <w:bCs/>
          <w:sz w:val="21"/>
          <w:szCs w:val="21"/>
          <w:lang w:val="en-US" w:eastAsia="zh-CN"/>
        </w:rPr>
        <w:t xml:space="preserve">合同签订后，45日历天内将货物送至采购人指定地点，验收合格并交付采购人使用</w:t>
      </w:r>
      <w:r>
        <w:rPr>
          <w:rFonts w:hint="eastAsia" w:ascii="宋体" w:hAnsi="宋体" w:eastAsia="宋体" w:cs="宋体"/>
          <w:sz w:val="21"/>
          <w:szCs w:val="21"/>
        </w:rPr>
        <w:t xml:space="preserve">，地点由甲方指定，采购文件有约定的，从其约定。在发货前，乙方应对产品作出全面检查和对验收文件进行整理，并列出清单，作为甲方收货初验收和使用的技术条件依据，检验的结果应随货物交甲方。</w:t>
      </w:r>
      <w:r/>
    </w:p>
    <w:p>
      <w:pPr>
        <w:ind w:firstLine="420"/>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12.2 甲方对乙方提交的货物依据采购文件上的技术规格要求和国家有关质量标准进行现场初步验收，外观、说明书、包装符合采购文件技术要求的，给予签收，初步验收不合格的不予签收。</w:t>
      </w:r>
      <w:r/>
    </w:p>
    <w:p>
      <w:pPr>
        <w:ind w:firstLine="420"/>
        <w:keepLines w:val="0"/>
        <w:keepNext w:val="0"/>
        <w:pageBreakBefore w:val="0"/>
        <w:spacing w:line="30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12.3 乙方按照采购文件要求负责产品安装并培训甲方的使用操作人员，乙方在甲方使用前进行调试，调试直到符合技术要求的甲方才做最终验收。</w:t>
      </w:r>
      <w:r/>
    </w:p>
    <w:p>
      <w:pPr>
        <w:ind w:firstLine="420"/>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12.4 对技术复杂的货物，甲方可请国家认可的专业检测机构参与初步验收及最终验收，并由其出具质量检测报告。验收时乙方必须在现场，验收完毕后作出验收结果报告；若聘请第三方中立机构验收，验收费用由乙方承担。</w:t>
      </w:r>
      <w:r/>
    </w:p>
    <w:p>
      <w:pPr>
        <w:ind w:firstLine="420"/>
        <w:keepLines w:val="0"/>
        <w:keepNext w:val="0"/>
        <w:pageBreakBefore w:val="0"/>
        <w:spacing w:line="300" w:lineRule="auto"/>
        <w:rPr>
          <w:rFonts w:hint="eastAsia" w:ascii="宋体" w:hAnsi="宋体" w:eastAsia="宋体" w:cs="宋体"/>
          <w:sz w:val="21"/>
          <w:szCs w:val="21"/>
          <w:u w:val="single"/>
        </w:rPr>
      </w:pPr>
      <w:r>
        <w:rPr>
          <w:rFonts w:hint="eastAsia" w:ascii="宋体" w:hAnsi="宋体" w:eastAsia="宋体" w:cs="宋体"/>
          <w:sz w:val="21"/>
          <w:szCs w:val="21"/>
        </w:rPr>
        <w:t xml:space="preserve">12.5 甲乙双方关于调试和验收的其他约定：中标公告发布之日起，乙方按供货期如期供货，</w:t>
      </w:r>
      <w:r>
        <w:rPr>
          <w:rFonts w:hint="eastAsia" w:ascii="宋体" w:hAnsi="宋体" w:eastAsia="宋体" w:cs="宋体"/>
          <w:sz w:val="21"/>
          <w:szCs w:val="21"/>
          <w:lang w:eastAsia="zh-CN"/>
        </w:rPr>
        <w:t xml:space="preserve">如逾期供货，每逾期</w:t>
      </w:r>
      <w:r>
        <w:rPr>
          <w:rFonts w:hint="eastAsia" w:ascii="宋体" w:hAnsi="宋体" w:eastAsia="宋体" w:cs="宋体"/>
          <w:sz w:val="21"/>
          <w:szCs w:val="21"/>
        </w:rPr>
        <w:t xml:space="preserve">1天</w:t>
      </w:r>
      <w:r>
        <w:rPr>
          <w:rFonts w:hint="eastAsia" w:ascii="宋体" w:hAnsi="宋体" w:eastAsia="宋体" w:cs="宋体"/>
          <w:sz w:val="21"/>
          <w:szCs w:val="21"/>
          <w:lang w:eastAsia="zh-CN"/>
        </w:rPr>
        <w:t xml:space="preserve">，需向甲方支付违约金</w:t>
      </w:r>
      <w:r>
        <w:rPr>
          <w:rFonts w:hint="eastAsia" w:ascii="宋体" w:hAnsi="宋体" w:eastAsia="宋体" w:cs="宋体"/>
          <w:sz w:val="21"/>
          <w:szCs w:val="21"/>
        </w:rPr>
        <w:t xml:space="preserve">1000元。</w:t>
      </w:r>
      <w:r/>
    </w:p>
    <w:p>
      <w:pPr>
        <w:ind w:firstLine="422"/>
        <w:keepLines w:val="0"/>
        <w:keepNext w:val="0"/>
        <w:pageBreakBefore w:val="0"/>
        <w:spacing w:line="300" w:lineRule="auto"/>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13、货物包装、发运及运输</w:t>
      </w:r>
      <w:r/>
    </w:p>
    <w:p>
      <w:pPr>
        <w:ind w:firstLine="420"/>
        <w:keepLines w:val="0"/>
        <w:keepNext w:val="0"/>
        <w:pageBreakBefore w:val="0"/>
        <w:spacing w:line="30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13.1 乙方应在货物发运前对其进行满足运输距离、防潮、防震、防锈和防破损装卸等要求包装，以保证货物安全运达甲方指定地点。</w:t>
      </w:r>
      <w:r/>
    </w:p>
    <w:p>
      <w:pPr>
        <w:ind w:firstLine="420"/>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13.2 乙方发货时，产品使用说明书、检验证明书、随配附件和工具以及清单一并附于货物内。</w:t>
      </w:r>
      <w:r/>
    </w:p>
    <w:p>
      <w:pPr>
        <w:ind w:firstLine="420"/>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13.3 乙方在货物发运手续办理完毕后24小时内或货到甲方48小时前通知甲方，以准备甲方接货。根据甲方通知的时间和指定的地点，乙方负责安排送货、装卸、清点、堆放，设备初验收合格前的保管工作由乙方负责，费用乙方承担。</w:t>
      </w:r>
      <w:r/>
    </w:p>
    <w:p>
      <w:pPr>
        <w:ind w:firstLine="420"/>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13.4 货物在交付甲方前发生的风险均由乙方负责。</w:t>
      </w:r>
      <w:r/>
    </w:p>
    <w:p>
      <w:pPr>
        <w:ind w:firstLine="420"/>
        <w:keepLines w:val="0"/>
        <w:keepNext w:val="0"/>
        <w:pageBreakBefore w:val="0"/>
        <w:spacing w:line="30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13.5 货物在规定的交付期限内由乙方送达甲方指定的地点。</w:t>
      </w:r>
      <w:r/>
    </w:p>
    <w:p>
      <w:pPr>
        <w:ind w:firstLine="422"/>
        <w:keepLines w:val="0"/>
        <w:keepNext w:val="0"/>
        <w:pageBreakBefore w:val="0"/>
        <w:spacing w:line="300" w:lineRule="auto"/>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14、违约责任</w:t>
      </w:r>
      <w:r/>
    </w:p>
    <w:p>
      <w:pPr>
        <w:ind w:firstLine="420"/>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14.1 甲方无正当理由拒绝初验收和终验收货物的，甲方应按未付货款金额LPR计算向乙方支付违约金。</w:t>
      </w:r>
      <w:r/>
    </w:p>
    <w:p>
      <w:pPr>
        <w:ind w:firstLine="420"/>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14.2 甲方无故逾期验收和无故逾期办理货款支付手续的,甲方应按逾期付款金额LPR计算向乙方支付违约金。</w:t>
      </w:r>
      <w:r/>
    </w:p>
    <w:p>
      <w:pPr>
        <w:ind w:firstLine="420"/>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14.3乙方违约，在消除违约情形前，应按货款总额每日万分之五向甲方支付违约金，甲方可以从待付货款中扣除。</w:t>
      </w:r>
      <w:r/>
    </w:p>
    <w:p>
      <w:pPr>
        <w:ind w:firstLine="420"/>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14.4乙方因逾期交付或因其他违约行为，导致甲方解除合同的，乙方应向甲方支付合同总值5%的违约金，如造成甲方损失超过违约金的，超出部分由乙方继续承担赔偿责任。</w:t>
      </w:r>
      <w:r/>
    </w:p>
    <w:p>
      <w:pPr>
        <w:ind w:firstLine="420"/>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14.5 乙方所交的货物全部或部分品种、型号、规格、技术参数、质量不符合合同规定及采购文件规定标准的，乙方更换货物但逾期交付的（甲方拒绝接受的除外），按乙方逾期交付处理；乙方拒绝更换货物的，甲方可选择解除本合同或本合同的一部分，并可追究乙方的其他违约责任。</w:t>
      </w:r>
      <w:r/>
    </w:p>
    <w:p>
      <w:pPr>
        <w:ind w:firstLine="420"/>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14.6合同生效后，发现乙方投标属虚假承诺，或经权威部门监测提供的货物不能满足采购文件要求，造成合同无法继续履行的，乙方应向甲方支付不少于合同总价</w:t>
      </w:r>
      <w:r>
        <w:rPr>
          <w:rFonts w:hint="eastAsia" w:ascii="宋体" w:hAnsi="宋体" w:eastAsia="宋体" w:cs="宋体"/>
          <w:sz w:val="21"/>
          <w:szCs w:val="21"/>
          <w:u w:val="single"/>
        </w:rPr>
        <w:t xml:space="preserve">20%</w:t>
      </w:r>
      <w:r>
        <w:rPr>
          <w:rFonts w:hint="eastAsia" w:ascii="宋体" w:hAnsi="宋体" w:eastAsia="宋体" w:cs="宋体"/>
          <w:sz w:val="21"/>
          <w:szCs w:val="21"/>
        </w:rPr>
        <w:t xml:space="preserve">赔偿金。</w:t>
      </w:r>
      <w:r/>
    </w:p>
    <w:p>
      <w:pPr>
        <w:ind w:firstLine="422"/>
        <w:keepLines w:val="0"/>
        <w:keepNext w:val="0"/>
        <w:pageBreakBefore w:val="0"/>
        <w:spacing w:line="300" w:lineRule="auto"/>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15、不可抗力事件处理</w:t>
      </w:r>
      <w:r/>
    </w:p>
    <w:p>
      <w:pPr>
        <w:ind w:firstLine="420"/>
        <w:keepLines w:val="0"/>
        <w:keepNext w:val="0"/>
        <w:pageBreakBefore w:val="0"/>
        <w:spacing w:line="30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15.1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ind w:firstLine="420"/>
        <w:keepLines w:val="0"/>
        <w:keepNext w:val="0"/>
        <w:pageBreakBefore w:val="0"/>
        <w:spacing w:line="30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15.2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ind w:firstLine="422"/>
        <w:keepLines w:val="0"/>
        <w:keepNext w:val="0"/>
        <w:pageBreakBefore w:val="0"/>
        <w:spacing w:line="300" w:lineRule="auto"/>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16、争议解决</w:t>
      </w:r>
      <w:r/>
    </w:p>
    <w:p>
      <w:pPr>
        <w:ind w:firstLine="420"/>
        <w:keepLines w:val="0"/>
        <w:keepNext w:val="0"/>
        <w:pageBreakBefore w:val="0"/>
        <w:spacing w:line="30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16.1 因货物的质量问题发生争议的，可在国家认可的质量检测机构对货物质量进行鉴定。货物符合标准的，鉴定费由甲方承担；货物不符合质量标准的，鉴定费由乙方承担。</w:t>
      </w:r>
      <w:r/>
    </w:p>
    <w:p>
      <w:pPr>
        <w:ind w:firstLine="420"/>
        <w:keepLines w:val="0"/>
        <w:keepNext w:val="0"/>
        <w:pageBreakBefore w:val="0"/>
        <w:spacing w:line="30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16.2 因履行本合同引起的或与本合同有关的争议，甲、乙双方应首先通过友好协商解决；如果协商不能解决争议，甲乙双方约定，按下列第（1）种方式解决争议：</w:t>
      </w:r>
      <w:r/>
    </w:p>
    <w:p>
      <w:pPr>
        <w:ind w:firstLine="420"/>
        <w:keepLines w:val="0"/>
        <w:keepNext w:val="0"/>
        <w:pageBreakBefore w:val="0"/>
        <w:spacing w:line="30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（1）将争议提交</w:t>
      </w:r>
      <w:r>
        <w:rPr>
          <w:rFonts w:hint="eastAsia" w:ascii="宋体" w:hAnsi="宋体" w:eastAsia="宋体" w:cs="宋体"/>
          <w:sz w:val="21"/>
          <w:szCs w:val="21"/>
          <w:u w:val="single"/>
          <w:lang w:val="zh-CN"/>
        </w:rPr>
        <w:t xml:space="preserve">扬州</w:t>
      </w:r>
      <w:r>
        <w:rPr>
          <w:rFonts w:hint="eastAsia" w:ascii="宋体" w:hAnsi="宋体" w:eastAsia="宋体" w:cs="宋体"/>
          <w:sz w:val="21"/>
          <w:szCs w:val="21"/>
          <w:lang w:val="zh-CN"/>
        </w:rPr>
        <w:t xml:space="preserve">仲裁委员会申请仲裁；</w:t>
      </w:r>
      <w:r/>
    </w:p>
    <w:p>
      <w:pPr>
        <w:ind w:firstLine="420"/>
        <w:keepLines w:val="0"/>
        <w:keepNext w:val="0"/>
        <w:pageBreakBefore w:val="0"/>
        <w:spacing w:line="30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（2）依法向合同履行地的人民法院提起诉讼。</w:t>
      </w:r>
      <w:r/>
    </w:p>
    <w:p>
      <w:pPr>
        <w:ind w:firstLine="420"/>
        <w:keepLines w:val="0"/>
        <w:keepNext w:val="0"/>
        <w:pageBreakBefore w:val="0"/>
        <w:spacing w:line="30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16.3 若甲乙双方任何一方都没有选择解除合同的，为避免扩大损失，在诉讼期间，双方应继续履行。</w:t>
      </w:r>
      <w:r/>
    </w:p>
    <w:p>
      <w:pPr>
        <w:ind w:firstLine="422"/>
        <w:keepLines w:val="0"/>
        <w:keepNext w:val="0"/>
        <w:pageBreakBefore w:val="0"/>
        <w:spacing w:line="300" w:lineRule="auto"/>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17、合同其它</w:t>
      </w:r>
      <w:r/>
    </w:p>
    <w:p>
      <w:pPr>
        <w:ind w:firstLine="420"/>
        <w:keepLines w:val="0"/>
        <w:keepNext w:val="0"/>
        <w:pageBreakBefore w:val="0"/>
        <w:spacing w:line="30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17.1 乙方应诚实信用，严格按照采购文件要求和投标承诺履行合同，不向甲方进行商业贿赂或者提供不正当利益。</w:t>
      </w:r>
      <w:r/>
    </w:p>
    <w:p>
      <w:pPr>
        <w:ind w:firstLine="420"/>
        <w:keepLines w:val="0"/>
        <w:keepNext w:val="0"/>
        <w:pageBreakBefore w:val="0"/>
        <w:spacing w:line="300" w:lineRule="auto"/>
        <w:rPr>
          <w:rFonts w:hint="eastAsia" w:ascii="宋体" w:hAnsi="宋体" w:eastAsia="宋体" w:cs="宋体"/>
          <w:sz w:val="21"/>
          <w:szCs w:val="21"/>
          <w:u w:val="single"/>
          <w:lang w:val="zh-CN"/>
        </w:rPr>
      </w:pPr>
      <w:r>
        <w:rPr>
          <w:rFonts w:hint="eastAsia" w:ascii="宋体" w:hAnsi="宋体" w:eastAsia="宋体" w:cs="宋体"/>
          <w:sz w:val="21"/>
          <w:szCs w:val="21"/>
          <w:lang w:val="zh-CN"/>
        </w:rPr>
        <w:t xml:space="preserve">17.2 合同经双方法定代表人或授权代表签字并加盖单位公章，并经</w:t>
      </w:r>
      <w:r>
        <w:rPr>
          <w:rFonts w:hint="eastAsia" w:ascii="宋体" w:hAnsi="宋体" w:cs="宋体"/>
          <w:sz w:val="21"/>
          <w:szCs w:val="21"/>
          <w:lang w:val="zh-CN"/>
        </w:rPr>
        <w:t xml:space="preserve">江苏省招标中心有限公司</w:t>
      </w:r>
      <w:r>
        <w:rPr>
          <w:rFonts w:hint="eastAsia" w:ascii="宋体" w:hAnsi="宋体" w:eastAsia="宋体" w:cs="宋体"/>
          <w:sz w:val="21"/>
          <w:szCs w:val="21"/>
          <w:lang w:val="zh-CN"/>
        </w:rPr>
        <w:t xml:space="preserve">见证盖章后生效。</w:t>
      </w:r>
      <w:r/>
    </w:p>
    <w:p>
      <w:pPr>
        <w:ind w:firstLine="420"/>
        <w:keepLines w:val="0"/>
        <w:keepNext w:val="0"/>
        <w:pageBreakBefore w:val="0"/>
        <w:spacing w:line="300" w:lineRule="auto"/>
        <w:rPr>
          <w:rFonts w:hint="eastAsia" w:ascii="宋体" w:hAnsi="宋体" w:eastAsia="宋体" w:cs="宋体"/>
          <w:sz w:val="21"/>
          <w:szCs w:val="21"/>
          <w:u w:val="single"/>
          <w:lang w:val="zh-CN"/>
        </w:rPr>
      </w:pPr>
      <w:r>
        <w:rPr>
          <w:rFonts w:hint="eastAsia" w:ascii="宋体" w:hAnsi="宋体" w:eastAsia="宋体" w:cs="宋体"/>
          <w:sz w:val="21"/>
          <w:szCs w:val="21"/>
          <w:lang w:val="zh-CN"/>
        </w:rPr>
        <w:t xml:space="preserve">17.2本合同未尽事宜，遵照《民法典》有关条文执行。</w:t>
      </w:r>
      <w:r/>
    </w:p>
    <w:p>
      <w:pPr>
        <w:ind w:firstLine="420"/>
        <w:keepLines w:val="0"/>
        <w:keepNext w:val="0"/>
        <w:pageBreakBefore w:val="0"/>
        <w:spacing w:line="30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17.3 本合同正本一式</w:t>
      </w:r>
      <w:r>
        <w:rPr>
          <w:rFonts w:hint="eastAsia" w:ascii="宋体" w:hAnsi="宋体" w:eastAsia="宋体" w:cs="宋体"/>
          <w:sz w:val="21"/>
          <w:szCs w:val="21"/>
        </w:rPr>
        <w:t xml:space="preserve">肆</w:t>
      </w:r>
      <w:r>
        <w:rPr>
          <w:rFonts w:hint="eastAsia" w:ascii="宋体" w:hAnsi="宋体" w:eastAsia="宋体" w:cs="宋体"/>
          <w:sz w:val="21"/>
          <w:szCs w:val="21"/>
          <w:lang w:val="zh-CN"/>
        </w:rPr>
        <w:t xml:space="preserve">份，具有同等法律效力，甲方</w:t>
      </w:r>
      <w:r>
        <w:rPr>
          <w:rFonts w:hint="eastAsia" w:ascii="宋体" w:hAnsi="宋体" w:eastAsia="宋体" w:cs="宋体"/>
          <w:sz w:val="21"/>
          <w:szCs w:val="21"/>
        </w:rPr>
        <w:t xml:space="preserve">贰</w:t>
      </w:r>
      <w:r>
        <w:rPr>
          <w:rFonts w:hint="eastAsia" w:ascii="宋体" w:hAnsi="宋体" w:eastAsia="宋体" w:cs="宋体"/>
          <w:sz w:val="21"/>
          <w:szCs w:val="21"/>
          <w:lang w:val="zh-CN"/>
        </w:rPr>
        <w:t xml:space="preserve">份，乙方壹份，见证方壹份。</w:t>
      </w:r>
      <w:r/>
    </w:p>
    <w:p>
      <w:pPr>
        <w:ind w:firstLine="420"/>
        <w:keepLines w:val="0"/>
        <w:keepNext w:val="0"/>
        <w:pageBreakBefore w:val="0"/>
        <w:spacing w:line="300" w:lineRule="auto"/>
        <w:rPr>
          <w:rFonts w:hint="eastAsia" w:ascii="宋体" w:hAnsi="宋体" w:eastAsia="宋体" w:cs="宋体"/>
          <w:sz w:val="21"/>
          <w:szCs w:val="21"/>
          <w:lang w:val="zh-CN"/>
        </w:rPr>
      </w:pPr>
      <w:r>
        <w:rPr>
          <w:rFonts w:hint="eastAsia" w:ascii="宋体" w:hAnsi="宋体" w:eastAsia="宋体" w:cs="宋体"/>
          <w:sz w:val="21"/>
          <w:szCs w:val="21"/>
          <w:lang w:val="zh-CN"/>
        </w:rPr>
      </w:r>
      <w:r/>
    </w:p>
    <w:p>
      <w:pPr>
        <w:pStyle w:val="881"/>
        <w:keepLines w:val="0"/>
        <w:keepNext w:val="0"/>
        <w:pageBreakBefore w:val="0"/>
        <w:spacing w:line="300" w:lineRule="auto"/>
        <w:rPr>
          <w:rFonts w:hint="eastAsia" w:ascii="宋体" w:hAnsi="宋体" w:eastAsia="宋体" w:cs="宋体"/>
          <w:sz w:val="21"/>
          <w:szCs w:val="21"/>
          <w:lang w:val="zh-CN"/>
        </w:rPr>
      </w:pPr>
      <w:r>
        <w:rPr>
          <w:rFonts w:hint="eastAsia" w:ascii="宋体" w:hAnsi="宋体" w:eastAsia="宋体" w:cs="宋体"/>
          <w:sz w:val="21"/>
          <w:szCs w:val="21"/>
          <w:lang w:val="zh-CN"/>
        </w:rPr>
      </w:r>
      <w:r/>
    </w:p>
    <w:p>
      <w:pPr>
        <w:keepLines w:val="0"/>
        <w:keepNext w:val="0"/>
        <w:pageBreakBefore w:val="0"/>
        <w:spacing w:line="300" w:lineRule="auto"/>
        <w:rPr>
          <w:rFonts w:hint="default" w:ascii="宋体" w:hAnsi="宋体" w:eastAsia="宋体" w:cs="宋体"/>
          <w:sz w:val="21"/>
          <w:szCs w:val="21"/>
          <w:lang w:val="en-US"/>
        </w:rPr>
      </w:pPr>
      <w:r>
        <w:rPr>
          <w:rFonts w:hint="eastAsia" w:ascii="宋体" w:hAnsi="宋体" w:eastAsia="宋体" w:cs="宋体"/>
          <w:sz w:val="21"/>
          <w:szCs w:val="21"/>
          <w:lang w:val="zh-CN"/>
        </w:rPr>
        <w:t xml:space="preserve">甲方：</w:t>
      </w:r>
      <w:r>
        <w:rPr>
          <w:rFonts w:hint="eastAsia" w:ascii="宋体" w:hAnsi="宋体" w:eastAsia="宋体" w:cs="宋体"/>
          <w:sz w:val="21"/>
          <w:szCs w:val="21"/>
          <w:u w:val="single"/>
          <w:lang w:val="zh-CN"/>
        </w:rPr>
        <w:t xml:space="preserve">扬州市妇幼保健院</w:t>
      </w:r>
      <w:r>
        <w:rPr>
          <w:rFonts w:hint="eastAsia" w:ascii="宋体" w:hAnsi="宋体" w:eastAsia="宋体" w:cs="宋体"/>
          <w:sz w:val="21"/>
          <w:szCs w:val="21"/>
          <w:lang w:val="zh-CN"/>
        </w:rPr>
        <w:t xml:space="preserve">          乙方：</w:t>
      </w:r>
      <w:r>
        <w:rPr>
          <w:rFonts w:hint="eastAsia" w:ascii="宋体" w:hAnsi="宋体" w:eastAsia="宋体" w:cs="宋体"/>
          <w:sz w:val="21"/>
          <w:szCs w:val="21"/>
          <w:u w:val="single"/>
          <w:lang w:val="en-US" w:eastAsia="zh-CN" w:bidi="ar"/>
        </w:rPr>
        <w:t xml:space="preserve">           </w:t>
      </w:r>
      <w:r/>
    </w:p>
    <w:p>
      <w:pPr>
        <w:jc w:val="left"/>
        <w:keepLines w:val="0"/>
        <w:keepNext w:val="0"/>
        <w:pageBreakBefore w:val="0"/>
        <w:spacing w:line="300" w:lineRule="auto"/>
        <w:widowControl/>
        <w:rPr>
          <w:rFonts w:hint="eastAsia" w:ascii="宋体" w:hAnsi="宋体" w:eastAsia="宋体" w:cs="宋体"/>
          <w:sz w:val="21"/>
          <w:szCs w:val="21"/>
        </w:rPr>
        <w:suppressLineNumbers w:val="0"/>
      </w:pPr>
      <w:r>
        <w:rPr>
          <w:rFonts w:hint="eastAsia" w:ascii="宋体" w:hAnsi="宋体" w:eastAsia="宋体" w:cs="宋体"/>
          <w:sz w:val="21"/>
          <w:szCs w:val="21"/>
          <w:lang w:val="zh-CN"/>
        </w:rPr>
        <w:t xml:space="preserve">地址：</w:t>
      </w:r>
      <w:r>
        <w:rPr>
          <w:rFonts w:hint="eastAsia" w:ascii="宋体" w:hAnsi="宋体" w:eastAsia="宋体" w:cs="宋体"/>
          <w:sz w:val="21"/>
          <w:szCs w:val="21"/>
          <w:u w:val="single"/>
          <w:lang w:val="en-US" w:eastAsia="zh-CN"/>
        </w:rPr>
        <w:t xml:space="preserve">扬州市京杭北路50号</w:t>
      </w:r>
      <w:r>
        <w:rPr>
          <w:rFonts w:hint="eastAsia" w:ascii="宋体" w:hAnsi="宋体" w:eastAsia="宋体" w:cs="宋体"/>
          <w:sz w:val="21"/>
          <w:szCs w:val="21"/>
          <w:lang w:val="zh-CN"/>
        </w:rPr>
        <w:t xml:space="preserve">       地址：</w:t>
      </w:r>
      <w:r/>
    </w:p>
    <w:p>
      <w:pPr>
        <w:keepLines w:val="0"/>
        <w:keepNext w:val="0"/>
        <w:pageBreakBefore w:val="0"/>
        <w:spacing w:line="300" w:lineRule="auto"/>
        <w:rPr>
          <w:rFonts w:hint="eastAsia" w:ascii="宋体" w:hAnsi="宋体" w:eastAsia="宋体" w:cs="宋体"/>
          <w:sz w:val="21"/>
          <w:szCs w:val="21"/>
          <w:u w:val="single"/>
          <w:lang w:val="zh-CN"/>
        </w:rPr>
      </w:pPr>
      <w:r>
        <w:rPr>
          <w:rFonts w:hint="eastAsia" w:ascii="宋体" w:hAnsi="宋体" w:eastAsia="宋体" w:cs="宋体"/>
          <w:sz w:val="21"/>
          <w:szCs w:val="21"/>
          <w:lang w:val="zh-CN"/>
        </w:rPr>
        <w:t xml:space="preserve">法定代表人或授权代表：          法定代表人或授权代表：</w:t>
      </w:r>
      <w:r/>
    </w:p>
    <w:p>
      <w:pPr>
        <w:jc w:val="left"/>
        <w:keepLines w:val="0"/>
        <w:keepNext w:val="0"/>
        <w:pageBreakBefore w:val="0"/>
        <w:spacing w:line="300" w:lineRule="auto"/>
        <w:widowControl/>
        <w:rPr>
          <w:rFonts w:hint="eastAsia" w:ascii="宋体" w:hAnsi="宋体" w:eastAsia="宋体" w:cs="宋体"/>
          <w:sz w:val="21"/>
          <w:szCs w:val="21"/>
          <w:u w:val="single"/>
          <w:lang w:val="zh-CN"/>
        </w:rPr>
        <w:suppressLineNumbers w:val="0"/>
      </w:pPr>
      <w:r>
        <w:rPr>
          <w:rFonts w:hint="eastAsia" w:ascii="宋体" w:hAnsi="宋体" w:eastAsia="宋体" w:cs="宋体"/>
          <w:sz w:val="21"/>
          <w:szCs w:val="21"/>
          <w:lang w:val="zh-CN"/>
        </w:rPr>
        <w:t xml:space="preserve">联系电话：</w:t>
      </w:r>
      <w:r>
        <w:rPr>
          <w:rFonts w:hint="eastAsia" w:ascii="宋体" w:hAnsi="宋体" w:eastAsia="宋体" w:cs="宋体"/>
          <w:sz w:val="21"/>
          <w:szCs w:val="21"/>
          <w:lang w:val="en-US" w:eastAsia="zh-CN"/>
        </w:rPr>
        <w:t xml:space="preserve">0514-80828095</w:t>
      </w:r>
      <w:r>
        <w:rPr>
          <w:rFonts w:hint="eastAsia" w:ascii="宋体" w:hAnsi="宋体" w:eastAsia="宋体" w:cs="宋体"/>
          <w:sz w:val="21"/>
          <w:szCs w:val="21"/>
          <w:lang w:val="zh-CN"/>
        </w:rPr>
        <w:t xml:space="preserve">         联系电话：</w:t>
      </w:r>
      <w:r/>
    </w:p>
    <w:p>
      <w:pPr>
        <w:keepLines w:val="0"/>
        <w:keepNext w:val="0"/>
        <w:pageBreakBefore w:val="0"/>
        <w:spacing w:line="30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日期：</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zh-CN"/>
        </w:rPr>
        <w:t xml:space="preserve">年</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zh-CN"/>
        </w:rPr>
        <w:t xml:space="preserve">月</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zh-CN"/>
        </w:rPr>
        <w:t xml:space="preserve">日            日期：</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zh-CN"/>
        </w:rPr>
        <w:t xml:space="preserve">年</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zh-CN"/>
        </w:rPr>
        <w:t xml:space="preserve">月</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zh-CN"/>
        </w:rPr>
        <w:t xml:space="preserve">日</w:t>
      </w:r>
      <w:r/>
    </w:p>
    <w:p>
      <w:pPr>
        <w:ind w:firstLine="420"/>
        <w:keepLines w:val="0"/>
        <w:keepNext w:val="0"/>
        <w:pageBreakBefore w:val="0"/>
        <w:spacing w:line="300" w:lineRule="auto"/>
        <w:rPr>
          <w:rFonts w:hint="eastAsia" w:ascii="宋体" w:hAnsi="宋体" w:eastAsia="宋体" w:cs="宋体"/>
          <w:sz w:val="21"/>
          <w:szCs w:val="21"/>
          <w:lang w:val="zh-CN"/>
        </w:rPr>
      </w:pPr>
      <w:r>
        <w:rPr>
          <w:rFonts w:hint="eastAsia" w:ascii="宋体" w:hAnsi="宋体" w:eastAsia="宋体" w:cs="宋体"/>
          <w:sz w:val="21"/>
          <w:szCs w:val="21"/>
          <w:lang w:val="zh-CN"/>
        </w:rPr>
      </w:r>
      <w:r/>
    </w:p>
    <w:p>
      <w:pPr>
        <w:ind w:firstLine="420"/>
        <w:keepLines w:val="0"/>
        <w:keepNext w:val="0"/>
        <w:pageBreakBefore w:val="0"/>
        <w:spacing w:line="300" w:lineRule="auto"/>
        <w:rPr>
          <w:rFonts w:hint="eastAsia" w:ascii="宋体" w:hAnsi="宋体" w:eastAsia="宋体" w:cs="宋体"/>
          <w:sz w:val="21"/>
          <w:szCs w:val="21"/>
          <w:lang w:val="zh-CN"/>
        </w:rPr>
      </w:pPr>
      <w:r>
        <w:rPr>
          <w:rFonts w:hint="eastAsia" w:ascii="宋体" w:hAnsi="宋体" w:eastAsia="宋体" w:cs="宋体"/>
          <w:sz w:val="21"/>
          <w:szCs w:val="21"/>
          <w:lang w:val="zh-CN"/>
        </w:rPr>
      </w:r>
      <w:r/>
    </w:p>
    <w:p>
      <w:pPr>
        <w:keepLines w:val="0"/>
        <w:keepNext w:val="0"/>
        <w:pageBreakBefore w:val="0"/>
        <w:spacing w:line="300" w:lineRule="auto"/>
        <w:rPr>
          <w:rFonts w:hint="eastAsia" w:ascii="宋体" w:hAnsi="宋体" w:eastAsia="宋体" w:cs="宋体"/>
          <w:sz w:val="21"/>
          <w:szCs w:val="21"/>
          <w:lang w:val="zh-CN" w:eastAsia="zh-CN"/>
        </w:rPr>
      </w:pPr>
      <w:r>
        <w:rPr>
          <w:rFonts w:hint="eastAsia" w:ascii="宋体" w:hAnsi="宋体" w:eastAsia="宋体" w:cs="宋体"/>
          <w:sz w:val="21"/>
          <w:szCs w:val="21"/>
          <w:lang w:val="zh-CN"/>
        </w:rPr>
        <w:t xml:space="preserve">见证方：</w:t>
      </w:r>
      <w:r>
        <w:rPr>
          <w:rFonts w:hint="eastAsia" w:ascii="宋体" w:hAnsi="宋体" w:eastAsia="宋体" w:cs="宋体"/>
          <w:sz w:val="21"/>
          <w:szCs w:val="21"/>
          <w:lang w:val="en-US" w:eastAsia="zh-CN"/>
        </w:rPr>
        <w:t xml:space="preserve">江苏省招标中心有限公司</w:t>
      </w:r>
      <w:r/>
    </w:p>
    <w:p>
      <w:pPr>
        <w:keepLines w:val="0"/>
        <w:keepNext w:val="0"/>
        <w:pageBreakBefore w:val="0"/>
        <w:spacing w:line="300" w:lineRule="auto"/>
        <w:rPr>
          <w:rFonts w:hint="default" w:ascii="宋体" w:hAnsi="宋体" w:eastAsia="宋体" w:cs="宋体"/>
          <w:sz w:val="21"/>
          <w:szCs w:val="21"/>
          <w:lang w:val="en-US" w:eastAsia="zh-CN"/>
        </w:rPr>
      </w:pPr>
      <w:r>
        <w:rPr>
          <w:rFonts w:hint="eastAsia" w:ascii="宋体" w:hAnsi="宋体" w:eastAsia="宋体" w:cs="宋体"/>
          <w:sz w:val="21"/>
          <w:szCs w:val="21"/>
          <w:lang w:val="zh-CN"/>
        </w:rPr>
        <w:t xml:space="preserve">项目经办人： </w:t>
      </w:r>
      <w:r>
        <w:rPr>
          <w:rFonts w:hint="eastAsia" w:ascii="宋体" w:hAnsi="宋体" w:eastAsia="宋体" w:cs="宋体"/>
          <w:sz w:val="21"/>
          <w:szCs w:val="21"/>
          <w:lang w:val="en-US" w:eastAsia="zh-CN"/>
        </w:rPr>
        <w:t xml:space="preserve">  </w:t>
      </w:r>
      <w:r/>
    </w:p>
    <w:p>
      <w:pPr>
        <w:keepLines w:val="0"/>
        <w:keepNext w:val="0"/>
        <w:pageBreakBefore w:val="0"/>
        <w:spacing w:line="300" w:lineRule="auto"/>
        <w:rPr>
          <w:rFonts w:hint="eastAsia" w:ascii="宋体" w:hAnsi="宋体" w:eastAsia="宋体" w:cs="宋体"/>
          <w:sz w:val="21"/>
          <w:szCs w:val="21"/>
          <w:lang w:val="zh-CN"/>
        </w:rPr>
      </w:pPr>
      <w:r>
        <w:rPr>
          <w:rFonts w:hint="eastAsia" w:ascii="宋体" w:hAnsi="宋体" w:eastAsia="宋体" w:cs="宋体"/>
          <w:sz w:val="21"/>
          <w:szCs w:val="21"/>
        </w:rPr>
        <w:t xml:space="preserve">日期：</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年</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月</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日</w:t>
      </w:r>
      <w:r/>
    </w:p>
    <w:p>
      <w:pPr>
        <w:ind w:firstLine="420"/>
        <w:pageBreakBefore w:val="0"/>
        <w:spacing w:line="300" w:lineRule="auto"/>
        <w:rPr>
          <w:rFonts w:hAnsi="宋体" w:cs="宋体"/>
          <w:szCs w:val="24"/>
          <w:highlight w:val="none"/>
          <w:lang w:val="zh-CN"/>
        </w:rPr>
      </w:pPr>
      <w:r>
        <w:rPr>
          <w:rFonts w:hAnsi="宋体" w:cs="宋体"/>
          <w:szCs w:val="24"/>
          <w:highlight w:val="none"/>
          <w:lang w:val="zh-CN"/>
        </w:rPr>
      </w:r>
      <w:r/>
    </w:p>
    <w:p>
      <w:pPr>
        <w:pStyle w:val="887"/>
        <w:ind w:firstLine="210"/>
        <w:pageBreakBefore w:val="0"/>
        <w:spacing w:before="120" w:after="120" w:line="300" w:lineRule="auto"/>
        <w:rPr>
          <w:rFonts w:hAnsi="宋体"/>
          <w:sz w:val="21"/>
          <w:highlight w:val="none"/>
        </w:rPr>
      </w:pPr>
      <w:r>
        <w:rPr>
          <w:rFonts w:hAnsi="宋体"/>
          <w:sz w:val="21"/>
          <w:highlight w:val="none"/>
        </w:rPr>
      </w:r>
      <w:r/>
    </w:p>
    <w:p>
      <w:pPr>
        <w:pageBreakBefore w:val="0"/>
        <w:spacing w:line="300" w:lineRule="auto"/>
        <w:rPr>
          <w:rFonts w:ascii="宋体" w:hAnsi="宋体"/>
          <w:highlight w:val="none"/>
        </w:rPr>
      </w:pPr>
      <w:r>
        <w:rPr>
          <w:rFonts w:hint="eastAsia" w:ascii="宋体" w:hAnsi="宋体"/>
          <w:highlight w:val="none"/>
        </w:rPr>
        <w:br w:type="page" w:clear="all"/>
      </w:r>
      <w:bookmarkEnd w:id="59"/>
      <w:r/>
    </w:p>
    <w:p>
      <w:pPr>
        <w:pStyle w:val="875"/>
        <w:jc w:val="center"/>
        <w:pageBreakBefore w:val="0"/>
        <w:spacing w:line="300" w:lineRule="auto"/>
        <w:rPr>
          <w:rFonts w:hint="eastAsia" w:ascii="宋体" w:hAnsi="宋体"/>
          <w:sz w:val="30"/>
          <w:szCs w:val="30"/>
          <w:highlight w:val="none"/>
        </w:rPr>
      </w:pPr>
      <w:r/>
      <w:bookmarkStart w:id="65" w:name="_Toc26403"/>
      <w:r/>
      <w:bookmarkStart w:id="66" w:name="_Toc7037"/>
      <w:r>
        <w:rPr>
          <w:rFonts w:hint="eastAsia" w:ascii="宋体" w:hAnsi="宋体"/>
          <w:sz w:val="30"/>
          <w:szCs w:val="30"/>
          <w:highlight w:val="none"/>
          <w:lang w:val="en-US" w:eastAsia="zh-CN"/>
        </w:rPr>
        <w:t xml:space="preserve">第四章 </w:t>
      </w:r>
      <w:r>
        <w:rPr>
          <w:rFonts w:hint="eastAsia" w:ascii="宋体" w:hAnsi="宋体"/>
          <w:sz w:val="30"/>
          <w:szCs w:val="30"/>
          <w:highlight w:val="none"/>
        </w:rPr>
        <w:t xml:space="preserve">项目需求</w:t>
      </w:r>
      <w:bookmarkEnd w:id="65"/>
      <w:r/>
      <w:bookmarkEnd w:id="66"/>
      <w:r/>
      <w:r/>
    </w:p>
    <w:p>
      <w:pPr>
        <w:jc w:val="left"/>
        <w:keepLines w:val="0"/>
        <w:keepNext w:val="0"/>
        <w:pageBreakBefore w:val="0"/>
        <w:spacing w:line="300" w:lineRule="auto"/>
        <w:widowControl w:val="off"/>
        <w:rPr>
          <w:rFonts w:hint="default" w:ascii="宋体" w:hAnsi="宋体" w:eastAsia="宋体" w:cs="宋体"/>
          <w:b/>
          <w:bCs/>
          <w:sz w:val="21"/>
          <w:szCs w:val="21"/>
          <w:highlight w:val="none"/>
          <w:lang w:val="en-US" w:eastAsia="zh-CN"/>
        </w:rPr>
        <w:outlineLvl w:val="1"/>
      </w:pPr>
      <w:r>
        <w:rPr>
          <w:rFonts w:hint="eastAsia" w:ascii="宋体" w:hAnsi="宋体" w:cs="宋体"/>
          <w:b/>
          <w:bCs/>
          <w:sz w:val="21"/>
          <w:szCs w:val="21"/>
          <w:highlight w:val="none"/>
        </w:rPr>
        <w:t xml:space="preserve">一、招标项目名称</w:t>
      </w:r>
      <w:r>
        <w:rPr>
          <w:rFonts w:hint="eastAsia" w:ascii="宋体" w:hAnsi="宋体" w:cs="宋体"/>
          <w:b/>
          <w:bCs/>
          <w:sz w:val="21"/>
          <w:szCs w:val="21"/>
          <w:highlight w:val="none"/>
          <w:lang w:val="en-US" w:eastAsia="zh-CN"/>
        </w:rPr>
        <w:t xml:space="preserve">及编号：</w:t>
      </w:r>
      <w:r/>
    </w:p>
    <w:p>
      <w:pPr>
        <w:ind w:firstLine="420"/>
        <w:jc w:val="left"/>
        <w:keepLines w:val="0"/>
        <w:keepNext w:val="0"/>
        <w:pageBreakBefore w:val="0"/>
        <w:spacing w:line="300" w:lineRule="auto"/>
        <w:widowControl w:val="off"/>
        <w:rPr>
          <w:rFonts w:hint="default"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rPr>
        <w:t xml:space="preserve">（一）项目名称：</w:t>
      </w:r>
      <w:r>
        <w:rPr>
          <w:rFonts w:hint="eastAsia" w:ascii="宋体" w:hAnsi="宋体" w:cs="宋体"/>
          <w:b w:val="0"/>
          <w:bCs w:val="0"/>
          <w:sz w:val="21"/>
          <w:szCs w:val="21"/>
          <w:highlight w:val="none"/>
          <w:lang w:eastAsia="zh-CN"/>
        </w:rPr>
        <w:t xml:space="preserve">扬州市妇幼保健院托育综合服务中心玩教具</w:t>
      </w:r>
      <w:r>
        <w:rPr>
          <w:rFonts w:hint="eastAsia" w:ascii="宋体" w:hAnsi="宋体" w:cs="宋体"/>
          <w:b w:val="0"/>
          <w:bCs w:val="0"/>
          <w:sz w:val="21"/>
          <w:szCs w:val="21"/>
          <w:highlight w:val="none"/>
          <w:lang w:val="en-US" w:eastAsia="zh-CN"/>
        </w:rPr>
        <w:t xml:space="preserve">采购项目</w:t>
      </w:r>
      <w:r/>
    </w:p>
    <w:p>
      <w:pPr>
        <w:ind w:firstLine="420"/>
        <w:jc w:val="left"/>
        <w:keepLines w:val="0"/>
        <w:keepNext w:val="0"/>
        <w:pageBreakBefore w:val="0"/>
        <w:spacing w:line="300" w:lineRule="auto"/>
        <w:widowControl w:val="off"/>
        <w:rPr>
          <w:rFonts w:hint="eastAsia" w:ascii="宋体" w:hAnsi="宋体" w:cs="宋体"/>
          <w:b w:val="0"/>
          <w:bCs w:val="0"/>
          <w:sz w:val="21"/>
          <w:szCs w:val="21"/>
          <w:highlight w:val="none"/>
        </w:rPr>
      </w:pPr>
      <w:r>
        <w:rPr>
          <w:rFonts w:hint="eastAsia" w:ascii="宋体" w:hAnsi="宋体" w:cs="宋体"/>
          <w:b w:val="0"/>
          <w:bCs w:val="0"/>
          <w:sz w:val="21"/>
          <w:szCs w:val="21"/>
          <w:highlight w:val="none"/>
        </w:rPr>
        <w:t xml:space="preserve">（二）项目编号：JSZC-321000-JITC-G2026-0216</w:t>
      </w:r>
      <w:r/>
    </w:p>
    <w:p>
      <w:pPr>
        <w:jc w:val="left"/>
        <w:keepLines w:val="0"/>
        <w:keepNext w:val="0"/>
        <w:pageBreakBefore w:val="0"/>
        <w:spacing w:line="300" w:lineRule="auto"/>
        <w:widowControl w:val="off"/>
        <w:rPr>
          <w:rFonts w:hint="eastAsia" w:ascii="宋体" w:hAnsi="宋体" w:cs="宋体"/>
          <w:b/>
          <w:bCs/>
          <w:sz w:val="21"/>
          <w:szCs w:val="21"/>
          <w:highlight w:val="none"/>
        </w:rPr>
        <w:outlineLvl w:val="1"/>
      </w:pPr>
      <w:r>
        <w:rPr>
          <w:rFonts w:hint="eastAsia" w:ascii="宋体" w:hAnsi="宋体" w:cs="宋体"/>
          <w:b/>
          <w:bCs/>
          <w:sz w:val="21"/>
          <w:szCs w:val="21"/>
          <w:highlight w:val="none"/>
        </w:rPr>
        <w:t xml:space="preserve">二、招标项目说明</w:t>
      </w:r>
      <w:r/>
    </w:p>
    <w:p>
      <w:pPr>
        <w:ind w:firstLine="420"/>
        <w:jc w:val="left"/>
        <w:keepLines w:val="0"/>
        <w:keepNext w:val="0"/>
        <w:pageBreakBefore w:val="0"/>
        <w:spacing w:line="300" w:lineRule="auto"/>
        <w:widowControl w:val="off"/>
        <w:rPr>
          <w:rFonts w:hint="eastAsia" w:ascii="宋体" w:hAnsi="宋体" w:cs="宋体"/>
          <w:b w:val="0"/>
          <w:bCs w:val="0"/>
          <w:i/>
          <w:iCs/>
          <w:sz w:val="21"/>
          <w:szCs w:val="21"/>
          <w:highlight w:val="none"/>
          <w:u w:val="single"/>
        </w:rPr>
      </w:pPr>
      <w:r>
        <w:rPr>
          <w:rFonts w:hint="eastAsia" w:ascii="宋体" w:hAnsi="宋体" w:cs="宋体"/>
          <w:b w:val="0"/>
          <w:bCs w:val="0"/>
          <w:i/>
          <w:iCs/>
          <w:sz w:val="21"/>
          <w:szCs w:val="21"/>
          <w:highlight w:val="none"/>
          <w:u w:val="single"/>
        </w:rPr>
        <w:t xml:space="preserve">（一）投标报价超过最高限价按无效</w:t>
      </w:r>
      <w:r>
        <w:rPr>
          <w:rFonts w:hint="eastAsia" w:ascii="宋体" w:hAnsi="宋体" w:cs="宋体"/>
          <w:b w:val="0"/>
          <w:bCs w:val="0"/>
          <w:i/>
          <w:iCs/>
          <w:sz w:val="21"/>
          <w:szCs w:val="21"/>
          <w:highlight w:val="none"/>
          <w:u w:val="single"/>
          <w:lang w:val="en-US" w:eastAsia="zh-CN"/>
        </w:rPr>
        <w:t xml:space="preserve">投标</w:t>
      </w:r>
      <w:r>
        <w:rPr>
          <w:rFonts w:hint="eastAsia" w:ascii="宋体" w:hAnsi="宋体" w:cs="宋体"/>
          <w:b w:val="0"/>
          <w:bCs w:val="0"/>
          <w:i/>
          <w:iCs/>
          <w:sz w:val="21"/>
          <w:szCs w:val="21"/>
          <w:highlight w:val="none"/>
          <w:u w:val="single"/>
        </w:rPr>
        <w:t xml:space="preserve">处理。</w:t>
      </w:r>
      <w:r/>
    </w:p>
    <w:p>
      <w:pPr>
        <w:ind w:firstLine="420"/>
        <w:jc w:val="left"/>
        <w:keepLines w:val="0"/>
        <w:keepNext w:val="0"/>
        <w:pageBreakBefore w:val="0"/>
        <w:spacing w:line="300" w:lineRule="auto"/>
        <w:widowControl w:val="off"/>
        <w:rPr>
          <w:rFonts w:hint="eastAsia" w:ascii="宋体" w:hAnsi="宋体" w:cs="宋体"/>
          <w:b w:val="0"/>
          <w:bCs w:val="0"/>
          <w:i/>
          <w:iCs/>
          <w:sz w:val="21"/>
          <w:szCs w:val="21"/>
          <w:highlight w:val="none"/>
          <w:u w:val="single"/>
        </w:rPr>
      </w:pPr>
      <w:r>
        <w:rPr>
          <w:rFonts w:hint="eastAsia" w:ascii="宋体" w:hAnsi="宋体" w:cs="宋体"/>
          <w:b w:val="0"/>
          <w:bCs w:val="0"/>
          <w:i/>
          <w:iCs/>
          <w:sz w:val="21"/>
          <w:szCs w:val="21"/>
          <w:highlight w:val="none"/>
          <w:u w:val="single"/>
        </w:rPr>
        <w:t xml:space="preserve">（二）</w:t>
      </w:r>
      <w:r>
        <w:rPr>
          <w:rFonts w:hint="eastAsia" w:ascii="宋体" w:hAnsi="宋体" w:cs="宋体"/>
          <w:b w:val="0"/>
          <w:bCs w:val="0"/>
          <w:i/>
          <w:iCs/>
          <w:sz w:val="21"/>
          <w:szCs w:val="21"/>
          <w:highlight w:val="none"/>
          <w:u w:val="single"/>
          <w:lang w:val="en-US" w:eastAsia="zh-CN"/>
        </w:rPr>
        <w:t xml:space="preserve">供</w:t>
      </w:r>
      <w:r>
        <w:rPr>
          <w:rFonts w:hint="eastAsia" w:ascii="宋体" w:hAnsi="宋体" w:cs="宋体"/>
          <w:b w:val="0"/>
          <w:bCs w:val="0"/>
          <w:i/>
          <w:iCs/>
          <w:sz w:val="21"/>
          <w:szCs w:val="21"/>
          <w:highlight w:val="none"/>
          <w:u w:val="single"/>
        </w:rPr>
        <w:t xml:space="preserve">货期：合同签订后，45日历天内将货物送至采购人指定地点，验收合格并交付采购人使用。</w:t>
      </w:r>
      <w:r/>
    </w:p>
    <w:p>
      <w:pPr>
        <w:ind w:firstLine="420"/>
        <w:jc w:val="left"/>
        <w:keepLines w:val="0"/>
        <w:keepNext w:val="0"/>
        <w:pageBreakBefore w:val="0"/>
        <w:spacing w:line="300" w:lineRule="auto"/>
        <w:widowControl w:val="off"/>
        <w:rPr>
          <w:rFonts w:hint="default" w:ascii="宋体" w:hAnsi="宋体" w:eastAsia="宋体" w:cs="宋体"/>
          <w:b w:val="0"/>
          <w:bCs w:val="0"/>
          <w:i/>
          <w:iCs/>
          <w:sz w:val="21"/>
          <w:szCs w:val="21"/>
          <w:highlight w:val="none"/>
          <w:u w:val="single"/>
          <w:lang w:val="en-US" w:eastAsia="zh-CN"/>
        </w:rPr>
      </w:pPr>
      <w:r>
        <w:rPr>
          <w:rFonts w:hint="eastAsia" w:ascii="宋体" w:hAnsi="宋体" w:cs="宋体"/>
          <w:b w:val="0"/>
          <w:bCs w:val="0"/>
          <w:i/>
          <w:iCs/>
          <w:sz w:val="21"/>
          <w:szCs w:val="21"/>
          <w:highlight w:val="none"/>
          <w:u w:val="single"/>
        </w:rPr>
        <w:t xml:space="preserve">（三）付款方式：</w:t>
      </w:r>
      <w:r>
        <w:rPr>
          <w:rFonts w:hint="eastAsia" w:ascii="宋体" w:hAnsi="宋体" w:cs="宋体"/>
          <w:b w:val="0"/>
          <w:bCs w:val="0"/>
          <w:i/>
          <w:iCs/>
          <w:sz w:val="21"/>
          <w:szCs w:val="21"/>
          <w:highlight w:val="none"/>
          <w:u w:val="single"/>
          <w:lang w:val="en-US" w:eastAsia="zh-CN"/>
        </w:rPr>
        <w:t xml:space="preserve">详见第三章。</w:t>
      </w:r>
      <w:r/>
    </w:p>
    <w:p>
      <w:pPr>
        <w:ind w:firstLine="420"/>
        <w:jc w:val="left"/>
        <w:keepLines w:val="0"/>
        <w:keepNext w:val="0"/>
        <w:pageBreakBefore w:val="0"/>
        <w:spacing w:line="300" w:lineRule="auto"/>
        <w:widowControl w:val="off"/>
        <w:rPr>
          <w:rFonts w:hint="eastAsia" w:ascii="宋体" w:hAnsi="宋体" w:cs="宋体"/>
          <w:b w:val="0"/>
          <w:bCs w:val="0"/>
          <w:i/>
          <w:iCs/>
          <w:sz w:val="21"/>
          <w:szCs w:val="21"/>
          <w:highlight w:val="none"/>
          <w:u w:val="single"/>
          <w:lang w:val="en-US" w:eastAsia="zh-CN"/>
        </w:rPr>
      </w:pPr>
      <w:r>
        <w:rPr>
          <w:rFonts w:hint="eastAsia" w:ascii="宋体" w:hAnsi="宋体" w:cs="宋体"/>
          <w:b w:val="0"/>
          <w:bCs w:val="0"/>
          <w:i/>
          <w:iCs/>
          <w:sz w:val="21"/>
          <w:szCs w:val="21"/>
          <w:highlight w:val="none"/>
          <w:u w:val="single"/>
        </w:rPr>
        <w:t xml:space="preserve">（四）</w:t>
      </w:r>
      <w:r>
        <w:rPr>
          <w:rFonts w:hint="eastAsia" w:ascii="宋体" w:hAnsi="宋体" w:cs="宋体"/>
          <w:b w:val="0"/>
          <w:bCs w:val="0"/>
          <w:i/>
          <w:iCs/>
          <w:sz w:val="21"/>
          <w:szCs w:val="21"/>
          <w:highlight w:val="none"/>
          <w:u w:val="single"/>
          <w:lang w:val="en-US" w:eastAsia="zh-CN"/>
        </w:rPr>
        <w:t xml:space="preserve">质保期</w:t>
      </w:r>
      <w:r>
        <w:rPr>
          <w:rFonts w:hint="eastAsia" w:ascii="宋体" w:hAnsi="宋体" w:cs="宋体"/>
          <w:b w:val="0"/>
          <w:bCs w:val="0"/>
          <w:i/>
          <w:iCs/>
          <w:sz w:val="21"/>
          <w:szCs w:val="21"/>
          <w:highlight w:val="none"/>
          <w:u w:val="single"/>
          <w:lang w:eastAsia="zh-CN"/>
        </w:rPr>
        <w:t xml:space="preserve">：</w:t>
      </w:r>
      <w:r>
        <w:rPr>
          <w:rFonts w:hint="eastAsia" w:ascii="宋体" w:hAnsi="宋体" w:cs="宋体"/>
          <w:b w:val="0"/>
          <w:bCs w:val="0"/>
          <w:i/>
          <w:iCs/>
          <w:sz w:val="21"/>
          <w:szCs w:val="21"/>
          <w:highlight w:val="none"/>
          <w:u w:val="single"/>
          <w:lang w:val="en-US" w:eastAsia="zh-CN"/>
        </w:rPr>
        <w:t xml:space="preserve">2年。</w:t>
      </w:r>
      <w:bookmarkStart w:id="67" w:name="_Toc55204181"/>
      <w:r/>
      <w:r/>
    </w:p>
    <w:p>
      <w:pPr>
        <w:ind w:firstLine="0"/>
        <w:jc w:val="left"/>
        <w:keepLines w:val="0"/>
        <w:keepNext w:val="0"/>
        <w:pageBreakBefore w:val="0"/>
        <w:spacing w:line="300" w:lineRule="auto"/>
        <w:widowControl w:val="off"/>
        <w:rPr>
          <w:rFonts w:hint="eastAsia" w:ascii="宋体" w:hAnsi="宋体" w:cs="宋体"/>
          <w:b/>
          <w:bCs/>
          <w:sz w:val="21"/>
          <w:szCs w:val="21"/>
          <w:highlight w:val="none"/>
          <w:lang w:val="en-US" w:eastAsia="zh-CN"/>
        </w:rPr>
        <w:outlineLvl w:val="1"/>
      </w:pPr>
      <w:r>
        <w:rPr>
          <w:rFonts w:hint="eastAsia" w:ascii="宋体" w:hAnsi="宋体" w:cs="宋体"/>
          <w:b/>
          <w:bCs/>
          <w:sz w:val="21"/>
          <w:szCs w:val="21"/>
          <w:highlight w:val="none"/>
          <w:lang w:val="en-US" w:eastAsia="zh-CN"/>
        </w:rPr>
        <w:t xml:space="preserve">三、采购清单</w:t>
      </w:r>
      <w:r/>
    </w:p>
    <w:p>
      <w:pPr>
        <w:numPr>
          <w:ilvl w:val="0"/>
          <w:numId w:val="0"/>
        </w:numPr>
        <w:ind w:firstLine="420"/>
        <w:jc w:val="left"/>
        <w:keepLines w:val="0"/>
        <w:keepNext w:val="0"/>
        <w:pageBreakBefore w:val="0"/>
        <w:spacing w:line="300" w:lineRule="auto"/>
        <w:widowControl w:val="off"/>
        <w:rPr>
          <w:rFonts w:hint="eastAsia" w:ascii="宋体" w:hAnsi="宋体" w:cs="宋体"/>
          <w:b w:val="0"/>
          <w:bCs w:val="0"/>
          <w:szCs w:val="21"/>
          <w:highlight w:val="none"/>
          <w:lang w:val="en-US" w:eastAsia="zh-CN"/>
        </w:rPr>
        <w:outlineLvl w:val="2"/>
      </w:pPr>
      <w:r>
        <w:rPr>
          <w:rFonts w:hint="eastAsia" w:ascii="宋体" w:hAnsi="宋体" w:cs="宋体"/>
          <w:b w:val="0"/>
          <w:bCs w:val="0"/>
          <w:szCs w:val="21"/>
          <w:highlight w:val="none"/>
          <w:lang w:val="en-US" w:eastAsia="zh-CN"/>
        </w:rPr>
        <w:t xml:space="preserve">（一）乳儿班</w:t>
      </w:r>
      <w:r/>
    </w:p>
    <w:tbl>
      <w:tblPr>
        <w:tblStyle w:val="69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48"/>
        <w:gridCol w:w="1924"/>
        <w:gridCol w:w="4008"/>
        <w:gridCol w:w="447"/>
        <w:gridCol w:w="447"/>
        <w:gridCol w:w="846"/>
        <w:gridCol w:w="447"/>
        <w:gridCol w:w="889"/>
      </w:tblGrid>
      <w:tr>
        <w:trPr>
          <w:jc w:val="center"/>
          <w:trHeight w:val="840"/>
        </w:trPr>
        <w:tc>
          <w:tcPr>
            <w:shd w:val="clear" w:color="auto" w:fill="auto"/>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W w:w="19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类别</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w:t>
            </w:r>
            <w:r>
              <w:rPr>
                <w:rFonts w:hint="eastAsia" w:ascii="宋体" w:hAnsi="宋体" w:cs="宋体"/>
                <w:i w:val="0"/>
                <w:iCs w:val="0"/>
                <w:color w:val="000000"/>
                <w:sz w:val="21"/>
                <w:szCs w:val="21"/>
                <w:u w:val="none"/>
                <w:lang w:val="en-US" w:eastAsia="zh-CN" w:bidi="ar"/>
              </w:rPr>
              <w:t xml:space="preserve">（以下为每套要求）</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品牌</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型号</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（元）</w:t>
            </w:r>
            <w:r/>
          </w:p>
        </w:tc>
        <w:tc>
          <w:tcPr>
            <w:shd w:val="clear" w:color="auto" w:fill="auto"/>
            <w:tcW w:w="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p>
        </w:tc>
        <w:tc>
          <w:tcPr>
            <w:shd w:val="clear" w:color="auto" w:fill="auto"/>
            <w:tcW w:w="88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总价（元）</w:t>
            </w:r>
            <w:r/>
          </w:p>
        </w:tc>
      </w:tr>
      <w:tr>
        <w:trPr>
          <w:jc w:val="center"/>
          <w:trHeight w:val="840"/>
        </w:trPr>
        <w:tc>
          <w:tcPr>
            <w:shd w:val="clear" w:color="auto" w:fill="auto"/>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1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一、动作发展区（包含精细操作玩具，锻炼婴幼儿手部精细操作能力，双手配合能力以及手眼协调能力）：</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婴儿小推车1个；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2、产品尺寸：33*39*50cm（±5%）。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7"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120"/>
        </w:trPr>
        <w:tc>
          <w:tcPr>
            <w:shd w:val="clear" w:color="auto" w:fill="auto"/>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192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拖拉动物1套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1、产品材质：密度板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2、产品尺寸：10.8*5.5*10.5cm（±5%）。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3、产品配件：北极熊1个、狐狸1个。</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400"/>
        </w:trPr>
        <w:tc>
          <w:tcPr>
            <w:shd w:val="clear" w:color="auto" w:fill="auto"/>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192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宝藏球篮1套；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1、产品材质：纺织物、塑胶、硅胶、荷木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2、产品尺寸：球直径60mm（±5%）左右、球篮275x85x220H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3、产品配件：6个不同材质的球，1个编织篮。</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400"/>
        </w:trPr>
        <w:tc>
          <w:tcPr>
            <w:shd w:val="clear" w:color="auto" w:fill="auto"/>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192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彩虹套环1套；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1、产品材质：亚克力, MDF, 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2、产品尺寸：底座62/105x30mm（±5%），环65/95x9mm（±5%），球50mm（±5%），塑料管60x120mm（±5%）,。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3、产品配件：1个底座，3个套环，2个木球，1根PP透明管。</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840"/>
        </w:trPr>
        <w:tc>
          <w:tcPr>
            <w:shd w:val="clear" w:color="auto" w:fill="auto"/>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W w:w="192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积木柱1个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1、产品材质：松木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2、产品尺寸：82x82x130mm（±5%）。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840"/>
        </w:trPr>
        <w:tc>
          <w:tcPr>
            <w:shd w:val="clear" w:color="auto" w:fill="auto"/>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W w:w="192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婴幼儿摇铃1盒；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1、材质：榉木、金属。</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2、包装尺寸：90×45×45mm（±5%）。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840"/>
        </w:trPr>
        <w:tc>
          <w:tcPr>
            <w:shd w:val="clear" w:color="auto" w:fill="auto"/>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W w:w="192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咬合圆片1盒；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2、包装尺寸：219×109×83mm（±5%）。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840"/>
        </w:trPr>
        <w:tc>
          <w:tcPr>
            <w:shd w:val="clear" w:color="auto" w:fill="auto"/>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W w:w="192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橡皮球1盒；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1、材质：橡胶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2、包装尺寸：160×160×130mm（±5%）。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840"/>
        </w:trPr>
        <w:tc>
          <w:tcPr>
            <w:shd w:val="clear" w:color="auto" w:fill="auto"/>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W w:w="192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摇摆锥形套环1盒；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2、包装尺寸：190×130×140mm（±5%）。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400"/>
        </w:trPr>
        <w:tc>
          <w:tcPr>
            <w:shd w:val="clear" w:color="auto" w:fill="auto"/>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W w:w="192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探索积木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 18*18*4.3cm。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3、产品配件：1个托盘， 12块积木（含声音、镜面、方形、长方形、圆柱）。</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120"/>
        </w:trPr>
        <w:tc>
          <w:tcPr>
            <w:shd w:val="clear" w:color="auto" w:fill="auto"/>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W w:w="192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彩虹圆柱插座1个；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 荷木。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2、产品尺寸：250x700x38/77mm（±5%）。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3、产品配件：1个5孔插座，5个彩色圆柱体。</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120"/>
        </w:trPr>
        <w:tc>
          <w:tcPr>
            <w:shd w:val="clear" w:color="auto" w:fill="auto"/>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W w:w="192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迷藏球盒-滑盖式1个；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1、产品材质：椴木胶合板。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2、产品尺寸：木盒280x120x100mm（±5%）。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3、产品配件：1个滑盖式木盒，1个木球。</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120"/>
        </w:trPr>
        <w:tc>
          <w:tcPr>
            <w:shd w:val="clear" w:color="auto" w:fill="auto"/>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W w:w="192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彩虹纺织筒1个；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1、产品材质：椴木胶合板、亚克力。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2、产品尺寸：175x125x144.5mm（±5%）。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3、产品配件：1个旋转木架。</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400"/>
        </w:trPr>
        <w:tc>
          <w:tcPr>
            <w:shd w:val="clear" w:color="auto" w:fill="auto"/>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W w:w="192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大抓手迷藏拼图组1组；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1、产品材质：椴木胶合板、纸卡。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2、产品尺寸：110x110x12/30mm（±5%）。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3、产品配件：3个木制底座，3个球形抓手拼块，9张覆膜实物图像片。</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90"/>
        </w:trPr>
        <w:tc>
          <w:tcPr>
            <w:shd w:val="clear" w:color="auto" w:fill="auto"/>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W w:w="192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硅胶嵌套杯1盒；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1、产品材质：硅胶。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2、产品尺寸：套叠后80x80mm（±5%），最大80x60mm（±5%），最小50x30mm（±5%）。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3、产品配件：7个不同尺寸的硅胶杯子。</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120"/>
        </w:trPr>
        <w:tc>
          <w:tcPr>
            <w:shd w:val="clear" w:color="auto" w:fill="auto"/>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W w:w="192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昆虫认知挂板1个；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1、产品材质：纺织物、毛毡。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2、产品尺寸：挂板300x300x10mm（±5%）。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3、产品配件：1块含布袋草丛挂板、6种草丛常见事物。</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120"/>
        </w:trPr>
        <w:tc>
          <w:tcPr>
            <w:shd w:val="clear" w:color="auto" w:fill="auto"/>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W w:w="192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插座盒1个；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1、产品材质：椴木胶合板、荷木。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2、产品尺寸：插座盒296x120X100mm（±5%）。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3、产品配件：1个托盘式木盒，3根粗细不同的彩色圆柱。</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120"/>
        </w:trPr>
        <w:tc>
          <w:tcPr>
            <w:shd w:val="clear" w:color="auto" w:fill="auto"/>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W w:w="192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赛道滑滑车1个；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1、产品材质：椴木胶合板、金属、榉木。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2、产品尺寸：轨道311x77x28mm（±5%）；小车。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3、产品配件：1个四条赛道的游戏框架，4辆含轮木制小车。</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400"/>
        </w:trPr>
        <w:tc>
          <w:tcPr>
            <w:shd w:val="clear" w:color="auto" w:fill="auto"/>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W w:w="192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中心柱彩色套环1个；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1、产品材质：椴木胶合板、MDF。</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2、产品尺寸：底座220x220x12/18/132mm（±5%），积木块52x52x12mm（±5%）。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3、产品配件：1个九空位拼图底座，9块彩色含孔方形木块。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680"/>
        </w:trPr>
        <w:tc>
          <w:tcPr>
            <w:shd w:val="clear" w:color="auto" w:fill="auto"/>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W w:w="192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穿线套装1个；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1、产品材质：棉绳、荷木, 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2、产品尺寸：立方体木珠35x35x35mm（±5%） ;圆环木珠Ø40X18mm（±5%）; 三棱木珠37x33x35mm（±5%）; 圆柱木珠35X40mm（±5%）。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3、产品配件：2根穿线绳，12个木珠（3种颜色4种形状）。</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120"/>
        </w:trPr>
        <w:tc>
          <w:tcPr>
            <w:shd w:val="clear" w:color="auto" w:fill="auto"/>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W w:w="192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软胶浮雕积木1套；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1、产品材质：环保PVC。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2、产品尺寸：包装盒243x63x183mm（±5%）。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3、产品配件：10块软胶积木。</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120"/>
        </w:trPr>
        <w:tc>
          <w:tcPr>
            <w:shd w:val="clear" w:color="auto" w:fill="auto"/>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W w:w="192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摇铃&amp;牙胶三件套（大米材质）1套；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1、产品材质：大米生物塑料。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2、产品尺寸：包装盒225x182x62mm（±5%）。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3、产品配件：1个牙胶、1个握环、1个牙胶环。</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71"/>
        </w:trPr>
        <w:tc>
          <w:tcPr>
            <w:shd w:val="clear" w:color="auto" w:fill="auto"/>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W w:w="192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几何摇铃三件套（大米材质）1套；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1、产品材质：荷木、P</w:t>
            </w:r>
            <w:r>
              <w:rPr>
                <w:rFonts w:hint="eastAsia" w:ascii="宋体" w:hAnsi="宋体" w:cs="宋体"/>
                <w:i w:val="0"/>
                <w:iCs w:val="0"/>
                <w:color w:val="000000"/>
                <w:sz w:val="21"/>
                <w:szCs w:val="21"/>
                <w:u w:val="none"/>
                <w:lang w:val="en-US" w:eastAsia="zh-CN" w:bidi="ar"/>
              </w:rPr>
              <w:t xml:space="preserve">MM</w:t>
            </w:r>
            <w:r>
              <w:rPr>
                <w:rFonts w:hint="eastAsia" w:ascii="宋体" w:hAnsi="宋体" w:eastAsia="宋体" w:cs="宋体"/>
                <w:i w:val="0"/>
                <w:iCs w:val="0"/>
                <w:color w:val="000000"/>
                <w:sz w:val="21"/>
                <w:szCs w:val="21"/>
                <w:u w:val="none"/>
                <w:lang w:val="en-US" w:eastAsia="zh-CN" w:bidi="ar"/>
              </w:rPr>
              <w:t xml:space="preserve">A、钢、大米生物塑料。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2、产品尺寸：包装盒220x180x60mm（±5%）。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3、产品配件：3个不同色球形摇铃、3个不同色柱形摇铃、3个不同色方块摇铃。</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840"/>
        </w:trPr>
        <w:tc>
          <w:tcPr>
            <w:shd w:val="clear" w:color="auto" w:fill="auto"/>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W w:w="192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二合一敲琴台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1、产品材质：桦木、PA、荷木；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2、产品尺寸：29.5*13.9*13.5cm（±5%）。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840"/>
        </w:trPr>
        <w:tc>
          <w:tcPr>
            <w:shd w:val="clear" w:color="auto" w:fill="auto"/>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W w:w="192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摇一摇1个；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2、产品尺寸：72×72×122mm（±5%）。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840"/>
        </w:trPr>
        <w:tc>
          <w:tcPr>
            <w:shd w:val="clear" w:color="auto" w:fill="auto"/>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W w:w="192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圆柱摇铃1个；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1、产品材质：榉木、金属。</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2、产品尺寸：58x69mm（±5%）。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840"/>
        </w:trPr>
        <w:tc>
          <w:tcPr>
            <w:shd w:val="clear" w:color="auto" w:fill="auto"/>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W w:w="192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滚动鼓1个；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2、产品尺寸：102×136mm（±5%）。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680"/>
        </w:trPr>
        <w:tc>
          <w:tcPr>
            <w:shd w:val="clear" w:color="auto" w:fill="auto"/>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W w:w="192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适合的形状1套；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2、产品尺寸：正方杯54×54×47mm（±5%），球形杯56x80mm（±5%），蛋形杯57x102mm（±5%）。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3、产品配件：1个方形杯套组，1个球形杯套组，1个蛋形杯套组。</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120"/>
        </w:trPr>
        <w:tc>
          <w:tcPr>
            <w:shd w:val="clear" w:color="auto" w:fill="auto"/>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W w:w="192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滚球追踪1个；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w:t>
            </w:r>
            <w:r>
              <w:rPr>
                <w:rFonts w:hint="eastAsia" w:ascii="宋体" w:hAnsi="宋体" w:cs="宋体"/>
                <w:i w:val="0"/>
                <w:iCs w:val="0"/>
                <w:color w:val="000000"/>
                <w:sz w:val="21"/>
                <w:szCs w:val="21"/>
                <w:u w:val="none"/>
                <w:lang w:val="en-US" w:eastAsia="zh-CN" w:bidi="ar"/>
              </w:rPr>
              <w:t xml:space="preserve">榉</w:t>
            </w:r>
            <w:r>
              <w:rPr>
                <w:rFonts w:hint="eastAsia" w:ascii="宋体" w:hAnsi="宋体" w:eastAsia="宋体" w:cs="宋体"/>
                <w:i w:val="0"/>
                <w:iCs w:val="0"/>
                <w:color w:val="000000"/>
                <w:sz w:val="21"/>
                <w:szCs w:val="21"/>
                <w:u w:val="none"/>
                <w:lang w:val="en-US" w:eastAsia="zh-CN" w:bidi="ar"/>
              </w:rPr>
              <w:t xml:space="preserve">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2、产品尺寸：33.5*10*28.5cm（±5%）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3、产品说明：两种游戏材料。</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120"/>
        </w:trPr>
        <w:tc>
          <w:tcPr>
            <w:shd w:val="clear" w:color="auto" w:fill="auto"/>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W w:w="192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滑动圆环1套；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2、产品尺寸：160×174×131mm（±5%）。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3、产品配件：1个带横柱底座，3个绿色圆形，3个橘色圆环。</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W w:w="1923"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t xml:space="preserve">二、认知能力发展区（包含认知能力玩具，锻炼婴幼儿对于感官以及常见物品的认知能力，并提供配套操作活动手册）：</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刺猬奥斯卡1个；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1、产品材质：绒布、珍珠棉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2、产品尺寸：66.5x36.5x31cm（±5%）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3、产品配件：1只刺猬、13根刺、1个颜色骰子；</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W w:w="192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我的第一本书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1、产品材质：胶合板。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2、产品尺寸：120x120mm（±5%）。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3、产品配件：1本五页木制图书，3本为一套。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500"/>
        </w:trPr>
        <w:tc>
          <w:tcPr>
            <w:shd w:val="clear" w:color="auto" w:fill="auto"/>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W w:w="192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抓手水果拼图 1板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1、产品材质：椴木胶合板。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2、产品尺寸：400x176x10/24mm（±5%）。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3、产品配件：1个木制拼图底板，5个木制水果抓手拼块。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W w:w="192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一块水果拼图 1板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2、产品尺寸：20x14x1cm（±5%）。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3、产品配件：1块拼图底板、1块拼图。</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W w:w="192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两块水果拼图 1板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2、产品尺寸：20×20×1cm（±5%）。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3、产品配件：1块拼图底板、2块拼图。</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W w:w="192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四块水果拼图 1板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材质：桦木夹板。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尺寸：37x12x1cm（±5%）。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配件：1块拼图底板、4块拼图。</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W w:w="192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蔬菜模型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1、产品材质：天然橡胶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2、包装尺寸：250×120×100mm（±5%）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3、产品配件：不少于8种蔬菜。</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500"/>
        </w:trPr>
        <w:tc>
          <w:tcPr>
            <w:shd w:val="clear" w:color="auto" w:fill="auto"/>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W w:w="192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抓手蔬菜拼图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2、产品尺寸：42×12×1cm（±5%）。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3、产品配件：1个木制拼图底板，5个木制蔬菜抓手拼块。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500"/>
        </w:trPr>
        <w:tc>
          <w:tcPr>
            <w:shd w:val="clear" w:color="auto" w:fill="auto"/>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W w:w="192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一块蔬菜拼图 1板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2、产品尺寸：20×14×1cm（±5%）。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3、产品配件：1块拼图底板、1块拼图。</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W w:w="192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两块蔬菜拼图 1板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2、产品尺寸：20×20×1cm（±5%）。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3、产品配件：1块拼图底板、2块拼图。</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W w:w="192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四块蔬菜拼图 1板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材质：桦木夹板。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尺寸：37×12×1cm（±5%）。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配件：1块拼图底板、4块拼图。</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W w:w="192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动物模型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1、产品材质：塑胶、纺织物、椴木夹板。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2、包装尺寸：300x250mm（±5%）。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3、配件说明，不少于6种动物模型及配套木质图像卡片。</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500"/>
        </w:trPr>
        <w:tc>
          <w:tcPr>
            <w:shd w:val="clear" w:color="auto" w:fill="auto"/>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W w:w="192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抓手野生动物拼图 1板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2、产品尺寸：42×13.5×1cm（±5%）。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3、产品配件：1个木制拼图底板，5种木质野生动物抓手拼块。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500"/>
        </w:trPr>
        <w:tc>
          <w:tcPr>
            <w:shd w:val="clear" w:color="auto" w:fill="auto"/>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W w:w="192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抓手农场动物拼图 1板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2、产品尺寸：43×13×1cm（±5%）。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3、产品配件：1个木制拼图底板，5种木质农场动物抓手拼块。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W w:w="192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四块野生动物拼图 1板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2、产品尺寸：37.5×12×1cm（±5%）。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3、产品配件：1块拼图底板、4块拼图。</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W w:w="192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对应手抓拼图 1板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1、产品材质：椴木夹板 、布料、MDF</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2、产品尺寸：220*220*17mm（±5%）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3、产品配件：五种农场动物。</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W w:w="192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互嵌圆形拼图 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1、产品材质：椴木胶合板。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2、产品尺寸：整体150x9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3、产品配件：4个形状相同颜色不同拼块。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400"/>
        </w:trPr>
        <w:tc>
          <w:tcPr>
            <w:shd w:val="clear" w:color="auto" w:fill="auto"/>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W w:w="192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形状套叠立体拼图1盒；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1、产品材质：椴木胶合板、荷木, MDF。</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2、产品尺寸：220x195x10/30mm（±5%） ,正方形积木块60x60x12mm（±5%）/35x35x26 mm（±5%），圆形积木块60x12mm（±5%）/35x26mm（±5%），三角形积木块72x65x12mm（±5%）/35x19x26mm（±5%）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3、产品配件：1个木制底座，9个木块（3种形状3种形态）。</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W w:w="192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大号形状抓手拼图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2、产品尺寸：20x28x4cm（±5%）。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3、产品配件：1个底板，三个形状大小配件各1个。</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W w:w="192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多彩分类积木盒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1、产品材质：夹板，桦木，ABS，PMMA，锦纶；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2、产品尺寸：200×140×180mm（±5%）。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3、产品配件：6个形状积木块，1个六边形积木盒</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W w:w="192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车类模型 1组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1、产品材质：天然橡胶树乳汁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2、产品尺寸：16.5*13.5*6cm（±5%）。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3、产品配件：两辆车为一组。</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W w:w="192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手握拼图 1组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1、产品材质：木质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2、产品尺寸：210*45*210mm（±5%）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3、产品配件：交通工具两个为一组。</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500"/>
        </w:trPr>
        <w:tc>
          <w:tcPr>
            <w:shd w:val="clear" w:color="auto" w:fill="auto"/>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W w:w="1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三、感官探索区（包含社会情绪发展玩教具）：</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感官液体地垫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1、产品材质：PVC，EVA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2、产品尺寸：单片500*500*6mm（±5%）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3、产品配件：产品由6块六色地垫组成一套，分别有红、橙、黄、绿、紫、蓝六色。</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900"/>
        </w:trPr>
        <w:tc>
          <w:tcPr>
            <w:shd w:val="clear" w:color="auto" w:fill="auto"/>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W w:w="192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视觉游戏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1、产品材质：多层实木夹板，亚克力，亚克力镜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2、产品尺寸：280*280*15mm（±5%） </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W w:w="192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触觉游戏1个；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1、产品材质：榉木，多层实木夹板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2、产品尺寸：280*280*54mm（±5%）尺寸：280×280×15mm（±5%）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900"/>
        </w:trPr>
        <w:tc>
          <w:tcPr>
            <w:shd w:val="clear" w:color="auto" w:fill="auto"/>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W w:w="192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颜色混合镜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1、产品材质：多层实木夹板，亚克力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2、产品尺寸：280*280*14mm（±5%）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900"/>
        </w:trPr>
        <w:tc>
          <w:tcPr>
            <w:shd w:val="clear" w:color="auto" w:fill="auto"/>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W w:w="192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颜色大小配对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1、产品材质：榉木，多层实木夹板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2、产品尺寸：380*120*58mm（±5%）  </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auto"/>
            <w:tcW w:w="192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雨声安抚沙漏 1组；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1、产品材质：胶合板、榉木、荷木、ABS、PMMA。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2、产品尺寸：Ø50x200mm（±5%）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3、产品配件：2个安抚沙漏。</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shd w:val="clear" w:color="auto" w:fill="auto"/>
            <w:tcW w:w="192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沙蛋 5对；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1、产品材质：橡胶木、砂粒。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2、产品尺寸：53x53x80mm/个（±5%）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3、产品说明：2个为1对。</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W w:w="192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响板 5对；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1、产品材质：荷木。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2、产品尺寸：58X24mm/个（±5%）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3、产品配件：2个为1对。</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900"/>
        </w:trPr>
        <w:tc>
          <w:tcPr>
            <w:shd w:val="clear" w:color="auto" w:fill="auto"/>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shd w:val="clear" w:color="auto" w:fill="auto"/>
            <w:tcW w:w="192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音乐不倒翁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1、产品材质：榉木、ABS、铁、钢。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2、产品尺寸：110x90mm（±5%）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shd w:val="clear" w:color="auto" w:fill="auto"/>
            <w:tcW w:w="192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八音琴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1、产品材质：金属、环保榉木。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2、产品尺寸：23.5*12cm（±5%）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3、产品配件：1个板琴，2根敲棒。</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shd w:val="clear" w:color="auto" w:fill="auto"/>
            <w:tcW w:w="192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手偶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1、产品材质：超柔短绒、100%涤；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2、产品尺寸：长约21cm,宽约17cm（±5%）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3、产品配件：3种动物为1套，包含：猫、兔子、马。</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p>
        </w:tc>
        <w:tc>
          <w:tcPr>
            <w:shd w:val="clear" w:color="auto" w:fill="auto"/>
            <w:tcW w:w="192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感官恐龙蛋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1、产品材质：ABS、木纤维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2、产品尺寸：7.6 x 5.54 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3、产品配件：6个为一套。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shd w:val="clear" w:color="auto" w:fill="auto"/>
            <w:tcW w:w="192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观察游戏棒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1、产品材质：塑料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2、包装尺寸：389*242*50mm（±5%）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3、产品配件：5个为1组。</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rPr>
          <w:rFonts w:hint="eastAsia" w:ascii="宋体" w:hAnsi="宋体" w:eastAsia="宋体" w:cs="宋体"/>
          <w:b/>
          <w:bCs/>
          <w:color w:val="auto"/>
          <w:sz w:val="21"/>
          <w:szCs w:val="21"/>
          <w:highlight w:val="none"/>
          <w:shd w:val="clear" w:color="auto" w:fill="ffffff"/>
          <w:lang w:val="en-US" w:eastAsia="zh-CN"/>
        </w:rPr>
      </w:pPr>
      <w:r>
        <w:rPr>
          <w:rFonts w:hint="eastAsia" w:ascii="宋体" w:hAnsi="宋体" w:eastAsia="宋体" w:cs="宋体"/>
          <w:b/>
          <w:bCs/>
          <w:color w:val="auto"/>
          <w:sz w:val="21"/>
          <w:szCs w:val="21"/>
          <w:highlight w:val="none"/>
          <w:shd w:val="clear" w:color="auto" w:fill="ffffff"/>
          <w:lang w:val="en-US" w:eastAsia="zh-CN"/>
        </w:rPr>
        <w:br w:type="page" w:clear="all"/>
      </w:r>
      <w:r/>
    </w:p>
    <w:p>
      <w:pPr>
        <w:rPr>
          <w:rFonts w:hint="eastAsia" w:ascii="宋体" w:hAnsi="宋体" w:eastAsia="宋体" w:cs="宋体"/>
          <w:b w:val="0"/>
          <w:bCs w:val="0"/>
          <w:sz w:val="21"/>
          <w:szCs w:val="21"/>
          <w:highlight w:val="none"/>
          <w:lang w:val="en-US" w:eastAsia="zh-CN"/>
        </w:rPr>
        <w:outlineLvl w:val="2"/>
      </w:pPr>
      <w:r>
        <w:rPr>
          <w:rFonts w:hint="eastAsia" w:ascii="宋体" w:hAnsi="宋体" w:eastAsia="宋体" w:cs="宋体"/>
          <w:b w:val="0"/>
          <w:bCs w:val="0"/>
          <w:sz w:val="21"/>
          <w:szCs w:val="21"/>
          <w:highlight w:val="none"/>
          <w:lang w:val="en-US" w:eastAsia="zh-CN"/>
        </w:rPr>
        <w:t xml:space="preserve">（二）托小班（1-2岁婴幼儿班级玩教具)</w:t>
      </w:r>
      <w:r/>
    </w:p>
    <w:tbl>
      <w:tblPr>
        <w:tblStyle w:val="692"/>
        <w:tblW w:w="94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93"/>
        <w:gridCol w:w="989"/>
        <w:gridCol w:w="5511"/>
        <w:gridCol w:w="445"/>
        <w:gridCol w:w="478"/>
        <w:gridCol w:w="440"/>
        <w:gridCol w:w="383"/>
        <w:gridCol w:w="717"/>
      </w:tblGrid>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W w:w="98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类别</w:t>
            </w:r>
            <w:r/>
          </w:p>
        </w:tc>
        <w:tc>
          <w:tcPr>
            <w:shd w:val="clear" w:color="auto" w:fill="auto"/>
            <w:tcW w:w="55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w:t>
            </w:r>
            <w:r>
              <w:rPr>
                <w:rFonts w:hint="eastAsia" w:ascii="宋体" w:hAnsi="宋体" w:cs="宋体"/>
                <w:i w:val="0"/>
                <w:iCs w:val="0"/>
                <w:color w:val="000000"/>
                <w:sz w:val="21"/>
                <w:szCs w:val="21"/>
                <w:u w:val="none"/>
                <w:lang w:val="en-US" w:eastAsia="zh-CN" w:bidi="ar"/>
              </w:rPr>
              <w:t xml:space="preserve">（以下为每套要求）</w:t>
            </w:r>
            <w:r/>
          </w:p>
        </w:tc>
        <w:tc>
          <w:tcPr>
            <w:shd w:val="clear" w:color="auto" w:fill="auto"/>
            <w:tcW w:w="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品牌</w:t>
            </w:r>
            <w:r/>
          </w:p>
        </w:tc>
        <w:tc>
          <w:tcPr>
            <w:shd w:val="clear" w:color="auto" w:fill="auto"/>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型号</w:t>
            </w:r>
            <w:r/>
          </w:p>
        </w:tc>
        <w:tc>
          <w:tcPr>
            <w:shd w:val="clear" w:color="auto" w:fill="auto"/>
            <w:tcW w:w="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（元）</w:t>
            </w:r>
            <w:r/>
          </w:p>
        </w:tc>
        <w:tc>
          <w:tcPr>
            <w:shd w:val="clear" w:color="auto" w:fill="auto"/>
            <w:tcW w:w="3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p>
        </w:tc>
        <w:tc>
          <w:tcPr>
            <w:shd w:val="clear" w:color="auto" w:fill="auto"/>
            <w:tcW w:w="7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总价（元）</w:t>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W w:w="98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一、动作发展区（包含精细操作玩具，锻炼婴幼儿手部精细操作能力，双手配合能力以及手眼协调能力）:</w:t>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动物串珠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1、产品材质：木质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2、产品尺寸：180*125*55mm（±5%）</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cs="宋体"/>
                <w:i w:val="0"/>
                <w:iCs w:val="0"/>
                <w:color w:val="000000"/>
                <w:sz w:val="21"/>
                <w:szCs w:val="21"/>
                <w:u w:val="none"/>
                <w:lang w:val="en-US" w:eastAsia="zh-CN" w:bidi="ar"/>
              </w:rPr>
              <w:t xml:space="preserve">套</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拧螺丝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2、包装尺寸：212*48*163mm（±5%）</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cs="宋体"/>
                <w:i w:val="0"/>
                <w:iCs w:val="0"/>
                <w:color w:val="000000"/>
                <w:sz w:val="21"/>
                <w:szCs w:val="21"/>
                <w:u w:val="none"/>
                <w:lang w:val="en-US" w:eastAsia="zh-CN" w:bidi="ar"/>
              </w:rPr>
              <w:t xml:space="preserve">套</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磁力迷宫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1、产品材质：胶合板、ABS。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2、产品尺寸：245x245x21mm（±5%）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3、产品配件：1块内嵌1支笔的迷宫板。</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cs="宋体"/>
                <w:i w:val="0"/>
                <w:iCs w:val="0"/>
                <w:color w:val="000000"/>
                <w:sz w:val="21"/>
                <w:szCs w:val="21"/>
                <w:u w:val="none"/>
                <w:lang w:val="en-US" w:eastAsia="zh-CN" w:bidi="ar"/>
              </w:rPr>
              <w:t xml:space="preserve">套</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齿轮游戏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1、产品材质：塑胶，多层实木夹板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2、产品尺寸：280*280*44mm（±5%） </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立体拼接积木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1、产品材质：天然橡胶泡沫</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2、包装尺寸：330x268x95mm（±5%）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3、产品配件：9个积木，14个连接件。</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敲击台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1、产品材质：木质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2、产品尺寸：20*7*10.5cm（±5%），木桩2*7cm（±5%），锤头2.5*4.5cm（±5%）锤柄1.3*12cm（±5%）。</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中心柱彩色套环 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1、产品材质：椴木胶合板、MDF。</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2、产品尺寸：底座220x220x12/132mm（±5%），积木块52x52x12mm（±5%）。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3、产品配件：1个九空位拼图底座，9块彩色含孔方形木块。</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穿线玩具 1组；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1、产品材质：木质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2、产品尺寸：9.5*9cm（±5%）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3、产品配件：两个为一组。</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鹅卵石积木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1、产品材质：木质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2、产品尺寸：最大圆形Ø113mm（±5%），最小圆形Ø73mm（±5%）。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3、产品配件：12颗鹅卵石积木。</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堆搭积木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2、产品尺寸：240*70*30mm（±5%）</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钓鱼玩具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2、产品尺寸：225*215mm（±5%）</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插住排序拼图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1、产品材质：椴木胶合板、荷木, MDF。</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2、产品尺寸：280x90x12/61mm（±5%） ，积木块12mm（±5%）。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3、产品配件：1个带有一到四根木柱的拼块底座，12个形状拼块（4种形状各3块）。</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13彩虹积木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1、产品材质：松木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2、产品尺寸：224*50*112mm（±5%）</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排队游戏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1、产品材质：椴木夹板、桦木、ABS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2、包装尺寸：310×230×60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3、产品配件：双面木条片×5 ；塑料小熊×32 ；镊子×1；指导手册×1。</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衣饰框 1组；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1、产品材质：榉木、纺织物。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2、产品尺寸：单个29×29×3cm（±5%）。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3、产品配件：1个拉链衣饰框，1个魔术贴衣饰框。</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平衡游戏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1、产品材质：木质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2、产品尺寸：180*20*86mm（±5%）</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毛毛虫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1、产品材质：荷木，棉线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2、产品尺寸：58 mm（头）（±5%）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3、产品配件：6种颜色的积木块。</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火车积木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1、产品材质：木质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2、产品尺寸：408x120x80mm（±5%）</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投掷盒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2、产品尺寸：12x12x13cm（±5%）</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几何螺旋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1、产品材质：木质。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2、包装尺寸：180x180x60mm（±5%）</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拖拉玩具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2、产品尺寸：210*100*165mm（±5%）</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缤纷套盒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1、产品材质：桦木胶合板、纺织物 、塑料、亚克力、MDF。</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2、产品尺寸：不同大小的堆盒，单个尺寸6.2*6*6cm;9.7*9.7*8cm;13.7*13.8*10cm;16.5*17.1*12cm;20.2*20.8*14cm（±5%）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3、产品配件：套盒5个，形状积木块5个。</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滚珠架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2、产品尺寸：305×133×338mm（±5%）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3、产品配件：1个滚珠木架，4个木球。</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彩色插片屏风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1、产品材质：椴木胶合板、MDF、纺织物。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2、产品尺寸：350x150x235H mm（±5%），圆木片43x5mm（±5%）。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3、产品配件：1个木支架，1块双层中空游戏板，1个收纳布袋，25片木制原片25个圆木片（5种颜色各5个）。</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投币盒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1、产品材质：椴木胶合板、MDF。</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2、产品尺寸：260x75x200mm（±5%）；积木块:Ø50x15mm（±5%）。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3、产品配件：1个侧开口木箱，10个圆木片。</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多面锁箱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1、产品材质：椴木胶合板、金属。</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2、产品尺寸：180x120x130mm（±5%）。</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三个抽屉箱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2、产品尺寸：316×133×133mm（±5%）。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3、产品配件：1个顶部带孔含有3个红黄蓝色抽屉门的箱体，6片3种颜色的投掷圆片。</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手眼协调玩具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1、产品材质：多层实木夹板，亚克力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2、产品尺寸：380×120×90mm（±5%）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3、产品说明：五种颜色的亚克力形状板。</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shd w:val="clear" w:color="auto" w:fill="auto"/>
            <w:tcW w:w="98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二、认知能力发展区（包含认知能力玩具，锻炼婴幼儿对于感官以及常见物品的认知能力）：</w:t>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触摸游戏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1、产品材质：桦木夹板、布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2、产品尺寸：350×200×360mm（±5%）</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大小排序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1、产品材质：木质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2、产品尺寸：280×280×52mm（±5%）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3、产品配件：圆形、三角形、正方形。</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视觉游戏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1、产品材质：多层实木夹板、榉木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2、产品尺寸：280×280×32mm（±5%）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3、产品配件：五种视觉感知物。</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多层拼图 1组；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2、产品尺寸：14.5*14.5cm（±5%）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3、产品配件：4块大小不同颜色不同的拼图，2种为一组。</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形状拼图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1、产品材质：多层实木夹板，榉木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2、包装尺寸：280×280×24mm（±5%）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3、产品配件：三种形状，共9块。</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几何形状组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1.产品材质：榉木，多层实木夹板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小圆35*35*25mm（±5%），中圆2，56*56*25mm（±5%），大圆378*78*25mm（±5%），小三角134*30*25mm（±5%），中三角262*56*25mm（±5%），大三角384*78*25mm（±5%），小正方132*32*25mm（±5%），中正方253*53*25mm（±5%），大正方375*75*25mm（±5%）。</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颜色套装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1、产品材质：树脂。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2、产品尺寸：木盒340x125x55mm，单球Ø45mm（±5%）。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3、产品配件：1个木盒，6对不同颜色，红、黄、蓝、绿、紫、黑。</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昆虫形状拼图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1、产品材质：材质：多层实木夹板，榉木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2、产品尺寸：280×280×25mm（±5%）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3、产品配件：4种，共12块。</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37</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配对认知板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1、产品材质：榉木，多层实木夹板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2、产品尺寸：蝴蝶：57*46*14mm（±5%）；圆形：49*49*14mm（±5%）；方形：47*47*14mm（±5%）。</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触觉套装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1、产品材质：木质、软木、毛毡。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2、产品尺寸：直径3cm（±5%）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3、产品配件：1个布袋，不少于12组。</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39</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声音游戏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1、产品材质：多层实木板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2、产品尺寸：正方体：50*50*50mm（±5%） 9pc，亚克力60*38*2mm（±5%）。</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海洋动物拼图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1、产品材质：材质：多层实木夹板，榉木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2、产品尺寸：280×280×25mm（±5%）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3、产品配件：4种，共10块。</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41</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形状拼接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1.产品材质：榉木，多层实木夹板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2.产品尺寸：拼块1：67*40*14mm（±5%），拼块2：71*41*14mm（±5%），拼块3：68*42*</w:t>
            </w:r>
            <w:r>
              <w:rPr>
                <w:rFonts w:hint="eastAsia" w:ascii="宋体" w:hAnsi="宋体" w:eastAsia="宋体" w:cs="宋体"/>
                <w:i w:val="0"/>
                <w:iCs w:val="0"/>
                <w:color w:val="000000"/>
                <w:sz w:val="21"/>
                <w:szCs w:val="21"/>
                <w:u w:val="none"/>
                <w:lang w:val="en-US" w:eastAsia="zh-CN" w:bidi="ar"/>
              </w:rPr>
              <w:t xml:space="preserve">14mm（±5%），拼块4：70*40*14mm（±5%），拼块5：67*39*14mm（±5%），拼块6：76*36*14mm（±5%），拼块7：73*42*14mm（±5%），拼块8：68*38*14mm（±5%），拼块9：68*38*14mm（±5%），拼块10：65*47*14mm（±5%），拼块11：68*39*14mm（±5%），拼块12：70*46*14mm（±5%），拼块13：76*40*14mm（±5%），拼块14：68*46*14mm（±5%），拼块15：68*39*14mm（±5%）。</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42</w:t>
            </w:r>
            <w:r/>
          </w:p>
        </w:tc>
        <w:tc>
          <w:tcPr>
            <w:shd w:val="clear" w:color="auto" w:fill="auto"/>
            <w:tcW w:w="98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三、社交发展区（包含社会情绪发展玩教具）：</w:t>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多彩拼插片 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 :ABS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2、包装尺寸：23*12cm（±5%）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3、产品配件：每盒96片。</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43</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快乐农场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1、产品材质：椴木夹板，MDF</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2、产品尺寸：22.5*12*16.8cm（±5%）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3、产品配件：共五件。</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44</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积木玩具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2、产品尺寸：包装220x220x203H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3、产品配件：101块积木。</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45</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认识表情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1、产品材质：材质：多层实木夹板，榉木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2、产品尺寸：280×280×23mm（±5%）。</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46</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海星玩具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1、产品材质：榉木、胶合板、灯芯绒、兔毛、棉、涤纶、金属丝</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2、产品尺寸：1300×250mm（±5%）。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3、产品配件：1个大号海星毛绒；4个垃圾桶；6张海洋生物圆木片；16张不同形状的海洋垃圾游戏木片。</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47</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多刺拼插积木 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1、产品材质：塑料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2、包装尺寸：44*34.5*10cm（±5%）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3、产品配件：每盒200个。</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48</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车类玩具 1组；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1、产品材质：天然橡胶树乳汁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2、产品尺寸：16.5*13.5*6cm（±5%）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3、产品配件：两辆车为一组。</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49</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消防玩具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1、产品材质：MDF、夹板、榉木、实木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2、产品尺寸：组装后34.7*25.5*27.0cm（±5%）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3、产品配件：共14种物品。</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家庭情景玩具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1、产品材质：木质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2、产品尺寸：74cm*60cm*30cm （±5%）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3、产品配件：浴室、餐厅、客厅、卧室、阳台、儿童房家具及人偶。</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51</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水果切切乐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1、产品材质：椴木夹板、荷木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2、产品规格：195*67*47mm（±5%）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3、产品配件：1个砧板，6种水果模型，1把木质刀。</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52</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蔬菜切刨玩具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 产品材质：荷木、夹板、密度板、EVA、PP、ABS、HDPE、毛毡布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2、包装尺寸：300×240×60mm（±5%）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3、产品配件：番茄×1;白萝卜×1;洋葱×1;土豆×1;胡萝卜×1;芝士×1;案板×1;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刀×1;削皮器×1;磨碎器×1。</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53</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彩色运动球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1、产品材质：天然橡胶泡沫。</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2、包装尺寸：310x200x100mm（±5%）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3、产品配件：六种颜色，每种颜色各一个。</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54</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镜子积木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1、产品材质：橡胶木、亚克力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2、产品尺寸：正方形：50*50*25mm（±5%）、长方形：100*50*25mm（±5%）；正三角形：100*25mm（±5%）；直角三角形：100*50*25mm（±5%）半圆：100*50*25mm（±5%）；圆形：50mm*25mm（±5%）。</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55</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鸡蛋玩具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1、产品材质：荷木、HDPE、毛毡布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2、包装尺寸：155×115×70mm（±5%）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3、配件：塑料鸡蛋×3;木头鸡蛋×3。</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56</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火车玩具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1、产品材质：榉木、椴木夹板、MDF.</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2、产品尺寸：530*254*152mm（±5%）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3、产品配件：车站1个，配件30个。</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57</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动物母子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1、产品材质：绒布，pp棉。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2、产品尺寸：约48cm（±5%）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3、产品配件：1个长颈鹿妈妈；1个长颈鹿宝宝。</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13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58</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spacing w:after="24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停车场玩具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1、产品材质：榉木、椴木夹板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2、产品尺寸：整体580*370*453mm（±5%）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3、产品配件：共5种物品。</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59</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厨房玩具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1、产品材质：荷木、榉木、不锈钢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2、包装尺寸：260×260×80mm（±5%）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3、产品配件：平底锅×1；汤锅×1；盖子×1；擀面杖×1;打蛋器×1;汤勺×1;锅铲×1。</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shd w:val="clear" w:color="auto" w:fill="auto"/>
            <w:tcW w:w="98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四、语言发展区（包含语言促进玩具，其中有手偶、模型等，为婴幼儿创造良好的语言环境）：</w:t>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野生与农场动物模型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1、产品材质：木质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2、产品尺寸：22.5*16.5*9cm（±5%）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3、产品配件：18种动物，配套画册一本。</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61</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交通工具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1、产品材质：塑料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2、包装尺寸：23x23.5x17cm（±5%）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3、产品配件：15辆多种形式的车辆。</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62</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工具盒 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1、产品材质：橡胶木，禾木，夹板；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2、产品尺寸：29.1*21*5.7cm（±5%）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3、产品配件：共10件。</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63</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小熊换装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 松木,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2、包装尺寸：140x130x40mm（±5%）</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64</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海洋动物模型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1、产品材质：多样塑料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2、包装尺寸：28*20*17cm（±5%）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3、产品配件：15种海洋动物。</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179"/>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65</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声音拼图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2、外观尺寸：330x225x33mm（±5%）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3、产品说明：6个主题为一套。</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66</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蔬菜水果模型 1组；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1、产品材质：塑料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2、包装尺寸：25*25*10cm（±5%）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3、产品配件：蔬菜7种，水果8种。</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67</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主题插板玩具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1、产品材质：板材、榉木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2、产品尺寸：23*11cm（±5%）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3、产品配件：10个农场主题夹板插片、10个海洋主题插片、5张双面学习卡片。</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68</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磁性拼图玩具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1、产品材质：塑料、磁力板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2、产品尺寸：34*30.5*6.5cm（±5%）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3、产品说明：每盒46片。</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69</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关联性拼图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2、包装尺寸：20*19*4.6cm（±5%）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3、产品配件：5个主题为一套。</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70</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动物手偶套装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1、产品材质：短绒布。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2、产品尺寸：长20cm（±5%）。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3、产品配件：共10种动物。</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71</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积木块拼图 1件；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1、产品材质：椴木夹板、密度板；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2、外观尺寸：31.5*17.5*16cm（±5%）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3、产品配件：含动物、交通工具、昆虫共12种拼图。</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rPr>
          <w:rFonts w:hint="eastAsia" w:ascii="宋体" w:hAnsi="宋体" w:eastAsia="宋体" w:cs="宋体"/>
          <w:b/>
          <w:bCs/>
          <w:color w:val="auto"/>
          <w:sz w:val="21"/>
          <w:szCs w:val="21"/>
          <w:highlight w:val="none"/>
          <w:shd w:val="clear" w:color="auto" w:fill="ffffff"/>
          <w:lang w:val="en-US" w:eastAsia="zh-CN"/>
        </w:rPr>
      </w:pPr>
      <w:r>
        <w:rPr>
          <w:rFonts w:hint="eastAsia" w:ascii="宋体" w:hAnsi="宋体" w:eastAsia="宋体" w:cs="宋体"/>
          <w:b/>
          <w:bCs/>
          <w:color w:val="auto"/>
          <w:sz w:val="21"/>
          <w:szCs w:val="21"/>
          <w:highlight w:val="none"/>
          <w:shd w:val="clear" w:color="auto" w:fill="ffffff"/>
          <w:lang w:val="en-US" w:eastAsia="zh-CN"/>
        </w:rPr>
        <w:br w:type="page" w:clear="all"/>
      </w:r>
      <w:r/>
    </w:p>
    <w:p>
      <w:pPr>
        <w:rPr>
          <w:rFonts w:hint="eastAsia" w:ascii="宋体" w:hAnsi="宋体" w:eastAsia="宋体" w:cs="宋体"/>
          <w:b w:val="0"/>
          <w:bCs w:val="0"/>
          <w:sz w:val="21"/>
          <w:szCs w:val="21"/>
          <w:highlight w:val="none"/>
          <w:lang w:val="en-US" w:eastAsia="zh-CN"/>
        </w:rPr>
        <w:outlineLvl w:val="2"/>
      </w:pPr>
      <w:r>
        <w:rPr>
          <w:rFonts w:hint="eastAsia" w:ascii="宋体" w:hAnsi="宋体" w:eastAsia="宋体" w:cs="宋体"/>
          <w:b w:val="0"/>
          <w:bCs w:val="0"/>
          <w:sz w:val="21"/>
          <w:szCs w:val="21"/>
          <w:highlight w:val="none"/>
          <w:lang w:val="en-US" w:eastAsia="zh-CN"/>
        </w:rPr>
        <w:t xml:space="preserve">（三）托大班（2-3岁婴幼儿班级玩教具)</w:t>
      </w:r>
      <w:r/>
    </w:p>
    <w:tbl>
      <w:tblPr>
        <w:tblStyle w:val="69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43"/>
        <w:gridCol w:w="1593"/>
        <w:gridCol w:w="4365"/>
        <w:gridCol w:w="443"/>
        <w:gridCol w:w="443"/>
        <w:gridCol w:w="846"/>
        <w:gridCol w:w="443"/>
        <w:gridCol w:w="880"/>
      </w:tblGrid>
      <w:tr>
        <w:trPr>
          <w:jc w:val="center"/>
          <w:trHeight w:val="560"/>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类别</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w:t>
            </w:r>
            <w:r>
              <w:rPr>
                <w:rFonts w:hint="eastAsia" w:ascii="宋体" w:hAnsi="宋体" w:cs="宋体"/>
                <w:i w:val="0"/>
                <w:iCs w:val="0"/>
                <w:color w:val="000000"/>
                <w:sz w:val="21"/>
                <w:szCs w:val="21"/>
                <w:u w:val="none"/>
                <w:lang w:val="en-US" w:eastAsia="zh-CN" w:bidi="ar"/>
              </w:rPr>
              <w:t xml:space="preserve">（以下为每套要求）</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品牌</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型号</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（元）</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总价（元）</w:t>
            </w:r>
            <w:r/>
          </w:p>
        </w:tc>
      </w:tr>
      <w:tr>
        <w:trPr>
          <w:jc w:val="center"/>
          <w:trHeight w:val="112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一、动作发展区（包含精细操作玩具，锻炼婴幼儿手部精细操作能力，双手配合能力以及手眼协调能力）：</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衣饰框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1、产品材质：榉木、纺织物。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2、产品尺寸：280×295×260mm（±5%）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3、产品说明：1个大纽扣款，1个皮带扣款。</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12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钓鱼游戏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1、产品材质：桦木夹板、荷木、弹性绳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2、包装尺寸：40*12*12cm（±5%）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3、产品配件数：4个钓鱼竿,4个串鱼座,12条鱼。</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12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保龄球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1、产品材质：天然橡胶树乳汁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2、产品尺寸：保龄球8cm（±5%）、瓶14cm（±5%）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3、产品配件：6瓶1球。</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12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穿鞋带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2、产品尺寸：265×200×64mm（±5%）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3、产品配件：1个游戏托盘，1根穿孔用鞋带，5块含孔游戏板。</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12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插珠玩具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1、产品材质：椴木夹板、纸卡、荷木。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2、产品尺寸：27x27x3.2cm（±5%）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3、产品配件：1个含洞洞板的木架，6张游戏卡，1个编织收纳篮，39个木制按钮（红黄蓝绿4色）。</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68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敲敲乐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1、产品材质：椴木夹板、塑料、荷木, PP板。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2、产品尺寸：18.8x18.6x15.5cm（±5%）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3、产品配件：1个含孔木架、1把木手柄塑料槌、3张正反印刷任务卡、16颗彩色塑料钉（4色各4颗），1个编织收纳篮。</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12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插放圆柱体 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2、产品尺寸：171×171×65mm（±5%）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3、产品配件：1个含孔底座，16块顶部含孔尾部含有木梢的积木。</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12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圆形塔  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1、产品材质：木质。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2、产品尺寸：230x95*40mm（±5%）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3、产品配件：1个木盒底座，9个尺寸递减的圆环。</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01"/>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插棒盒 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1、产品材质：椴木夹板、PP板、荷木、MDF</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2、产品尺寸：28x12x10cm（±5%）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3、产品配件：1个含有抽拉板的木箱，1张印有团的盖板，10张任务卡，10根木柱。</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12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平衡游戏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2、产品尺寸：16*4.2*15cm（±5%）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3、产品配件：不少于8种动物。</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12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磁吸钓鱼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1、产品材质：多层实木夹板，榉木。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2、产品尺寸：280×280×12mm（±5%）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3、产品配件：含10对小鱼。</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4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穿绳积木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1、产品材质：密度板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2、产品尺寸：穿线绳长99cm（±5%）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3、产品配件：奶牛，猫，鸡，鸭，马，狗，绵羊，苹果树，房子，托拉机，农夫，农妇、带圆棒的红绳一根。</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12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搭建堆叠游戏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1、产品材质：榉木、荷木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2、产品尺寸：圆柱体18*60mm（±5%），倾斜圆柱体22*45mm（±5%），榉木片10*25*5mm（±5%），六边体33*30mm（±5%）。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12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螺丝螺帽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1、产品材质：实木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2、包装尺寸：250*180mm（±5%）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3、产品配件：不少于40个。</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84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磁性画板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1、产品材质：木质，磁铁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2、产品尺寸：36.5 x 27.3 x 2.5（±5%）。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84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开锁玩具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2、产品尺寸：30*30*0.7cm（±5%）。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68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积木柱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1、产品材质：松木+槐木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2、产品尺寸：底座：28*9*2.2cm（±5%）；圆棒：直径1.4*15.8cm（±5%）；圆形套圈尺寸分别为：4.5/5/5.6/6.2/6.8/7.4/8cm（±5%）；中间8角堆叠塔：最宽处尺寸3.3/4/5/6/7/8cm（±5%）。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84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线条磁铁珠玩具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1、产品材质：多层实木夹板，亚克力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2、产品尺寸：380*380*29mm（±5%）。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12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工具篮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1、产品材质：木质，MDF</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2、产品尺寸：185*114*126mm（±5%）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3、产品配件：三种工具。</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12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探险积木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1、产品材质：榉木、椴木夹板。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2、包装尺寸：310*310*48mm（±5%）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3、产品配件：不少于15种。</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12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穿衣游戏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2、产品尺寸：300*300*25mm（±5%）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3、产品说明：不少于五种功能。</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5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二、认知能力发展区（包含认知能力玩具，锻炼婴幼儿对于感官以及常见物品的认知能力）：</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高低积木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1、产品材质：橡胶木、积木：榉木；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2、产品尺寸：底板17.5*17.5*9.5cm（±5%），四个形状块高度分别为4/5.5/7/8.5cm（±5%）。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3、产品配件：一个底板，16个形状积木块。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气象员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1、产品材质：椴木夹板、纸卡。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2、产品尺寸：40x30x1/2.9cm（±5%）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3、产品配件：1个木质天气板，4张季节卡片。</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形状配对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1、产品材质：榉木，多层实木夹板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2、产品尺寸：四方块56*56*32mm（±5%），三角块71*64*32mm（±5%），圆块64*64*32mm（±5%），十字块62*62*32mm（±5%）。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5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堆叠金字塔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1、产品材质：多层实木夹板，榉木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2、产品尺寸：大块 227*114*14mm（±5%），中块 162*83*20mm（±5%），小块 100*52*25mm（±5%）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3、产品配件：每种各四块。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磁吸玩具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2、包装尺寸：28.8*28.8*4cm（±5%）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3、产品配件：玩法教程卡片，磁性积木片42片。</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身体认知拼图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1、产品材质：椴木夹板，实木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2、产品尺寸：300*225*24mm（±5%）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3、产品配件：男孩女孩各2个。</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孕期多层拼图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2、产品尺寸：18.5x20.8x1.8cm（±5%）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3、产品配件：1个拼图框架，4层20个拼块。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5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分数游戏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1、产品材质：榉木，多层实木夹板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2、产品尺寸：圆97*97*20mm（±5%），半圆97*48*20mm（±5%），1/3圆80*47*20mm（±5%），1/4圆64*47*20mm（±5%），1/5圆54*46*20mm（±5%），1/6圆46*46*20mm（±5%）。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认识几何形状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1、产品材质：天然橡胶树乳汁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2、产品尺寸：34.5×28×3cm（±5%）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3、产品配件：15片拼块材质。</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认识动物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1、产品材质：天然橡胶树乳汁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2、产品尺寸：34.5×28×3cm（±5%）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3、产品配件：9片拼块材质。</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镜面倒影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1、产品材质：榉木，亚克力镜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2、产品尺寸：亚克力镜275*120*6mm（±5%）；木块28*28*20mm（±5%）。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观察玩具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1、产品材质：实木、亚克力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2、产品尺寸：18*5*18cm（±5%）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3、产品配件：六种颜色，每种各一个。</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对应游戏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2、产品尺寸：30*15*12cm（±5%）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3、产品配件：男人、老人各1个，长颈鹿、大象、鳄鱼、马、奶牛、各2枚,共12个。</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平衡游戏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1、产品材质：榉木，密度板。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2、产品尺寸：28*7.8*21cm（±5%）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3、产品配件：1个天平架，2个蓝色托盘，6个红色砝码。</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生命循环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1、产品材质：桦木、有机板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2、产品尺寸：33.6x22.6x6.8cm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3、产品配件：2个木架，1个木盒，50张排序卡。</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磁性玩具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1、产品材质：榉木，多层实木夹板，透明亚克力盒子，铁粉。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2、产品尺寸：木块1：110*100*32mm（±5%）；木块2：100*25*10mm（±5%）；盖：170*140*9mm（±5%）；圆块：60*60*15mm（±5%）。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声音配对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1、产品材质：实木+塑料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2、产品尺寸：38×25×10cm（±5%）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3、产品配件：12个木制声音盒、1个木托盘。</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5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多彩套盒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1、产品材质：椴木夹板+彩色有机玻璃；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2、包装尺寸：230*128*128mm（±5%）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3、产品配件：猫头鹰、斑马、鳄鱼、猫、兔子动物粒子各1个。</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5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猜一猜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1、产品材质：桦木夹板、纸卡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2、包装尺寸：24x24x6.5cm（±5%）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3、产品配件：底座，卡片，空白卡片，笔。</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5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触觉套装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1、产品材质：榉木、多层实木夹板、亚克力、米胶、布等。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2、产品尺寸：200*200*53mm（±5%）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3、产品配件：由7个不同材料积木和5个表层纹理积木组成。</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8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神秘袋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2、产品尺寸：385×140×120mm。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3、产品配件：1个顶部含有两个触摸入口的游戏箱，2把小木梳，2个半球体，2个圆环，2个圆筒，2个圆锥，2个四棱锥，2个正方体，2个木螺丝。</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5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三、社会情绪发展区，（包含社会情绪促进玩具）：</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情绪游戏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1、产品材质：榉木，多层实木夹板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2、产品尺寸：280*280*46mm（±5%）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3、产品配件：64种表情玩教具。</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5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度假玩具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1、产品材质：椴木夹板、榉木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2、产品尺寸：190*120*125mm（±5%）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3、产品配件：不少于10个物品。</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5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情绪行为玩具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1、产品材质：实木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2、产品尺寸：半弧形7.5cm（±5%）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3、产品配件：5组30块配对拼图，主题包括惊喜、难过、生气、开心、恐惧对应的情绪拼图。</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72"/>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切切乐套装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2、产品尺寸：213x140x65mm（±5%）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3、产品配件：共两个主题，每个主题不少于10样物品。</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8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车类模型1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1、产品材质：榉木、夹板、密度板、塑料。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2、产品尺寸：拖车上层底板183*55*12mm（±5%），拖车下层底板200*55*12mm（±5%）；车身挡板前后4片55*18*10mm（±5%）;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四辆小车：红色75*22mm（±5%），蓝色车身70*33.5mm（±5%），绿色车身81*35mm（±5%），黄色车身41*40mm（±5%）。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8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车类模型2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1、产品材质：榉木、夹板、荷木。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2、产品尺寸：积木块60*30*30mm（±5%），连接磁铁吊臂115*25*8mm（±5%），连接车头底座吊臂97*25*8mm（±5%）；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车头总长143.5mm（±5%）,车身总长165mm（±5%），车轮直径35mm（±5%），车身积木盘140*80*18mm（±5%）。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8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警局玩具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1、产品材质：椴木夹板、榉木、MDF。</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2、产品：330*225*325mm（±5%）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3、产品配件：警车1辆、警用直升机1架、工作台1组、人偶3个、警犬1个、射击靶1个、值班双层床1个，安全锥路障2个。</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厨房玩具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1、产品材质：白桦木夹板，密度板，荷木，ABS。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2、产品尺寸：30*23*25.7cm（±5%）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3、产品配件：1*厨房，1*平底锅，1*汤锅，1*盖子，1*勺子，1*锅铲，共6个。</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牙医玩具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1、产品材质：椴木夹板 、荷木 、MDF、实木。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2、产品尺寸：220*85*160mm（±5%）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3、产品配件：不少于11件物品。</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梳妆玩具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1、产品材质：椴木夹板 、荷木 、MDF、实木。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2、产品尺寸：220*85*160mm（±5%）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3、产品配件：不少于11件物品。</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动物母子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1、产品材质：绒布，pp棉。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2、产品尺寸：约48cm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3、产品配件：1个长虎妈妈；1个虎宝宝。</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9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火车轨道套装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1、产品材质：榉木，椴木夹板，MDF，</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2、产品尺寸：1320*1000*188mm（±5%）。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5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城市套装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1、产品材质：胶合板、榉木、秸秆生物基聚合塑料。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2、包装尺寸：400×325×137mm（±5%）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3、产品配件：10个人偶；3座房子；1只猫；7件家具；2棵树；2簇花丛；3个交通标志；1辆公交车；1辆轿车；3件游乐场设备。</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8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医院玩具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1、产品材质：椴木夹板、榉木、MDF。</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2、产品尺寸：330*225*325mm（±5%）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3、产品配件：救护车1辆、救援直升机、人偶4个（医生、护士、孕妇、小男孩）、工作台1个，模拟CT机1组、病床1个、楼梯1个、就诊台1个。</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5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农场套装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1、产品材质：椴木夹板、榉木、MDF。</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2、产品尺寸：330*225*325mm（±5%）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3、产品配件：拖拉机1辆、车斗1个、农夫1个、动物（鸡、狗、奶牛、绵羊、鸭子）各1个、池塘1个、菜园3个+亚克力装饰板3个。</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auto"/>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四、语言发展区（包含语言发展玩教具，其中有手偶、模型等，为婴幼儿创造良好的语言环境）：</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多面拼图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2、产品尺寸：9*9*4.5cm（±5%）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3、产品配件：2类主题，各1个。</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故事卡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1、产品材质：板材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2、产品尺寸：47x33x0.2cm（±5%）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3、产品配件：6张PS卡片，双面图案。</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5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仿真水果模型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1、产品材质：搪胶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2、产品尺寸：香蕉180mm（±5%），红苹果76*74mm（±5%），柠檬55*77mm（±5%），西洋梨67*90mm（±5%），橙子72*77mm（±5%），李子57*50mm（±5%），牛油果60*98mm（±5%），芒果各1PC，草莓55*57mm（±5%） 2PC。</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5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仿真蔬菜模型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1、产品材质：搪胶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2、产品尺寸：土豆62*99mm（±5%），辣椒78*100mm（±5%），西红柿75*64mm（±5%），青瓜48*175mm（±5%），胡萝卜45*180mm（±5%），洋葱86*80mm（±5%），茄子68*150mm（±5%），玉米55*180mm（±5%） 各1PC。</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动物手偶套装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1、产品材质：超柔短绒100%涤。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2、产品尺寸：长约200mm（±5%）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3、产品配件：共10种动物。</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野生与农场动物模型1套；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1、产品材质：木质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2、产品尺寸：22.5*16.5*9cm（±5%）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3、产品配件：18种动物，配套画册一本。</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记忆游戏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1、产品材质：夹板，PS板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2、产品尺寸：240×125×68mm（±5%）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3、产品配件：木制收纳盒×1，单面印刷PS卡片×48，说明书×1。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小剧场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1、产品材质：桦木夹板、PP板、金属</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2、产品尺寸：47x37x9cm（±5%）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3、产品配件：1个木制桌面小剧场；1块白板；1块白色透明插板。</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系列拼图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1、产品材质：全椴木夹板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2、包装尺寸：230*275*235mm（±5%）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3、产品配件：共12款，9块拼图。</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5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声音游戏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1、产品材质：白桦木夹板，PS板，塑料，金属。</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2、产品尺寸：24x12.5x6.8cm（±5%）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3、产品配件：60张50x50x1.5mmPS（30X2pcs；2个吸盘（黑色1个，白色1个）；USB 1个（16GB ） ，将图案卡分开并放在桌子上。U盘里有6组声音，每组声音包含5种。</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海洋动物模型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1、产品材质：多样塑料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2、包装尺寸：28*20*17cm（±5%）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3、产品配件：15种海洋动物。</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5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角色手偶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1、产品材质：超柔短绒100%涤。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2、产品尺寸：8个手偶，7个人物手偶约320x260mm（±5%），鳄鱼手偶约410x230mm（±5%）。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3、产品配件：国王、公主、小丑、警察、巫师、强盗、奶奶、鳄鱼。</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5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交通工具拼图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2、产品尺寸：336×226×68mm（±5%）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3、产品配件：木制收纳盒×1、拼图×10，分别是：飞机、挖土机、拖拉机、直升机、火车、翻斗车、轮船、公交车、摩托车、小汽车。</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联想拼图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2、包装尺寸：21x19x4.5cm（±5%）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3、产品配件：四类为一套。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rPr>
          <w:rFonts w:hint="eastAsia" w:ascii="宋体" w:hAnsi="宋体" w:eastAsia="宋体" w:cs="宋体"/>
          <w:b/>
          <w:bCs/>
          <w:color w:val="auto"/>
          <w:sz w:val="21"/>
          <w:szCs w:val="21"/>
          <w:highlight w:val="none"/>
          <w:shd w:val="clear" w:color="auto" w:fill="ffffff"/>
          <w:lang w:val="en-US" w:eastAsia="zh-CN"/>
        </w:rPr>
      </w:pPr>
      <w:r>
        <w:rPr>
          <w:rFonts w:hint="eastAsia" w:ascii="宋体" w:hAnsi="宋体" w:eastAsia="宋体" w:cs="宋体"/>
          <w:b/>
          <w:bCs/>
          <w:color w:val="auto"/>
          <w:sz w:val="21"/>
          <w:szCs w:val="21"/>
          <w:highlight w:val="none"/>
          <w:shd w:val="clear" w:color="auto" w:fill="ffffff"/>
          <w:lang w:val="en-US" w:eastAsia="zh-CN"/>
        </w:rPr>
        <w:br w:type="page" w:clear="all"/>
      </w:r>
      <w:r/>
    </w:p>
    <w:p>
      <w:pPr>
        <w:rPr>
          <w:rFonts w:hint="eastAsia" w:ascii="宋体" w:hAnsi="宋体" w:eastAsia="宋体" w:cs="宋体"/>
          <w:b w:val="0"/>
          <w:bCs w:val="0"/>
          <w:sz w:val="21"/>
          <w:szCs w:val="21"/>
          <w:highlight w:val="none"/>
          <w:lang w:val="en-US" w:eastAsia="zh-CN"/>
        </w:rPr>
        <w:outlineLvl w:val="2"/>
      </w:pPr>
      <w:r>
        <w:rPr>
          <w:rFonts w:hint="eastAsia" w:ascii="宋体" w:hAnsi="宋体" w:eastAsia="宋体" w:cs="宋体"/>
          <w:b w:val="0"/>
          <w:bCs w:val="0"/>
          <w:sz w:val="21"/>
          <w:szCs w:val="21"/>
          <w:highlight w:val="none"/>
          <w:lang w:val="en-US" w:eastAsia="zh-CN"/>
        </w:rPr>
        <w:t xml:space="preserve">（四）幼儿班-小班（3-4岁幼儿班级玩教具)</w:t>
      </w:r>
      <w:r/>
    </w:p>
    <w:tbl>
      <w:tblPr>
        <w:tblStyle w:val="692"/>
        <w:tblW w:w="0" w:type="auto"/>
        <w:tblInd w:w="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43"/>
        <w:gridCol w:w="1185"/>
        <w:gridCol w:w="4665"/>
        <w:gridCol w:w="445"/>
        <w:gridCol w:w="445"/>
        <w:gridCol w:w="846"/>
        <w:gridCol w:w="445"/>
        <w:gridCol w:w="884"/>
      </w:tblGrid>
      <w:tr>
        <w:trPr>
          <w:trHeight w:val="560"/>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类别</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w:t>
            </w:r>
            <w:r>
              <w:rPr>
                <w:rFonts w:hint="eastAsia" w:ascii="宋体" w:hAnsi="宋体" w:cs="宋体"/>
                <w:i w:val="0"/>
                <w:iCs w:val="0"/>
                <w:color w:val="000000"/>
                <w:sz w:val="21"/>
                <w:szCs w:val="21"/>
                <w:u w:val="none"/>
                <w:lang w:val="en-US" w:eastAsia="zh-CN" w:bidi="ar"/>
              </w:rPr>
              <w:t xml:space="preserve">（以下为每套要求）</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品牌</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型号</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（元）</w:t>
            </w:r>
            <w:r/>
          </w:p>
        </w:tc>
        <w:tc>
          <w:tcPr>
            <w:shd w:val="clear" w:color="auto" w:fill="auto"/>
            <w:tcW w:w="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p>
        </w:tc>
        <w:tc>
          <w:tcPr>
            <w:shd w:val="clear" w:color="auto" w:fill="auto"/>
            <w:tcW w:w="8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总价（元）</w:t>
            </w:r>
            <w:r/>
          </w:p>
        </w:tc>
      </w:tr>
      <w:tr>
        <w:trPr>
          <w:trHeight w:val="1960"/>
        </w:trPr>
        <w:tc>
          <w:tcPr>
            <w:shd w:val="clear" w:color="auto" w:fill="auto"/>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一、语言发展区（包含语言发展玩教具）</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认知拼图-归类1盒；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1、产品材质：胶合板。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2、产品尺寸：木盒204x100x60H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3、产品配件：10组拼图，每组3块、1个木盒、1本说明书。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是一款对日常生活材料进行分类的匹配拼图，儿童可以对日常生活材料的认知把它们分在同一个类别中并验证是否匹配正确；也可以根据每组拼块之间齿状边缘的唯一性将属于同一类别的拼块组合在一起，掌握日常生活材料的正确分类规则。</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60"/>
        </w:trPr>
        <w:tc>
          <w:tcPr>
            <w:shd w:val="clear" w:color="auto" w:fill="auto"/>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趣味配对-认知活动1盒；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1、产品材质：胶合板。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2、产品尺寸：木盒204x100x60H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3、产品配件：10组拼图，每组3块、1个木盒、1本说明书。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是一款展示过程的匹配拼图，儿童可以根据事情发展过程将起始状态、动作过程和完成结果这三个部分正确地排列在一起；也可以根据每组拼块之间齿状边缘的唯一性将同组的拼块组合在一起，了解多种工作的过程和结果。</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40"/>
        </w:trPr>
        <w:tc>
          <w:tcPr>
            <w:shd w:val="clear" w:color="auto" w:fill="auto"/>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形状吸盘游戏1盒；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1、产品材质：桦木胶合板、TPR、PS。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2、产品尺寸：木盒240x125x68H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3、产品配件：1个木盒、1个形状骰子、1个颜色骰子、6个双面橡胶吸盘、72张任务卡片、1本说明书。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4、产品介绍：儿童通过抛出骰子来判断应该寻找的卡片，找到正确的图形块后，快速地用吸盘抓住卡片。每个儿童只能吸一次，如果正确，获得这张卡片，如果不正确，就要将卡片放回，开始下一轮游戏。</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60"/>
        </w:trPr>
        <w:tc>
          <w:tcPr>
            <w:shd w:val="clear" w:color="auto" w:fill="auto"/>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动物拼块游戏1盒；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1、产品材质：桦木胶合板、实木。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2、产品尺寸：木盒336x226x68H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3、产品配件：1个木盒、6块动物拼板、2颗颜色骰子、1本说明书。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适合3-4岁的儿童，共有6张小动物形状的拼图。每张拼图由六种不同颜色的拼块组成。加上2颗颜色骰子，这款拼图就成为了一款可以组织派对的游戏。先抛骰子，然后找到相对应颜色的拼块，先完成整个拼图的小朋友获胜。这款产品配备一个木制收纳盒。</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40"/>
        </w:trPr>
        <w:tc>
          <w:tcPr>
            <w:shd w:val="clear" w:color="auto" w:fill="auto"/>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小中大排排看1盒；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2、产品尺寸：木盒336x226x68H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3、产品配件：1个木盒、6张双面印刷四宫格任务卡，2张单面印刷四宫格游戏底板，4块带卡槽木制底座、15张双面印刷三格任务卡，36个游戏木片（6种形象3种大小，每块各2）、1本说明书。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4、产品介绍：探索发现最小、小、更大、最大的区别。在游戏的过程中相关概念被不断深化。</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80"/>
        </w:trPr>
        <w:tc>
          <w:tcPr>
            <w:shd w:val="clear" w:color="auto" w:fill="auto"/>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宝宝宠物 6 件1盒；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1、产品材质：榉木，密度板，胶合板。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2、产品尺寸：框架240×240×11H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3、产品配件：1个拼图框架，6个拼块。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4、产品介绍：这是一款主题为“宝宝和宠物”的拼图，通过观察画面中出现的宠物和宝宝的互动提升观察力，通过描述拼图中的画面，提升语言表达能力。</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80"/>
        </w:trPr>
        <w:tc>
          <w:tcPr>
            <w:shd w:val="clear" w:color="auto" w:fill="auto"/>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宝宝厨房 9 件1盒；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1、产品材质：榉木，密度板，胶合板。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2、产品尺寸：框架240×240×11H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3、产品配件：1个拼图框架，9个拼块。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4、产品介绍：这是一款主题为“宝宝在厨房”的拼图，通过观察画面中出现的宝宝和妈妈在厨房间的互动场景和行为提升观察力，通过描述拼图中的画面，提升语言表达能力。</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80"/>
        </w:trPr>
        <w:tc>
          <w:tcPr>
            <w:shd w:val="clear" w:color="auto" w:fill="auto"/>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宝宝洗衣房 12 件1盒；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1、产品材质：榉木，密度板，胶合板。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2、产品尺寸：框架240×240×11H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3、产品配件：1个拼图框架，12个拼块。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4、产品介绍：这是一款主题为“宝宝在洗衣”的拼图，通过观察画面中出现事物，展示的情节提升幼儿的观察力，通过描述拼图中的画面，提升语言表达能力。</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80"/>
        </w:trPr>
        <w:tc>
          <w:tcPr>
            <w:shd w:val="clear" w:color="auto" w:fill="auto"/>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宝宝杂货铺 16 件1盒；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1、产品材质：榉木，密度板，胶合板。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2、产品尺寸：框架240×240×11H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3、产品配件：1个拼图框架，16个拼块。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4、产品介绍：这是一款主题为“宝宝在购物”的拼图，通过观察画面中出现事物，展示的情节提升幼儿的观察力，通过描述拼图中的画面，提升语言表达能力。</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80"/>
        </w:trPr>
        <w:tc>
          <w:tcPr>
            <w:shd w:val="clear" w:color="auto" w:fill="auto"/>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幼儿综合配对游戏系列2 - 关联物品1盒；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1、产品材质：榉木、MDF、PS。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2、产品尺寸：拼图框架340x340mm（±5%）。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3、产品配件：1个拼图框架，3层生活物品卡片，4个类别4种物品48块（第二层32块）。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4、产品介绍：这款配对游戏包含6个不同主题，每个主题都包含有4-5种不同事物，通过这些事物所展现的过程或内容，来让儿童理解整个主题的含义。</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80"/>
        </w:trPr>
        <w:tc>
          <w:tcPr>
            <w:shd w:val="clear" w:color="auto" w:fill="auto"/>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双层动物拼图系列 - 动物与之外衣1盒；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1、产品材质：桦木胶合板、PP。</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2、产品尺寸：拼图框架340x340mm（±5%）。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3、产品配件：1个木制框架，2层动物和皮毛花纹卡片，9个动物9种花纹18块。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4、产品介绍：这是一款介绍常见动物外形特征的拼图，上下两层分别是动物和动物局部皮肤图案，通过一一匹配，完成动物和皮肤的对应。</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80"/>
        </w:trPr>
        <w:tc>
          <w:tcPr>
            <w:shd w:val="clear" w:color="auto" w:fill="auto"/>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双层动物拼图系列-动物与之食物1盒；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1、产品材质：桦木胶合板、PP。</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2、产品尺寸：拼图框架340x340mm（±5%）。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3、产品配件：1个木制框架，2层动物和食物卡片，9个动物9种食物18块。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4、产品介绍：这是一款介绍常见动物生活习性的拼图，上下两层分别是动物和动物爱吃的食物，通过一一匹配，完成动物和食物的对应。</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80"/>
        </w:trPr>
        <w:tc>
          <w:tcPr>
            <w:shd w:val="clear" w:color="auto" w:fill="auto"/>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双层动物拼图系列 - 动物与之住所1盒；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1、产品材质：桦木胶合板、PP。</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2、产品尺寸：拼图框架340x340H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3、产品配件：1个木制框架，2层动物和居住环境卡片，12个动物12个居所24块。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4、产品介绍：这是一款介绍常见动物生活习性的拼图，上下两层分别是动物和动物常见的居所，通过一一匹配，完成动物和居所的对应。</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80"/>
        </w:trPr>
        <w:tc>
          <w:tcPr>
            <w:shd w:val="clear" w:color="auto" w:fill="auto"/>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掀盖记忆游戏1盒；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2、产品尺寸：木盒300x300x50H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3、产品配件：1个正面开孔侧面双层插卡木盒、16个红色带把手木盖、8张单面印刷任务卡。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4、产品介绍：这款游戏是记忆游戏的升级版。在游戏盒中塞入一张任务卡，然后凭记忆掀开有小红盖找到配对的两个图案。共有8张任务卡一个游戏盒。</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40"/>
        </w:trPr>
        <w:tc>
          <w:tcPr>
            <w:shd w:val="clear" w:color="auto" w:fill="auto"/>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磁性识别游戏1盒；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w:t>
            </w:r>
            <w:r>
              <w:rPr>
                <w:rFonts w:hint="eastAsia" w:ascii="宋体" w:hAnsi="宋体" w:cs="宋体"/>
                <w:i w:val="0"/>
                <w:iCs w:val="0"/>
                <w:color w:val="000000"/>
                <w:sz w:val="21"/>
                <w:szCs w:val="21"/>
                <w:u w:val="none"/>
                <w:lang w:val="en-US" w:eastAsia="zh-CN" w:bidi="ar"/>
              </w:rPr>
              <w:t xml:space="preserve">PMMA</w:t>
            </w:r>
            <w:r>
              <w:rPr>
                <w:rFonts w:hint="eastAsia" w:ascii="宋体" w:hAnsi="宋体" w:eastAsia="宋体" w:cs="宋体"/>
                <w:i w:val="0"/>
                <w:iCs w:val="0"/>
                <w:color w:val="000000"/>
                <w:sz w:val="21"/>
                <w:szCs w:val="21"/>
                <w:u w:val="none"/>
                <w:lang w:val="en-US" w:eastAsia="zh-CN" w:bidi="ar"/>
              </w:rPr>
              <w:t xml:space="preserve">、PP。</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2、产品尺寸：木盒尺寸305x205x40H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3、产品配件：1个由含盖木盒和含盖多孔盒组成的游戏板，若干红绿色插珠。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是一款通过磁铁笔来探索事物是否具有磁性的工具盒。移动游戏板上的透明盖子，把不同的事物放置在游戏板的圆孔中，请游戏者先判断盒子中的物品是否具有磁性，并根据判断放置相应的标志，认为有就差上一个红色的插珠，认为没有就差上一个绿色的插珠。最后来验证一下自己的预测吧。圆孔中可以放置生活中的任意事物。</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80"/>
        </w:trPr>
        <w:tc>
          <w:tcPr>
            <w:shd w:val="clear" w:color="auto" w:fill="auto"/>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交通工具拼图盒1盒；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2、产品尺寸：木盒336x226x68H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3、产品配件：1个木盒、10块独立拼图（飞机、挖土机、拖拉机、直升机、火车、翻斗车、轮船、公交车、摩托车、小汽车）、1本说明书。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4、产品介绍：这组产品包含10款五颜六色的交通工具拼图。</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60"/>
        </w:trPr>
        <w:tc>
          <w:tcPr>
            <w:shd w:val="clear" w:color="auto" w:fill="auto"/>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大号插珠游戏1盒；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1、产品材质：亚克力、桦木胶合板、榉木、PS。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2、产品尺寸：木盒420x330x86H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3、产品配件：1个木盒，2块游戏插珠板，240粒木制蘑菇钉(红黄粉绿蓝橙色每色40粒)，5张双面印刷主题游戏板、1本说明书。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4、产品介绍：这款游戏盒报了透明框架、彩色木柱和操作主题板，儿童可以根据主题板在对应位置插珠，也可以自由插珠创意出新的造型和图案。</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60"/>
        </w:trPr>
        <w:tc>
          <w:tcPr>
            <w:shd w:val="clear" w:color="auto" w:fill="auto"/>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学习拼图-我的一天1盒；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1、产品材质：桦木胶合板、荷木。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2、产品尺寸：包装盒300x100x210H mm（±5%），完成拼图Ø490x6H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3、产品配件：48个拼块、1个时钟拼块、1个木制时钟展示架。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是一款圆形的益智拼图，儿童在游戏中了解时间的交替和循环，把日常生活中的一些事件和拼图中的内容进行结合，进而掌握一日生活中每个生活环节所对应的具体时间，最终能认识钟表，将时间的描述应用于沟通交流中。</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80"/>
        </w:trPr>
        <w:tc>
          <w:tcPr>
            <w:shd w:val="clear" w:color="auto" w:fill="auto"/>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因果关系游戏（新）1盒；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2、产品尺寸：木盒336x226x68H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3、产品配件：1个木盒；6张游戏主题板；48张双面印刷PS游戏卡；1本说明书。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4、产品介绍：拿一张主题卡和一张相关联的图片卡，在主题卡的左侧和右侧按照逻辑各摆放一张图片卡，以此类推，按逻辑和时间顺序共摆放4行。翻转卡片进行自检。</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80"/>
        </w:trPr>
        <w:tc>
          <w:tcPr>
            <w:shd w:val="clear" w:color="auto" w:fill="auto"/>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三个一组分类游戏（新）1盒；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2、产品尺寸：木盒240x125x68H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3、产品配件：1个木盒，48张PS游戏卡、1本说明书。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4、产品介绍：单人或组队游戏，找出属于同一组的三张图片卡，并解释它们匹配的原因。也可以将全部卡片背面朝上做记忆游戏。</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80"/>
        </w:trPr>
        <w:tc>
          <w:tcPr>
            <w:shd w:val="clear" w:color="auto" w:fill="auto"/>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卡片分类游戏-我的家1盒；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2、产品尺寸：木盒336x226x68H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3、产品配件：1个木盒、6张单面印刷主题板、60张与主题配对游戏卡、1本说明书。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4、产品介绍：两两一组。取一张主题卡并告诉对方上面都有哪些事物，根据主题卡上找到对应的事物图卡，并说一说为什么这些事物卡片与主题卡匹配。</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80"/>
        </w:trPr>
        <w:tc>
          <w:tcPr>
            <w:shd w:val="clear" w:color="auto" w:fill="auto"/>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卡片分类游戏-社会职业1盒；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2、产品尺寸：木盒336x226x68H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3、产品配件：1个木盒、6张主题游戏板、60张对应主题木片、1本说明书。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4、产品介绍：两两一组。取一张主题卡并向对方描述卡上的内容。然后找到10张对应主题卡的图卡。描述每张图卡上的内容并解释为什么这些图卡匹配主题卡。</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80"/>
        </w:trPr>
        <w:tc>
          <w:tcPr>
            <w:shd w:val="clear" w:color="auto" w:fill="auto"/>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二、益智发展区（包含认知能力玩教具）：</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糖果游戏零售版本1盒；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1、产品材质：桦木胶合板、蓝色绒布。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2、产品尺寸：包装盒240x240x65H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3、产品配件：41块木制糖果、1块Ø450mm（±5%）绒布垫、3颗颜色骰子。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4、产品介绍：41颗糖随意摆放在绒布垫上，同时掷的三颗骰子的颜色显示你要找的糖果的颜色。可根据儿童年龄，选择减少骰子来降低难度。</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60"/>
        </w:trPr>
        <w:tc>
          <w:tcPr>
            <w:shd w:val="clear" w:color="auto" w:fill="auto"/>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小鱼对对碰1盒；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1、产品材质：纸板、胶合板。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2、产品尺寸：包装盒240x240x65H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3、产品配件：1个游戏板、44条鱼。</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4、产品介绍：鱼群在五颜六色的珊瑚礁里游泳。因为在浩瀚的海洋中到处都潜伏着危险，所以鱼要伪装自己并找到与自己身体颜色相同的背景；此外，鱼总是成群结队地游泳，从不单独行动。</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40"/>
        </w:trPr>
        <w:tc>
          <w:tcPr>
            <w:shd w:val="clear" w:color="auto" w:fill="auto"/>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夸奇捉苍蝇1盒；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1、产品材质：橡胶垫，纸卡，荷木，软磁。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2、产品尺寸：游戏垫Ø520mm（±5%）。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3、产品配件：1个大的游戏软垫，4个带磁铁的木制青蛙，4个小的软垫子，12个不带磁性的苍蝇卡，24个带磁性的苍蝇卡，1个骰子，1本说明书，1个彩盒。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睡莲池里发生了很多事情！在这里可以找到许多五颜六色的青蛙。玩家试图用他们的磁力青蛙捕捉尽可能多的苍蝇，然后将他们收集在自己的游戏垫子上，谁能成为第一个捕捉最多苍蝇的人呢？这个令人兴奋和多样化的游戏需要快速的反应和良好的记忆力。</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60"/>
        </w:trPr>
        <w:tc>
          <w:tcPr>
            <w:shd w:val="clear" w:color="auto" w:fill="auto"/>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卡片分类游戏四季系列-春天与夏天（新）1盒；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1、产品材质：桦木胶合板、PS、MDF。</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2、产品尺寸：拼图框架400x280mm（±5%）。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3、产品配件：1个拼图框架，2张大主题卡，16张相关主题小卡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共有两组分类游戏，主题是一年中的四个季节，每张的的主题卡对应8张不同的图片卡。仔细观察主题卡。你认识哪个季节？讨论你的发现观察。拿出图片卡，说出卡上事物的名字并匹配相对应的季节。试着解释匹配的原因。翻转主题卡和图片卡检查答案。</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60"/>
        </w:trPr>
        <w:tc>
          <w:tcPr>
            <w:shd w:val="clear" w:color="auto" w:fill="auto"/>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卡片分类游戏四季系列-秋天与冬天（新）1盒；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1、产品材质：桦木胶合板、PS、MDF。</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2、产品尺寸：拼图框架400x280mm（±5%）。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3、产品配件：1个拼图框架，2张大主题卡，16张相关主题小卡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共有两组分类游戏，主题是一年中的四个季节，每张的的主题卡对应8张不同的图片卡。仔细观察主题卡。你认识哪个季节？讨论你的发现观察。拿出图片卡，说出卡上事物的名字并匹配相对应的季节。试着解释匹配的原因。翻转主题卡和图片卡检查答案。</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80"/>
        </w:trPr>
        <w:tc>
          <w:tcPr>
            <w:shd w:val="clear" w:color="auto" w:fill="auto"/>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男孩女孩1盒；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1、产品材质：桦木胶合板、MDF。</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2、产品尺寸：140x293x7H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3、产品配件：13块拼图。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4、产品介绍：这是一款简单介绍男孩与女孩衣着装饰和身体器官差异的拼图。通过完成拼图，儿童掌握常规的判断男孩女孩的区别的特征，知道身体各个部位的名称。</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60"/>
        </w:trPr>
        <w:tc>
          <w:tcPr>
            <w:shd w:val="clear" w:color="auto" w:fill="auto"/>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地面拼图-探索丛林1盒；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2、产品尺寸：包装盒300x100x210H mm（±5%），4组拼图组，298x145x6H mm（±5%）/组。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3、产品配件：40块拼图。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是一款展示森林地上地下景观的地面拼图，儿童可以通过拼图认识在森林地上生活的动物和植物，也可以认识生活在森林地下的动物，还可以为这些动植物命名，分享自己在森林里探索的相关经验。</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60"/>
        </w:trPr>
        <w:tc>
          <w:tcPr>
            <w:shd w:val="clear" w:color="auto" w:fill="auto"/>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地面拼图-海陆空1盒；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1、产品材质：胶合板、纸盒。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2、产品尺寸：包装盒300x100x210H mm（±5%），3组拼图，298x210x6H mm（±5%）/组。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3、产品配件：3组拼图，每组15块，1个包装盒，1本说明书。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个世界有很多事物值得去探索！!通过潜艇穿过深海，可以找到许多罕见的生物和多彩的植物。什么动物躲在茂密的丛林中?银河系又是什么样子的?通过海陆空三个层次的旅程，带孩子领略深海、地面、太空等奇妙的景象。</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80"/>
        </w:trPr>
        <w:tc>
          <w:tcPr>
            <w:shd w:val="clear" w:color="auto" w:fill="auto"/>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地下世界拼图1盒；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1、产品材质：ABS。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2、产品尺寸：575x575。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3、产品配件：38个配件。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4、产品介绍：你知道你的脚下有多少东西吗？一起通过这个拼图来找出地下到底有多少千奇百怪的东西吧!</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80"/>
        </w:trPr>
        <w:tc>
          <w:tcPr>
            <w:shd w:val="clear" w:color="auto" w:fill="auto"/>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卡片分类游戏动物系列 - 宠物与海洋动物1盒；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2、产品尺寸：拼图框架400x280H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3、产品配件：1个拼图框架，2张大主题卡，16张相关主题小卡。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4、产品介绍：这是一组包含了各类动物的分类游戏。儿童要先以大主题板的图案为线索，对各种动物进行辨认并分类。</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80"/>
        </w:trPr>
        <w:tc>
          <w:tcPr>
            <w:shd w:val="clear" w:color="auto" w:fill="auto"/>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卡片分类游戏动物系列 - 野生与农场动物1盒；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2、产品尺寸：拼图框架400x280H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3、产品配件：1个拼图框架，2张大主题卡，16张相关主题小卡。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4、产品介绍：这是一组包含了各类动物的分类游戏。儿童要先以大主题板的图案为线索，对各种动物进行辨认并分类。</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80"/>
        </w:trPr>
        <w:tc>
          <w:tcPr>
            <w:shd w:val="clear" w:color="auto" w:fill="auto"/>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魔法手指球桌1盒；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1、产品材质：榉木、MDF、纸卡。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2、产品尺寸：游戏盒365x365x150H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3、产品配件：1个内置80球亚克力顶面木盒，7张双面印刷任务卡。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4、产品介绍：一款游戏盒底部有孔的小球空间变换游戏，根据任务卡上的图案，儿童用手指在游戏盒底部排列球的位置，最终完成任务卡上的要求。</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60"/>
        </w:trPr>
        <w:tc>
          <w:tcPr>
            <w:shd w:val="clear" w:color="auto" w:fill="auto"/>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轮廓配对板1套；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1、尺寸：280×280×23mm（±5%）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配件尺寸：正方块45*45*14mm（±5%）16PC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2、材质：多层实木夹板, 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轮廓学习板提供了十六种日常生活幼儿常见的事物，提供多张题卡，有实物一一对应的题卡，还有轮廓线条的题卡、阴影题卡。契合幼儿从实物——轮廓——线条的认知特点。逐步引导幼儿从具体形象思维向抽象思维过渡。</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360"/>
        </w:trPr>
        <w:tc>
          <w:tcPr>
            <w:shd w:val="clear" w:color="auto" w:fill="auto"/>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形状拼接学习板1套；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1、材质：榉木, 多层实木夹板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2、尺寸：280*280*23mm（±5%）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配件尺寸：拼块1：67*40*14mm（±5%）, 拼块2：71*41*14mm（±5%）, 拼块3：68*42*14mm（±5%）, </w:t>
            </w:r>
            <w:r>
              <w:rPr>
                <w:rFonts w:hint="eastAsia" w:ascii="宋体" w:hAnsi="宋体" w:eastAsia="宋体" w:cs="宋体"/>
                <w:i w:val="0"/>
                <w:iCs w:val="0"/>
                <w:color w:val="000000"/>
                <w:sz w:val="21"/>
                <w:szCs w:val="21"/>
                <w:u w:val="none"/>
                <w:lang w:val="en-US" w:eastAsia="zh-CN" w:bidi="ar"/>
              </w:rPr>
              <w:t xml:space="preserve">拼块4：70*40*14mm（±5%）, 拼块5：67*39*14mm（±5%）, 拼块6：76*36*14mm（±5%）, 拼块7：73*42*14mm（±5%）, 拼块8：68*38*14mm（±5%）, 拼块9：68*38*14mm（±5%）, 拼块10：65*47*14mm（±5%）, 拼块11：68*39*14mm（±5%）, 拼块12：70*46*14mm（±5%）, 拼块13：76*40*14mm（±5%）, 拼块14：68*46*14mm（±5%）, 拼块15：68*39*14mm（±5%）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这款产品有3种图形，各采用了3种不同的切割方式。每种形状分成两半，每一块只能与另外一块匹配，以形成一个完整的形状。在图形拼接过程中，提高了幼儿对形状、颜色的认知能力，并锻炼其手部精细动作 。</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60"/>
        </w:trPr>
        <w:tc>
          <w:tcPr>
            <w:shd w:val="clear" w:color="auto" w:fill="auto"/>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37</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触觉、视觉双感官混合配对游戏1套；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1、材质：榉木, 多层实木夹板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2、尺寸：280*280*23mm（±5%）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配件尺寸：木块：90*45*14mm（±5%）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产品包含了4对木块，每一对木块拥有相同的纹理。纹理雕刻在木块的一面，同样的纹理同时印在木块的另一面。换句话说，同一种纹理用两种方式体现在木块的两个面。各种感官游戏由此而生，如纯触感配对、纯视觉配对、视觉触感交叉配对等。</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80"/>
        </w:trPr>
        <w:tc>
          <w:tcPr>
            <w:shd w:val="clear" w:color="auto" w:fill="auto"/>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钓鱼游戏板1套；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1、材质：榉木, 多层实木夹板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2、尺寸：280*280*21mm（±5%）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以海洋为主题的玩具设计增加了幼儿对海洋的认识，鱼背上有阿拉伯数字，英文数字和点数标识，幼儿可以通过它认识数字，数与量的对应，英语学习，同时也能训练幼儿的手眼协调能力，提升专注力。</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40"/>
        </w:trPr>
        <w:tc>
          <w:tcPr>
            <w:shd w:val="clear" w:color="auto" w:fill="auto"/>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39</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学习板系列 - 数与量配对1套；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1、尺寸：380*380*26mm（±5%）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配件尺寸：亚克力370*370*2mm（±5%）(±2mm（±5%）), 磁笔∮12mm（±5%）*66mm（±5%）(±2mm（±5%）), 米黄色塑胶钉∮25*11mm（±5%）  8pc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2、材质：多层实木夹板, 亚克力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学习板包含了数字、数量与颜色的配对学习，6张底卡提供了不同难度的游戏，有简单的直接配对到需要先思考后解答高难度玩法，例如：底卡上显示了一个红色的3，代表了小孩需把3个红色片放到指定位置上。</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80"/>
        </w:trPr>
        <w:tc>
          <w:tcPr>
            <w:shd w:val="clear" w:color="auto" w:fill="auto"/>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颜色形状对对碰 - 圆形1套；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1、尺寸：200*200*53mm（±5%）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配件尺寸：圆座:55*55*40mm（±5%）, 圆球:35*35*20mm（±5%）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w:t>
            </w:r>
            <w:r>
              <w:rPr>
                <w:rFonts w:hint="eastAsia" w:ascii="宋体" w:hAnsi="宋体" w:eastAsia="宋体" w:cs="宋体"/>
                <w:i w:val="0"/>
                <w:iCs w:val="0"/>
                <w:color w:val="000000"/>
                <w:sz w:val="21"/>
                <w:szCs w:val="21"/>
                <w:u w:val="none"/>
                <w:lang w:val="en-US" w:eastAsia="zh-CN" w:bidi="ar"/>
              </w:rPr>
              <w:t xml:space="preserve">述：产品选用榉木，外观敦实、光滑棱角，采用毒水性漆，颜色饱和不褪色，易清洗。,本产品是颜色形状对对碰系列的产品之一，由9个不同颜色的圆形盒子和圆形木块组成，设计色彩鲜艳、造型简洁、操作稳妥，易于收纳，适用于2岁以上幼儿独立操作游戏使用。通过不同类型的游戏，帮助幼儿对颜色、形状的认知、筛选与分类、量的比较， 提升空间思维能力与逻辑思考能力，协助教师完成“玩中学”。本产品配备了图文并茂的说明书和幼儿操作题卡，题卡内容由浅入深、由易到难，为不同层次水平的幼儿提供了游戏空间，可供教师参考指导及激发幼儿自行学习兴趣。</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60"/>
        </w:trPr>
        <w:tc>
          <w:tcPr>
            <w:shd w:val="clear" w:color="auto" w:fill="auto"/>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41</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触觉训练箱1套；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1、尺寸：330*280*220mm（±5%），内空圆直径100mm（±5%）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2、材质：多层实木夹板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盒子里面有什么呢？让我们猜猜看吧。探奇玩具箱子前面有两个孔方便幼儿伸手进去触摸，猜测出里面的物体。本产品可和材料与纹理探奇套装、形状探奇套装、字母与数字探奇套装一起使用。通过对幼儿探索能力的培养，可提高幼儿触觉能力、记忆力、语言与交流能力。</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00"/>
        </w:trPr>
        <w:tc>
          <w:tcPr>
            <w:shd w:val="clear" w:color="auto" w:fill="auto"/>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42</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触觉训练 - 形状探奇套装1套；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1、尺寸：200*200*53mm（±5%）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配件尺寸：三角：50*45*25mm（±5%）；圆块：50*50*25mm（±5%）；六角：50*45*25mm（±5%）；十字：45*45*25mm（±5%）；星形：50*50*25mm（±5%）；半圆球：∮44*22mm（±5%）；正方：40*40*40mm（±5%）；圆球：∮45mm（±5%）；长方：60*40*40mm（±5%）；四方锥：48*48*40mm（±5%）；圆锥：45*45*40mm（±5%）；椭圆：37*37*60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2、材质：榉木, 多层实木夹板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3、产品描述：产品由12个不同形状木块组成，可配合探奇玩具箱一起使用，幼儿可以透过探奇玩具箱触摸木块来正确识别形状。提高幼儿的触觉和形状认知能力。</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00"/>
        </w:trPr>
        <w:tc>
          <w:tcPr>
            <w:shd w:val="clear" w:color="auto" w:fill="auto"/>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43</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自然探索放大镜1套；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1、尺寸：180×180×17mm（±5%）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2、材质：多层实木夹板, 放大镜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w:t>
            </w:r>
            <w:r>
              <w:rPr>
                <w:rFonts w:hint="eastAsia" w:ascii="宋体" w:hAnsi="宋体" w:eastAsia="宋体" w:cs="宋体"/>
                <w:i w:val="0"/>
                <w:iCs w:val="0"/>
                <w:color w:val="000000"/>
                <w:sz w:val="21"/>
                <w:szCs w:val="21"/>
                <w:u w:val="none"/>
                <w:lang w:val="en-US" w:eastAsia="zh-CN" w:bidi="ar"/>
              </w:rPr>
              <w:t xml:space="preserve">描述：产品为大镜头(直径85毫米)和彩色插图环绕。镜头被包裹在一个坚固的多层夹板外框架与手持构造，以提供幼儿理想的、稳定的观察方式，插入式“按钮镜头”提供了5倍放大倍率。幼儿自己调整距离，细致观察事物或标本，尝试进行简单的推理和分析，发现事物之间明显的关联。幼儿通过观察，关注和思考动植物的外部特征、习性与生活环境对动植物生存的意义。教师和家长要有意识地引导幼儿学习观察的基本方法，培养幼儿观察与分类能力，通过提问等方式引导幼儿思考并对事物进行比较观察和连续观察。在观察和探索的基础上，尝试进行简单的分类、概括。</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80"/>
        </w:trPr>
        <w:tc>
          <w:tcPr>
            <w:shd w:val="clear" w:color="auto" w:fill="auto"/>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44</w:t>
            </w:r>
            <w:r/>
          </w:p>
        </w:tc>
        <w:tc>
          <w:tcPr>
            <w:shd w:val="clear" w:color="auto" w:fill="auto"/>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三、社交发展区（包含社会情感发展玩教具）：</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自理娃娃1个；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1、产品材质：布、填充物：PP棉。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2、产品尺寸：高38cm（±5%）。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介绍：娃娃不但会陪伴小朋友的成长，还能帮助小朋友学会如何照顾自己以及同伴，在和娃娃相处的过程中，学会了如何系扣、解扣、拉拉链、搭扣、系鞋带等这些自理技能，更增强了照顾好同伴的自信心。</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60"/>
        </w:trPr>
        <w:tc>
          <w:tcPr>
            <w:shd w:val="clear" w:color="auto" w:fill="auto"/>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医疗包1盒；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1、产品材质：荷木、EVA、PC、牛津布、铁、细绳。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2、产品尺寸：210x150x80H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3、产品配件：1个听诊器、1张记录卡、1根针筒、1台血压计、1管药膏、1个温度计、1个收纳医疗包。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4、产品介绍：齐全的医疗包，配备温度计；听诊器；血压仪；诊疗卡等等仪器。专业的装备让角色游戏更生动！</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800"/>
        </w:trPr>
        <w:tc>
          <w:tcPr>
            <w:shd w:val="clear" w:color="auto" w:fill="auto"/>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46</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角色扮演仿真水果套装1套；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1、尺寸：305*275*85mm（±5%）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2、材质：环保PVC耐磨皮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香蕉长180mm（±5%）, 红苹果76*74mm（±5%）, 柠檬55*77mm（±5%）, 西洋梨67*90mm（±5%）, 橙子72*77mm（±5%）, 李子57*50mm（±5%）, 牛油果60*98mm（±5%）, 芒果各1PC, 草莓55*57mm（±5%） 2PC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  时令水果组，共有十个色彩鲜艳并与实际大小相同的水果，包含：苹果、香蕉、柠檬、草莓等，幼儿在发挥创意扮演游戏的同时，不仅认识到色彩与形状，想象力与观察力也得到了提升。水果结构坚固耐玩，幼儿在拿取不同大小的水果时，能增强手部控制的稳定性，纸盒装方便好收纳，同时能教育孩子多吃水果，这是厨房装扮游戏的必备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6675.3-2014 《玩具安全 第 3 部分：易燃性能》 中国国家标准 GB 6675.1-2014《玩具安全 第 1 部分：基本规范》</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0"/>
        </w:trPr>
        <w:tc>
          <w:tcPr>
            <w:shd w:val="clear" w:color="auto" w:fill="auto"/>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47</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角色扮演仿真蔬菜套装1套；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1、尺寸：305*275*85mm（±5%）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2、材质：环保PVC耐磨皮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配件：土豆62*99mm（±5%）, 辣椒78*100mm（±5%）, 西红柿75*64mm（±5%）, 青瓜48*175mm（±5%）, 胡萝卜45*180mm（±5%）, 洋葱86*80mm（±5%）, 茄子68*150mm（±5%）, 玉米55*180mm（±5%） 各1PC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新鲜健康蔬菜组，色彩鲜艳与实际大小相同的营养蔬菜共8个，包含：玉米、西红柿、茄子、土豆等，幼儿在发挥创意扮演游戏的同时，不仅认识到色彩与形状，想象力与观察力也得到了提升。蔬菜结构坚固耐玩，幼儿在拿取不同体积大小的蔬菜时，能增加手部控制的稳定性，纸盒装方便好收纳，同时能教育孩子多吃蔬菜，这是厨房装扮游戏的必备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6675.3-2014 《玩具安全 第 3 部分：易燃性能》 中国国家标准 GB 6675.1-2014《玩具安全 第 1 部分：基本规范》</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900"/>
        </w:trPr>
        <w:tc>
          <w:tcPr>
            <w:shd w:val="clear" w:color="auto" w:fill="auto"/>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48</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角色扮演烹饪厨具套装（13 件套）1套；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1、尺寸：300*220*140mm（±5%）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2、材质：不锈钢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3、产品描述：角色扮演烹饪厨具套装13件套：304#钢盖子φ125mm（±5%）, 304#钢单柄浅锅长240mm（±5%）,  304#钢水果篮长173mm（±5%）, 304#钢双耳锅长176mm（±5%）,  304#单柄深锅长238mm（±5%）</w:t>
            </w:r>
            <w:r>
              <w:rPr>
                <w:rFonts w:hint="eastAsia" w:ascii="宋体" w:hAnsi="宋体" w:eastAsia="宋体" w:cs="宋体"/>
                <w:i w:val="0"/>
                <w:iCs w:val="0"/>
                <w:color w:val="000000"/>
                <w:sz w:val="21"/>
                <w:szCs w:val="21"/>
                <w:u w:val="none"/>
                <w:lang w:val="en-US" w:eastAsia="zh-CN" w:bidi="ar"/>
              </w:rPr>
              <w:t xml:space="preserve">,  304#勺子长155mm（±5%）,  304#叉子长187mm（±5%）,  304#冲孔圆勺长193mm（±5%）,  304#花型勺长183mm（±5%）,  201#打蛋器长210*48mm（±5%）,  430#冰夹长142*28mm（±5%）, TC手套180*115mm（±5%）, 带隔层方形铁蓝子335*222*100mm（±5%）。精美的不锈钢餐具组合，让孩子在角色扮演活动中体验无穷的乐趣；提高合作能力和动手操作能力，语言表达和社会交往能力。幼儿更可从中认识各种厨具不同的功能和用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6675.3-2014 《玩具安全 第 3 部分：易燃性能》 中国国家标准 GB 6675.1-2014《玩具安全 第 1 部分：基本规范》。</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0"/>
        </w:trPr>
        <w:tc>
          <w:tcPr>
            <w:shd w:val="clear" w:color="auto" w:fill="auto"/>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49</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角色扮演类 - 收银台钱币套装1套；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1、尺寸180*200*120mm（±5%）；扫码棒长：60mm（±5%） 100/50币板长：90mm（±5%） 宽：50mm（±5%） 厚：5mm（±5%）；10币板：外径55mm（±5%） 厚5mm（±5%）； 5币板：外径50mm（±5%）厚5mm（±5%）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2、材质：榉木, 多层实木夹板, 塑胶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3、产品描述：收银台钱币套装，幼儿扮演收银员角色，能从中增强对钱币数量的认知，数数，加减法学习，学会刷卡等，让幼儿体验到了的生活，这是一款有效增强幼儿逻辑思考能力的玩教具。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6675.3-2014 《玩具安全 第 3 部分：易燃性能》 中国国家标准 GB 6675.1-2014《玩具安全 第 1 部分：基本规范》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920"/>
        </w:trPr>
        <w:tc>
          <w:tcPr>
            <w:shd w:val="clear" w:color="auto" w:fill="auto"/>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我的小厨房1套；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1、尺寸：340*235*275mm（±5%）；水池孔长：100mm（±5%） 宽：100 木铲长：135mm（±5%） 木瓢长：135mm（±5%）；抽屉门长：265mm（±5%） 宽：80mm（±5%）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2、材质：榉木, 多层实木夹板, 不锈钢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角色扮演类—我的小厨房整套厨房包括了炉灶,烤箱,洗盆,时钟,调味瓶和一组不锈钢餐具。老师引导幼儿树立整洁卫生的生活习惯，明白烹饪之前要清洗餐具，促进感情交流，烹饪过程也能让幼儿学会时间观念，分工协作，体验烹饪的快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6675.3-2014 《玩具安全 第 3 部分：易燃性能》中国国家标准 GB 6675.1-2014《玩具安全 第 1 部分：基本规范》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360"/>
        </w:trPr>
        <w:tc>
          <w:tcPr>
            <w:shd w:val="clear" w:color="auto" w:fill="auto"/>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51</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背包紧急服务中心1套；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1、尺寸：220*120*210mm（±5%）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2、材质：榉木, 布包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3、产品描述：医院、警局和消防局集于一个背包内！可以想象小孩背着属于他们的急救中心到访朋友家中，拉开拉链，拿出人物与配件，急救中心马上投入服务。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6675.3-2014 《玩具安全 第 3 部分：易燃性能》中国国家标准 GB 6675.1-2014《玩具安全 第 1 部分：基本规范》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120"/>
        </w:trPr>
        <w:tc>
          <w:tcPr>
            <w:shd w:val="clear" w:color="auto" w:fill="auto"/>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52</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露营玩具套装1套；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1、产品材质：椴木夹板、榉木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2、产品尺寸：190*120*125mm（±5%）。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40"/>
        </w:trPr>
        <w:tc>
          <w:tcPr>
            <w:shd w:val="clear" w:color="auto" w:fill="auto"/>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53</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停车场玩具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1、产品材质：榉木、椴木夹板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580*370*453mm(未加上摆放后飞机高度），一层底板尺寸：580*370*9mm，二层层板尺寸：550*300*9mm，三层层板尺寸：400*300*9mm，四层停机坪尺寸：205*155*9mm，每层之间的榉木支撑圆柱尺寸：φ30*135mm。橙色小车尺寸：75*40*20mm（不含车轮），红色小车尺寸：60*35*20mm（不含车轮），蓝色小车尺寸：60*35*20mm（不含车轮），绿色小车尺寸：62*35*20mm（不含车轮）（±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3、产品说明：配件红色、蓝色、橙色、绿色小车各1辆，直升机1架。</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00"/>
        </w:trPr>
        <w:tc>
          <w:tcPr>
            <w:shd w:val="clear" w:color="auto" w:fill="auto"/>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54</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医院救护玩具1套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1、产品材质：椴木夹板、榉木、MDF；</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2、产品尺寸：330*225*325mm（±5%）；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3、产品说明：配件救护车1辆、救援直升机、人偶4个（医生、护士、孕妇、小男孩）、工作台1个，模拟CT机1组、病床1个、楼梯1个、就诊台1个。</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00"/>
        </w:trPr>
        <w:tc>
          <w:tcPr>
            <w:shd w:val="clear" w:color="auto" w:fill="auto"/>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警察巡逻玩具1套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1、产品材质：椴木夹板、榉木、MDF。</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2、产品尺寸：330*225*325mm（±5%）；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3、产品说明：警车1辆、警用直升机1架、工作台1组、人偶3个、警犬1个、射击靶1个、值班双层床1个，安全锥路障2个。</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00"/>
        </w:trPr>
        <w:tc>
          <w:tcPr>
            <w:shd w:val="clear" w:color="auto" w:fill="auto"/>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56</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农场伙伴玩具1套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1、产品材质：椴木夹板、榉木、MDF。</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2、产品尺寸：330*225*325mm。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3、产品说明：配件拖拉机1辆、车斗1个、农夫1个、动物（鸡、狗、奶牛、绵羊、鸭子）各1个、池塘1个、菜园3个+亚克力装饰板3个。</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80"/>
        </w:trPr>
        <w:tc>
          <w:tcPr>
            <w:shd w:val="clear" w:color="auto" w:fill="auto"/>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57</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消防局玩具1套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1、产品材质：MDF、夹板、榉木、实木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2、产品尺寸：34.7*25.5*27.0cm;消防车：17.5*10*11cm;消防直升机：17*6.5*10.5cm；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3、产品说明：一个大的消防站；消防车*1；消防直升机*1；家具四件套（梯子*1，双层床*1，椅子*1、桌子*1）；消防员*2；小狗*1；狗盆*1；路障*1；火苗*1；消防栓*1；水枪*1；三脚架*1.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78"/>
        </w:trPr>
        <w:tc>
          <w:tcPr>
            <w:shd w:val="clear" w:color="auto" w:fill="auto"/>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58</w:t>
            </w:r>
            <w:r/>
          </w:p>
        </w:tc>
        <w:tc>
          <w:tcPr>
            <w:shd w:val="clear" w:color="auto" w:fill="auto"/>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四、数感发展区，（包含数学逻辑玩教具）：</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淘瑞塔零售版本1盒；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1、产品材质：荷木。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2、产品尺寸：包装盒240x240x65H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3、产品配件：25个5种高度5种粗细的圆柱、1个点数骰子、1个颜色骰子。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4、产品介绍：根据掷出的骰子上的点数或颜色，取相应的圆柱逐渐垒高，垒得最高的小朋友获胜。</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40"/>
        </w:trPr>
        <w:tc>
          <w:tcPr>
            <w:shd w:val="clear" w:color="auto" w:fill="auto"/>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59</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小熊排队游戏（新）1盒；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1、产品材质：桦木胶合板、PS、PP、荷木。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2、产品尺寸：木盒336x226x68H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3、产品配件：1个木盒、2个木制带卡槽游戏板底座、8张双面印刷游戏指示卡、2只木制夹子、4组4色4种尺寸共64只塑料小熊、1本说明书。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一套不同颜色不同尺寸的塑料小熊，操作指示卡有不同的难度。这套玩具很适合儿童学习和辨别颜色、形状，还有数数、比较和分类的能力。配有木夹子，增加游戏难度和趣味性。收在木制收纳盒中。</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20"/>
        </w:trPr>
        <w:tc>
          <w:tcPr>
            <w:shd w:val="clear" w:color="auto" w:fill="auto"/>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逻辑游戏 – 分类1盒；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1、产品材质：胶合板、实木、毛毡布、涤纶、棉布、纸卡。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2、产品尺寸：包装盒320x310x110H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3、产品配件：1个木制游戏底板、18个Ø30mm（±5%）彩色木球、30个Ø20mm（±5%）彩色木球、2个骰子、1个手握木夹、10张双面印刷任务卡、1个蓝色棉布袋、1个大毛毡托盘、4个小毛毡托盘、1本说明书。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逻辑游戏–分类可以根据球的大小进行，也可以将其作为骰子游戏。使用钳子可以同时锻炼儿童的精细运动技能。木板共有6个不同颜色的圆形凹槽。儿童可以根据任务卡进行游戏，也可以按他们自己的创意自由玩耍。</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00"/>
        </w:trPr>
        <w:tc>
          <w:tcPr>
            <w:shd w:val="clear" w:color="auto" w:fill="auto"/>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61</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无绳电话机，2个/对1盒；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1、产品材质：胶合板、榉木、海绵。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2、产品尺寸：单个电话尺寸65x16x110cm（±5%）；底座尺寸170x60x60H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3、产品配件：1个电话机底座，2个电话机。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4、产品介绍：一对时尚的电话交流工具，配有齐全的各种按键。</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60"/>
        </w:trPr>
        <w:tc>
          <w:tcPr>
            <w:shd w:val="clear" w:color="auto" w:fill="auto"/>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62</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找一找数一数游戏（1-10）1盒；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1、产品材质：桦木胶合板、PP 、PS。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2、产品尺寸：木盒336x226x68H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3、产品配件：1个木盒、2个主题板底座，12根红色塑胶棒、6张单面印刷主题板、6张双面印刷任务板，100个红色塑料串珠，1本说明书。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4、产品介绍：放置主题卡在卡槽处，然后放置对应的任务卡在串珠前。试着找出任务卡上的事物在主题卡上出现的次数，然后放置对应数量的串珠。翻转任务卡确认答案</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60"/>
        </w:trPr>
        <w:tc>
          <w:tcPr>
            <w:shd w:val="clear" w:color="auto" w:fill="auto"/>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63</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森林动物测量游戏1盒；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1、产品材质：桦木胶合板，榉木、PS、PVC。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2、产品尺寸：木盒336×226×68H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3、产品配件：1个木盒，6张双面印刷PS游戏板，1个骰子，1个卷尺，6个动物，36个圆柱插孔木件。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4、产品介绍：选取不同的动物，给猴子做一条尾巴，给长颈鹿捏一个脖子，给大象做一个鼻子。尝试不同的长度，并做出长、短、长于、短于、最长和最短的比较。</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60"/>
        </w:trPr>
        <w:tc>
          <w:tcPr>
            <w:shd w:val="clear" w:color="auto" w:fill="auto"/>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64</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大号逻辑串珠游戏1盒；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1、产品材质：桦木胶合板、PP、ABS。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2、产品尺寸：木盒336x226x68H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3、产品配件：1个木盒、2个木制底座、2根红色插棒、180颗塑料串珠、14张双面印刷任务板、4根鞋带、1本说明书。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4、产品介绍：非常适合儿童学习形状、颜色和图案，还可以学习立体实物和二维图像的联系。儿童可以按照操作指示卡或者按照他们自己的想法来串珠。</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60"/>
        </w:trPr>
        <w:tc>
          <w:tcPr>
            <w:shd w:val="clear" w:color="auto" w:fill="auto"/>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计数苹果树1盒；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1、产品材质：桦木胶合板、荷木。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2、产品尺寸：木盒336x226x68H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3、产品配件：1个木盒、10块含孔苹果树木板、30颗绿色圆头木梢、30颗红色圆头木梢、1本说明书。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4、产品介绍：儿童通过数树上的苹果来培养数数和加法能力，再也没有比这种方式更加生动了。每棵树的旁边标有1-10的数字和点数，把红苹果和青苹果放到树上去吧。</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60"/>
        </w:trPr>
        <w:tc>
          <w:tcPr>
            <w:shd w:val="clear" w:color="auto" w:fill="auto"/>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66</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叠高木珠游戏1盒；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1、产品材质：桦木胶合板、PS、PP。</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2、产品尺寸：木盒420x330x86H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3、产品配件：1个木盒、3组3形4色36个彩色几何体木块（红黄蓝绿、正方球体酒桶形）、2个带凹槽打孔游戏板底座、8根红色塑料棒、5张双面印刷游戏指示板、1本说明书。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4、产品介绍：按照指示卡上的样式，把几何木珠串到底座的立柱上。指示卡左上角的圆点表示难度等级，实心为最高难度。</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80"/>
        </w:trPr>
        <w:tc>
          <w:tcPr>
            <w:shd w:val="clear" w:color="auto" w:fill="auto"/>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67</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弧形计数拼块游戏1盒；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2、产品尺寸：框架框架370x370mm（±5%）。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3、产品配件：1块拼图底板，1块中心拼块，30块同心拼块。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4、产品介绍：这是一款帮助儿童提高数数能力和数字认知的一款游戏，可以两人一同游戏，也可以单独游戏。通过对应点数、数字和实物，来达到提高点数能力和数字的认知能力。</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80"/>
        </w:trPr>
        <w:tc>
          <w:tcPr>
            <w:shd w:val="clear" w:color="auto" w:fill="auto"/>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68</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大眼怪数字天平1盒；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1、产品材质：胶合板、HIPS、毛毡布。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2、产品尺寸：382x142x180H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3、产品配件：1台天平、9个大砝码、11个小砝码、1个袋子、1本说明书。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4、产品介绍：将怪物宝宝们放到怪物妈妈的“手心”，让他们一家团聚吧。通过加减码直至天平平衡，学习基础的数学运算，了解“重量”的概念。</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80"/>
        </w:trPr>
        <w:tc>
          <w:tcPr>
            <w:shd w:val="clear" w:color="auto" w:fill="auto"/>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69</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四阶-积木时钟拼图1盒；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1、产品材质：胶合板、密度板、。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2、产品尺寸：245x245x35H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3、产品配件：1块时钟拼图底板、12个数字符号拼块。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4、产品介绍：四阶拼图。这不仅仅是一款几何分类拼图，也是一款趣味的卡通时钟。拨动指针，告诉孩子在规定的时间做正确的事情，培养孩子的时间观念。</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80"/>
        </w:trPr>
        <w:tc>
          <w:tcPr>
            <w:shd w:val="clear" w:color="auto" w:fill="auto"/>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70</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颜色形状连连看1盒；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2、产品尺寸：木盒336x226x68H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3、产品配件：1个木盒、25块木制游戏片、1本说明书。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4、产品介绍：连连看游戏中，必须找到相同形状和颜色的木块，才能一直接龙下去。25张单面印刷木制任务卡(95x95x8mm（±5%）)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20"/>
        </w:trPr>
        <w:tc>
          <w:tcPr>
            <w:shd w:val="clear" w:color="auto" w:fill="auto"/>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71</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逻辑彩球 – 串连1盒；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1、产品材质：胶合板、实木、毛毡布、涤纶、棉布、纸卡。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2、产品尺寸：包装盒270x260x100H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3、产品配件：1个木制底板、64个Ø20mm（±5%）彩色木球、20张卡任务卡、1个毛毡托盘、1个蓝色棉布袋、1本说明书。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逻辑彩球–串连允许儿童用彩球进行许多不同的活动，主要是排序和图案的玩法。儿童可以再现任务卡上的各种任务，或是发挥自己的创造力进行游戏。所有活动都可以作为互动游戏进行，其中一个孩子向另一位孩子介绍该任务卡，后者必须按照说明进行操作并将球放置在正确的位置。</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00"/>
        </w:trPr>
        <w:tc>
          <w:tcPr>
            <w:shd w:val="clear" w:color="auto" w:fill="auto"/>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72</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立体积木游戏入门版1盒；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1、产品材质：桦木胶合板、榉木、PS。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2、产品尺寸：木盒420x330x86H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3、产品配件：1个木盒，4个底座，160个立方块，12张双面印刷任务卡、1本说明书。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4、产品介绍：通过根据任务卡上的图形，来进行3D结构的搭建。</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shd w:val="clear" w:color="auto" w:fill="auto"/>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73</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木制大小学习拼图1套；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1、尺寸：220*45*160mm（±5%）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 多层实木夹板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3、产品描述：产品内含彩盒及30件拼图，幼儿在配对过程中，理解大小的概念以及大小比较。彩盒便于整理收纳。锻炼幼儿手眼协调、逻辑思考及专注力。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6675.3-2014 《玩具安全 第 3 部分：易燃性能》 中国国家标准 GB 6675.1-2014《玩具安全 第 1 部分：基本规范》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200"/>
        </w:trPr>
        <w:tc>
          <w:tcPr>
            <w:shd w:val="clear" w:color="auto" w:fill="auto"/>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74</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图形对称学习板1套；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1、尺寸：280×280×23mm（±5%）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配件尺寸：长方木块69*34*14mm（±5%）  （±5%）18PC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2、材质：多层实木夹板, 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对称是图形的一种特征，它是指图形的两边大小，形状是一样的。图形对称学习板，通过引导幼儿观察图形，找出图形对称的特点。在这个过程中可培养幼儿的逻辑思维能力，提高动手操作能力和对数学学习的兴趣。再通过实际操作，加深印象，提高幼儿的观察能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6675.3-2014 《玩具安全 第 3 部分：易燃性能》 中国国家标准 GB 6675.1-2014《玩具安全 第 1 部分：基本规范》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920"/>
        </w:trPr>
        <w:tc>
          <w:tcPr>
            <w:shd w:val="clear" w:color="auto" w:fill="auto"/>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75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形状堆叠学习板1套；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1、材质：榉木, 多层实木夹板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2、尺寸：280*280*40mm（±5%）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配件尺寸：长方形：85*55*9mm（±5%）；三角形：100*90*9mm（±5%）；四方形：85*85*9mm（±5%）；五边形：91*90*9mm（±5%）；圆棒：15*15*3mm（±5%）5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3、产品描述：幼儿根据颜色和形状将木块匹配到学习板上的过程，加深了幼儿对颜色、形状的认知，锻炼手部精细动作。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6675.3-2014 《玩具安全 第 3 部分：易燃性能》 中国国家标准 GB 6675.1-2014《玩具安全 第 1 部分：基本规范》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20"/>
        </w:trPr>
        <w:tc>
          <w:tcPr>
            <w:shd w:val="clear" w:color="auto" w:fill="auto"/>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76</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颜色数量学习苹果树1套；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1、尺寸：280*102*270mm（±5%）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2、材质：多层实木夹板，榉木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趣味苹果树，可以开展找相同、分类、配对、1和许多、点数、按数取物、数的组成等系列数学教育活动，加减运算活动为幼儿入小学做好前期铺垫。配合情景教学讲故事，通过摘苹果，分苹果，提高幼儿认知能力，锻炼幼儿手眼协调能力。趣味摘苹果，训练幼儿手部精细动作，耐心的陪伴，玩法的多样，反复的探索，锻炼幼儿专注力，激发幼儿空间想象能力，开发幼儿创造潜能，引领幼儿玩出成就感，玩出自信心。全面定位幼儿数学教育关键期，事半功倍健康成长。</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80"/>
        </w:trPr>
        <w:tc>
          <w:tcPr>
            <w:shd w:val="clear" w:color="auto" w:fill="auto"/>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77</w:t>
            </w:r>
            <w:r/>
          </w:p>
        </w:tc>
        <w:tc>
          <w:tcPr>
            <w:shd w:val="clear" w:color="auto" w:fill="auto"/>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五、构建探索区，（包含构建玩教具）：</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自然风光艺术积木1盒；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1、产品材质：MDF。</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2、产品尺寸：包装盒260x40x240H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3、产品配件：22块积木。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4、产品介绍：色彩缤纷的不规则积木，以自然风光和动物为主题，具有嵌套和堆叠功能。可供孩子多样拼搭，释放孩子无穷的想象力、创造力。</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20"/>
        </w:trPr>
        <w:tc>
          <w:tcPr>
            <w:shd w:val="clear" w:color="auto" w:fill="auto"/>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78</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创意竹筷幼教版1盒；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1、产品材质：竹子、硅胶、PP。</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2、产品尺寸：包装盒385x275x195H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透明塑料收纳箱、120根60mm（±5%）竹棒、90根100mm（±5%）竹棒、75根160mm（±5%）竹棒、70根200mm（±5%）竹棒、25根260mm（±5%）竹棒，5个7孔连接件、24个6孔连接件、40个5孔连接件、14个4孔连接件、5个3孔连接件、12个3孔直角连接件、20张游戏搭建指示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4、产品介绍：这款有趣的创意竹筷套装可以打造各种形状和结构。竹筷和柔性连接器可以重复使用，制造出许多不同的物体。儿童也可以随意搭建自己想象中的建筑结构。</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920"/>
        </w:trPr>
        <w:tc>
          <w:tcPr>
            <w:shd w:val="clear" w:color="auto" w:fill="auto"/>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79</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半透几何片140件套1套；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1、尺寸：108×108×166mm（±5%）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2、材质：PC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3、产品描述：透明几何图形片有6种颜色（红 黄 蓝 绿 紫 橙）和6种不同的形状（正方形 三角形 梯形 菱形 平行四边形 六角形），140个单独的透明颜色组件和一个选择/</w:t>
            </w:r>
            <w:r>
              <w:rPr>
                <w:rFonts w:hint="eastAsia" w:ascii="宋体" w:hAnsi="宋体" w:eastAsia="宋体" w:cs="宋体"/>
                <w:i w:val="0"/>
                <w:iCs w:val="0"/>
                <w:color w:val="000000"/>
                <w:sz w:val="21"/>
                <w:szCs w:val="21"/>
                <w:u w:val="none"/>
                <w:lang w:val="en-US" w:eastAsia="zh-CN" w:bidi="ar"/>
              </w:rPr>
              <w:t xml:space="preserve">游戏骰子组成。为幼儿提供了丰富的图形拼摆认知资源，游戏操作中可以引导幼儿，按平面图形和边的数量正确区分、辨认不同的图形，初步认识图形的守恒，初步理解平面图形间的简单关系，学习几何图形的等分操作。幼儿运用6种平面图形进行组合拼搭，不仅开发幼儿的智力，提高幼儿的审美能力，绘画欣赏水平逐步提升。幼儿还会在接触外界事物和各种信息的同时，逐步提高自己的观察能力、分析能力、想象能力、动手实践能力，在拼摆构建造型的过程中，仔细观察发现它们的细微差别。幼儿在充分观察，反复实践的活动中，培养了思维能力、分析、判断和综合能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4、产品检测标准：产品符合GB6675.1-2014玩具安全第一部分：基本规范，GB6675.2-2014玩具安全第二部分：机械与物理性能，GB6675.3-2014玩具安全第三部分：易燃性能的标准；。</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480"/>
        </w:trPr>
        <w:tc>
          <w:tcPr>
            <w:shd w:val="clear" w:color="auto" w:fill="auto"/>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80</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声音</w:t>
            </w:r>
            <w:r>
              <w:rPr>
                <w:rFonts w:hint="eastAsia" w:ascii="宋体" w:hAnsi="宋体" w:cs="宋体"/>
                <w:i w:val="0"/>
                <w:iCs w:val="0"/>
                <w:color w:val="000000"/>
                <w:sz w:val="21"/>
                <w:szCs w:val="21"/>
                <w:u w:val="none"/>
                <w:lang w:val="en-US" w:eastAsia="zh-CN" w:bidi="ar"/>
              </w:rPr>
              <w:t xml:space="preserve">录</w:t>
            </w:r>
            <w:r>
              <w:rPr>
                <w:rFonts w:hint="eastAsia" w:ascii="宋体" w:hAnsi="宋体" w:eastAsia="宋体" w:cs="宋体"/>
                <w:i w:val="0"/>
                <w:iCs w:val="0"/>
                <w:color w:val="000000"/>
                <w:sz w:val="21"/>
                <w:szCs w:val="21"/>
                <w:u w:val="none"/>
                <w:lang w:val="en-US" w:eastAsia="zh-CN" w:bidi="ar"/>
              </w:rPr>
              <w:t xml:space="preserve">播发亮探奇盒4件套1套；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材质：榉木, 亚克力镜, 亚克力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尺寸：270×180×60mm（±5%）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配件尺寸：正方形90*90*60mm（±5%）数量2个, 长方形180*90*60mm（±5%）数量2个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产品检测标准：产品符合中国国家标准 GB 6675.2-2014 《玩具安全 第 2 部分：机械与物理性能》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6675.3-2014 《玩具安全 第 3 部分：易燃性能》 中国国家标准 GB 6675.1-2014《玩具安全 第 1 部分：基本规范》</w:t>
            </w:r>
            <w:r>
              <w:rPr>
                <w:rFonts w:hint="eastAsia" w:ascii="宋体" w:hAnsi="宋体" w:eastAsia="宋体" w:cs="宋体"/>
                <w:i w:val="0"/>
                <w:iCs w:val="0"/>
                <w:color w:val="000000"/>
                <w:sz w:val="21"/>
                <w:szCs w:val="21"/>
                <w:u w:val="none"/>
                <w:lang w:val="en-US" w:eastAsia="zh-CN" w:bidi="ar"/>
              </w:rPr>
              <w:br/>
            </w:r>
            <w:r>
              <w:rPr>
                <w:rFonts w:hint="eastAsia" w:ascii="宋体" w:hAnsi="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44"/>
        </w:trPr>
        <w:tc>
          <w:tcPr>
            <w:shd w:val="clear" w:color="auto" w:fill="auto"/>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81</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建构游戏软石块 (16件套)1套；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1、外箱尺寸：660*420*200mm（±5%）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2、材质：PU ，套餐分别：</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大号石头：211*169*118mm（±5%）：4颗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中号石头：200*130*91mm（±5%）：6颗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小号石头：145*121*93mm（±5%）：6颗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低结构材料可变性强，形状、结构在操作时没有具体的人为设定，需要幼儿在与材料的互动过程中发挥主观能动性，实验自己的新玩法，获得相关经验。简而言之，三种不同的套装:16件套、40件套和96件套。每一套包括三种不同尺寸的石块设计，小、中、大和三种不同的色调。这是一套非常安全、真实感很强的玩具。不同数量的仿真软石块组</w:t>
            </w:r>
            <w:r>
              <w:rPr>
                <w:rFonts w:hint="eastAsia" w:ascii="宋体" w:hAnsi="宋体" w:eastAsia="宋体" w:cs="宋体"/>
                <w:i w:val="0"/>
                <w:iCs w:val="0"/>
                <w:color w:val="000000"/>
                <w:sz w:val="21"/>
                <w:szCs w:val="21"/>
                <w:u w:val="none"/>
                <w:lang w:val="en-US" w:eastAsia="zh-CN" w:bidi="ar"/>
              </w:rPr>
              <w:t xml:space="preserve">，触感柔软，安全，防水，它们很轻，可以漂浮在水面上，似海绵状，是一个个很好的玩耍素材。作为低结构材料的软石块是以幼儿为主体，由幼儿自由操作控制材料的过程。幼儿尝试用不同的方法解决问题并记录，识别与使用软石块的技能，教师或家长引导幼儿认识结构材料，识别结构元件的形状、颜色、大小等特征，开展建构游戏。幼儿会选用结构元件去构造物体，会灵活使用软石块。建构游戏中软石块的堆砌、排列和组合等活动，不仅可以促进幼儿对软石块性能的了解，还能够帮助幼儿建立一定的空间观念，认识到整体与部分的关系，提升幼儿的审美能力与创造能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4、产品检测标准：产品符合GB6675.1-2014玩具安全第一部分：基本规范，GB6675.2-2014玩具安全第二部分：机械与物理性能，GB6675.3-2014玩具安全第三部分：易燃性能的标准；</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640"/>
        </w:trPr>
        <w:tc>
          <w:tcPr>
            <w:shd w:val="clear" w:color="auto" w:fill="auto"/>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82</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透视色彩积木30件套1套；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1、尺寸：430*430*80mm（±5%）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配件尺寸：长方：160*80*40mm（±5%） 6个；小正方：80*80*40mm（±5%） 4个；大正方：160*160*40mm（±5%） 2个；三角：160*160*40mm（±5%） 2个；直三角1：160*160*40mm（±5%） 4个；直三角2：160*80*40mm（±5%） 2个；大半圆：160*80*40mm（±5%） 2个；1/4圆：80*80*40mm（±5%） 4个；拱形：160*80*40mm（±5%） 2个；小半圆：80*40*40mm（±5%） 2个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2、材质：榉木,  亚克力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数量：30件</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200"/>
        </w:trPr>
        <w:tc>
          <w:tcPr>
            <w:shd w:val="clear" w:color="auto" w:fill="auto"/>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83</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可拆嵌色彩堆叠大力士 10件套1套；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1、尺寸：270×240×160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2、材质：榉木, 塑胶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可拆嵌色彩堆叠大力士采用榉木和优质塑胶，每个积木之间可以互相镶嵌，达到一个平衡。也可以像堆积木一样进行空间的堆叠。一方面帮助幼儿建立空间能力和手眼协调能力，另一方幼儿需要思考如何让大力士的堆叠变得有趣和平衡，不会轻易倒塌。色彩堆叠大力士分别由5种颜色，每种颜色各2个，除了堆叠与镶嵌的玩法，还能够学习颜色认知与配对。引导幼儿多种玩法的创造，充分发挥想象力和创造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6675.3-2014 《玩具安全 第 3 部分：易燃性能》 中国国家标准 GB 6675.1-2014《玩具安全 第 1 部分：基本规范》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88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rPr>
          <w:rFonts w:hint="eastAsia" w:ascii="宋体" w:hAnsi="宋体" w:eastAsia="宋体" w:cs="宋体"/>
          <w:b/>
          <w:bCs/>
          <w:color w:val="auto"/>
          <w:sz w:val="21"/>
          <w:szCs w:val="21"/>
          <w:highlight w:val="none"/>
          <w:shd w:val="clear" w:color="auto" w:fill="ffffff"/>
          <w:lang w:val="en-US" w:eastAsia="zh-CN"/>
        </w:rPr>
      </w:pPr>
      <w:r>
        <w:rPr>
          <w:rFonts w:hint="eastAsia" w:ascii="宋体" w:hAnsi="宋体" w:eastAsia="宋体" w:cs="宋体"/>
          <w:b/>
          <w:bCs/>
          <w:color w:val="auto"/>
          <w:sz w:val="21"/>
          <w:szCs w:val="21"/>
          <w:highlight w:val="none"/>
          <w:shd w:val="clear" w:color="auto" w:fill="ffffff"/>
          <w:lang w:val="en-US" w:eastAsia="zh-CN"/>
        </w:rPr>
        <w:br w:type="page" w:clear="all"/>
      </w:r>
      <w:r/>
    </w:p>
    <w:p>
      <w:pPr>
        <w:rPr>
          <w:rFonts w:hint="eastAsia" w:ascii="宋体" w:hAnsi="宋体" w:eastAsia="宋体" w:cs="宋体"/>
          <w:b w:val="0"/>
          <w:bCs w:val="0"/>
          <w:sz w:val="21"/>
          <w:szCs w:val="21"/>
          <w:highlight w:val="none"/>
          <w:lang w:val="en-US" w:eastAsia="zh-CN"/>
        </w:rPr>
        <w:outlineLvl w:val="2"/>
      </w:pPr>
      <w:r>
        <w:rPr>
          <w:rFonts w:hint="eastAsia" w:ascii="宋体" w:hAnsi="宋体" w:eastAsia="宋体" w:cs="宋体"/>
          <w:b w:val="0"/>
          <w:bCs w:val="0"/>
          <w:sz w:val="21"/>
          <w:szCs w:val="21"/>
          <w:highlight w:val="none"/>
          <w:lang w:val="en-US" w:eastAsia="zh-CN"/>
        </w:rPr>
        <w:t xml:space="preserve">（五）幼儿班-中班（4-5岁幼儿班级玩教具)</w:t>
      </w:r>
      <w:r/>
    </w:p>
    <w:tbl>
      <w:tblPr>
        <w:tblStyle w:val="69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41"/>
        <w:gridCol w:w="1150"/>
        <w:gridCol w:w="4714"/>
        <w:gridCol w:w="442"/>
        <w:gridCol w:w="442"/>
        <w:gridCol w:w="846"/>
        <w:gridCol w:w="442"/>
        <w:gridCol w:w="879"/>
      </w:tblGrid>
      <w:tr>
        <w:trPr>
          <w:trHeight w:val="1080"/>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类别</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w:t>
            </w:r>
            <w:r>
              <w:rPr>
                <w:rFonts w:hint="eastAsia" w:ascii="宋体" w:hAnsi="宋体" w:cs="宋体"/>
                <w:i w:val="0"/>
                <w:iCs w:val="0"/>
                <w:color w:val="000000"/>
                <w:sz w:val="21"/>
                <w:szCs w:val="21"/>
                <w:u w:val="none"/>
                <w:lang w:val="en-US" w:eastAsia="zh-CN" w:bidi="ar"/>
              </w:rPr>
              <w:t xml:space="preserve">（以下为每套要求）</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品牌</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型号</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（元）</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总价（元）</w:t>
            </w:r>
            <w:r/>
          </w:p>
        </w:tc>
      </w:tr>
      <w:tr>
        <w:trPr>
          <w:trHeight w:val="1680"/>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 语言发展区（包含语言发展玩教具）：</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彩豆怪兽1套；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1、产品材质：国产椴木夹板，橡胶，荷木。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2、产品尺寸：游戏盒250×200×72H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3、产品配件：60片怪兽卡，10件彩色圆形木块，1个绿色的怪兽，1个木头骰子，1块橡胶垫，1个木头盒子。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4、产品介绍：将糖果颜色同怪兽手里的颜色匹配正确。</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40"/>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因果关系游戏（新）1套；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2、产品尺寸：木盒336x226x68H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3、产品配件：1个木盒；6张游戏主题板；48张双面印刷PS游戏卡；1本说明书。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4、产品介绍：拿一张主题卡和一张相关联的图片卡，在主题卡的左侧和右侧按照逻辑各摆放一张图片卡，以此类推，按逻辑和时间顺序共摆放4行。翻转卡片进行自检。</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40"/>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全景组图游戏-农场1套；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2、产品尺寸：木盒336x226x68H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3、产品配件：1个木盒、2个木制带卡槽游戏底座、2组10种事物共20个木制游戏卡（树、房子，门，拖拉机，农民、鸡、女孩、马、牛、草墩、羊）、6张双面印刷任务卡、1本说明书。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4、产品介绍：根据卡片上看到的场景进行复制摆放，并说一说你摆放的是什么？</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80"/>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过程游戏-前因后果1套；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2、产品尺寸：木盒240x125x68H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3、产品配件：1个木盒、48张游戏卡片、1本说明书。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4、产品介绍：先找到3张属于同类的图像卡。按正确的顺序放置图像卡，从原材料、半成品到最终成品。</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0"/>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我和我的表情1套；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2、产品尺寸：木盒336x226x68H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3、产品配件：1个木盒、8张双面印刷带自检功能游戏板、4组6种24块表情指示卡、1个6格带卡槽木盒、1本说明书。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是一款根据生活中常见情景而衍生出的表情认识游戏。此游戏盒可以一个人进行游戏，也可以两名儿童一起进行。两名儿童面对面坐在桌子前，一名儿童根据看到的任务卡上的情景进行描述，另一名儿童听到描述后，判断出这是怎样的一种心情，并找到对应的指令卡投放在木槽中。一张任务卡完成后，儿童进行答案自检。</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60"/>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词汇宾果游戏1套；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2、产品尺寸：木盒240x125x68H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3、产品配件：1个木盒，8张单面印刷游戏板，48张单面印刷游戏卡、1本说明书。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4、产品介绍：轮流翻转图片卡，说出图案的名字并和任务卡上的图案匹配，尝试率先完成自己手中任务卡上的全部图案。</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40"/>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模仿游戏1套；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2、产品尺寸：木盒240×125×68H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3、产品配件：1个木盒，48 张塑料图像游戏卡。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是一款把常见动物的外貌特征通过手语形式展示的游戏。我们可以通过动物和特征进行匹配，也可以把动物和手语进行匹配，还可以把特征和手语进行匹配。多样的游戏方法和游戏规则激励这幼儿创造出更加多样的游戏规则。</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0"/>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一起搬家-森林1套；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1、产品材质：榉木，密度板，胶合板。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2、产品尺寸：框架500×400×11H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3、产品配件：1个拼图框架，24个大拼块，6个中拼块，72个小拼块。。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一款把拼块进行了特殊设计的拼图，三种尺寸的拼块让拼图的过程更有挑战性。这款拼图的主题是“森林公园”，拼图向幼儿展示了人们在森林公园里从事的各种活动，通过观察、描述、联系实际生活等活动提升幼儿的观察力、表达力，丰富词汇量。</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10"/>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一起搬家-校园1套；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1、产品材质：榉木，密度板，胶合板。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2、产品尺寸：框架500×400×11H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3、产品配件：1个拼图框架，24个大拼块，6个中拼块，72个小拼块。。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一款把拼块进行了特殊设计的拼图，三种尺寸的拼块让拼图的过程更有挑战性。这款拼图的主题是“运动场”，拼图向幼儿展示了人们在运动场里开展的各种运动类型，通过观察、描述、联系实际生活等活动提升幼儿的观察力、表达力，丰富词汇量。</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40"/>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一起搬家-宠物动物园1套；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1、产品材质：榉木，密度板，胶合板。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2、产品尺寸：框架500×400×11H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3、产品配件：1个拼图框架，24个大拼块，6个中拼块，72个小拼块。。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一款把拼块进行了特殊设计的拼图，三种尺寸的拼块让拼图的过程更有挑战性。这款拼图的主题是“宠物动物园”，拼图向幼儿展示了人们在宠物动物园里和动物互动的情节，以及发生的有趣故事，通过观察、描述、联系实际生活等活动提升幼儿的观察力、表达力，丰富词汇量。</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60"/>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卡片分类游戏-我的家1套；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2、产品尺寸：木盒336x226x68H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3、产品配件：1个木盒、6张单面印刷主题板、60张与主题配对游戏卡、1本说明书。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4、产品介绍：两两一组。取一张主题卡并告诉对方上面都有哪些事物，根据主题卡上找到对应的事物图卡，并说一说为什么这些事物卡片与主题卡匹配。</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80"/>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组合游戏-找关系（新）1套；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2、产品尺寸：木盒240x125x68H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3、产品配件：1个木盒，28张木制游戏卡、1本说明书。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4、产品介绍：根据图案两两匹配并解释原因。组队一起进行记忆游戏，收集到最多卡片的获胜</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60"/>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多层拼图-蜂蜜1套；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2、产品尺寸：205x205x20H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3、产品配件：28块拼图，每层拼图背面有数字提示。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4、产品介绍：这是一款介绍蜜蜂采集花蜜、运回蜜囊，养蜂人收集蜂蜜、酿造蜂蜜，最后把蜂蜜端上餐桌请儿童享用的过程拼图。儿童通过完成拼图，了解蜂蜜制作的具体过程，能命名和讲述每个具体的流程。</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60"/>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观察力游戏-细节找图1套；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1、产品材质：桦木胶合板、PS、塑料。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2、产品尺寸：木盒336x226x68H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3、产品配件：1个木盒、4张主题卡片、48张任务卡片；12个黑色塑料边框；1本说明书。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4、产品介绍：找细节游戏教会儿童对卡片上的图案进行方位、形状和颜色的观察。儿童也学会整体部分的概念。游戏间接地为儿童开始阅读起到准备作用。</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40"/>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趣味配对-我们的情绪1套；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1、产品材质：胶合板。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2、产品尺寸：木盒180x180x60H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3、产品配件：5组拼图，每组6个、1个木盒、1本说明书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我们的一生会有恐惧、悲伤、愤怒、惊喜和快乐这些情绪。这些情绪是我们内心愿望、目标和需求的表现。它们是对一种情况或条件的反映。儿童经常会经历强烈的情绪，所以让他们学会如何处理这些情绪并以正确的方式处理它们显得更加重要。</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60"/>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趣味配对—职业1套；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1、产品材质：胶合板。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2、产品尺寸：木盒180x180x60H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3、产品配件：5组拼图，每组6个、1个木盒、1本说明书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4、产品介绍：这套拼图游戏盒包含了医生、农民、消防员、工人和警察5个主题。孩子们以拼图的方式了解不同的职业，并认识不同职业在生活中的重要性。</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60"/>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多层拼图-四季（2017版）1套；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2、产品尺寸：290x140x18H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3、产品配件：32块拼图，每层拼图背面有数字提示。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是一款讲述四季景色变化的多层拼图，同时展示了三名儿童在春夏秋冬四个季节的不同活动，如：在温暖的春光里跳绳，在炎热的夏天游泳戏水，在凉爽的秋风捡拾落叶，在下雪的冬天堆雪人滑雪橇。</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40"/>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学习拼图-野生动物1套；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1、产品材质：胶合板、铜版纸。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2、产品尺寸：包装盒300x100x210H mm（±5%），完成拼图Ø490x6H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3、产品配件：41块木制拼图、1张海报。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4、产品介绍：各种各样的野生动物都隐藏在这个充满想象力的拼图中，但从曼陀罗般的彩色图案中很难发现它们，只有将动物拼图翻转过来，这时才能看到这个动物和它们的特征。</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60"/>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多层拼图-女孩1套；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2、产品尺寸：145x295x20H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3、产品配件：28块拼图，1张透明血液循环示意板。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是一款介绍女孩身体构造的多成拼图，它向我们展示了人体的皮肤、血液循环、肌肉、各种器官以及骨骼等多种系统，儿童通过完成拼图，认识和了解自己的身体构造，命名身体的主要器官和人体组织。</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60"/>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多层拼图-男孩1套；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2、产品尺寸：145x295x20H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3、产品配件：28块拼图，1张透明血液循环示意板。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是一款介绍男孩身体构造的多成拼图，它向我们展示了人体的皮肤、血液循环、肌肉、各种器官以及骨骼等多种系统，儿童通过完成拼图，认识和了解自己的身体构造，命名身体的主要器官和人体组织。</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40"/>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趣味配对-栖息地1套；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1、产品材质：胶合板。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2、产品尺寸：木盒150x150x60H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3、产品配件：9组拼图，每组5块、1个木盒、1本说明书。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是一款了解动物栖息环境的匹配拼图，儿童可以根据每组拼块之间齿状边缘的唯一性将属于同一组别的拼块组合在一起，了解9种栖息地分别有哪些动物在其中繁衍生息；也可以在掌握只是之后根据认知将动物匹配在自己栖息得环境中，拼图边缘得颜色色块能起到提示和指引得作用。</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60"/>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趣味配对-物种分类1套；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1、产品材质：国产椴木胶合板。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2、产品尺寸：木盒150×150×60H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3、产品配件：1个木盒子，1个彩卡，1份说明书，45块积木片。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所有的动物都是按照物种来分类的。在这款拼图中，孩子们可以学习到更多关于哺乳动物、爬行动物、昆虫、鱼类和鸟类的知识。这款5件套的配对拼图展示了9种不同的动物，还有丰富有趣的细节，如骨骼、食物等等。</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40"/>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过程拼图-材料加工1套；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1、产品材质：胶合板。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2、产品尺寸：木盒150x150x60H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3、产品配件：10组拼图，每组3块、1个木盒、1本说明书。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是一款常见材料加工和应用的匹配拼图，儿童可以根据对日常材料的认知把它的加工过程和应用场景匹配在一起；也可以根据每组拼块之间齿状边缘的唯一性将属于同一组别的拼块组合在一起，掌握常见材料的生产、加工和应用。</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8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 益智发展区（包含认知能力玩教具）：</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学习拼图-大侦探1套；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1、产品材质：桦木胶合板、亚克力。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2、产品尺寸：包装盒300x100x210H mm（±5%），完成拼图Ø490x6H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3、产品配件：48个木制拼块、4块红色透光树脂玻璃板。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有谁曾经像一个侦探一样去搜索一样物品吗？这些谜题通过仔细观察和搜索能很容易被找到.发现。将拼图中间的红色有机亚克力屏幕可以取出，放在第一层是红色的不透明的区域。仔细观察一下，你看到了什么？除此之外，在拼图的边缘上布满了符号，你能在拼图中找到他们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20"/>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大号小鱼对对碰1套；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1、产品材质：胶合板、覆膜橡胶软垫、棉布袋。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2、产品尺寸：包装盒130x130x825H mm（±5%）；游戏垫Ø800x5H mm（±5%）；小鱼120x80mm（±5%）/条。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3、产品配件：1个彩盒，44条小鱼，1张游戏垫，1个棉布袋。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是一款识别颜色、对应颜色的游戏。成群结队的鱼儿在五颜六色的珊瑚礁里游泳，为了避开无处不在的危险，鱼儿要找到和自己身体颜色相同的珊瑚礁进行伪装，因为鱼儿从不单独行动，所以要让每一条鱼儿都能挨在一起。通过了解鱼群的生活习性，进而理解游戏规则，培养游戏策略。</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40"/>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镜中猜1套；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1、产品材质：桦木胶合板、纸卡。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2、产品尺寸：包装盒240x240x65H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3、产品配件：1个镜子底座、60张印有常规事物轮廓的圆形纸卡、5张空白圆纸卡、1支笔。</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4、产品介绍：卡片面朝下放镜座上，大家观察自己面前的镜子里所显示的那部分图片，轮流猜猜图片上是什么东西。猜对的人将卡片拿走，拿到卡片最多的人就是胜利者。</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20"/>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对号入座游戏1套；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2、产品尺寸：木盒336x226x68H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3、产品配件：1个木盒；10张单面印刷主题游戏板、30张对应主题游戏卡、1本说明书。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游戏激发孩子们的视觉感知和概念知识的能力。孩子们取一张指示卡片和三块对应的小卡片。把三张小卡片正确地放在指示卡片下方。然后把小卡片翻过来检查结果是否正确。通过此游戏，孩子们可获得满-空， 宽-窄， 小-大， 高-低等概念知识。</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90"/>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几何拼块组图游戏1套；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1、产品材质：桦木胶合板、ABS、PS、</w:t>
            </w:r>
            <w:r>
              <w:rPr>
                <w:rFonts w:hint="eastAsia" w:ascii="宋体" w:hAnsi="宋体" w:cs="宋体"/>
                <w:i w:val="0"/>
                <w:iCs w:val="0"/>
                <w:color w:val="000000"/>
                <w:sz w:val="21"/>
                <w:szCs w:val="21"/>
                <w:u w:val="none"/>
                <w:lang w:val="en-US" w:eastAsia="zh-CN" w:bidi="ar"/>
              </w:rPr>
              <w:t xml:space="preserve">PMMA</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2、产品尺寸：木盒336x226x68H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3、产品配件：1个木盒、10张双面印刷游戏指导板、4张空白游戏板、60个3个形状4种颜色的塑料块、1个对折安全镜、1本说明书。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4、产品介绍：取一张任务卡。直接用几何拼块按照任务卡的图案在上面拼搭。也可选取一张任务卡放在一旁，用几何拼块在空白桌面上拼出任务卡上的图案。继续增加难度的时候，可加入安全镜。</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80"/>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颜色形状连连看1套；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2、产品尺寸：木盒336x226x68H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3、产品配件：1个木盒、25块木制游戏片、1本说明书。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4、产品介绍：连连看游戏中，必须找到相同形状和颜色的木块，才能一直接龙下去。25张单面印刷木制任务卡(95x95x8mm（±5%）)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7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形状叠塔游戏1套；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1、产品材质：桦木胶合板、榉木、PS。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2、产品尺寸：木盒336x226x68H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3、产品配件：1个木盒，8张双面印刷任务片，4颗带孔小立方块，4颗带孔大立方块、8颗带孔圆球块、8颗带孔圆木片，1本说明书。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4、产品介绍：儿童根据任务卡，将不同颜色形状大小的木块叠加在木制底座上。</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7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触摸骰子1套；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1、产品材质：榉木、MDF、砂纸、软木、毛毡、棉布。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2、产品尺寸：白盒180x70x165H mm（±5%）骰子60x60x60H mm（±5%）布袋230x250mm（±5%）触摸片Ø40mm（±5%）触摸片底板100x150mm（±5%）。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3、产品配件：1个棉布袋，24个触摸片，4块含凹槽游戏底板、1颗6面木制触摸骰子。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4、产品介绍：一款通过触摸不同材质和粗糙度的木块来获得赢点，赢得游戏。</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7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罗盘指示游戏盒1套；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1、产品材质：桦木胶合板、PS、TPR。</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2、产品尺寸：木盒336x226x68H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3、产品配件：1个木盒，1张单面印刷带指针游戏板、36张游戏板、2个红色吸盘、2个绿色吸盘、1本说明书。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4、产品介绍：拨动罗盘上的指针，根据指示的图像，寻找对应的卡片和关联的事物。</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7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多层拼图-恐龙1套；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1、产品材质：胶合板、PET。</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2、产品尺寸：295x207x18H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3、产品配件：1个拼图框架，42个拼块，2张PET透明游戏板。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4、产品介绍：这款多层拼图向孩子门展示了一个有趣刺激的恐龙世界! 每一层拼图都展示了不同阶段的恐龙成长状态。不仅如此,在昏暗的环境下拼图还会呈现出神奇的夜光效果，增添更多的乐趣。</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5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一起穿绳（新）1套；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1、产品材质：桦木胶合板，ABS、PS，棉绳。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2、产品尺寸：木盒420x330x86H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3、产品配件：1个木盒，60颗塑料珠，8根鞋带，1个木架，2个小底座，1张带孔游戏板，16张单面印刷任务卡、1本说明书。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4、产品介绍：两名幼儿面对面坐在一起，一名幼儿请对方按照要求从指定位置穿绳。也可以两名幼儿根据任务卡的提示将彩绳正确地穿在孔板上。两名幼儿看到的题板提示各不相同又互相对应。</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7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一起拧螺丝1套；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1、产品材质：桦木胶合板，PP、PS。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2、产品尺寸：木盒420×330×86H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3、产品配件：1个木盒，1张塑料游戏底板，1个木架子，16张游戏卡，32个4种颜色螺丝，32个4种颜色螺母。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4、产品介绍：将PS主题板放入支架中。选择两张具有相同符号的任务卡。两两一组，按照任务卡所示轮流将螺丝拧在孔板上。一起查看拧的图案是否正确</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5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趣味插珠游戏 - 10毫米1套；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1、产品材质：桦木胶合板、PP、HDPE、LDPE。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2、产品尺寸：木盒420x330x86H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3、产品配件：1个木盒、6张双面印刷游戏指导板、2张塑料插孔板，800颗彩色塑料串珠、1本说明书。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4、产品介绍：一个帮助儿童提高精细动作发展、以及颜色认知和图案感知的游戏。该游戏可以让儿童根据指示卡，将不同颜色的插珠插入正确的位置。也可以自由创造出新的图画。</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7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37</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快乐的小工匠 - 几何图形1套；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1、产品材质：桦木胶合板、PS、MDF。</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2、产品尺寸：420x330x86H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3、产品配件：1个木盒、2块软木板、2把塑料头小锤子、144个形状小组件、1盒安全小铁钉、10张双面印刷游戏指导板、4张空白游戏板、1本说明书。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4、产品介绍：只需要一点点想象力，这些五颜六色的的几何形状就可以按照指示的提示进行组合。儿童完成了指示卡之后，就可以自由创作。</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8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魔法手指球1套；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1、产品材质：榉木、MDF、纸卡。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2、产品尺寸：游戏盒180x180x45H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3、产品配件：1个内置16球亚克力顶面木盒，7张任务卡。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4、产品介绍：一款游戏盒底部有孔的小球空间变换游戏，根据任务卡上的图案，儿童用手指在游戏盒底部排列球的位置，最终完成任务卡上的要求。</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3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39</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几何形状学习钉板1套；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1、尺寸：280×280×25mm（±5%）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2、材质：多层实木夹板，榉木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 幼儿使用钉板玩具进行自由创作，用松紧带或彩色皮筋在蘑菇钉上制作自己喜欢的图形和图案，可以帮助幼儿发展塑型能力，包括空间认知、形状和图案辨识、创造力和想象力；幼儿可以与同伴一起分享巧手思维操作钉板玩具，交流各自的创作想法，助于提高他们的沟通能力与团队合作精神。巧手思维操作钉板给幼儿带来无穷的乐趣，在多方面促进幼儿身心健康的发展。</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37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编织与穿绳精细动作练习板1套；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1、材质：多层实木夹板, 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2、尺寸：280*280*16mm（±5%）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3、产品描述：小孩通过操作重复的系鞋带、编织、解扣钮扣、打开魔术贴封口和拉拉链等精细动作锻炼各种生活自理技能和手眼协调能力。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4、产品检测标准：产品符合中国国家标准 GB 6675.2-2014 《玩具安全 第 2 部分：机械与物理性能》 中国国家标准 GB 6675.3-2014 《玩具安全 第 3 部分：易燃性能》 中国国家标准 GB 6675.1-2014《玩具安全 第 1 部分：基本规范》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1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41</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堆叠金字塔1套；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1、尺寸：280×280×34mm（±5%）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配件尺寸：大块 227*114*14mm（±5%）,中块 162*83*20mm（±5%）,小块 100*52*25mm（±5%）各4PC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2、材质：多层实木夹板, 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一款拥有色彩渐变、厚度渐变和大小不同的色彩积木。三角形是最稳定的图形，在搭建的过程中，可以培养幼儿充分的想象力。不同的色彩、厚度和大小增加幼儿感官感知能力。同时在搭建过程中因为每块积木的特性不同，幼儿需要思考才能让成品搭建的更加稳固，也锻炼了幼儿的逻辑思考能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4、产品检测标准：产品符合中国国家标准 GB 6675.2-2014 《玩具安全 第 2 部分：机械与物理性能》 中国国家标准 GB 6675.3-2014 《玩具安全 第 3 部分：易燃性能》 中国国家标准 GB 6675.1-2014《玩具安全 第 1 部分：基本规范》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49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42</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彩色叠叠房1套；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1、尺寸：280×280×31mm（±5%）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长条块 245*56*14mm（±5%）1PC, 三角木块 50*48*25mm（±5%）5PC, 三角木块 48*39*25mm（±5%）5PC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2、材质：多层实木夹板, 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造型可爱、色彩饱满的小房子积木，由房顶和房屋两部分组成，不仅让幼儿可以认知颜色，颜色配对。更可以充分发挥幼儿想象力，将积木块拼搭出不同的造型。在搭建的过程中可以锻炼幼儿的手眼协调能力和小肌肉的发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4、产品检测标准：产品符合中国国家标准 GB 6675.2-2014 《玩具安全 第 2 部分：机械与物理性能》 中国国家标准 GB 6675.3-2014 《玩具安全 第 3 部分：易燃性能》 中国国家标准 GB 6675.1-2014《玩具安全 第 1 部分：基本规范》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93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43</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颜色形状配对套柱1套；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1、尺寸：280×280×45mm（±5%）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2、材质：多层实木夹板, 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颜色与形状是幼儿认知的主要内容，色彩形状配对套柱提供给幼儿四种颜色三种形状的积木块。可以给到幼儿多维度的分类练习。同事引导幼儿通过观察，去发现不同的排列和组合。培养幼儿逻辑思维能力和空间思维能力</w:t>
            </w:r>
            <w:r>
              <w:rPr>
                <w:rFonts w:hint="eastAsia" w:ascii="宋体" w:hAnsi="宋体" w:eastAsia="宋体" w:cs="宋体"/>
                <w:i w:val="0"/>
                <w:iCs w:val="0"/>
                <w:color w:val="000000"/>
                <w:sz w:val="21"/>
                <w:szCs w:val="21"/>
                <w:highlight w:val="none"/>
                <w:u w:val="none"/>
                <w:lang w:val="en-US" w:eastAsia="zh-CN" w:bidi="ar"/>
              </w:rPr>
              <w:t xml:space="preserve">的发展。</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4、产品检测标准：产品符合中国国家标准 GB 6675.2-2014 《玩具安全 第 2 部分：机械与物理性能》 中国国家标准 GB 6675.3-2014 《玩具安全 第 3 部分：易燃性能》 中国国家标准 GB 6675.1-2014《玩具安全 第 1 部分：基本规范》</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5、油漆</w:t>
            </w:r>
            <w:r>
              <w:rPr>
                <w:rFonts w:hint="eastAsia" w:ascii="宋体" w:hAnsi="宋体" w:eastAsia="宋体" w:cs="宋体"/>
                <w:i w:val="0"/>
                <w:iCs w:val="0"/>
                <w:color w:val="000000"/>
                <w:sz w:val="21"/>
                <w:szCs w:val="21"/>
                <w:u w:val="none"/>
                <w:lang w:val="en-US" w:eastAsia="zh-CN" w:bidi="ar"/>
              </w:rPr>
              <w:t xml:space="preserve">：儿童水性清水漆，做到两底两面均为整体喷涂漆面，均经过刨光、砂光、倒角、圆角处理，成品无毛刺、无裂纹，接缝自然，无明显缺口和缝隙；喷漆均匀，表面漆膜平整光亮、无皱皮、发粘和漏漆现象。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65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44</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学习板系列 - 几何形状线条运笔1套；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1、尺寸：380*380*29mm（±5%）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2、材质：多层实木夹板, 亚克力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3、产品描述：小孩手握磁性笔（磁性笔与学习板链接的绳子有安全扣）带动铁珠在轨道上滑行，重复的操作有助于小孩建立直线、不同波浪线条图形、螺旋、正方形、三角形和圆形的运笔能力。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4、产品检测标准：产品符合中国国家标准 GB 6675.2-2014 《玩具安全 第 2 部分：机械与物理性能》 中国国家标准 GB 6675.3-2014 《玩具安全 第 3 部分：易燃性能》 中国国家标准 GB 6675.1-2014《玩具安全 第 1 部分：基本规范》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1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生活技能学习 - 衣服与鞋1套；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1、材质：多层实木夹板, 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2、尺寸：380*380*23mm（±5%）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3、产品描述：学习板上设计有衣服和鞋子上不同的纽扣、口袋、拉链、绑带等通过不断练习培养幼儿掌握基本生活处理能力及幼儿独立性，自主性，专注力，手眼协调能力。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4、产品检测标准：产品符合中国国家标准 GB 6675.2-2014 《玩具安全 第 2 部分：机械与物理性能》 中国国家标准 GB 6675.3-2014 《玩具安全 第 3 部分：易燃性能》 中国国家标准 GB 6675.1-2014《玩具安全 第 1 部分：基本规范》</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1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46</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学习板系列 - 大小写字母配对1套；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1、尺寸：380*380*26mm（±5%）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配件尺寸：亚克力370*370*2mm（±5%）(±2mm（±5%）), 磁笔∮12mm（±5%）*66mm（±5%）(±2mm（±5%）), 米黄色塑胶钉∮25*11mm（±5%）  8pc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2、材质：多层实木夹板, 亚克力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老师通过替换6面不同的底卡，鼓励小孩进行不同难度的字母学习游戏，简单的玩法有大小写字母直接配对，小孩掌握基本技巧以后可尝试挑战难度更高的，比如只提供一个物品的图案，小孩需要先想出该物品的英文名字，然后找出和其首个字母匹配的滑片。例如：底卡显示为一个苹果，苹果字母为Apple，小孩应该把A字母片找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4、产品检测标准：产品符合中国国家标准 GB 6675.2-2014 《玩具安全 第 2 部分：机械与物理性能》 中国国家标准 GB 6675.3-2014 《玩具安全 第 3 部分：易燃性能》 中国国家标准 GB 6675.1-2014《玩具安全 第 1 部分：基本规范》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37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47</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马赛克片1套；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1、尺寸：380*380*26mm（±5%）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配件尺寸：方块：56*56*14mm（±5%），三角块：76*38*14mm（±5%），平行块：95*40*14mm（±5%），三角块：76*38*14mm（±5%）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2、材质：榉木，多层实木夹板，亚克力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3、数量：4种颜色的方形亚克力宝石片、3张双面底卡、1本绘本题卡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描述：这是一款集形状、颜色认知、空间方位认知、立体图形辨识和创意开发的马赛克片游戏。产品采用了4种颜色的方形亚克力宝石片，更能有效地吸引小孩的眼球。从拼的过程中感知各种对称图形和立体图形分割与组合的关系，从而加深小孩在图形的组合上，积木块的形状和摆放位置是影响立体图形辨识度的关键，继而引发小孩对拼搭图形的兴趣及提升逻辑思考能力、操作技能。</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7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48</w:t>
            </w:r>
            <w:r/>
          </w:p>
        </w:tc>
        <w:tc>
          <w:tcPr>
            <w:shd w:val="clear" w:color="auto" w:fill="auto"/>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 社交发展区（包含社会情感发展玩教具）：</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厨房玩具—鸡蛋料理盒1套；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1、产品材质：荷木、HDPE、毛毡布。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2、产品尺寸：包装盒155x115x70H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3、产品配件：3个塑料鸡蛋、3个木头鸡蛋。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4、产品介绍：该吃早餐了！你想要什么口味的鸡蛋？这盒子里有六个鸡蛋：三个水煮鸡蛋和三个煎蛋。煎蛋的蛋壳可以打开，儿童可以模拟真实生活中煎鸡蛋的过程。</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9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49</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美食家厨师服1套；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1、产品材质：100%涤纶、PP。</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2、产品尺寸：包装盒240x200x52H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3、产品配件：1围裙、1手套、1抹布、1量勺、1帽子。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4、产品介绍：作为主厨怎能没有专业的厨师装备？这款厨师服套装包括帽子；围裙；手套；锅垫和五把量勺。</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5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厨房玩具—萌宝蔬菜篮1套；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1、产品材质：榉木、PP、聚酯纤维、铁螺丝钉。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2、产品尺寸：包装盒230x160x120H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3、产品配件：1个蔬菜蓝、1个茄子、1个胡萝卜、1个西红柿、1个豆荚、1个卷心菜、1个土豆、1个小刀。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4、产品介绍：胡萝卜；土豆还是包菜，哪个是你的最爱？这儿有一篮子等你来选。剥开豆荚取出豆粒，择掉包菜叶子，还有茄子；胡萝卜可以一分为二。厚实的木柄玩具刀专为小手设计，抓握舒适。</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7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51</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变色饼干烘焙烤箱1套；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1、产品材质：PP ABS。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2、产品尺寸：290x175x180H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3、产品配件：8个配件。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4、产品介绍：把你的饼干放进烤箱，关上门，你会看见灯亮了，设置完计时器，然后等待，“叮！”的一声后， 你会发现饼干已经熟了随之也变成了深褐色。</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9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52</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厨房玩具—草莓甜点1套；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1、产品材质：PP,ABS,TPR。</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2、产品尺寸：包装盒300x70x240H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3、产品配件：7个配件。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4、产品介绍：邀请你的朋友、家人或其他伙伴喝下午茶，并为他们提供这些看起来非常美味的草莓蛋糕! </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7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53</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超级乌冬烹饪套装1套；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1、产品材质：ABS，PP。</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2、产品尺寸：包装盒300x80x240H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3、产品配件：17个配件。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4、产品介绍：亲手制作一碗美味的乌冬面，把乌冬面煮熟放入碗里，加入其他的煮熟食材，用筷子把它们搅拌在一起，最后放上用刀对半切开的熟鸡蛋就可以上桌了！</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7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54</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声光互动生日蛋糕1套；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1、产品材质：MDF、胶合板、实木、ABS。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2、产品尺寸：213x213x135H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3、产品配件：1个蛋糕盘、3个草莓片、3个巧克力片、6块蛋糕、1个电子蛋糕、1个蛋糕刀、1个帽子。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4、产品介绍：激发小朋友对过生日的美好回忆，更好地进行情景表达，并在切分蛋糕和许愿的过程中，养成分享和感恩的品质。</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7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厨房玩具—小厨师蒸汽锅1套；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1、产品材质：ABS,PE。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2、产品尺寸：包装盒230x165x180H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3、产品配件：16个配件。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4、产品介绍：用这个时尚的蒸汽锅做你自己的蔬菜汤，先把材料放在锅里，盖上盖子，在注水孔加入几滴水，然后按下按钮，听到沸腾的声音，就能看到蒸汽出来。</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5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56</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厨房玩具—肉食营养联盟1套；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1、产品材质：荷木、ABS、HDPE、纺织品、磁铁、纸。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2、产品尺寸：包装盒200x240x100H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3、产品配件：1个牛排、1个鸡腿、1个刀、1个柠檬、1个鱼、2个培根、2个纸盘。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4、产品介绍：想要肌肉发达，蛋白质必不可少。牛肉；鸡肉；鱼肉和培根，多种肉类供你选择；是不是忍不住口水了？那就拿起刀，开始准备吧；最后挤点柠檬汁，帮助去腥解腻。</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5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57</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沙龙美发师套装1套；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1、产品材质：中密度纤维板，山毛榉木，聚丙烯，ABS。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2、产品尺寸：包装盒300×60×240H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3、产品配件：1个理发师围裙，1个理发围脖，1把吹风机，1个喷雾壶，1个直发烫板，1把剪刀，1把木梳，1面镜子，1把毛刷，2个卷发器，2个理发夹。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4、产品介绍：是时候去美发沙龙放松身心了！所有的配件、工具都是为小发型师独特设计，且结实耐用。让他们的创造力大放异彩，设计出别具一格的时尚发型。</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7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58</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梳妆包1套；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1、产品材质：荷木、榉木、密度板、</w:t>
            </w:r>
            <w:r>
              <w:rPr>
                <w:rFonts w:hint="eastAsia" w:ascii="宋体" w:hAnsi="宋体" w:cs="宋体"/>
                <w:i w:val="0"/>
                <w:iCs w:val="0"/>
                <w:color w:val="000000"/>
                <w:sz w:val="21"/>
                <w:szCs w:val="21"/>
                <w:u w:val="none"/>
                <w:lang w:val="en-US" w:eastAsia="zh-CN" w:bidi="ar"/>
              </w:rPr>
              <w:t xml:space="preserve">PMMA</w:t>
            </w:r>
            <w:r>
              <w:rPr>
                <w:rFonts w:hint="eastAsia" w:ascii="宋体" w:hAnsi="宋体" w:eastAsia="宋体" w:cs="宋体"/>
                <w:i w:val="0"/>
                <w:iCs w:val="0"/>
                <w:color w:val="000000"/>
                <w:sz w:val="21"/>
                <w:szCs w:val="21"/>
                <w:u w:val="none"/>
                <w:lang w:val="en-US" w:eastAsia="zh-CN" w:bidi="ar"/>
              </w:rPr>
              <w:t xml:space="preserve">、TPE、牛津布、铁。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2、产品尺寸：190x160x80H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3、产品配件：1个梳妆收纳包、2根花头绳、1把梳子、1面镜子、1瓶香水、1盒眼影、1盒粉底霜、1支口红、1瓶指甲油、1根发带。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4、产品介绍：唇彩；粉饼；香水；眼影……还有宝宝可以佩戴的可爱发绳和发箍，真是太棒了！</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49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59</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角色扮演烹饪厨具套装（13 件套）1套；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1、尺寸：300*220*140mm（±5%）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2、材质：不锈钢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3、产品描述：角色扮演烹饪厨具套装13件套：304#钢盖子φ125mm（±5%）, 304#钢单柄浅锅长240mm（±5%）,  304#钢水果篮长173mm（±5%）, 304#钢双耳锅长176mm（±5%）,  304#单柄深锅长238mm（±5%）</w:t>
            </w:r>
            <w:r>
              <w:rPr>
                <w:rFonts w:hint="eastAsia" w:ascii="宋体" w:hAnsi="宋体" w:eastAsia="宋体" w:cs="宋体"/>
                <w:i w:val="0"/>
                <w:iCs w:val="0"/>
                <w:color w:val="000000"/>
                <w:sz w:val="21"/>
                <w:szCs w:val="21"/>
                <w:u w:val="none"/>
                <w:lang w:val="en-US" w:eastAsia="zh-CN" w:bidi="ar"/>
              </w:rPr>
              <w:t xml:space="preserve">,  304#勺子长155mm（±5%）,  304#叉子长187mm（±5%）,  304#冲孔圆勺长193mm（±5%）,  304#花型勺长183mm（±5%）,  201#打蛋器长210*48mm（±5%）,  430#冰夹长142*28mm（±5%）, TC手套180*115mm（±5%）, 带隔层方形铁蓝子335*222*100mm（±5%）。精美的不锈钢餐具组合，让孩子在角色扮演活动中体验无穷的乐趣；提高合作能力和动手操作能力，语言表达和社会交往能力。幼儿更可从中认识各种厨具不同的功能和用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4、产品检测标准：产品符合中国国家标准 GB 6675.2-2014 《玩具安全 第 2 部分：机械与物理性能》 中国国家标准 GB 6675.3-2014 《玩具安全 第 3 部分：易燃性能》 中国国家标准 GB 6675.1-2014《玩具安全 第 1 部分：基本规范》。</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13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工具腰带1套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1、产品材质：橡胶木，禾木，椴木夹板；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2、产品尺寸：270*210*50mm，腰带37*15.5cm（±5%）；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3、产品说明：螺丝刀、老虎钳、扳手、锤子、尺子、两套螺丝+螺母、腰带。</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7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61</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医药箱玩具1套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1、产品材质：橡胶木，禾木，夹板；；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2、产品尺寸：手提盒210*160*57mm；温度计：110*10mm，药膏：直径30*84mm，药瓶：瓶盖直径30mm/瓶身直径39*56mm，档案板：110*150*5mm（±5%）；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3、产品说明：小锤子、针筒、温度计、听诊器、药管、药瓶各一，片剂药片和胶囊药片各二。</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48"/>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62</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停车场玩具1套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1、产品材质：榉木、椴木夹板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580*370*453mm(未加上摆放后飞机高度），一层底板尺寸：580*370*9mm，二层层板尺寸：550*300*9mm，三层层板尺寸：400*300*9mm，四层停机坪尺寸：205*155*9mm，每层之间的榉木支撑圆柱尺寸：φ30*135mm。橙色小车尺寸：75*40*20mm（不含车轮），红色小车尺寸：60*35*20mm（不含车轮），蓝色小车尺寸：60*35*20mm（不含车轮），绿色小车尺寸：62*35*20mm（不含车轮）（±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3、产品说明：配件红色、蓝色、橙色、绿色小车各1辆，直升机1架。</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3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63</w:t>
            </w:r>
            <w:r/>
          </w:p>
        </w:tc>
        <w:tc>
          <w:tcPr>
            <w:shd w:val="clear" w:color="auto" w:fill="auto"/>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 逻辑思维区，（包含数学逻辑玩教具）：</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大理石代码游戏1套；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1、产品材质：桦木胶合板、榉木、MDF、玻璃、PS。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2、产品尺寸：木盒420x330x86H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1个木制游戏底板、16个一字型轨道木块、3个十字形轨道木块、16个单圆弧轨道木块、3个双圆弧轨道木块、1个绿色轨道起始端木块、1个红色轨道终点端木块、2颗玻璃弹珠、6张双面印刷任务卡、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4、产品介绍：这是一款路径设计游戏，幼儿通过将挖有不同路线的木块通过组合形成一条通路，让小球顺利地从起点运行到终点。</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3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64</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开心邻居1套；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1、产品材质：椴木胶合板、MDF。</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2、产品尺寸：包装盒240x240x65H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3、产品配件：1张木制游戏板(224x224x8H mm（±5%）)，8个蓝色矮人木偶，8个粉色矮人木偶，24片木制栅栏，1本说明书。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是一款策略游戏，游戏者通过使用栅栏围合绿色地块获得属于自己矮人的使用空间，获得空间越多的游戏者获胜。每个回合中，游戏者只能在游戏板的空白卡槽处放置1片栅栏，谁先把1个绿色地块围合，谁就占用这个空间了。</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3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逻辑板1套；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1、产品材质：桦木胶合板、实木、MDF、</w:t>
            </w:r>
            <w:r>
              <w:rPr>
                <w:rFonts w:hint="eastAsia" w:ascii="宋体" w:hAnsi="宋体" w:cs="宋体"/>
                <w:i w:val="0"/>
                <w:iCs w:val="0"/>
                <w:color w:val="000000"/>
                <w:sz w:val="21"/>
                <w:szCs w:val="21"/>
                <w:u w:val="none"/>
                <w:lang w:val="en-US" w:eastAsia="zh-CN" w:bidi="ar"/>
              </w:rPr>
              <w:t xml:space="preserve">PMMA</w:t>
            </w:r>
            <w:r>
              <w:rPr>
                <w:rFonts w:hint="eastAsia" w:ascii="宋体" w:hAnsi="宋体" w:eastAsia="宋体" w:cs="宋体"/>
                <w:i w:val="0"/>
                <w:iCs w:val="0"/>
                <w:color w:val="000000"/>
                <w:sz w:val="21"/>
                <w:szCs w:val="21"/>
                <w:u w:val="none"/>
                <w:lang w:val="en-US" w:eastAsia="zh-CN" w:bidi="ar"/>
              </w:rPr>
              <w:t xml:space="preserve">、纸卡。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2、产品尺寸：包装盒320x225x45H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3、产品配件：1个中空游戏底板、25张双面印刷的任务卡。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逻辑板的设计理念来自“模拟平板电脑”，它可以使儿童使用非数字屏幕来进行不同的任务，屏幕依然可以显示出吸引人的彩色图案以及有趣的教育活动。玩游戏所需的手部动作很简单，仅仅需要用手去旋转旋钮，以此来锻炼精细动作和手眼协调能力。游戏的目的是通过链接不同的元素并遵循特定的问题来完成任务卡上的要求。</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7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66</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数与量的守恒游戏1套；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2、产品尺寸：木盒420x330x86H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3、产品配件：1个木盒、4块双面印刷游戏主题板、200张对应主题游戏卡、1本说明书。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4、产品介绍：首先要根据矩形图上的图案把小卡片分类，然后才能将小卡片分别放到相应的图板位置上。</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3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67</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百变3D创意积木盒1套；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1、产品材质：桦木胶合板，PS，ABS。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2、产品尺寸：木盒336x226x68H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1张单面印刷空白游戏卡、8张双面印刷游戏指导卡、120个立方体塑料积木块（6色每色20块）；36个三棱柱塑料积木块（6色每色6块）；36个四分之一圆柱体塑料积木块（6色每色6块）；10个眼睛；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4、产品介绍：这款游戏材料通过任务卡的引导帮助儿童使用积木块完成简单的造型拼搭，通过数量和颜色的双维度设定完成较高难度的拼搭。</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65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68</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逻辑游戏-计数1套；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1、产品材质：胶合板、实木、纸卡、毛毡、棉布。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2、产品尺寸：包装盒395x295x92H mm（±5%），游戏板375x285x14H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3、产品配件：1块游戏底板；1个棉布袋；1个大毛毡篮子；4个小毛毡篮子；21张任务卡；10张双面印刷的数字点数拼块；66个同尺寸木制小球；1个骰子。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是一款通过多种游戏方式帮助孩子掌握10以内计数、数量对应和10以内运算的游戏。孩子们可以试着从最简单的计数任务做起，把木球从少到多放入到游戏板上，并找到对应的数字或点数拼块表示木球的数量。1-10的拼块轮廓都是唯一的，只能放到对应的卡槽，放置正确后形成从1到10的排列序列。这样的设计帮助孩子们在计数的过程中掌握数字与数量的对应关系。熟练掌握计数和数量关系后，孩子们就可以通过多人互动游戏继续练习10以内的运算啦。</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0"/>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69</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三维视图游戏1套；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1、产品材质：桦木胶合板、榉木、</w:t>
            </w:r>
            <w:r>
              <w:rPr>
                <w:rFonts w:hint="eastAsia" w:ascii="宋体" w:hAnsi="宋体" w:cs="宋体"/>
                <w:i w:val="0"/>
                <w:iCs w:val="0"/>
                <w:color w:val="000000"/>
                <w:sz w:val="21"/>
                <w:szCs w:val="21"/>
                <w:u w:val="none"/>
                <w:lang w:val="en-US" w:eastAsia="zh-CN" w:bidi="ar"/>
              </w:rPr>
              <w:t xml:space="preserve">PMMA</w:t>
            </w:r>
            <w:r>
              <w:rPr>
                <w:rFonts w:hint="eastAsia" w:ascii="宋体" w:hAnsi="宋体" w:eastAsia="宋体" w:cs="宋体"/>
                <w:i w:val="0"/>
                <w:iCs w:val="0"/>
                <w:color w:val="000000"/>
                <w:sz w:val="21"/>
                <w:szCs w:val="21"/>
                <w:u w:val="none"/>
                <w:lang w:val="en-US" w:eastAsia="zh-CN" w:bidi="ar"/>
              </w:rPr>
              <w:t xml:space="preserve">、磁铁。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2、产品尺寸：木盒336x226x68H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3、产品配件：1个木盒、1块含磁钉游戏底板、3根含磁钉含凹槽木柱、4块绿色正方体木块、2块红色正方体木块、2块蓝色正方体木块、1棵圆锥形树、1个红色木制人偶、16张透明任务卡、1本说明书。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4、产品介绍：选择一项任务，仔细观察透明卡片和积木的各个面，通过三维视角完成任务。游戏分为不同的难度等级，提高幼儿空间意识。</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7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70</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找找看游戏盒升级版1套；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1、产品材质：桦木胶合板、PS、HDPE、ABS。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2、产品尺寸：木盒336x226x68H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3、产品配件：1个木盒、6张单面印刷主题游戏板、6张双面印刷任务条、100颗红色胶珠、16根红色塑料棒、2个带卡槽木制底座、1本说明书。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4、产品介绍：数数游戏，儿童找到主题游戏板上画的每一项，计数后把相同数量的珠子串到立柱上。完成后可通过任务卡的背面自测。计数到20。</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9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71</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面积游戏1套；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2、产品尺寸：木盒240x125x68H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3、产品配件：1个木盒；24张任务板、16个蓝色基础单元地块、1本说明书。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4、产品介绍：通过放置蓝色正方形来复制任务卡上的形状。这个形状有多大？这个形状是由几个正方形组成的？将任务卡翻过来，检查是否正确。</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5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72</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形状叠加游戏1套；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1、产品材质：桦木胶合板、PP。</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2、产品尺寸：木盒336x226x68H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3、产品配件：1个木盒，2块含孔游戏底板，6根可拔插立柱，16张双面印刷任务板，28块带孔形状块，每个形状2块，1本说明书。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4、产品介绍：通过不同的任务卡片，儿童学会怎样把各形状块按先后顺序叠加在一起。卡片上的任务采取加法的形式。如：把一形状加到另一形状上去会得到什么呢？结果会是一个组合的形状。</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0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73</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趣味数学之小小邮递员1套；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1、产品材质：桦木胶合板、PS、PP。</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2、产品尺寸：木盒336x226x68H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3、产品配件：1个木盒、2张木制双面印刷房屋形游戏板、2个带卡槽带木格托盘、10张白色数字与点数门牌卡、8张双面印刷任务板、10组10色100张双面印刷彩色信封游戏卡、1本说明书。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是一款充满趣味性的计数游戏。先让一排房屋站立起来，然后根据颜色将信件投到正确的房子。然后，难度升级，把1-10这十个数字或是点数黏在房子上方，然后投递该数量的信件。用任务卡的话，可以操作指定的任务。</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1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74</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形状配对游戏1套；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2、产品尺寸：木盒240x125x68H mm（±5%）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3、产品配件：1个木盒、8张双面印刷主题板、32张双面印刷游戏卡、1本说明书。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一款漂亮设计的形状识别游戏，分为三个难度等级。在等级1中儿童要把隐藏在图案中的形状找出来。在等级2中儿童要把隐藏在图片中的字母和数字找出来。他们隐藏在抽象的图案中。在等级3中，儿童得找出两半以组成一个完整的图案。当所有的任务完成后，把卡片翻过来即可检查做得是否正确。</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5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75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创意逻辑游戏1套；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1、产品材质：荷木、桦木胶合板、PP、PE、</w:t>
            </w:r>
            <w:r>
              <w:rPr>
                <w:rFonts w:hint="eastAsia" w:ascii="宋体" w:hAnsi="宋体" w:cs="宋体"/>
                <w:i w:val="0"/>
                <w:iCs w:val="0"/>
                <w:color w:val="000000"/>
                <w:sz w:val="21"/>
                <w:szCs w:val="21"/>
                <w:u w:val="none"/>
                <w:lang w:val="en-US" w:eastAsia="zh-CN" w:bidi="ar"/>
              </w:rPr>
              <w:t xml:space="preserve">PMMA</w:t>
            </w:r>
            <w:r>
              <w:rPr>
                <w:rFonts w:hint="eastAsia" w:ascii="宋体" w:hAnsi="宋体" w:eastAsia="宋体" w:cs="宋体"/>
                <w:i w:val="0"/>
                <w:iCs w:val="0"/>
                <w:color w:val="000000"/>
                <w:sz w:val="21"/>
                <w:szCs w:val="21"/>
                <w:u w:val="none"/>
                <w:lang w:val="en-US" w:eastAsia="zh-CN" w:bidi="ar"/>
              </w:rPr>
              <w:t xml:space="preserve">、纸卡。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2、产品尺寸：包装盒320x225x45H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3、产品配件：1个带磁铁笔的中空游戏底板、8张可插入式任务卡、1本说明书。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创意来自孩子的天性，创意逻辑游戏培养和注重提高儿童的个人能力，提高孩子的想象力与创造力以及手眼协调能力！和儿童绘画活动一样，创意逻辑游戏刺激儿童去发现自然界中多种形状和对应的物体。</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7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76</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棒环创意拼图游戏1套；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1、产品材质：桦木胶合板、ABS、PS、</w:t>
            </w:r>
            <w:r>
              <w:rPr>
                <w:rFonts w:hint="eastAsia" w:ascii="宋体" w:hAnsi="宋体" w:cs="宋体"/>
                <w:i w:val="0"/>
                <w:iCs w:val="0"/>
                <w:color w:val="000000"/>
                <w:sz w:val="21"/>
                <w:szCs w:val="21"/>
                <w:u w:val="none"/>
                <w:lang w:val="en-US" w:eastAsia="zh-CN" w:bidi="ar"/>
              </w:rPr>
              <w:t xml:space="preserve">PMMA</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2、产品尺寸：木盒336x226x68H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3、产品配件：1个木盒、1包含10种形状的塑料几何体、10张双面印刷的游戏指导板、4张空白游戏板、1个对折安全镜、1本说明书。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4、产品介绍：这款游戏能够激励儿童发展想象力。先鼓励儿童描摹有颜色的几何轮廓，然后再可根据单色的线条摆放，最后的难度是的可以自由发挥创作。</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37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77</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按序排列练习板1套；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1、尺寸：280*280*37mm（±5%）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2、材质：榉木, 椴木夹板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配件尺寸： 六边块尺寸为49*43*14mm（±5%）/PC，共3PC, 正边块尺寸为40*40*14mm（±5%）/PC，共12PC, 圆柱块尺寸为30*30*25mm（±5%）/PC，共1PC, 蘑菇头块尺寸为30*30*19mm（±5%）/PC，共1PC，亚克力钻φ20mm（±5%）/PC，共1PC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孩子随着年龄的增大，逐渐从具体形象思维到抽象思维发展，按序排列练习板，采用排列组合的方式，先让幼儿自己设定条件，再根据学习板上的提示，进行图形的排列组合，提高幼儿在守恒、分类、顺序排列、运算等方面的逻辑思维能力的发展。可以成人设定条件，幼儿操作，也可以一个幼儿设定条件，另外一个幼儿进行操作，充分促进幼儿社会交往能力的发展。</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1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78</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分类及配对学习板 - 物件与件物大小1套；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1、材质：榉木,多层实木夹板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2、尺寸：280*280*34mm（±5%）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配件尺寸：圆块：48*48*14mm（±5%）, 正形：48*48*14mm（±5%）, 长条：48*48*28mm（±5%）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本产品顶排3个长方形木块代表大、中、小，左排3个圆形木块代表6种不同的物件（双面），以上2组木块可随意改变摆放顺序，幼儿按照摆放后的物件与大小组合摆放好9片方形木块。老师也可以只使用一片圆形木块搭配3片长方形木块使用，降低难度。本产品有助幼儿促进大小概念的发展、事物的学习及提高逻辑思考能力。</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0"/>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79</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时间日期天气学习钟1套；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1、尺寸：240*195*27mm（±5%）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配件尺寸：手提内径：117mm（±5%）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2、材质：多层实木夹板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3、产品描述：教育多功能的时钟设计，可以加深幼儿对时间、日期的认识，培养幼儿良好的时间观念，教师在教导幼儿认知的过程中，有利于社交沟通能力的提升，是幼儿时期必备的学习玩具。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4、产品检测标准：产品符合中国国家标准 GB 6675.2-2014 《玩具安全 第 2 部分：机械与物理性能》 中国国家标准 GB 6675.3-2014 《玩具安全 第 3 部分：易燃性能》 中国国家标准 GB 6675.1-2014《玩具安全 第 1 部分：基本规范》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174"/>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80</w:t>
            </w:r>
            <w:r/>
          </w:p>
        </w:tc>
        <w:tc>
          <w:tcPr>
            <w:shd w:val="clear" w:color="auto" w:fill="auto"/>
            <w:tcW w:w="0" w:type="auto"/>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可调色学习游戏灯箱(含遥控)1套；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1、尺寸：390×270×80mm（±5%）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3、产品检测标准：产品符合GB6675.1-2014玩具安全第一部分：基本规范，GB6675.2-2014玩具安全第二部分：机械与物理性能，GB6675.3-2014玩具安全第三部分：易燃性能的标准；。</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200"/>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81</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透明沙水游戏盘(含盖)1套；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1、尺寸：358×268×81mm（±5%）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2、材质：PET, 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3、产品描述：透</w:t>
            </w:r>
            <w:r>
              <w:rPr>
                <w:rFonts w:hint="eastAsia" w:ascii="宋体" w:hAnsi="宋体" w:eastAsia="宋体" w:cs="宋体"/>
                <w:i w:val="0"/>
                <w:iCs w:val="0"/>
                <w:color w:val="000000"/>
                <w:sz w:val="21"/>
                <w:szCs w:val="21"/>
                <w:u w:val="none"/>
                <w:lang w:val="en-US" w:eastAsia="zh-CN" w:bidi="ar"/>
              </w:rPr>
              <w:t xml:space="preserve">明沙水游戏盘和盖子是由耐磨塑料材质制成。幼儿让沙子或者水从手中流过，发现沙和水的特性，可以给幼儿带来特别的感官刺激，手眼协调能力得到发展。玩沙玩水游戏本身就没有什么固定的玩法和必然的结果，因此给幼儿很大的空间来尽情挥洒他们的想象力和创造能力，给幼儿极大的满足感和成就感。在心理学家看来，幼儿喜欢玩沙玩水是因为这样的游戏让他们感到快乐，它对于促进幼儿的身心发展有着十分重要的价值。由于沙水游戏盘和盖子是透明的，方便观察收纳在里面的沙和水各种小物件，当配合灯板使用时，里面的物品被照亮，使自然探索增加了更多的可玩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托盘的尺寸适合幼儿独立玩水或玩沙。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4、产品检测标准：产品符合GB6675.1-2014玩具安全第一部分：基本规范，GB6675.2-2014玩具安全第二部分：机械与物理性能，GB6675.3-2014玩具安全第三部分：易燃性能的标准；。</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58"/>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82</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半透数字片26件套1套；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1、尺寸：87×87×121mm（±5%）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2、材质：PC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3、产品检测标准：产品符合GB6675.1-2014玩具安全第一部分：基本规范，GB6675.2-2014玩具安全第二部分：机械与物理性能，GB6675.3-2014玩具安全第三部分：易燃性能的标准。</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640"/>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83</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51件色彩几何形状片套装1套；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1、尺寸：215*200*90mm（±5%）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2、材质：多层实木夹板,亚克力，不碎，耐刮花，所有边角经过圆角处理，安全耐用。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3、产品描述：产品使用了不碎、耐刮花亚克力制造，所有边角都经过了圆角处理，确保安全。几何形状的设计初衷就是让幼儿对学习形状认知，学习几何形状的组合与切分，学会筛选与分类。 鲜艳的色彩容易吸引幼儿的注意，使形状学习变为不一样的色彩体验，探索色彩混合的奥妙。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4、数量：共51件，包括如下形状：圆形，正方形，长方形，梯形，三角形，六角形。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5、产品检测标准：产品符合GB6675.1-2014玩具安全第一部分：基本规范，GB6675.2-2014玩具安全第二部分：机械与物理性能，GB6675.3-2014玩具安全第三部分：易燃性能的标准。</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160"/>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84</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建构游戏软石块 (40件套)1套；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1、外箱尺寸：760*450*400（±5%）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2、材质：PU，套餐分别：</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大号石头：211*169*118mm（±5%）：8颗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中号石头：200*130*91mm（±5%）：16颗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小号石头：145*121*93mm（±5%）：16颗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低结构材料可变性强，形状、结构在操作时没有具体的人为设定，需要幼儿在与材料的互动过程中发挥主观能动性，实验自己的新玩法，获得相关经验。简而言之，三种不同的套装:16件套、40件套和96件套。每一套包括三种不同尺寸的石块设计，小、中、大和三种不同的色调。这是一套非常安全、真实感很强的玩具。不同数量的仿真软石块组</w:t>
            </w:r>
            <w:r>
              <w:rPr>
                <w:rFonts w:hint="eastAsia" w:ascii="宋体" w:hAnsi="宋体" w:eastAsia="宋体" w:cs="宋体"/>
                <w:i w:val="0"/>
                <w:iCs w:val="0"/>
                <w:color w:val="000000"/>
                <w:sz w:val="21"/>
                <w:szCs w:val="21"/>
                <w:u w:val="none"/>
                <w:lang w:val="en-US" w:eastAsia="zh-CN" w:bidi="ar"/>
              </w:rPr>
              <w:t xml:space="preserve">，触感柔软，安全，防水，它们很轻，可以漂浮在水面上，似海绵状，是一个个很好的玩耍素材。作为低结构材料的软石块是以幼儿为主体，由幼儿自由操作控制材料的过程。幼儿尝试用不同的方法解决问题并记录，识别与使用软石块的技能，教师或家长引导幼儿认识结构材料，识别结构元件的形状、颜色、大小等特征，开展建构游戏。幼儿会选用结构元件去构造物体，会灵活使用软石块。建构游戏中软石块的堆砌、排列和组合等活动，不仅可以促进幼儿对软石块性能的了解，还能够帮助幼儿建立一定的空间观念，认识到整体与部分的关系，提升幼儿的审美能力与创造能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4、产品检测标准：产品符合GB6675.1-2014玩具安全第一部分：基本规范，GB6675.2-2014玩具安全第二部分：机械与物理性能，GB6675.3-2014玩具安全第三部分：易燃性能的标准。</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40"/>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85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色彩游戏盘3件套1套；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1、尺寸：410*380*100mm（±5%）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配件尺寸：正方：190*190*100mm（±5%）, 三角：215*185*100mm（±5%）, 长方：380*190*100mm（±5%）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2、材质：多层实木夹板, 亚克力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3、产品描述：套装包含了3件不同形状、颜色的透视游戏盘，幼儿可透过游戏盘去探索事物，也可在游戏盘上进行创意摆放，如摆放几何块和沙。配合灯箱使用将可得到更多创意玩法如颜色叠加，沙土画画等。</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160"/>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86</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巨型镜面清水积木31件套1套；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1、尺寸：430*430*120mm（±5%）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配件尺寸：长方体 120 x 60 x 60mm（±5%） （±5%）,9个 ；长方体120 x 120 x 60mm（±5%） ,8个 ；长方体 180 x 120 x 60mm（±5%），4个； 三角形 120 x 120 x 60 mm（±5%）, 6个； 三角形 120 x 180 x 60 mm（±5%）, 4个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 多层实木夹板, 亚克力镜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3、产品描述：产品包含了</w:t>
            </w:r>
            <w:r>
              <w:rPr>
                <w:rFonts w:hint="eastAsia" w:ascii="宋体" w:hAnsi="宋体" w:eastAsia="宋体" w:cs="宋体"/>
                <w:i w:val="0"/>
                <w:iCs w:val="0"/>
                <w:color w:val="000000"/>
                <w:sz w:val="21"/>
                <w:szCs w:val="21"/>
                <w:u w:val="none"/>
                <w:lang w:val="en-US" w:eastAsia="zh-CN" w:bidi="ar"/>
              </w:rPr>
              <w:t xml:space="preserve">不同形状大小的正方形、三角形和长方形。每一块积木都配备了两面镜子。小孩可以透过积木去进行自我倒影探索，也可以利用镜面的反射去看世界。作为一款建构教具，幼儿可以搭建属于自己的城堡，从而发展幼儿的想象力和创造力。镜面积木能提高幼儿对形状、大小的辨识、逻辑思考能力和探索能力。作为一款教学教具，这组教具的图形之间有着严谨的教学关系，幼儿在摆弄图形的过程中会对图形的特点，切分与组合产生直观的认识。作为一款科学教具，每一块积木都是很棒的视觉探奇教具。整套积木可完美收纳于收纳盘系统内的托盘A，集储存方便和流动性高于一身。</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4、产品检测标准：产品符合中国国家标准 GB 6675.2-2014 《玩具安全 第 2 部分：机械与物理性能》 中国国家标准 GB 6675.3-2014 《玩具安全 第 3 部分：易燃性能》 中国国家标准 GB 6675.1-2014《玩具安全 第 1 部分：基本规范》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820"/>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87</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12件套特大榉木堆叠彩虹 (天然色)1套；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72*36*70mm（±5%）,98*48*70mm（±5%）,124*61*70mm（±5%）,150*75*70mm（±5%）,178*87*70mm（±5%）,200*100*70mm（±5%）,226*114*70mm（±5%）,252*126*70mm（±5%）,278*139*70mm（±5%）,306*152*70mm（±5%）,326*165*70mm（±5%）,355*178*70mm（±5%） （±5%）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3、产品描述：可爱的堆叠彩虹玩具增加了幼儿的学习兴趣，在堆叠的过程中，学会了大小排序的概念，促进幼儿的逻辑思考能力，培养幼儿的专注力、创造力、想象力，锻炼幼儿平衡感。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4、产品检测标准：产品符合中国国家标准 GB 6675.2-2014 《玩具安全 第 2 部分：机械与物理性能》 中国国家标准 GB 6675.3-2014 《玩具安全 第 3 部分：易燃性能》 中国国家标准 GB 6675.1-2014《玩具安全 第 1 部分：基本规范》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120"/>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88</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万花筒1套；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1、产品材质：荷木；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2、产品尺寸：56x56x50H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3、产品介绍：4个/套！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rPr>
          <w:rFonts w:hint="eastAsia" w:ascii="宋体" w:hAnsi="宋体" w:eastAsia="宋体" w:cs="宋体"/>
          <w:b/>
          <w:bCs/>
          <w:color w:val="auto"/>
          <w:sz w:val="21"/>
          <w:szCs w:val="21"/>
          <w:highlight w:val="none"/>
          <w:shd w:val="clear" w:color="auto" w:fill="ffffff"/>
          <w:lang w:val="en-US" w:eastAsia="zh-CN"/>
        </w:rPr>
        <w:outlineLvl w:val="9"/>
      </w:pPr>
      <w:r>
        <w:rPr>
          <w:rFonts w:hint="eastAsia" w:ascii="宋体" w:hAnsi="宋体" w:eastAsia="宋体" w:cs="宋体"/>
          <w:b/>
          <w:bCs/>
          <w:color w:val="auto"/>
          <w:sz w:val="21"/>
          <w:szCs w:val="21"/>
          <w:highlight w:val="none"/>
          <w:shd w:val="clear" w:color="auto" w:fill="ffffff"/>
          <w:lang w:val="en-US" w:eastAsia="zh-CN"/>
        </w:rPr>
        <w:br w:type="page" w:clear="all"/>
      </w:r>
      <w:r/>
    </w:p>
    <w:p>
      <w:pPr>
        <w:rPr>
          <w:rFonts w:hint="eastAsia" w:ascii="宋体" w:hAnsi="宋体" w:eastAsia="宋体" w:cs="宋体"/>
          <w:b w:val="0"/>
          <w:bCs w:val="0"/>
          <w:sz w:val="21"/>
          <w:szCs w:val="21"/>
          <w:highlight w:val="none"/>
          <w:lang w:val="en-US" w:eastAsia="zh-CN"/>
        </w:rPr>
        <w:outlineLvl w:val="2"/>
      </w:pPr>
      <w:r>
        <w:rPr>
          <w:rFonts w:hint="eastAsia" w:ascii="宋体" w:hAnsi="宋体" w:eastAsia="宋体" w:cs="宋体"/>
          <w:b w:val="0"/>
          <w:bCs w:val="0"/>
          <w:sz w:val="21"/>
          <w:szCs w:val="21"/>
          <w:highlight w:val="none"/>
          <w:lang w:val="en-US" w:eastAsia="zh-CN"/>
        </w:rPr>
        <w:t xml:space="preserve">（六）幼儿班-大班（5-6岁幼儿班级玩教具)</w:t>
      </w:r>
      <w:r/>
    </w:p>
    <w:tbl>
      <w:tblPr>
        <w:tblStyle w:val="692"/>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41"/>
        <w:gridCol w:w="1215"/>
        <w:gridCol w:w="4630"/>
        <w:gridCol w:w="446"/>
        <w:gridCol w:w="446"/>
        <w:gridCol w:w="846"/>
        <w:gridCol w:w="446"/>
        <w:gridCol w:w="886"/>
      </w:tblGrid>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w:t>
            </w:r>
            <w:r>
              <w:rPr>
                <w:rFonts w:hint="eastAsia" w:ascii="宋体" w:hAnsi="宋体" w:cs="宋体"/>
                <w:i w:val="0"/>
                <w:iCs w:val="0"/>
                <w:color w:val="000000"/>
                <w:sz w:val="21"/>
                <w:szCs w:val="21"/>
                <w:u w:val="none"/>
                <w:lang w:val="en-US" w:eastAsia="zh-CN" w:bidi="ar"/>
              </w:rPr>
              <w:t xml:space="preserve">（以下为每套要求）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总价（元）</w:t>
            </w:r>
            <w:r/>
          </w:p>
        </w:tc>
      </w:tr>
      <w:tr>
        <w:trPr>
          <w:trHeight w:val="224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 语言发展区（包含语言发展玩教具）：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学习拼图-秘密花园1套；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2、产品尺寸：包装盒300x100x210H mm（±5%），完成拼图Ø490x6H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3、产品配件：46个拼块、1张海报。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4、产品介绍：这是一款隐藏拼图，在完整的曼荼罗拼图中，隐藏了15只昆虫，有蝴蝶、蜻蜓、锹甲、蜜蜂、苍蝇。完成曼花形的曼荼罗拼图，找到隐藏的昆虫！你就能发现花园的秘密。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4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穿衣游戏1套；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1、产品材质：桦木胶合板、PP。</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2、产品尺寸：木盒240x125x68H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3、产品配件：1个木盒、3张游戏主题卡、19张任务卡；19张游戏卡、1本说明书。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4、产品介绍：这是一个以穿衣为主题的经典游戏。通过游戏可以让儿童学会如何运用事物的特征和需求。儿童把正确的衣物摆放到指示卡上，并检查各自的解决方案。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2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思维导图游戏1套；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2、产品尺寸：木盒336x226x68H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3、产品配件：1个木盒，10个圆形彩色游戏板、10个木制连接片、6个单面印刷分类指示圆片、70个圆形事物卡片、1本说明书。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将卡片分类与思维导图相结合。通过游戏，儿童逐步熟悉思维导图的基本原则，并学习将事物按照不同的主题进行归类。这款教具包含不同的主题：颜色，形状，季节和房间等。在不同主题卡的背面，儿童也可以创建自己的思维导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33"/>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昆虫找家游戏1套；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2、产品尺寸：卡片250x250H mm（±5%）昆虫圆片40x40H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3、产品配件：1个木盒，2张单面印刷游戏底板，18张任务卡，18个圆形昆虫卡片、1本说明书。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4、产品介绍：取一张任务卡和一张游戏底板，再选取任务卡上显示的昆虫圆片。根据任务卡上的方位指示，把昆虫圆片放在相对应的游戏板的叶子上。翻转任务卡片校对答案。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2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卡片分类游戏—找方向1套；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2、产品尺寸：木盒336x226x68H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3、产品配件：1个木盒、8张单面印刷主题游戏板、64张对应主题游戏卡、1本说明书。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款游戏共有8张主题游戏板，每张有8张相关的图像卡片。儿童要找到跟主题板上方向一致的卡片。所有图像卡片按照正确的方向排放后，图片背后就会出现一张完整的图像，用以自测。配件都装在有分格的木制收纳盒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8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建筑游戏升级版1套；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1、产品材质：桦木胶合板、PS、荷木。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2、产品尺寸：木盒336x226x68H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3、产品配件：1个木盒、1张双面印刷游戏底板、4个木制动物造型、16块游戏积木块、18张双面印刷任务卡、1本说明书。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动物们从不同角度看建筑，看到的是一样的吗？请儿童选取一张任务卡，并在游戏板上开始搭建。这时有两种选择，一种是先按照自己看到的建筑图完成搭建，再根据任务卡上动物的视角，逐个将动物放在正确的位置。或者，先将动物固定在某一位置，再根据动物的视角去搭建和移动建筑物直到最后完成。这款游戏发展儿童的精细运动技能，视觉记忆力和空间洞察力。</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4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表情游戏1套；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1、产品材质：桦木胶合板、PS、PP、金属。</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2、产品尺寸：木盒336x226x68H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3、产品配件：1个木盒、1块单面印刷带指针游戏板、48张单面印刷游戏卡、8张情绪展示卡、1本说明书。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4、产品介绍：拿出游戏转盘。将情境卡放在桌子上。旋转指针并命名指针停在位置上的表情。选择与之对应的情境卡。讲述为什么你认为该情境卡与表情对应。</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4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观察力游戏-四季1套；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1、产品材质：桦木胶合板、PS、PP。</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2、产品尺寸：木盒336x226x68H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3、产品配件：1个木盒，4张单面印刷主题板、12张任务板，12张透明游戏卡，50个圆形塑料标识、1本说明书。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4、产品介绍：选择一张主题卡和对应的任务卡。每个任务卡上有5张图片。你可以找到同时出现在主题卡和任务卡上的4张图片吗？相应地，找出那张没有出现在主题卡上的图片。翻转任务卡来查看答案。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2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一起说话1套；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2、产品尺寸：木盒420x330x86H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3、产品配件：1个木盒；2张双面印刷镜像对称主题板；16张游戏卡；8块4色含磁木块；1个主题板支架；1本说明书。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是一款提升沟通交流、倾听表达的游戏，两名幼儿面对面坐在一起，每名幼儿拿4块不同颜色的磁吸，通过一名幼儿描述，一名幼儿倾听，两人最终能隔着主题板将相同颜色的磁吸吸在指定的事物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4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触觉宾果游戏1套；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1、产品材质：桦木胶合板、PS、榉木、荷木。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2、产品尺寸：木盒336x226x68H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3、产品配件：1个木盒、6张单面印刷任务卡、18张单图单面印刷游戏卡、2组18个形状几何体、1本说明书。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4、产品介绍：这款游戏提供了一些小件的几何体，幼儿可以通过视觉辨别几何体的轮廓和任务卡上的二维图像进行配对，也可以通过完全用手指的触摸完成配对。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8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听指令游戏1套；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2、产品尺寸：木盒336x226x68H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3、产品配件：1个木盒、1个6格带凹槽木盒、8个双面印刷任务条、48张双面单面印刷游戏指令卡、32个颜色卡片、1本说明书。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是一个沟通交流游戏，提供了不同的变化范围。两个孩子选择一个长条卡片和相应的颜色卡片。两人面对面而坐，长条卡片放在中间。第一个孩子说出指令，另一孩子根据指令把相应的颜色卡片放入对应图案下的槽内。每一个孩子立即可判断回答是否正确。本游戏涵盖了各种主题：情景描述，空间方位描述，颜色描述、数字和大小。以及各种活动如：你听到的第一个/最后一个是什么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4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场景故事盒1套；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2、产品尺寸：木盒336x226x68H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3、产品配件：1个木盒、2张单面印刷主题板、2块木制多卡槽底座、31个木制游戏板（人物/场景/交通工具）、1本说明书。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4、产品介绍：这款游戏可以由1到2个人一起玩。先取出一个木槽和相关的木制造型卡片。把主题背景卡插到背后的木槽上。然后用木制造型创建一个主题场景并切换不同的场景。这样就可以讲故事了。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6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世界物种栖息地1套；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1、产品材质：榉木、塑胶。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2、产品尺寸：木盒320x245x135H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3、产品配件：28个塑料动物；7张大洲卡；图片卡和标签卡若干；蓝色三段式工作板；1本说明书；1个双层含盖木盒。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4、产品介绍：世界物种栖息地介绍了生活在7个不同大洲的动物物种。世界物种栖息地可与世界地图拼图配合使用。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2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一起搬家-校园1套；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1、产品材质：榉木，密度板，胶合板。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2、产品尺寸：框架500×400×11H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3、产品配件：1个拼图框架，24个大拼块，6个中拼块，72个小拼块。。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一款把拼块进行了特殊设计的拼图，三种尺寸的拼块让拼图的过程更有挑战性。这款拼图的主题是“运动场”，拼图向幼儿展示了人们在运动场里开展的各种运动类型，通过观察、描述、联系实际生活等活动提升幼儿的观察力、表达力，丰富词汇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2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一起搬家-游泳池1套；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1、产品材质：榉木，密度板，胶合板。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2、产品尺寸：框架500×400×11H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3、产品配件：1个拼图框架，24个大拼块，6个中拼块，72个小拼块。。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一款把拼块进行了特殊设计的拼图，三种尺寸的拼块让拼图的过程更有挑战性。这款拼图的主题是“游泳池”，拼图向幼儿展示了人们在游泳池里游泳、运动、玩水上游戏的有趣场景，通过观察、描述、联系实际生活等活动提升幼儿的观察力、表达力，丰富词汇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0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一起搬家-宠物动物园1套；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1、产品材质：榉木，密度板，胶合板。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2、产品尺寸：框架500×400×11H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3、产品配件：1个拼图框架，24个大拼块，6个中拼块，72个小拼块。。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一款把拼块进行了特殊设计的拼图，三种尺寸的拼块让拼图的过程更有挑战性。这款拼图的主题是“宠物动物园”，拼图向幼儿展示了人们在宠物动物园里和动物互动的情节，以及发生的有趣故事，通过观察、描述、联系实际生活等活动提升幼儿的观察力、表达力，丰富词汇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2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自然与气候拼图 - 可持续住房（100片）1套；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1、产品材质：榉木，密度板，桦木胶合板。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2、产品尺寸：框架405×405×11mm（±5%）。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3、产品配件：1个拼图框架，100个拼块。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是一款主题为“低碳房屋”的拼图，拼图向幼儿展示了一种低碳的生活方式，太阳能采光，用太阳能转换的能量为汽车提供能量，在自然的环境中种植蔬菜和植物等等。通过完成拼图，帮助幼儿理解低碳概念，形成环保理念，并能通过讲述拼图内容宣传低碳环保的生活理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2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自然与气候拼图 - 昆虫花园（100片）1套；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1、产品材质：榉木，密度板，桦木胶合板。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2、产品尺寸：框架405×405×11mm（±5%）。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3、产品配件：1个拼图框架，100个拼块。。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是一款主题为“和谐大自然”的拼图，拼图向幼儿展示了一种人与自然和谐相处，在风景优美的自然环境中享受生活的乐趣。通过完成拼图，帮助幼儿理解低碳概念，知道降低碳排放可以保护自然环境不受到过多的侵害，形成环保理念，并能通过讲述拼图内容宣传低碳环保的生活理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4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创意马赛克 - 三角块1套；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1、尺寸：280×280×23mm（±5%）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配件尺寸：三角块尺寸为78*40*14*mm（±5%）/PC，共32PC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2、材质：多层实木夹板, 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创意马赛克-三角形由四种不同颜色的三角形组成，每个颜色三角形有8个，一共32块三角形的积木。可以通过颜色分类来帮助幼儿对颜色的认知。另外三角形可以组合成多种形状，如菱形，梯形，正方形，长方形等形状。鼓励幼儿用三角形来拼搭出其他形状，或者是通过三角形来拼搭成数字，字母，图形等等。促进幼儿创造力和想象力，锻炼幼儿专注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6675.3-2014 《玩具安全 第 3 部分：易燃性能》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6675.1-2014《玩具安全 第 1 部分：基本规范》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创意马赛克 - 宝石柱1套；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1、尺寸：280×280×23mm（±5%）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配件尺寸：方块尺寸为60*60*14*mm（±5%）/PC，共4PC，三角块尺寸为80*41*14*mm（±5%）/PC，共8PC，平行四边形尺寸为123*42*14*mm（±5%）/PC，共8PC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2、材质：多层实木夹板, 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创意马赛克-宝石柱，采用四组深浅不一样的积木块，每组有两个平行四边形和两个三角形，还有一个带宝石的正方形组成。丰富的颜色和晶莹剔透的仿宝石促进幼儿视觉的发展。通过不同图形的拼搭促进幼儿空间感知能力的发展，培养幼儿专注力，锻炼幼儿想象力和创造力的发展，也可以通过一一对应查找相同图形来锻炼幼儿视觉观察能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6675.3-2014 《玩具安全 第 3 部分：易燃性能》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6675.1-2014《玩具安全 第 1 部分：基本规范》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21"/>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1-9数与量学习插萝卜游戏1套；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1、尺寸：280×280×62mm（±5%）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配件尺寸：萝卜上部尺寸为：43*43*52mm（±5%）共9PC，萝卜下部尺寸为：48*48*70mm（±5%）共9PC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2、材质：多层实木夹板, 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小朋友，我们一起玩拔萝卜游戏吧！学习板透过生动和互动的方式去辅助幼儿的数与量学习，拔萝卜游戏分为9组（1-9），每一组包含了相同颜色的胡萝卜和底座，胡萝卜印有阿拉伯数字，底座印有对应的点数。胡萝卜的配对过程能帮助幼儿促进数量对应关系的认知和颜色配对能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6675.3-2014 《玩具安全 第 3 部分：易燃性能》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6675.1-2014《玩具安全 第 1 部分：基本规范》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4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可调节镜面倒影体验板1套；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1、材质：榉木, 亚克力镜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2、尺寸：280*280*130mm（±5%）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配件尺寸：亚克力镜：275*120*6mm（±5%）；木块：28*28*20mm（±5%）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一款集光学物理、创意力发展与灵活互动于一体的镜面倒影体验板，产品的主轴是平面镜倒影成像原理，幼儿可调节镜面，也可以任意在底板上摆放形状木块，可変的镜面与物件距离加上千変的形状颜色组合，加深了幼儿对镜面成像原理的认知，体验镜面倒影的奥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6675.3-2014 《玩具安全 第 3 部分：易燃性能》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6675.1-2014《玩具安全 第 1 部分：基本规范》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81"/>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齿轮游戏板1套；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1、材质：塑胶, 多层实木夹板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2、尺寸：280*280*44mm（±5%）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配件尺寸：塑胶齿轮直径63mm（±5%）, 高13mm（±5%）, 齿轮钉直径35mm（±5%）, 高43mm（±5%）, 红色, 黄色, 绿色各3PC, 蓝色4PC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3、产品描述：这款产品幼儿可以按照自己的设计来完成组装，表达自己的想法，鼓励幼儿建立自己的齿轮系统，激发幼儿的想象力与创造力，提高幼儿的手眼协调能力。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6675.3-2014 《玩具安全 第 3 部分：易燃性能》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6675.1-2014《玩具安全 第 1 部分：基本规范》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Code'n Go! 编程概念初阶游戏1套；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1、材质：榉木, 多层实木夹板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2、尺寸：280*280*24mm（±5%）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配件尺寸：木块1：76*40*24mm（±5%）, ；木块2：27*27*20mm（±5%）, ；木块3：33*33*14mm（±5%）, ；木块4：120*40*24mm（±5%）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编程游戏能让孩子初步接触编程的基本概念，如前行、左转和右转，小孩要为小老鼠设定行走路径，避开正在休息的小猫和路障物等，最后找到它渴望已久的奶酪。玩具能提高孩子们解决问题的能力，也让他们知道解决问题的方法不止一个（不同的路径也可达到奶酪存放的地方），拓展思维，鼓励小孩对解决问题持有一种开放的思维与态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6675.3-2014 《玩具安全 第 3 部分：易燃性能》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6675.1-2014《玩具安全 第 1 部分：基本规范》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05"/>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七巧板1套；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1、材质：榉木,多层实木夹板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2、尺寸：280*280*23mm（±5%）   大三角块:195*100*14mm（±5%）, 中三角块:137*70*14mm（±5%）, 小三角块:95*49*14mm（±5%）, 四方块:70*70*14mm（±5%）, 平形四边形:145*50*14mm（±5%）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几何学习套装让幼儿在游戏中通过摆弄产品进行智力拼搭，可直观感知图形的形状和图形分割与组合的关系，从而加深幼儿对几何图形的认知，提高空间方位知觉能力，引发幼儿对拼搭图形的兴趣及提升逻辑思考能力、操作技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6675.3-2014 《玩具安全 第 3 部分：易燃性能》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6675.1-2014《玩具安全 第 1 部分：基本规范》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93"/>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三角形马赛克拼块游戏1套；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1、材质：榉木,多层实木夹板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2、尺寸：280*280*23mm（±5%）   小三角块:74*38*14mm（±5%）, 大三角块:105*54*14mm（±5%）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几何学习套装让幼儿在游戏中通过摆弄产品进行智力拼搭过程中，可直观感知图形的形状和图形分割与组合的关系，从而加深幼儿对几何图形的认知，提高空间方位知觉能力，引发幼儿对拼搭图形的兴趣及逻辑思考能力、操作技能的练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6675.3-2014 《玩具安全 第 3 部分：易燃性能》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6675.1-2014《玩具安全 第 1 部分：基本规范》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76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旋风马赛克拼块游戏1套；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1、材质：榉木, 多层实木夹板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2、尺寸：280*280*23mm（±5%）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配件尺寸：积木块1：123*55*14mm（±5%）, 积木块2：85*42*14mm（±5%）, 积木块3：52*52*14mm（±5%）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几何学习套装让幼儿在游戏中通过摆弄产品进行智力拼搭过程中，可直观感知图形的形状和图形分割与组合的关系，从而加深幼儿对几何图形的认知，提高空间方位知觉能力和逻辑思考能力，加强操作技能的练习，引发幼儿对拼搭图形的兴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6675.3-2014 《玩具安全 第 3 部分：易燃性能》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6675.1-2014《玩具安全 第 1 部分：基本规范》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525"/>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蜜蜂记忆力训练游戏(6个学习主题)1套；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1、材质：榉木, 多层实木夹板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2、尺寸：280*280*35mm（±5%）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六边形木块：48*42*14mm（±5%）, 圆柱：25*25*29mm（±5%）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蜂巢记忆力训练游戏包含有6个学习主题，共3张正反面印刷的题卡，主题包含了数字与数量、颜色、形状和字母。孩子们根据题卡提示，在游戏卡上找到对应的积木，训练孩子的记忆力，发展精细动作，提升手眼协调能力，培养专注力，提高解决问题的能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6675.3-2014 《玩具安全 第 3 部分：易燃性能》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6675.1-2014《玩具安全 第 1 部分：基本规范》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2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颜色方位学习板1套；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1、尺寸：280*280*23mm（±5%）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2、材质：榉木, 多层实木夹板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配件尺寸： 短木块尺寸为73*36*14mm（±5%）/PC，共3PC,长木块尺寸为110*36*14mm（±5%）/PC，共2PC，亚克力钻φ20mm/PC，共12PC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丰富的色彩是世界重要的组成部分，婴儿在6个月以后有分化性反应。红、黄、蓝也是三种基本的三原色。颜色方位学习板通过颜色的认知以及辨别，增加幼儿对颜色的认知和对空间方位的辨识，提高幼儿思维能力的发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4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色彩查找学习板1套；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1、尺寸：280*280*25mm（±5%）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2、材质：榉木, 椴木夹板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配件尺寸： 木块尺寸为75*75*19mm（±5%）/PC，共2PC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颜色认知是幼儿认识世界的重要部分，丰富的颜色不仅能增加幼儿认知，而且可以培养对美的感受力。通过对应颜色查找的方式提高幼儿的专注力，提高幼儿的专注力，提高幼儿对细节的关注度，锻炼幼儿的观察力，思考能力和逻辑推理能力。</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781"/>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立体色彩积木1套；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1、尺寸：280×280×31mm（±5%）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2、材质：多层实木夹板, 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这是一款有九个颜色正方体组成的一套积木，首先提高幼儿对颜色的认知。其次通过按图查找，平面的、立体的不同空间架构的排列，锻炼幼儿逻辑能力和空间探索能力。最后，幼儿可以充分发挥想象力用9种颜色积木块进行组合，发挥幼儿主动探索能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6675.3-2014 《玩具安全 第 3 部分：易燃性能》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6675.1-2014《玩具安全 第 1 部分：基本规范》</w:t>
            </w:r>
            <w:r>
              <w:rPr>
                <w:rFonts w:hint="eastAsia" w:ascii="宋体" w:hAnsi="宋体" w:eastAsia="宋体" w:cs="宋体"/>
                <w:i w:val="0"/>
                <w:iCs w:val="0"/>
                <w:color w:val="000000"/>
                <w:sz w:val="21"/>
                <w:szCs w:val="21"/>
                <w:u w:val="none"/>
                <w:lang w:val="en-US" w:eastAsia="zh-CN" w:bidi="ar"/>
              </w:rPr>
              <w:br/>
            </w:r>
            <w:r>
              <w:rPr>
                <w:rFonts w:hint="eastAsia" w:ascii="宋体" w:hAnsi="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4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彩色立体堆球1套；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1、尺寸：280×280×45mm（±5%）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配件尺寸：圆球尺寸为40*40*40*mm（±5%）/PC，共6PC，木块尺寸为118*118*15*mm（±5%）/PC，共1PC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2、材质：多层实木夹板, 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彩色立体堆球，又三种颜色六个积木球组成，提供不同的题卡，引导幼儿通过观察进行排列和组合，增强对方位的认知。从平面的排列到立体的排列，增强幼儿的空间感，游戏板右侧6个孔位方便幼儿游戏结束后收纳整理，有助于幼儿养成良好的生活习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6675.3-2014 《玩具安全 第 3 部分：易燃性能》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6675.1-2014《玩具安全 第 1 部分：基本规范》</w:t>
            </w:r>
            <w:r>
              <w:rPr>
                <w:rFonts w:hint="eastAsia" w:ascii="宋体" w:hAnsi="宋体" w:eastAsia="宋体" w:cs="宋体"/>
                <w:i w:val="0"/>
                <w:iCs w:val="0"/>
                <w:color w:val="000000"/>
                <w:sz w:val="21"/>
                <w:szCs w:val="21"/>
                <w:u w:val="none"/>
                <w:lang w:val="en-US" w:eastAsia="zh-CN" w:bidi="ar"/>
              </w:rPr>
              <w:br/>
            </w:r>
            <w:r>
              <w:rPr>
                <w:rFonts w:hint="eastAsia" w:ascii="宋体" w:hAnsi="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76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创意马赛克 - 雪花1套；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1、尺寸：280×280×23mm（±5%）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2、材质：多层实木夹板, 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创意马赛克-雪花12种颜色的等边三角形组成，一共18个等边三角形，18个三三角形组成一个五彩缤纷的雪花。学习板可以从几个方面来引导孩子，第一就是颜色，第二就是色彩的过渡，第三是形状的认知，第四是形状的组合，第五就是创意的拼搭。从多方面来锻炼幼儿认知能力、想象力和创造能力的发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6675.3-2014 《玩具安全 第 3 部分：易燃性能》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6675.1-2014《玩具安全 第 1 部分：基本规范》</w:t>
            </w:r>
            <w:r>
              <w:rPr>
                <w:rFonts w:hint="eastAsia" w:ascii="宋体" w:hAnsi="宋体" w:eastAsia="宋体" w:cs="宋体"/>
                <w:i w:val="0"/>
                <w:iCs w:val="0"/>
                <w:color w:val="000000"/>
                <w:sz w:val="21"/>
                <w:szCs w:val="21"/>
                <w:u w:val="none"/>
                <w:lang w:val="en-US" w:eastAsia="zh-CN" w:bidi="ar"/>
              </w:rPr>
              <w:br/>
            </w:r>
            <w:r>
              <w:rPr>
                <w:rFonts w:hint="eastAsia" w:ascii="宋体" w:hAnsi="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4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触感与视觉混合配对板1套；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1、材质：榉木, 多层实木夹板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2、尺寸：380*380*25mm（±5%）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配件尺寸： 木块1：128*93*20mm（±5%）, 木块2：88*68*20mm（±5%）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一款包含了10对相同纹路木块的木块套装，每一对木块拥有相同的纹理。纹理雕刻在木块的一面，同样的纹理同时印在木块的另一面。换句话说，同一种纹理用两种方式体现在木块的两个面。各种感官游戏由此而生，如纯触感配对、纯视觉配对、视觉触感交叉配对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6675.3-2014 《玩具安全 第 3 部分：易燃性能》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6675.1-2014《玩具安全 第 1 部分：基本规范》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32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几何、分数创意拼块游戏板1套；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1、尺寸：380*380*20mm（±5%）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2、材质：榉木, 多层实木夹板       圆：40*40*14mm（±5%）, 1/4圆：38*38*14mm（±5%）, 圆：76*76*14mm（±5%）, 1/4外圆：113*52*14mm（±5%）, 1/2圆：76*38*14mm（±5%）, 外圆：60*45*14mm（±5%）, 外圆：43*31*14mm（±5%）, 1/2外圆：161*81*14mm（±5%）, 1/3内圆：65*38*14mm（±5%）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色彩艳丽的木块，可以组成圆形、圆环。木块更可用于自己创作，如动物、几何形状等不同组合。每块木块的厚度不少于5mm（±5%），能创作立体的图形。限的创作空间就在眼前，有助于提高幼儿的颜色认知，培养创造力与想象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6675.3-2014 《玩具安全 第 3 部分：易燃性能》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6675.1-2014《玩具安全 第 1 部分：基本规范》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1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三维概念木球游戏1套；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1、尺寸：380*380*64mm（±5%）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2、材质：榉木，多层实木夹板，布圆球直径50mm（±5%）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3、数量：包换红色木球、蓝色木球、黄色木球、绿色木球，每色各5个，配有一套36张题卡和说明书，一个布袋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产品描述：三维概念木球游戏为数字学习、数数学习、顺序学习和逻辑推理能力锻炼提供了一个最好的入门点。木球的大小、用料和表面处理都是经过精心考虑，透过良好的触感能鼓励小孩更投入游戏。小孩可以按颜色排列直线，随意摆放或按图案摆放。每一个木球同时标有号码，小孩也可以按数字分类或排列。游戏附带的游戏卡提供了由浅入深的各种学习游戏，其中包含了分类、规律发现、创意和三维逻辑学习。一个小孩也能单独透过木球游戏玩耍学习，当然两个小孩同时参与更能鼓励互动学习和沟通能力的发展。木球游戏附带有一套丰富的游戏卡和一个木球收纳布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20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巨型穿珠套叠游戏套装（第三套）1套；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1、尺寸：414*201*63mm（±5%）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配件尺寸： 圆形通孔车积1：∮50*内通孔∮15MM*2*2斜边 4个；半圆形通孔车积2：∮50*23.5*R2*内通孔∮</w:t>
            </w:r>
            <w:r>
              <w:rPr>
                <w:rFonts w:hint="eastAsia" w:ascii="宋体" w:hAnsi="宋体" w:eastAsia="宋体" w:cs="宋体"/>
                <w:i w:val="0"/>
                <w:iCs w:val="0"/>
                <w:color w:val="000000"/>
                <w:sz w:val="21"/>
                <w:szCs w:val="21"/>
                <w:u w:val="none"/>
                <w:lang w:val="en-US" w:eastAsia="zh-CN" w:bidi="ar"/>
              </w:rPr>
              <w:t xml:space="preserve">15MM*2*2斜边 8个；单珠形通孔车积3：∮45*20*R10*内通孔∮15MM*2*2斜边 12个；三珠形通孔车积4：∮45*60*R10*R2*内通孔∮15MM*2*2斜边 4个；两珠形通孔车积5：∮45*40*R10*R2*内通孔∮15MM*2*2斜边 4个；榉木鼓形通孔车积6：∮45*80*∮35*内通孔∮15MM*2*2斜边 1个；木块7：80*60*20MM 4个；圆棒1：∮12*175MM 4个；圆棒2：∮12*120MM 4个；绳子L580MM 红/黄/蓝/绿色各2PC； 米色布袋1PC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2、材质:榉木, 多层实木夹板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采用榉木制造，外观敦实、光滑，颜色饱满毒害，颗粒大适宜幼儿独立游戏使用。巨型穿珠游戏（三）配备了红、黄、蓝、绿各2根线绳，4根穿绳木棒及4个方形底座、4根木柱，33颗木珠，24张（双面）题卡，一本说明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92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颜色形状对对碰 - 三角形1套；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1、尺寸：200*200*53mm（±5%）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配件尺寸：三角块：105*56*40mm（±5%）, 三角块：62*33*20mm（±5%）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2、材质:产品选用榉木，外观敦实、光滑棱角，采用毒水性漆，颜色饱和不褪色，易清洗。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本产品是颜色形状对对碰系列的产品之一，由8个不同颜色的三角形盒子和三角形木块组成，设计色彩鲜艳、造型简洁、操作稳妥，易于收纳，适用于2岁以上幼儿独立操作游戏使用。通过不同类型的游戏，帮助幼儿对颜色、形状的认知、筛选与分类、量的比较，提升空间思维能力与逻辑思考能力，协助教师完成“玩中学”。本产品配备了图文并茂的说明书和幼儿操作题卡，题卡内容由浅入深、由易到难，为不同层次水平的幼儿提供了游戏空间，可供教师参考指导及激发幼儿自行学习兴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36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视觉训练 - 学习镜面4件套1套；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1.材质：榉木, 亚克力镜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尺寸：340*170*40mm（±5%）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2.配件尺寸： 单块尺寸155*155mm（±5%）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学习镜面四件套由4块镜面组成，可以用来创建不同的镜面组合，达到不同的教学目的。此教具主要用于平面镜成像原理的学习，透过不同形状、颜色和纹理的物件放到镜面后产生的倒影，培养幼儿创意思维和空间思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6675.3-2014 《玩具安全 第 3 部分：易燃性能》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6675.1-2014《玩具安全 第 1 部分：基本规范》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0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视觉训练 - 镜面白板面积木6件套1套；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1.材质：榉木, 多层实木夹板, 亚克力镜, 亚克力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2.尺寸：200*200*53mm（±5%）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配件尺寸：半圆块：160*80*20mm（±5%）, 长方块：160*80*20mm（±5%）, 三角块：150*76*20mm（±5%）, 正方块：80*80*20mm（±5%）, 圆块：80*80*20mm（±5%）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说明：镜面积木套装由不同大小和形状的积木组成，积木一面是镜面，另一面是白色胶片，可搭配镜面游戏盒）和镜面学习4件套进行不同的教学游戏，也可用于感官和空间思维训练。本产品配备一个收纳盒，方便收纳和携带，更重要的是可以完美匹配到教育收纳柜系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32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 社交发展区（包含社会情感发展玩教具）：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角色扮演仿真水果套装1套；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1、尺寸：305*275*85mm（±5%）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2、材质：环保PVC耐磨皮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香蕉长180mm（±5%）, 红苹果76*74mm（±5%）, 柠檬55*77mm（±5%）, 西洋梨67*90mm（±5%）, 橙子72*77mm（±5%）, 李子57*50mm（±5%）, 牛油果60*98mm（±5%）, 芒果各1PC, 草莓55*57mm（±5%） 2PC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  时令水果组，共有十个色彩鲜艳并与实际大小相同的水果，包含：苹果、香蕉、柠檬、草莓等，幼儿在发挥创意扮演游戏的同时，不仅认识到色彩与形状，想象力与观察力也得到了提升。水果结构坚固耐玩，幼儿在拿取不同大小的水果时，能增强手部控制的稳定性，纸盒装方便好收纳，同时能教育孩子多吃水果，这是厨房装扮游戏的必备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6675.3-2014 《玩具安全 第 3 部分：易燃性能》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6675.1-2014《玩具安全 第 1 部分：基本规范》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角色扮演仿真蔬菜套装1套；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1、尺寸：305*275*85mm（±5%）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2、材质：环保PVC耐磨皮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配件：土豆62*99mm（±5%）, 辣椒78*100mm（±5%）, 西红柿75*64mm（±5%）, 青瓜48*175mm（±5%）, 胡萝卜45*180mm（±5%）, 洋葱86*80mm（±5%）, 茄子68*150mm（±5%）, 玉米55*180mm（±5%） 各1PC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新鲜健康蔬菜组，色彩鲜艳与实际大小相同的营养蔬菜共8个，包含：玉米、西红柿、茄子、土豆等，幼儿在发挥创意扮演游戏的同时，不仅认识到色彩与形状，想象力与观察力也得到了提升。蔬菜结构坚固耐玩，幼儿在拿取不同体积大小的蔬菜时，能增加手部控制的稳定性，纸盒装方便好收纳，同时能教育孩子多吃蔬菜，这是厨房装扮游戏的必备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6675.3-2014 《玩具安全 第 3 部分：易燃性能》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6675.1-2014《玩具安全 第 1 部分：基本规范》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76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角色扮演烹饪厨具套装（13 件套）1套；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1、尺寸：300*220*140mm（±5%）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2、材质：不锈钢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3、产品描述：角色扮演烹饪厨具套装13件套：304#钢盖子φ125mm（±5%）, 304#钢单柄浅锅长240mm（±5%）,  304#钢水果篮长173mm（±5%）, 304#钢双耳锅长176mm（±5%）,  304#单柄深锅长238mm（±5%）</w:t>
            </w:r>
            <w:r>
              <w:rPr>
                <w:rFonts w:hint="eastAsia" w:ascii="宋体" w:hAnsi="宋体" w:eastAsia="宋体" w:cs="宋体"/>
                <w:i w:val="0"/>
                <w:iCs w:val="0"/>
                <w:color w:val="000000"/>
                <w:sz w:val="21"/>
                <w:szCs w:val="21"/>
                <w:u w:val="none"/>
                <w:lang w:val="en-US" w:eastAsia="zh-CN" w:bidi="ar"/>
              </w:rPr>
              <w:t xml:space="preserve">,  304#勺子长155mm（±5%）,  304#叉子长187mm（±5%）,  304#冲孔圆勺长193mm（±5%）,  304#花型勺长183mm（±5%）,  201#打蛋器长210*48mm（±5%）,  430#冰夹长142*28mm（±5%）, TC手套180*115mm（±5%）, 带隔层方形铁蓝子335*222*100mm（±5%）。精美的不锈钢餐具组合，让孩子在角色扮演活动中体验无穷的乐趣；提高合作能力和动手操作能力，语言表达和社会交往能力。幼儿更可从中认识各种厨具不同的功能和用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6675.3-2014 《玩具安全 第 3 部分：易燃性能》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6675.1-2014《玩具安全 第 1 部分：基本规范》。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2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铁篮子2件套1套；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1、尺寸：440*300*120mm（±5%）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2、材质：不锈钢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3、产品描述：一套两件的金属篮子可用于放置玩具，篮子可放入角色扮演厨房玩具系列。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6675.3-2014 《玩具安全 第 3 部分：易燃性能》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6675.1-2014《玩具安全 第 1 部分：基本规范》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咖啡车玩具1套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1、产品材质：椴木夹板、榉木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2、产品尺寸：190*120*125mm（±5%）。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轮船玩具1套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1、产品材质：椴木夹板，榉木、MDF</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2、产品尺寸：240*165*120mm（±5%）。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工具腰带1套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1、产品材质：橡胶木，禾木，椴木夹板；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2、产品尺寸：270*210*50mm，腰带37*15.5cm（±5%）；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3、产品说明：螺丝刀、老虎钳、扳手、锤子、尺子、两套螺丝+螺母、腰带。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警察巡逻玩具1套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1、产品材质：椴木夹板、榉木、MDF。</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2、产品尺寸：330*225*325mm（±5%）；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3、产品说明：警车1辆、警用直升机1架、工作台1组、人偶3个、警犬1个、射击靶1个、值班双层床1个，安全锥路障2个。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农场伙伴玩具1套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1、产品材质：椴木夹板、榉木、MDF。</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2、产品尺寸：330*225*325mm。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3、产品说明：配件拖拉机1辆、车斗1个、农夫1个、动物（鸡、狗、奶牛、绵羊、鸭子）各1个、池塘1个、菜园3个+亚克力装饰板3个。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92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背包紧急服务中心1套；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1、尺寸：220*120*210mm（±5%）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2、材质：榉木, 布包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3、产品描述：医院、警局和消防局集于一个背包内！可以想象小孩背着属于他们的急救中心到访朋友家中，拉开拉链，拿出人物与配件，急救中心马上投入服务。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6675.3-2014 《玩具安全 第 3 部分：易燃性能》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6675.1-2014《玩具安全 第 1 部分：基本规范》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32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我的化妆包玩具1套；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1、尺寸：245*95*195mm（±5%）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包包宽：245mm 高：200mm 口红长：71mm 指甲油长：75mm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电话长：96mm 宽：50mm 厚：20mm 镜子长：115mm 厚：15mm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粉底长：98mm 宽：65mm 厚：10mm 风筒长：105mm 厚：20mm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梳子长：125mm 宽：55mm 厚：10mm 腮红刷：长90mm 宽35mm 厚：10mm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2、材质：榉木, 多层实木夹板, 布包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3、产品描述：爱美的小孩也想拥有一个自己的化妆包，套餐包括了吹风机、唇膏、粉底、梳子、化妆刷、指甲油、化妆镜、小手机共10件美容用品，小美容师们大可一展她们的创意。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6675.3-2014 《玩具安全 第 3 部分：易燃性能》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6675.1-2014《玩具安全 第 1 部分：基本规范》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21"/>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我的医疗包玩具1套；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1、尺寸：215*85*180mm（±5%）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配件 尺寸：  包包宽：220mm 高：175mm 药剂外径：50mm 高：65mm  听诊器长：350mm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体温仪长：115mm 厚：20mm 电话长：96mm 高：50mm 放大镜长：140mm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注射器长：135mm 手袖长：300mm 锤子长：148mm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2、材质：榉木, 多层实木夹板, 布包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3、产品描述：很多的小孩子立志将来可当医生救助病患，这套医疗玩具可先让他们一展身手，套餐包括了听诊器、血压仪、 针筒、药剂、体温仪等。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6675.3-2014 《玩具安全 第 3 部分：易燃性能》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6675.1-2014《玩具安全 第 1 部分：基本规范》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8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 逻辑思维区，（包含数学逻辑玩教具）：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圆形与方形组成游戏1套；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1、产品材质：胶合板、PP、ABS。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2、产品尺寸：木盒420x330x86H 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3、产品配件：1个木盒、4张白色塑料游戏底板、8张双面印刷游戏指导卡、6组6种形状312个塑胶形状拼块、1本说明书。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你有多少种方法可以做出一个圆呢？这个有趣的游戏提供了无数种方式来观察一个简单的形状是如何构成的。这个游戏还可以生动地介绍分数（如1/2，1/4等）的概念和局部的形状（半圆，椭圆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4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三角游戏-色彩艺术1套；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1、产品材质：桦木胶合板、ABS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2、产品尺寸：木盒336x226x68H 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3、产品配件：1个木盒；4个镂空游戏框架，64块彩色三角塑料块、1本说明书。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4、产品介绍：这是一款根据任务指示创作对称图案的游戏，塑料的游戏块上印了不同的图案，根据任务的指示，将符合条件的游戏块合理地放置在游戏底板上，形成完整地图案。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77"/>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视觉编程1套；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1、产品材质：桦木胶合板、榉木、PS。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2、产品尺寸：木盒336x226x68H 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3、产品配件：1个木盒、1张正方形单面印刷游戏底板、1张长方形单面印刷游戏板、18张双面印刷任务卡、16个单面印刷箭头指示卡、6个木制动物、1本说明书。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4、产品介绍：学习编程的基本概念。在这套操作教具里，简单的材料将儿童编程具象化。该游戏盒包含2个不同等级的游戏板，绿色操作板难度高于红色操作板。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8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动物数独1套；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2、产品尺寸：木盒336x226x68H 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3、产品配件：1个木盒、5张双面印刷游戏任务板；5张双面印刷游戏指示板、48张单面印刷小号动物游戏卡、24张单面印刷大号动物游戏卡、1本说明书。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是一款根据标准的九宫格数独演变而来的适合儿童逻辑思维训练的动物数独。儿童可以拿取动物卡片根据答案卡和同伴完成一个动物数独，并根据题面来理解数独的的含义。通过不断的练习和探索，儿童会在互相合作完成的基础上，更进一步，独立完成一个数独游戏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几何积木和轮廓1套；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1、产品材质：桦木胶合板、PS、榉木。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2、产品尺寸：木盒240x125x68H 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3、产品配件：1个木盒、10个几何积木块、10张几何投影轮廓卡片、1本说明书。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4、产品介绍：感受3D形状并与对应的轮廓联系起来。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4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立体积木游戏1套；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1、产品材质：桦木胶合板、榉木、PS、PMMA。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2、产品尺寸：木盒336x226x68H 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3、产品配件：1个木盒、40个25x25x25的红色立方块；10个25x25x12.5的黄色三角块；16张双面印刷游戏指导板板、1面对折安全镜、1本说明书。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4、产品介绍：这款游戏帮助儿童探索二维和三维在空间上的联系。儿童用木制几何块重建任务卡上的图像。难度升级时，可以加上安全镜。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4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分层成排建筑游戏1套；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1、产品材质：胶合板、PS、榉木。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2、产品尺寸：木盒336x226x68H 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3、产品配件：1个木盒，18张双面印刷任务卡、40个木块（2色每色20块）、1本说明书。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4、产品介绍：孩子们按层（从下到上）和排（从前到后）进行构建，同时需要根据平面图、剖面图和整体视图来分析结构对象。任务卡的难度递增让孩子们一步步被引入空间推理世界，提高空间建构能力。</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17"/>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数字模拟时钟-教师版1套；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1、产品材质：桦木胶合板、塑料、金属。</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2、产品尺寸：表盘285x285mm。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3、产品配件：1个表盘，1个表盘支架。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4、产品介绍：这款由教师使用的有12小时和24小时标记的木制时钟和模拟电子时钟显示器向孩子们介绍了钟表运转的规律，可以通过多种游戏形式帮助孩子认识时间，知道分针和时针代表的时间长度与关系。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6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一起分蛋糕1套；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2、产品尺寸：木盒240x125x68H 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3、产品配件：1个木盒，12张任务板，6张盘子形状游戏板，12张甜点游戏卡。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4、产品介绍：先选择题卡，根据题卡的要求，儿童将一定数量的蛋糕平均分配在一定数量的盘子中。适合多人同时进行游戏。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0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spacing w:after="22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算数跑道游戏1套；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1、产品材质：桦木胶合板、榉木、PS。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2、产品尺寸：木盒336x226x68H 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3、产品配件：1个木盒，2张背景卡片，2个带卡槽凹槽底座、12张游戏指示卡、32张数字卡片，40个实木立方块，1本说明书。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4、产品介绍：算数跑道游戏能让算数学习变得简单易懂，游戏中的方块（块数）可与算数跑道上的某个位置一一对应。游戏中的数量对应关系实现了从点数到计数的转变，发展了儿童的心理数线。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2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加减法游戏1套；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1、产品材质：桦木胶合板、榉木、PS。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2、产品尺寸：木盒336x226x68H 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3、产品配件：1个木盒、216个6色2种直径圆木片、2组1-10数字符号、2组1-10点数符号、2组“+、-、=”符号、1本说明书。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4、产品介绍：初学加减法的儿童，一般使用建构事实的方法，例如，当一个学龄前儿童被问到5加3等于多少时，他会先数出5个原片，再数出3个圆片，然后从头到尾数一次。最会才能排列出一个抽象的加法算式。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2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数字赢家1套；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1、产品材质：实木、纸卡。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2、产品尺寸：包装盒240x240x65H 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3、产品配件：40个木制数字、1个7-12数字骰子、1个1-6点数骰子、1个带有幸运星的点数骰子、4块游戏板、4个木制角色人偶。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在大数字骰子的帮助下，先确定一个目标数字。之后，儿童一个接一个地掷出小骰子获得相应的数字。当有一名儿童先将手中的数字组合成目标数字后，就可以按照目标数字上的点数前进相应的步数。接下来由下一名儿童重新确定目标数字，游戏继续进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0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整数分解积木盘1套；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1、产品材质：榉木、胶合板。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2、产品尺寸：拼图框架260x260mm。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3、产品配件：1个拼图框架、41块数字木块（包含13个1，8个2，5个3，4个4，3个5，2 个6，7-12各1）。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款产品是一款易于儿童理解的探索12以内数字分解与组成的游戏材料，以1为基础单位，后面的积木块以倍增的方式展现，例如：表示“3”的木块长度等于3个“1”的长度，因此，“3”和“2”的木块合起来、“1”和“4”的木块合起来和“5”的木块一样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数学卡尺1套；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1、产品材质：桦木胶合板，荷木。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2、产品尺寸：70×360mm。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3、产品配件：1个木制卡尺。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4、产品介绍：一款由两个移动滑块链接的木制数字认知计数装置，可练习计数到 10个。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4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测量与比较游戏1套；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1、产品材质：桦木胶合板、榉木、PS。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2、产品尺寸：木盒336x226x68H 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3、产品配件：1个木盒，8张双面印刷任务卡，25个等差彩色积木条（5色5中长度），1本说明书。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4、产品介绍：单人游戏或者双人游戏，选择一张任务卡片，用彩色积木块填满任务卡片。还可以反转任务卡，这样，就可以根据任务卡选择积木块的颜色和长度。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4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天平1套；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1、产品材质：桦木胶合板、榉木、塑料、聚酯纤维。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2、产品尺寸：天平尺寸400x150H mm，托盘Ø175H 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3、产品配件：1个木制支架，2个天平托盘。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一组非常稳固结实的榉木做的天平和塑料托盘。可在天平的两端分别放进不同的物体，如苹果，香蕉或桔子等，想一想，称一称，哪个轻，哪个重？怎样可使天平保持平衡呢？小朋友们，开动脑筋玩起来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6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思维方块1套；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2、产品尺寸：木盒210x210x70H 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3、产品配件：1个木盒，24张PS游戏板，1本说明书。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4、产品介绍：看看这些图片，那些应该在一起，哪些不应该在一起？找出相似点和不同点。思维方格可以促进词汇量、句子结构、拼写和语言的发展。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4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数与量学习茄子1套；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1、尺寸：280×280×37mm（±5%）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茄子上块35*38*14mm（±5%），茄子下块48*44*14mm（±5%）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2、材质：多层实木夹板, 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数量学习板由10个茄子组成，分为茄子头带有数字，茄子身带有点数，通过数字与点数的对应操作，帮助幼儿理解数与量之间的关系。仿宝石滑轨可以随意设定条件，幼儿可通过设定的条件选择相对应的茄子头和茄子身放入游戏板中。学习的过程中老师可以引导从1-10和10-1的唱数，帮助幼儿认识10以内数字。在操作时能够提高幼儿的手眼协调能力和观察能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6675.3-2014 《玩具安全 第 3 部分：易燃性能》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6675.1-2014《玩具安全 第 1 部分：基本规范》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76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1-5加减法学习蜂巢1套；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1、尺寸：280×280×23mm（±5%）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配件尺寸：六边形块尺寸为：48*42*14mm（±5%）共23PC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2、材质：多层实木夹板, 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幼儿在学习数和量的对应之后，逐步过渡到数的加减法，在过渡的过程过程中需要融合数字和数量，帮助幼儿建立概念，逐步过渡的单纯数的增减。学习板采用蜂巢式的模型，增加趣味性。每个积木块都有对应的数字和实物。提高幼儿对数量的感知，在游戏的过程中学习5以内数字的加减法，帮助幼儿建立数理逻辑思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6675.3-2014 《玩具安全 第 3 部分：易燃性能》 中国国家标准 GB 6675.1-2014《玩具安全 第 1 部分：基本规范》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4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1-10数数及单、双数练习板1套；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1、材质：榉木,多层实木夹板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2、尺寸：280*280*35mm（±5%）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配件尺寸：木块1：25*25*25mm（±5%）；木块2：50*25*25mm（±5%）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练习板上方是10个小珠子，幼儿可进行10以内的数数及简单的加减运算，下方有10个红色木块代表单数1，5个蓝色木块代表双数2，幼儿可以通过手部触觉进行单双数练习以及10以内的数数。这是一款不常见、用于培养 1-10数数、1-10内单、双数数数的学习板。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6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1-10数字分解练习板1套；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1、材质：榉木,多层实木夹板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2、尺寸：280*280*20mm（±5%）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配件尺寸：木块：25*25*10mm（±5%）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3、产品描述：一款非常简单而有效的10以内数字分解练习板，鼓励幼儿学习1-10数的分解，有利于幼儿加、减法学习、数量认知和逻辑思考能力的提升发展。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36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天然榉木数字学习板1套；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1、材质：榉木,多层实木夹板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2、尺寸：280*280*23mm（±5%）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配件尺寸：数字0：55*65*14mm（±5%）, 数字1：37*65*14mm（±5%）, 数字2：53*65*14mm（±5%）, 数字3：52*65*14mm（±5%）, 数字4：57*65*14mm（±5%）, 数字5：51*65*14mm（±5%）, 数字6：55*65*14mm（±5%）, 数字7：54*65*14mm（±5%）, 数字8：55*65*14mm（±5%）, 数字9：55*65*14mm（±5%）, 数字10：93*65*14mm（±5%）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3、产品描述：老师教导幼儿学习0-10数字，并按顺序在学习板上进行数字匹配游戏过程中，可以让幼儿初步认识数字，激发对数学学习的兴趣爱好。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6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几何形状分数学习板1套；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1、材质：榉木, 多层实木夹板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2、尺寸：280mm（±5%）*280mm（±5%）*23mm（±5%）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配件尺寸：圆：102*102*14mm（±5%）, 长方：104*52*14mm（±5%）, 1/3三角：116*40*14mm（±5%）, 正方：52*52*14mm（±5%）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3、产品描述：把所有木块按照颜色、形状在学习板上进行配对，可以让幼儿初步认识分数，了解不同几何形状物体的均分、等分等概念.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64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小蛇数字顺序学习板1套；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1、材质：榉木,多层实木夹板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2、尺寸：280*280*23mm（±5%）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配件尺寸： 拼块0：85*60*14mm（±5%）, 拼块1：49*48*14mm（±5%）, 拼块2：78*47*14mm（±5%）, 拼块3：94*68*14mm（±5%）, 拼块4：83*42*14mm（±5%）, 拼块5：60*45*14mm（±5%）, 拼块6：78*58*14mm（±5%）, 拼块7：82*41*14mm（±5%）, 拼块8：57*40*14mm（±5%）, 拼块9：66*50*14mm（±5%）, 拼块10：86*41*14mm（±5%）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学习板的教学目标：认识颜色，1-10的数字，感知数字的排列顺序。幼儿对照小蛇的形状把标有数字的小蛇身体按照顺序排列起来，将趣味图形与数字结合起来，以加深幼儿对0-10的数字认知，感知数字的排列顺序，真正做到寓教于乐，寓学于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2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加减法学习板1套；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1、材质：榉木,多层实木夹板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2、尺寸：280*280*27mm（±5%）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配件尺寸：拼块1：80*16*18mm（±5%）, 拼块2：80*33*18mm（±5%）, 拼块3：80*49*18mm（±5%）, 拼块4：80*65*18mm（±5%）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学习板的教学目标：数的概念学习，学习加减运算。这款有趣的加减法学习板，使数学教学和学习更加轻松！以平移数字木条进行运算的方式，让幼儿通过手部触觉加强熟悉数的概念和学习加减运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36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数量与算术学习木条1套；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1、材质：榉木, 多层实木夹板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2、尺寸：280*280*23mm（±5%）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配件尺寸：拼块1：25*25*14mm（±5%）, 拼块2：50*25*14mm（±5%）, 拼块3：75*25*14mm（±5%）, 拼块4：100*25*14mm（±5%）, 拼块5：125*25*14mm（±5%）, 拼块6：150*25*14mm（±5%）, 拼块7：175*25*14mm（±5%）, 拼块8：200*25*14mm（±5%）, 拼块9：225*25*14mm（±5%）, 拼块10：250*25*14mm（±5%）,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3、产品描述：学习板的教学目标：数量认知，学习数的分解与组合。将数字木条和符号摆放在学习板上，学习数字10的分解组合，尝试列算式，学习简单的数学运算。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6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时钟学习板1套；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1、材质：多层实木夹板,塑胶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2、尺寸：280*280*44mm（±5%）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配件尺寸：方块1：57*38*3mm（±5%）, 方块2：27*38*9mm（±5%）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3、产品描述：教育多功能的时钟设计，可以加深幼儿对时间、日期的认识，培养幼儿良好的时间观念，教师在教导幼儿认知的过程中，有利于社交沟通能力的提升，是幼儿时期必备的学习玩具。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8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多种数量表达方式练习板1套；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1、材质：榉木, 多层实木夹板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2、尺寸：280*280*23mm（±5%）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配件尺寸：圆块:48*48*14mm（±5%）, 正方形：48*48*14mm（±5%）, 三角形：55*48*14mm（±5%）,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本产品顶排3个三角形木块代表数量1,2,3，左排3个圆形木块代表3种不同数量的表达方式，以上2组木块可随意改变摆放顺序，幼儿按照摆放后的数量与数量表达方式组合摆放好9片方形木块。教师也可以只使用一片圆形木块搭配3片三角形木块使用，降低难度。本产品有助幼儿促进量概念的发展，学习多种数量的表达方式及提高逻辑思考能力。</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6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迷你数独游戏板1套；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1、材质：榉木, 多层实木夹板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2、尺寸：280*280*23mm（±5%）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配件尺寸：木块：34*34*14mm（±5%）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3、产品描述：数独游戏鼓励幼儿逻辑思考，如何排列数字横竖都不一样，也可以两个幼儿一起玩，我设题你填答案，提高幼儿相互协助能力。</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421"/>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1-10数与量学习套装 ( 37件套）1套；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1、尺寸：424*201*53mm（±5%）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2、材质：榉木     数字1：60*15*25mm（±5%），数字2：60*30*25mm（±5%），数字3：60*45*25mm（±5%），数字4：60*60*25mm（±5%），数字5：75*60*25mm（±5%），数字6：90*60*25mm（±5%），数字7：105*60*25mm（±5%），数字8：120*60*25mm（±5%），数字9：135*60*25mm（±5%），数字10：150*90*25mm（±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36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 构建&amp;科学区（包含构建玩教具）：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可调色学习游戏灯箱(含遥控)1套；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1、尺寸：390×270×80mm（±5%）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小灯箱是一个携带方便、视觉效果可爱的教具，由天然北欧榉木制成。它的体积很小，非常适合幼儿独立操作或两名幼儿一起使用。观察认识事物或现象的基本外部特征；了解事物或现象间的异同，同样适用于透明和半透明物体，观察光线对颜色、混色、不透明度和阴影产生的不同效果。盒子配有遥控器，可以用来变换灯板的颜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4、产品检测标准：产品符合GB6675.1-2014玩具安全第一部分：基本规范，GB6675.2-2014玩具安全第二部分：机械与物理性能，GB6675.3-2014玩具安全第三部分：易燃性能的标准。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8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透明沙水游戏盘(含盖)1套；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1、尺寸：358×268×81mm（±5%）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2、材质：PET, 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透明沙水游戏盘和盖子是由耐磨塑料材质制成。幼儿让沙子或者水从手中流过，发现沙和水的特性，可以给幼儿带来特别的感官刺激，手眼协调能力得到发展。玩沙玩水游戏本身就没有什么固定的玩法和必然的结果，因此给幼儿很大的空间来尽情挥洒他们的想象力和创造能力，给幼儿极大的满足感和成就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4、产品检测标准：产品符合GB6675.1-2014玩具安全第一部分：基本规范，GB6675.2-2014玩具安全第二部分：机械与物理性能，GB6675.3-2014玩具安全第三部分：易燃性能的标准；。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2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38件色彩数字与字母套装1套；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1、尺寸：总体积 215*200*90mm（±5%）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2、材质：多层实木夹板,亚克力，不碎，耐刮花，所有边角经过圆角处理，安全耐用。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产品使用了不碎、耐刮花亚克力制造，所有边角都经过了圆角处理，确保安全。数字与字母的设计初衷就是让幼儿学习字母和数字，学会筛选与分类。鲜艳的色彩容易吸引幼儿的注意，使字母数字学习变为不一样的色彩体验，探索色彩混合的奥妙。本产品建议配合LED白色教学灯箱一起使用，产品配备一个小盒子，方便收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48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大型空心积木1套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1、尺寸：860*510*240mm（±5%）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配件尺寸：正方形 120 x 120 x 120mm（±5%） ，4个 ；扇形 120 x 120 x 120mm（±5%） ，4个 ；三角形 120 x 120 x 120mm（±5%） ，4个 ；长方形 240 x 120 x 120mm（±5%） ，2个 ；拱形 240 x 120 x 120mm（±5%） ，2个 ；半圆 120 x 60 x 120mm（±5%</w:t>
            </w:r>
            <w:r>
              <w:rPr>
                <w:rFonts w:hint="eastAsia" w:ascii="宋体" w:hAnsi="宋体" w:eastAsia="宋体" w:cs="宋体"/>
                <w:i w:val="0"/>
                <w:iCs w:val="0"/>
                <w:color w:val="000000"/>
                <w:sz w:val="21"/>
                <w:szCs w:val="21"/>
                <w:u w:val="none"/>
                <w:lang w:val="en-US" w:eastAsia="zh-CN" w:bidi="ar"/>
              </w:rPr>
              <w:t xml:space="preserve">） ，2个 ；半圆 240 x 120 x 120mm（±5%） ，2个 ；正方形240 x 240 x 120mm（±5%） ，2个 ； 三角形 240 x 120 x 120mm（±5%） ，2个 ；三角形 240 x 120 x 120mm（±5%） ，1个 ；三角形480 x 120 x 120mm（±5%） ，2个 ；长方体 480 x 120 x 120mm（±5%） ，4个；长方形 480 x 120 x 18mm（±5%） ，2个；长方形 720 x 120 x 18mm（±5%） ，2个。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2、材质：多层实木夹板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3、数量：35件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4、产品描述：巨型空心积木包含了14种不同形状，重量与大小适中，适合小孩搭建一些自己能用的结构，如堡垒、平衡木等。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26件可拆嵌字母堆叠大力士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1、尺寸：500×280×180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2、材质：榉木，塑胶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3、产品描述：可拆嵌字母堆叠大力士采用榉木和优质塑胶，每个积木之间可以互相镶嵌，达到一个平衡。也可以像堆积木一样进行空间的堆叠。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6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学习四季拼图1套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1、产品材质：桦木胶合板、荷木。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2、产品尺寸：包装盒300x100x210H mm，完成拼图Ø490x6H 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3、产品配件：48个拼块、1个月份指示拼块。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4、产品介绍：这是一款圆形的益智拼图，儿童在游戏中了解季节在一年中的显著特征，知道四季的轮换交替；通过拼图，儿童掌握月份的基础特征，能把拼图中的场景与生活中的实际情况联系起来。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奇妙音乐盒1个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1、产品材质：桦木胶合板、亚克力、含有涂层的金属、弹力绳。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2、产品尺寸：木盒400x300x60H 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3、产品配件：1个做演奏琴箱的收纳木盒、39根空心金属音管（C6-4,D6-7,E6-7,F6-6,G6-8,A6-4,B6-1,C7-2）、8片亚克力支架、1根木制音槌、1本彩色乐谱。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6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物质透光度探索板1个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1、产品尺寸：280×280×12mm（±5%）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2、产品材质：多层实木夹板,榉木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光线在不同介质里的传输程度各不相同，介质可概括分类为透光，半透光和不透光三种。此探索板提供了3组不同实物模板，幼儿可直接手拿探索板去体验9种不同物料的透光度，或引导幼儿通过手电筒直射材料板，发现光与影子的秘密，激发幼儿科学探索的兴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rPr>
          <w:rFonts w:hint="eastAsia" w:ascii="宋体" w:hAnsi="宋体" w:eastAsia="宋体" w:cs="宋体"/>
          <w:b/>
          <w:bCs/>
          <w:color w:val="auto"/>
          <w:sz w:val="21"/>
          <w:szCs w:val="21"/>
          <w:highlight w:val="none"/>
          <w:shd w:val="clear" w:color="auto" w:fill="ffffff"/>
          <w:lang w:val="en-US" w:eastAsia="zh-CN"/>
        </w:rPr>
        <w:outlineLvl w:val="9"/>
      </w:pPr>
      <w:r>
        <w:rPr>
          <w:rFonts w:hint="eastAsia" w:ascii="宋体" w:hAnsi="宋体" w:eastAsia="宋体" w:cs="宋体"/>
          <w:b/>
          <w:bCs/>
          <w:color w:val="auto"/>
          <w:sz w:val="21"/>
          <w:szCs w:val="21"/>
          <w:highlight w:val="none"/>
          <w:shd w:val="clear" w:color="auto" w:fill="ffffff"/>
          <w:lang w:val="en-US" w:eastAsia="zh-CN"/>
        </w:rPr>
        <w:br w:type="page" w:clear="all"/>
      </w:r>
      <w:r/>
    </w:p>
    <w:p>
      <w:pPr>
        <w:numPr>
          <w:ilvl w:val="0"/>
          <w:numId w:val="0"/>
        </w:numPr>
        <w:rPr>
          <w:rFonts w:hint="eastAsia" w:ascii="宋体" w:hAnsi="宋体" w:eastAsia="宋体" w:cs="宋体"/>
          <w:b w:val="0"/>
          <w:bCs w:val="0"/>
          <w:sz w:val="21"/>
          <w:szCs w:val="21"/>
          <w:highlight w:val="none"/>
          <w:lang w:val="en-US" w:eastAsia="zh-CN"/>
        </w:rPr>
        <w:outlineLvl w:val="2"/>
      </w:pPr>
      <w:r>
        <w:rPr>
          <w:rFonts w:hint="eastAsia" w:ascii="宋体" w:hAnsi="宋体" w:eastAsia="宋体" w:cs="宋体"/>
          <w:b w:val="0"/>
          <w:bCs w:val="0"/>
          <w:sz w:val="21"/>
          <w:szCs w:val="21"/>
          <w:lang w:val="en-US" w:eastAsia="zh-CN" w:bidi="ar-SA"/>
        </w:rPr>
        <w:t xml:space="preserve">（七）</w:t>
      </w:r>
      <w:r>
        <w:rPr>
          <w:rFonts w:hint="eastAsia" w:ascii="宋体" w:hAnsi="宋体" w:eastAsia="宋体" w:cs="宋体"/>
          <w:b w:val="0"/>
          <w:bCs w:val="0"/>
          <w:sz w:val="21"/>
          <w:szCs w:val="21"/>
          <w:highlight w:val="none"/>
          <w:lang w:val="en-US" w:eastAsia="zh-CN"/>
        </w:rPr>
        <w:t xml:space="preserve">婴幼儿月龄盒子</w:t>
      </w:r>
      <w:r/>
    </w:p>
    <w:p>
      <w:pPr>
        <w:numPr>
          <w:ilvl w:val="0"/>
          <w:numId w:val="0"/>
        </w:numPr>
        <w:spacing w:line="360" w:lineRule="auto"/>
        <w:rPr>
          <w:rFonts w:hint="eastAsia" w:ascii="宋体" w:hAnsi="宋体" w:eastAsia="宋体" w:cs="宋体"/>
          <w:b w:val="0"/>
          <w:bCs w:val="0"/>
          <w:sz w:val="21"/>
          <w:szCs w:val="21"/>
          <w:highlight w:val="none"/>
          <w:lang w:val="en-US" w:eastAsia="zh-CN"/>
        </w:rPr>
        <w:outlineLvl w:val="9"/>
      </w:pPr>
      <w:r>
        <w:rPr>
          <w:rFonts w:hint="eastAsia" w:ascii="宋体" w:hAnsi="宋体" w:eastAsia="宋体" w:cs="宋体"/>
          <w:i w:val="0"/>
          <w:iCs w:val="0"/>
          <w:color w:val="000000"/>
          <w:sz w:val="21"/>
          <w:szCs w:val="21"/>
          <w:u w:val="none"/>
          <w:lang w:val="en-US" w:eastAsia="zh-CN" w:bidi="ar"/>
        </w:rPr>
        <w:t xml:space="preserve">一、适用于0-36月龄婴幼儿精细动作发展、认知发展、语言发展、社交发展、游戏活动，亲子活动、家庭养育指导等。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二、每套产品：根据不同月龄段发展需求设计了14个月龄段玩教具套盒，共105种玩教具；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▲三、</w:t>
      </w:r>
      <w:r>
        <w:rPr>
          <w:rFonts w:hint="eastAsia" w:ascii="宋体" w:hAnsi="宋体" w:eastAsia="宋体" w:cs="宋体"/>
          <w:i w:val="0"/>
          <w:iCs w:val="0"/>
          <w:color w:val="000000"/>
          <w:sz w:val="21"/>
          <w:szCs w:val="21"/>
          <w:highlight w:val="none"/>
          <w:u w:val="none"/>
          <w:lang w:val="en-US" w:eastAsia="zh-CN" w:bidi="ar"/>
        </w:rPr>
        <w:t xml:space="preserve">产品</w:t>
      </w:r>
      <w:r>
        <w:rPr>
          <w:rFonts w:hint="eastAsia" w:ascii="宋体" w:hAnsi="宋体" w:eastAsia="宋体" w:cs="宋体"/>
          <w:i w:val="0"/>
          <w:iCs w:val="0"/>
          <w:color w:val="000000"/>
          <w:sz w:val="21"/>
          <w:szCs w:val="21"/>
          <w:highlight w:val="none"/>
          <w:u w:val="none"/>
          <w:lang w:val="en-US" w:eastAsia="zh-CN" w:bidi="ar"/>
        </w:rPr>
        <w:t xml:space="preserve">采用婴幼儿友好、防划伤纸张设计、UV大豆油墨印刷，均符合国家环保可回收再利用标准、产品夹板、密度板为0甲醛；均符合国家环保可回收再利用标准、产品严选以水为溶剂的健康无危害环保水性漆，无邻苯、重金属、有机锡、所有塑料均选用不含BPA或领苯二甲酸盐等有害物质、所有产品PAHS（多环芳烃），18项数值单项数值小于0.2，总值小于1，达到可食用级标准；（提供投标人或投标品牌制造商送检的第三方机构出具的检测报告）</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▲四、需提供相关标准资质可追溯，包含但不限于：100%有机棉质产品GOTS认证、木质产品原材料FSC™认证、纸制品原材料FSC™认证、符合GB 6675.2-2014国家标准“玩具安全”第2部分。（提供投标人或投标品牌制造商送检的第三方机构出具的检测报告</w:t>
      </w:r>
      <w:r>
        <w:rPr>
          <w:rFonts w:hint="eastAsia" w:ascii="宋体" w:hAnsi="宋体" w:cs="宋体"/>
          <w:i w:val="0"/>
          <w:iCs w:val="0"/>
          <w:color w:val="000000"/>
          <w:sz w:val="21"/>
          <w:szCs w:val="21"/>
          <w:highlight w:val="none"/>
          <w:u w:val="none"/>
          <w:lang w:val="en-US" w:eastAsia="zh-CN" w:bidi="ar"/>
        </w:rPr>
        <w:t xml:space="preserve">及相关证明材料</w:t>
      </w:r>
      <w:r>
        <w:rPr>
          <w:rFonts w:hint="eastAsia" w:ascii="宋体" w:hAnsi="宋体" w:eastAsia="宋体" w:cs="宋体"/>
          <w:i w:val="0"/>
          <w:iCs w:val="0"/>
          <w:color w:val="000000"/>
          <w:sz w:val="21"/>
          <w:szCs w:val="21"/>
          <w:highlight w:val="none"/>
          <w:u w:val="none"/>
          <w:lang w:val="en-US" w:eastAsia="zh-CN" w:bidi="ar"/>
        </w:rPr>
        <w:t xml:space="preserve">）</w:t>
      </w:r>
      <w:r/>
    </w:p>
    <w:tbl>
      <w:tblPr>
        <w:tblStyle w:val="692"/>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52"/>
        <w:gridCol w:w="948"/>
        <w:gridCol w:w="4544"/>
        <w:gridCol w:w="471"/>
        <w:gridCol w:w="471"/>
        <w:gridCol w:w="846"/>
        <w:gridCol w:w="689"/>
        <w:gridCol w:w="935"/>
      </w:tblGrid>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w:t>
            </w:r>
            <w:r>
              <w:rPr>
                <w:rFonts w:hint="eastAsia" w:ascii="宋体" w:hAnsi="宋体" w:cs="宋体"/>
                <w:i w:val="0"/>
                <w:iCs w:val="0"/>
                <w:color w:val="000000"/>
                <w:sz w:val="21"/>
                <w:szCs w:val="21"/>
                <w:u w:val="none"/>
                <w:lang w:val="en-US" w:eastAsia="zh-CN" w:bidi="ar"/>
              </w:rPr>
              <w:t xml:space="preserve">（以下为每套要求）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总价（元）</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highlight w:val="none"/>
                <w:u w:val="none"/>
                <w:lang w:val="en-US" w:eastAsia="zh-CN" w:bidi="ar"/>
              </w:rPr>
              <w:t xml:space="preserve">五、</w:t>
            </w:r>
            <w:r>
              <w:rPr>
                <w:rFonts w:hint="eastAsia" w:ascii="宋体" w:hAnsi="宋体" w:eastAsia="宋体" w:cs="宋体"/>
                <w:i w:val="0"/>
                <w:iCs w:val="0"/>
                <w:color w:val="000000"/>
                <w:sz w:val="21"/>
                <w:szCs w:val="21"/>
                <w:highlight w:val="none"/>
                <w:u w:val="none"/>
                <w:lang w:val="en-US" w:eastAsia="zh-CN" w:bidi="ar"/>
              </w:rPr>
              <w:t xml:space="preserve">每件产品包含：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双面旋转色轮：1个，267mm*267mm*3mm（±3%）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黑白卡（简单）:4</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，175mm*118mm*1.5mm（±3%）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黑白卡（复杂）: 4</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，175mm*118mm*1.5mm（±3%）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木质图书:1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，135mm*121mm*16mm（±3%）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硅胶手摇铃:1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  155mm*70mm*50 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感知挂件:3</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 正方体90mm*90mm*90mm（±3%）、圆柱55mm*55mm*110mm（±3%）、三角90mm*95mm*80mm（±3%）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触觉“软书”:1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 240mm*200mm*50mm（±3%）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黑白图形卡:4</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 175 mm*118mm*1.5mm（±3%）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脆响包:1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 155mm* 120mm*5mm （±3%）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木质手摇锤:1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 46mm*46mm*132mm（±3%）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木质沙锤:1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 57mm*57mm*133mm（±3%）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摇滚手鼓:1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 67mm*67mm*68mm（±3%）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有框镜:1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 292mm* 292mm*8.5mm（±3%）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反转木碟:1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 70mm*50mm*50mm（±3%）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《我的身体》:1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 150mm*150mm*13.4mm（±3%）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《我的小小手》:1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 150mm* 150mm*12.5mm（±3%）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有机棉彩虹球:1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 105mm*105mm*80mm（±3%）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有机棉绣球:1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 102mm*102mm*102mm（±3%）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趣响袜子:2</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 115mm*85mm*25mm（±3%）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魔术纸巾盒:1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  116mm*116mm*134mm（±3%）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魔术“纸巾”:6</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 170mm*170mm*10mm（±3%）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不倒翁:1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 68mm*68mm*110mm（±3%）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旋转彩虹:1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 175mm*125mm*155mm（±3%）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“看见”材质卡片组合:1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 150mm*150mm*19mm（±3%）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彩虹叠乐杯:6</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 82mm*82mm*288mm（±3%）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感知球套装（木制、毛毡）:3</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木质球、3</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毛毡球</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30mm*30mm*30mm（±3%）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百宝篮</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大小</w:t>
            </w:r>
            <w:r>
              <w:rPr>
                <w:rFonts w:hint="eastAsia" w:ascii="宋体" w:hAnsi="宋体" w:cs="宋体"/>
                <w:i w:val="0"/>
                <w:iCs w:val="0"/>
                <w:color w:val="000000"/>
                <w:sz w:val="21"/>
                <w:szCs w:val="21"/>
                <w:u w:val="none"/>
                <w:lang w:val="en-US" w:eastAsia="zh-CN" w:bidi="ar"/>
              </w:rPr>
              <w:t xml:space="preserve">各1个</w:t>
            </w:r>
            <w:r>
              <w:rPr>
                <w:rFonts w:hint="eastAsia" w:ascii="宋体" w:hAnsi="宋体" w:eastAsia="宋体" w:cs="宋体"/>
                <w:i w:val="0"/>
                <w:iCs w:val="0"/>
                <w:color w:val="000000"/>
                <w:sz w:val="21"/>
                <w:szCs w:val="21"/>
                <w:u w:val="none"/>
                <w:lang w:val="en-US" w:eastAsia="zh-CN" w:bidi="ar"/>
              </w:rPr>
              <w:t xml:space="preserve">, 350mm*300mm*150mm （±3%）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第一块“拼图” :1</w:t>
            </w:r>
            <w:r>
              <w:rPr>
                <w:rFonts w:hint="eastAsia" w:ascii="宋体" w:hAnsi="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t xml:space="preserve">拼图、1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可拼插图版,115mm*115mm *35mm（±3%）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盒中球:1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木盒体、2</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榉木球, 280mm*145mm*110mm（±3%）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《翻一翻》:1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 150mm*150mm*112mm（±3%）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饮水杯:1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 57mm*57mm*59mm（±3%）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《我的情绪》:1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 150mm*150mm*12mm（±3%）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不锈钢钥匙环: 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 105mm*95mm*35mm（±3%）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《反义词》:1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 150mm* 150mm*10mm（±3%）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积木启蒙套装:4</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 85mm*85mm*42mm（±3%）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趣味方巾（躲猫猫道具）:1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 50mm*50mm*3mm（±3%）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趣叠环: 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主体、3</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套环, 125mm*125mm*235mm（±3%）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蒙氏蛋杯:1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 59mm*59mm*72.5mm（±3%）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小握罐套装（矮）:3</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 80mm*80mm*95mm（±3%）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《我的动物朋友》迷你书:1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  70mm*70mm*20mm（±3%）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薯娃娃:1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 240mm*130mm*70mm（±3%）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薯宝钱夹:1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 135mm*110mm*23mm（±3%）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薯宝“硬币”:6</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 50mm*50mm*3mm（±3%）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重力对比球组合:2</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 120mm*60mm*60mm（±3%），单个球直径60mm（±3%）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有机棉感官袋：1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，126mm*95mm*220mm（±3%）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滑动球盒（含1个毡毛球）:1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 291mm*100mm*112mm（±3%）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契合木拼图:1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 62mm*62mm*50mm（±3%）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木棍掉落盒:1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掉落盒、3</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木棍,162mm*158mm*130mm（±3%）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《缤纷食物》:1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 150mm*150mm*10mm（±3%）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木球滑梯盒（含4个塑料球）:1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滑梯盒、4</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球,225mm*180mm *400mm（±3%）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《我的睡觉时间》:1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 150mm*150mm*13.5mm（±3%）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圆形契合盘:1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契合盘、5</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圆托木盖,440mm*140mm*34mm（±3%）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多用存钱罐（含硬币）:1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存钱盒、5</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胡萝卜、5</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木质硬币, 105mm*105mm*111mm（±3%）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小孔板: 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 105mm*111mm（±3%）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木环叠乐盘: 12</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 205mm*205mm*168mm（±3%）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木头叠落石:5</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 110 mm*82mm*125mm（±3%）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《我和妈妈去公园》:1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  150mm*150mm*13.5mm（±3%）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木质多向坡度赛车组合:1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车架、2</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木质小车,300mm*140mm*300mm（±3%）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昆虫收集桶: 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收集桶、</w:t>
            </w:r>
            <w:r>
              <w:rPr>
                <w:rFonts w:hint="eastAsia" w:ascii="宋体" w:hAnsi="宋体" w:cs="宋体"/>
                <w:i w:val="0"/>
                <w:iCs w:val="0"/>
                <w:color w:val="000000"/>
                <w:sz w:val="21"/>
                <w:szCs w:val="21"/>
                <w:u w:val="none"/>
                <w:lang w:val="en-US" w:eastAsia="zh-CN" w:bidi="ar"/>
              </w:rPr>
              <w:t xml:space="preserve">1组</w:t>
            </w:r>
            <w:r>
              <w:rPr>
                <w:rFonts w:hint="eastAsia" w:ascii="宋体" w:hAnsi="宋体" w:eastAsia="宋体" w:cs="宋体"/>
                <w:i w:val="0"/>
                <w:iCs w:val="0"/>
                <w:color w:val="000000"/>
                <w:sz w:val="21"/>
                <w:szCs w:val="21"/>
                <w:u w:val="none"/>
                <w:lang w:val="en-US" w:eastAsia="zh-CN" w:bidi="ar"/>
              </w:rPr>
              <w:t xml:space="preserve">昆虫贴,110mm* 110mm*147mm（±3%）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砝码叠乐盘:1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底托、12</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砝码,200mm*200mm*51mm（±3%）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蔬菜拼图:1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蔬菜拼图、5</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蔬菜木盖,445mm*180mm*21mm（±3%）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穿针引线: 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线托、13</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部件, 140mm*110mm*45mm（±3%）(包装好尺寸)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束口收纳袋:1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 180mm*155mm*5mm（±3%）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《体检时间》:1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 150mm*150mm*12mm（±3%）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幼儿手电筒: 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手电筒、3</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可替换图镜片, 152mm*82mm*108mm（±3%）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趣味滑环台: 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滑环台、4</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圆环,353mm*145mm*134mm（±3%）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动物图案配对兜: 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配对兜、9</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动物配件, 355mm*8mm*370mm（±3%）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3D形状拼图: 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 300mm*110mm*30mm（±3%）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小锁盒: 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 165mm*165mm*145mm（±3%）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水罐水杯组合: 2</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 135mm*77mm*95mm（±3%）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木棒插孔组合: 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插孔底座、7</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粗木棍、8</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细木棍, 190mm*110mm*100mm（±3%）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动物对对碰: 6</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拼图、6</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动物摆件, 240mm*195mm*10mm（±3%）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动物图案束口收纳袋: 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 240mm*195mm*10mm（±3%）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趣味扣枕: 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 255mm*85mm*85mm（±3%）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摘星星套装: 星星*8</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、夹子*1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、杯子*1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，105mm*105mm*85mm（±3%）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马赛克纽扣板: 底座*1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、盖板*1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、背景卡*3</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、扭扣*36</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 255mm*242mm*60mm（±3%）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厚木片拼图: 拼图*4</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 72mm*72mm*25mm（±3%）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《大米两岁啦！》:1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 150mm*150mm*15mm（±3%）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薯宝水槽套装: 底座*1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、水槽*1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、水龙头*1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、5号电池*2</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、托盘*2</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、水杯*2</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、沥水盘*1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 416mm*304mm*115mm（±3%）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花儿朵朵开: 底座*1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、花朵*5</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 239mm*64mm*250mm（±3%）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大艺术家大豆蜡笔套装: 蜡笔袋*1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、蜡笔*6</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 215mm*165mm*30mm（±3%）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色彩联排板: 木片*25</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、袋子*1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、底座*1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 256mm*236mm*92mm（±3%）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双面七巧板: 底板*1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 拼图*7</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 90mm*80mm*25mm（±3%）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可视化日程: 纸板*20</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 85mm*85mm*35mm（±3%）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《制作包子》:1</w:t>
            </w:r>
            <w:r>
              <w:rPr>
                <w:rFonts w:hint="eastAsia" w:ascii="宋体" w:hAnsi="宋体" w:cs="宋体"/>
                <w:i w:val="0"/>
                <w:iCs w:val="0"/>
                <w:color w:val="000000"/>
                <w:sz w:val="21"/>
                <w:szCs w:val="21"/>
                <w:u w:val="none"/>
                <w:lang w:val="en-US" w:eastAsia="zh-CN" w:bidi="ar"/>
              </w:rPr>
              <w:t xml:space="preserve">组</w:t>
            </w:r>
            <w:r>
              <w:rPr>
                <w:rFonts w:hint="eastAsia" w:ascii="宋体" w:hAnsi="宋体" w:eastAsia="宋体" w:cs="宋体"/>
                <w:i w:val="0"/>
                <w:iCs w:val="0"/>
                <w:color w:val="000000"/>
                <w:sz w:val="21"/>
                <w:szCs w:val="21"/>
                <w:u w:val="none"/>
                <w:lang w:val="en-US" w:eastAsia="zh-CN" w:bidi="ar"/>
              </w:rPr>
              <w:t xml:space="preserve">, 150mm*150mm*20mm（±3%）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几何叠叠高: 契合板*1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、积木片*16(圆形/三角形/正方形/长方形*4), 150mm*150mm*75mm（±3%）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“吱吱”清洁套装: 外壳*1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、喷壶*1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、刮板*1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 170mm*100mm*120mm（±3%）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专“薯”茶文化套装: 收纳袋*1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、桌布*1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、壶*1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、杯子*2</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、碟*2</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 200mm*145mm* 215mm（±3%）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粘粘薯胶水套装: 收纳盒*1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、胶水小盒*1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、剪纸(星星/六边形/梯形/圆形/桃心*24</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 180mm*155mm*50mm（±3%）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智慧薯天平: 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平衡架、1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铁桶, 355mm*105mm*255mm（±3%）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《农家乐》: 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 157mm*160mm*15mm（±3%）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彩虹转轴叠叠高: 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底托、12</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木质叠叠高插件, 320mm*125mm*105mm（±3%）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棉布沙包和呼啦圈组合: 3</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呼啦圈、3</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沙包, 370mm*370mm*35mm（±3%）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交通工具连连看（5*5cm）: 12</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 65mm*65mm*35mm（±3%）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5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色彩配对锤钉盒: 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锤定盒、16</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钉子、3</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卡片、1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锤子, 205mm*205mm*100mm（±3%）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液体实验室: 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托盘、3</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烧杯、1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漏斗, 294mm*294mm*125mm（±3%）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彩色倒计时时钟: 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 120mm*115mm*65mm（±3%）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《我的朋友》: 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 150mm*150mm*15mm（±3%）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自然图形契合拼图: 木板*1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、木块*18</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 246mm*246mm*15mm（±3%）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木质数盒: 卡片*10</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、木盒*1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、木棒*10</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 270mm*125mm*105mm（±3%）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“木薯伙伴”的奇趣露营: 帐篷*1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、人偶*4</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、睡袋*4</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 170mm*170mm*150mm（±3%）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木质带锁露营车: 露营车*1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、钥匙扣*1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 195mm*120mm*80mm（±3%）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实木鹅卵石: 木块*6</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 162mm*132mm*82mm（±3%）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形色组合卡片套装（10*10cm）: 卡片*40</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 100mm*100mm* 1mm（±3%）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《3岁的我》：1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 150mm*150mm*15mm（±3%）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rPr>
          <w:rFonts w:hint="eastAsia" w:ascii="宋体" w:hAnsi="宋体" w:eastAsia="宋体" w:cs="宋体"/>
          <w:b/>
          <w:bCs/>
          <w:color w:val="auto"/>
          <w:sz w:val="21"/>
          <w:szCs w:val="21"/>
          <w:highlight w:val="none"/>
          <w:shd w:val="clear" w:color="auto" w:fill="ffffff"/>
          <w:lang w:val="en-US" w:eastAsia="zh-CN"/>
        </w:rPr>
        <w:outlineLvl w:val="9"/>
      </w:pPr>
      <w:r>
        <w:rPr>
          <w:rFonts w:hint="eastAsia" w:ascii="宋体" w:hAnsi="宋体" w:eastAsia="宋体" w:cs="宋体"/>
          <w:b/>
          <w:bCs/>
          <w:color w:val="auto"/>
          <w:sz w:val="21"/>
          <w:szCs w:val="21"/>
          <w:highlight w:val="none"/>
          <w:shd w:val="clear" w:color="auto" w:fill="ffffff"/>
          <w:lang w:val="en-US" w:eastAsia="zh-CN"/>
        </w:rPr>
        <w:br w:type="page" w:clear="all"/>
      </w:r>
      <w:r/>
    </w:p>
    <w:p>
      <w:pPr>
        <w:numPr>
          <w:ilvl w:val="0"/>
          <w:numId w:val="0"/>
        </w:numPr>
        <w:ind w:left="0" w:firstLine="0"/>
        <w:rPr>
          <w:rFonts w:hint="eastAsia" w:ascii="宋体" w:hAnsi="宋体" w:eastAsia="宋体" w:cs="宋体"/>
          <w:b w:val="0"/>
          <w:bCs w:val="0"/>
          <w:sz w:val="21"/>
          <w:szCs w:val="21"/>
          <w:highlight w:val="none"/>
          <w:lang w:val="en-US" w:eastAsia="zh-CN"/>
        </w:rPr>
        <w:outlineLvl w:val="2"/>
      </w:pPr>
      <w:r>
        <w:rPr>
          <w:rFonts w:hint="eastAsia" w:ascii="宋体" w:hAnsi="宋体" w:eastAsia="宋体" w:cs="宋体"/>
          <w:b w:val="0"/>
          <w:bCs w:val="0"/>
          <w:sz w:val="21"/>
          <w:szCs w:val="21"/>
          <w:lang w:val="en-US" w:eastAsia="zh-CN" w:bidi="ar-SA"/>
        </w:rPr>
        <w:t xml:space="preserve">（八）</w:t>
      </w:r>
      <w:r>
        <w:rPr>
          <w:rFonts w:hint="eastAsia" w:ascii="宋体" w:hAnsi="宋体" w:eastAsia="宋体" w:cs="宋体"/>
          <w:b w:val="0"/>
          <w:bCs w:val="0"/>
          <w:sz w:val="21"/>
          <w:szCs w:val="21"/>
          <w:highlight w:val="none"/>
          <w:lang w:val="en-US" w:eastAsia="zh-CN"/>
        </w:rPr>
        <w:t xml:space="preserve">硅胶玩具套装</w:t>
      </w:r>
      <w:r/>
    </w:p>
    <w:p>
      <w:pPr>
        <w:numPr>
          <w:ilvl w:val="0"/>
          <w:numId w:val="0"/>
        </w:numPr>
        <w:spacing w:line="360" w:lineRule="auto"/>
        <w:rPr>
          <w:rFonts w:hint="eastAsia" w:ascii="宋体" w:hAnsi="宋体" w:eastAsia="宋体" w:cs="宋体"/>
          <w:i w:val="0"/>
          <w:iCs w:val="0"/>
          <w:color w:val="000000"/>
          <w:sz w:val="21"/>
          <w:szCs w:val="21"/>
          <w:u w:val="none"/>
          <w:lang w:val="en-US" w:eastAsia="zh-CN" w:bidi="ar"/>
        </w:rPr>
        <w:outlineLvl w:val="9"/>
      </w:pPr>
      <w:r>
        <w:rPr>
          <w:rFonts w:hint="eastAsia" w:ascii="宋体" w:hAnsi="宋体" w:eastAsia="宋体" w:cs="宋体"/>
          <w:i w:val="0"/>
          <w:iCs w:val="0"/>
          <w:color w:val="000000"/>
          <w:sz w:val="21"/>
          <w:szCs w:val="21"/>
          <w:u w:val="none"/>
          <w:lang w:val="en-US" w:eastAsia="zh-CN" w:bidi="ar"/>
        </w:rPr>
        <w:t xml:space="preserve">一、适用于0-3岁婴幼儿，可锻炼其手部力量、精细动作，认知发展（包括颜色、形状、大小、数字），提升专注力与动手能力。</w:t>
      </w:r>
      <w:r/>
    </w:p>
    <w:p>
      <w:pPr>
        <w:numPr>
          <w:ilvl w:val="0"/>
          <w:numId w:val="0"/>
        </w:numPr>
        <w:spacing w:line="360" w:lineRule="auto"/>
        <w:rPr>
          <w:rFonts w:hint="eastAsia" w:ascii="宋体" w:hAnsi="宋体" w:eastAsia="宋体" w:cs="宋体"/>
          <w:i w:val="0"/>
          <w:iCs w:val="0"/>
          <w:color w:val="000000"/>
          <w:sz w:val="21"/>
          <w:szCs w:val="21"/>
          <w:u w:val="none"/>
          <w:lang w:val="en-US" w:eastAsia="zh-CN" w:bidi="ar"/>
        </w:rPr>
        <w:outlineLvl w:val="9"/>
      </w:pPr>
      <w:r>
        <w:rPr>
          <w:rFonts w:hint="eastAsia" w:ascii="宋体" w:hAnsi="宋体" w:eastAsia="宋体" w:cs="宋体"/>
          <w:i w:val="0"/>
          <w:iCs w:val="0"/>
          <w:color w:val="000000"/>
          <w:sz w:val="21"/>
          <w:szCs w:val="21"/>
          <w:u w:val="none"/>
          <w:lang w:val="en-US" w:eastAsia="zh-CN" w:bidi="ar"/>
        </w:rPr>
        <w:t xml:space="preserve">▲二、产品均采用食品级硅胶材质，满足GB4806.11-2016食品安全国家标准与GB 6675-2014《玩具安全》国家标准。（提供投标人或投标品牌制造商送检的第三方机构出具的检测报告）</w:t>
      </w:r>
      <w:r/>
    </w:p>
    <w:tbl>
      <w:tblPr>
        <w:tblStyle w:val="692"/>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51"/>
        <w:gridCol w:w="1084"/>
        <w:gridCol w:w="4631"/>
        <w:gridCol w:w="490"/>
        <w:gridCol w:w="490"/>
        <w:gridCol w:w="846"/>
        <w:gridCol w:w="490"/>
        <w:gridCol w:w="974"/>
      </w:tblGrid>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w:t>
            </w:r>
            <w:r>
              <w:rPr>
                <w:rFonts w:hint="eastAsia" w:ascii="宋体" w:hAnsi="宋体" w:cs="宋体"/>
                <w:i w:val="0"/>
                <w:iCs w:val="0"/>
                <w:color w:val="000000"/>
                <w:sz w:val="21"/>
                <w:szCs w:val="21"/>
                <w:u w:val="none"/>
                <w:lang w:val="en-US" w:eastAsia="zh-CN" w:bidi="ar"/>
              </w:rPr>
              <w:t xml:space="preserve">（以下为每套要求）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总价（元）</w:t>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三、每件产品包含：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小车玩具：食品级硅胶材质，可跑动的小车/飞机/摩托车，轮毂可转，1辆，11*6*6±2cm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可拆装坦克玩具：食品级硅胶材质，可跑动，可拆装的小坦克，轮毂可转，1辆，11*8*7±1cm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可拆装火车玩具：食品级硅胶材质，可跑动，可拆装的小火车，轮毂可转，1辆，35*7*7±1cm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动物小火车玩具：食品级硅胶材质+实木榉木，可拆装的小火车，轮毂可转，1辆，37*4*11±1cm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84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人和小汽车玩具：食品级硅胶材质，小车造型，人车可分离小车玩具，可啃咬，车轮不转，1辆，11*6*9±1cm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84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万圣节牙胶小车玩具：食品级硅胶材质，可以作为牙胶的小车玩具，可啃咬，车轮可转，三个小车一组，1组，7*7*2±1cm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84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中式茶壶套装：食品级硅胶材质，中式紫砂茶壶设计款式，可接触食物，可入口，赠送托盘，1组，200ML</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84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小熊茶壶套装：食品级硅胶材质，动物主题茶壶玩具，可接触食物，可入口，赠送托盘，1组，100ML</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84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大白茶壶套装：食品级硅胶材质，大容量茶壶套装玩具，可接触食物，可入口，赠送托盘，1组，300ML</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感官板玩具：食品级硅胶材质，含一个底板（两面），12根硅胶条，1组，18*18±1cm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84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立体感官板玩具：食品级硅胶材质+PP塑料，含一个球形底座（可拆分），12根硅胶条，1组，Φ11cm±1cm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小动物叠叠乐玩具：食品级硅胶材质，含7个叠叠杯，7个小动物头像，1组，7*7*7±1cm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五角星彩虹塔杯玩具：食品级硅胶材质，含5个叠叠五角星，1组，10*10*6±1cm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小熊套娃玩具：食品级硅胶材质，含4个小熊，1组，Φ7*12±1cm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几何叠叠乐玩具：食品级硅胶材质，造型分为6个彩虹色几何形状模块，1组，Φ8*H9±1cm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84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海洋动物套杯玩具：食品级硅胶材质，含4个方块，每个面都有一个海洋动物立体图案，1组，9*9*9±1cm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城堡叠叠乐玩具：食品级硅胶材质，含7个模块，1组，Φ8*8±1cm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大力士叠叠乐玩具：食品级硅胶材质，含6个大力士小人，1组，9*7±1cm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键盘按按乐玩具：食品级硅胶材质，键盘设计，含键盘常规按键，1只，26*10±1cm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工程小车玩具：食品级硅胶材质，可以跑动，4辆款式可以选，1只，8*5*6±1cm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84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飞碟抽抽乐玩具：食品级硅胶材质，每组包含5跟抽拉条，拉条上有凹凸纹路，增加抽拉阻力，1只，Φ12*8±1cm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小熊飞碟抽抽乐玩具：食品级硅胶材质，每组带有3跟抽拉条和3个泡泡按键，1只，10*8±1cm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螃蟹抽抽乐玩具：食品级硅胶材质，每组带有7跟抽拉条，1只，13*4±1cm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飞船抽抽乐玩具：食品级硅胶材质，飞船造型，带泡泡按键，1组，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84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绕绕乐玩具：食品级硅胶材质+实木榉木，每组2个条形底座，带吸盘，包含2个榉木环和2个硅胶牙胶环，1组，28*16±1cm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房子积木玩具：食品级硅胶材质，一组含7个模块，自由组合，1组，7*4±1cm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彩虹积木玩具：食品级硅胶材质，一组含10个拱形模块，自由组合，1组，19*10±1cm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84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三角几何玩具：食品级硅胶材质，一组含5个立体几何模块，自由组合，2色可选，1组，13*13±1cm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厨房过家家玩具：食品级硅胶材质，一组含14个模块，1组，23*15*6±1cm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医生套装玩具：食品级硅胶材质+全面帆布包，一组含10个模块，1组，异型尺寸不定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数字拼图穿线玩具：食品级硅胶材质，每组含0-10数字模块，底板和穿线，1组，20*20±1cm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水果穿线玩具：食品级硅胶材质+尼龙穿线，每组含一个水果，一个穿线，1组，异型尺寸不定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太空拼图玩具：食品级硅胶材质，每组含7个不同的太空主题形状，1组，22*17±1cm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方块拼图玩具：食品级硅胶材质，每组含16片模块，1组，4.5*4.5±1cm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房屋拼图玩具：食品级硅胶材质，每组含6个不同的形状加底板，1组，17*11±1cm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房屋拼图玩具：食品级硅胶材质，每组含7个不同的几何形状加底板，1组，12*12±1cm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84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动物拼图玩具：食品级硅胶材质，兔子或大象或恐龙三选一，每个动物由4-5个模块组成，1个，16*14±3cm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84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抽拉条玩具杯：食品级硅胶材质，包含一个硅胶杯和杯盖，16根不同形状和颜色的硅胶条，1组，Φ7*10±1cm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套圈玩具：食品级硅胶材质，包含一个防滑底座和5个圈组成，1组，Φ14±1cm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钓鱼玩具：食品级硅胶材质，包含1个折弯鱼竿，四个海洋动物，1组，异型尺寸不定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手机牙胶按按玩具：食品级硅胶材质，可啃咬，按键是泡泡按键，1只，7*9±1cm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rPr>
          <w:rFonts w:hint="eastAsia" w:ascii="宋体" w:hAnsi="宋体" w:eastAsia="宋体" w:cs="宋体"/>
          <w:b/>
          <w:bCs/>
          <w:color w:val="auto"/>
          <w:sz w:val="21"/>
          <w:szCs w:val="21"/>
          <w:highlight w:val="none"/>
          <w:shd w:val="clear" w:color="auto" w:fill="ffffff"/>
          <w:lang w:val="en-US" w:eastAsia="zh-CN"/>
        </w:rPr>
        <w:outlineLvl w:val="9"/>
      </w:pPr>
      <w:r>
        <w:rPr>
          <w:rFonts w:hint="eastAsia" w:ascii="宋体" w:hAnsi="宋体" w:eastAsia="宋体" w:cs="宋体"/>
          <w:b/>
          <w:bCs/>
          <w:color w:val="auto"/>
          <w:sz w:val="21"/>
          <w:szCs w:val="21"/>
          <w:highlight w:val="none"/>
          <w:shd w:val="clear" w:color="auto" w:fill="ffffff"/>
          <w:lang w:val="en-US" w:eastAsia="zh-CN"/>
        </w:rPr>
        <w:br w:type="page" w:clear="all"/>
      </w:r>
      <w:r/>
    </w:p>
    <w:p>
      <w:pPr>
        <w:rPr>
          <w:rFonts w:hint="eastAsia" w:ascii="宋体" w:hAnsi="宋体" w:eastAsia="宋体" w:cs="宋体"/>
          <w:b w:val="0"/>
          <w:bCs w:val="0"/>
          <w:sz w:val="21"/>
          <w:szCs w:val="21"/>
          <w:highlight w:val="none"/>
          <w:lang w:val="en-US" w:eastAsia="zh-CN"/>
        </w:rPr>
        <w:outlineLvl w:val="2"/>
      </w:pPr>
      <w:r>
        <w:rPr>
          <w:rFonts w:hint="eastAsia" w:ascii="宋体" w:hAnsi="宋体" w:eastAsia="宋体" w:cs="宋体"/>
          <w:b w:val="0"/>
          <w:bCs w:val="0"/>
          <w:sz w:val="21"/>
          <w:szCs w:val="21"/>
          <w:highlight w:val="none"/>
          <w:lang w:val="en-US" w:eastAsia="zh-CN"/>
        </w:rPr>
        <w:t xml:space="preserve">（九）多元音乐课程</w:t>
      </w:r>
      <w:r/>
    </w:p>
    <w:tbl>
      <w:tblPr>
        <w:tblStyle w:val="692"/>
        <w:tblW w:w="0" w:type="auto"/>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32"/>
        <w:gridCol w:w="3571"/>
        <w:gridCol w:w="2124"/>
        <w:gridCol w:w="458"/>
        <w:gridCol w:w="458"/>
        <w:gridCol w:w="846"/>
        <w:gridCol w:w="458"/>
        <w:gridCol w:w="911"/>
      </w:tblGrid>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w:t>
            </w:r>
            <w:r>
              <w:rPr>
                <w:rFonts w:hint="eastAsia" w:ascii="宋体" w:hAnsi="宋体" w:cs="宋体"/>
                <w:i w:val="0"/>
                <w:iCs w:val="0"/>
                <w:color w:val="000000"/>
                <w:sz w:val="21"/>
                <w:szCs w:val="21"/>
                <w:u w:val="none"/>
                <w:lang w:val="en-US" w:eastAsia="zh-CN" w:bidi="ar"/>
              </w:rPr>
              <w:t xml:space="preserve">（以下为每套要求）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总价（元）</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一、婴幼儿多元音乐课1套，涉猎全球24种音乐风格，运用丰富的乐器音色带给不同的音乐体验，通过视听唱奏舞等方式感受音乐节奏盒旋律，从吸收到表达的递进方式，激发婴幼儿音乐潜能。二、配套乐器：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小号沙锤115对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单摇铃115对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环形手摇铃115件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带柄碰钟(小)115对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海浪鼓8寸115个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单响筒加勾115件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雨声2节115个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六柱响铃115个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纱巾大号115个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星星灯13个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投影手电筒13个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圆形教学毯12个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打棒（小）115对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6寸铃鼓圈115个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木制砂蛋115对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三角铁115套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光面单响筒115套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小号双响筒115套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5铃皮手铃115对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腕铃115对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3棒铃115对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塑料摇铃115个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小木鱼115套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枣木舞板115对、115个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儿童腰鼓25个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木沙铃25对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塑料小沙锤115对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塑料砂蛋115对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小战鼓25个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8寸海洋鼓115个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小号多音响筒115个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八音铝板琴25套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红木音砖1套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小卡巴萨25个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邦戈鼓A25套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彩色小鱼棒子25套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长纱巾（红黄蓝绿）25条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卡宏鼓1个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remo非洲鼓彩绘1套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remo大地鼓22寸1套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奶牛手偶1个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卡通森林躲猫猫1套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小猪佩奇一家四只手偶1套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幸福一家手偶1套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兔子手偶1个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大象手偶1个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狗手偶1个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青蛙手偶1个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justbecause动物手偶1套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公鸡手偶1个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母鸡手偶1个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鸡宝宝1个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乌龟手偶1个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动物手指偶1套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猴子手偶1个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蜘蛛手偶1个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长颈鹿手偶1个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毛毛虫手偶1个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鸭子手偶1个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鸭宝宝指偶1个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猫手偶1个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猪手偶1个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金鱼手偶1个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绒布火车1个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熊手偶1个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老鼠手偶1个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毛绒啄木鸟1个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毛绒红色鸟1个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毛绒乌鸦1个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猫头鹰手偶1个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鹦鹉手偶1个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布谷鸟1个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鳄鱼手偶1个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老虎手偶1个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狮子手偶1个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母狮子1个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狮子宝宝1个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士兵1个、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马手偶1个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马指偶1个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猫指偶5个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绒布黑猫警长1个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加菲猫1个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绵羊手偶1个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蚊子玩偶1个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蝴蝶手偶1个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鲨鱼手偶1个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蜜蜂手偶1个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蜜蜂指偶（10只）1套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汽车玩偶1个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狼手偶1个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狐狸手偶1个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企鹅手偶1个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小金鱼玩偶1个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鹅玩偶1个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袋鼠妈妈和宝宝1套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蚂蚁指偶（5只）1套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小蝌蚪找妈妈手指偶（5只）1套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手偶展示架1套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仿真花束4束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乐器收纳盒216个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手偶收纳箱1个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手偶剧场架（材质：木质，尺寸：75*45*110CM）1个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吹泡器10套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泡泡液50瓶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rPr>
          <w:rFonts w:hint="eastAsia" w:ascii="宋体" w:hAnsi="宋体" w:eastAsia="宋体" w:cs="宋体"/>
          <w:b/>
          <w:bCs/>
          <w:color w:val="auto"/>
          <w:sz w:val="21"/>
          <w:szCs w:val="21"/>
          <w:highlight w:val="none"/>
          <w:shd w:val="clear" w:color="auto" w:fill="ffffff"/>
          <w:lang w:val="en-US" w:eastAsia="zh-CN"/>
        </w:rPr>
        <w:outlineLvl w:val="9"/>
      </w:pPr>
      <w:r>
        <w:rPr>
          <w:rFonts w:hint="eastAsia" w:ascii="宋体" w:hAnsi="宋体" w:eastAsia="宋体" w:cs="宋体"/>
          <w:b/>
          <w:bCs/>
          <w:color w:val="auto"/>
          <w:sz w:val="21"/>
          <w:szCs w:val="21"/>
          <w:highlight w:val="none"/>
          <w:shd w:val="clear" w:color="auto" w:fill="ffffff"/>
          <w:lang w:val="en-US" w:eastAsia="zh-CN"/>
        </w:rPr>
        <w:br w:type="page" w:clear="all"/>
      </w:r>
      <w:r/>
    </w:p>
    <w:p>
      <w:pPr>
        <w:rPr>
          <w:rFonts w:hint="eastAsia" w:ascii="宋体" w:hAnsi="宋体" w:eastAsia="宋体" w:cs="宋体"/>
          <w:b w:val="0"/>
          <w:bCs w:val="0"/>
          <w:sz w:val="21"/>
          <w:szCs w:val="21"/>
          <w:highlight w:val="none"/>
          <w:lang w:val="en-US" w:eastAsia="zh-CN"/>
        </w:rPr>
        <w:outlineLvl w:val="2"/>
      </w:pPr>
      <w:r>
        <w:rPr>
          <w:rFonts w:hint="eastAsia" w:ascii="宋体" w:hAnsi="宋体" w:eastAsia="宋体" w:cs="宋体"/>
          <w:b w:val="0"/>
          <w:bCs w:val="0"/>
          <w:sz w:val="21"/>
          <w:szCs w:val="21"/>
          <w:highlight w:val="none"/>
          <w:lang w:val="en-US" w:eastAsia="zh-CN"/>
        </w:rPr>
        <w:t xml:space="preserve">（十）养育照护小组</w:t>
      </w:r>
      <w:r/>
    </w:p>
    <w:tbl>
      <w:tblPr>
        <w:tblStyle w:val="692"/>
        <w:tblW w:w="0" w:type="auto"/>
        <w:tblInd w:w="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47"/>
        <w:gridCol w:w="2138"/>
        <w:gridCol w:w="3702"/>
        <w:gridCol w:w="446"/>
        <w:gridCol w:w="446"/>
        <w:gridCol w:w="846"/>
        <w:gridCol w:w="446"/>
        <w:gridCol w:w="887"/>
      </w:tblGrid>
      <w:tr>
        <w:trPr>
          <w:trHeight w:val="560"/>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类别</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w:t>
            </w:r>
            <w:r>
              <w:rPr>
                <w:rFonts w:hint="eastAsia" w:ascii="宋体" w:hAnsi="宋体" w:cs="宋体"/>
                <w:i w:val="0"/>
                <w:iCs w:val="0"/>
                <w:color w:val="000000"/>
                <w:sz w:val="21"/>
                <w:szCs w:val="21"/>
                <w:u w:val="none"/>
                <w:lang w:val="en-US" w:eastAsia="zh-CN" w:bidi="ar"/>
              </w:rPr>
              <w:t xml:space="preserve">（以下为每套要求）</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品牌</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型号</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（元）</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总价（元）</w:t>
            </w:r>
            <w:r/>
          </w:p>
        </w:tc>
      </w:tr>
      <w:tr>
        <w:trPr>
          <w:trHeight w:val="300"/>
        </w:trPr>
        <w:tc>
          <w:tcPr>
            <w:shd w:val="clear" w:color="auto" w:fill="auto"/>
            <w:tcW w:w="446"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一、婴幼儿养育照护小组课程，涵盖0-36月龄阶段，以家庭养育活动指导为主，帮助家长掌握科学育儿知识；二、配套课程教具，可同时开展六组家庭养育照护小组活动。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三、配置产品：</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玩具娃娃（材质：棉、搪胶、52cm 黄色） 2套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446"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手偶（材质：棉、10*10cm 14款）2套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446"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浴巾（材质：棉、尺寸：70*90cm ）6套、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shd w:val="clear" w:color="auto" w:fill="auto"/>
            <w:tcW w:w="446"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摇铃（材质：塑料、铁、木制、皮、尺寸：长小于13cm） 12套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shd w:val="clear" w:color="auto" w:fill="auto"/>
            <w:tcW w:w="446"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镜子 （材质：塑料、玻璃、尺寸：(20*16cm) 6套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446"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大龙球（材质：塑胶、尺寸： 55cm）  6套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shd w:val="clear" w:color="auto" w:fill="auto"/>
            <w:tcW w:w="446"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积木（材质：木制、8色中号实木款72粒、尺寸：大小3cm） 2套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shd w:val="clear" w:color="auto" w:fill="auto"/>
            <w:tcW w:w="446"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小毛巾（材质：棉、尺寸：30*30cm、10条装） 1套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446"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纱巾（材质：纱、尺寸：6色60*60cm） 6套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shd w:val="clear" w:color="auto" w:fill="auto"/>
            <w:tcW w:w="446"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 厘米左右的色彩鲜艳的丝带（材质：丝绸、尺寸：16mm、6个/份 红黄蓝各1 长20cm） 6套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40"/>
        </w:trPr>
        <w:tc>
          <w:tcPr>
            <w:shd w:val="clear" w:color="auto" w:fill="auto"/>
            <w:tcW w:w="446"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万象组合（材质：尺寸：1份含提供环2个，提供棒4根，全砖4件， 棒夹4对，平衡板2件、材质：塑料）1套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shd w:val="clear" w:color="auto" w:fill="auto"/>
            <w:tcW w:w="446"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一次性盘子（材质：纸、尺寸：8寸、含100个) 1套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446"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辅食碗（材质：塑胶、尺寸：260ml）、6套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446"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勺子（材质：木制、尺寸：纸膜独立100） 1套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shd w:val="clear" w:color="auto" w:fill="auto"/>
            <w:tcW w:w="446"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吸管（材质：塑料、尺寸：直径6cm 、彩色可弯曲非独立、100根/） 1套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446"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发声玩具（材质：塑胶、尺寸：5个装）2套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shd w:val="clear" w:color="auto" w:fill="auto"/>
            <w:tcW w:w="446"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发圈（材质：布、皮筋、尺寸：大小直径6cm以上）、1套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shd w:val="clear" w:color="auto" w:fill="auto"/>
            <w:tcW w:w="446"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双面胶（材质：棉、胶、尺寸：1份10娟宽18mm） 6套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shd w:val="clear" w:color="auto" w:fill="auto"/>
            <w:tcW w:w="446"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彩虹隧道（材质：钢丝、布、尺寸：1.2m无赠品） 1套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446"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海洋球（材质：塑料、尺寸：50个） 1套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446"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小篮子(26.5*17.2*7.3cm) 6套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shd w:val="clear" w:color="auto" w:fill="auto"/>
            <w:tcW w:w="446"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大球（材质：塑胶、尺寸：15-20cm）1份(10个 配打气筒) 1套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446"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小球 （材质：塑胶、尺寸：10cm）(10个 ) 1套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446"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软质接力棒（材质：海绵、尺寸：45cm）6套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446"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杯子（材质：纸质、尺寸：5种型号混装） 6套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446"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颜料（尺寸：1L、1份红蓝黄3各一个） 1套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shd w:val="clear" w:color="auto" w:fill="auto"/>
            <w:tcW w:w="446"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磁性切切乐（材质：木制、磁铁、尺寸： 16件套）6套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shd w:val="clear" w:color="auto" w:fill="auto"/>
            <w:tcW w:w="446"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泡泡机（材质：塑料、铁、尺寸：45*60+瓶补充液） 1套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446"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胶带（材质：胶、尺寸：4.5*30）6套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shd w:val="clear" w:color="auto" w:fill="auto"/>
            <w:tcW w:w="446"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衣服夹子（材质：木制、尺寸：30个长3.5cm）、1套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446"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狗（材质：棉、布、尺寸：咖啡色 大+小） 3套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shd w:val="clear" w:color="auto" w:fill="auto"/>
            <w:tcW w:w="446"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沙包（材质：布、豆子、尺寸：8cm 10只） (扁平式的沙包)1套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446"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棉签（材质：棉、木制、尺寸：500支）1套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446"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纸巾1提（材质：纸、尺寸：含4包）1套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shd w:val="clear" w:color="auto" w:fill="auto"/>
            <w:tcW w:w="446"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大积木（材质：木制、尺寸：大号5cm升级压纹厚6cm 48粒装-55*25*19cm) 1套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shd w:val="clear" w:color="auto" w:fill="auto"/>
            <w:tcW w:w="446"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海洋球箱子(材质：钢、网纱、尺寸：58*36*36cm)6套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shd w:val="clear" w:color="auto" w:fill="auto"/>
            <w:tcW w:w="446"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钓鱼（材质：木制、磁铁、尺寸：升级款圆盒）6套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446"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毛线团（材质：棉、尺寸：8*5cm）6套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446"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24色蜡笔（材质：食品级蜡、尺寸：24色） 2套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shd w:val="clear" w:color="auto" w:fill="auto"/>
            <w:tcW w:w="446"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弹珠1袋（材质：玻璃、尺寸：3cm左右-5颗、1袋20个） 1套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shd w:val="clear" w:color="auto" w:fill="auto"/>
            <w:tcW w:w="446"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圆形积木（材质：木制尺寸：直径4.8/3/2.5cm各10个）3套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shd w:val="clear" w:color="auto" w:fill="auto"/>
            <w:tcW w:w="446"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圆形珠子（材质：塑料、绳子尺寸：大小3cm）6套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shd w:val="clear" w:color="auto" w:fill="auto"/>
            <w:tcW w:w="446"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大小不同的鼓两种型号各1个（材质：木制、皮、尺寸：4寸-10cm  8寸-20cm）6套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shd w:val="clear" w:color="auto" w:fill="auto"/>
            <w:tcW w:w="446"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各种颜色的球（材质：塑胶、尺寸：8cm、10色）100粒/份 各色101套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shd w:val="clear" w:color="auto" w:fill="auto"/>
            <w:tcW w:w="446"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小汽车（材质：塑料、尺寸：手提8.3cm*3.6cm*2.7cm、6只装）1套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446"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呼啦圈儿童（材质：pu、尺寸：3节-50cm）6套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shd w:val="clear" w:color="auto" w:fill="auto"/>
            <w:tcW w:w="446"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黄色小猫汽车贴（材质：纸、胶、尺寸：20cm） 6套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446"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海绵（材质：橡胶、尺寸：小号5cm） 2套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446"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黏土（材质：纸、胶、尺寸：12色500g) 1套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shd w:val="clear" w:color="auto" w:fill="auto"/>
            <w:tcW w:w="446"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声光电红绿灯（材质：塑料、铁、尺寸：69cm 可调节） 1套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446"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毛巾（材质：棉、尺寸：40*90cm） 6套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shd w:val="clear" w:color="auto" w:fill="auto"/>
            <w:tcW w:w="446"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绒球（材质：棉、尺寸：3cm+/1cm+各2)每袋100个 ）1套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446"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直线 贴线（材质：胶、尺寸：4.7cm红色） 1套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shd w:val="clear" w:color="auto" w:fill="auto"/>
            <w:tcW w:w="446"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动物贴纸（材质：纸、胶、尺寸：单张长度10-20cm 共50贴） 1套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446"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卡片（材质：纸、尺寸：21*15cm） 1套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446"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弹力球（材质：塑胶、尺寸：8cm） 2套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shd w:val="clear" w:color="auto" w:fill="auto"/>
            <w:tcW w:w="446"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雪糕棒（材质：木制、尺寸：114*10*2mm）、1套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shd w:val="clear" w:color="auto" w:fill="auto"/>
            <w:tcW w:w="446"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圆形、正方形、三角形、长方形图像嵌板（材质：木制、尺寸：210*180mm）6套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446"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投篮架（材质：塑料、尺寸：1.1米）1套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446"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袋鼠跳（材质：帆布、尺寸：50*50cm） 6套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shd w:val="clear" w:color="auto" w:fill="auto"/>
            <w:tcW w:w="446"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彩色纸（材质：纸、尺寸：10色A4/12.5*12.5/14.5*14.5cm）1套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446"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剪刀（材质：塑料、铁、尺寸：5*10cm） 10套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shd w:val="clear" w:color="auto" w:fill="auto"/>
            <w:tcW w:w="446"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胶棒（材质：PVP材质尺寸：15g-5支装、含6支）1套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rPr>
          <w:rFonts w:hint="eastAsia" w:ascii="宋体" w:hAnsi="宋体" w:eastAsia="宋体" w:cs="宋体"/>
          <w:b w:val="0"/>
          <w:bCs w:val="0"/>
          <w:sz w:val="21"/>
          <w:szCs w:val="21"/>
          <w:highlight w:val="none"/>
          <w:lang w:val="en-US" w:eastAsia="zh-CN"/>
        </w:rPr>
        <w:outlineLvl w:val="9"/>
      </w:pPr>
      <w:r>
        <w:rPr>
          <w:rFonts w:hint="eastAsia" w:ascii="宋体" w:hAnsi="宋体" w:eastAsia="宋体" w:cs="宋体"/>
          <w:b w:val="0"/>
          <w:bCs w:val="0"/>
          <w:sz w:val="21"/>
          <w:szCs w:val="21"/>
          <w:highlight w:val="none"/>
          <w:lang w:val="en-US" w:eastAsia="zh-CN"/>
        </w:rPr>
        <w:br w:type="page" w:clear="all"/>
      </w:r>
      <w:r/>
    </w:p>
    <w:p>
      <w:pPr>
        <w:rPr>
          <w:rFonts w:hint="eastAsia" w:ascii="宋体" w:hAnsi="宋体" w:eastAsia="宋体" w:cs="宋体"/>
          <w:b w:val="0"/>
          <w:bCs w:val="0"/>
          <w:sz w:val="21"/>
          <w:szCs w:val="21"/>
          <w:highlight w:val="none"/>
          <w:lang w:val="en-US" w:eastAsia="zh-CN"/>
        </w:rPr>
        <w:outlineLvl w:val="2"/>
      </w:pPr>
      <w:r>
        <w:rPr>
          <w:rFonts w:hint="eastAsia" w:ascii="宋体" w:hAnsi="宋体" w:eastAsia="宋体" w:cs="宋体"/>
          <w:b w:val="0"/>
          <w:bCs w:val="0"/>
          <w:sz w:val="21"/>
          <w:szCs w:val="21"/>
          <w:highlight w:val="none"/>
          <w:lang w:val="en-US" w:eastAsia="zh-CN"/>
        </w:rPr>
        <w:t xml:space="preserve">（十一）户外亲子活动</w:t>
      </w:r>
      <w:r/>
    </w:p>
    <w:tbl>
      <w:tblPr>
        <w:tblStyle w:val="692"/>
        <w:tblW w:w="0" w:type="auto"/>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98"/>
        <w:gridCol w:w="1071"/>
        <w:gridCol w:w="4314"/>
        <w:gridCol w:w="498"/>
        <w:gridCol w:w="498"/>
        <w:gridCol w:w="721"/>
        <w:gridCol w:w="644"/>
        <w:gridCol w:w="989"/>
      </w:tblGrid>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43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w:t>
            </w:r>
            <w:r>
              <w:rPr>
                <w:rFonts w:hint="eastAsia" w:ascii="宋体" w:hAnsi="宋体" w:cs="宋体"/>
                <w:i w:val="0"/>
                <w:iCs w:val="0"/>
                <w:color w:val="000000"/>
                <w:sz w:val="21"/>
                <w:szCs w:val="21"/>
                <w:u w:val="none"/>
                <w:lang w:val="en-US" w:eastAsia="zh-CN" w:bidi="ar"/>
              </w:rPr>
              <w:t xml:space="preserve">（以下为每套要求）</w:t>
            </w:r>
            <w:r/>
          </w:p>
        </w:tc>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总价（元）</w:t>
            </w:r>
            <w:r/>
          </w:p>
        </w:tc>
      </w:tr>
      <w:tr>
        <w:trPr>
          <w:trHeight w:val="1710"/>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露营套装</w:t>
            </w:r>
            <w:r/>
          </w:p>
        </w:tc>
        <w:tc>
          <w:tcPr>
            <w:shd w:val="clear" w:color="auto" w:fill="auto"/>
            <w:tcBorders>
              <w:top w:val="single" w:color="000000" w:sz="4" w:space="0"/>
              <w:left w:val="single" w:color="000000" w:sz="4" w:space="0"/>
              <w:bottom w:val="single" w:color="000000" w:sz="4" w:space="0"/>
              <w:right w:val="single" w:color="000000" w:sz="4" w:space="0"/>
            </w:tcBorders>
            <w:tcW w:w="431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1、材质：铝合金、纤维布</w:t>
            </w:r>
            <w:r/>
          </w:p>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2、尺寸：桌子150cm*70cm（±5%）、椅子62*52*43cm（±5%）、推车106*50*89cm（±5%）</w:t>
            </w:r>
            <w:r/>
          </w:p>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3、每套包含：露营桌1张、椅子6把、推车1辆；</w:t>
            </w:r>
            <w:r/>
          </w:p>
        </w:tc>
        <w:tc>
          <w:tcPr>
            <w:shd w:val="clear" w:color="auto" w:fill="auto"/>
            <w:tcBorders>
              <w:top w:val="single" w:color="000000" w:sz="4" w:space="0"/>
              <w:left w:val="single" w:color="000000" w:sz="4" w:space="0"/>
              <w:right w:val="single" w:color="000000" w:sz="4" w:space="0"/>
            </w:tcBorders>
            <w:tcW w:w="498"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right w:val="single" w:color="000000" w:sz="4" w:space="0"/>
            </w:tcBorders>
            <w:tcW w:w="498"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right w:val="single" w:color="000000" w:sz="4" w:space="0"/>
            </w:tcBorders>
            <w:tcW w:w="644" w:type="dxa"/>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cs="宋体"/>
                <w:i w:val="0"/>
                <w:iCs w:val="0"/>
                <w:color w:val="000000"/>
                <w:sz w:val="21"/>
                <w:szCs w:val="21"/>
                <w:u w:val="none"/>
                <w:lang w:val="en-US" w:eastAsia="zh-CN" w:bidi="ar"/>
              </w:rPr>
              <w:t xml:space="preserve">4套</w:t>
            </w:r>
            <w:r/>
          </w:p>
        </w:tc>
        <w:tc>
          <w:tcPr>
            <w:shd w:val="clear" w:color="auto" w:fill="auto"/>
            <w:tcBorders>
              <w:top w:val="single" w:color="000000" w:sz="4" w:space="0"/>
              <w:left w:val="single" w:color="000000" w:sz="4" w:space="0"/>
              <w:bottom w:val="single" w:color="000000" w:sz="4" w:space="0"/>
              <w:right w:val="single" w:color="000000" w:sz="4" w:space="0"/>
            </w:tcBorders>
            <w:tcW w:w="989"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户外宝宝餐椅</w:t>
            </w:r>
            <w:r/>
          </w:p>
        </w:tc>
        <w:tc>
          <w:tcPr>
            <w:shd w:val="clear" w:color="auto" w:fill="auto"/>
            <w:tcBorders>
              <w:top w:val="single" w:color="000000" w:sz="4" w:space="0"/>
              <w:left w:val="single" w:color="000000" w:sz="4" w:space="0"/>
              <w:bottom w:val="single" w:color="000000" w:sz="4" w:space="0"/>
              <w:right w:val="single" w:color="000000" w:sz="4" w:space="0"/>
            </w:tcBorders>
            <w:tcW w:w="431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1、材质：合金支架+牛津布+PP托盘</w:t>
            </w:r>
            <w:r/>
          </w:p>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2、尺寸：32*32*44cm（±5%）</w:t>
            </w:r>
            <w:r/>
          </w:p>
        </w:tc>
        <w:tc>
          <w:tcPr>
            <w:shd w:val="clear" w:color="auto" w:fill="auto"/>
            <w:tcBorders>
              <w:top w:val="single" w:color="000000" w:sz="4" w:space="0"/>
              <w:left w:val="single" w:color="000000" w:sz="4" w:space="0"/>
              <w:right w:val="single" w:color="000000" w:sz="4" w:space="0"/>
            </w:tcBorders>
            <w:tcW w:w="498"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right w:val="single" w:color="000000" w:sz="4" w:space="0"/>
            </w:tcBorders>
            <w:tcW w:w="498"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right w:val="single" w:color="000000" w:sz="4" w:space="0"/>
            </w:tcBorders>
            <w:tcW w:w="644" w:type="dxa"/>
            <w:vAlign w:val="center"/>
            <w:vMerge w:val="restart"/>
            <w:textDirection w:val="lrTb"/>
            <w:noWrap w:val="false"/>
          </w:tcPr>
          <w:p>
            <w:pPr>
              <w:jc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 xml:space="preserve">25把</w:t>
            </w:r>
            <w:r/>
          </w:p>
        </w:tc>
        <w:tc>
          <w:tcPr>
            <w:shd w:val="clear" w:color="auto" w:fill="auto"/>
            <w:tcBorders>
              <w:top w:val="single" w:color="000000" w:sz="4" w:space="0"/>
              <w:left w:val="single" w:color="000000" w:sz="4" w:space="0"/>
              <w:bottom w:val="single" w:color="000000" w:sz="4" w:space="0"/>
              <w:right w:val="single" w:color="000000" w:sz="4" w:space="0"/>
            </w:tcBorders>
            <w:tcW w:w="989"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露营帐篷</w:t>
            </w:r>
            <w:r/>
          </w:p>
        </w:tc>
        <w:tc>
          <w:tcPr>
            <w:shd w:val="clear" w:color="auto" w:fill="auto"/>
            <w:tcBorders>
              <w:top w:val="single" w:color="000000" w:sz="4" w:space="0"/>
              <w:left w:val="single" w:color="000000" w:sz="4" w:space="0"/>
              <w:bottom w:val="single" w:color="000000" w:sz="4" w:space="0"/>
              <w:right w:val="single" w:color="000000" w:sz="4" w:space="0"/>
            </w:tcBorders>
            <w:tcW w:w="431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1、材质：金属、牛津布</w:t>
            </w:r>
            <w:r/>
          </w:p>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2、尺寸：395cm*270cm*183cm（±5%）</w:t>
            </w:r>
            <w:r/>
          </w:p>
        </w:tc>
        <w:tc>
          <w:tcPr>
            <w:shd w:val="clear" w:color="auto" w:fill="auto"/>
            <w:tcBorders>
              <w:top w:val="single" w:color="000000" w:sz="4" w:space="0"/>
              <w:left w:val="single" w:color="000000" w:sz="4" w:space="0"/>
              <w:right w:val="single" w:color="000000" w:sz="4" w:space="0"/>
            </w:tcBorders>
            <w:tcW w:w="498"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right w:val="single" w:color="000000" w:sz="4" w:space="0"/>
            </w:tcBorders>
            <w:tcW w:w="498"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right w:val="single" w:color="000000" w:sz="4" w:space="0"/>
            </w:tcBorders>
            <w:tcW w:w="644" w:type="dxa"/>
            <w:vAlign w:val="center"/>
            <w:vMerge w:val="restart"/>
            <w:textDirection w:val="lrTb"/>
            <w:noWrap w:val="false"/>
          </w:tcPr>
          <w:p>
            <w:pPr>
              <w:jc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 xml:space="preserve">2个</w:t>
            </w:r>
            <w:r/>
          </w:p>
        </w:tc>
        <w:tc>
          <w:tcPr>
            <w:shd w:val="clear" w:color="auto" w:fill="auto"/>
            <w:tcBorders>
              <w:top w:val="single" w:color="000000" w:sz="4" w:space="0"/>
              <w:left w:val="single" w:color="000000" w:sz="4" w:space="0"/>
              <w:bottom w:val="single" w:color="000000" w:sz="4" w:space="0"/>
              <w:right w:val="single" w:color="000000" w:sz="4" w:space="0"/>
            </w:tcBorders>
            <w:tcW w:w="989"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天幕</w:t>
            </w:r>
            <w:r/>
          </w:p>
        </w:tc>
        <w:tc>
          <w:tcPr>
            <w:shd w:val="clear" w:color="auto" w:fill="auto"/>
            <w:tcBorders>
              <w:top w:val="single" w:color="000000" w:sz="4" w:space="0"/>
              <w:left w:val="single" w:color="000000" w:sz="4" w:space="0"/>
              <w:bottom w:val="single" w:color="000000" w:sz="4" w:space="0"/>
              <w:right w:val="single" w:color="000000" w:sz="4" w:space="0"/>
            </w:tcBorders>
            <w:tcW w:w="431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1、材质：牛津布钛黑胶</w:t>
            </w:r>
            <w:r/>
          </w:p>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2、尺寸：300cm*300cm*220cm（±5%）</w:t>
            </w:r>
            <w:r/>
          </w:p>
        </w:tc>
        <w:tc>
          <w:tcPr>
            <w:shd w:val="clear" w:color="auto" w:fill="auto"/>
            <w:tcBorders>
              <w:top w:val="single" w:color="000000" w:sz="4" w:space="0"/>
              <w:left w:val="single" w:color="000000" w:sz="4" w:space="0"/>
              <w:right w:val="single" w:color="000000" w:sz="4" w:space="0"/>
            </w:tcBorders>
            <w:tcW w:w="498"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right w:val="single" w:color="000000" w:sz="4" w:space="0"/>
            </w:tcBorders>
            <w:tcW w:w="498"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right w:val="single" w:color="000000" w:sz="4" w:space="0"/>
            </w:tcBorders>
            <w:tcW w:w="644"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 xml:space="preserve">2个</w:t>
            </w:r>
            <w:r/>
          </w:p>
        </w:tc>
        <w:tc>
          <w:tcPr>
            <w:shd w:val="clear" w:color="auto" w:fill="auto"/>
            <w:tcBorders>
              <w:top w:val="single" w:color="000000" w:sz="4" w:space="0"/>
              <w:left w:val="single" w:color="000000" w:sz="4" w:space="0"/>
              <w:bottom w:val="single" w:color="000000" w:sz="4" w:space="0"/>
              <w:right w:val="single" w:color="000000" w:sz="4" w:space="0"/>
            </w:tcBorders>
            <w:tcW w:w="989"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野餐烧烤架</w:t>
            </w:r>
            <w:r/>
          </w:p>
        </w:tc>
        <w:tc>
          <w:tcPr>
            <w:shd w:val="clear" w:color="auto" w:fill="auto"/>
            <w:tcBorders>
              <w:top w:val="single" w:color="000000" w:sz="4" w:space="0"/>
              <w:left w:val="single" w:color="000000" w:sz="4" w:space="0"/>
              <w:bottom w:val="single" w:color="000000" w:sz="4" w:space="0"/>
              <w:right w:val="single" w:color="000000" w:sz="4" w:space="0"/>
            </w:tcBorders>
            <w:tcW w:w="431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1、材质：冷轧板、不锈钢</w:t>
            </w:r>
            <w:r/>
          </w:p>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2、尺寸：77*54*73cm（±5%）</w:t>
            </w:r>
            <w:r/>
          </w:p>
        </w:tc>
        <w:tc>
          <w:tcPr>
            <w:shd w:val="clear" w:color="auto" w:fill="auto"/>
            <w:tcBorders>
              <w:top w:val="single" w:color="000000" w:sz="4" w:space="0"/>
              <w:left w:val="single" w:color="000000" w:sz="4" w:space="0"/>
              <w:right w:val="single" w:color="000000" w:sz="4" w:space="0"/>
            </w:tcBorders>
            <w:tcW w:w="498"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right w:val="single" w:color="000000" w:sz="4" w:space="0"/>
            </w:tcBorders>
            <w:tcW w:w="498"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right w:val="single" w:color="000000" w:sz="4" w:space="0"/>
            </w:tcBorders>
            <w:tcW w:w="644"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 xml:space="preserve">2套</w:t>
            </w:r>
            <w:r/>
          </w:p>
        </w:tc>
        <w:tc>
          <w:tcPr>
            <w:shd w:val="clear" w:color="auto" w:fill="auto"/>
            <w:tcBorders>
              <w:top w:val="single" w:color="000000" w:sz="4" w:space="0"/>
              <w:left w:val="single" w:color="000000" w:sz="4" w:space="0"/>
              <w:bottom w:val="single" w:color="000000" w:sz="4" w:space="0"/>
              <w:right w:val="single" w:color="000000" w:sz="4" w:space="0"/>
            </w:tcBorders>
            <w:tcW w:w="989"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调味品分装八件套</w:t>
            </w:r>
            <w:r/>
          </w:p>
        </w:tc>
        <w:tc>
          <w:tcPr>
            <w:shd w:val="clear" w:color="auto" w:fill="auto"/>
            <w:tcBorders>
              <w:top w:val="single" w:color="000000" w:sz="4" w:space="0"/>
              <w:left w:val="single" w:color="000000" w:sz="4" w:space="0"/>
              <w:bottom w:val="single" w:color="auto" w:sz="4" w:space="0"/>
              <w:right w:val="single" w:color="000000" w:sz="4" w:space="0"/>
            </w:tcBorders>
            <w:tcW w:w="431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1、材质：PP</w:t>
            </w:r>
            <w:r/>
          </w:p>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2、尺寸：21.8*10*15cm（±5%）</w:t>
            </w:r>
            <w:r/>
          </w:p>
        </w:tc>
        <w:tc>
          <w:tcPr>
            <w:shd w:val="clear" w:color="auto" w:fill="auto"/>
            <w:tcBorders>
              <w:top w:val="single" w:color="000000" w:sz="4" w:space="0"/>
              <w:left w:val="single" w:color="000000" w:sz="4" w:space="0"/>
              <w:bottom w:val="single" w:color="auto" w:sz="4" w:space="0"/>
              <w:right w:val="single" w:color="000000" w:sz="4" w:space="0"/>
            </w:tcBorders>
            <w:tcW w:w="498"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auto" w:sz="4" w:space="0"/>
              <w:right w:val="single" w:color="000000" w:sz="4" w:space="0"/>
            </w:tcBorders>
            <w:tcW w:w="498"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auto" w:sz="4" w:space="0"/>
              <w:right w:val="single" w:color="000000" w:sz="4" w:space="0"/>
            </w:tcBorders>
            <w:tcW w:w="721"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auto" w:sz="4" w:space="0"/>
              <w:right w:val="single" w:color="000000" w:sz="4" w:space="0"/>
            </w:tcBorders>
            <w:tcW w:w="644"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 xml:space="preserve">2套</w:t>
            </w:r>
            <w:r/>
          </w:p>
        </w:tc>
        <w:tc>
          <w:tcPr>
            <w:shd w:val="clear" w:color="auto" w:fill="auto"/>
            <w:tcBorders>
              <w:top w:val="single" w:color="000000" w:sz="4" w:space="0"/>
              <w:left w:val="single" w:color="000000" w:sz="4" w:space="0"/>
              <w:bottom w:val="single" w:color="auto" w:sz="4" w:space="0"/>
              <w:right w:val="single" w:color="000000" w:sz="4" w:space="0"/>
            </w:tcBorders>
            <w:tcW w:w="989"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auto"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野餐垫</w:t>
            </w:r>
            <w:r/>
          </w:p>
        </w:tc>
        <w:tc>
          <w:tcPr>
            <w:shd w:val="clear" w:color="auto" w:fill="auto"/>
            <w:tcBorders>
              <w:top w:val="single" w:color="auto" w:sz="4" w:space="0"/>
              <w:left w:val="single" w:color="auto" w:sz="4" w:space="0"/>
              <w:bottom w:val="single" w:color="auto" w:sz="4" w:space="0"/>
              <w:right w:val="single" w:color="auto" w:sz="4" w:space="0"/>
            </w:tcBorders>
            <w:tcW w:w="431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1、材质：牛津布、环保棉、防水聚酯面料</w:t>
            </w:r>
            <w:r/>
          </w:p>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2、尺寸210cm*240cm（±5%）</w:t>
            </w:r>
            <w:r/>
          </w:p>
        </w:tc>
        <w:tc>
          <w:tcPr>
            <w:shd w:val="clear" w:color="auto" w:fill="auto"/>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 xml:space="preserve">2个</w:t>
            </w:r>
            <w:r/>
          </w:p>
        </w:tc>
        <w:tc>
          <w:tcPr>
            <w:shd w:val="clear" w:color="auto" w:fill="auto"/>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rPr>
          <w:rFonts w:hint="eastAsia" w:ascii="宋体" w:hAnsi="宋体" w:eastAsia="宋体" w:cs="宋体"/>
          <w:b/>
          <w:bCs/>
          <w:color w:val="auto"/>
          <w:sz w:val="21"/>
          <w:szCs w:val="21"/>
          <w:highlight w:val="none"/>
          <w:shd w:val="clear" w:color="auto" w:fill="ffffff"/>
          <w:lang w:val="en-US" w:eastAsia="zh-CN"/>
        </w:rPr>
        <w:outlineLvl w:val="9"/>
      </w:pPr>
      <w:r>
        <w:rPr>
          <w:rFonts w:hint="eastAsia" w:ascii="宋体" w:hAnsi="宋体" w:eastAsia="宋体" w:cs="宋体"/>
          <w:b/>
          <w:bCs/>
          <w:color w:val="auto"/>
          <w:sz w:val="21"/>
          <w:szCs w:val="21"/>
          <w:highlight w:val="none"/>
          <w:shd w:val="clear" w:color="auto" w:fill="ffffff"/>
          <w:lang w:val="en-US" w:eastAsia="zh-CN"/>
        </w:rPr>
        <w:br w:type="page" w:clear="all"/>
      </w:r>
      <w:r/>
    </w:p>
    <w:p>
      <w:pPr>
        <w:rPr>
          <w:rFonts w:hint="eastAsia" w:ascii="宋体" w:hAnsi="宋体" w:eastAsia="宋体" w:cs="宋体"/>
          <w:b w:val="0"/>
          <w:bCs w:val="0"/>
          <w:sz w:val="21"/>
          <w:szCs w:val="21"/>
          <w:highlight w:val="none"/>
          <w:lang w:val="en-US" w:eastAsia="zh-CN"/>
        </w:rPr>
        <w:outlineLvl w:val="2"/>
      </w:pPr>
      <w:r>
        <w:rPr>
          <w:rFonts w:hint="eastAsia" w:ascii="宋体" w:hAnsi="宋体" w:eastAsia="宋体" w:cs="宋体"/>
          <w:b w:val="0"/>
          <w:bCs w:val="0"/>
          <w:sz w:val="21"/>
          <w:szCs w:val="21"/>
          <w:highlight w:val="none"/>
          <w:lang w:val="en-US" w:eastAsia="zh-CN"/>
        </w:rPr>
        <w:t xml:space="preserve">（十二）全脑开发课程</w:t>
      </w:r>
      <w:r/>
    </w:p>
    <w:tbl>
      <w:tblPr>
        <w:tblStyle w:val="692"/>
        <w:tblW w:w="0" w:type="auto"/>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55"/>
        <w:gridCol w:w="3260"/>
        <w:gridCol w:w="2528"/>
        <w:gridCol w:w="455"/>
        <w:gridCol w:w="455"/>
        <w:gridCol w:w="846"/>
        <w:gridCol w:w="455"/>
        <w:gridCol w:w="904"/>
      </w:tblGrid>
      <w:tr>
        <w:trPr>
          <w:trHeight w:val="560"/>
        </w:trPr>
        <w:tc>
          <w:tcPr>
            <w:shd w:val="clear" w:color="auto" w:fill="auto"/>
            <w:tcBorders>
              <w:top w:val="single" w:color="000000" w:sz="4" w:space="0"/>
              <w:left w:val="single" w:color="000000" w:sz="4" w:space="0"/>
              <w:bottom w:val="single" w:color="auto"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auto"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类别</w:t>
            </w:r>
            <w:r/>
          </w:p>
        </w:tc>
        <w:tc>
          <w:tcPr>
            <w:shd w:val="clear" w:color="auto" w:fill="auto"/>
            <w:tcBorders>
              <w:top w:val="single" w:color="000000" w:sz="4" w:space="0"/>
              <w:left w:val="single" w:color="000000" w:sz="4" w:space="0"/>
              <w:bottom w:val="single" w:color="auto"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w:t>
            </w:r>
            <w:r>
              <w:rPr>
                <w:rFonts w:hint="eastAsia" w:ascii="宋体" w:hAnsi="宋体" w:cs="宋体"/>
                <w:i w:val="0"/>
                <w:iCs w:val="0"/>
                <w:color w:val="000000"/>
                <w:sz w:val="21"/>
                <w:szCs w:val="21"/>
                <w:u w:val="none"/>
                <w:lang w:val="en-US" w:eastAsia="zh-CN" w:bidi="ar"/>
              </w:rPr>
              <w:t xml:space="preserve">（以下为每套要求）</w:t>
            </w:r>
            <w:r/>
          </w:p>
        </w:tc>
        <w:tc>
          <w:tcPr>
            <w:shd w:val="clear" w:color="auto" w:fill="auto"/>
            <w:tcBorders>
              <w:top w:val="single" w:color="000000" w:sz="4" w:space="0"/>
              <w:left w:val="single" w:color="000000" w:sz="4" w:space="0"/>
              <w:bottom w:val="single" w:color="auto"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品牌</w:t>
            </w:r>
            <w:r/>
          </w:p>
        </w:tc>
        <w:tc>
          <w:tcPr>
            <w:shd w:val="clear" w:color="auto" w:fill="auto"/>
            <w:tcBorders>
              <w:top w:val="single" w:color="000000" w:sz="4" w:space="0"/>
              <w:left w:val="single" w:color="000000" w:sz="4" w:space="0"/>
              <w:bottom w:val="single" w:color="auto"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型号</w:t>
            </w:r>
            <w:r/>
          </w:p>
        </w:tc>
        <w:tc>
          <w:tcPr>
            <w:shd w:val="clear" w:color="auto" w:fill="auto"/>
            <w:tcBorders>
              <w:top w:val="single" w:color="000000" w:sz="4" w:space="0"/>
              <w:left w:val="single" w:color="000000" w:sz="4" w:space="0"/>
              <w:bottom w:val="single" w:color="auto"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（元）</w:t>
            </w:r>
            <w:r/>
          </w:p>
        </w:tc>
        <w:tc>
          <w:tcPr>
            <w:shd w:val="clear" w:color="auto" w:fill="auto"/>
            <w:tcBorders>
              <w:top w:val="single" w:color="000000" w:sz="4" w:space="0"/>
              <w:left w:val="single" w:color="000000" w:sz="4" w:space="0"/>
              <w:bottom w:val="single" w:color="auto"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auto"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总价（元）</w:t>
            </w:r>
            <w:r/>
          </w:p>
        </w:tc>
      </w:tr>
      <w:tr>
        <w:trPr>
          <w:trHeight w:val="1699"/>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1</w:t>
            </w:r>
            <w:r/>
          </w:p>
        </w:tc>
        <w:tc>
          <w:tcPr>
            <w:shd w:val="clear" w:color="auto" w:fill="auto"/>
            <w:tcBorders>
              <w:top w:val="single" w:color="auto" w:sz="4" w:space="0"/>
              <w:left w:val="single" w:color="auto" w:sz="4" w:space="0"/>
              <w:right w:val="single" w:color="auto"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 婴幼儿全脑开发课程以妇幼保健院为依托，卫健委妇幼司做指导，基于对婴幼儿生理、心理和社会性的深入研究，通过趣味游戏及配套玩教具，激发婴幼儿的感知觉、思维力、想象力及创造力、社会交往能力。</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一、课程方案分为六个阶段，共计不少于128篇，具有匹配的玩教具清单；</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right w:val="single" w:color="auto" w:sz="4" w:space="0"/>
            </w:tcBorders>
            <w:tcW w:w="0" w:type="auto"/>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套</w:t>
            </w:r>
            <w:r/>
          </w:p>
        </w:tc>
        <w:tc>
          <w:tcPr>
            <w:shd w:val="clear" w:color="auto" w:fill="auto"/>
            <w:tcBorders>
              <w:top w:val="single" w:color="auto" w:sz="4" w:space="0"/>
              <w:left w:val="single" w:color="auto" w:sz="4" w:space="0"/>
              <w:right w:val="single" w:color="auto" w:sz="4" w:space="0"/>
            </w:tcBorders>
            <w:tcW w:w="0" w:type="auto"/>
            <w:vAlign w:val="center"/>
            <w:vMerge w:val="restart"/>
            <w:textDirection w:val="lrTb"/>
            <w:noWrap w:val="false"/>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2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keepLines w:val="0"/>
              <w:keepNext w:val="0"/>
              <w:widowControl/>
              <w:rPr>
                <w:rFonts w:hint="eastAsia" w:ascii="宋体" w:hAnsi="宋体" w:eastAsia="宋体" w:cs="宋体"/>
                <w:lang w:val="en-US" w:eastAsia="zh-CN"/>
              </w:rPr>
              <w:suppressLineNumbers w:val="0"/>
            </w:pPr>
            <w:r>
              <w:rPr>
                <w:rFonts w:hint="eastAsia" w:ascii="宋体" w:hAnsi="宋体" w:eastAsia="宋体" w:cs="宋体"/>
                <w:lang w:val="en-US" w:eastAsia="zh-CN"/>
              </w:rPr>
              <w:t xml:space="preserve">2</w:t>
            </w:r>
            <w:r/>
          </w:p>
        </w:tc>
        <w:tc>
          <w:tcPr>
            <w:shd w:val="clear" w:color="auto" w:fill="auto"/>
            <w:tcBorders>
              <w:left w:val="single" w:color="auto" w:sz="4" w:space="0"/>
              <w:bottom w:val="single" w:color="auto" w:sz="4" w:space="0"/>
              <w:right w:val="single" w:color="auto" w:sz="4" w:space="0"/>
            </w:tcBorders>
            <w:tcW w:w="0" w:type="auto"/>
            <w:vAlign w:val="center"/>
            <w:vMerge w:val="continue"/>
            <w:textDirection w:val="lrTb"/>
            <w:noWrap w:val="false"/>
          </w:tcPr>
          <w:p>
            <w:pPr>
              <w:jc w:val="center"/>
              <w:keepLines w:val="0"/>
              <w:keepNext w:val="0"/>
              <w:widowControl/>
              <w:suppressLineNumbers w:val="0"/>
            </w:p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二、课程配套教具：分为3-5月龄、6-8月龄、9-12月龄、13-18月龄、19-24月龄、25-36月龄，不少于110种教具，可同时满足6名婴幼儿同时使用。</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left w:val="single" w:color="auto" w:sz="4" w:space="0"/>
              <w:bottom w:val="single" w:color="auto" w:sz="4" w:space="0"/>
              <w:right w:val="single" w:color="auto" w:sz="4" w:space="0"/>
            </w:tcBorders>
            <w:tcW w:w="0" w:type="auto"/>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left w:val="single" w:color="auto" w:sz="4" w:space="0"/>
              <w:bottom w:val="single" w:color="auto" w:sz="4" w:space="0"/>
              <w:right w:val="single" w:color="auto" w:sz="4" w:space="0"/>
            </w:tcBorders>
            <w:tcW w:w="0" w:type="auto"/>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bl>
    <w:p>
      <w:pPr>
        <w:rPr>
          <w:rFonts w:hint="eastAsia" w:ascii="宋体" w:hAnsi="宋体" w:eastAsia="宋体" w:cs="宋体"/>
          <w:b/>
          <w:bCs/>
          <w:color w:val="auto"/>
          <w:sz w:val="21"/>
          <w:szCs w:val="21"/>
          <w:highlight w:val="none"/>
          <w:shd w:val="clear" w:color="auto" w:fill="ffffff"/>
          <w:lang w:val="en-US" w:eastAsia="zh-CN"/>
        </w:rPr>
        <w:outlineLvl w:val="9"/>
      </w:pPr>
      <w:r>
        <w:rPr>
          <w:rFonts w:hint="eastAsia" w:ascii="宋体" w:hAnsi="宋体" w:eastAsia="宋体" w:cs="宋体"/>
          <w:b/>
          <w:bCs/>
          <w:color w:val="auto"/>
          <w:sz w:val="21"/>
          <w:szCs w:val="21"/>
          <w:highlight w:val="none"/>
          <w:shd w:val="clear" w:color="auto" w:fill="ffffff"/>
          <w:lang w:val="en-US" w:eastAsia="zh-CN"/>
        </w:rPr>
        <w:br w:type="page" w:clear="all"/>
      </w:r>
      <w:r/>
    </w:p>
    <w:p>
      <w:pPr>
        <w:rPr>
          <w:rFonts w:hint="eastAsia" w:ascii="宋体" w:hAnsi="宋体" w:eastAsia="宋体" w:cs="宋体"/>
          <w:b w:val="0"/>
          <w:bCs w:val="0"/>
          <w:sz w:val="21"/>
          <w:szCs w:val="21"/>
          <w:highlight w:val="none"/>
          <w:lang w:val="en-US" w:eastAsia="zh-CN"/>
        </w:rPr>
        <w:outlineLvl w:val="2"/>
      </w:pPr>
      <w:r>
        <w:rPr>
          <w:rFonts w:hint="eastAsia" w:ascii="宋体" w:hAnsi="宋体" w:eastAsia="宋体" w:cs="宋体"/>
          <w:b w:val="0"/>
          <w:bCs w:val="0"/>
          <w:sz w:val="21"/>
          <w:szCs w:val="21"/>
          <w:highlight w:val="none"/>
          <w:lang w:val="en-US" w:eastAsia="zh-CN"/>
        </w:rPr>
        <w:t xml:space="preserve">（十三）思维课程</w:t>
      </w:r>
      <w:r/>
    </w:p>
    <w:tbl>
      <w:tblPr>
        <w:tblStyle w:val="692"/>
        <w:tblW w:w="0" w:type="auto"/>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56"/>
        <w:gridCol w:w="3328"/>
        <w:gridCol w:w="2453"/>
        <w:gridCol w:w="456"/>
        <w:gridCol w:w="456"/>
        <w:gridCol w:w="846"/>
        <w:gridCol w:w="456"/>
        <w:gridCol w:w="907"/>
      </w:tblGrid>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auto"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类别</w:t>
            </w:r>
            <w:r/>
          </w:p>
        </w:tc>
        <w:tc>
          <w:tcPr>
            <w:shd w:val="clear" w:color="auto" w:fill="auto"/>
            <w:tcBorders>
              <w:top w:val="single" w:color="000000" w:sz="4" w:space="0"/>
              <w:left w:val="single" w:color="000000" w:sz="4" w:space="0"/>
              <w:bottom w:val="single" w:color="auto"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技术参数</w:t>
            </w:r>
            <w:r>
              <w:rPr>
                <w:rFonts w:hint="eastAsia" w:ascii="宋体" w:hAnsi="宋体" w:cs="宋体"/>
                <w:i w:val="0"/>
                <w:iCs w:val="0"/>
                <w:color w:val="000000"/>
                <w:sz w:val="21"/>
                <w:szCs w:val="21"/>
                <w:highlight w:val="none"/>
                <w:u w:val="none"/>
                <w:lang w:val="en-US" w:eastAsia="zh-CN" w:bidi="ar"/>
              </w:rPr>
              <w:t xml:space="preserve">（以下为每套要求）</w:t>
            </w:r>
            <w:r/>
          </w:p>
        </w:tc>
        <w:tc>
          <w:tcPr>
            <w:shd w:val="clear" w:color="auto" w:fill="auto"/>
            <w:tcBorders>
              <w:top w:val="single" w:color="000000" w:sz="4" w:space="0"/>
              <w:left w:val="single" w:color="000000" w:sz="4" w:space="0"/>
              <w:bottom w:val="single" w:color="auto"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品牌</w:t>
            </w:r>
            <w:r/>
          </w:p>
        </w:tc>
        <w:tc>
          <w:tcPr>
            <w:shd w:val="clear" w:color="auto" w:fill="auto"/>
            <w:tcBorders>
              <w:top w:val="single" w:color="000000" w:sz="4" w:space="0"/>
              <w:left w:val="single" w:color="000000" w:sz="4" w:space="0"/>
              <w:bottom w:val="single" w:color="auto"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型号</w:t>
            </w:r>
            <w:r/>
          </w:p>
        </w:tc>
        <w:tc>
          <w:tcPr>
            <w:shd w:val="clear" w:color="auto" w:fill="auto"/>
            <w:tcBorders>
              <w:top w:val="single" w:color="000000" w:sz="4" w:space="0"/>
              <w:left w:val="single" w:color="000000" w:sz="4" w:space="0"/>
              <w:bottom w:val="single" w:color="auto"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单价</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总价（元）</w:t>
            </w:r>
            <w:r/>
          </w:p>
        </w:tc>
      </w:tr>
      <w:tr>
        <w:trPr>
          <w:trHeight w:val="1943"/>
        </w:trPr>
        <w:tc>
          <w:tcPr>
            <w:shd w:val="clear" w:color="auto" w:fill="auto"/>
            <w:tcBorders>
              <w:top w:val="single" w:color="000000" w:sz="4" w:space="0"/>
              <w:left w:val="single" w:color="000000" w:sz="4" w:space="0"/>
              <w:bottom w:val="single" w:color="000000" w:sz="4" w:space="0"/>
              <w:right w:val="single" w:color="auto"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思维课程系列，具有3C认证证明，内容涉及逻辑思维、规律分类、测量、空间图形、问题解决五大学习领域，采用适宜年龄特征故事挂图导入，操作学习概念和原理，通过听说动作操作理解培养综合性能力；</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一、包装尺寸：23.8×40×8cm（±3%）</w:t>
            </w:r>
            <w:r/>
          </w:p>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二、课程手册教材共分为三个阶段，每阶段教材12本，共计教材36本。</w:t>
            </w:r>
            <w:r/>
          </w:p>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三、手册配套玩教具：将生活场景融入其中，分为三个阶段，共36种教具组合；</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rPr>
          <w:rFonts w:hint="eastAsia" w:ascii="宋体" w:hAnsi="宋体" w:eastAsia="宋体" w:cs="宋体"/>
          <w:b/>
          <w:bCs/>
          <w:color w:val="auto"/>
          <w:sz w:val="21"/>
          <w:szCs w:val="21"/>
          <w:highlight w:val="none"/>
          <w:shd w:val="clear" w:color="auto" w:fill="ffffff"/>
          <w:lang w:val="en-US" w:eastAsia="zh-CN"/>
        </w:rPr>
        <w:outlineLvl w:val="9"/>
      </w:pPr>
      <w:r>
        <w:rPr>
          <w:rFonts w:hint="eastAsia" w:ascii="宋体" w:hAnsi="宋体" w:eastAsia="宋体" w:cs="宋体"/>
          <w:b/>
          <w:bCs/>
          <w:color w:val="auto"/>
          <w:sz w:val="21"/>
          <w:szCs w:val="21"/>
          <w:highlight w:val="none"/>
          <w:shd w:val="clear" w:color="auto" w:fill="ffffff"/>
          <w:lang w:val="en-US" w:eastAsia="zh-CN"/>
        </w:rPr>
        <w:br w:type="page" w:clear="all"/>
      </w:r>
      <w:r/>
    </w:p>
    <w:p>
      <w:pPr>
        <w:rPr>
          <w:rFonts w:hint="eastAsia" w:ascii="宋体" w:hAnsi="宋体" w:eastAsia="宋体" w:cs="宋体"/>
          <w:b w:val="0"/>
          <w:bCs w:val="0"/>
          <w:sz w:val="21"/>
          <w:szCs w:val="21"/>
          <w:highlight w:val="none"/>
          <w:lang w:val="en-US" w:eastAsia="zh-CN"/>
        </w:rPr>
        <w:outlineLvl w:val="2"/>
      </w:pPr>
      <w:r>
        <w:rPr>
          <w:rFonts w:hint="eastAsia" w:ascii="宋体" w:hAnsi="宋体" w:eastAsia="宋体" w:cs="宋体"/>
          <w:b w:val="0"/>
          <w:bCs w:val="0"/>
          <w:sz w:val="21"/>
          <w:szCs w:val="21"/>
          <w:highlight w:val="none"/>
          <w:lang w:val="en-US" w:eastAsia="zh-CN"/>
        </w:rPr>
        <w:t xml:space="preserve">（十四）艺术手工</w:t>
      </w:r>
      <w:r/>
    </w:p>
    <w:tbl>
      <w:tblPr>
        <w:tblStyle w:val="692"/>
        <w:tblW w:w="0" w:type="auto"/>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47"/>
        <w:gridCol w:w="1047"/>
        <w:gridCol w:w="4789"/>
        <w:gridCol w:w="447"/>
        <w:gridCol w:w="447"/>
        <w:gridCol w:w="846"/>
        <w:gridCol w:w="447"/>
        <w:gridCol w:w="888"/>
      </w:tblGrid>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w:t>
            </w:r>
            <w:r>
              <w:rPr>
                <w:rFonts w:hint="eastAsia" w:ascii="宋体" w:hAnsi="宋体" w:cs="宋体"/>
                <w:i w:val="0"/>
                <w:iCs w:val="0"/>
                <w:color w:val="000000"/>
                <w:sz w:val="21"/>
                <w:szCs w:val="21"/>
                <w:u w:val="none"/>
                <w:lang w:val="en-US" w:eastAsia="zh-CN" w:bidi="ar"/>
              </w:rPr>
              <w:t xml:space="preserve">（以下为每套要求）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总价（元）</w:t>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一、适用于0-36月龄婴幼儿开展手工活动与游戏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二、每套产品包含：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巨形活动涂鸦墙1个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产品材质：榉木，多层实木夹板，亚克力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产品尺寸：尺寸：1680*680*1335mm（±5%）；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产品配件：透明亚克力 1450*980*6mm（±5%），不锈钢U型拉手128mm（±5%），有刹轮4个（深灰支架、边盖+浅灰轮+PU轮子）轮：∮65mm（±5%） 平底：47*47*2.5mm（±5%）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画架1个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产品材质：榉木、塑料；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2、产品尺寸：510×435×980h mm（±5%）；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艺术展示柜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产品材质：木质与亚克力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产品尺寸：白色多格柜（配亚克力盒子）105*40*90/100cm（±5%）2个、彩色亚克力透明背板柜（三种颜色）810*300*609mm（±5%）6个；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绘画圆桌4个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产品材质：实木多层板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产品尺寸：直径120cm,高50cm（2个）直径120cm,高45cm（2个）（±5%）；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产品说明：白色桌面配原木色桌腿，可同时容纳6名婴幼儿。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绘画三面椅12把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产品材质：榉木夹板，榉木实木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产品尺寸：34X32X16/21/30H cm（±5%）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绘画靠背椅14把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产品材质：榉木胶合板、榉木实木。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产品尺寸：31x29x26H cm（±5%）；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美工材料柜2个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产品材质:枫木双饰面实木多层板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产品尺寸:122*33*91cm（±5%）；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美劳晾纸柜2个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产品材质:枫木双饰面实木多层板、万向轮、金属网格</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产品尺寸:62*30*80cm（±5%）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美术用品收纳车1个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产品材质：多层实木夹板，榉木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产品尺寸：440×620×770mm（±5%）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产品描述：美术用品收纳车可轻松移动，材料坚实，表面采用高耐磨处理，全面采用圆角设计、安全缝隙和孔洞，结构稳固，设计多层收纳格柜可收纳颜料瓶，画笔，画纸等手工工具。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磁吸哑光白板2个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产品材质：镀锌钢板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产品尺寸：500*120cm（±5%）；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8"/>
        </w:trPr>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手工工具包：海绵印章（5个/套）50套、平面滚刷（4个/套）50套、弹弓印刷（4个/套）50套、爆炸刷（4个/套）50套、鱼头板刷（4个/套）50套、拓染锤50把、牙刷（10支/盒）10盒、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打孔器20个、压花器（8个/套）15套、儿童安全剪刀100把、花边剪刀100把、胶枪（20w)20个、黏土工具(3件/套）50套、调色盘100个、裁纸工具（3件/套）14套、刮刀（7把/套）20套、塑封机13个、塑封膜（110张/包）20包、扭扭棒（300根/包）30包、一次性纸盘（100个/包）30包、一次性纸杯（200只/包）20包、一次性纸碗（50个/包）50包、一次性筷子（200双/</w:t>
            </w:r>
            <w:r>
              <w:rPr>
                <w:rFonts w:hint="eastAsia" w:ascii="宋体" w:hAnsi="宋体" w:eastAsia="宋体" w:cs="宋体"/>
                <w:i w:val="0"/>
                <w:iCs w:val="0"/>
                <w:color w:val="000000"/>
                <w:sz w:val="21"/>
                <w:szCs w:val="21"/>
                <w:u w:val="none"/>
                <w:lang w:val="en-US" w:eastAsia="zh-CN" w:bidi="ar"/>
              </w:rPr>
              <w:t xml:space="preserve">包）10包、吸管（200支/包）20包、棉签（100支/袋）20袋、纽扣（100颗/包）20包、瓶盖（200个/包）20包、混合活动眼睛（400个/包）20包、混合毛球（1000个/包）20包、竹签（200支/包）10包、雪糕棍（100根/包）20包、两脚钉（100只/包）20包、扎染布料（5个/包）50包、夹染工具套装（4类/套）30套、喷壶（250ml容量，5个/套）20套、树枝（30cm长，50根/捆）20捆、滴管（5ml容量，10支/包）10包、AMOS三十六色水溶性油画棒15盒、三十六色油性油画棒</w:t>
            </w:r>
            <w:r>
              <w:rPr>
                <w:rFonts w:hint="eastAsia" w:ascii="宋体" w:hAnsi="宋体" w:eastAsia="宋体" w:cs="宋体"/>
                <w:i w:val="0"/>
                <w:iCs w:val="0"/>
                <w:color w:val="000000"/>
                <w:sz w:val="21"/>
                <w:szCs w:val="21"/>
                <w:u w:val="none"/>
                <w:lang w:val="en-US" w:eastAsia="zh-CN" w:bidi="ar"/>
              </w:rPr>
              <w:t xml:space="preserve">50盒、六十色丙烯马克笔15盒、双头勾线笔（10支/盒）20盒、2mm高光笔50支、塑料刮画笔(10支/组）20组、板刷（5支/套）50套、水粉笔（12支/套）50套、绘儿乐二十四色彩铅20盒、铅笔（12支/盒）10盒、橡皮（10块/盒）10盒、绘儿乐颜料（9色/套）10套、AMOS12色人体彩绘颜料10盒、蒙玛特金色丙烯颜料（1L/桶）10桶、蒙玛特银色丙烯颜料（1L/桶）10桶、一得阁墨汁（100ml，黑红色/组）10组、十二色食用色素（250ml）10组、十二色扎染颜料（38g）20组、AMOS8g固</w:t>
            </w:r>
            <w:r>
              <w:rPr>
                <w:rFonts w:hint="eastAsia" w:ascii="宋体" w:hAnsi="宋体" w:eastAsia="宋体" w:cs="宋体"/>
                <w:i w:val="0"/>
                <w:iCs w:val="0"/>
                <w:color w:val="000000"/>
                <w:sz w:val="21"/>
                <w:szCs w:val="21"/>
                <w:u w:val="none"/>
                <w:lang w:val="en-US" w:eastAsia="zh-CN" w:bidi="ar"/>
              </w:rPr>
              <w:t xml:space="preserve">体胶(10支/盒）40盒、18mm美纹纸100卷、40g白乳胶(10瓶/盒）25盒、6mm双面胶(10个/卷）25卷、48mm透明胶100个、20mm海绵胶(6个/卷）30卷、7mm胶枪胶棒（100根/组）10组、马利十二色超轻粘土套装20套、五斤石英砂10袋、二十四色纸绳10包、0.3mm鱼线10卷、1mm弹力绳10卷、2mm原色麻绳10卷、20m尼龙线(红黑彩/组）10包、2m柳叶绳(6色/包）10包、十二色毛线10包、10色丝带（2cm)10包、A3黑卡纸(230g*50张/包）10包、A3白卡纸(2</w:t>
            </w:r>
            <w:r>
              <w:rPr>
                <w:rFonts w:hint="eastAsia" w:ascii="宋体" w:hAnsi="宋体" w:eastAsia="宋体" w:cs="宋体"/>
                <w:i w:val="0"/>
                <w:iCs w:val="0"/>
                <w:color w:val="000000"/>
                <w:sz w:val="21"/>
                <w:szCs w:val="21"/>
                <w:u w:val="none"/>
                <w:lang w:val="en-US" w:eastAsia="zh-CN" w:bidi="ar"/>
              </w:rPr>
              <w:t xml:space="preserve">30g*50张/包）10包、直径29cm黑、白、棕圆形卡纸（50张/包）10包、直径25cm蓝圆形卡纸（25张/包）10包、A3三十色彩色卡纸（60张/包）20包、十五色混色皱纹纸10包、二十色瓦楞纸（50*70cm 20张/包）20包、16k刮画纸（10张/包）20包、A4十二色玻璃纸30包、二十色海绵纸10包、带背胶闪光海绵纸（10张混色/包）20包、白色A4纸（500张/包）20包、A4混色彩纸（100张/包）20包、儿童绘画防水罩衣100件、全开大白纸（20张/包）10包、十二色可水洗水彩笔50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rPr>
          <w:rFonts w:hint="eastAsia" w:ascii="宋体" w:hAnsi="宋体" w:eastAsia="宋体" w:cs="宋体"/>
          <w:b/>
          <w:bCs/>
          <w:color w:val="auto"/>
          <w:sz w:val="21"/>
          <w:szCs w:val="21"/>
          <w:highlight w:val="none"/>
          <w:shd w:val="clear" w:color="auto" w:fill="ffffff"/>
          <w:lang w:val="en-US" w:eastAsia="zh-CN"/>
        </w:rPr>
        <w:outlineLvl w:val="9"/>
      </w:pPr>
      <w:r>
        <w:rPr>
          <w:rFonts w:hint="eastAsia" w:ascii="宋体" w:hAnsi="宋体" w:eastAsia="宋体" w:cs="宋体"/>
          <w:b/>
          <w:bCs/>
          <w:color w:val="auto"/>
          <w:sz w:val="21"/>
          <w:szCs w:val="21"/>
          <w:highlight w:val="none"/>
          <w:shd w:val="clear" w:color="auto" w:fill="ffffff"/>
          <w:lang w:val="en-US" w:eastAsia="zh-CN"/>
        </w:rPr>
        <w:br w:type="page" w:clear="all"/>
      </w:r>
      <w:r/>
    </w:p>
    <w:p>
      <w:pPr>
        <w:rPr>
          <w:rFonts w:hint="eastAsia" w:ascii="宋体" w:hAnsi="宋体" w:eastAsia="宋体" w:cs="宋体"/>
          <w:b w:val="0"/>
          <w:bCs w:val="0"/>
          <w:sz w:val="21"/>
          <w:szCs w:val="21"/>
          <w:highlight w:val="none"/>
          <w:lang w:val="en-US" w:eastAsia="zh-CN"/>
        </w:rPr>
        <w:outlineLvl w:val="2"/>
      </w:pPr>
      <w:r>
        <w:rPr>
          <w:rFonts w:hint="eastAsia" w:ascii="宋体" w:hAnsi="宋体" w:eastAsia="宋体" w:cs="宋体"/>
          <w:b w:val="0"/>
          <w:bCs w:val="0"/>
          <w:sz w:val="21"/>
          <w:szCs w:val="21"/>
          <w:highlight w:val="none"/>
          <w:lang w:val="en-US" w:eastAsia="zh-CN"/>
        </w:rPr>
        <w:t xml:space="preserve">（十五）户外游戏</w:t>
      </w:r>
      <w:r/>
    </w:p>
    <w:tbl>
      <w:tblPr>
        <w:tblStyle w:val="692"/>
        <w:tblW w:w="0" w:type="auto"/>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85"/>
        <w:gridCol w:w="777"/>
        <w:gridCol w:w="585"/>
        <w:gridCol w:w="4714"/>
        <w:gridCol w:w="399"/>
        <w:gridCol w:w="399"/>
        <w:gridCol w:w="703"/>
        <w:gridCol w:w="461"/>
        <w:gridCol w:w="765"/>
      </w:tblGrid>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w:t>
            </w:r>
            <w:r>
              <w:rPr>
                <w:rFonts w:hint="eastAsia" w:ascii="宋体" w:hAnsi="宋体" w:cs="宋体"/>
                <w:i w:val="0"/>
                <w:iCs w:val="0"/>
                <w:color w:val="000000"/>
                <w:sz w:val="21"/>
                <w:szCs w:val="21"/>
                <w:u w:val="none"/>
                <w:lang w:val="en-US" w:eastAsia="zh-CN" w:bidi="ar"/>
              </w:rPr>
              <w:t xml:space="preserve">（以下为每组要求）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总价（元）</w:t>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一、适用于0-3岁婴幼儿户外游戏及运动使用；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二、每套产品包含：</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三、产品说明：适用于室内室外环境使用，防水设计、防晒耐磨、耐气候性强，安全性强、充气设计轻巧便捷、方便运输、易清洁维护、无需收纳。</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第一组</w:t>
            </w:r>
            <w:r/>
          </w:p>
        </w:tc>
        <w:tc>
          <w:tcPr>
            <w:shd w:val="clear" w:color="auto" w:fill="auto"/>
            <w:tcBorders>
              <w:top w:val="single" w:color="000000" w:sz="4" w:space="0"/>
              <w:left w:val="single" w:color="000000" w:sz="4" w:space="0"/>
              <w:bottom w:val="single" w:color="000000" w:sz="4" w:space="0"/>
              <w:right w:val="single" w:color="000000" w:sz="4" w:space="0"/>
            </w:tcBorders>
            <w:tcW w:w="4714" w:type="dxa"/>
            <w:vAlign w:val="center"/>
            <w:textDirection w:val="lrTb"/>
            <w:noWrap w:val="false"/>
          </w:tcPr>
          <w:p>
            <w:pPr>
              <w:jc w:val="both"/>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四轮滑车 4</w:t>
            </w:r>
            <w:r>
              <w:rPr>
                <w:rFonts w:hint="eastAsia" w:ascii="宋体" w:hAnsi="宋体" w:cs="宋体"/>
                <w:i w:val="0"/>
                <w:iCs w:val="0"/>
                <w:color w:val="000000"/>
                <w:sz w:val="21"/>
                <w:szCs w:val="21"/>
                <w:u w:val="none"/>
                <w:lang w:val="en-US" w:eastAsia="zh-CN" w:bidi="ar"/>
              </w:rPr>
              <w:t xml:space="preserve">个</w:t>
            </w:r>
            <w:r/>
          </w:p>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1、产品材质：金属+橡胶+树脂；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2、产品尺寸：54x34x32cm（±5%）。</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三轮踏行车 4</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1、产品材质：金属+橡胶+树脂；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2、产品尺寸：80x41x50cm（±5%）。</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双人踏板车 4</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1、产品材质：金属+橡胶+树脂+纤维板；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2、产品尺寸：112x56x64cm（±5%）。</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载人踏板车 4</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1、产品材质：金属、ABS塑料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2、产品尺寸：91x80x65.5cm（±5%）。</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独轮车 4</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1、产品材质：金属+橡胶+塑料；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2、产品尺寸：88.5x40.5x43cm（±5%）。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3、产品说明：车身采用2mm厚无缝钢管；全车高压喷塑，车轮外胎采用静音橡胶；在游戏中训练儿童双手肌肉以及身体协调性。</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四轮玩具车 4</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1、产品材质：PE+PP</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2、产品尺寸：51x74.5x93.5cm（±5%）；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3、产品说明：四种不同颜色与职业车型。</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多座婴儿车 2</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1、产品材质：金属+橡胶+防尘布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2、产品尺寸：134*80*64cm（±5%）；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3、产品说明：可同时容纳6名婴儿乘坐。</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第二组</w:t>
            </w:r>
            <w:r/>
          </w:p>
        </w:tc>
        <w:tc>
          <w:tcPr>
            <w:shd w:val="clear" w:color="auto" w:fill="auto"/>
            <w:tcBorders>
              <w:top w:val="single" w:color="000000" w:sz="4" w:space="0"/>
              <w:left w:val="single" w:color="000000" w:sz="4" w:space="0"/>
              <w:bottom w:val="single" w:color="000000" w:sz="4" w:space="0"/>
              <w:right w:val="single" w:color="000000" w:sz="4" w:space="0"/>
            </w:tcBorders>
            <w:tcW w:w="471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迷你陀螺 2</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1、产品材质：塑料、棉质；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2、产品尺寸：730*30cm（±5%）；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3、产品说明：婴幼儿运动用具，摇晃、摆动和旋转-开始在成人的帮助下，渐渐自己进行。</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迷你蹦床 2</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1、产品材质：钢条，泡沫，TPE 合成橡胶；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2、产品尺寸：74*18/65cm（±5%）；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3、产品说明：1个带底座蹦床、2根扶手、1个橡胶保护圈。</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迷你转盘 2</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1、产品材质：黑色覆膜夹板、钢管、不锈钢螺丝螺母；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2、产品尺寸：85x36cm（±5%）；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3、产品说明：1个底部转盘、1个扶手。魔力转盘为婴幼儿提供了一起玩耍的可能，只需简单地握住手柄，便可以轻松地在转盘上旋转。</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0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万象组合 4</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 PP+PE+TPE+PVC+帆布石英砂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2、产品尺寸：平衡桥板(80.5*13.5*4cm)x4（±5%）；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半砖(13.5*13.5*8.5cm)x12；全砖(27*13.5*8.5cm)x8（±5%）；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手印(16*16*0.3cm)x6只；脚印(17.5*17.5*0.3cm)x6只（±5%）；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体能环大(68cm)x4,中(34cm)x4，小(17cm)x4（±5%）；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体能棒长(70*3cm)x8，短(35*3cm)x16（±5%）；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沙包大(7cm)x5，小(5.5cm)x5（±5%）；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锁扣A(10.5*4.2*1.8cm)x12，锁扣B(8*4.2*1.8cm)x12（±5%）；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单元筒(23.5*23.5*33cm)x4（±5%）。</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摇滚陀螺 4</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1、产品材质：ABS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2、产品尺寸：74*74*32cm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3、产品说明：白、粉、蓝三种颜色可选。</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转球筒 10</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 ABS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2、产品尺寸：转球筒(23.5*8.5*17.5cm)1个（±5%）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3、产品说明：配件PVC球(3.8cm)2个，橡胶球(3.5cm)1个。</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触觉平衡步道 2</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 PP+TPE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2、产品尺寸：65*18*10.5cm（±5%）；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3、产品说明：每组4件，承重60kg。</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投壶 2</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 PP+TPE+PVC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2、产品规格：每套投壶4件; 箭24支。</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彩虹组合 1</w:t>
            </w:r>
            <w:r>
              <w:rPr>
                <w:rFonts w:hint="eastAsia" w:ascii="宋体" w:hAnsi="宋体" w:cs="宋体"/>
                <w:i w:val="0"/>
                <w:iCs w:val="0"/>
                <w:color w:val="000000"/>
                <w:sz w:val="21"/>
                <w:szCs w:val="21"/>
                <w:u w:val="none"/>
                <w:lang w:val="en-US" w:eastAsia="zh-CN" w:bidi="ar"/>
              </w:rPr>
              <w:t xml:space="preserve">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1、产品材质：涤纶布+钢丝支架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2、产品尺寸：彩虹伞直径2-3-7M（±5%），3个/组；隧道180*48cm（±5%），3个/组。</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套圈 2</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1、产品材质：橡胶木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2、产品尺寸：10.8*10.8*18cm（±5%）；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3、产品配件：三组为/套。</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泰克双人翘板 2</w:t>
            </w:r>
            <w:r>
              <w:rPr>
                <w:rFonts w:hint="eastAsia" w:ascii="宋体" w:hAnsi="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1、产品材质：塑料/聚乙烯；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2、产品尺寸：102x43x48cm（±5%）；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3、产品说明：一体成型，防滑手柄，重量3kg,适合1-3岁婴幼儿。</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泰克摇马 2</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1、产品材质：可食级安全环保塑料；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2、产品尺寸：83x26x47cm（±5%）；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3、产品说明：一体成型，防滑手柄，重量3kg,适合1-3岁婴幼儿。</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婴幼儿玩具球 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1、产品材质：PU</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2、产品尺寸：直径15-18cm（±5%）；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3、产品说明：足球30个；八色篮球30个；充气球组合20套（三种球类）。</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游艺套圈 2</w:t>
            </w:r>
            <w:r>
              <w:rPr>
                <w:rFonts w:hint="eastAsia" w:ascii="宋体" w:hAnsi="宋体" w:cs="宋体"/>
                <w:i w:val="0"/>
                <w:iCs w:val="0"/>
                <w:color w:val="000000"/>
                <w:sz w:val="21"/>
                <w:szCs w:val="21"/>
                <w:u w:val="none"/>
                <w:lang w:val="en-US" w:eastAsia="zh-CN" w:bidi="ar"/>
              </w:rPr>
              <w:t xml:space="preserve">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1、产品材质：塑料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2、产品尺寸：16.4*0.40cm（±5%）；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3、产品说明：包含6个不同色的游艺环；彩色游艺环可以作为无数活动的灵感启发它有着无数的游戏可能。</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投掷组合 2</w:t>
            </w:r>
            <w:r>
              <w:rPr>
                <w:rFonts w:hint="eastAsia" w:ascii="宋体" w:hAnsi="宋体" w:cs="宋体"/>
                <w:i w:val="0"/>
                <w:iCs w:val="0"/>
                <w:color w:val="000000"/>
                <w:sz w:val="21"/>
                <w:szCs w:val="21"/>
                <w:u w:val="none"/>
                <w:lang w:val="en-US" w:eastAsia="zh-CN" w:bidi="ar"/>
              </w:rPr>
              <w:t xml:space="preserve">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1、产品材质：尼龙绸 塑胶 金属</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2、产品尺寸：70×67cm（±5%）；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3、产品说明：金属支架1；分格投掷袋1；球6个。</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收纳筐 2</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1、产品材质：金属</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2、产品尺寸：1000*600*600mm（±5%）；</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auto"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auto" w:sz="4" w:space="0"/>
              <w:right w:val="single" w:color="000000" w:sz="4" w:space="0"/>
            </w:tcBorders>
            <w:tcW w:w="4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auto" w:sz="4" w:space="0"/>
              <w:right w:val="single" w:color="000000" w:sz="4" w:space="0"/>
            </w:tcBorders>
            <w:tcW w:w="76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第三组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基础运动组合 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一、产品材质：拉丝网布 、帆布；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二、产品参数</w:t>
            </w:r>
            <w:r/>
          </w:p>
        </w:tc>
        <w:tc>
          <w:tcPr>
            <w:shd w:val="clear" w:color="auto" w:fill="auto"/>
            <w:tcBorders>
              <w:top w:val="single" w:color="000000" w:sz="4" w:space="0"/>
              <w:left w:val="single" w:color="000000" w:sz="4" w:space="0"/>
              <w:bottom w:val="single" w:color="000000" w:sz="4" w:space="0"/>
              <w:right w:val="single" w:color="000000" w:sz="4" w:space="0"/>
            </w:tcBorders>
            <w:tcW w:w="471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1、多功能障碍垫*1：尺寸：1200x1800x600mm（±5%）；</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auto"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组</w:t>
            </w:r>
            <w:r/>
          </w:p>
        </w:tc>
        <w:tc>
          <w:tcPr>
            <w:shd w:val="clear" w:color="auto" w:fill="auto"/>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2、L型触感垫*1：尺寸：970x780x2000mm （±5%）；</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auto"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46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3、匍匐布*1：1330*500mm（±5%）；</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auto"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46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4、母胎BOX*1：尺寸：680x680x680 mm（±5%）；</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auto"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46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5、跳马增高垫*2：尺寸：730x600x400mm（±5%）；</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auto"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46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6、跳马*1：尺寸：730x600x400mm（±5%）；</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auto"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46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7、顽皮山坡*1：尺寸：1680x600x680 mm（±5%）；</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auto"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46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8、曲面冲刺垫*1：尺寸：600x2000x300mm（±5%）；</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auto"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46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4"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9、猫挂垫*1：尺寸：1200x3000x750mm（±5%）；</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auto"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46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4"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10、单元蹦床*4：尺寸：900x900x200mm（±5%）；</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auto"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46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4"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11、纹理步道*1：尺寸：200x200x1200mm（±5%）；</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auto"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46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4"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12、凸点步道*1：尺寸：200x200x1200mm（±5%）；</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auto"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46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4"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13、条形步道*1：尺寸：200x200x1200mm（±5%）；</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auto"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46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4"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14、拱桥*1：尺寸：880x300x500mm（±5%）；</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auto"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46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4"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15、多能蹦床*1：尺寸：200mmxR1000mm（±5%）；</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auto"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46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4"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16、高低架*1：尺寸：200x200x1200mm（±5%）；</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auto"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46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4"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17、安全保护垫2：尺寸：1200*600*50mm（±5%）；</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auto"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46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4"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18、手动打气泵*2；</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auto"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46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4"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19、电动充气泵*1；</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auto"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46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4"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20、计时器*1；</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auto"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46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4"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21、使用说明书，游戏参考方案，大体能循环参考游戏图。</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auto"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46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rPr>
          <w:rFonts w:hint="eastAsia" w:ascii="宋体" w:hAnsi="宋体" w:eastAsia="宋体" w:cs="宋体"/>
          <w:b/>
          <w:bCs/>
          <w:color w:val="auto"/>
          <w:sz w:val="21"/>
          <w:szCs w:val="21"/>
          <w:highlight w:val="none"/>
          <w:shd w:val="clear" w:color="auto" w:fill="ffffff"/>
          <w:lang w:val="en-US" w:eastAsia="zh-CN"/>
        </w:rPr>
        <w:outlineLvl w:val="9"/>
      </w:pPr>
      <w:r>
        <w:rPr>
          <w:rFonts w:hint="eastAsia" w:ascii="宋体" w:hAnsi="宋体" w:eastAsia="宋体" w:cs="宋体"/>
          <w:b/>
          <w:bCs/>
          <w:color w:val="auto"/>
          <w:sz w:val="21"/>
          <w:szCs w:val="21"/>
          <w:highlight w:val="none"/>
          <w:shd w:val="clear" w:color="auto" w:fill="ffffff"/>
          <w:lang w:val="en-US" w:eastAsia="zh-CN"/>
        </w:rPr>
        <w:br w:type="page" w:clear="all"/>
      </w:r>
      <w:r/>
    </w:p>
    <w:p>
      <w:pPr>
        <w:rPr>
          <w:rFonts w:hint="eastAsia" w:ascii="宋体" w:hAnsi="宋体" w:eastAsia="宋体" w:cs="宋体"/>
          <w:b w:val="0"/>
          <w:bCs w:val="0"/>
          <w:sz w:val="21"/>
          <w:szCs w:val="21"/>
          <w:highlight w:val="none"/>
          <w:lang w:val="en-US" w:eastAsia="zh-CN"/>
        </w:rPr>
        <w:outlineLvl w:val="2"/>
      </w:pPr>
      <w:r>
        <w:rPr>
          <w:rFonts w:hint="eastAsia" w:ascii="宋体" w:hAnsi="宋体" w:eastAsia="宋体" w:cs="宋体"/>
          <w:b w:val="0"/>
          <w:bCs w:val="0"/>
          <w:sz w:val="21"/>
          <w:szCs w:val="21"/>
          <w:highlight w:val="none"/>
          <w:lang w:val="en-US" w:eastAsia="zh-CN"/>
        </w:rPr>
        <w:t xml:space="preserve">（十六）科学探索自然养育</w:t>
      </w:r>
      <w:r/>
    </w:p>
    <w:tbl>
      <w:tblPr>
        <w:tblStyle w:val="692"/>
        <w:tblW w:w="0" w:type="auto"/>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40"/>
        <w:gridCol w:w="1194"/>
        <w:gridCol w:w="859"/>
        <w:gridCol w:w="3678"/>
        <w:gridCol w:w="440"/>
        <w:gridCol w:w="440"/>
        <w:gridCol w:w="846"/>
        <w:gridCol w:w="587"/>
        <w:gridCol w:w="874"/>
      </w:tblGrid>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w:t>
            </w:r>
            <w:r>
              <w:rPr>
                <w:rFonts w:hint="eastAsia" w:ascii="宋体" w:hAnsi="宋体" w:cs="宋体"/>
                <w:i w:val="0"/>
                <w:iCs w:val="0"/>
                <w:color w:val="000000"/>
                <w:sz w:val="21"/>
                <w:szCs w:val="21"/>
                <w:u w:val="none"/>
                <w:lang w:val="en-US" w:eastAsia="zh-CN" w:bidi="ar"/>
              </w:rPr>
              <w:t xml:space="preserve">（以下为每套要求）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总价（元）</w:t>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44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科学探索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自然养育玩教具；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一、适用于0-3岁婴幼儿科学探索自然养育活动，使婴幼儿在操作中感知观察，提升各项能力。</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科技墙面区：材质：木质、塑料，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尺寸：背景图，122*244cm（±5%），生态环保木板6组  提速风机5组  卡通造型1一组  卡通造型2一组、齿轮1组  Z型落球1组  输送带一组 楼梯1组、透明罩1组 亚克力管子、球篮1个、弯头三通若干，1组。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44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物质区：材质：木质、亚克力、PE、布；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第一组：操作台框架1套，800*630*1280mm（±5%）、小桌子1个，770*450*560mm（±5%）、镜面柜1个，465*467*800mm（±5%）；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44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二组：大转盘1个，556*446*15mm（±5%）、水池1个，593*368*165mm（±5%）、配件包1套（滤水器，置物板1，置物板2-，木栓，试管，漏斗，硅胶水管，针筒，小船，悬挂漏斗，收纳盒，水桶）、材料包1套小篮子、小水桶，白色卡纸，12色颜料，白色塑料袋，黑色熊猫贴纸，手持镜子，模拟水车套组，透明杯小火箭发射套组，探究卡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第三组：面板1个，556*446*15mm（±5%）、小桌板1个，770*450*65mm（±5%）、配件包1组、材料包1组；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44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第四组：大桌面1个，556*446*15mm（±5%）、磁力板1个，410*576*68mm（±5%）、小桌板1个，770*450*35mm（±5%）、配件包1组、材料包1组；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44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第五组：灯板1个，740*364*65mm、PE板1个，556*446*15mm（±5%）、磁力板1个，572*405*5（±5%）、投影布1个，572*405*5（±5%）、小桌板1个，755*450*35mm（±5%）、配件包1组、材料包1组。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生命区：材质：木质、亚克力；</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第一组：长桌1个，1370*600*561mm（±5%）、柜台1个，723*490*726mm（±5%）；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4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第二组：游戏桌框架1个，600*600*4626mm（±5%）、白板1个，450*450*96mm（±5%）、游戏版2个，450*450*96mm（±5%）、材料包1套。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神秘隧道区：材质：木质、PE、亚克力、玻璃；包含方形框架5个，800*906*800（±5%）、三角斜面2个，818*818*800（±5%）。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探究盒子区：材质：木质、PE、亚克力；包含框架1组，1150*1150*1200（±5%）、游戏板9块，448*448*38（±5%）。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44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感官探索区：材质：木质、亚克力；</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第一组：柜子4个，810*300*609mm（±5%）、柜子2个，810*300*789mm（±5%），透白、红、黄、绿等多种颜色组搭配 ；方桌4个，60*60*40cm（±5%） 、方桌4个，60*60*46cm（±5%）、多面椅4个，16*21*30cm（±5%）、靠背椅4个，31*29*26cm（±5%）、书架2个，100*84cm（±5%）。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44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自然互动区：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第二组：圆桌1张，90*46cm（±5%）、椅子4把，31*29*26cm（±5%）、互动套装</w:t>
            </w:r>
            <w:r>
              <w:rPr>
                <w:rFonts w:hint="eastAsia" w:ascii="宋体" w:hAnsi="宋体" w:eastAsia="宋体" w:cs="宋体"/>
                <w:i w:val="0"/>
                <w:iCs w:val="0"/>
                <w:color w:val="000000"/>
                <w:sz w:val="21"/>
                <w:szCs w:val="21"/>
                <w:u w:val="none"/>
                <w:lang w:val="en-US" w:eastAsia="zh-CN" w:bidi="ar"/>
              </w:rPr>
              <w:t xml:space="preserve">1套：4个互动板，28*28cm（±5%）、6个正方形90*90*60mm（±5%）、4个长方形180*90*60mm（±5%）、4个圆柱体392*86*180mm（±5%）；3D打印机2个，27*29.8*30.5cm（±5%）师幼互动套装1组：1个光影教学盒530x270x120 mm（±5%）、奇妙的磁力425x295x105 mm（±5%）、声学教学盒530x270x120 mm（±5%）、科学物理实验光学套玩具300x240x100 mm（±5%）、小小机械师425x295x95 mm（±5%）。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rPr>
          <w:rFonts w:hint="eastAsia" w:ascii="宋体" w:hAnsi="宋体" w:eastAsia="宋体" w:cs="宋体"/>
          <w:b/>
          <w:bCs/>
          <w:color w:val="auto"/>
          <w:sz w:val="21"/>
          <w:szCs w:val="21"/>
          <w:highlight w:val="none"/>
          <w:shd w:val="clear" w:color="auto" w:fill="ffffff"/>
          <w:lang w:val="en-US" w:eastAsia="zh-CN"/>
        </w:rPr>
        <w:outlineLvl w:val="9"/>
      </w:pPr>
      <w:r>
        <w:rPr>
          <w:rFonts w:hint="eastAsia" w:ascii="宋体" w:hAnsi="宋体" w:eastAsia="宋体" w:cs="宋体"/>
          <w:b/>
          <w:bCs/>
          <w:color w:val="auto"/>
          <w:sz w:val="21"/>
          <w:szCs w:val="21"/>
          <w:highlight w:val="none"/>
          <w:shd w:val="clear" w:color="auto" w:fill="ffffff"/>
          <w:lang w:val="en-US" w:eastAsia="zh-CN"/>
        </w:rPr>
        <w:br w:type="page" w:clear="all"/>
      </w:r>
      <w:r/>
    </w:p>
    <w:p>
      <w:pPr>
        <w:rPr>
          <w:rFonts w:hint="eastAsia" w:ascii="宋体" w:hAnsi="宋体" w:eastAsia="宋体" w:cs="宋体"/>
          <w:b w:val="0"/>
          <w:bCs w:val="0"/>
          <w:sz w:val="21"/>
          <w:szCs w:val="21"/>
          <w:highlight w:val="none"/>
          <w:lang w:val="en-US" w:eastAsia="zh-CN"/>
        </w:rPr>
        <w:outlineLvl w:val="2"/>
      </w:pPr>
      <w:r>
        <w:rPr>
          <w:rFonts w:hint="eastAsia" w:ascii="宋体" w:hAnsi="宋体" w:eastAsia="宋体" w:cs="宋体"/>
          <w:b w:val="0"/>
          <w:bCs w:val="0"/>
          <w:sz w:val="21"/>
          <w:szCs w:val="21"/>
          <w:highlight w:val="none"/>
          <w:lang w:val="en-US" w:eastAsia="zh-CN"/>
        </w:rPr>
        <w:t xml:space="preserve">（十七）感统运动课程</w:t>
      </w:r>
      <w:r/>
    </w:p>
    <w:tbl>
      <w:tblPr>
        <w:tblStyle w:val="692"/>
        <w:tblW w:w="0" w:type="auto"/>
        <w:tblInd w:w="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37"/>
        <w:gridCol w:w="1813"/>
        <w:gridCol w:w="4078"/>
        <w:gridCol w:w="438"/>
        <w:gridCol w:w="438"/>
        <w:gridCol w:w="846"/>
        <w:gridCol w:w="438"/>
        <w:gridCol w:w="870"/>
      </w:tblGrid>
      <w:tr>
        <w:trPr>
          <w:trHeight w:val="560"/>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类别</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w:t>
            </w:r>
            <w:r>
              <w:rPr>
                <w:rFonts w:hint="eastAsia" w:ascii="宋体" w:hAnsi="宋体" w:cs="宋体"/>
                <w:i w:val="0"/>
                <w:iCs w:val="0"/>
                <w:color w:val="000000"/>
                <w:sz w:val="21"/>
                <w:szCs w:val="21"/>
                <w:u w:val="none"/>
                <w:lang w:val="en-US" w:eastAsia="zh-CN" w:bidi="ar"/>
              </w:rPr>
              <w:t xml:space="preserve">（以下为每套要求）</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品牌</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型号</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（元）</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总价（元）</w:t>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婴幼儿感统运动体智能活动课1套，适用于0-36月龄婴幼儿发展需求，科学的年龄段设置，综合体能课程划分为五个阶段，72个主题、48种运动技能、进千种教学活动，为婴幼儿提供丰富的体能、认知、语言、及社交能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二、课程配套专业教具：包含大器械组合、平衡组合、悬吊组合、游戏活动组合，不少于88种。</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触觉锻炼组1套22件，产品材质：ABS塑料、TPE合成橡胶，尺寸：110</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270H 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平衡台2件，产品材质：PP、EVA塑料，尺寸：570x390x140H 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平衡单10套50件，产品材质：EVA塑料、TPE合成橡胶，尺寸：Ø170x190H 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平衡桥组合1套25件，材质：PP塑料、TPE合成橡胶，包装尺寸：520x430x230H 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弧形平衡板10件，材质：PP塑料、TPE合成橡胶，尺寸：±520*200*80mm（±5%）。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平衡桩1套6件材质：材质：PP塑料、TPE合成橡胶，尺寸：384 x338 x239 mm，156 x高92 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摇摇椅1套6件，材质：PP塑料、TPE合成橡胶，尺寸：729x498 x高213 cm（±5%），363 x高83 cm（±5%），302 宽281x高119mm（±5%）。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脚印爬1套5件，材质：PP塑料、TPE合成橡胶，包装尺寸：长1200</w:t>
            </w:r>
            <w:r>
              <w:rPr>
                <w:rFonts w:hint="eastAsia" w:ascii="宋体" w:hAnsi="宋体" w:cs="宋体"/>
                <w:i w:val="0"/>
                <w:iCs w:val="0"/>
                <w:color w:val="000000"/>
                <w:sz w:val="21"/>
                <w:szCs w:val="21"/>
                <w:u w:val="none"/>
                <w:lang w:val="en-US" w:eastAsia="zh-CN" w:bidi="ar"/>
              </w:rPr>
              <w:t xml:space="preserve">mm</w:t>
            </w:r>
            <w:r>
              <w:rPr>
                <w:rFonts w:hint="eastAsia" w:ascii="宋体" w:hAnsi="宋体" w:eastAsia="宋体" w:cs="宋体"/>
                <w:i w:val="0"/>
                <w:iCs w:val="0"/>
                <w:color w:val="000000"/>
                <w:sz w:val="21"/>
                <w:szCs w:val="21"/>
                <w:u w:val="none"/>
                <w:lang w:val="en-US" w:eastAsia="zh-CN" w:bidi="ar"/>
              </w:rPr>
              <w:t xml:space="preserve">宽516mm高172mm（±5%）。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丛林小桥1套10件，材质：PP塑料、TPE合成橡胶，尺寸：长596mm x宽138mm x高92mm（±5%），长596mm x宽138mm x高92mm（±5%），长468mm x宽198mm x高187mm（±5%）。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乾坤转10套20件，材质：塑胶ABS、PE，热塑橡胶TPR，尺寸：150*150*300mm（±5%）。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上下转轨10件，材质：塑胶ABS、PE、热塑性橡胶TPR；尺寸：340*210*40mm（±5%）。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拱形桥1件，材质：塑胶ABS、PE、尺 寸：长998×宽647×高562 mm（±5%） 。</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32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山丘组合1套10件，材质：塑胶ABS、PE、尺 寸：宽660*高593*厚60mm（±5%），长522*宽390*厚690mm（±5%），长522*宽223*厚55mm（±5%）。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摸石头过河1套15件，材质：塑料；尺寸： 1350*350mm（±5%）、500*200mm（±5%）、山坡7个。</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平衡步道1套6件，材质：ABS塑料，包装尺寸：480*316*80cm（±5%）。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积木盒子4件，材质：实木多层板、彩色亚克力板  尺寸：496*496*498mm（±5%） </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滑梯平台1件，材质：实木多层板 尺寸：1000*1160*1050mm（±5%）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摇滚梯1件，材质：实木多层板、 尺寸：1200*450mm（±5%）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爬梯1件，材质：实木多层板、辐射松  尺寸：1200*450mm（±5%）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52"/>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直梯2件，材质: 实木多层板 尺寸：1200*450mm（±5%）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折叠梯1件，材质: 实木多层板 尺寸：630*680*700mm（±5%）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爬行梯2件，材质：双涂层加网布，48倍高弹一体海绵，尺寸：495*495*595mm（±5%）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轨道板罗尔2件，材质：实木多层板，尺寸：620 x 470 x 60mm（±5%）。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轨道板循环2件，材质：实木多层板，尺寸：620 x 470 x 60mm（±5%）。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"多向度平衡台2套6件，材质：实木多层板，尺寸： 398×398×高80mm（±5%），结构: 第一块表面有两大两小四个圆形孔，底部为交叉十字形。第二块表面为田字格，田字格表面边长小于等于 200mm， 四个角有两大两小四个圆孔 。底部为井字形，第三块表面分别有正方形 、矩形、圆形、三角形四个图，形， 四周有两大两小四个圆孔， 底部为井字形，最大载重：100 公斤。"</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插骰子1套8件，材质： 皮革、泡沫；纸卡，尺寸：270*270*270mm（±5%） 六个侧面附有透明塑料插口，可插入图片、数字、字母等图案.</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平衡木1件，材质：实木多层板加辐射松实木，尺寸：898*450*200cm（±5%）。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踩高高1套6件，材质:环保ABS, 材质：PE塑料 尺寸：大直径360</w:t>
            </w:r>
            <w:r>
              <w:rPr>
                <w:rFonts w:hint="eastAsia" w:ascii="宋体" w:hAnsi="宋体" w:cs="宋体"/>
                <w:i w:val="0"/>
                <w:iCs w:val="0"/>
                <w:color w:val="000000"/>
                <w:sz w:val="21"/>
                <w:szCs w:val="21"/>
                <w:u w:val="none"/>
                <w:lang w:val="en-US" w:eastAsia="zh-CN" w:bidi="ar"/>
              </w:rPr>
              <w:t xml:space="preserve">mm</w:t>
            </w:r>
            <w:r>
              <w:rPr>
                <w:rFonts w:hint="eastAsia" w:ascii="宋体" w:hAnsi="宋体" w:eastAsia="宋体" w:cs="宋体"/>
                <w:i w:val="0"/>
                <w:iCs w:val="0"/>
                <w:color w:val="000000"/>
                <w:sz w:val="21"/>
                <w:szCs w:val="21"/>
                <w:u w:val="none"/>
                <w:lang w:val="en-US" w:eastAsia="zh-CN" w:bidi="ar"/>
              </w:rPr>
              <w:t xml:space="preserve">高150mm（±5%），中直径330高150mm（±5%），小直径260高100mm（±5%） ，喜洋洋*2灰太狼*2熊猫*2."</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66"/>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"冲浪板2件，材质：实木多层板加EPE、全硅医用皮革，尺寸：298*400mm</w:t>
            </w: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highlight w:val="none"/>
                <w:u w:val="none"/>
                <w:lang w:val="en-US" w:eastAsia="zh-CN" w:bidi="ar"/>
              </w:rPr>
              <w:t xml:space="preserve">。</w:t>
            </w:r>
            <w:r/>
          </w:p>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皮革符合GB/T 16886.7-2015《医疗器械生物学评价第7部分:环氧乙烷灭菌残留量》GB/T 16886.10-2024《医疗器械生物学评价第10部分:皮肤致敏试验》检测保准。并提供第三方权威检测机构出具的检测报告复印件"</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12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"高底地台2件，材质：实木多层板加EPE、全硅医用皮革，尺寸：300*400mm</w:t>
            </w: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highlight w:val="none"/>
                <w:u w:val="none"/>
                <w:lang w:val="en-US" w:eastAsia="zh-CN" w:bidi="ar"/>
              </w:rPr>
              <w:t xml:space="preserve">.皮革符合GB/T 16886.7-2015《医疗器械生物学评价第7部分:环氧乙烷灭菌残留量》GB/T 16886.10-2024《医疗器械生物学评价第10部分:皮肤致敏试验》检测保准。并提供第三方权威检测机构出具的检测报告复印件"</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12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"地面接力，材质：实木多层板加EPE、全硅医用皮革，尺寸：398*550mm </w:t>
            </w:r>
            <w:r>
              <w:rPr>
                <w:rFonts w:hint="eastAsia" w:ascii="宋体" w:hAnsi="宋体" w:eastAsia="宋体" w:cs="宋体"/>
                <w:i w:val="0"/>
                <w:iCs w:val="0"/>
                <w:color w:val="000000"/>
                <w:sz w:val="21"/>
                <w:szCs w:val="21"/>
                <w:u w:val="none"/>
                <w:lang w:val="en-US" w:eastAsia="zh-CN" w:bidi="ar"/>
              </w:rPr>
              <w:t xml:space="preserve">（±5%）</w:t>
            </w:r>
            <w:r/>
          </w:p>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皮革符合GB/T 16886.7-2015《医疗器械生物学评价第7部分:环氧乙烷灭菌残留量》GB/T 16886.10-2024《医疗器械生物学评价第10部分:皮肤致敏试验》检测保准。并提供第三方权威检测机构出具的检测报告复印件"</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团队协力，材质：材质：ABS加万象轮子，尺寸：398*498mm（±5%）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路障6件，材质：材质：ABS多色可选有洞，尺寸：520mm（±5%）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拍拍球10个，材质：橡胶，尺寸：直径220mm（±5%）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传传球20个，材质，橡胶加Pu,尺寸：直径198mm（±5%）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钻洞8件，材质，ABS,尺寸：880*20*71mm（±5%）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平衡球2件，材质：无添加塑胶PVC，尺寸：650mm（±5%）。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触觉平衡球2件，材质：环保无味PVC，尺寸：650mm（±5%） </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跳马2个，材质：无添加塑胶PVC，尺寸：54mm（±5%）。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豆球2个，材质：无添加塑胶PVC，尺寸：尺寸：895*44mm（±5%）。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半球2件，材质：环保无味PVC，尺寸：450mm（±5%）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圆柱跳垫1套4件，材质：金属腿+弹力布+EPE、全硅医用皮革，包装尺寸：800*550*400mm （±5%）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小号落地伞1件，材质：牛津布+抗撕裂织带，尺寸：3600mm（±5%）。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大号落地伞1件，材质：牛津布+抗撕裂织带，尺寸：5980mm（±5%）。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时光隧道1件，材质牛津布+抗撕裂织带，尺寸：1790*Ø480mm（±5%）。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魔术圈1套4件，材质：塑胶PE，尺寸：930*425*150mm（±5%），外尺寸1300mm（±5%），内1060mm（±5%）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踩踏板1套20件，材质：塑胶PE，包装尺寸：490*135*70mm（±5%）。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触觉桥4件，材质：塑胶PE，尺寸：1460*280*30mm（±5%）。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田径天梯2件，材质：塑胶PE，尺寸：7</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lang w:val="en-US" w:eastAsia="zh-CN" w:bidi="ar"/>
              </w:rPr>
              <w:t xml:space="preserve">*496mm（±5%）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飞盘12件，材质：EVA尺寸：直径210mm（±5%）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12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彩虹防护垫1件，材质：EPE+全硅医用皮革,尺寸：2390*1190*398mm（±5%）</w:t>
            </w:r>
            <w:r/>
          </w:p>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皮革符合GB/T 16886.7-2015《医疗器械生物学评价第7部分:环氧乙烷灭菌残留量》</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GB/T 16886.10-2024《医疗器械生物学评价第10部分:皮肤致敏试验》检测保准。（提供投标人或投标品牌制造商送检的第三方机构出具的检测报告）</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低杠1件，材质：镀锌管加烤漆，尺寸：190*700*598mm（±5%）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转椅2件，材质：HDPE塑料，尺寸：810x420H 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视觉训练器8件，材质：HDPE塑料，尺寸：ø38cm*h15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4cm</w:t>
            </w: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12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甜甜圈1件，材质：全硅医用皮革+高回弹海绵，尺寸：1298*380mm</w:t>
            </w:r>
            <w:r>
              <w:rPr>
                <w:rFonts w:hint="eastAsia" w:ascii="宋体" w:hAnsi="宋体" w:eastAsia="宋体" w:cs="宋体"/>
                <w:i w:val="0"/>
                <w:iCs w:val="0"/>
                <w:color w:val="000000"/>
                <w:sz w:val="21"/>
                <w:szCs w:val="21"/>
                <w:u w:val="none"/>
                <w:lang w:val="en-US" w:eastAsia="zh-CN" w:bidi="ar"/>
              </w:rPr>
              <w:t xml:space="preserve">（±5%）</w:t>
            </w:r>
            <w:r/>
          </w:p>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皮革符合GB/T 16886.7-2015《医疗器械生物学评价第7部分:环氧乙烷灭菌残留量》GB/T 16886.10-2024《医疗器械生物学评价第10部分:皮肤致敏试验》检测保准。并提供第三方权威检测机构出具的检测报告复印件"</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8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"梯形组合1套3件，材质：全硅医用皮革+高回弹海绵，尺寸：长898*659*898mm </w:t>
            </w: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highlight w:val="none"/>
                <w:u w:val="none"/>
                <w:lang w:val="en-US" w:eastAsia="zh-CN" w:bidi="ar"/>
              </w:rPr>
              <w:t xml:space="preserve">                               皮革符合GB/T 16886.7-2015《医疗器械生物学评价第7部分:环氧乙烷灭菌残留量》GB/T 16886.10-2024《医疗器械生物学评价第10部分:皮肤致敏试验》检测保准。并提供第三方权威检测机构出具的检测报告复印件"</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12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"平衡木3件，材质：全硅医用皮革、一体高回弹海绵，尺寸：298*749mm</w:t>
            </w: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highlight w:val="none"/>
                <w:u w:val="none"/>
                <w:lang w:val="en-US" w:eastAsia="zh-CN" w:bidi="ar"/>
              </w:rPr>
              <w:t xml:space="preserve">， 450*749mm</w:t>
            </w: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highlight w:val="none"/>
                <w:u w:val="none"/>
                <w:lang w:val="en-US" w:eastAsia="zh-CN" w:bidi="ar"/>
              </w:rPr>
              <w:t xml:space="preserve">，600*749mm</w:t>
            </w: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highlight w:val="none"/>
                <w:u w:val="none"/>
                <w:lang w:val="en-US" w:eastAsia="zh-CN" w:bidi="ar"/>
              </w:rPr>
              <w:t xml:space="preserve">。</w:t>
            </w:r>
            <w:r/>
          </w:p>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皮革符合GB/T 16886.7-2015《医疗器械生物学评价第7部分:环氧乙烷灭菌残留量》GB/T 16886.10-2024《医疗器械生物学评价第10部分:皮肤致敏试验》检测保准。并提供第三方权威检测机构出具的检测报告复印件"</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99"/>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"跳远垫1套3件，材质：全硅医用皮革、高回弹海绵，尺寸：749*750*150/300/450mm</w:t>
            </w: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highlight w:val="none"/>
                <w:u w:val="none"/>
                <w:lang w:val="en-US" w:eastAsia="zh-CN" w:bidi="ar"/>
              </w:rPr>
              <w:t xml:space="preserve">                            皮革符合GB/T 16886.7-2015《医疗器械生物学评价第7部分:环氧乙烷灭菌残留量》GB/T 16886.10-2024《医疗器械生物学评价第10部分:皮肤致敏试验》检测保准。并提供第三方权威检测机构出具的检测报告复印件"</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12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"异形垫1件，材质：全硅医用皮革+EPE绵，尺寸：241*61*5cm</w:t>
            </w:r>
            <w:r>
              <w:rPr>
                <w:rFonts w:hint="eastAsia" w:ascii="宋体" w:hAnsi="宋体" w:eastAsia="宋体" w:cs="宋体"/>
                <w:i w:val="0"/>
                <w:iCs w:val="0"/>
                <w:color w:val="000000"/>
                <w:sz w:val="21"/>
                <w:szCs w:val="21"/>
                <w:u w:val="none"/>
                <w:lang w:val="en-US" w:eastAsia="zh-CN" w:bidi="ar"/>
              </w:rPr>
              <w:t xml:space="preserve">（±5%）</w:t>
            </w:r>
            <w:r/>
          </w:p>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皮革符合GB/T 16886.7-2015《医疗器械生物学评价第7部分:环氧乙烷灭菌残留量》GB/T 16886.10-2024《医疗器械生物学评价第10部分:皮肤致敏试验》检测保准。并提供第三方权威检测机构出具的检测报告复印件"</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"扶手桥组合5件，材质：全硅医用皮革+高回弹海绵，尺寸：498*798mm</w:t>
            </w: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highlight w:val="none"/>
                <w:u w:val="none"/>
                <w:lang w:val="en-US" w:eastAsia="zh-CN" w:bidi="ar"/>
              </w:rPr>
              <w:t xml:space="preserve">，598*1198*398mm</w:t>
            </w: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highlight w:val="none"/>
                <w:u w:val="none"/>
                <w:lang w:val="en-US" w:eastAsia="zh-CN" w:bidi="ar"/>
              </w:rPr>
              <w:t xml:space="preserve">，449 *75mm</w:t>
            </w: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highlight w:val="none"/>
                <w:u w:val="none"/>
                <w:lang w:val="en-US" w:eastAsia="zh-CN" w:bidi="ar"/>
              </w:rPr>
              <w:t xml:space="preserve">，1220*620*370mm</w:t>
            </w: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highlight w:val="none"/>
                <w:u w:val="none"/>
                <w:lang w:val="en-US" w:eastAsia="zh-CN" w:bidi="ar"/>
              </w:rPr>
              <w:t xml:space="preserve"> </w:t>
            </w:r>
            <w:r/>
          </w:p>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皮革符合GB/T 16886.7-2015《医疗器械生物学评价第7部分:环氧乙烷灭菌残留量》GB/T 16886.10-2024《医疗器械生物学评价第10部分:皮肤致敏试验》检测保准。并提供第三方权威检测机构出具的检测报告复印件"</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一体防护垫128平米厚度29.8mm 材质：底层材料采用抗水防潮、稳固性高的 xpe，面料使用的是 1000D 以上的风琴纹防滑耐磨皮革。</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跳圈24件，材质：ABS塑料，尺寸：495mm（±5%）.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12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"摇滚桶1件，材质：全硅医用皮革、高回弹海绵，尺寸：998*820*440mm</w:t>
            </w: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highlight w:val="none"/>
                <w:u w:val="none"/>
                <w:lang w:val="en-US" w:eastAsia="zh-CN" w:bidi="ar"/>
              </w:rPr>
              <w:t xml:space="preserve">。</w:t>
            </w:r>
            <w:r/>
          </w:p>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皮革符合GB/T 16886.7-2015《医疗器械生物学评价第7部分:环氧乙烷灭菌残留量》GB/T 16886.10-2024《医疗器械生物学评价第10部分:皮肤致敏试验》检测保准。并提供第三方权威检测机构出具的检测报告复印件"</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13"/>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充气骑士柱1套4件，材质：全硅医用皮革、PVC充气内胆，整体尺寸：2998*599mm（±5%）</w:t>
            </w:r>
            <w:r>
              <w:rPr>
                <w:rFonts w:hint="eastAsia" w:ascii="宋体" w:hAnsi="宋体" w:cs="宋体"/>
                <w:i w:val="0"/>
                <w:iCs w:val="0"/>
                <w:color w:val="000000"/>
                <w:sz w:val="21"/>
                <w:szCs w:val="21"/>
                <w:u w:val="none"/>
                <w:lang w:val="en-US" w:eastAsia="zh-CN" w:bidi="ar"/>
              </w:rPr>
              <w:t xml:space="preserve">。</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"邮箱1件，材质：全硅医用皮革、高回弹海绵，尺寸：879*380*480mm</w:t>
            </w: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highlight w:val="none"/>
                <w:u w:val="none"/>
                <w:lang w:val="en-US" w:eastAsia="zh-CN" w:bidi="ar"/>
              </w:rPr>
              <w:t xml:space="preserve"> </w:t>
            </w:r>
            <w:r/>
          </w:p>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皮革符合GB/T 16886.7-2015《医疗器械生物学评价第7部分:环氧乙烷灭菌残留量》GB/T 16886.10-2024《医疗器械生物学评价第10部分:皮肤致敏试验》检测保准。并提供第三方权威检测机构出具的检测报告复印件"</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软包镜面1件，材质：实木多层板加EPE加PU革，尺寸：1198*580*40mm（±5%）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12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"透明球池4件，材质：全硅医用皮革、高回弹海绵环保PU革，尺寸：200*200*72cm</w:t>
            </w:r>
            <w:r>
              <w:rPr>
                <w:rFonts w:hint="eastAsia" w:ascii="宋体" w:hAnsi="宋体" w:eastAsia="宋体" w:cs="宋体"/>
                <w:i w:val="0"/>
                <w:iCs w:val="0"/>
                <w:color w:val="000000"/>
                <w:sz w:val="21"/>
                <w:szCs w:val="21"/>
                <w:u w:val="none"/>
                <w:lang w:val="en-US" w:eastAsia="zh-CN" w:bidi="ar"/>
              </w:rPr>
              <w:t xml:space="preserve">（±5%）</w:t>
            </w:r>
            <w:r/>
          </w:p>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皮革符合GB/T 16886.7-2015《医疗器械生物学评价第7部分:环氧乙烷灭菌残留量》GB/T 16886.10-2024《医疗器械生物学评价第10部分:皮肤致敏试验》检测保准。并提供第三方权威检测机构出具的检测报告复印件"</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透明海洋球球3000个，材质PE,尺寸： 798mm（±5%）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不锈钢环20个，材质，304不锈钢，尺寸：83*80</w:t>
            </w:r>
            <w:r>
              <w:rPr>
                <w:rFonts w:hint="eastAsia" w:ascii="宋体" w:hAnsi="宋体" w:cs="宋体"/>
                <w:i w:val="0"/>
                <w:iCs w:val="0"/>
                <w:color w:val="000000"/>
                <w:sz w:val="21"/>
                <w:szCs w:val="21"/>
                <w:u w:val="none"/>
                <w:lang w:val="en-US" w:eastAsia="zh-CN" w:bidi="ar"/>
              </w:rPr>
              <w:t xml:space="preserve">mm</w:t>
            </w: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95"/>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登山锁扣20套，材质：尼龙加不锈钢，尺寸：1200*20mm（±5%）。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南瓜报1件， 材质：实木多层板加EPE加PU革加镀锌拉环，尺寸：750*220*750mm（±5%）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96"/>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吊带1套2件，材质：不锈钢加帆布，展开尺寸：1400*1200mm（±5%）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悬杆1件，材质：桦木实木加PP绳，尺寸：:11.5cm（±5%）, Ø2.2cm（±5%），45*Ø3.5cm（±5%）。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22"/>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荡秋千1件，材质：牛津布加镀锌管加金属铃铛，尺寸：1598*650*300mm（±5%）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双层帐篷1件，材质：210D牛津布加镀锌管加PP绳，尺寸：1080*1400mm（±5%）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83"/>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投篮筐1件，材质：塑胶PE尺寸：900-1500mm（±5%）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倒立架4件，材质：实木辐射松加不锈钢，尺寸：410*130*130mm（±5%）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1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"过河桥1件，材质：全硅医用皮革、高回弹海绵，尺寸：2280*210*130mm</w:t>
            </w: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cs="宋体"/>
                <w:i w:val="0"/>
                <w:iCs w:val="0"/>
                <w:color w:val="000000"/>
                <w:sz w:val="21"/>
                <w:szCs w:val="21"/>
                <w:highlight w:val="none"/>
                <w:u w:val="none"/>
                <w:lang w:val="en-US" w:eastAsia="zh-CN" w:bidi="ar"/>
              </w:rPr>
              <w:t xml:space="preserve">。</w:t>
            </w:r>
            <w:r/>
          </w:p>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皮革符合GB/T 16886.7-2015《医疗器械生物学评价第7部分:环氧乙烷灭菌残留量》GB/T 16886.10-2024《医疗器械生物学评价第10部分:皮肤致敏试验》检测保准。并提供第三方权威检测机构出具的检测报告复印件"</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找洞洞12件，材质：PVC一次热压而成，尺寸：89*89mm（±5%）。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捉迷藏12件，材质：牛津布加聚丙烯织带，尺寸：80*165mm（±5%）</w:t>
            </w:r>
            <w:r>
              <w:rPr>
                <w:rFonts w:hint="eastAsia" w:ascii="宋体" w:hAnsi="宋体" w:cs="宋体"/>
                <w:i w:val="0"/>
                <w:iCs w:val="0"/>
                <w:color w:val="000000"/>
                <w:sz w:val="21"/>
                <w:szCs w:val="21"/>
                <w:u w:val="none"/>
                <w:lang w:val="en-US" w:eastAsia="zh-CN" w:bidi="ar"/>
              </w:rPr>
              <w:t xml:space="preserve">。</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丢手绢游戏附件20件，材质：牛津布加PP颗粒，尺寸：12.5cm（±5%）。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"异型沙包12件，材质：PVC加PP颗粒，尺寸：8-12cm（±5%） 。</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字母认知26件，材质：PVC加PP颗粒，尺寸：12.5cm（±5%）。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钻钻乐1件，材质：牛津布加钢丝，尺寸：179.5*59.5*68cm（±5%）</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大象戏水8件，材质：ABS环保塑料，尺寸：包装尺寸：45*29.5*41.5cm（±5%）</w:t>
            </w:r>
            <w:r>
              <w:rPr>
                <w:rFonts w:hint="eastAsia" w:ascii="宋体" w:hAnsi="宋体" w:cs="宋体"/>
                <w:i w:val="0"/>
                <w:iCs w:val="0"/>
                <w:color w:val="000000"/>
                <w:sz w:val="21"/>
                <w:szCs w:val="21"/>
                <w:u w:val="none"/>
                <w:lang w:val="en-US" w:eastAsia="zh-CN" w:bidi="ar"/>
              </w:rPr>
              <w:t xml:space="preserve">。</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硅胶毯20件，材质：软硅胶，尺寸：30*24.5cm（±5%）</w:t>
            </w:r>
            <w:r>
              <w:rPr>
                <w:rFonts w:hint="eastAsia" w:ascii="宋体" w:hAnsi="宋体" w:cs="宋体"/>
                <w:i w:val="0"/>
                <w:iCs w:val="0"/>
                <w:color w:val="000000"/>
                <w:sz w:val="21"/>
                <w:szCs w:val="21"/>
                <w:u w:val="none"/>
                <w:lang w:val="en-US" w:eastAsia="zh-CN" w:bidi="ar"/>
              </w:rPr>
              <w:t xml:space="preserve">。</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2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"动物摇4件，材质：全硅医用皮革、高回弹海绵，尺寸：118*23*25cm</w:t>
            </w:r>
            <w:r>
              <w:rPr>
                <w:rFonts w:hint="eastAsia" w:ascii="宋体" w:hAnsi="宋体" w:eastAsia="宋体" w:cs="宋体"/>
                <w:i w:val="0"/>
                <w:iCs w:val="0"/>
                <w:color w:val="000000"/>
                <w:sz w:val="21"/>
                <w:szCs w:val="21"/>
                <w:u w:val="none"/>
                <w:lang w:val="en-US" w:eastAsia="zh-CN" w:bidi="ar"/>
              </w:rPr>
              <w:t xml:space="preserve">（±5%）</w:t>
            </w:r>
            <w:r/>
          </w:p>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皮革符合GB/T 16886.7-2015《医疗器械生物学评价第7部分:环氧乙烷灭菌残留量》GB/T 16886.10-2024《医疗器械生物学评价第10部分:皮肤致敏试验》检测保准。并提供第三方权威检测机构出具的检测报告复印件"</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"手把摇马1件，材质：全硅医用皮革、加PVC,尺寸：98*100*08cm</w:t>
            </w: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cs="宋体"/>
                <w:i w:val="0"/>
                <w:iCs w:val="0"/>
                <w:color w:val="000000"/>
                <w:sz w:val="21"/>
                <w:szCs w:val="21"/>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皮革符合GB/T 16886.7-2015《医疗器械生物学评价第7部分:环氧乙烷灭菌残留量》GB/T 16886.10-2024《医疗器械生物学评价第10部分:皮肤致敏试验》检测保准。并提供第三方权威检测机构出具的检测报告复印件"</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jc w:val="left"/>
        <w:keepLines w:val="0"/>
        <w:keepNext w:val="0"/>
        <w:spacing w:line="360" w:lineRule="auto"/>
        <w:widowControl/>
        <w:rPr>
          <w:rFonts w:hint="eastAsia" w:ascii="宋体" w:hAnsi="宋体" w:eastAsia="宋体" w:cs="宋体"/>
          <w:b/>
          <w:bCs/>
          <w:color w:val="auto"/>
          <w:sz w:val="21"/>
          <w:szCs w:val="21"/>
          <w:highlight w:val="none"/>
          <w:shd w:val="clear" w:color="auto" w:fill="ffffff"/>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cs="宋体"/>
          <w:i w:val="0"/>
          <w:iCs w:val="0"/>
          <w:color w:val="000000"/>
          <w:sz w:val="24"/>
          <w:szCs w:val="24"/>
          <w:highlight w:val="none"/>
          <w:u w:val="none"/>
          <w:lang w:val="en-US" w:eastAsia="zh-CN" w:bidi="ar"/>
        </w:rPr>
        <w:t xml:space="preserve">“感统运动课程”</w:t>
      </w:r>
      <w:r>
        <w:rPr>
          <w:rFonts w:hint="eastAsia" w:ascii="宋体" w:hAnsi="宋体" w:eastAsia="宋体" w:cs="宋体"/>
          <w:i w:val="0"/>
          <w:iCs w:val="0"/>
          <w:color w:val="000000"/>
          <w:sz w:val="24"/>
          <w:szCs w:val="24"/>
          <w:highlight w:val="none"/>
          <w:u w:val="none"/>
          <w:lang w:val="en-US" w:eastAsia="zh-CN" w:bidi="ar"/>
        </w:rPr>
        <w:t xml:space="preserve">中</w:t>
      </w:r>
      <w:r>
        <w:rPr>
          <w:rFonts w:hint="eastAsia" w:ascii="宋体" w:hAnsi="宋体" w:cs="宋体"/>
          <w:i w:val="0"/>
          <w:iCs w:val="0"/>
          <w:color w:val="000000"/>
          <w:sz w:val="24"/>
          <w:szCs w:val="24"/>
          <w:highlight w:val="none"/>
          <w:u w:val="none"/>
          <w:lang w:val="en-US" w:eastAsia="zh-CN" w:bidi="ar"/>
        </w:rPr>
        <w:t xml:space="preserve">“序号29、30、31、51、55、56、57、58、59、60、63、65、67、78、87、88”项</w:t>
      </w:r>
      <w:r>
        <w:rPr>
          <w:rFonts w:hint="eastAsia" w:ascii="宋体" w:hAnsi="宋体" w:eastAsia="宋体" w:cs="宋体"/>
          <w:i w:val="0"/>
          <w:iCs w:val="0"/>
          <w:color w:val="000000"/>
          <w:sz w:val="24"/>
          <w:szCs w:val="24"/>
          <w:highlight w:val="none"/>
          <w:u w:val="none"/>
          <w:lang w:val="en-US" w:eastAsia="zh-CN" w:bidi="ar"/>
        </w:rPr>
        <w:t xml:space="preserve">所</w:t>
      </w:r>
      <w:r>
        <w:rPr>
          <w:rFonts w:hint="eastAsia" w:ascii="宋体" w:hAnsi="宋体" w:cs="宋体"/>
          <w:i w:val="0"/>
          <w:iCs w:val="0"/>
          <w:color w:val="000000"/>
          <w:sz w:val="24"/>
          <w:szCs w:val="24"/>
          <w:highlight w:val="none"/>
          <w:u w:val="none"/>
          <w:lang w:val="en-US" w:eastAsia="zh-CN" w:bidi="ar"/>
        </w:rPr>
        <w:t xml:space="preserve">涉及到</w:t>
      </w:r>
      <w:r>
        <w:rPr>
          <w:rFonts w:hint="eastAsia" w:ascii="宋体" w:hAnsi="宋体" w:eastAsia="宋体" w:cs="宋体"/>
          <w:i w:val="0"/>
          <w:iCs w:val="0"/>
          <w:color w:val="000000"/>
          <w:sz w:val="24"/>
          <w:szCs w:val="24"/>
          <w:highlight w:val="none"/>
          <w:u w:val="none"/>
          <w:lang w:val="en-US" w:eastAsia="zh-CN" w:bidi="ar"/>
        </w:rPr>
        <w:t xml:space="preserve">的皮革</w:t>
      </w:r>
      <w:r>
        <w:rPr>
          <w:rFonts w:hint="eastAsia" w:ascii="宋体" w:hAnsi="宋体" w:cs="宋体"/>
          <w:i w:val="0"/>
          <w:iCs w:val="0"/>
          <w:color w:val="000000"/>
          <w:sz w:val="24"/>
          <w:szCs w:val="24"/>
          <w:highlight w:val="none"/>
          <w:u w:val="none"/>
          <w:lang w:val="en-US" w:eastAsia="zh-CN" w:bidi="ar"/>
        </w:rPr>
        <w:t xml:space="preserve">均需</w:t>
      </w:r>
      <w:r>
        <w:rPr>
          <w:rFonts w:hint="eastAsia" w:ascii="宋体" w:hAnsi="宋体" w:eastAsia="宋体" w:cs="宋体"/>
          <w:i w:val="0"/>
          <w:iCs w:val="0"/>
          <w:color w:val="000000"/>
          <w:sz w:val="24"/>
          <w:szCs w:val="24"/>
          <w:highlight w:val="none"/>
          <w:u w:val="none"/>
          <w:lang w:val="en-US" w:eastAsia="zh-CN" w:bidi="ar"/>
        </w:rPr>
        <w:t xml:space="preserve">符合GB/T 16886.7-2015《医疗器械生物学评价第7部分:环氧乙烷灭菌残留量》GB/T 16886.10-2024《医疗器械生物学评价第10部分:皮肤致敏试验》检测保准。并提供第三方权威检测机构出具的检测报告复印件"</w:t>
      </w:r>
      <w:r>
        <w:rPr>
          <w:rFonts w:hint="eastAsia" w:ascii="宋体" w:hAnsi="宋体" w:eastAsia="宋体" w:cs="宋体"/>
          <w:b/>
          <w:bCs/>
          <w:color w:val="auto"/>
          <w:sz w:val="21"/>
          <w:szCs w:val="21"/>
          <w:highlight w:val="none"/>
          <w:shd w:val="clear" w:color="auto" w:fill="ffffff"/>
          <w:lang w:val="en-US" w:eastAsia="zh-CN"/>
        </w:rPr>
        <w:br w:type="page" w:clear="all"/>
      </w:r>
      <w:r/>
    </w:p>
    <w:p>
      <w:pPr>
        <w:rPr>
          <w:rFonts w:hint="eastAsia" w:ascii="宋体" w:hAnsi="宋体" w:eastAsia="宋体" w:cs="宋体"/>
          <w:b w:val="0"/>
          <w:bCs w:val="0"/>
          <w:sz w:val="21"/>
          <w:szCs w:val="21"/>
          <w:highlight w:val="none"/>
          <w:lang w:val="en-US" w:eastAsia="zh-CN"/>
        </w:rPr>
        <w:outlineLvl w:val="2"/>
      </w:pPr>
      <w:r>
        <w:rPr>
          <w:rFonts w:hint="eastAsia" w:ascii="宋体" w:hAnsi="宋体" w:eastAsia="宋体" w:cs="宋体"/>
          <w:b w:val="0"/>
          <w:bCs w:val="0"/>
          <w:sz w:val="21"/>
          <w:szCs w:val="21"/>
          <w:highlight w:val="none"/>
          <w:lang w:val="en-US" w:eastAsia="zh-CN"/>
        </w:rPr>
        <w:t xml:space="preserve">（十八）婴幼儿绘本</w:t>
      </w:r>
      <w:r/>
    </w:p>
    <w:tbl>
      <w:tblPr>
        <w:tblStyle w:val="692"/>
        <w:tblW w:w="0" w:type="auto"/>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01"/>
        <w:gridCol w:w="1266"/>
        <w:gridCol w:w="4140"/>
        <w:gridCol w:w="502"/>
        <w:gridCol w:w="502"/>
        <w:gridCol w:w="846"/>
        <w:gridCol w:w="603"/>
        <w:gridCol w:w="998"/>
      </w:tblGrid>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w:t>
            </w:r>
            <w:r>
              <w:rPr>
                <w:rFonts w:hint="eastAsia" w:ascii="宋体" w:hAnsi="宋体" w:cs="宋体"/>
                <w:i w:val="0"/>
                <w:iCs w:val="0"/>
                <w:color w:val="000000"/>
                <w:sz w:val="21"/>
                <w:szCs w:val="21"/>
                <w:u w:val="none"/>
                <w:lang w:val="en-US" w:eastAsia="zh-CN" w:bidi="ar"/>
              </w:rPr>
              <w:t xml:space="preserve">（以下为每套要求）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总价（元）</w:t>
            </w:r>
            <w:r/>
          </w:p>
        </w:tc>
      </w:tr>
      <w:tr>
        <w:trPr>
          <w:trHeight w:val="16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婴幼儿绘本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0-3岁婴幼儿绘本，类别包含：生活认知、能力培养、科普通识、经典故事、趣味互动、布质绘本等1000本。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rPr>
          <w:rFonts w:hint="eastAsia" w:ascii="宋体" w:hAnsi="宋体" w:eastAsia="宋体" w:cs="宋体"/>
          <w:b/>
          <w:bCs/>
          <w:color w:val="auto"/>
          <w:sz w:val="21"/>
          <w:szCs w:val="21"/>
          <w:highlight w:val="none"/>
          <w:shd w:val="clear" w:color="auto" w:fill="ffffff"/>
          <w:lang w:val="en-US" w:eastAsia="zh-CN"/>
        </w:rPr>
        <w:outlineLvl w:val="9"/>
      </w:pPr>
      <w:r>
        <w:rPr>
          <w:rFonts w:hint="eastAsia" w:ascii="宋体" w:hAnsi="宋体" w:eastAsia="宋体" w:cs="宋体"/>
          <w:b/>
          <w:bCs/>
          <w:color w:val="auto"/>
          <w:sz w:val="21"/>
          <w:szCs w:val="21"/>
          <w:highlight w:val="none"/>
          <w:shd w:val="clear" w:color="auto" w:fill="ffffff"/>
          <w:lang w:val="en-US" w:eastAsia="zh-CN"/>
        </w:rPr>
        <w:br w:type="page" w:clear="all"/>
      </w:r>
      <w:r/>
    </w:p>
    <w:p>
      <w:pPr>
        <w:rPr>
          <w:rFonts w:hint="eastAsia" w:ascii="宋体" w:hAnsi="宋体" w:eastAsia="宋体" w:cs="宋体"/>
          <w:b w:val="0"/>
          <w:bCs w:val="0"/>
          <w:sz w:val="21"/>
          <w:szCs w:val="21"/>
          <w:highlight w:val="none"/>
          <w:lang w:val="en-US" w:eastAsia="zh-CN"/>
        </w:rPr>
        <w:outlineLvl w:val="2"/>
      </w:pPr>
      <w:r>
        <w:rPr>
          <w:rFonts w:hint="eastAsia" w:ascii="宋体" w:hAnsi="宋体" w:eastAsia="宋体" w:cs="宋体"/>
          <w:b w:val="0"/>
          <w:bCs w:val="0"/>
          <w:sz w:val="21"/>
          <w:szCs w:val="21"/>
          <w:highlight w:val="none"/>
          <w:lang w:val="en-US" w:eastAsia="zh-CN"/>
        </w:rPr>
        <w:t xml:space="preserve">（十九）</w:t>
      </w:r>
      <w:r>
        <w:rPr>
          <w:rFonts w:hint="eastAsia" w:ascii="宋体" w:hAnsi="宋体" w:eastAsia="宋体" w:cs="宋体"/>
          <w:i w:val="0"/>
          <w:iCs w:val="0"/>
          <w:color w:val="000000"/>
          <w:sz w:val="21"/>
          <w:szCs w:val="21"/>
          <w:highlight w:val="none"/>
          <w:u w:val="none"/>
          <w:lang w:val="en-US" w:eastAsia="zh-CN" w:bidi="ar"/>
        </w:rPr>
        <w:t xml:space="preserve">钢琴</w:t>
      </w:r>
      <w:r>
        <w:rPr>
          <w:rFonts w:hint="eastAsia" w:ascii="宋体" w:hAnsi="宋体" w:cs="宋体"/>
          <w:i w:val="0"/>
          <w:iCs w:val="0"/>
          <w:color w:val="000000"/>
          <w:sz w:val="21"/>
          <w:szCs w:val="21"/>
          <w:highlight w:val="none"/>
          <w:u w:val="none"/>
          <w:lang w:val="en-US" w:eastAsia="zh-CN" w:bidi="ar"/>
        </w:rPr>
        <w:t xml:space="preserve">（核心产品</w:t>
      </w:r>
      <w:bookmarkStart w:id="92" w:name="_GoBack"/>
      <w:r/>
      <w:bookmarkEnd w:id="92"/>
      <w:r>
        <w:rPr>
          <w:rFonts w:hint="eastAsia" w:ascii="宋体" w:hAnsi="宋体" w:cs="宋体"/>
          <w:i w:val="0"/>
          <w:iCs w:val="0"/>
          <w:color w:val="000000"/>
          <w:sz w:val="21"/>
          <w:szCs w:val="21"/>
          <w:highlight w:val="none"/>
          <w:u w:val="none"/>
          <w:lang w:val="en-US" w:eastAsia="zh-CN" w:bidi="ar"/>
        </w:rPr>
        <w:t xml:space="preserve">）</w:t>
      </w:r>
      <w:r/>
    </w:p>
    <w:tbl>
      <w:tblPr>
        <w:tblStyle w:val="692"/>
        <w:tblW w:w="0" w:type="auto"/>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95"/>
        <w:gridCol w:w="636"/>
        <w:gridCol w:w="4806"/>
        <w:gridCol w:w="495"/>
        <w:gridCol w:w="495"/>
        <w:gridCol w:w="846"/>
        <w:gridCol w:w="601"/>
        <w:gridCol w:w="984"/>
      </w:tblGrid>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w:t>
            </w:r>
            <w:r>
              <w:rPr>
                <w:rFonts w:hint="eastAsia" w:ascii="宋体" w:hAnsi="宋体" w:cs="宋体"/>
                <w:i w:val="0"/>
                <w:iCs w:val="0"/>
                <w:color w:val="000000"/>
                <w:sz w:val="21"/>
                <w:szCs w:val="21"/>
                <w:u w:val="none"/>
                <w:lang w:val="en-US" w:eastAsia="zh-CN" w:bidi="ar"/>
              </w:rPr>
              <w:t xml:space="preserve">（以下为每套要求）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总价（元）</w:t>
            </w:r>
            <w:r/>
          </w:p>
        </w:tc>
      </w:tr>
      <w:tr>
        <w:trPr>
          <w:trHeight w:val="17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尺寸：152*61*118cm（±2%）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材质：木质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规格：88键木质键盘，立式原声，触感与音色和谐统一，引入弧形曲线设计，多功能三角踏板，采用环保油漆，包含琴凳。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rPr>
          <w:rFonts w:hint="eastAsia" w:ascii="宋体" w:hAnsi="宋体" w:cs="宋体"/>
          <w:b/>
          <w:bCs/>
          <w:color w:val="auto"/>
          <w:szCs w:val="21"/>
          <w:highlight w:val="none"/>
          <w:shd w:val="clear" w:color="auto" w:fill="ffffff"/>
          <w:lang w:val="en-US" w:eastAsia="zh-CN"/>
        </w:rPr>
        <w:outlineLvl w:val="9"/>
      </w:pPr>
      <w:r>
        <w:rPr>
          <w:rFonts w:hint="eastAsia" w:ascii="宋体" w:hAnsi="宋体" w:cs="宋体"/>
          <w:b/>
          <w:bCs/>
          <w:color w:val="auto"/>
          <w:szCs w:val="21"/>
          <w:highlight w:val="none"/>
          <w:shd w:val="clear" w:color="auto" w:fill="ffffff"/>
          <w:lang w:val="en-US" w:eastAsia="zh-CN"/>
        </w:rPr>
        <w:br w:type="page" w:clear="all"/>
      </w:r>
      <w:r/>
    </w:p>
    <w:p>
      <w:pPr>
        <w:pageBreakBefore w:val="0"/>
        <w:spacing w:line="300" w:lineRule="auto"/>
        <w:rPr>
          <w:rFonts w:hint="eastAsia" w:ascii="宋体" w:hAnsi="宋体" w:eastAsia="宋体" w:cs="宋体"/>
          <w:b/>
          <w:bCs/>
          <w:color w:val="auto"/>
          <w:szCs w:val="21"/>
          <w:highlight w:val="none"/>
          <w:shd w:val="clear" w:color="auto" w:fill="ffffff"/>
        </w:rPr>
        <w:outlineLvl w:val="1"/>
      </w:pPr>
      <w:r>
        <w:rPr>
          <w:rFonts w:hint="eastAsia" w:ascii="宋体" w:hAnsi="宋体" w:cs="宋体"/>
          <w:b/>
          <w:bCs/>
          <w:color w:val="auto"/>
          <w:szCs w:val="21"/>
          <w:highlight w:val="none"/>
          <w:shd w:val="clear" w:color="auto" w:fill="ffffff"/>
          <w:lang w:val="en-US" w:eastAsia="zh-CN"/>
        </w:rPr>
        <w:t xml:space="preserve">四</w:t>
      </w:r>
      <w:r>
        <w:rPr>
          <w:rFonts w:hint="eastAsia" w:ascii="宋体" w:hAnsi="宋体" w:eastAsia="宋体" w:cs="宋体"/>
          <w:b/>
          <w:bCs/>
          <w:color w:val="auto"/>
          <w:szCs w:val="21"/>
          <w:highlight w:val="none"/>
          <w:shd w:val="clear" w:color="auto" w:fill="ffffff"/>
        </w:rPr>
        <w:t xml:space="preserve">、投标报价</w:t>
      </w:r>
      <w:r/>
    </w:p>
    <w:p>
      <w:pPr>
        <w:ind w:firstLine="420"/>
        <w:keepLines w:val="0"/>
        <w:keepNext w:val="0"/>
        <w:pageBreakBefore w:val="0"/>
        <w:spacing w:line="30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1、投标报价应包括项目实施过程中所有费用，包含但不限于：</w:t>
      </w:r>
      <w:r>
        <w:rPr>
          <w:rFonts w:hint="eastAsia" w:ascii="宋体" w:hAnsi="宋体" w:cs="宋体"/>
          <w:bCs/>
          <w:color w:val="auto"/>
          <w:szCs w:val="21"/>
          <w:highlight w:val="none"/>
          <w:shd w:val="clear" w:color="auto" w:fill="ffffff"/>
          <w:lang w:val="en-US" w:eastAsia="zh-CN"/>
        </w:rPr>
        <w:t xml:space="preserve">第三方</w:t>
      </w:r>
      <w:r>
        <w:rPr>
          <w:rFonts w:hint="eastAsia" w:ascii="宋体" w:hAnsi="宋体" w:eastAsia="宋体" w:cs="宋体"/>
          <w:bCs/>
          <w:color w:val="auto"/>
          <w:szCs w:val="21"/>
          <w:highlight w:val="none"/>
          <w:shd w:val="clear" w:color="auto" w:fill="ffffff"/>
        </w:rPr>
        <w:t xml:space="preserve">质检</w:t>
      </w:r>
      <w:r>
        <w:rPr>
          <w:rFonts w:hint="eastAsia" w:ascii="宋体" w:hAnsi="宋体" w:cs="宋体"/>
          <w:bCs/>
          <w:color w:val="auto"/>
          <w:szCs w:val="21"/>
          <w:highlight w:val="none"/>
          <w:shd w:val="clear" w:color="auto" w:fill="ffffff"/>
          <w:lang w:val="en-US" w:eastAsia="zh-CN"/>
        </w:rPr>
        <w:t xml:space="preserve">费用</w:t>
      </w:r>
      <w:r>
        <w:rPr>
          <w:rFonts w:hint="eastAsia" w:ascii="宋体" w:hAnsi="宋体" w:cs="宋体"/>
          <w:bCs/>
          <w:color w:val="auto"/>
          <w:szCs w:val="21"/>
          <w:highlight w:val="none"/>
          <w:shd w:val="clear" w:color="auto" w:fill="ffffff"/>
          <w:lang w:eastAsia="zh-CN"/>
        </w:rPr>
        <w:t xml:space="preserve">、</w:t>
      </w:r>
      <w:r>
        <w:rPr>
          <w:rFonts w:hint="eastAsia" w:ascii="宋体" w:hAnsi="宋体" w:eastAsia="宋体" w:cs="宋体"/>
          <w:bCs/>
          <w:color w:val="auto"/>
          <w:szCs w:val="21"/>
          <w:highlight w:val="none"/>
          <w:shd w:val="clear" w:color="auto" w:fill="ffffff"/>
        </w:rPr>
        <w:t xml:space="preserve">辅助物品</w:t>
      </w:r>
      <w:r>
        <w:rPr>
          <w:rFonts w:hint="eastAsia" w:ascii="宋体" w:hAnsi="宋体" w:cs="宋体"/>
          <w:bCs/>
          <w:color w:val="auto"/>
          <w:szCs w:val="21"/>
          <w:highlight w:val="none"/>
          <w:shd w:val="clear" w:color="auto" w:fill="ffffff"/>
          <w:lang w:val="en-US" w:eastAsia="zh-CN"/>
        </w:rPr>
        <w:t xml:space="preserve">费用</w:t>
      </w:r>
      <w:r>
        <w:rPr>
          <w:rFonts w:hint="eastAsia" w:ascii="宋体" w:hAnsi="宋体" w:cs="宋体"/>
          <w:bCs/>
          <w:color w:val="auto"/>
          <w:szCs w:val="21"/>
          <w:highlight w:val="none"/>
          <w:shd w:val="clear" w:color="auto" w:fill="ffffff"/>
          <w:lang w:eastAsia="zh-CN"/>
        </w:rPr>
        <w:t xml:space="preserve">，</w:t>
      </w:r>
      <w:r>
        <w:rPr>
          <w:rFonts w:hint="eastAsia" w:ascii="宋体" w:hAnsi="宋体" w:eastAsia="宋体" w:cs="宋体"/>
          <w:bCs/>
          <w:color w:val="auto"/>
          <w:szCs w:val="21"/>
          <w:highlight w:val="none"/>
          <w:shd w:val="clear" w:color="auto" w:fill="ffffff"/>
        </w:rPr>
        <w:t xml:space="preserve">拟提供货物</w:t>
      </w:r>
      <w:r>
        <w:rPr>
          <w:rFonts w:hint="eastAsia" w:ascii="宋体" w:hAnsi="宋体" w:cs="宋体"/>
          <w:bCs/>
          <w:color w:val="auto"/>
          <w:szCs w:val="21"/>
          <w:highlight w:val="none"/>
          <w:shd w:val="clear" w:color="auto" w:fill="ffffff"/>
          <w:lang w:val="en-US" w:eastAsia="zh-CN"/>
        </w:rPr>
        <w:t xml:space="preserve">物流、</w:t>
      </w:r>
      <w:r>
        <w:rPr>
          <w:rFonts w:hint="eastAsia" w:ascii="宋体" w:hAnsi="宋体" w:eastAsia="宋体" w:cs="宋体"/>
          <w:bCs/>
          <w:color w:val="auto"/>
          <w:szCs w:val="21"/>
          <w:highlight w:val="none"/>
          <w:shd w:val="clear" w:color="auto" w:fill="ffffff"/>
        </w:rPr>
        <w:t xml:space="preserve">材料、制作、包装、运输、分批多次运输、成品保护、装卸（同时自行考虑现场装卸措施）、清点、堆放、验收前保管、检验、检测、验收合格、保险、操作培训及之前所有含税费用，投标报价还包含投标人应当提供的伴随服务，售后服务、质保期间内维修费等一切费用。投标人不得再向采购人收取任何费用。</w:t>
      </w:r>
      <w:r/>
    </w:p>
    <w:p>
      <w:pPr>
        <w:ind w:firstLine="420"/>
        <w:keepLines w:val="0"/>
        <w:keepNext w:val="0"/>
        <w:pageBreakBefore w:val="0"/>
        <w:spacing w:line="30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2、投标报价：投标人报价时应充分考虑材料、劳务、相应的保险、赔偿及所需的全部费用的市场风险系数及天气变化，采取的临时措施的费用，并计入</w:t>
      </w:r>
      <w:r>
        <w:rPr>
          <w:rFonts w:hint="eastAsia" w:ascii="宋体" w:hAnsi="宋体" w:cs="宋体"/>
          <w:bCs/>
          <w:color w:val="auto"/>
          <w:szCs w:val="21"/>
          <w:highlight w:val="none"/>
          <w:shd w:val="clear" w:color="auto" w:fill="ffffff"/>
          <w:lang w:val="en-US" w:eastAsia="zh-CN"/>
        </w:rPr>
        <w:t xml:space="preserve">报价</w:t>
      </w:r>
      <w:r>
        <w:rPr>
          <w:rFonts w:hint="eastAsia" w:ascii="宋体" w:hAnsi="宋体" w:eastAsia="宋体" w:cs="宋体"/>
          <w:bCs/>
          <w:color w:val="auto"/>
          <w:szCs w:val="21"/>
          <w:highlight w:val="none"/>
          <w:shd w:val="clear" w:color="auto" w:fill="ffffff"/>
        </w:rPr>
        <w:t xml:space="preserve">，</w:t>
      </w:r>
      <w:r>
        <w:rPr>
          <w:rFonts w:hint="eastAsia" w:ascii="宋体" w:hAnsi="宋体" w:cs="宋体"/>
          <w:bCs/>
          <w:color w:val="auto"/>
          <w:szCs w:val="21"/>
          <w:highlight w:val="none"/>
          <w:shd w:val="clear" w:color="auto" w:fill="ffffff"/>
          <w:lang w:val="en-US" w:eastAsia="zh-CN"/>
        </w:rPr>
        <w:t xml:space="preserve">综合单价</w:t>
      </w:r>
      <w:r>
        <w:rPr>
          <w:rFonts w:hint="eastAsia" w:ascii="宋体" w:hAnsi="宋体" w:eastAsia="宋体" w:cs="宋体"/>
          <w:bCs/>
          <w:color w:val="auto"/>
          <w:szCs w:val="21"/>
          <w:highlight w:val="none"/>
          <w:shd w:val="clear" w:color="auto" w:fill="ffffff"/>
        </w:rPr>
        <w:t xml:space="preserve">今后不做调整。</w:t>
      </w:r>
      <w:r/>
    </w:p>
    <w:p>
      <w:pPr>
        <w:pageBreakBefore w:val="0"/>
        <w:spacing w:line="300" w:lineRule="auto"/>
        <w:rPr>
          <w:rFonts w:hint="eastAsia" w:ascii="宋体" w:hAnsi="宋体" w:eastAsia="宋体" w:cs="宋体"/>
          <w:b/>
          <w:color w:val="auto"/>
          <w:szCs w:val="21"/>
          <w:highlight w:val="none"/>
          <w:shd w:val="clear" w:color="auto" w:fill="ffffff"/>
        </w:rPr>
        <w:outlineLvl w:val="1"/>
      </w:pPr>
      <w:r>
        <w:rPr>
          <w:rFonts w:hint="eastAsia" w:ascii="宋体" w:hAnsi="宋体" w:cs="宋体"/>
          <w:b/>
          <w:color w:val="auto"/>
          <w:szCs w:val="21"/>
          <w:highlight w:val="none"/>
          <w:shd w:val="clear" w:color="auto" w:fill="ffffff"/>
          <w:lang w:val="en-US" w:eastAsia="zh-CN"/>
        </w:rPr>
        <w:t xml:space="preserve">五</w:t>
      </w:r>
      <w:r>
        <w:rPr>
          <w:rFonts w:hint="eastAsia" w:ascii="宋体" w:hAnsi="宋体" w:eastAsia="宋体" w:cs="宋体"/>
          <w:b/>
          <w:color w:val="auto"/>
          <w:szCs w:val="21"/>
          <w:highlight w:val="none"/>
          <w:shd w:val="clear" w:color="auto" w:fill="ffffff"/>
        </w:rPr>
        <w:t xml:space="preserve">、质量要求</w:t>
      </w:r>
      <w:r/>
    </w:p>
    <w:p>
      <w:pPr>
        <w:ind w:firstLine="420"/>
        <w:keepLines w:val="0"/>
        <w:keepNext w:val="0"/>
        <w:pageBreakBefore w:val="0"/>
        <w:spacing w:line="30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1、应保证货物为全新、未使用的符合国家质量标准的合格品。</w:t>
      </w:r>
      <w:r/>
    </w:p>
    <w:p>
      <w:pPr>
        <w:ind w:firstLine="420"/>
        <w:pageBreakBefore w:val="0"/>
        <w:spacing w:line="300" w:lineRule="auto"/>
        <w:rPr>
          <w:rFonts w:hint="eastAsia" w:ascii="宋体" w:hAnsi="宋体" w:eastAsia="宋体" w:cs="宋体"/>
          <w:bCs/>
          <w:color w:val="auto"/>
          <w:szCs w:val="21"/>
          <w:highlight w:val="none"/>
          <w:shd w:val="clear" w:color="auto" w:fill="ffffff"/>
        </w:rPr>
        <w:outlineLvl w:val="9"/>
      </w:pPr>
      <w:r>
        <w:rPr>
          <w:rFonts w:hint="eastAsia" w:ascii="宋体" w:hAnsi="宋体" w:eastAsia="宋体" w:cs="宋体"/>
          <w:bCs/>
          <w:color w:val="auto"/>
          <w:szCs w:val="21"/>
          <w:highlight w:val="none"/>
          <w:shd w:val="clear" w:color="auto" w:fill="ffffff"/>
        </w:rPr>
        <w:t xml:space="preserve">2、货物技术要求：所有货物的生产、制造、安装等各项技术标准，应当符合国家（强制性）标准、各项规范要求；国家没有相应标准、规范的，可使用行业标准、规定；非标设备按招标约定的技术要求和规范。</w:t>
      </w:r>
      <w:r/>
    </w:p>
    <w:p>
      <w:pPr>
        <w:pageBreakBefore w:val="0"/>
        <w:spacing w:line="300" w:lineRule="auto"/>
        <w:rPr>
          <w:rFonts w:hint="eastAsia" w:ascii="宋体" w:hAnsi="宋体" w:eastAsia="宋体" w:cs="宋体"/>
          <w:b/>
          <w:color w:val="auto"/>
          <w:szCs w:val="21"/>
          <w:highlight w:val="none"/>
          <w:shd w:val="clear" w:color="auto" w:fill="ffffff"/>
          <w:lang w:eastAsia="zh-CN"/>
        </w:rPr>
        <w:outlineLvl w:val="1"/>
      </w:pPr>
      <w:r>
        <w:rPr>
          <w:rFonts w:hint="eastAsia" w:ascii="宋体" w:hAnsi="宋体" w:cs="宋体"/>
          <w:b/>
          <w:color w:val="auto"/>
          <w:szCs w:val="21"/>
          <w:highlight w:val="none"/>
          <w:shd w:val="clear" w:color="auto" w:fill="ffffff"/>
          <w:lang w:val="en-US" w:eastAsia="zh-CN"/>
        </w:rPr>
        <w:t xml:space="preserve">六</w:t>
      </w:r>
      <w:r>
        <w:rPr>
          <w:rFonts w:hint="eastAsia" w:ascii="宋体" w:hAnsi="宋体" w:eastAsia="宋体" w:cs="宋体"/>
          <w:b/>
          <w:color w:val="auto"/>
          <w:szCs w:val="21"/>
          <w:highlight w:val="none"/>
          <w:shd w:val="clear" w:color="auto" w:fill="ffffff"/>
        </w:rPr>
        <w:t xml:space="preserve">、</w:t>
      </w:r>
      <w:r>
        <w:rPr>
          <w:rFonts w:hint="eastAsia" w:ascii="宋体" w:hAnsi="宋体" w:cs="宋体"/>
          <w:b/>
          <w:color w:val="auto"/>
          <w:szCs w:val="21"/>
          <w:highlight w:val="none"/>
          <w:shd w:val="clear" w:color="auto" w:fill="ffffff"/>
          <w:lang w:val="en-US" w:eastAsia="zh-CN"/>
        </w:rPr>
        <w:t xml:space="preserve">验收标准</w:t>
      </w:r>
      <w:r/>
    </w:p>
    <w:p>
      <w:pPr>
        <w:ind w:firstLine="420"/>
        <w:keepLines w:val="0"/>
        <w:keepNext w:val="0"/>
        <w:pageBreakBefore w:val="0"/>
        <w:spacing w:line="300" w:lineRule="auto"/>
        <w:rPr>
          <w:rFonts w:hint="eastAsia" w:ascii="宋体" w:hAnsi="宋体" w:eastAsia="宋体" w:cs="宋体"/>
          <w:bCs/>
          <w:color w:val="auto"/>
          <w:szCs w:val="21"/>
          <w:highlight w:val="none"/>
          <w:shd w:val="clear" w:color="auto" w:fill="ffffff"/>
          <w:lang w:eastAsia="zh-CN"/>
        </w:rPr>
      </w:pPr>
      <w:r>
        <w:rPr>
          <w:rFonts w:hint="eastAsia" w:ascii="宋体" w:hAnsi="宋体" w:eastAsia="宋体" w:cs="宋体"/>
          <w:bCs/>
          <w:color w:val="auto"/>
          <w:szCs w:val="21"/>
          <w:highlight w:val="none"/>
          <w:shd w:val="clear" w:color="auto" w:fill="ffffff"/>
        </w:rPr>
        <w:t xml:space="preserve">1、由采购人根据</w:t>
      </w:r>
      <w:r>
        <w:rPr>
          <w:rFonts w:hint="eastAsia" w:ascii="宋体" w:hAnsi="宋体" w:cs="宋体"/>
          <w:bCs/>
          <w:color w:val="auto"/>
          <w:szCs w:val="21"/>
          <w:highlight w:val="none"/>
          <w:shd w:val="clear" w:color="auto" w:fill="ffffff"/>
          <w:lang w:val="en-US" w:eastAsia="zh-CN"/>
        </w:rPr>
        <w:t xml:space="preserve">招标</w:t>
      </w:r>
      <w:r>
        <w:rPr>
          <w:rFonts w:hint="eastAsia" w:ascii="宋体" w:hAnsi="宋体" w:eastAsia="宋体" w:cs="宋体"/>
          <w:bCs/>
          <w:color w:val="auto"/>
          <w:szCs w:val="21"/>
          <w:highlight w:val="none"/>
          <w:shd w:val="clear" w:color="auto" w:fill="ffffff"/>
        </w:rPr>
        <w:t xml:space="preserve">文件要求和相关标准进行验收</w:t>
      </w:r>
      <w:r>
        <w:rPr>
          <w:rFonts w:hint="eastAsia" w:ascii="宋体" w:hAnsi="宋体" w:cs="宋体"/>
          <w:bCs/>
          <w:color w:val="auto"/>
          <w:szCs w:val="21"/>
          <w:highlight w:val="none"/>
          <w:shd w:val="clear" w:color="auto" w:fill="ffffff"/>
          <w:lang w:eastAsia="zh-CN"/>
        </w:rPr>
        <w:t xml:space="preserve">。</w:t>
      </w:r>
      <w:r/>
    </w:p>
    <w:p>
      <w:pPr>
        <w:ind w:firstLine="420"/>
        <w:keepLines w:val="0"/>
        <w:keepNext w:val="0"/>
        <w:pageBreakBefore w:val="0"/>
        <w:spacing w:line="300" w:lineRule="auto"/>
        <w:rPr>
          <w:rFonts w:hint="eastAsia" w:ascii="宋体" w:hAnsi="宋体" w:eastAsia="宋体" w:cs="宋体"/>
          <w:bCs/>
          <w:color w:val="auto"/>
          <w:szCs w:val="21"/>
          <w:highlight w:val="none"/>
          <w:shd w:val="clear" w:color="auto" w:fill="ffffff"/>
          <w:lang w:eastAsia="zh-CN"/>
        </w:rPr>
      </w:pPr>
      <w:r>
        <w:rPr>
          <w:rFonts w:hint="eastAsia" w:ascii="宋体" w:hAnsi="宋体" w:eastAsia="宋体" w:cs="宋体"/>
          <w:bCs/>
          <w:color w:val="auto"/>
          <w:szCs w:val="21"/>
          <w:highlight w:val="none"/>
          <w:shd w:val="clear" w:color="auto" w:fill="ffffff"/>
        </w:rPr>
        <w:t xml:space="preserve">2、货物验收地点即为到货地点。验收时，供需双方派员一起当场验货，</w:t>
      </w:r>
      <w:r>
        <w:rPr>
          <w:rFonts w:hint="eastAsia" w:ascii="宋体" w:hAnsi="宋体" w:cs="宋体"/>
          <w:bCs/>
          <w:color w:val="auto"/>
          <w:szCs w:val="21"/>
          <w:highlight w:val="none"/>
          <w:shd w:val="clear" w:color="auto" w:fill="ffffff"/>
          <w:lang w:val="en-US" w:eastAsia="zh-CN"/>
        </w:rPr>
        <w:t xml:space="preserve">必要时</w:t>
      </w:r>
      <w:r>
        <w:rPr>
          <w:rFonts w:hint="eastAsia" w:ascii="宋体" w:hAnsi="宋体" w:eastAsia="宋体" w:cs="宋体"/>
          <w:bCs/>
          <w:color w:val="auto"/>
          <w:szCs w:val="21"/>
          <w:highlight w:val="none"/>
          <w:shd w:val="clear" w:color="auto" w:fill="ffffff"/>
        </w:rPr>
        <w:t xml:space="preserve">请第三方公司</w:t>
      </w:r>
      <w:r>
        <w:rPr>
          <w:rFonts w:hint="eastAsia" w:ascii="宋体" w:hAnsi="宋体" w:cs="宋体"/>
          <w:bCs/>
          <w:color w:val="auto"/>
          <w:szCs w:val="21"/>
          <w:highlight w:val="none"/>
          <w:shd w:val="clear" w:color="auto" w:fill="ffffff"/>
          <w:lang w:val="en-US" w:eastAsia="zh-CN"/>
        </w:rPr>
        <w:t xml:space="preserve">进行</w:t>
      </w:r>
      <w:r>
        <w:rPr>
          <w:rFonts w:hint="eastAsia" w:ascii="宋体" w:hAnsi="宋体" w:eastAsia="宋体" w:cs="宋体"/>
          <w:bCs/>
          <w:color w:val="auto"/>
          <w:szCs w:val="21"/>
          <w:highlight w:val="none"/>
          <w:shd w:val="clear" w:color="auto" w:fill="ffffff"/>
        </w:rPr>
        <w:t xml:space="preserve">验收</w:t>
      </w:r>
      <w:r>
        <w:rPr>
          <w:rFonts w:hint="eastAsia" w:ascii="宋体" w:hAnsi="宋体" w:cs="宋体"/>
          <w:bCs/>
          <w:color w:val="auto"/>
          <w:szCs w:val="21"/>
          <w:highlight w:val="none"/>
          <w:shd w:val="clear" w:color="auto" w:fill="ffffff"/>
          <w:lang w:eastAsia="zh-CN"/>
        </w:rPr>
        <w:t xml:space="preserve">，</w:t>
      </w:r>
      <w:r>
        <w:rPr>
          <w:rFonts w:hint="eastAsia" w:ascii="宋体" w:hAnsi="宋体" w:cs="宋体"/>
          <w:bCs/>
          <w:color w:val="auto"/>
          <w:szCs w:val="21"/>
          <w:highlight w:val="none"/>
          <w:shd w:val="clear" w:color="auto" w:fill="ffffff"/>
          <w:lang w:val="en-US" w:eastAsia="zh-CN"/>
        </w:rPr>
        <w:t xml:space="preserve">费用由中标人承担。</w:t>
      </w:r>
      <w:r>
        <w:rPr>
          <w:rFonts w:hint="eastAsia" w:ascii="宋体" w:hAnsi="宋体" w:eastAsia="宋体" w:cs="宋体"/>
          <w:bCs/>
          <w:color w:val="auto"/>
          <w:szCs w:val="21"/>
          <w:highlight w:val="none"/>
          <w:shd w:val="clear" w:color="auto" w:fill="ffffff"/>
        </w:rPr>
        <w:t xml:space="preserve">如发现货物短缺、质次、损坏和规格不符等问题，应做详细记录，由中标人立即无条件为采购人调换或补齐，同时由中标人承担因此而产生的一切后果</w:t>
      </w:r>
      <w:r>
        <w:rPr>
          <w:rFonts w:hint="eastAsia" w:ascii="宋体" w:hAnsi="宋体" w:cs="宋体"/>
          <w:bCs/>
          <w:color w:val="auto"/>
          <w:szCs w:val="21"/>
          <w:highlight w:val="none"/>
          <w:shd w:val="clear" w:color="auto" w:fill="ffffff"/>
          <w:lang w:eastAsia="zh-CN"/>
        </w:rPr>
        <w:t xml:space="preserve">。</w:t>
      </w:r>
      <w:r/>
    </w:p>
    <w:p>
      <w:pPr>
        <w:ind w:firstLine="420"/>
        <w:keepLines w:val="0"/>
        <w:keepNext w:val="0"/>
        <w:pageBreakBefore w:val="0"/>
        <w:spacing w:line="300" w:lineRule="auto"/>
        <w:rPr>
          <w:rFonts w:hint="eastAsia" w:ascii="宋体" w:hAnsi="宋体" w:eastAsia="宋体" w:cs="宋体"/>
          <w:bCs/>
          <w:color w:val="auto"/>
          <w:szCs w:val="21"/>
          <w:highlight w:val="none"/>
          <w:shd w:val="clear" w:color="auto" w:fill="ffffff"/>
          <w:lang w:eastAsia="zh-CN"/>
        </w:rPr>
      </w:pPr>
      <w:r>
        <w:rPr>
          <w:rFonts w:hint="eastAsia" w:ascii="宋体" w:hAnsi="宋体" w:eastAsia="宋体" w:cs="宋体"/>
          <w:bCs/>
          <w:color w:val="auto"/>
          <w:szCs w:val="21"/>
          <w:highlight w:val="none"/>
          <w:shd w:val="clear" w:color="auto" w:fill="ffffff"/>
        </w:rPr>
        <w:t xml:space="preserve">3、交货期限：合同签订后，45日历天内将货物送至采购人指定地点，验收合格并交付采购人使用。如不能如期供货，采购人有权终止合同，中标人须承担由此对采购人造成的损失</w:t>
      </w:r>
      <w:r>
        <w:rPr>
          <w:rFonts w:hint="eastAsia" w:ascii="宋体" w:hAnsi="宋体" w:cs="宋体"/>
          <w:bCs/>
          <w:color w:val="auto"/>
          <w:szCs w:val="21"/>
          <w:highlight w:val="none"/>
          <w:shd w:val="clear" w:color="auto" w:fill="ffffff"/>
          <w:lang w:eastAsia="zh-CN"/>
        </w:rPr>
        <w:t xml:space="preserve">。</w:t>
      </w:r>
      <w:r/>
    </w:p>
    <w:p>
      <w:pPr>
        <w:ind w:firstLine="420"/>
        <w:keepLines w:val="0"/>
        <w:keepNext w:val="0"/>
        <w:pageBreakBefore w:val="0"/>
        <w:spacing w:line="300" w:lineRule="auto"/>
        <w:rPr>
          <w:rFonts w:hint="eastAsia" w:ascii="宋体" w:hAnsi="宋体" w:eastAsia="宋体" w:cs="宋体"/>
          <w:bCs/>
          <w:color w:val="auto"/>
          <w:szCs w:val="21"/>
          <w:highlight w:val="none"/>
          <w:shd w:val="clear" w:color="auto" w:fill="ffffff"/>
          <w:lang w:eastAsia="zh-CN"/>
        </w:rPr>
      </w:pPr>
      <w:r>
        <w:rPr>
          <w:rFonts w:hint="eastAsia" w:ascii="宋体" w:hAnsi="宋体" w:eastAsia="宋体" w:cs="宋体"/>
          <w:bCs/>
          <w:color w:val="auto"/>
          <w:szCs w:val="21"/>
          <w:highlight w:val="none"/>
          <w:shd w:val="clear" w:color="auto" w:fill="ffffff"/>
        </w:rPr>
        <w:t xml:space="preserve">4、交货地点：采购人指定地点</w:t>
      </w:r>
      <w:r>
        <w:rPr>
          <w:rFonts w:hint="eastAsia" w:ascii="宋体" w:hAnsi="宋体" w:cs="宋体"/>
          <w:bCs/>
          <w:color w:val="auto"/>
          <w:szCs w:val="21"/>
          <w:highlight w:val="none"/>
          <w:shd w:val="clear" w:color="auto" w:fill="ffffff"/>
          <w:lang w:eastAsia="zh-CN"/>
        </w:rPr>
        <w:t xml:space="preserve">。</w:t>
      </w:r>
      <w:r/>
    </w:p>
    <w:p>
      <w:pPr>
        <w:ind w:firstLine="420"/>
        <w:keepLines w:val="0"/>
        <w:keepNext w:val="0"/>
        <w:pageBreakBefore w:val="0"/>
        <w:spacing w:line="300" w:lineRule="auto"/>
        <w:rPr>
          <w:rFonts w:hint="eastAsia" w:ascii="宋体" w:hAnsi="宋体" w:eastAsia="宋体" w:cs="宋体"/>
          <w:bCs/>
          <w:color w:val="auto"/>
          <w:szCs w:val="21"/>
          <w:highlight w:val="none"/>
          <w:shd w:val="clear" w:color="auto" w:fill="ffffff"/>
          <w:lang w:eastAsia="zh-CN"/>
        </w:rPr>
      </w:pPr>
      <w:r>
        <w:rPr>
          <w:rFonts w:hint="eastAsia" w:ascii="宋体" w:hAnsi="宋体" w:eastAsia="宋体" w:cs="宋体"/>
          <w:bCs/>
          <w:color w:val="auto"/>
          <w:szCs w:val="21"/>
          <w:highlight w:val="none"/>
          <w:shd w:val="clear" w:color="auto" w:fill="ffffff"/>
        </w:rPr>
        <w:t xml:space="preserve">5、货物的验收包括：数量、外观、质量、性能、质保单、包装和中标人承诺的其他指标</w:t>
      </w:r>
      <w:r>
        <w:rPr>
          <w:rFonts w:hint="eastAsia" w:ascii="宋体" w:hAnsi="宋体" w:cs="宋体"/>
          <w:bCs/>
          <w:color w:val="auto"/>
          <w:szCs w:val="21"/>
          <w:highlight w:val="none"/>
          <w:shd w:val="clear" w:color="auto" w:fill="ffffff"/>
          <w:lang w:eastAsia="zh-CN"/>
        </w:rPr>
        <w:t xml:space="preserve">。</w:t>
      </w:r>
      <w:r/>
    </w:p>
    <w:p>
      <w:pPr>
        <w:ind w:firstLine="420"/>
        <w:keepLines w:val="0"/>
        <w:keepNext w:val="0"/>
        <w:pageBreakBefore w:val="0"/>
        <w:spacing w:line="300" w:lineRule="auto"/>
        <w:rPr>
          <w:rFonts w:hint="eastAsia" w:ascii="宋体" w:hAnsi="宋体" w:eastAsia="宋体" w:cs="宋体"/>
          <w:bCs/>
          <w:color w:val="auto"/>
          <w:szCs w:val="21"/>
          <w:highlight w:val="none"/>
          <w:shd w:val="clear" w:color="auto" w:fill="ffffff"/>
          <w:lang w:eastAsia="zh-CN"/>
        </w:rPr>
      </w:pPr>
      <w:r>
        <w:rPr>
          <w:rFonts w:hint="eastAsia" w:ascii="宋体" w:hAnsi="宋体" w:eastAsia="宋体" w:cs="宋体"/>
          <w:bCs/>
          <w:color w:val="auto"/>
          <w:szCs w:val="21"/>
          <w:highlight w:val="none"/>
          <w:shd w:val="clear" w:color="auto" w:fill="ffffff"/>
        </w:rPr>
        <w:t xml:space="preserve">6、验收标准：中标人提供的货物必须符合我国最新颁布的与之相关的技术规范与标准，同时须满足招标文件中所列全部规格、技术条件及功能要求等和中标人承诺的其他指标</w:t>
      </w:r>
      <w:r>
        <w:rPr>
          <w:rFonts w:hint="eastAsia" w:ascii="宋体" w:hAnsi="宋体" w:cs="宋体"/>
          <w:bCs/>
          <w:color w:val="auto"/>
          <w:szCs w:val="21"/>
          <w:highlight w:val="none"/>
          <w:shd w:val="clear" w:color="auto" w:fill="ffffff"/>
          <w:lang w:eastAsia="zh-CN"/>
        </w:rPr>
        <w:t xml:space="preserve">。</w:t>
      </w:r>
      <w:r/>
    </w:p>
    <w:p>
      <w:pPr>
        <w:ind w:firstLine="420"/>
        <w:pageBreakBefore w:val="0"/>
        <w:spacing w:line="300" w:lineRule="auto"/>
        <w:rPr>
          <w:rFonts w:hint="eastAsia" w:ascii="宋体" w:hAnsi="宋体" w:eastAsia="宋体" w:cs="宋体"/>
          <w:bCs/>
          <w:color w:val="auto"/>
          <w:szCs w:val="21"/>
          <w:highlight w:val="none"/>
          <w:shd w:val="clear" w:color="auto" w:fill="ffffff"/>
        </w:rPr>
        <w:outlineLvl w:val="9"/>
      </w:pPr>
      <w:r>
        <w:rPr>
          <w:rFonts w:hint="eastAsia" w:ascii="宋体" w:hAnsi="宋体" w:eastAsia="宋体" w:cs="宋体"/>
          <w:bCs/>
          <w:color w:val="auto"/>
          <w:szCs w:val="21"/>
          <w:highlight w:val="none"/>
          <w:shd w:val="clear" w:color="auto" w:fill="ffffff"/>
        </w:rPr>
        <w:t xml:space="preserve">7、中标人交付验收时应书面、电传等方式通告采购人。</w:t>
      </w:r>
      <w:r/>
    </w:p>
    <w:p>
      <w:pPr>
        <w:pageBreakBefore w:val="0"/>
        <w:spacing w:line="300" w:lineRule="auto"/>
        <w:rPr>
          <w:rFonts w:hint="eastAsia" w:ascii="宋体" w:hAnsi="宋体" w:eastAsia="宋体" w:cs="宋体"/>
          <w:b/>
          <w:color w:val="auto"/>
          <w:szCs w:val="21"/>
          <w:highlight w:val="none"/>
          <w:shd w:val="clear" w:color="auto" w:fill="ffffff"/>
        </w:rPr>
        <w:outlineLvl w:val="1"/>
      </w:pPr>
      <w:r>
        <w:rPr>
          <w:rFonts w:hint="eastAsia" w:ascii="宋体" w:hAnsi="宋体" w:cs="宋体"/>
          <w:b/>
          <w:color w:val="auto"/>
          <w:szCs w:val="21"/>
          <w:highlight w:val="none"/>
          <w:shd w:val="clear" w:color="auto" w:fill="ffffff"/>
          <w:lang w:val="en-US" w:eastAsia="zh-CN"/>
        </w:rPr>
        <w:t xml:space="preserve">七</w:t>
      </w:r>
      <w:r>
        <w:rPr>
          <w:rFonts w:hint="eastAsia" w:ascii="宋体" w:hAnsi="宋体" w:eastAsia="宋体" w:cs="宋体"/>
          <w:b/>
          <w:color w:val="auto"/>
          <w:szCs w:val="21"/>
          <w:highlight w:val="none"/>
          <w:shd w:val="clear" w:color="auto" w:fill="ffffff"/>
        </w:rPr>
        <w:t xml:space="preserve">、售后服务要求</w:t>
      </w:r>
      <w:r/>
    </w:p>
    <w:p>
      <w:pPr>
        <w:ind w:firstLine="420"/>
        <w:keepLines w:val="0"/>
        <w:keepNext w:val="0"/>
        <w:pageBreakBefore w:val="0"/>
        <w:spacing w:line="300" w:lineRule="auto"/>
        <w:rPr>
          <w:rFonts w:hint="eastAsia" w:ascii="宋体" w:hAnsi="宋体" w:eastAsia="宋体" w:cs="宋体"/>
          <w:bCs/>
          <w:color w:val="auto"/>
          <w:szCs w:val="21"/>
          <w:highlight w:val="none"/>
          <w:shd w:val="clear" w:color="auto" w:fill="ffffff"/>
          <w:lang w:eastAsia="zh-CN"/>
        </w:rPr>
      </w:pPr>
      <w:r>
        <w:rPr>
          <w:rFonts w:hint="eastAsia" w:ascii="宋体" w:hAnsi="宋体" w:cs="宋体"/>
          <w:bCs/>
          <w:color w:val="auto"/>
          <w:szCs w:val="21"/>
          <w:highlight w:val="none"/>
          <w:shd w:val="clear" w:color="auto" w:fill="ffffff"/>
          <w:lang w:val="en-US" w:eastAsia="zh-CN"/>
        </w:rPr>
        <w:t xml:space="preserve">1、</w:t>
      </w:r>
      <w:r>
        <w:rPr>
          <w:rFonts w:hint="eastAsia" w:ascii="宋体" w:hAnsi="宋体" w:eastAsia="宋体" w:cs="宋体"/>
          <w:bCs/>
          <w:color w:val="auto"/>
          <w:szCs w:val="21"/>
          <w:highlight w:val="none"/>
          <w:shd w:val="clear" w:color="auto" w:fill="ffffff"/>
        </w:rPr>
        <w:t xml:space="preserve">投标人应以优惠价格提供在货物验收合格后的</w:t>
      </w:r>
      <w:r>
        <w:rPr>
          <w:rFonts w:hint="eastAsia" w:ascii="宋体" w:hAnsi="宋体" w:cs="宋体"/>
          <w:bCs/>
          <w:color w:val="auto"/>
          <w:szCs w:val="21"/>
          <w:highlight w:val="none"/>
          <w:shd w:val="clear" w:color="auto" w:fill="ffffff"/>
          <w:lang w:val="en-US" w:eastAsia="zh-CN"/>
        </w:rPr>
        <w:t xml:space="preserve">辅材</w:t>
      </w:r>
      <w:r>
        <w:rPr>
          <w:rFonts w:hint="eastAsia" w:ascii="宋体" w:hAnsi="宋体" w:eastAsia="宋体" w:cs="宋体"/>
          <w:bCs/>
          <w:color w:val="auto"/>
          <w:szCs w:val="21"/>
          <w:highlight w:val="none"/>
          <w:shd w:val="clear" w:color="auto" w:fill="ffffff"/>
        </w:rPr>
        <w:t xml:space="preserve">供应</w:t>
      </w:r>
      <w:r>
        <w:rPr>
          <w:rFonts w:hint="eastAsia" w:ascii="宋体" w:hAnsi="宋体" w:cs="宋体"/>
          <w:bCs/>
          <w:color w:val="auto"/>
          <w:szCs w:val="21"/>
          <w:highlight w:val="none"/>
          <w:shd w:val="clear" w:color="auto" w:fill="ffffff"/>
          <w:lang w:eastAsia="zh-CN"/>
        </w:rPr>
        <w:t xml:space="preserve">。</w:t>
      </w:r>
      <w:r/>
    </w:p>
    <w:p>
      <w:pPr>
        <w:ind w:firstLine="420"/>
        <w:keepLines w:val="0"/>
        <w:keepNext w:val="0"/>
        <w:pageBreakBefore w:val="0"/>
        <w:spacing w:line="300" w:lineRule="auto"/>
        <w:rPr>
          <w:rFonts w:hint="eastAsia" w:ascii="宋体" w:hAnsi="宋体" w:eastAsia="宋体" w:cs="宋体"/>
          <w:bCs/>
          <w:color w:val="auto"/>
          <w:szCs w:val="21"/>
          <w:highlight w:val="none"/>
          <w:shd w:val="clear" w:color="auto" w:fill="ffffff"/>
          <w:lang w:eastAsia="zh-CN"/>
        </w:rPr>
      </w:pPr>
      <w:r>
        <w:rPr>
          <w:rFonts w:hint="eastAsia" w:ascii="宋体" w:hAnsi="宋体" w:cs="宋体"/>
          <w:bCs/>
          <w:color w:val="auto"/>
          <w:szCs w:val="21"/>
          <w:highlight w:val="none"/>
          <w:shd w:val="clear" w:color="auto" w:fill="ffffff"/>
          <w:lang w:val="en-US" w:eastAsia="zh-CN"/>
        </w:rPr>
        <w:t xml:space="preserve">2、</w:t>
      </w:r>
      <w:r>
        <w:rPr>
          <w:rFonts w:hint="eastAsia" w:ascii="宋体" w:hAnsi="宋体" w:eastAsia="宋体" w:cs="宋体"/>
          <w:bCs/>
          <w:color w:val="auto"/>
          <w:szCs w:val="21"/>
          <w:highlight w:val="none"/>
          <w:shd w:val="clear" w:color="auto" w:fill="ffffff"/>
        </w:rPr>
        <w:t xml:space="preserve">投标人</w:t>
      </w:r>
      <w:r>
        <w:rPr>
          <w:rFonts w:hint="eastAsia" w:ascii="宋体" w:hAnsi="宋体" w:cs="宋体"/>
          <w:bCs/>
          <w:color w:val="auto"/>
          <w:szCs w:val="21"/>
          <w:highlight w:val="none"/>
          <w:shd w:val="clear" w:color="auto" w:fill="ffffff"/>
          <w:lang w:val="en-US" w:eastAsia="zh-CN"/>
        </w:rPr>
        <w:t xml:space="preserve">需</w:t>
      </w:r>
      <w:r>
        <w:rPr>
          <w:rFonts w:hint="eastAsia" w:ascii="宋体" w:hAnsi="宋体" w:eastAsia="宋体" w:cs="宋体"/>
          <w:bCs/>
          <w:color w:val="auto"/>
          <w:szCs w:val="21"/>
          <w:highlight w:val="none"/>
          <w:shd w:val="clear" w:color="auto" w:fill="ffffff"/>
        </w:rPr>
        <w:t xml:space="preserve">明确作出服务承诺，详细阐述服务方式和范围</w:t>
      </w:r>
      <w:r>
        <w:rPr>
          <w:rFonts w:hint="eastAsia" w:ascii="宋体" w:hAnsi="宋体" w:cs="宋体"/>
          <w:bCs/>
          <w:color w:val="auto"/>
          <w:szCs w:val="21"/>
          <w:highlight w:val="none"/>
          <w:shd w:val="clear" w:color="auto" w:fill="ffffff"/>
          <w:lang w:eastAsia="zh-CN"/>
        </w:rPr>
        <w:t xml:space="preserve">。</w:t>
      </w:r>
      <w:r/>
    </w:p>
    <w:p>
      <w:pPr>
        <w:ind w:firstLine="420"/>
        <w:keepLines w:val="0"/>
        <w:keepNext w:val="0"/>
        <w:pageBreakBefore w:val="0"/>
        <w:spacing w:line="300" w:lineRule="auto"/>
        <w:rPr>
          <w:rFonts w:hint="eastAsia" w:ascii="宋体" w:hAnsi="宋体" w:eastAsia="宋体" w:cs="宋体"/>
          <w:bCs/>
          <w:color w:val="auto"/>
          <w:szCs w:val="21"/>
          <w:highlight w:val="none"/>
          <w:shd w:val="clear" w:color="auto" w:fill="ffffff"/>
          <w:lang w:eastAsia="zh-CN"/>
        </w:rPr>
      </w:pPr>
      <w:r>
        <w:rPr>
          <w:rFonts w:hint="eastAsia" w:ascii="宋体" w:hAnsi="宋体" w:cs="宋体"/>
          <w:bCs/>
          <w:color w:val="auto"/>
          <w:szCs w:val="21"/>
          <w:highlight w:val="none"/>
          <w:shd w:val="clear" w:color="auto" w:fill="ffffff"/>
          <w:lang w:val="en-US" w:eastAsia="zh-CN"/>
        </w:rPr>
        <w:t xml:space="preserve">3、</w:t>
      </w:r>
      <w:r>
        <w:rPr>
          <w:rFonts w:hint="eastAsia" w:ascii="宋体" w:hAnsi="宋体" w:eastAsia="宋体" w:cs="宋体"/>
          <w:bCs/>
          <w:color w:val="auto"/>
          <w:szCs w:val="21"/>
          <w:highlight w:val="none"/>
          <w:shd w:val="clear" w:color="auto" w:fill="ffffff"/>
        </w:rPr>
        <w:t xml:space="preserve">中标人应保证采购人免除且中标人承担由于采购人在其本国使用该产品时而引起第三方提出的侵犯其专利权、商标权或设计权的起诉、行动、行政程序索赔、请求等以及采购人为此而产生的损失和损害、费用和支出，包括律师费用</w:t>
      </w:r>
      <w:r>
        <w:rPr>
          <w:rFonts w:hint="eastAsia" w:ascii="宋体" w:hAnsi="宋体" w:cs="宋体"/>
          <w:bCs/>
          <w:color w:val="auto"/>
          <w:szCs w:val="21"/>
          <w:highlight w:val="none"/>
          <w:shd w:val="clear" w:color="auto" w:fill="ffffff"/>
          <w:lang w:eastAsia="zh-CN"/>
        </w:rPr>
        <w:t xml:space="preserve">。</w:t>
      </w:r>
      <w:r/>
    </w:p>
    <w:p>
      <w:pPr>
        <w:ind w:firstLine="420"/>
        <w:keepLines w:val="0"/>
        <w:keepNext w:val="0"/>
        <w:pageBreakBefore w:val="0"/>
        <w:spacing w:line="300" w:lineRule="auto"/>
        <w:rPr>
          <w:rFonts w:hint="eastAsia" w:ascii="宋体" w:hAnsi="宋体" w:eastAsia="宋体" w:cs="宋体"/>
          <w:bCs/>
          <w:color w:val="auto"/>
          <w:szCs w:val="21"/>
          <w:highlight w:val="none"/>
          <w:shd w:val="clear" w:color="auto" w:fill="ffffff"/>
          <w:lang w:eastAsia="zh-CN"/>
        </w:rPr>
      </w:pPr>
      <w:r>
        <w:rPr>
          <w:rFonts w:hint="eastAsia" w:ascii="宋体" w:hAnsi="宋体" w:cs="宋体"/>
          <w:bCs/>
          <w:color w:val="auto"/>
          <w:szCs w:val="21"/>
          <w:highlight w:val="none"/>
          <w:shd w:val="clear" w:color="auto" w:fill="ffffff"/>
          <w:lang w:val="en-US" w:eastAsia="zh-CN"/>
        </w:rPr>
        <w:t xml:space="preserve">4、</w:t>
      </w:r>
      <w:r>
        <w:rPr>
          <w:rFonts w:hint="eastAsia" w:ascii="宋体" w:hAnsi="宋体" w:eastAsia="宋体" w:cs="宋体"/>
          <w:bCs/>
          <w:color w:val="auto"/>
          <w:szCs w:val="21"/>
          <w:highlight w:val="none"/>
          <w:shd w:val="clear" w:color="auto" w:fill="ffffff"/>
        </w:rPr>
        <w:t xml:space="preserve">中标人免费对采购人技术人员进行操作、保养、维修等方面的培训，并且提供免费的技术咨询服务</w:t>
      </w:r>
      <w:r>
        <w:rPr>
          <w:rFonts w:hint="eastAsia" w:ascii="宋体" w:hAnsi="宋体" w:cs="宋体"/>
          <w:bCs/>
          <w:color w:val="auto"/>
          <w:szCs w:val="21"/>
          <w:highlight w:val="none"/>
          <w:shd w:val="clear" w:color="auto" w:fill="ffffff"/>
          <w:lang w:eastAsia="zh-CN"/>
        </w:rPr>
        <w:t xml:space="preserve">。</w:t>
      </w:r>
      <w:r/>
    </w:p>
    <w:p>
      <w:pPr>
        <w:ind w:firstLine="420"/>
        <w:keepLines w:val="0"/>
        <w:keepNext w:val="0"/>
        <w:pageBreakBefore w:val="0"/>
        <w:spacing w:line="300" w:lineRule="auto"/>
        <w:rPr>
          <w:rFonts w:hint="eastAsia" w:ascii="宋体" w:hAnsi="宋体" w:eastAsia="宋体" w:cs="宋体"/>
          <w:bCs/>
          <w:color w:val="auto"/>
          <w:szCs w:val="21"/>
          <w:highlight w:val="none"/>
          <w:shd w:val="clear" w:color="auto" w:fill="ffffff"/>
          <w:lang w:eastAsia="zh-CN"/>
        </w:rPr>
      </w:pPr>
      <w:r>
        <w:rPr>
          <w:rFonts w:hint="eastAsia" w:ascii="宋体" w:hAnsi="宋体" w:cs="宋体"/>
          <w:bCs/>
          <w:color w:val="auto"/>
          <w:szCs w:val="21"/>
          <w:highlight w:val="none"/>
          <w:shd w:val="clear" w:color="auto" w:fill="ffffff"/>
          <w:lang w:val="en-US" w:eastAsia="zh-CN"/>
        </w:rPr>
        <w:t xml:space="preserve">5、</w:t>
      </w:r>
      <w:r>
        <w:rPr>
          <w:rFonts w:hint="eastAsia" w:ascii="宋体" w:hAnsi="宋体" w:eastAsia="宋体" w:cs="宋体"/>
          <w:bCs/>
          <w:color w:val="auto"/>
          <w:szCs w:val="21"/>
          <w:highlight w:val="none"/>
          <w:shd w:val="clear" w:color="auto" w:fill="ffffff"/>
        </w:rPr>
        <w:t xml:space="preserve">质保期内，由于质量问题造成的产品损坏，中标人应免费维修或更换。如果原厂方鉴定设备因为人为损坏，厂方须出具具有法定权威性第三方检测证明，否则一律视为保修范围内容处理。对于其他原因造成的损坏，中标人有义务对损坏的硬件有偿更换。产品质保期内，确属产品质量问题，经维修人员修理后仍达不到质量要求的产品应包退包换</w:t>
      </w:r>
      <w:r>
        <w:rPr>
          <w:rFonts w:hint="eastAsia" w:ascii="宋体" w:hAnsi="宋体" w:cs="宋体"/>
          <w:bCs/>
          <w:color w:val="auto"/>
          <w:szCs w:val="21"/>
          <w:highlight w:val="none"/>
          <w:shd w:val="clear" w:color="auto" w:fill="ffffff"/>
          <w:lang w:eastAsia="zh-CN"/>
        </w:rPr>
        <w:t xml:space="preserve">，</w:t>
      </w:r>
      <w:r>
        <w:rPr>
          <w:rFonts w:hint="eastAsia" w:ascii="宋体" w:hAnsi="宋体" w:eastAsia="宋体" w:cs="宋体"/>
          <w:bCs/>
          <w:color w:val="auto"/>
          <w:szCs w:val="21"/>
          <w:highlight w:val="none"/>
          <w:shd w:val="clear" w:color="auto" w:fill="ffffff"/>
        </w:rPr>
        <w:t xml:space="preserve">中标人的承诺高于此要求的，按中标人的承诺执行</w:t>
      </w:r>
      <w:r>
        <w:rPr>
          <w:rFonts w:hint="eastAsia" w:ascii="宋体" w:hAnsi="宋体" w:cs="宋体"/>
          <w:bCs/>
          <w:color w:val="auto"/>
          <w:szCs w:val="21"/>
          <w:highlight w:val="none"/>
          <w:shd w:val="clear" w:color="auto" w:fill="ffffff"/>
          <w:lang w:eastAsia="zh-CN"/>
        </w:rPr>
        <w:t xml:space="preserve">。</w:t>
      </w:r>
      <w:r/>
    </w:p>
    <w:p>
      <w:pPr>
        <w:pageBreakBefore w:val="0"/>
        <w:spacing w:line="300" w:lineRule="auto"/>
        <w:rPr>
          <w:rFonts w:hint="eastAsia" w:ascii="宋体" w:hAnsi="宋体" w:eastAsia="宋体" w:cs="宋体"/>
          <w:b/>
          <w:bCs/>
          <w:color w:val="auto"/>
          <w:szCs w:val="21"/>
          <w:highlight w:val="none"/>
          <w:shd w:val="clear" w:color="auto" w:fill="ffffff"/>
        </w:rPr>
        <w:outlineLvl w:val="1"/>
      </w:pPr>
      <w:r>
        <w:rPr>
          <w:rFonts w:hint="eastAsia" w:ascii="宋体" w:hAnsi="宋体" w:cs="宋体"/>
          <w:b/>
          <w:bCs/>
          <w:color w:val="auto"/>
          <w:szCs w:val="21"/>
          <w:highlight w:val="none"/>
          <w:shd w:val="clear" w:color="auto" w:fill="ffffff"/>
          <w:lang w:val="en-US" w:eastAsia="zh-CN"/>
        </w:rPr>
        <w:t xml:space="preserve">八</w:t>
      </w:r>
      <w:r>
        <w:rPr>
          <w:rFonts w:hint="eastAsia" w:ascii="宋体" w:hAnsi="宋体" w:eastAsia="宋体" w:cs="宋体"/>
          <w:b/>
          <w:bCs/>
          <w:color w:val="auto"/>
          <w:szCs w:val="21"/>
          <w:highlight w:val="none"/>
          <w:shd w:val="clear" w:color="auto" w:fill="ffffff"/>
        </w:rPr>
        <w:t xml:space="preserve">、其他</w:t>
      </w:r>
      <w:r/>
    </w:p>
    <w:p>
      <w:pPr>
        <w:ind w:firstLine="420"/>
        <w:keepLines w:val="0"/>
        <w:keepNext w:val="0"/>
        <w:pageBreakBefore w:val="0"/>
        <w:spacing w:line="30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1、中标人与采购人签订供货合同，服务期内根据采购人需求供货，如中标人无法按采购人要求供货的，则取消中标资格（采购人变更采购要求的除外），并承担由此产生的一切责任和经济损失。</w:t>
      </w:r>
      <w:r/>
    </w:p>
    <w:p>
      <w:pPr>
        <w:ind w:firstLine="420"/>
        <w:keepLines w:val="0"/>
        <w:keepNext w:val="0"/>
        <w:pageBreakBefore w:val="0"/>
        <w:spacing w:line="30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2、货物由中标人运至采购人指定地点，验收交货前存放及保管概由中标人负责。货物材料的包装均应有良好的防湿、防锈、防潮、防雨、防腐及防碰撞的措施。凡由于包装不良造成的损失和由此产生的费用均由中标人承担。</w:t>
      </w:r>
      <w:r/>
    </w:p>
    <w:p>
      <w:pPr>
        <w:ind w:firstLine="420"/>
        <w:keepLines w:val="0"/>
        <w:keepNext w:val="0"/>
        <w:pageBreakBefore w:val="0"/>
        <w:spacing w:line="30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3、中标人必须加强管理，遵守现场的一切规章制度，注意安全；供货期间，必须服从采购人管理，货物进场须采购人验货；中标人在运输装卸途中对其他设备及邻近管线等造成损坏，应由中标人负责修复及承担一切费用；无论供货期间或退换过程中，中标人负责及时清理垃圾。</w:t>
      </w:r>
      <w:r/>
    </w:p>
    <w:p>
      <w:pPr>
        <w:pStyle w:val="720"/>
        <w:ind w:left="0" w:firstLine="420"/>
        <w:pageBreakBefore w:val="0"/>
        <w:spacing w:after="0" w:line="30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4、</w:t>
      </w:r>
      <w:r>
        <w:rPr>
          <w:rFonts w:hint="eastAsia" w:ascii="宋体" w:hAnsi="宋体" w:eastAsia="宋体" w:cs="宋体"/>
          <w:color w:val="auto"/>
          <w:szCs w:val="21"/>
          <w:highlight w:val="none"/>
        </w:rPr>
        <w:t xml:space="preserve">采购人有权对中标人进行现场考察。</w:t>
      </w:r>
      <w:r/>
    </w:p>
    <w:p>
      <w:pPr>
        <w:spacing w:line="360" w:lineRule="auto"/>
        <w:rPr>
          <w:rFonts w:hint="eastAsia" w:ascii="宋体" w:hAnsi="宋体" w:eastAsia="宋体" w:cs="宋体"/>
          <w:b/>
          <w:color w:val="auto"/>
          <w:szCs w:val="21"/>
          <w:highlight w:val="none"/>
        </w:rPr>
        <w:outlineLvl w:val="1"/>
      </w:pPr>
      <w:r>
        <w:rPr>
          <w:rFonts w:hint="eastAsia" w:ascii="宋体" w:hAnsi="宋体" w:eastAsia="宋体" w:cs="宋体"/>
          <w:b/>
          <w:color w:val="auto"/>
          <w:szCs w:val="21"/>
          <w:highlight w:val="none"/>
        </w:rPr>
        <w:t xml:space="preserve">九、样品要求</w:t>
      </w:r>
      <w:r/>
    </w:p>
    <w:p>
      <w:pPr>
        <w:pStyle w:val="69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b/>
          <w:bCs/>
          <w:color w:val="auto"/>
          <w:szCs w:val="21"/>
          <w:highlight w:val="none"/>
          <w:shd w:val="clear" w:color="auto" w:fill="ffffff"/>
        </w:rPr>
        <w:t xml:space="preserve">样品：</w:t>
      </w:r>
      <w:r>
        <w:rPr>
          <w:rFonts w:hint="eastAsia" w:ascii="宋体" w:hAnsi="宋体" w:cs="宋体"/>
          <w:b/>
          <w:bCs/>
          <w:color w:val="auto"/>
          <w:szCs w:val="21"/>
          <w:highlight w:val="none"/>
          <w:shd w:val="clear" w:color="auto" w:fill="ffffff"/>
          <w:lang w:val="en-US" w:eastAsia="zh-CN"/>
        </w:rPr>
        <w:t xml:space="preserve">《三、</w:t>
      </w:r>
      <w:r>
        <w:rPr>
          <w:rFonts w:hint="eastAsia" w:ascii="宋体" w:hAnsi="宋体" w:cs="宋体"/>
          <w:b/>
          <w:bCs/>
          <w:szCs w:val="21"/>
          <w:highlight w:val="none"/>
          <w:lang w:val="en-US" w:eastAsia="zh-CN"/>
        </w:rPr>
        <w:t xml:space="preserve">采购清单</w:t>
      </w:r>
      <w:r>
        <w:rPr>
          <w:rFonts w:hint="eastAsia" w:ascii="宋体" w:hAnsi="宋体" w:cs="宋体"/>
          <w:b/>
          <w:bCs/>
          <w:color w:val="auto"/>
          <w:szCs w:val="21"/>
          <w:highlight w:val="none"/>
          <w:shd w:val="clear" w:color="auto" w:fill="ffffff"/>
          <w:lang w:val="en-US" w:eastAsia="zh-CN"/>
        </w:rPr>
        <w:t xml:space="preserve">》中的“婴幼儿月龄盒子”序号40~63、“感统运动课程”序号31、“感统运动课程”序号65玩教具</w:t>
      </w:r>
      <w:r>
        <w:rPr>
          <w:rFonts w:hint="eastAsia" w:ascii="宋体" w:hAnsi="宋体" w:cs="宋体"/>
          <w:b/>
          <w:bCs/>
          <w:color w:val="auto"/>
          <w:szCs w:val="21"/>
          <w:highlight w:val="none"/>
          <w:shd w:val="clear" w:color="auto" w:fill="ffffff"/>
          <w:lang w:eastAsia="zh-CN"/>
        </w:rPr>
        <w:t xml:space="preserve">。</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1、送样时间：样品必须在投标截止</w:t>
      </w:r>
      <w:r>
        <w:rPr>
          <w:rFonts w:hint="eastAsia" w:ascii="宋体" w:hAnsi="宋体" w:cs="宋体"/>
          <w:bCs/>
          <w:color w:val="auto"/>
          <w:szCs w:val="21"/>
          <w:highlight w:val="none"/>
          <w:shd w:val="clear" w:color="auto" w:fill="ffffff"/>
          <w:lang w:val="en-US" w:eastAsia="zh-CN"/>
        </w:rPr>
        <w:t xml:space="preserve">时间</w:t>
      </w:r>
      <w:r>
        <w:rPr>
          <w:rFonts w:hint="eastAsia" w:ascii="宋体" w:hAnsi="宋体" w:eastAsia="宋体" w:cs="宋体"/>
          <w:bCs/>
          <w:color w:val="auto"/>
          <w:szCs w:val="21"/>
          <w:highlight w:val="none"/>
          <w:shd w:val="clear" w:color="auto" w:fill="ffffff"/>
        </w:rPr>
        <w:t xml:space="preserve">前递交</w:t>
      </w:r>
      <w:r>
        <w:rPr>
          <w:rFonts w:hint="eastAsia" w:ascii="宋体" w:hAnsi="宋体" w:cs="宋体"/>
          <w:bCs/>
          <w:color w:val="auto"/>
          <w:szCs w:val="21"/>
          <w:highlight w:val="none"/>
          <w:shd w:val="clear" w:color="auto" w:fill="ffffff"/>
          <w:lang w:val="en-US" w:eastAsia="zh-CN"/>
        </w:rPr>
        <w:t xml:space="preserve">至</w:t>
      </w:r>
      <w:r>
        <w:rPr>
          <w:rFonts w:hint="eastAsia" w:ascii="宋体" w:hAnsi="宋体" w:cs="宋体"/>
          <w:highlight w:val="none"/>
          <w:u w:val="none"/>
        </w:rPr>
        <w:t xml:space="preserve">扬州市邗江区文昌西路456号（华城科技广场）2幢703室</w:t>
      </w:r>
      <w:r>
        <w:rPr>
          <w:rFonts w:hint="eastAsia" w:ascii="宋体" w:hAnsi="宋体" w:eastAsia="宋体" w:cs="宋体"/>
          <w:bCs/>
          <w:color w:val="auto"/>
          <w:szCs w:val="21"/>
          <w:highlight w:val="none"/>
          <w:shd w:val="clear" w:color="auto" w:fill="ffffff"/>
        </w:rPr>
        <w:t xml:space="preserve">（须安装完毕），并至做好样品送达登记工作</w:t>
      </w:r>
      <w:r>
        <w:rPr>
          <w:rFonts w:hint="eastAsia" w:ascii="宋体" w:hAnsi="宋体" w:cs="宋体"/>
          <w:bCs/>
          <w:color w:val="auto"/>
          <w:szCs w:val="21"/>
          <w:highlight w:val="none"/>
          <w:shd w:val="clear" w:color="auto" w:fill="ffffff"/>
          <w:lang w:eastAsia="zh-CN"/>
        </w:rPr>
        <w:t xml:space="preserve">（</w:t>
      </w:r>
      <w:r>
        <w:rPr>
          <w:rFonts w:hint="eastAsia" w:ascii="宋体" w:hAnsi="宋体" w:cs="宋体"/>
          <w:bCs/>
          <w:color w:val="auto"/>
          <w:szCs w:val="21"/>
          <w:highlight w:val="none"/>
          <w:shd w:val="clear" w:color="auto" w:fill="ffffff"/>
          <w:lang w:val="en-US" w:eastAsia="zh-CN"/>
        </w:rPr>
        <w:t xml:space="preserve">送达样品人员须携带授权委托书及身份证</w:t>
      </w:r>
      <w:r>
        <w:rPr>
          <w:rFonts w:hint="eastAsia" w:ascii="宋体" w:hAnsi="宋体" w:cs="宋体"/>
          <w:bCs/>
          <w:color w:val="auto"/>
          <w:szCs w:val="21"/>
          <w:highlight w:val="none"/>
          <w:shd w:val="clear" w:color="auto" w:fill="ffffff"/>
          <w:lang w:eastAsia="zh-CN"/>
        </w:rPr>
        <w:t xml:space="preserve">）</w:t>
      </w:r>
      <w:r>
        <w:rPr>
          <w:rFonts w:hint="eastAsia" w:ascii="宋体" w:hAnsi="宋体" w:eastAsia="宋体" w:cs="宋体"/>
          <w:bCs/>
          <w:color w:val="auto"/>
          <w:szCs w:val="21"/>
          <w:highlight w:val="none"/>
          <w:shd w:val="clear" w:color="auto" w:fill="ffffff"/>
        </w:rPr>
        <w:t xml:space="preserve">，逾期将不予接收。（联系人：</w:t>
      </w:r>
      <w:r>
        <w:rPr>
          <w:rFonts w:hint="eastAsia" w:ascii="宋体" w:hAnsi="宋体" w:cs="宋体"/>
          <w:bCs/>
          <w:color w:val="auto"/>
          <w:szCs w:val="21"/>
          <w:highlight w:val="none"/>
          <w:shd w:val="clear" w:color="auto" w:fill="ffffff"/>
          <w:lang w:val="en-US" w:eastAsia="zh-CN"/>
        </w:rPr>
        <w:t xml:space="preserve">池昊</w:t>
      </w:r>
      <w:r>
        <w:rPr>
          <w:rFonts w:hint="eastAsia" w:ascii="宋体" w:hAnsi="宋体" w:eastAsia="宋体" w:cs="宋体"/>
          <w:bCs/>
          <w:color w:val="auto"/>
          <w:szCs w:val="21"/>
          <w:highlight w:val="none"/>
          <w:shd w:val="clear" w:color="auto" w:fill="ffffff"/>
        </w:rPr>
        <w:t xml:space="preserve">，电话：1</w:t>
      </w:r>
      <w:r>
        <w:rPr>
          <w:rFonts w:hint="eastAsia" w:ascii="宋体" w:hAnsi="宋体" w:cs="宋体"/>
          <w:bCs/>
          <w:color w:val="auto"/>
          <w:szCs w:val="21"/>
          <w:highlight w:val="none"/>
          <w:shd w:val="clear" w:color="auto" w:fill="ffffff"/>
          <w:lang w:val="en-US" w:eastAsia="zh-CN"/>
        </w:rPr>
        <w:t xml:space="preserve">5862877288</w:t>
      </w:r>
      <w:r>
        <w:rPr>
          <w:rFonts w:hint="eastAsia" w:ascii="宋体" w:hAnsi="宋体" w:eastAsia="宋体" w:cs="宋体"/>
          <w:bCs/>
          <w:color w:val="auto"/>
          <w:szCs w:val="21"/>
          <w:highlight w:val="none"/>
          <w:shd w:val="clear" w:color="auto" w:fill="ffffff"/>
        </w:rPr>
        <w:t xml:space="preserve">）</w:t>
      </w:r>
      <w:r/>
    </w:p>
    <w:p>
      <w:pPr>
        <w:ind w:firstLine="420"/>
        <w:spacing w:line="36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2、样品递交及退还必须出具投标人的授权委托书及身份证原件。</w:t>
      </w:r>
      <w:r/>
    </w:p>
    <w:p>
      <w:pPr>
        <w:ind w:firstLine="420"/>
        <w:spacing w:line="360" w:lineRule="auto"/>
        <w:rPr>
          <w:rFonts w:hint="eastAsia" w:ascii="宋体" w:hAnsi="宋体" w:eastAsia="宋体" w:cs="宋体"/>
          <w:bCs/>
          <w:color w:val="auto"/>
          <w:szCs w:val="21"/>
          <w:highlight w:val="none"/>
          <w:shd w:val="clear" w:color="auto" w:fill="ffffff"/>
        </w:rPr>
      </w:pPr>
      <w:r>
        <w:rPr>
          <w:rFonts w:hint="eastAsia" w:ascii="宋体" w:hAnsi="宋体" w:cs="宋体"/>
          <w:bCs/>
          <w:color w:val="auto"/>
          <w:szCs w:val="21"/>
          <w:highlight w:val="none"/>
          <w:shd w:val="clear" w:color="auto" w:fill="ffffff"/>
          <w:lang w:val="en-US" w:eastAsia="zh-CN"/>
        </w:rPr>
        <w:t xml:space="preserve">3</w:t>
      </w:r>
      <w:r>
        <w:rPr>
          <w:rFonts w:hint="eastAsia" w:ascii="宋体" w:hAnsi="宋体" w:eastAsia="宋体" w:cs="宋体"/>
          <w:bCs/>
          <w:color w:val="auto"/>
          <w:szCs w:val="21"/>
          <w:highlight w:val="none"/>
          <w:shd w:val="clear" w:color="auto" w:fill="ffffff"/>
        </w:rPr>
        <w:t xml:space="preserve">、样品费用：样品的制作、运输、安装、退场等费用均由供应商承担。</w:t>
      </w:r>
      <w:r/>
    </w:p>
    <w:p>
      <w:pPr>
        <w:ind w:firstLine="420"/>
        <w:spacing w:line="360" w:lineRule="auto"/>
        <w:rPr>
          <w:rFonts w:hint="eastAsia" w:ascii="宋体" w:hAnsi="宋体" w:eastAsia="宋体" w:cs="宋体"/>
          <w:color w:val="auto"/>
          <w:szCs w:val="21"/>
          <w:highlight w:val="none"/>
        </w:rPr>
      </w:pPr>
      <w:r>
        <w:rPr>
          <w:rFonts w:hint="eastAsia" w:ascii="宋体" w:hAnsi="宋体" w:cs="宋体"/>
          <w:bCs/>
          <w:color w:val="auto"/>
          <w:szCs w:val="21"/>
          <w:highlight w:val="none"/>
          <w:shd w:val="clear" w:color="auto" w:fill="ffffff"/>
          <w:lang w:val="en-US" w:eastAsia="zh-CN"/>
        </w:rPr>
        <w:t xml:space="preserve">4</w:t>
      </w:r>
      <w:r>
        <w:rPr>
          <w:rFonts w:hint="eastAsia" w:ascii="宋体" w:hAnsi="宋体" w:eastAsia="宋体" w:cs="宋体"/>
          <w:bCs/>
          <w:color w:val="auto"/>
          <w:szCs w:val="21"/>
          <w:highlight w:val="none"/>
          <w:shd w:val="clear" w:color="auto" w:fill="ffffff"/>
        </w:rPr>
        <w:t xml:space="preserve">、样品退场：采购活动结束后，未中标人的样品，由供应商及时取回；中标人的样品，应按采购人要求送至指定位置，由采购人进行封存保管，并作为履约验收的参考。若供应商未及时取回，代理机构不负有保管责任。</w:t>
      </w:r>
      <w:r/>
    </w:p>
    <w:p>
      <w:pPr>
        <w:ind w:firstLine="420"/>
        <w:pageBreakBefore w:val="0"/>
        <w:spacing w:line="30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ageBreakBefore w:val="0"/>
        <w:spacing w:line="300" w:lineRule="auto"/>
        <w:rPr>
          <w:rFonts w:hint="eastAsia" w:ascii="宋体" w:hAnsi="宋体"/>
          <w:highlight w:val="none"/>
        </w:rPr>
      </w:pPr>
      <w:r>
        <w:rPr>
          <w:rFonts w:hint="eastAsia" w:ascii="宋体" w:hAnsi="宋体"/>
          <w:highlight w:val="none"/>
        </w:rPr>
        <w:br w:type="page" w:clear="all"/>
      </w:r>
      <w:r/>
    </w:p>
    <w:p>
      <w:pPr>
        <w:pStyle w:val="875"/>
        <w:jc w:val="center"/>
        <w:pageBreakBefore w:val="0"/>
        <w:spacing w:line="300" w:lineRule="auto"/>
        <w:rPr>
          <w:rFonts w:hint="eastAsia" w:ascii="宋体" w:hAnsi="宋体"/>
          <w:sz w:val="30"/>
          <w:szCs w:val="30"/>
          <w:highlight w:val="none"/>
        </w:rPr>
      </w:pPr>
      <w:r/>
      <w:bookmarkStart w:id="68" w:name="_Toc32759"/>
      <w:r/>
      <w:bookmarkStart w:id="69" w:name="_Toc30696"/>
      <w:r>
        <w:rPr>
          <w:rFonts w:hint="eastAsia" w:ascii="宋体" w:hAnsi="宋体"/>
          <w:sz w:val="30"/>
          <w:szCs w:val="30"/>
          <w:highlight w:val="none"/>
        </w:rPr>
        <w:t xml:space="preserve">第五章 评标方法及评标标准</w:t>
      </w:r>
      <w:bookmarkEnd w:id="67"/>
      <w:r/>
      <w:bookmarkEnd w:id="68"/>
      <w:r/>
      <w:bookmarkEnd w:id="69"/>
      <w:r/>
      <w:r/>
    </w:p>
    <w:p>
      <w:pPr>
        <w:jc w:val="left"/>
        <w:pageBreakBefore w:val="0"/>
        <w:spacing w:line="300" w:lineRule="auto"/>
        <w:rPr>
          <w:rFonts w:hint="eastAsia" w:ascii="宋体" w:hAnsi="宋体" w:cs="宋体"/>
          <w:bCs/>
          <w:szCs w:val="21"/>
          <w:highlight w:val="none"/>
        </w:rPr>
      </w:pPr>
      <w:r/>
      <w:bookmarkStart w:id="70" w:name="_Toc31748"/>
      <w:r>
        <w:rPr>
          <w:rFonts w:hint="eastAsia" w:ascii="宋体" w:hAnsi="宋体" w:cs="宋体"/>
          <w:bCs/>
          <w:szCs w:val="21"/>
          <w:highlight w:val="none"/>
        </w:rPr>
        <w:t xml:space="preserve">一、评标方法</w:t>
      </w:r>
      <w:bookmarkEnd w:id="70"/>
      <w:r/>
      <w:r/>
    </w:p>
    <w:p>
      <w:pPr>
        <w:ind w:firstLine="420"/>
        <w:jc w:val="left"/>
        <w:pageBreakBefore w:val="0"/>
        <w:spacing w:line="300" w:lineRule="auto"/>
        <w:rPr>
          <w:rFonts w:hint="eastAsia" w:ascii="宋体" w:hAnsi="宋体" w:cs="宋体"/>
          <w:bCs/>
          <w:szCs w:val="21"/>
          <w:highlight w:val="none"/>
        </w:rPr>
      </w:pPr>
      <w:r>
        <w:rPr>
          <w:rFonts w:hint="eastAsia" w:ascii="宋体" w:hAnsi="宋体" w:cs="宋体"/>
          <w:bCs/>
          <w:szCs w:val="21"/>
          <w:highlight w:val="none"/>
        </w:rPr>
        <w:t xml:space="preserve">评委会将对确定为实质性响应采购文件要求的投标文件进行评价和比较，评标采用综合评分法。</w:t>
      </w:r>
      <w:r/>
    </w:p>
    <w:p>
      <w:pPr>
        <w:jc w:val="left"/>
        <w:pageBreakBefore w:val="0"/>
        <w:spacing w:line="300" w:lineRule="auto"/>
        <w:rPr>
          <w:rFonts w:hint="eastAsia" w:ascii="宋体" w:hAnsi="宋体" w:cs="宋体"/>
          <w:bCs/>
          <w:szCs w:val="21"/>
          <w:highlight w:val="none"/>
        </w:rPr>
      </w:pPr>
      <w:r>
        <w:rPr>
          <w:rFonts w:hint="eastAsia" w:ascii="宋体" w:hAnsi="宋体" w:cs="宋体"/>
          <w:bCs/>
          <w:szCs w:val="21"/>
          <w:highlight w:val="none"/>
        </w:rPr>
        <w:t xml:space="preserve">二、评标标准</w:t>
      </w:r>
      <w:r/>
    </w:p>
    <w:p>
      <w:pPr>
        <w:ind w:firstLine="420"/>
        <w:jc w:val="left"/>
        <w:pageBreakBefore w:val="0"/>
        <w:spacing w:line="300" w:lineRule="auto"/>
        <w:rPr>
          <w:rFonts w:hint="eastAsia" w:ascii="宋体" w:hAnsi="宋体" w:cs="宋体"/>
          <w:bCs/>
          <w:szCs w:val="21"/>
          <w:highlight w:val="none"/>
        </w:rPr>
      </w:pPr>
      <w:r>
        <w:rPr>
          <w:rFonts w:hint="eastAsia" w:ascii="宋体" w:hAnsi="宋体" w:cs="宋体"/>
          <w:bCs/>
          <w:szCs w:val="21"/>
          <w:highlight w:val="none"/>
        </w:rPr>
        <w:t xml:space="preserve">本项目采用综合评分法，总分为100分，按评审后综合得分由高到低顺序排列。综合得分相同的，按投标报价由低到高顺序排列；价格分也相同的，按技术部分得分由高到低顺序排列；分值均相同的，则由评标委员会决定排列顺序。由评标委员会推荐3名成交候选人。具体评审办法如下：</w:t>
      </w:r>
      <w:r/>
    </w:p>
    <w:tbl>
      <w:tblPr>
        <w:tblStyle w:val="692"/>
        <w:tblW w:w="91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8"/>
        <w:gridCol w:w="1122"/>
        <w:gridCol w:w="6855"/>
      </w:tblGrid>
      <w:tr>
        <w:trPr>
          <w:jc w:val="center"/>
          <w:trHeight w:val="90"/>
        </w:trPr>
        <w:tc>
          <w:tcPr>
            <w:gridSpan w:val="2"/>
            <w:tcW w:w="2340"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评审因素</w:t>
            </w:r>
            <w:r/>
          </w:p>
        </w:tc>
        <w:tc>
          <w:tcPr>
            <w:tcW w:w="685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评审标准</w:t>
            </w:r>
            <w:r/>
          </w:p>
        </w:tc>
      </w:tr>
      <w:tr>
        <w:trPr>
          <w:jc w:val="center"/>
          <w:trHeight w:val="766"/>
        </w:trPr>
        <w:tc>
          <w:tcPr>
            <w:shd w:val="clear" w:color="auto" w:fill="auto"/>
            <w:tcBorders>
              <w:right w:val="single" w:color="auto" w:sz="4" w:space="0"/>
            </w:tcBorders>
            <w:tcW w:w="121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Cs w:val="24"/>
                <w:highlight w:val="none"/>
              </w:rPr>
              <w:t xml:space="preserve">价格</w:t>
            </w:r>
            <w:r>
              <w:rPr>
                <w:rFonts w:hint="eastAsia" w:ascii="宋体" w:hAnsi="宋体" w:cs="宋体"/>
                <w:color w:val="auto"/>
                <w:szCs w:val="24"/>
                <w:highlight w:val="none"/>
                <w:lang w:val="en-US" w:eastAsia="zh-CN"/>
              </w:rPr>
              <w:t xml:space="preserve">部分（30分）</w:t>
            </w:r>
            <w:r/>
          </w:p>
        </w:tc>
        <w:tc>
          <w:tcPr>
            <w:shd w:val="clear" w:color="auto" w:fill="auto"/>
            <w:tcBorders>
              <w:left w:val="single" w:color="auto" w:sz="4" w:space="0"/>
            </w:tcBorders>
            <w:tcW w:w="112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Cs w:val="24"/>
                <w:highlight w:val="none"/>
              </w:rPr>
              <w:t xml:space="preserve">价格</w:t>
            </w:r>
            <w:r>
              <w:rPr>
                <w:rFonts w:hint="eastAsia" w:ascii="宋体" w:hAnsi="宋体" w:cs="宋体"/>
                <w:color w:val="auto"/>
                <w:szCs w:val="24"/>
                <w:highlight w:val="none"/>
                <w:lang w:val="en-US" w:eastAsia="zh-CN"/>
              </w:rPr>
              <w:t xml:space="preserve">分（30分）</w:t>
            </w:r>
            <w:r/>
          </w:p>
        </w:tc>
        <w:tc>
          <w:tcPr>
            <w:shd w:val="clear" w:color="auto" w:fill="auto"/>
            <w:tcW w:w="685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color w:val="auto"/>
                <w:sz w:val="21"/>
                <w:szCs w:val="24"/>
                <w:highlight w:val="none"/>
                <w:lang w:val="en-US" w:eastAsia="zh-CN" w:bidi="ar-SA"/>
              </w:rPr>
            </w:pPr>
            <w:r>
              <w:rPr>
                <w:rFonts w:hint="eastAsia" w:ascii="宋体" w:hAnsi="宋体" w:eastAsia="宋体" w:cs="宋体"/>
                <w:b w:val="0"/>
                <w:bCs/>
                <w:color w:val="auto"/>
                <w:szCs w:val="24"/>
                <w:highlight w:val="none"/>
              </w:rPr>
              <w:t xml:space="preserve">满足招标文件要求且投标价格最低的投标报价为评标基准价，其价格分为满分30分，其他投标人的价格分按照下列公式计算：投标报价得分=（评标基准价/投标报价）×30。</w:t>
            </w:r>
            <w:r/>
          </w:p>
        </w:tc>
      </w:tr>
      <w:tr>
        <w:trPr>
          <w:jc w:val="center"/>
          <w:trHeight w:val="766"/>
        </w:trPr>
        <w:tc>
          <w:tcPr>
            <w:shd w:val="clear" w:color="auto" w:fill="auto"/>
            <w:tcBorders>
              <w:right w:val="single" w:color="auto" w:sz="4" w:space="0"/>
            </w:tcBorders>
            <w:tcW w:w="121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4"/>
                <w:highlight w:val="none"/>
                <w:lang w:val="en-US" w:eastAsia="zh-CN" w:bidi="ar-SA"/>
              </w:rPr>
            </w:pPr>
            <w:r>
              <w:rPr>
                <w:rFonts w:hint="eastAsia" w:ascii="宋体" w:hAnsi="宋体" w:eastAsia="宋体" w:cs="宋体"/>
                <w:bCs/>
                <w:color w:val="auto"/>
                <w:szCs w:val="21"/>
                <w:highlight w:val="none"/>
                <w:lang w:val="en-US" w:eastAsia="zh-CN"/>
              </w:rPr>
              <w:t xml:space="preserve">商务</w:t>
            </w:r>
            <w:r>
              <w:rPr>
                <w:rFonts w:hint="eastAsia" w:ascii="宋体" w:hAnsi="宋体" w:eastAsia="宋体" w:cs="宋体"/>
                <w:bCs/>
                <w:color w:val="auto"/>
                <w:szCs w:val="21"/>
                <w:highlight w:val="none"/>
              </w:rPr>
              <w:t xml:space="preserve">部分</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5分</w:t>
            </w:r>
            <w:r>
              <w:rPr>
                <w:rFonts w:hint="eastAsia" w:ascii="宋体" w:hAnsi="宋体" w:cs="宋体"/>
                <w:bCs/>
                <w:color w:val="auto"/>
                <w:szCs w:val="21"/>
                <w:highlight w:val="none"/>
                <w:lang w:eastAsia="zh-CN"/>
              </w:rPr>
              <w:t xml:space="preserve">）</w:t>
            </w:r>
            <w:r/>
          </w:p>
        </w:tc>
        <w:tc>
          <w:tcPr>
            <w:shd w:val="clear" w:color="auto" w:fill="auto"/>
            <w:tcBorders>
              <w:left w:val="single" w:color="auto" w:sz="4" w:space="0"/>
            </w:tcBorders>
            <w:tcW w:w="112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业绩</w:t>
            </w:r>
            <w:r/>
          </w:p>
          <w:p>
            <w:pPr>
              <w:jc w:val="center"/>
              <w:keepLines w:val="0"/>
              <w:keepNext w:val="0"/>
              <w:pageBreakBefore w:val="0"/>
              <w:spacing w:line="240" w:lineRule="auto"/>
              <w:widowControl/>
              <w:rPr>
                <w:rFonts w:hint="eastAsia" w:ascii="宋体" w:hAnsi="宋体" w:eastAsia="宋体" w:cs="宋体"/>
                <w:color w:val="auto"/>
                <w:sz w:val="21"/>
                <w:szCs w:val="24"/>
                <w:highlight w:val="none"/>
                <w:lang w:val="en-US" w:eastAsia="zh-CN" w:bidi="ar-SA"/>
              </w:rPr>
            </w:pP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5分</w:t>
            </w:r>
            <w:r>
              <w:rPr>
                <w:rFonts w:hint="eastAsia" w:ascii="宋体" w:hAnsi="宋体" w:cs="宋体"/>
                <w:color w:val="auto"/>
                <w:szCs w:val="24"/>
                <w:highlight w:val="none"/>
                <w:lang w:eastAsia="zh-CN"/>
              </w:rPr>
              <w:t xml:space="preserve">）</w:t>
            </w:r>
            <w:r/>
          </w:p>
        </w:tc>
        <w:tc>
          <w:tcPr>
            <w:shd w:val="clear" w:color="auto" w:fill="auto"/>
            <w:tcW w:w="685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color w:val="auto"/>
                <w:szCs w:val="24"/>
                <w:highlight w:val="none"/>
              </w:rPr>
            </w:pPr>
            <w:r>
              <w:rPr>
                <w:rFonts w:hint="eastAsia" w:ascii="宋体" w:hAnsi="宋体"/>
                <w:color w:val="auto"/>
                <w:highlight w:val="none"/>
                <w:lang w:val="en-US" w:eastAsia="zh-CN"/>
              </w:rPr>
              <w:t xml:space="preserve">投标人具有</w:t>
            </w:r>
            <w:r>
              <w:rPr>
                <w:rFonts w:hint="eastAsia" w:ascii="宋体" w:hAnsi="宋体" w:cs="宋体"/>
                <w:b w:val="0"/>
                <w:bCs/>
                <w:color w:val="auto"/>
                <w:szCs w:val="24"/>
                <w:highlight w:val="none"/>
                <w:lang w:val="en-US" w:eastAsia="zh-CN"/>
              </w:rPr>
              <w:t xml:space="preserve">自</w:t>
            </w:r>
            <w:r>
              <w:rPr>
                <w:rFonts w:hint="eastAsia" w:ascii="宋体" w:hAnsi="宋体" w:eastAsia="宋体" w:cs="宋体"/>
                <w:b w:val="0"/>
                <w:bCs/>
                <w:color w:val="auto"/>
                <w:szCs w:val="24"/>
                <w:highlight w:val="none"/>
              </w:rPr>
              <w:t xml:space="preserve">202</w:t>
            </w:r>
            <w:r>
              <w:rPr>
                <w:rFonts w:hint="eastAsia" w:ascii="宋体" w:hAnsi="宋体" w:cs="宋体"/>
                <w:b w:val="0"/>
                <w:bCs/>
                <w:color w:val="auto"/>
                <w:szCs w:val="24"/>
                <w:highlight w:val="none"/>
                <w:lang w:val="en-US" w:eastAsia="zh-CN"/>
              </w:rPr>
              <w:t xml:space="preserve">3</w:t>
            </w:r>
            <w:r>
              <w:rPr>
                <w:rFonts w:hint="eastAsia" w:ascii="宋体" w:hAnsi="宋体" w:eastAsia="宋体" w:cs="宋体"/>
                <w:b w:val="0"/>
                <w:bCs/>
                <w:color w:val="auto"/>
                <w:szCs w:val="24"/>
                <w:highlight w:val="none"/>
              </w:rPr>
              <w:t xml:space="preserve">年1月1日以来</w:t>
            </w:r>
            <w:r>
              <w:rPr>
                <w:rFonts w:hint="eastAsia" w:ascii="宋体" w:hAnsi="宋体" w:cs="宋体"/>
                <w:b w:val="0"/>
                <w:bCs/>
                <w:color w:val="auto"/>
                <w:szCs w:val="24"/>
                <w:highlight w:val="none"/>
                <w:lang w:val="en-US" w:eastAsia="zh-CN"/>
              </w:rPr>
              <w:t xml:space="preserve">的类似业绩（工作内容含玩教具）</w:t>
            </w:r>
            <w:r>
              <w:rPr>
                <w:rFonts w:hint="eastAsia" w:ascii="宋体" w:hAnsi="宋体" w:cs="宋体"/>
                <w:b w:val="0"/>
                <w:bCs/>
                <w:color w:val="auto"/>
                <w:szCs w:val="24"/>
                <w:highlight w:val="none"/>
                <w:lang w:eastAsia="zh-CN"/>
              </w:rPr>
              <w:t xml:space="preserve">，</w:t>
            </w:r>
            <w:r>
              <w:rPr>
                <w:rFonts w:hint="eastAsia" w:ascii="宋体" w:hAnsi="宋体" w:eastAsia="宋体" w:cs="宋体"/>
                <w:b w:val="0"/>
                <w:bCs/>
                <w:color w:val="auto"/>
                <w:szCs w:val="24"/>
                <w:highlight w:val="none"/>
              </w:rPr>
              <w:t xml:space="preserve">每提供1份合同得</w:t>
            </w:r>
            <w:r>
              <w:rPr>
                <w:rFonts w:hint="eastAsia" w:ascii="宋体" w:hAnsi="宋体" w:cs="宋体"/>
                <w:b w:val="0"/>
                <w:bCs/>
                <w:color w:val="auto"/>
                <w:szCs w:val="24"/>
                <w:highlight w:val="none"/>
                <w:lang w:val="en-US" w:eastAsia="zh-CN"/>
              </w:rPr>
              <w:t xml:space="preserve">1</w:t>
            </w:r>
            <w:r>
              <w:rPr>
                <w:rFonts w:hint="eastAsia" w:ascii="宋体" w:hAnsi="宋体" w:eastAsia="宋体" w:cs="宋体"/>
                <w:b w:val="0"/>
                <w:bCs/>
                <w:color w:val="auto"/>
                <w:szCs w:val="24"/>
                <w:highlight w:val="none"/>
              </w:rPr>
              <w:t xml:space="preserve">分，最多得</w:t>
            </w:r>
            <w:r>
              <w:rPr>
                <w:rFonts w:hint="eastAsia" w:ascii="宋体" w:hAnsi="宋体" w:cs="宋体"/>
                <w:b w:val="0"/>
                <w:bCs/>
                <w:color w:val="auto"/>
                <w:szCs w:val="24"/>
                <w:highlight w:val="none"/>
                <w:lang w:val="en-US" w:eastAsia="zh-CN"/>
              </w:rPr>
              <w:t xml:space="preserve">5</w:t>
            </w:r>
            <w:r>
              <w:rPr>
                <w:rFonts w:hint="eastAsia" w:ascii="宋体" w:hAnsi="宋体" w:eastAsia="宋体" w:cs="宋体"/>
                <w:b w:val="0"/>
                <w:bCs/>
                <w:color w:val="auto"/>
                <w:szCs w:val="24"/>
                <w:highlight w:val="none"/>
              </w:rPr>
              <w:t xml:space="preserve">分。</w:t>
            </w:r>
            <w:r/>
          </w:p>
          <w:p>
            <w:pPr>
              <w:jc w:val="left"/>
              <w:keepLines w:val="0"/>
              <w:keepNext w:val="0"/>
              <w:pageBreakBefore w:val="0"/>
              <w:spacing w:line="240" w:lineRule="auto"/>
              <w:widowControl/>
              <w:rPr>
                <w:rFonts w:hint="default" w:ascii="宋体" w:hAnsi="宋体" w:eastAsia="宋体" w:cs="宋体"/>
                <w:b w:val="0"/>
                <w:bCs/>
                <w:color w:val="auto"/>
                <w:szCs w:val="24"/>
                <w:highlight w:val="none"/>
                <w:lang w:val="en-US" w:eastAsia="zh-CN"/>
              </w:rPr>
            </w:pPr>
            <w:r>
              <w:rPr>
                <w:rFonts w:hint="eastAsia" w:ascii="宋体" w:hAnsi="宋体" w:cs="宋体"/>
                <w:b w:val="0"/>
                <w:bCs/>
                <w:color w:val="auto"/>
                <w:szCs w:val="24"/>
                <w:highlight w:val="none"/>
                <w:lang w:val="en-US" w:eastAsia="zh-CN"/>
              </w:rPr>
              <w:t xml:space="preserve">注：</w:t>
            </w:r>
            <w:r>
              <w:rPr>
                <w:rFonts w:hint="eastAsia" w:cs="宋体"/>
                <w:color w:val="auto"/>
                <w:szCs w:val="21"/>
                <w:highlight w:val="none"/>
                <w:lang w:val="en-US" w:eastAsia="zh-CN"/>
              </w:rPr>
              <w:t xml:space="preserve">投标文件中须</w:t>
            </w:r>
            <w:r>
              <w:rPr>
                <w:rFonts w:ascii="宋体" w:hAnsi="宋体" w:eastAsia="宋体"/>
                <w:color w:val="auto"/>
                <w:sz w:val="21"/>
                <w:szCs w:val="21"/>
                <w:highlight w:val="none"/>
              </w:rPr>
              <w:t xml:space="preserve">提供合同</w:t>
            </w:r>
            <w:r>
              <w:rPr>
                <w:rFonts w:hint="eastAsia"/>
                <w:color w:val="auto"/>
                <w:sz w:val="21"/>
                <w:szCs w:val="21"/>
                <w:highlight w:val="none"/>
                <w:lang w:val="en-US" w:eastAsia="zh-CN"/>
              </w:rPr>
              <w:t xml:space="preserve">复印件，</w:t>
            </w:r>
            <w:r>
              <w:rPr>
                <w:rFonts w:hint="eastAsia" w:ascii="宋体" w:hAnsi="宋体" w:eastAsia="宋体" w:cs="宋体"/>
                <w:b w:val="0"/>
                <w:bCs/>
                <w:color w:val="auto"/>
                <w:szCs w:val="24"/>
                <w:highlight w:val="none"/>
                <w:lang w:val="en-US" w:eastAsia="zh-CN"/>
              </w:rPr>
              <w:t xml:space="preserve">时间以合同签订时间为准</w:t>
            </w:r>
            <w:r>
              <w:rPr>
                <w:rFonts w:ascii="宋体" w:hAnsi="宋体" w:eastAsia="宋体"/>
                <w:color w:val="auto"/>
                <w:sz w:val="21"/>
                <w:szCs w:val="21"/>
                <w:highlight w:val="none"/>
              </w:rPr>
              <w:t xml:space="preserve">。提供的证明材料</w:t>
            </w:r>
            <w:r>
              <w:rPr>
                <w:rFonts w:hint="eastAsia" w:ascii="宋体" w:hAnsi="宋体" w:eastAsia="宋体"/>
                <w:color w:val="auto"/>
                <w:sz w:val="21"/>
                <w:szCs w:val="21"/>
                <w:highlight w:val="none"/>
                <w:lang w:val="en-US" w:eastAsia="zh-CN"/>
              </w:rPr>
              <w:t xml:space="preserve">应</w:t>
            </w:r>
            <w:r>
              <w:rPr>
                <w:rFonts w:ascii="宋体" w:hAnsi="宋体" w:eastAsia="宋体"/>
                <w:color w:val="auto"/>
                <w:sz w:val="21"/>
                <w:szCs w:val="21"/>
                <w:highlight w:val="none"/>
              </w:rPr>
              <w:t xml:space="preserve">能够有效反映相关数据，否则视作未提供</w:t>
            </w:r>
            <w:r>
              <w:rPr>
                <w:rFonts w:hint="eastAsia" w:cs="宋体"/>
                <w:color w:val="auto"/>
                <w:szCs w:val="21"/>
                <w:highlight w:val="none"/>
                <w:lang w:eastAsia="zh-CN"/>
              </w:rPr>
              <w:t xml:space="preserve">。</w:t>
            </w:r>
            <w:r/>
          </w:p>
        </w:tc>
      </w:tr>
      <w:tr>
        <w:trPr>
          <w:jc w:val="center"/>
          <w:trHeight w:val="766"/>
        </w:trPr>
        <w:tc>
          <w:tcPr>
            <w:shd w:val="clear" w:color="auto" w:fill="auto"/>
            <w:tcBorders>
              <w:right w:val="single" w:color="auto" w:sz="4" w:space="0"/>
            </w:tcBorders>
            <w:tcW w:w="1218"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rPr>
              <w:t xml:space="preserve">技术部分</w:t>
            </w:r>
            <w:r>
              <w:rPr>
                <w:rFonts w:hint="eastAsia" w:ascii="宋体" w:hAnsi="宋体" w:eastAsia="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65</w:t>
            </w:r>
            <w:r>
              <w:rPr>
                <w:rFonts w:hint="eastAsia" w:ascii="宋体" w:hAnsi="宋体" w:eastAsia="宋体" w:cs="宋体"/>
                <w:bCs/>
                <w:color w:val="auto"/>
                <w:sz w:val="21"/>
                <w:szCs w:val="21"/>
                <w:highlight w:val="none"/>
                <w:lang w:val="en-US" w:eastAsia="zh-CN"/>
              </w:rPr>
              <w:t xml:space="preserve">分</w:t>
            </w:r>
            <w:r>
              <w:rPr>
                <w:rFonts w:hint="eastAsia" w:ascii="宋体" w:hAnsi="宋体" w:eastAsia="宋体" w:cs="宋体"/>
                <w:bCs/>
                <w:color w:val="auto"/>
                <w:sz w:val="21"/>
                <w:szCs w:val="21"/>
                <w:highlight w:val="none"/>
                <w:lang w:eastAsia="zh-CN"/>
              </w:rPr>
              <w:t xml:space="preserve">）</w:t>
            </w:r>
            <w:r/>
          </w:p>
        </w:tc>
        <w:tc>
          <w:tcPr>
            <w:shd w:val="clear" w:color="auto" w:fill="auto"/>
            <w:tcBorders>
              <w:left w:val="single" w:color="auto" w:sz="4" w:space="0"/>
            </w:tcBorders>
            <w:tcW w:w="112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color w:val="auto"/>
                <w:szCs w:val="24"/>
                <w:highlight w:val="none"/>
              </w:rPr>
              <w:t xml:space="preserve">技术响应</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15分</w:t>
            </w:r>
            <w:r>
              <w:rPr>
                <w:rFonts w:hint="eastAsia" w:ascii="宋体" w:hAnsi="宋体" w:cs="宋体"/>
                <w:color w:val="auto"/>
                <w:szCs w:val="24"/>
                <w:highlight w:val="none"/>
                <w:lang w:eastAsia="zh-CN"/>
              </w:rPr>
              <w:t xml:space="preserve">）</w:t>
            </w:r>
            <w:r/>
          </w:p>
        </w:tc>
        <w:tc>
          <w:tcPr>
            <w:shd w:val="clear" w:color="auto" w:fill="auto"/>
            <w:tcW w:w="6855" w:type="dxa"/>
            <w:vAlign w:val="center"/>
            <w:textDirection w:val="lrTb"/>
            <w:noWrap w:val="false"/>
          </w:tcPr>
          <w:p>
            <w:pPr>
              <w:jc w:val="left"/>
              <w:keepLines w:val="0"/>
              <w:keepNext w:val="0"/>
              <w:pageBreakBefore w:val="0"/>
              <w:spacing w:line="240" w:lineRule="auto"/>
              <w:rPr>
                <w:rFonts w:hint="eastAsia" w:ascii="宋体" w:hAnsi="宋体" w:eastAsia="宋体" w:cs="宋体"/>
                <w:b w:val="0"/>
                <w:bCs/>
                <w:color w:val="auto"/>
                <w:szCs w:val="24"/>
                <w:highlight w:val="none"/>
              </w:rPr>
            </w:pPr>
            <w:r>
              <w:rPr>
                <w:rFonts w:hint="eastAsia" w:ascii="宋体" w:hAnsi="宋体" w:cs="宋体"/>
                <w:color w:val="auto"/>
                <w:szCs w:val="21"/>
                <w:highlight w:val="none"/>
              </w:rPr>
              <w:t xml:space="preserve">根据对招标文件第四章项目需求“三、</w:t>
            </w:r>
            <w:r>
              <w:rPr>
                <w:rFonts w:hint="eastAsia" w:ascii="宋体" w:hAnsi="宋体" w:cs="宋体"/>
                <w:color w:val="auto"/>
                <w:szCs w:val="21"/>
                <w:highlight w:val="none"/>
                <w:lang w:val="en-US" w:eastAsia="zh-CN"/>
              </w:rPr>
              <w:t xml:space="preserve">采购清单</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的响应情况</w:t>
            </w:r>
            <w:r>
              <w:rPr>
                <w:rFonts w:hint="eastAsia" w:ascii="宋体" w:hAnsi="宋体" w:cs="宋体"/>
                <w:color w:val="auto"/>
                <w:szCs w:val="21"/>
                <w:highlight w:val="none"/>
              </w:rPr>
              <w:t xml:space="preserve">进行评分，全部满足得</w:t>
            </w:r>
            <w:r>
              <w:rPr>
                <w:rFonts w:hint="eastAsia" w:ascii="宋体" w:hAnsi="宋体" w:cs="宋体"/>
                <w:color w:val="auto"/>
                <w:szCs w:val="21"/>
                <w:highlight w:val="none"/>
                <w:lang w:val="en-US" w:eastAsia="zh-CN"/>
              </w:rPr>
              <w:t xml:space="preserve">15</w:t>
            </w:r>
            <w:r>
              <w:rPr>
                <w:rFonts w:hint="eastAsia" w:ascii="宋体" w:hAnsi="宋体" w:cs="宋体"/>
                <w:color w:val="auto"/>
                <w:szCs w:val="21"/>
                <w:highlight w:val="none"/>
              </w:rPr>
              <w:t xml:space="preserve">分。</w:t>
            </w:r>
            <w:r/>
          </w:p>
          <w:p>
            <w:pPr>
              <w:jc w:val="left"/>
              <w:rPr>
                <w:rFonts w:hint="eastAsia" w:ascii="宋体" w:hAnsi="宋体" w:eastAsia="宋体" w:cs="宋体"/>
                <w:sz w:val="21"/>
                <w:szCs w:val="21"/>
                <w:highlight w:val="none"/>
                <w:lang w:val="en-US" w:eastAsia="zh-CN" w:bidi="ar-SA"/>
              </w:rPr>
              <w:pBdr>
                <w:top w:val="none" w:color="auto" w:sz="0" w:space="0"/>
                <w:left w:val="none" w:color="auto" w:sz="0" w:space="0"/>
                <w:right w:val="none" w:color="auto" w:sz="0" w:space="0"/>
              </w:pBdr>
            </w:pPr>
            <w:r>
              <w:rPr>
                <w:rFonts w:hint="eastAsia" w:ascii="宋体" w:hAnsi="宋体" w:eastAsia="宋体" w:cs="宋体"/>
                <w:sz w:val="21"/>
                <w:szCs w:val="21"/>
                <w:highlight w:val="none"/>
                <w:lang w:val="en-US" w:eastAsia="zh-CN" w:bidi="ar-SA"/>
              </w:rPr>
              <w:t xml:space="preserve">标注“▲”号条款为重点评审响应条款，投标人每有一项负偏离扣</w:t>
            </w:r>
            <w:r>
              <w:rPr>
                <w:rFonts w:hint="eastAsia" w:ascii="宋体" w:hAnsi="宋体" w:cs="宋体"/>
                <w:sz w:val="21"/>
                <w:szCs w:val="21"/>
                <w:highlight w:val="none"/>
                <w:lang w:val="en-US" w:eastAsia="zh-CN" w:bidi="ar-SA"/>
              </w:rPr>
              <w:t xml:space="preserve">3</w:t>
            </w:r>
            <w:r>
              <w:rPr>
                <w:rFonts w:hint="eastAsia" w:ascii="宋体" w:hAnsi="宋体" w:eastAsia="宋体" w:cs="宋体"/>
                <w:sz w:val="21"/>
                <w:szCs w:val="21"/>
                <w:highlight w:val="none"/>
                <w:lang w:val="en-US" w:eastAsia="zh-CN" w:bidi="ar-SA"/>
              </w:rPr>
              <w:t xml:space="preserve">分；其他未标注“▲”号的条款每有一项负偏离扣</w:t>
            </w:r>
            <w:r>
              <w:rPr>
                <w:rFonts w:hint="eastAsia" w:ascii="宋体" w:hAnsi="宋体" w:cs="宋体"/>
                <w:sz w:val="21"/>
                <w:szCs w:val="21"/>
                <w:highlight w:val="none"/>
                <w:lang w:val="en-US" w:eastAsia="zh-CN" w:bidi="ar-SA"/>
              </w:rPr>
              <w:t xml:space="preserve">0.5</w:t>
            </w:r>
            <w:r>
              <w:rPr>
                <w:rFonts w:hint="eastAsia" w:ascii="宋体" w:hAnsi="宋体" w:eastAsia="宋体" w:cs="宋体"/>
                <w:sz w:val="21"/>
                <w:szCs w:val="21"/>
                <w:highlight w:val="none"/>
                <w:lang w:val="en-US" w:eastAsia="zh-CN" w:bidi="ar-SA"/>
              </w:rPr>
              <w:t xml:space="preserve">分；标注“▲”号条款负偏离＞</w:t>
            </w:r>
            <w:r>
              <w:rPr>
                <w:rFonts w:hint="eastAsia" w:ascii="宋体" w:hAnsi="宋体" w:cs="宋体"/>
                <w:sz w:val="21"/>
                <w:szCs w:val="21"/>
                <w:highlight w:val="none"/>
                <w:lang w:val="en-US" w:eastAsia="zh-CN" w:bidi="ar-SA"/>
              </w:rPr>
              <w:t xml:space="preserve">3</w:t>
            </w:r>
            <w:r>
              <w:rPr>
                <w:rFonts w:hint="eastAsia" w:ascii="宋体" w:hAnsi="宋体" w:eastAsia="宋体" w:cs="宋体"/>
                <w:sz w:val="21"/>
                <w:szCs w:val="21"/>
                <w:highlight w:val="none"/>
                <w:lang w:val="en-US" w:eastAsia="zh-CN" w:bidi="ar-SA"/>
              </w:rPr>
              <w:t xml:space="preserve">项的或其他未标注“▲”号的条款负偏离＞</w:t>
            </w:r>
            <w:r>
              <w:rPr>
                <w:rFonts w:hint="eastAsia" w:ascii="宋体" w:hAnsi="宋体" w:cs="宋体"/>
                <w:sz w:val="21"/>
                <w:szCs w:val="21"/>
                <w:highlight w:val="none"/>
                <w:lang w:val="en-US" w:eastAsia="zh-CN" w:bidi="ar-SA"/>
              </w:rPr>
              <w:t xml:space="preserve">20</w:t>
            </w:r>
            <w:r>
              <w:rPr>
                <w:rFonts w:hint="eastAsia" w:ascii="宋体" w:hAnsi="宋体" w:eastAsia="宋体" w:cs="宋体"/>
                <w:sz w:val="21"/>
                <w:szCs w:val="21"/>
                <w:highlight w:val="none"/>
                <w:lang w:val="en-US" w:eastAsia="zh-CN" w:bidi="ar-SA"/>
              </w:rPr>
              <w:t xml:space="preserve">项的视为影响实现采购需求，本技术响应项得0分。</w:t>
            </w:r>
            <w:r/>
          </w:p>
          <w:p>
            <w:pPr>
              <w:jc w:val="left"/>
              <w:keepLines w:val="0"/>
              <w:keepNext w:val="0"/>
              <w:pageBreakBefore w:val="0"/>
              <w:spacing w:line="240" w:lineRule="auto"/>
              <w:widowControl/>
              <w:rPr>
                <w:rFonts w:hint="eastAsia" w:ascii="宋体" w:hAnsi="宋体" w:eastAsia="宋体" w:cs="Times New Roman"/>
                <w:color w:val="auto"/>
                <w:sz w:val="21"/>
                <w:szCs w:val="22"/>
                <w:highlight w:val="none"/>
                <w:lang w:val="en-US" w:eastAsia="zh-CN" w:bidi="ar-SA"/>
              </w:rPr>
            </w:pPr>
            <w:r>
              <w:rPr>
                <w:rFonts w:hint="eastAsia" w:ascii="宋体" w:hAnsi="宋体" w:eastAsia="宋体" w:cs="宋体"/>
                <w:sz w:val="21"/>
                <w:szCs w:val="21"/>
                <w:highlight w:val="none"/>
                <w:lang w:val="en-US" w:eastAsia="zh-CN" w:bidi="ar-SA"/>
              </w:rPr>
              <w:t xml:space="preserve">注：凡标有最低一级序号的指标项即为一项条款，无论是否隶属于上一级编号。</w:t>
            </w:r>
            <w:r/>
          </w:p>
        </w:tc>
      </w:tr>
      <w:tr>
        <w:trPr>
          <w:jc w:val="center"/>
          <w:trHeight w:val="543"/>
        </w:trPr>
        <w:tc>
          <w:tcPr>
            <w:shd w:val="clear" w:color="auto" w:fill="auto"/>
            <w:tcBorders>
              <w:right w:val="single" w:color="auto" w:sz="4" w:space="0"/>
            </w:tcBorders>
            <w:tcW w:w="1218"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tc>
        <w:tc>
          <w:tcPr>
            <w:shd w:val="clear" w:color="auto" w:fill="auto"/>
            <w:tcBorders>
              <w:left w:val="single" w:color="auto" w:sz="4" w:space="0"/>
            </w:tcBorders>
            <w:tcW w:w="112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服务方案</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lang w:eastAsia="zh-CN"/>
              </w:rPr>
              <w:t xml:space="preserve">）</w:t>
            </w:r>
            <w:r/>
          </w:p>
        </w:tc>
        <w:tc>
          <w:tcPr>
            <w:shd w:val="clear" w:color="auto" w:fill="auto"/>
            <w:tcW w:w="685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根据</w:t>
            </w: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lang w:val="en-US" w:eastAsia="en-US"/>
              </w:rPr>
              <w:t xml:space="preserve">提供的</w:t>
            </w:r>
            <w:r>
              <w:rPr>
                <w:rFonts w:hint="eastAsia" w:ascii="宋体" w:hAnsi="宋体" w:cs="宋体"/>
                <w:color w:val="auto"/>
                <w:sz w:val="21"/>
                <w:szCs w:val="21"/>
                <w:highlight w:val="none"/>
                <w:lang w:val="en-US" w:eastAsia="zh-CN"/>
              </w:rPr>
              <w:t xml:space="preserve">服务方案（至少包含项目整体部署、服务计划、服务团队、物流运输配备措施等）</w:t>
            </w:r>
            <w:r>
              <w:rPr>
                <w:rFonts w:hint="eastAsia" w:ascii="宋体" w:hAnsi="宋体" w:eastAsia="宋体" w:cs="宋体"/>
                <w:color w:val="auto"/>
                <w:sz w:val="21"/>
                <w:szCs w:val="21"/>
                <w:highlight w:val="none"/>
                <w:lang w:val="en-US" w:eastAsia="en-US"/>
              </w:rPr>
              <w:t xml:space="preserve">的科学性、全面性、可行性</w:t>
            </w:r>
            <w:r>
              <w:rPr>
                <w:rFonts w:hint="eastAsia" w:ascii="宋体" w:hAnsi="宋体" w:eastAsia="宋体" w:cs="宋体"/>
                <w:color w:val="auto"/>
                <w:sz w:val="21"/>
                <w:szCs w:val="21"/>
                <w:highlight w:val="none"/>
                <w:lang w:val="en-US" w:eastAsia="zh-CN"/>
              </w:rPr>
              <w:t xml:space="preserve">进行</w:t>
            </w:r>
            <w:r>
              <w:rPr>
                <w:rFonts w:hint="eastAsia" w:ascii="宋体" w:hAnsi="宋体" w:eastAsia="宋体" w:cs="宋体"/>
                <w:color w:val="auto"/>
                <w:sz w:val="21"/>
                <w:szCs w:val="21"/>
                <w:highlight w:val="none"/>
                <w:lang w:val="en-US" w:eastAsia="en-US"/>
              </w:rPr>
              <w:t xml:space="preserve">综合打分：</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en-US"/>
              </w:rPr>
            </w:pPr>
            <w:r>
              <w:rPr>
                <w:rFonts w:hint="eastAsia" w:ascii="宋体" w:hAnsi="宋体" w:cs="宋体"/>
                <w:color w:val="auto"/>
                <w:sz w:val="21"/>
                <w:szCs w:val="21"/>
                <w:highlight w:val="none"/>
                <w:lang w:val="en-US" w:eastAsia="zh-CN"/>
              </w:rPr>
              <w:t xml:space="preserve">服务方案</w:t>
            </w:r>
            <w:r>
              <w:rPr>
                <w:rFonts w:hint="eastAsia" w:ascii="宋体" w:hAnsi="宋体" w:eastAsia="宋体" w:cs="宋体"/>
                <w:color w:val="auto"/>
                <w:sz w:val="21"/>
                <w:szCs w:val="21"/>
                <w:highlight w:val="none"/>
                <w:lang w:val="en-US" w:eastAsia="en-US"/>
              </w:rPr>
              <w:t xml:space="preserve">标准规范、人员配备及职责分工明确</w:t>
            </w:r>
            <w:r>
              <w:rPr>
                <w:rFonts w:hint="eastAsia" w:ascii="宋体" w:hAnsi="宋体" w:cs="宋体"/>
                <w:color w:val="auto"/>
                <w:sz w:val="21"/>
                <w:szCs w:val="21"/>
                <w:highlight w:val="none"/>
                <w:lang w:val="en-US" w:eastAsia="zh-CN"/>
              </w:rPr>
              <w:t xml:space="preserve">、物流运输配备合理</w:t>
            </w:r>
            <w:r>
              <w:rPr>
                <w:rFonts w:hint="eastAsia" w:ascii="宋体" w:hAnsi="宋体" w:eastAsia="宋体" w:cs="宋体"/>
                <w:color w:val="auto"/>
                <w:sz w:val="21"/>
                <w:szCs w:val="21"/>
                <w:highlight w:val="none"/>
                <w:lang w:val="en-US" w:eastAsia="en-US"/>
              </w:rPr>
              <w:t xml:space="preserve">，得</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en-US"/>
              </w:rPr>
              <w:t xml:space="preserve">分；</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项目实施方案符合规范、人员配备及职责分工较明确</w:t>
            </w:r>
            <w:r>
              <w:rPr>
                <w:rFonts w:hint="eastAsia" w:ascii="宋体" w:hAnsi="宋体" w:cs="宋体"/>
                <w:color w:val="auto"/>
                <w:sz w:val="21"/>
                <w:szCs w:val="21"/>
                <w:highlight w:val="none"/>
                <w:lang w:val="en-US" w:eastAsia="zh-CN"/>
              </w:rPr>
              <w:t xml:space="preserve">、物流运输配备较合理</w:t>
            </w:r>
            <w:r>
              <w:rPr>
                <w:rFonts w:hint="eastAsia" w:ascii="宋体" w:hAnsi="宋体" w:eastAsia="宋体" w:cs="宋体"/>
                <w:color w:val="auto"/>
                <w:sz w:val="21"/>
                <w:szCs w:val="21"/>
                <w:highlight w:val="none"/>
                <w:lang w:val="en-US" w:eastAsia="en-US"/>
              </w:rPr>
              <w:t xml:space="preserve">，得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en-US"/>
              </w:rPr>
              <w:t xml:space="preserve">分；</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项目实施方案基本规范、人员配备及职责分工较模糊</w:t>
            </w:r>
            <w:r>
              <w:rPr>
                <w:rFonts w:hint="eastAsia" w:ascii="宋体" w:hAnsi="宋体" w:cs="宋体"/>
                <w:color w:val="auto"/>
                <w:sz w:val="21"/>
                <w:szCs w:val="21"/>
                <w:highlight w:val="none"/>
                <w:lang w:val="en-US" w:eastAsia="zh-CN"/>
              </w:rPr>
              <w:t xml:space="preserve">、物流运输配备较不合理</w:t>
            </w:r>
            <w:r>
              <w:rPr>
                <w:rFonts w:hint="eastAsia" w:ascii="宋体" w:hAnsi="宋体" w:eastAsia="宋体" w:cs="宋体"/>
                <w:color w:val="auto"/>
                <w:sz w:val="21"/>
                <w:szCs w:val="21"/>
                <w:highlight w:val="none"/>
                <w:lang w:val="en-US" w:eastAsia="en-US"/>
              </w:rPr>
              <w:t xml:space="preserve">，得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en-US"/>
              </w:rPr>
              <w:t xml:space="preserve">分；</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en-US"/>
              </w:rPr>
              <w:t xml:space="preserve">未提供不得分。</w:t>
            </w:r>
            <w:r/>
          </w:p>
        </w:tc>
      </w:tr>
      <w:tr>
        <w:trPr>
          <w:jc w:val="center"/>
          <w:trHeight w:val="90"/>
        </w:trPr>
        <w:tc>
          <w:tcPr>
            <w:shd w:val="clear" w:color="auto" w:fill="auto"/>
            <w:tcBorders>
              <w:right w:val="single" w:color="auto" w:sz="4" w:space="0"/>
            </w:tcBorders>
            <w:tcW w:w="1218"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tc>
        <w:tc>
          <w:tcPr>
            <w:shd w:val="clear" w:color="auto" w:fill="auto"/>
            <w:tcBorders>
              <w:left w:val="single" w:color="auto" w:sz="4" w:space="0"/>
            </w:tcBorders>
            <w:tcW w:w="112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质量保障措施</w:t>
            </w:r>
            <w:r/>
          </w:p>
          <w:p>
            <w:pPr>
              <w:jc w:val="center"/>
              <w:keepLines w:val="0"/>
              <w:keepNext w:val="0"/>
              <w:pageBreakBefore w:val="0"/>
              <w:spacing w:line="24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lang w:eastAsia="zh-CN"/>
              </w:rPr>
              <w:t xml:space="preserve">）</w:t>
            </w:r>
            <w:r/>
          </w:p>
        </w:tc>
        <w:tc>
          <w:tcPr>
            <w:shd w:val="clear" w:color="auto" w:fill="auto"/>
            <w:tcW w:w="685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根据</w:t>
            </w: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lang w:val="en-US" w:eastAsia="en-US"/>
              </w:rPr>
              <w:t xml:space="preserve">提供的质量保障措施</w:t>
            </w:r>
            <w:r>
              <w:rPr>
                <w:rFonts w:hint="eastAsia" w:ascii="宋体" w:hAnsi="宋体" w:cs="宋体"/>
                <w:color w:val="auto"/>
                <w:sz w:val="21"/>
                <w:szCs w:val="21"/>
                <w:highlight w:val="none"/>
                <w:lang w:val="en-US" w:eastAsia="zh-CN"/>
              </w:rPr>
              <w:t xml:space="preserve">（至少包含质量管控、产品退换等）</w:t>
            </w:r>
            <w:r>
              <w:rPr>
                <w:rFonts w:hint="eastAsia" w:ascii="宋体" w:hAnsi="宋体" w:eastAsia="宋体" w:cs="宋体"/>
                <w:color w:val="auto"/>
                <w:sz w:val="21"/>
                <w:szCs w:val="21"/>
                <w:highlight w:val="none"/>
                <w:lang w:val="en-US" w:eastAsia="zh-CN"/>
              </w:rPr>
              <w:t xml:space="preserve">进行</w:t>
            </w:r>
            <w:r>
              <w:rPr>
                <w:rFonts w:hint="eastAsia" w:ascii="宋体" w:hAnsi="宋体" w:eastAsia="宋体" w:cs="宋体"/>
                <w:color w:val="auto"/>
                <w:sz w:val="21"/>
                <w:szCs w:val="21"/>
                <w:highlight w:val="none"/>
                <w:lang w:val="en-US" w:eastAsia="en-US"/>
              </w:rPr>
              <w:t xml:space="preserve">综合打分：</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措施完整、科学合理、具备针对性且切实可行、满足采购人实际需求的得</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en-US"/>
              </w:rPr>
              <w:t xml:space="preserve">分；</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措施基本完整、较为科学合理，有一定针对性及可行性，基本满足采购人实际需求的得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en-US"/>
              </w:rPr>
              <w:t xml:space="preserve">分；</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措施完整性、合理性、针对性、可行性有所欠缺，与采购人实际需求存在差距得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en-US"/>
              </w:rPr>
              <w:t xml:space="preserve">分；</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未提供不得分。</w:t>
            </w:r>
            <w:r/>
          </w:p>
        </w:tc>
      </w:tr>
      <w:tr>
        <w:trPr>
          <w:jc w:val="center"/>
          <w:trHeight w:val="271"/>
        </w:trPr>
        <w:tc>
          <w:tcPr>
            <w:shd w:val="clear" w:color="auto" w:fill="auto"/>
            <w:tcBorders>
              <w:right w:val="single" w:color="auto" w:sz="4" w:space="0"/>
            </w:tcBorders>
            <w:tcW w:w="1218"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tc>
        <w:tc>
          <w:tcPr>
            <w:shd w:val="clear" w:color="auto" w:fill="auto"/>
            <w:tcBorders>
              <w:left w:val="single" w:color="auto" w:sz="4" w:space="0"/>
            </w:tcBorders>
            <w:tcW w:w="1122"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en-US"/>
              </w:rPr>
              <w:t xml:space="preserve">应急服务</w:t>
            </w:r>
            <w:r>
              <w:rPr>
                <w:rFonts w:hint="eastAsia" w:ascii="宋体" w:hAnsi="宋体" w:cs="宋体"/>
                <w:color w:val="auto"/>
                <w:sz w:val="21"/>
                <w:szCs w:val="21"/>
                <w:highlight w:val="none"/>
                <w:lang w:val="en-US" w:eastAsia="zh-CN"/>
              </w:rPr>
              <w:t xml:space="preserve">方案</w:t>
            </w:r>
            <w:r/>
          </w:p>
          <w:p>
            <w:pPr>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分）</w:t>
            </w:r>
            <w:r/>
          </w:p>
        </w:tc>
        <w:tc>
          <w:tcPr>
            <w:shd w:val="clear" w:color="auto" w:fill="auto"/>
            <w:tcW w:w="685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zh-CN"/>
              </w:rPr>
              <w:t xml:space="preserve">根据投标人</w:t>
            </w:r>
            <w:r>
              <w:rPr>
                <w:rFonts w:hint="eastAsia" w:ascii="宋体" w:hAnsi="宋体" w:eastAsia="宋体" w:cs="宋体"/>
                <w:color w:val="auto"/>
                <w:sz w:val="21"/>
                <w:szCs w:val="21"/>
                <w:highlight w:val="none"/>
                <w:lang w:val="en-US" w:eastAsia="en-US"/>
              </w:rPr>
              <w:t xml:space="preserve">提供的应急服务方案进行综合打分：</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方案完整详实、科学合理、具备针对性且切实可行的得</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en-US"/>
              </w:rPr>
              <w:t xml:space="preserve">分；</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方案基本完整、较为科学合理，有一定针对性及可行性的得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en-US"/>
              </w:rPr>
              <w:t xml:space="preserve">分；</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方案完整性、合理性、针对性、可行性较差，与采购人实际需求存在较大差距得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en-US"/>
              </w:rPr>
              <w:t xml:space="preserve">分。</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en-US"/>
              </w:rPr>
              <w:t xml:space="preserve">未提供不得分。</w:t>
            </w:r>
            <w:r/>
          </w:p>
        </w:tc>
      </w:tr>
      <w:tr>
        <w:trPr>
          <w:jc w:val="center"/>
          <w:trHeight w:val="919"/>
        </w:trPr>
        <w:tc>
          <w:tcPr>
            <w:shd w:val="clear" w:color="auto" w:fill="auto"/>
            <w:tcBorders>
              <w:right w:val="single" w:color="auto" w:sz="4" w:space="0"/>
            </w:tcBorders>
            <w:tcW w:w="1218"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tc>
        <w:tc>
          <w:tcPr>
            <w:shd w:val="clear" w:color="auto" w:fill="auto"/>
            <w:tcBorders>
              <w:left w:val="single" w:color="auto" w:sz="4" w:space="0"/>
            </w:tcBorders>
            <w:tcW w:w="1122"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教案内容（7分）</w:t>
            </w:r>
            <w:r/>
          </w:p>
        </w:tc>
        <w:tc>
          <w:tcPr>
            <w:shd w:val="clear" w:color="auto" w:fill="auto"/>
            <w:tcW w:w="685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zh-CN"/>
              </w:rPr>
              <w:t xml:space="preserve">根据投标人</w:t>
            </w:r>
            <w:r>
              <w:rPr>
                <w:rFonts w:hint="eastAsia" w:ascii="宋体" w:hAnsi="宋体" w:eastAsia="宋体" w:cs="宋体"/>
                <w:color w:val="auto"/>
                <w:sz w:val="21"/>
                <w:szCs w:val="21"/>
                <w:highlight w:val="none"/>
                <w:lang w:val="en-US" w:eastAsia="en-US"/>
              </w:rPr>
              <w:t xml:space="preserve">提供的</w:t>
            </w:r>
            <w:r>
              <w:rPr>
                <w:rFonts w:hint="eastAsia" w:ascii="宋体" w:hAnsi="宋体" w:cs="宋体"/>
                <w:color w:val="auto"/>
                <w:sz w:val="21"/>
                <w:szCs w:val="21"/>
                <w:highlight w:val="none"/>
                <w:lang w:val="en-US" w:eastAsia="zh-CN"/>
              </w:rPr>
              <w:t xml:space="preserve">教案</w:t>
            </w:r>
            <w:r>
              <w:rPr>
                <w:rFonts w:hint="eastAsia" w:ascii="宋体" w:hAnsi="宋体" w:eastAsia="宋体" w:cs="宋体"/>
                <w:color w:val="auto"/>
                <w:sz w:val="21"/>
                <w:szCs w:val="21"/>
                <w:highlight w:val="none"/>
                <w:lang w:val="en-US" w:eastAsia="en-US"/>
              </w:rPr>
              <w:t xml:space="preserve">进行综合打分：</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方案完整详实、科学合理、具备针对性且切实可行的得</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en-US"/>
              </w:rPr>
              <w:t xml:space="preserve">分；</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方案基本完整、较为科学合理，有一定针对性及可行性的得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en-US"/>
              </w:rPr>
              <w:t xml:space="preserve">分；</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方案完整性、合理性、针对性、可行性较差，与采购人实际需求存在较大差距得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en-US"/>
              </w:rPr>
              <w:t xml:space="preserve">分。</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未提供不得分。</w:t>
            </w:r>
            <w:r/>
          </w:p>
        </w:tc>
      </w:tr>
      <w:tr>
        <w:trPr>
          <w:jc w:val="center"/>
          <w:trHeight w:val="919"/>
        </w:trPr>
        <w:tc>
          <w:tcPr>
            <w:shd w:val="clear" w:color="auto" w:fill="auto"/>
            <w:tcBorders>
              <w:right w:val="single" w:color="auto" w:sz="4" w:space="0"/>
            </w:tcBorders>
            <w:tcW w:w="1218"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tc>
        <w:tc>
          <w:tcPr>
            <w:shd w:val="clear" w:color="auto" w:fill="auto"/>
            <w:tcBorders>
              <w:left w:val="single" w:color="auto" w:sz="4" w:space="0"/>
            </w:tcBorders>
            <w:tcW w:w="1122" w:type="dxa"/>
            <w:vAlign w:val="center"/>
            <w:textDirection w:val="lrTb"/>
            <w:noWrap w:val="false"/>
          </w:tcPr>
          <w:p>
            <w:pPr>
              <w:jc w:val="center"/>
              <w:keepLines w:val="0"/>
              <w:keepNext w:val="0"/>
              <w:pageBreakBefore w:val="0"/>
              <w:spacing w:line="24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团队支持（7分）</w:t>
            </w:r>
            <w:r/>
          </w:p>
        </w:tc>
        <w:tc>
          <w:tcPr>
            <w:shd w:val="clear" w:color="auto" w:fill="auto"/>
            <w:tcW w:w="685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zh-CN"/>
              </w:rPr>
              <w:t xml:space="preserve">根据投标人</w:t>
            </w:r>
            <w:r>
              <w:rPr>
                <w:rFonts w:hint="eastAsia" w:ascii="宋体" w:hAnsi="宋体" w:eastAsia="宋体" w:cs="宋体"/>
                <w:color w:val="auto"/>
                <w:sz w:val="21"/>
                <w:szCs w:val="21"/>
                <w:highlight w:val="none"/>
                <w:lang w:val="en-US" w:eastAsia="en-US"/>
              </w:rPr>
              <w:t xml:space="preserve">提供的</w:t>
            </w:r>
            <w:r>
              <w:rPr>
                <w:rFonts w:hint="eastAsia" w:ascii="宋体" w:hAnsi="宋体" w:cs="宋体"/>
                <w:color w:val="auto"/>
                <w:sz w:val="21"/>
                <w:szCs w:val="21"/>
                <w:highlight w:val="none"/>
                <w:lang w:val="en-US" w:eastAsia="zh-CN"/>
              </w:rPr>
              <w:t xml:space="preserve">团队人员支持</w:t>
            </w:r>
            <w:r>
              <w:rPr>
                <w:rFonts w:hint="eastAsia" w:ascii="宋体" w:hAnsi="宋体" w:eastAsia="宋体" w:cs="宋体"/>
                <w:color w:val="auto"/>
                <w:sz w:val="21"/>
                <w:szCs w:val="21"/>
                <w:highlight w:val="none"/>
                <w:lang w:val="en-US" w:eastAsia="en-US"/>
              </w:rPr>
              <w:t xml:space="preserve">进行综合打分：</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方案完整详实、科学合理、具备针对性且切实可行的得</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en-US"/>
              </w:rPr>
              <w:t xml:space="preserve">分；</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方案基本完整、较为科学合理，有一定针对性及可行性的得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en-US"/>
              </w:rPr>
              <w:t xml:space="preserve">分；</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方案完整性、合理性、针对性、可行性较差，与采购人实际需求存在较大差距得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en-US"/>
              </w:rPr>
              <w:t xml:space="preserve">分。</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未提供不得分。</w:t>
            </w:r>
            <w:r/>
          </w:p>
        </w:tc>
      </w:tr>
      <w:tr>
        <w:trPr>
          <w:jc w:val="center"/>
          <w:trHeight w:val="919"/>
        </w:trPr>
        <w:tc>
          <w:tcPr>
            <w:shd w:val="clear" w:color="auto" w:fill="auto"/>
            <w:tcBorders>
              <w:right w:val="single" w:color="auto" w:sz="4" w:space="0"/>
            </w:tcBorders>
            <w:tcW w:w="1218"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tc>
        <w:tc>
          <w:tcPr>
            <w:shd w:val="clear" w:color="auto" w:fill="auto"/>
            <w:tcBorders>
              <w:left w:val="single" w:color="auto" w:sz="4" w:space="0"/>
            </w:tcBorders>
            <w:tcW w:w="1122" w:type="dxa"/>
            <w:vAlign w:val="center"/>
            <w:textDirection w:val="lrTb"/>
            <w:noWrap w:val="false"/>
          </w:tcPr>
          <w:p>
            <w:pPr>
              <w:pStyle w:val="881"/>
              <w:jc w:val="center"/>
              <w:spacing w:line="360" w:lineRule="auto"/>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样品</w:t>
            </w:r>
            <w:r/>
          </w:p>
          <w:p>
            <w:pPr>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bCs/>
                <w:sz w:val="21"/>
                <w:szCs w:val="21"/>
                <w:lang w:val="en-US" w:eastAsia="zh-CN"/>
              </w:rPr>
              <w:t xml:space="preserve">（15分）</w:t>
            </w:r>
            <w:r/>
          </w:p>
        </w:tc>
        <w:tc>
          <w:tcPr>
            <w:shd w:val="clear" w:color="auto" w:fill="auto"/>
            <w:tcW w:w="6855" w:type="dxa"/>
            <w:vAlign w:val="center"/>
            <w:textDirection w:val="lrTb"/>
            <w:noWrap w:val="false"/>
          </w:tcPr>
          <w:p>
            <w:pPr>
              <w:pStyle w:val="881"/>
              <w:jc w:val="left"/>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需要</w:t>
            </w:r>
            <w:r>
              <w:rPr>
                <w:rFonts w:hint="eastAsia" w:ascii="宋体" w:hAnsi="宋体" w:eastAsia="宋体" w:cs="宋体"/>
                <w:sz w:val="21"/>
                <w:szCs w:val="21"/>
                <w:highlight w:val="none"/>
              </w:rPr>
              <w:t xml:space="preserve">投标人提交</w:t>
            </w:r>
            <w:r>
              <w:rPr>
                <w:rFonts w:hint="eastAsia" w:ascii="宋体" w:hAnsi="宋体" w:eastAsia="宋体" w:cs="宋体"/>
                <w:sz w:val="21"/>
                <w:szCs w:val="21"/>
                <w:highlight w:val="none"/>
                <w:lang w:val="en-US" w:eastAsia="zh-CN"/>
              </w:rPr>
              <w:t xml:space="preserve">的</w:t>
            </w:r>
            <w:r>
              <w:rPr>
                <w:rFonts w:hint="eastAsia" w:ascii="宋体" w:hAnsi="宋体" w:eastAsia="宋体" w:cs="宋体"/>
                <w:sz w:val="21"/>
                <w:szCs w:val="21"/>
                <w:highlight w:val="none"/>
              </w:rPr>
              <w:t xml:space="preserve">样品</w:t>
            </w:r>
            <w:r>
              <w:rPr>
                <w:rFonts w:hint="eastAsia" w:ascii="宋体" w:hAnsi="宋体" w:eastAsia="宋体" w:cs="宋体"/>
                <w:sz w:val="21"/>
                <w:szCs w:val="21"/>
                <w:highlight w:val="none"/>
                <w:lang w:val="en-US" w:eastAsia="zh-CN"/>
              </w:rPr>
              <w:t xml:space="preserve">：①“婴幼儿月龄盒子”序号40~63、②“感统运动课程”序号31、③“感统运动课程”序号65玩教具。</w:t>
            </w:r>
            <w:r/>
          </w:p>
          <w:p>
            <w:pPr>
              <w:pStyle w:val="881"/>
              <w:jc w:val="left"/>
              <w:spacing w:line="360" w:lineRule="auto"/>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 xml:space="preserve">评</w:t>
            </w:r>
            <w:r>
              <w:rPr>
                <w:rFonts w:hint="eastAsia" w:ascii="宋体" w:hAnsi="宋体" w:eastAsia="宋体" w:cs="宋体"/>
                <w:sz w:val="21"/>
                <w:szCs w:val="21"/>
                <w:lang w:val="en-US" w:eastAsia="zh-CN"/>
              </w:rPr>
              <w:t xml:space="preserve">标委员会</w:t>
            </w:r>
            <w:r>
              <w:rPr>
                <w:rFonts w:hint="default" w:ascii="宋体" w:hAnsi="宋体" w:eastAsia="宋体" w:cs="宋体"/>
                <w:sz w:val="21"/>
                <w:szCs w:val="21"/>
                <w:lang w:val="en-US" w:eastAsia="zh-CN"/>
              </w:rPr>
              <w:t xml:space="preserve">根据样品的制造工艺、材质、外观设计等方面进行评审：</w:t>
            </w:r>
            <w:r/>
          </w:p>
          <w:p>
            <w:pPr>
              <w:pStyle w:val="881"/>
              <w:jc w:val="left"/>
              <w:spacing w:line="360" w:lineRule="auto"/>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 xml:space="preserve">样品完全符合或优于招标文件要求、整体制造工艺优良没有瑕疵、所用材质优质耐用坚韧、外观设计兼具美观度及实用性，配置配件齐全，综合评价优的得1</w:t>
            </w:r>
            <w:r>
              <w:rPr>
                <w:rFonts w:hint="eastAsia" w:ascii="宋体" w:hAnsi="宋体" w:eastAsia="宋体" w:cs="宋体"/>
                <w:sz w:val="21"/>
                <w:szCs w:val="21"/>
                <w:lang w:val="en-US" w:eastAsia="zh-CN"/>
              </w:rPr>
              <w:t xml:space="preserve">5</w:t>
            </w:r>
            <w:r>
              <w:rPr>
                <w:rFonts w:hint="default" w:ascii="宋体" w:hAnsi="宋体" w:eastAsia="宋体" w:cs="宋体"/>
                <w:sz w:val="21"/>
                <w:szCs w:val="21"/>
                <w:lang w:val="en-US" w:eastAsia="zh-CN"/>
              </w:rPr>
              <w:t xml:space="preserve">分；</w:t>
            </w:r>
            <w:r/>
          </w:p>
          <w:p>
            <w:pPr>
              <w:pStyle w:val="881"/>
              <w:jc w:val="left"/>
              <w:spacing w:line="360" w:lineRule="auto"/>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 xml:space="preserve">样品基本符合招标文件要求，整体制造工艺良好、所用材质较耐用、外观设计美观度及实用性尚可，综合评价良好的得1</w:t>
            </w:r>
            <w:r>
              <w:rPr>
                <w:rFonts w:hint="eastAsia" w:ascii="宋体" w:hAnsi="宋体" w:eastAsia="宋体" w:cs="宋体"/>
                <w:sz w:val="21"/>
                <w:szCs w:val="21"/>
                <w:lang w:val="en-US" w:eastAsia="zh-CN"/>
              </w:rPr>
              <w:t xml:space="preserve">2</w:t>
            </w:r>
            <w:r>
              <w:rPr>
                <w:rFonts w:hint="default" w:ascii="宋体" w:hAnsi="宋体" w:eastAsia="宋体" w:cs="宋体"/>
                <w:sz w:val="21"/>
                <w:szCs w:val="21"/>
                <w:lang w:val="en-US" w:eastAsia="zh-CN"/>
              </w:rPr>
              <w:t xml:space="preserve">分；</w:t>
            </w:r>
            <w:r/>
          </w:p>
          <w:p>
            <w:pPr>
              <w:pStyle w:val="881"/>
              <w:jc w:val="left"/>
              <w:spacing w:line="360" w:lineRule="auto"/>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 xml:space="preserve">样品基本符合招标文件要求，整体制造工艺良中等、所用材质中等、外观设计美观度及实用性中等，综合评价一般的得</w:t>
            </w:r>
            <w:r>
              <w:rPr>
                <w:rFonts w:hint="eastAsia" w:ascii="宋体" w:hAnsi="宋体" w:eastAsia="宋体" w:cs="宋体"/>
                <w:sz w:val="21"/>
                <w:szCs w:val="21"/>
                <w:lang w:val="en-US" w:eastAsia="zh-CN"/>
              </w:rPr>
              <w:t xml:space="preserve">9</w:t>
            </w:r>
            <w:r>
              <w:rPr>
                <w:rFonts w:hint="default" w:ascii="宋体" w:hAnsi="宋体" w:eastAsia="宋体" w:cs="宋体"/>
                <w:sz w:val="21"/>
                <w:szCs w:val="21"/>
                <w:lang w:val="en-US" w:eastAsia="zh-CN"/>
              </w:rPr>
              <w:t xml:space="preserve">分；</w:t>
            </w:r>
            <w:r/>
          </w:p>
          <w:p>
            <w:pPr>
              <w:pStyle w:val="881"/>
              <w:jc w:val="left"/>
              <w:spacing w:line="360" w:lineRule="auto"/>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 xml:space="preserve">样品部分符合招标文件要求，整体制造工艺一般、材质耐用一般、外观设计美观度及实用性一般，综合评价差的得</w:t>
            </w:r>
            <w:r>
              <w:rPr>
                <w:rFonts w:hint="eastAsia" w:ascii="宋体" w:hAnsi="宋体" w:eastAsia="宋体" w:cs="宋体"/>
                <w:sz w:val="21"/>
                <w:szCs w:val="21"/>
                <w:lang w:val="en-US" w:eastAsia="zh-CN"/>
              </w:rPr>
              <w:t xml:space="preserve">6</w:t>
            </w:r>
            <w:r>
              <w:rPr>
                <w:rFonts w:hint="default" w:ascii="宋体" w:hAnsi="宋体" w:eastAsia="宋体" w:cs="宋体"/>
                <w:sz w:val="21"/>
                <w:szCs w:val="21"/>
                <w:lang w:val="en-US" w:eastAsia="zh-CN"/>
              </w:rPr>
              <w:t xml:space="preserve">分；</w:t>
            </w:r>
            <w:r/>
          </w:p>
          <w:p>
            <w:pPr>
              <w:pStyle w:val="881"/>
              <w:jc w:val="left"/>
              <w:spacing w:line="360" w:lineRule="auto"/>
              <w:rPr>
                <w:rFonts w:hint="default"/>
                <w:lang w:val="en-US" w:eastAsia="zh-CN"/>
              </w:rPr>
            </w:pPr>
            <w:r>
              <w:rPr>
                <w:rFonts w:hint="default" w:ascii="宋体" w:hAnsi="宋体" w:eastAsia="宋体" w:cs="宋体"/>
                <w:sz w:val="21"/>
                <w:szCs w:val="21"/>
                <w:lang w:val="en-US" w:eastAsia="zh-CN"/>
              </w:rPr>
              <w:t xml:space="preserve">样品部分符合招标文件要求，整体制造工艺</w:t>
            </w:r>
            <w:r>
              <w:rPr>
                <w:rFonts w:hint="eastAsia" w:ascii="宋体" w:hAnsi="宋体" w:eastAsia="宋体" w:cs="宋体"/>
                <w:sz w:val="21"/>
                <w:szCs w:val="21"/>
                <w:lang w:val="en-US" w:eastAsia="zh-CN"/>
              </w:rPr>
              <w:t xml:space="preserve">较差</w:t>
            </w:r>
            <w:r>
              <w:rPr>
                <w:rFonts w:hint="default" w:ascii="宋体" w:hAnsi="宋体" w:eastAsia="宋体" w:cs="宋体"/>
                <w:sz w:val="21"/>
                <w:szCs w:val="21"/>
                <w:lang w:val="en-US" w:eastAsia="zh-CN"/>
              </w:rPr>
              <w:t xml:space="preserve">、材质耐用</w:t>
            </w:r>
            <w:r>
              <w:rPr>
                <w:rFonts w:hint="eastAsia" w:ascii="宋体" w:hAnsi="宋体" w:eastAsia="宋体" w:cs="宋体"/>
                <w:sz w:val="21"/>
                <w:szCs w:val="21"/>
                <w:lang w:val="en-US" w:eastAsia="zh-CN"/>
              </w:rPr>
              <w:t xml:space="preserve">较差</w:t>
            </w:r>
            <w:r>
              <w:rPr>
                <w:rFonts w:hint="default" w:ascii="宋体" w:hAnsi="宋体" w:eastAsia="宋体" w:cs="宋体"/>
                <w:sz w:val="21"/>
                <w:szCs w:val="21"/>
                <w:lang w:val="en-US" w:eastAsia="zh-CN"/>
              </w:rPr>
              <w:t xml:space="preserve">、外观设计美观度及实用性</w:t>
            </w:r>
            <w:r>
              <w:rPr>
                <w:rFonts w:hint="eastAsia" w:ascii="宋体" w:hAnsi="宋体" w:eastAsia="宋体" w:cs="宋体"/>
                <w:sz w:val="21"/>
                <w:szCs w:val="21"/>
                <w:lang w:val="en-US" w:eastAsia="zh-CN"/>
              </w:rPr>
              <w:t xml:space="preserve">较差</w:t>
            </w:r>
            <w:r>
              <w:rPr>
                <w:rFonts w:hint="default" w:ascii="宋体" w:hAnsi="宋体" w:eastAsia="宋体" w:cs="宋体"/>
                <w:sz w:val="21"/>
                <w:szCs w:val="21"/>
                <w:lang w:val="en-US" w:eastAsia="zh-CN"/>
              </w:rPr>
              <w:t xml:space="preserve">，综合评价</w:t>
            </w:r>
            <w:r>
              <w:rPr>
                <w:rFonts w:hint="eastAsia" w:ascii="宋体" w:hAnsi="宋体" w:eastAsia="宋体" w:cs="宋体"/>
                <w:sz w:val="21"/>
                <w:szCs w:val="21"/>
                <w:lang w:val="en-US" w:eastAsia="zh-CN"/>
              </w:rPr>
              <w:t xml:space="preserve">较差</w:t>
            </w:r>
            <w:r>
              <w:rPr>
                <w:rFonts w:hint="default" w:ascii="宋体" w:hAnsi="宋体" w:eastAsia="宋体" w:cs="宋体"/>
                <w:sz w:val="21"/>
                <w:szCs w:val="21"/>
                <w:lang w:val="en-US" w:eastAsia="zh-CN"/>
              </w:rPr>
              <w:t xml:space="preserve">的得</w:t>
            </w:r>
            <w:r>
              <w:rPr>
                <w:rFonts w:hint="eastAsia" w:ascii="宋体" w:hAnsi="宋体" w:eastAsia="宋体" w:cs="宋体"/>
                <w:sz w:val="21"/>
                <w:szCs w:val="21"/>
                <w:lang w:val="en-US" w:eastAsia="zh-CN"/>
              </w:rPr>
              <w:t xml:space="preserve">3</w:t>
            </w:r>
            <w:r>
              <w:rPr>
                <w:rFonts w:hint="default" w:ascii="宋体" w:hAnsi="宋体" w:eastAsia="宋体" w:cs="宋体"/>
                <w:sz w:val="21"/>
                <w:szCs w:val="21"/>
                <w:lang w:val="en-US" w:eastAsia="zh-CN"/>
              </w:rPr>
              <w:t xml:space="preserve">分；</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en-US"/>
              </w:rPr>
            </w:pPr>
            <w:r>
              <w:rPr>
                <w:rFonts w:hint="default" w:ascii="宋体" w:hAnsi="宋体" w:eastAsia="宋体" w:cs="宋体"/>
                <w:sz w:val="21"/>
                <w:szCs w:val="21"/>
                <w:lang w:val="en-US" w:eastAsia="zh-CN"/>
              </w:rPr>
              <w:t xml:space="preserve">未提供或严重不符合招标要求不得分</w:t>
            </w:r>
            <w:r>
              <w:rPr>
                <w:rFonts w:hint="eastAsia" w:ascii="宋体" w:hAnsi="宋体" w:eastAsia="宋体" w:cs="宋体"/>
                <w:sz w:val="21"/>
                <w:szCs w:val="21"/>
                <w:lang w:val="en-US" w:eastAsia="zh-CN"/>
              </w:rPr>
              <w:t xml:space="preserve">。</w:t>
            </w:r>
            <w:r/>
          </w:p>
        </w:tc>
      </w:tr>
    </w:tbl>
    <w:p>
      <w:pPr>
        <w:pageBreakBefore w:val="0"/>
        <w:spacing w:line="300" w:lineRule="auto"/>
        <w:rPr>
          <w:rFonts w:hint="eastAsia" w:ascii="宋体" w:hAnsi="宋体" w:cs="宋体"/>
          <w:bCs/>
          <w:szCs w:val="21"/>
          <w:highlight w:val="none"/>
        </w:rPr>
      </w:pPr>
      <w:r>
        <w:rPr>
          <w:rFonts w:hint="eastAsia" w:ascii="宋体" w:hAnsi="宋体" w:cs="宋体"/>
          <w:bCs/>
          <w:szCs w:val="21"/>
          <w:highlight w:val="none"/>
        </w:rPr>
        <w:t xml:space="preserve">说明：</w:t>
      </w:r>
      <w:r/>
    </w:p>
    <w:p>
      <w:pPr>
        <w:ind w:firstLine="420"/>
        <w:jc w:val="left"/>
        <w:pageBreakBefore w:val="0"/>
        <w:spacing w:line="300" w:lineRule="auto"/>
        <w:rPr>
          <w:rFonts w:ascii="宋体" w:hAnsi="宋体" w:cs="宋体"/>
          <w:bCs/>
          <w:szCs w:val="21"/>
          <w:highlight w:val="none"/>
        </w:rPr>
      </w:pPr>
      <w:r>
        <w:rPr>
          <w:rFonts w:hint="eastAsia" w:ascii="宋体" w:hAnsi="宋体" w:cs="宋体"/>
          <w:bCs/>
          <w:szCs w:val="21"/>
          <w:highlight w:val="none"/>
        </w:rPr>
        <w:t xml:space="preserve">1、促进中小企业发展政策</w:t>
      </w:r>
      <w:r/>
    </w:p>
    <w:p>
      <w:pPr>
        <w:ind w:firstLine="420"/>
        <w:jc w:val="left"/>
        <w:pageBreakBefore w:val="0"/>
        <w:spacing w:line="300" w:lineRule="auto"/>
        <w:rPr>
          <w:rFonts w:ascii="宋体" w:hAnsi="宋体" w:cs="宋体"/>
          <w:bCs/>
          <w:szCs w:val="21"/>
          <w:highlight w:val="none"/>
        </w:rPr>
      </w:pPr>
      <w:r>
        <w:rPr>
          <w:rFonts w:hint="eastAsia" w:ascii="宋体" w:hAnsi="宋体" w:cs="宋体"/>
          <w:bCs/>
          <w:szCs w:val="21"/>
          <w:highlight w:val="none"/>
        </w:rPr>
        <w:t xml:space="preserve">①本项目为非专门面向中小微企业的项目，对</w:t>
      </w:r>
      <w:r>
        <w:rPr>
          <w:rFonts w:hint="eastAsia" w:ascii="宋体" w:hAnsi="宋体" w:cs="宋体"/>
          <w:b/>
          <w:bCs/>
          <w:szCs w:val="21"/>
          <w:highlight w:val="none"/>
        </w:rPr>
        <w:t xml:space="preserve">小型和微型企业</w:t>
      </w:r>
      <w:r>
        <w:rPr>
          <w:rFonts w:hint="eastAsia" w:ascii="宋体" w:hAnsi="宋体" w:cs="宋体"/>
          <w:bCs/>
          <w:szCs w:val="21"/>
          <w:highlight w:val="none"/>
        </w:rPr>
        <w:t xml:space="preserve">产品价格给予</w:t>
      </w:r>
      <w:r>
        <w:rPr>
          <w:rFonts w:hint="eastAsia" w:ascii="宋体" w:hAnsi="宋体" w:cs="宋体"/>
          <w:bCs/>
          <w:szCs w:val="21"/>
          <w:highlight w:val="none"/>
          <w:lang w:val="en-US" w:eastAsia="zh-CN"/>
        </w:rPr>
        <w:t xml:space="preserve">1</w:t>
      </w:r>
      <w:r>
        <w:rPr>
          <w:rFonts w:hint="eastAsia" w:ascii="宋体" w:hAnsi="宋体" w:cs="宋体"/>
          <w:bCs/>
          <w:szCs w:val="21"/>
          <w:highlight w:val="none"/>
        </w:rPr>
        <w:t xml:space="preserve">0%的扣除，用扣除后的价格参与评审(提供中小企业声明函，格式《政府采购促进中小企业发展管理办法》财库【2020】46号。企业标准请参照《关于印发中小企业划型标准规定的通知》（工信部联企业【2011】300号）文件规定自行填写，联合体投标时，如果满足要求，需要分别提供,否则不考虑价格扣除）。</w:t>
      </w:r>
      <w:r/>
    </w:p>
    <w:p>
      <w:pPr>
        <w:numPr>
          <w:ilvl w:val="0"/>
          <w:numId w:val="0"/>
        </w:numPr>
        <w:ind w:firstLine="420"/>
        <w:pageBreakBefore w:val="0"/>
        <w:spacing w:line="300" w:lineRule="auto"/>
        <w:rPr>
          <w:rFonts w:ascii="宋体" w:hAnsi="宋体" w:cs="宋体"/>
          <w:bCs/>
          <w:szCs w:val="21"/>
          <w:highlight w:val="none"/>
        </w:rPr>
      </w:pPr>
      <w:r>
        <w:rPr>
          <w:rFonts w:hint="eastAsia" w:ascii="宋体" w:hAnsi="宋体" w:eastAsia="宋体" w:cs="宋体"/>
          <w:bCs/>
          <w:sz w:val="21"/>
          <w:szCs w:val="21"/>
          <w:lang w:val="en-US" w:eastAsia="zh-CN" w:bidi="ar-SA"/>
        </w:rPr>
        <w:t xml:space="preserve">（一）</w:t>
      </w:r>
      <w:r>
        <w:rPr>
          <w:rFonts w:hint="eastAsia" w:ascii="宋体" w:hAnsi="宋体" w:cs="宋体"/>
          <w:bCs/>
          <w:szCs w:val="21"/>
          <w:highlight w:val="none"/>
        </w:rPr>
        <w:t xml:space="preserve">在政府采购活动中，投标人提供的货物、工程或者服务符合下列情形的，享受价格扣除：</w:t>
      </w:r>
      <w:r/>
    </w:p>
    <w:p>
      <w:pPr>
        <w:numPr>
          <w:ilvl w:val="0"/>
          <w:numId w:val="0"/>
        </w:numPr>
        <w:ind w:firstLine="420"/>
        <w:pageBreakBefore w:val="0"/>
        <w:spacing w:line="300" w:lineRule="auto"/>
        <w:rPr>
          <w:rFonts w:ascii="宋体" w:hAnsi="宋体" w:cs="宋体"/>
          <w:bCs/>
          <w:szCs w:val="21"/>
          <w:highlight w:val="none"/>
        </w:rPr>
      </w:pPr>
      <w:r>
        <w:rPr>
          <w:rFonts w:hint="eastAsia" w:ascii="宋体" w:hAnsi="宋体" w:eastAsia="宋体" w:cs="宋体"/>
          <w:bCs/>
          <w:sz w:val="21"/>
          <w:szCs w:val="21"/>
          <w:lang w:val="en-US" w:eastAsia="zh-CN" w:bidi="ar-SA"/>
        </w:rPr>
        <w:t xml:space="preserve">（二）</w:t>
      </w:r>
      <w:r>
        <w:rPr>
          <w:rFonts w:hint="eastAsia" w:ascii="宋体" w:hAnsi="宋体" w:cs="宋体"/>
          <w:bCs/>
          <w:szCs w:val="21"/>
          <w:highlight w:val="none"/>
        </w:rPr>
        <w:t xml:space="preserve">在货物采购项目中，货物由小微企业制造，即货物由小微企业生产且使用该小微企业商号或者注册商标；</w:t>
      </w:r>
      <w:r/>
    </w:p>
    <w:p>
      <w:pPr>
        <w:numPr>
          <w:ilvl w:val="0"/>
          <w:numId w:val="0"/>
        </w:numPr>
        <w:ind w:firstLine="420"/>
        <w:pageBreakBefore w:val="0"/>
        <w:spacing w:line="300" w:lineRule="auto"/>
        <w:rPr>
          <w:rFonts w:ascii="宋体" w:hAnsi="宋体" w:cs="宋体"/>
          <w:bCs/>
          <w:szCs w:val="21"/>
          <w:highlight w:val="none"/>
        </w:rPr>
      </w:pPr>
      <w:r>
        <w:rPr>
          <w:rFonts w:hint="eastAsia" w:ascii="宋体" w:hAnsi="宋体" w:eastAsia="宋体" w:cs="宋体"/>
          <w:bCs/>
          <w:sz w:val="21"/>
          <w:szCs w:val="21"/>
          <w:lang w:val="en-US" w:eastAsia="zh-CN" w:bidi="ar-SA"/>
        </w:rPr>
        <w:t xml:space="preserve">（三）</w:t>
      </w:r>
      <w:r>
        <w:rPr>
          <w:rFonts w:hint="eastAsia" w:ascii="宋体" w:hAnsi="宋体" w:cs="宋体"/>
          <w:bCs/>
          <w:szCs w:val="21"/>
          <w:highlight w:val="none"/>
        </w:rPr>
        <w:t xml:space="preserve">在服务采购项目中，服务由小微企业承接，即提供服务的人员为小微企业依照《中华人民共和国劳动合同法》订立劳动合同的从业人员。</w:t>
      </w:r>
      <w:r/>
    </w:p>
    <w:p>
      <w:pPr>
        <w:ind w:firstLine="420"/>
        <w:pageBreakBefore w:val="0"/>
        <w:spacing w:line="300" w:lineRule="auto"/>
        <w:rPr>
          <w:rFonts w:ascii="宋体" w:hAnsi="宋体" w:cs="宋体"/>
          <w:bCs/>
          <w:szCs w:val="21"/>
          <w:highlight w:val="none"/>
        </w:rPr>
      </w:pPr>
      <w:r>
        <w:rPr>
          <w:rFonts w:hint="eastAsia" w:ascii="宋体" w:hAnsi="宋体" w:cs="宋体"/>
          <w:bCs/>
          <w:szCs w:val="21"/>
          <w:highlight w:val="none"/>
        </w:rPr>
        <w:t xml:space="preserve">在货物采购项目中，</w:t>
      </w:r>
      <w:r>
        <w:rPr>
          <w:rFonts w:hint="eastAsia" w:ascii="宋体" w:hAnsi="宋体" w:cs="宋体"/>
          <w:bCs/>
          <w:szCs w:val="21"/>
          <w:highlight w:val="none"/>
          <w:lang w:eastAsia="zh-CN"/>
        </w:rPr>
        <w:t xml:space="preserve">投标人</w:t>
      </w:r>
      <w:r>
        <w:rPr>
          <w:rFonts w:hint="eastAsia" w:ascii="宋体" w:hAnsi="宋体" w:cs="宋体"/>
          <w:bCs/>
          <w:szCs w:val="21"/>
          <w:highlight w:val="none"/>
        </w:rPr>
        <w:t xml:space="preserve">提供的货物既有中小企业制造货物，也有大型企业制造货物的，不享受本办法规定的中小企业扶持政策。</w:t>
      </w:r>
      <w:r/>
    </w:p>
    <w:p>
      <w:pPr>
        <w:ind w:firstLine="420"/>
        <w:pageBreakBefore w:val="0"/>
        <w:spacing w:line="300" w:lineRule="auto"/>
        <w:rPr>
          <w:rFonts w:ascii="宋体" w:hAnsi="宋体" w:cs="宋体"/>
          <w:bCs/>
          <w:szCs w:val="21"/>
          <w:highlight w:val="none"/>
        </w:rPr>
      </w:pPr>
      <w:r>
        <w:rPr>
          <w:rFonts w:hint="eastAsia" w:ascii="宋体" w:hAnsi="宋体" w:cs="宋体"/>
          <w:bCs/>
          <w:szCs w:val="21"/>
          <w:highlight w:val="none"/>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20"/>
        <w:pageBreakBefore w:val="0"/>
        <w:spacing w:line="300" w:lineRule="auto"/>
        <w:rPr>
          <w:rFonts w:ascii="宋体" w:hAnsi="宋体" w:cs="宋体"/>
          <w:bCs/>
          <w:szCs w:val="21"/>
          <w:highlight w:val="none"/>
        </w:rPr>
      </w:pPr>
      <w:r>
        <w:rPr>
          <w:rFonts w:hint="eastAsia" w:ascii="宋体" w:hAnsi="宋体" w:cs="宋体"/>
          <w:bCs/>
          <w:szCs w:val="21"/>
          <w:highlight w:val="none"/>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20"/>
        <w:pageBreakBefore w:val="0"/>
        <w:spacing w:line="300" w:lineRule="auto"/>
        <w:rPr>
          <w:rFonts w:ascii="宋体" w:hAnsi="宋体" w:cs="宋体"/>
          <w:bCs/>
          <w:szCs w:val="21"/>
          <w:highlight w:val="none"/>
        </w:rPr>
      </w:pPr>
      <w:r>
        <w:rPr>
          <w:rFonts w:hint="eastAsia" w:ascii="宋体" w:hAnsi="宋体" w:cs="宋体"/>
          <w:bCs/>
          <w:szCs w:val="21"/>
          <w:highlight w:val="none"/>
        </w:rPr>
        <w:t xml:space="preserve">④残疾人福利单位、监狱企业属于小型、微型企业的，不重复享受政策。</w:t>
      </w:r>
      <w:r/>
    </w:p>
    <w:p>
      <w:pPr>
        <w:ind w:firstLine="420"/>
        <w:pageBreakBefore w:val="0"/>
        <w:spacing w:line="300" w:lineRule="auto"/>
        <w:rPr>
          <w:rFonts w:ascii="宋体" w:hAnsi="宋体" w:cs="宋体"/>
          <w:bCs/>
          <w:szCs w:val="21"/>
          <w:highlight w:val="none"/>
        </w:rPr>
      </w:pPr>
      <w:r>
        <w:rPr>
          <w:rFonts w:hint="eastAsia" w:ascii="宋体" w:hAnsi="宋体" w:cs="宋体"/>
          <w:bCs/>
          <w:szCs w:val="21"/>
          <w:highlight w:val="none"/>
        </w:rPr>
        <w:t xml:space="preserve">2、根据财政部、国家发改委《节能产品政府采购实施意见》，投标产品属于《节能产品政府采购清单》（最新一期）内的政府采购的节能产品，对相应产品的价格给予</w:t>
      </w:r>
      <w:r>
        <w:rPr>
          <w:rFonts w:hint="eastAsia" w:ascii="宋体" w:hAnsi="宋体" w:cs="宋体"/>
          <w:bCs/>
          <w:szCs w:val="21"/>
          <w:highlight w:val="none"/>
          <w:u w:val="single"/>
          <w:lang w:val="en-US" w:eastAsia="zh-CN"/>
        </w:rPr>
        <w:t xml:space="preserve">/</w:t>
      </w:r>
      <w:r>
        <w:rPr>
          <w:rFonts w:hint="eastAsia" w:ascii="宋体" w:hAnsi="宋体" w:cs="宋体"/>
          <w:bCs/>
          <w:szCs w:val="21"/>
          <w:highlight w:val="none"/>
        </w:rPr>
        <w:t xml:space="preserve">%的扣除，用扣除后的价格参与评审。</w:t>
      </w:r>
      <w:r/>
    </w:p>
    <w:p>
      <w:pPr>
        <w:ind w:firstLine="420"/>
        <w:pageBreakBefore w:val="0"/>
        <w:spacing w:line="300" w:lineRule="auto"/>
        <w:rPr>
          <w:rFonts w:ascii="宋体" w:hAnsi="宋体" w:cs="宋体"/>
          <w:bCs/>
          <w:szCs w:val="21"/>
          <w:highlight w:val="none"/>
        </w:rPr>
      </w:pPr>
      <w:r>
        <w:rPr>
          <w:rFonts w:hint="eastAsia" w:ascii="宋体" w:hAnsi="宋体" w:cs="宋体"/>
          <w:bCs/>
          <w:szCs w:val="21"/>
          <w:highlight w:val="none"/>
        </w:rPr>
        <w:t xml:space="preserve">评标委员会根据</w:t>
      </w:r>
      <w:r>
        <w:rPr>
          <w:rFonts w:hint="eastAsia" w:ascii="宋体" w:hAnsi="宋体" w:cs="宋体"/>
          <w:bCs/>
          <w:szCs w:val="21"/>
          <w:highlight w:val="none"/>
          <w:lang w:eastAsia="zh-CN"/>
        </w:rPr>
        <w:t xml:space="preserve">投标人</w:t>
      </w:r>
      <w:r>
        <w:rPr>
          <w:rFonts w:hint="eastAsia" w:ascii="宋体" w:hAnsi="宋体" w:cs="宋体"/>
          <w:bCs/>
          <w:szCs w:val="21"/>
          <w:highlight w:val="none"/>
        </w:rPr>
        <w:t xml:space="preserve">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20"/>
        <w:pageBreakBefore w:val="0"/>
        <w:spacing w:line="300" w:lineRule="auto"/>
        <w:rPr>
          <w:rFonts w:ascii="宋体" w:hAnsi="宋体" w:cs="宋体"/>
          <w:bCs/>
          <w:szCs w:val="21"/>
          <w:highlight w:val="none"/>
        </w:rPr>
      </w:pPr>
      <w:r>
        <w:rPr>
          <w:rFonts w:hint="eastAsia" w:ascii="宋体" w:hAnsi="宋体" w:cs="宋体"/>
          <w:bCs/>
          <w:szCs w:val="21"/>
          <w:highlight w:val="none"/>
        </w:rPr>
        <w:t xml:space="preserve">投标产品如为节能产品的，</w:t>
      </w:r>
      <w:r>
        <w:rPr>
          <w:rFonts w:hint="eastAsia" w:ascii="宋体" w:hAnsi="宋体" w:cs="宋体"/>
          <w:bCs/>
          <w:szCs w:val="21"/>
          <w:highlight w:val="none"/>
          <w:lang w:eastAsia="zh-CN"/>
        </w:rPr>
        <w:t xml:space="preserve">投标人</w:t>
      </w:r>
      <w:r>
        <w:rPr>
          <w:rFonts w:hint="eastAsia" w:ascii="宋体" w:hAnsi="宋体" w:cs="宋体"/>
          <w:bCs/>
          <w:szCs w:val="21"/>
          <w:highlight w:val="none"/>
        </w:rPr>
        <w:t xml:space="preserve">需提供产品及型号所在清单页的复印件并用标识标明，如未提供，评委会</w:t>
      </w:r>
      <w:r>
        <w:rPr>
          <w:rFonts w:hint="eastAsia" w:ascii="宋体" w:hAnsi="宋体" w:cs="宋体"/>
          <w:szCs w:val="21"/>
          <w:highlight w:val="none"/>
        </w:rPr>
        <w:t xml:space="preserve">将仅按</w:t>
      </w:r>
      <w:r>
        <w:rPr>
          <w:rFonts w:hint="eastAsia" w:ascii="宋体" w:hAnsi="宋体" w:cs="宋体"/>
          <w:bCs/>
          <w:szCs w:val="21"/>
          <w:highlight w:val="none"/>
        </w:rPr>
        <w:t xml:space="preserve">可明确进行价格扣除的内容进行扣除。</w:t>
      </w:r>
      <w:r/>
    </w:p>
    <w:p>
      <w:pPr>
        <w:ind w:firstLine="420"/>
        <w:pageBreakBefore w:val="0"/>
        <w:spacing w:line="300" w:lineRule="auto"/>
        <w:rPr>
          <w:rFonts w:ascii="宋体" w:hAnsi="宋体" w:cs="宋体"/>
          <w:bCs/>
          <w:szCs w:val="21"/>
          <w:highlight w:val="none"/>
        </w:rPr>
      </w:pPr>
      <w:r>
        <w:rPr>
          <w:rFonts w:hint="eastAsia" w:ascii="宋体" w:hAnsi="宋体" w:cs="宋体"/>
          <w:bCs/>
          <w:szCs w:val="21"/>
          <w:highlight w:val="none"/>
        </w:rPr>
        <w:t xml:space="preserve">3、根据财政部、国家环保总局《关于环境标志产品政府采购实施的意见》，投标产品属于《环境标志产品政府采购清单》（最新一期）内的产品），对相应产品的价格给予</w:t>
      </w:r>
      <w:r>
        <w:rPr>
          <w:rFonts w:hint="eastAsia" w:ascii="宋体" w:hAnsi="宋体" w:cs="宋体"/>
          <w:bCs/>
          <w:szCs w:val="21"/>
          <w:highlight w:val="none"/>
          <w:u w:val="single"/>
          <w:lang w:val="en-US" w:eastAsia="zh-CN"/>
        </w:rPr>
        <w:t xml:space="preserve">/</w:t>
      </w:r>
      <w:r>
        <w:rPr>
          <w:rFonts w:hint="eastAsia" w:ascii="宋体" w:hAnsi="宋体" w:cs="宋体"/>
          <w:bCs/>
          <w:szCs w:val="21"/>
          <w:highlight w:val="none"/>
        </w:rPr>
        <w:t xml:space="preserve">%的扣除，用扣除后的价格参与评审。</w:t>
      </w:r>
      <w:r/>
    </w:p>
    <w:p>
      <w:pPr>
        <w:ind w:firstLine="420"/>
        <w:pageBreakBefore w:val="0"/>
        <w:spacing w:line="300" w:lineRule="auto"/>
        <w:rPr>
          <w:rFonts w:ascii="宋体" w:hAnsi="宋体" w:cs="宋体"/>
          <w:bCs/>
          <w:szCs w:val="21"/>
          <w:highlight w:val="none"/>
        </w:rPr>
      </w:pPr>
      <w:r>
        <w:rPr>
          <w:rFonts w:hint="eastAsia" w:ascii="宋体" w:hAnsi="宋体" w:cs="宋体"/>
          <w:bCs/>
          <w:szCs w:val="21"/>
          <w:highlight w:val="none"/>
        </w:rPr>
        <w:t xml:space="preserve">评标委员会根据</w:t>
      </w:r>
      <w:r>
        <w:rPr>
          <w:rFonts w:hint="eastAsia" w:ascii="宋体" w:hAnsi="宋体" w:cs="宋体"/>
          <w:bCs/>
          <w:szCs w:val="21"/>
          <w:highlight w:val="none"/>
          <w:lang w:eastAsia="zh-CN"/>
        </w:rPr>
        <w:t xml:space="preserve">投标人</w:t>
      </w:r>
      <w:r>
        <w:rPr>
          <w:rFonts w:hint="eastAsia" w:ascii="宋体" w:hAnsi="宋体" w:cs="宋体"/>
          <w:bCs/>
          <w:szCs w:val="21"/>
          <w:highlight w:val="none"/>
        </w:rPr>
        <w:t xml:space="preserve">填制的《环境标志产品报价表》（格式自拟），计算其所投环境标志产品享受价格折扣部分的多少，如未提供或价格数据不全（必须包括产品名称、单价数量明细和汇总报价），评委会</w:t>
      </w:r>
      <w:r>
        <w:rPr>
          <w:rFonts w:hint="eastAsia" w:ascii="宋体" w:hAnsi="宋体" w:cs="宋体"/>
          <w:szCs w:val="21"/>
          <w:highlight w:val="none"/>
        </w:rPr>
        <w:t xml:space="preserve">将仅</w:t>
      </w:r>
      <w:r>
        <w:rPr>
          <w:rFonts w:hint="eastAsia" w:ascii="宋体" w:hAnsi="宋体" w:cs="宋体"/>
          <w:bCs/>
          <w:szCs w:val="21"/>
          <w:highlight w:val="none"/>
        </w:rPr>
        <w:t xml:space="preserve">按可明确进行价格扣除的内容进行扣除。</w:t>
      </w:r>
      <w:r/>
    </w:p>
    <w:p>
      <w:pPr>
        <w:ind w:firstLine="420"/>
        <w:pageBreakBefore w:val="0"/>
        <w:spacing w:line="300" w:lineRule="auto"/>
        <w:rPr>
          <w:rFonts w:hint="eastAsia" w:ascii="宋体" w:hAnsi="宋体" w:cs="宋体"/>
          <w:bCs/>
          <w:szCs w:val="21"/>
          <w:highlight w:val="none"/>
        </w:rPr>
      </w:pPr>
      <w:r>
        <w:rPr>
          <w:rFonts w:hint="eastAsia" w:ascii="宋体" w:hAnsi="宋体" w:cs="宋体"/>
          <w:bCs/>
          <w:szCs w:val="21"/>
          <w:highlight w:val="none"/>
        </w:rPr>
        <w:t xml:space="preserve">投标产品如为环境标志产品的，</w:t>
      </w:r>
      <w:r>
        <w:rPr>
          <w:rFonts w:hint="eastAsia" w:ascii="宋体" w:hAnsi="宋体" w:cs="宋体"/>
          <w:bCs/>
          <w:szCs w:val="21"/>
          <w:highlight w:val="none"/>
          <w:lang w:eastAsia="zh-CN"/>
        </w:rPr>
        <w:t xml:space="preserve">投标人</w:t>
      </w:r>
      <w:r>
        <w:rPr>
          <w:rFonts w:hint="eastAsia" w:ascii="宋体" w:hAnsi="宋体" w:cs="宋体"/>
          <w:bCs/>
          <w:szCs w:val="21"/>
          <w:highlight w:val="none"/>
        </w:rPr>
        <w:t xml:space="preserve">需提供产品及型号所在清单页的复印件并用标识标明，如未提供，评委会</w:t>
      </w:r>
      <w:r>
        <w:rPr>
          <w:rFonts w:hint="eastAsia" w:ascii="宋体" w:hAnsi="宋体" w:cs="宋体"/>
          <w:szCs w:val="21"/>
          <w:highlight w:val="none"/>
        </w:rPr>
        <w:t xml:space="preserve">将仅</w:t>
      </w:r>
      <w:r>
        <w:rPr>
          <w:rFonts w:hint="eastAsia" w:ascii="宋体" w:hAnsi="宋体" w:cs="宋体"/>
          <w:bCs/>
          <w:szCs w:val="21"/>
          <w:highlight w:val="none"/>
        </w:rPr>
        <w:t xml:space="preserve">按可明确进行价格扣除的内容进行扣除。</w:t>
      </w:r>
      <w:r/>
    </w:p>
    <w:p>
      <w:pPr>
        <w:ind w:firstLine="420"/>
        <w:pageBreakBefore w:val="0"/>
        <w:spacing w:line="300" w:lineRule="auto"/>
        <w:rPr>
          <w:rFonts w:hint="eastAsia" w:ascii="宋体" w:hAnsi="宋体" w:cs="宋体"/>
          <w:bCs/>
          <w:szCs w:val="21"/>
          <w:highlight w:val="none"/>
          <w:lang w:val="en-US" w:eastAsia="zh-CN"/>
        </w:rPr>
      </w:pPr>
      <w:r>
        <w:rPr>
          <w:rFonts w:hint="eastAsia" w:ascii="宋体" w:hAnsi="宋体" w:cs="宋体"/>
          <w:bCs/>
          <w:szCs w:val="21"/>
          <w:highlight w:val="none"/>
          <w:lang w:val="en-US" w:eastAsia="zh-CN"/>
        </w:rPr>
        <w:t xml:space="preserve">4、采购本国产品的支持政策</w:t>
      </w:r>
      <w:r/>
    </w:p>
    <w:p>
      <w:pPr>
        <w:ind w:firstLine="420"/>
        <w:pageBreakBefore w:val="0"/>
        <w:spacing w:line="300" w:lineRule="auto"/>
        <w:rPr>
          <w:rFonts w:hint="eastAsia" w:ascii="宋体" w:hAnsi="宋体" w:cs="宋体"/>
          <w:bCs/>
          <w:szCs w:val="21"/>
          <w:highlight w:val="none"/>
          <w:lang w:val="en-US" w:eastAsia="zh-CN"/>
        </w:rPr>
      </w:pPr>
      <w:r>
        <w:rPr>
          <w:rFonts w:hint="eastAsia" w:ascii="宋体" w:hAnsi="宋体" w:cs="宋体"/>
          <w:bCs/>
          <w:szCs w:val="21"/>
          <w:highlight w:val="none"/>
          <w:lang w:val="en-US" w:eastAsia="zh-CN"/>
        </w:rPr>
        <w:t xml:space="preserve">①本项目政府采购活动中既有本国产品又有非本国产品参与竞争的，依法对本国产品给予价格评审优惠，对本国产品的报价给予20%的价格扣除，用扣除后的价格参与评审。</w:t>
      </w:r>
      <w:r/>
    </w:p>
    <w:p>
      <w:pPr>
        <w:ind w:firstLine="420"/>
        <w:pageBreakBefore w:val="0"/>
        <w:spacing w:line="300" w:lineRule="auto"/>
        <w:rPr>
          <w:rFonts w:hint="eastAsia" w:ascii="宋体" w:hAnsi="宋体" w:cs="宋体"/>
          <w:bCs/>
          <w:szCs w:val="21"/>
          <w:highlight w:val="none"/>
          <w:lang w:val="en-US" w:eastAsia="zh-CN"/>
        </w:rPr>
      </w:pPr>
      <w:r>
        <w:rPr>
          <w:rFonts w:hint="eastAsia" w:ascii="宋体" w:hAnsi="宋体" w:cs="宋体"/>
          <w:bCs/>
          <w:szCs w:val="21"/>
          <w:highlight w:val="none"/>
          <w:lang w:val="en-US" w:eastAsia="zh-CN"/>
        </w:rPr>
        <w:t xml:space="preserve">②当采购项目或者采购包中含有多种产品，投标人为该采购项目或者采购包提供的符合本国产品标准的产品成本之和占该投标人提供的全部产品成本之和的比例达到80%以上时（投标人需在“第六章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20"/>
        <w:pageBreakBefore w:val="0"/>
        <w:spacing w:line="300" w:lineRule="auto"/>
        <w:rPr>
          <w:rFonts w:hint="eastAsia" w:ascii="宋体" w:hAnsi="宋体" w:cs="宋体"/>
          <w:bCs/>
          <w:szCs w:val="21"/>
          <w:highlight w:val="none"/>
          <w:lang w:val="en-US" w:eastAsia="zh-CN"/>
        </w:rPr>
      </w:pPr>
      <w:r>
        <w:rPr>
          <w:rFonts w:hint="eastAsia" w:ascii="宋体" w:hAnsi="宋体" w:cs="宋体"/>
          <w:bCs/>
          <w:szCs w:val="21"/>
          <w:highlight w:val="none"/>
          <w:lang w:val="en-US" w:eastAsia="zh-CN"/>
        </w:rPr>
        <w:t xml:space="preserve">③投标人需按照招标文件的要求提供《关于符合本国产品标准的声明函》（以下简称《声明函》），如不提供将不享受本国产品价格评审优惠。</w:t>
      </w:r>
      <w:r/>
    </w:p>
    <w:p>
      <w:pPr>
        <w:ind w:firstLine="420"/>
        <w:pageBreakBefore w:val="0"/>
        <w:spacing w:line="300" w:lineRule="auto"/>
        <w:rPr>
          <w:rFonts w:hint="eastAsia" w:ascii="宋体" w:hAnsi="宋体" w:cs="宋体"/>
          <w:bCs/>
          <w:szCs w:val="21"/>
          <w:highlight w:val="none"/>
          <w:lang w:val="en-US" w:eastAsia="zh-CN"/>
        </w:rPr>
      </w:pPr>
      <w:r>
        <w:rPr>
          <w:rFonts w:hint="eastAsia" w:ascii="宋体" w:hAnsi="宋体" w:cs="宋体"/>
          <w:bCs/>
          <w:szCs w:val="21"/>
          <w:highlight w:val="none"/>
          <w:lang w:val="en-US" w:eastAsia="zh-CN"/>
        </w:rPr>
        <w:t xml:space="preserve">④投标人需在《声明函》中逐一、准确填写产品名称、厂名、生产厂址三项信息，三项信息中任意一项未填写的视为该项产品不符合本国产品标准，不享受本国产品价格评审优惠。</w:t>
      </w:r>
      <w:r/>
    </w:p>
    <w:p>
      <w:pPr>
        <w:ind w:firstLine="420"/>
        <w:pageBreakBefore w:val="0"/>
        <w:spacing w:line="300" w:lineRule="auto"/>
        <w:rPr>
          <w:rFonts w:hint="eastAsia" w:ascii="宋体" w:hAnsi="宋体" w:eastAsia="宋体" w:cs="宋体"/>
          <w:bCs/>
          <w:szCs w:val="21"/>
          <w:highlight w:val="none"/>
          <w:lang w:val="en-US" w:eastAsia="zh-CN"/>
        </w:rPr>
      </w:pPr>
      <w:r>
        <w:rPr>
          <w:rFonts w:hint="eastAsia" w:ascii="宋体" w:hAnsi="宋体" w:cs="宋体"/>
          <w:bCs/>
          <w:szCs w:val="21"/>
          <w:highlight w:val="none"/>
          <w:lang w:val="en-US" w:eastAsia="zh-CN"/>
        </w:rPr>
        <w:t xml:space="preserve">⑤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numPr>
          <w:ilvl w:val="0"/>
          <w:numId w:val="0"/>
        </w:numPr>
        <w:ind w:firstLine="420"/>
        <w:pageBreakBefore w:val="0"/>
        <w:spacing w:line="300" w:lineRule="auto"/>
        <w:rPr>
          <w:rFonts w:hint="eastAsia" w:ascii="宋体" w:hAnsi="宋体" w:cs="宋体"/>
          <w:bCs/>
          <w:szCs w:val="21"/>
          <w:highlight w:val="none"/>
          <w:lang w:val="en-US" w:eastAsia="zh-CN"/>
        </w:rPr>
      </w:pPr>
      <w:r>
        <w:rPr>
          <w:rFonts w:hint="eastAsia" w:ascii="宋体" w:hAnsi="宋体" w:cs="宋体"/>
          <w:bCs/>
          <w:sz w:val="21"/>
          <w:szCs w:val="21"/>
          <w:highlight w:val="none"/>
          <w:lang w:val="en-US" w:eastAsia="zh-CN" w:bidi="ar-SA"/>
        </w:rPr>
        <w:t xml:space="preserve">5</w:t>
      </w:r>
      <w:r>
        <w:rPr>
          <w:rFonts w:hint="eastAsia" w:ascii="宋体" w:hAnsi="宋体" w:eastAsia="宋体" w:cs="宋体"/>
          <w:bCs/>
          <w:sz w:val="21"/>
          <w:szCs w:val="21"/>
          <w:highlight w:val="none"/>
          <w:lang w:val="en-US" w:eastAsia="zh-CN" w:bidi="ar-SA"/>
        </w:rPr>
        <w:t xml:space="preserve">、</w:t>
      </w:r>
      <w:r>
        <w:rPr>
          <w:rFonts w:hint="eastAsia" w:ascii="宋体" w:hAnsi="宋体" w:cs="宋体"/>
          <w:bCs/>
          <w:szCs w:val="21"/>
          <w:highlight w:val="none"/>
          <w:lang w:val="en-US" w:eastAsia="zh-CN"/>
        </w:rPr>
        <w:t xml:space="preserve">计算得分四舍五入，精确到小数点后两位。</w:t>
      </w:r>
      <w:r/>
    </w:p>
    <w:p>
      <w:pPr>
        <w:numPr>
          <w:ilvl w:val="0"/>
          <w:numId w:val="0"/>
        </w:numPr>
        <w:ind w:firstLine="420"/>
        <w:pageBreakBefore w:val="0"/>
        <w:spacing w:line="300" w:lineRule="auto"/>
        <w:rPr>
          <w:rFonts w:ascii="黑体" w:eastAsia="黑体"/>
          <w:bCs/>
          <w:sz w:val="44"/>
          <w:highlight w:val="none"/>
        </w:rPr>
      </w:pP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若招标文件要求投标人提供证明材料为扫描件或复印件的，无论投标人提供扫描件或复印件均可。</w:t>
      </w:r>
      <w:r>
        <w:rPr>
          <w:rFonts w:hint="eastAsia" w:ascii="宋体" w:hAnsi="宋体" w:cs="宋体"/>
          <w:szCs w:val="21"/>
          <w:highlight w:val="none"/>
        </w:rPr>
        <w:br w:type="page" w:clear="all"/>
      </w:r>
      <w:r/>
    </w:p>
    <w:p>
      <w:pPr>
        <w:pStyle w:val="875"/>
        <w:jc w:val="center"/>
        <w:pageBreakBefore w:val="0"/>
        <w:spacing w:line="300" w:lineRule="auto"/>
        <w:rPr>
          <w:rFonts w:hint="eastAsia" w:ascii="宋体" w:hAnsi="宋体"/>
          <w:sz w:val="30"/>
          <w:szCs w:val="30"/>
          <w:highlight w:val="none"/>
        </w:rPr>
      </w:pPr>
      <w:r/>
      <w:bookmarkStart w:id="71" w:name="_Toc4376"/>
      <w:r/>
      <w:bookmarkStart w:id="72" w:name="_Toc10869"/>
      <w:r>
        <w:rPr>
          <w:rFonts w:hint="eastAsia" w:ascii="宋体" w:hAnsi="宋体"/>
          <w:sz w:val="30"/>
          <w:szCs w:val="30"/>
          <w:highlight w:val="none"/>
        </w:rPr>
        <w:t xml:space="preserve">第六章 投标文件格式</w:t>
      </w:r>
      <w:bookmarkEnd w:id="71"/>
      <w:r/>
      <w:bookmarkEnd w:id="72"/>
      <w:r>
        <w:rPr>
          <w:rFonts w:hint="eastAsia" w:ascii="宋体" w:hAnsi="宋体"/>
          <w:sz w:val="30"/>
          <w:szCs w:val="30"/>
          <w:highlight w:val="none"/>
        </w:rPr>
        <w:t xml:space="preserve"> </w:t>
      </w:r>
      <w:r/>
    </w:p>
    <w:p>
      <w:pPr>
        <w:spacing w:line="360" w:lineRule="auto"/>
        <w:rPr>
          <w:rFonts w:ascii="黑体" w:eastAsia="黑体"/>
          <w:bCs/>
          <w:sz w:val="44"/>
          <w:highlight w:val="none"/>
        </w:rPr>
      </w:pPr>
      <w:r>
        <w:rPr>
          <w:rFonts w:ascii="黑体" w:eastAsia="黑体"/>
          <w:bCs/>
          <w:sz w:val="44"/>
          <w:highlight w:val="none"/>
        </w:rPr>
      </w:r>
      <w:r/>
    </w:p>
    <w:p>
      <w:pPr>
        <w:jc w:val="center"/>
        <w:spacing w:line="360" w:lineRule="auto"/>
        <w:rPr>
          <w:rFonts w:ascii="宋体" w:hAnsi="宋体"/>
          <w:b/>
          <w:sz w:val="72"/>
          <w:highlight w:val="none"/>
        </w:rPr>
      </w:pPr>
      <w:r>
        <w:rPr>
          <w:rFonts w:hint="eastAsia" w:ascii="宋体" w:hAnsi="宋体"/>
          <w:b/>
          <w:sz w:val="72"/>
          <w:highlight w:val="none"/>
        </w:rPr>
        <w:t xml:space="preserve">投  标  文  件</w:t>
      </w:r>
      <w:r/>
    </w:p>
    <w:p>
      <w:pPr>
        <w:jc w:val="center"/>
        <w:spacing w:line="360" w:lineRule="auto"/>
        <w:rPr>
          <w:rFonts w:ascii="宋体" w:hAnsi="宋体"/>
          <w:b/>
          <w:sz w:val="72"/>
          <w:highlight w:val="none"/>
        </w:rPr>
      </w:pPr>
      <w:r>
        <w:rPr>
          <w:rFonts w:ascii="宋体" w:hAnsi="宋体"/>
          <w:b/>
          <w:sz w:val="72"/>
          <w:highlight w:val="none"/>
        </w:rPr>
      </w:r>
      <w:r/>
    </w:p>
    <w:p>
      <w:pPr>
        <w:jc w:val="center"/>
        <w:spacing w:line="360" w:lineRule="auto"/>
        <w:rPr>
          <w:rFonts w:ascii="宋体" w:hAnsi="宋体"/>
          <w:b/>
          <w:sz w:val="36"/>
          <w:highlight w:val="none"/>
        </w:rPr>
      </w:pPr>
      <w:r>
        <w:rPr>
          <w:rFonts w:ascii="宋体" w:hAnsi="宋体"/>
          <w:b/>
          <w:sz w:val="36"/>
          <w:highlight w:val="none"/>
        </w:rPr>
      </w:r>
      <w:r/>
    </w:p>
    <w:p>
      <w:pPr>
        <w:spacing w:line="360" w:lineRule="auto"/>
        <w:rPr>
          <w:rFonts w:ascii="宋体" w:hAnsi="宋体"/>
          <w:b/>
          <w:sz w:val="36"/>
          <w:highlight w:val="none"/>
        </w:rPr>
      </w:pPr>
      <w:r>
        <w:rPr>
          <w:rFonts w:ascii="宋体" w:hAnsi="宋体"/>
          <w:b/>
          <w:sz w:val="36"/>
          <w:highlight w:val="none"/>
        </w:rPr>
      </w:r>
      <w:r/>
    </w:p>
    <w:p>
      <w:pPr>
        <w:jc w:val="center"/>
        <w:spacing w:line="360" w:lineRule="auto"/>
        <w:rPr>
          <w:rFonts w:ascii="宋体" w:hAnsi="宋体"/>
          <w:b/>
          <w:sz w:val="36"/>
          <w:highlight w:val="none"/>
        </w:rPr>
      </w:pPr>
      <w:r>
        <w:rPr>
          <w:rFonts w:ascii="宋体" w:hAnsi="宋体"/>
          <w:b/>
          <w:sz w:val="36"/>
          <w:highlight w:val="none"/>
        </w:rPr>
      </w:r>
      <w:r/>
    </w:p>
    <w:p>
      <w:pPr>
        <w:ind w:firstLine="1084"/>
        <w:spacing w:line="360" w:lineRule="auto"/>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p>
    <w:p>
      <w:pPr>
        <w:ind w:firstLine="1084"/>
        <w:spacing w:line="360" w:lineRule="auto"/>
        <w:rPr>
          <w:rFonts w:ascii="宋体" w:hAnsi="宋体"/>
          <w:b/>
          <w:sz w:val="36"/>
          <w:highlight w:val="none"/>
          <w:u w:val="single"/>
        </w:rPr>
      </w:pPr>
      <w:r>
        <w:rPr>
          <w:rFonts w:hint="eastAsia" w:ascii="宋体" w:hAnsi="宋体"/>
          <w:b/>
          <w:sz w:val="36"/>
          <w:highlight w:val="none"/>
        </w:rPr>
        <w:t xml:space="preserve">招 标 编 号：</w:t>
      </w:r>
      <w:r>
        <w:rPr>
          <w:rFonts w:hint="eastAsia" w:ascii="宋体" w:hAnsi="宋体"/>
          <w:b/>
          <w:sz w:val="36"/>
          <w:highlight w:val="none"/>
          <w:u w:val="single"/>
        </w:rPr>
        <w:t xml:space="preserve">               </w:t>
      </w:r>
      <w:r/>
    </w:p>
    <w:p>
      <w:pPr>
        <w:spacing w:line="360" w:lineRule="auto"/>
        <w:rPr>
          <w:rFonts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               </w:t>
      </w:r>
      <w:r/>
    </w:p>
    <w:p>
      <w:pPr>
        <w:spacing w:line="360" w:lineRule="auto"/>
        <w:rPr>
          <w:rFonts w:ascii="宋体" w:hAnsi="宋体"/>
          <w:b/>
          <w:sz w:val="36"/>
          <w:highlight w:val="none"/>
          <w:u w:val="singl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p>
    <w:p>
      <w:pPr>
        <w:ind w:firstLine="1084"/>
        <w:spacing w:line="360" w:lineRule="auto"/>
        <w:rPr>
          <w:rFonts w:ascii="宋体" w:hAnsi="宋体"/>
          <w:b/>
          <w:sz w:val="36"/>
          <w:highlight w:val="none"/>
        </w:rPr>
      </w:pPr>
      <w:r>
        <w:rPr>
          <w:rFonts w:hint="eastAsia" w:ascii="宋体" w:hAnsi="宋体"/>
          <w:b/>
          <w:sz w:val="36"/>
          <w:highlight w:val="none"/>
        </w:rPr>
        <w:t xml:space="preserve">投  标  人：</w:t>
      </w:r>
      <w:r>
        <w:rPr>
          <w:rFonts w:hint="eastAsia" w:ascii="宋体" w:hAnsi="宋体"/>
          <w:b/>
          <w:sz w:val="36"/>
          <w:highlight w:val="none"/>
          <w:u w:val="single"/>
        </w:rPr>
        <w:t xml:space="preserve">         </w:t>
      </w:r>
      <w:r>
        <w:rPr>
          <w:rFonts w:hint="eastAsia" w:ascii="宋体" w:hAnsi="宋体"/>
          <w:b/>
          <w:sz w:val="36"/>
          <w:highlight w:val="none"/>
        </w:rPr>
        <w:t xml:space="preserve">（电子签章）</w:t>
      </w:r>
      <w:r/>
    </w:p>
    <w:p>
      <w:pPr>
        <w:jc w:val="center"/>
        <w:spacing w:line="360" w:lineRule="auto"/>
        <w:rPr>
          <w:rFonts w:ascii="宋体" w:hAnsi="宋体"/>
          <w:b/>
          <w:bCs/>
          <w:sz w:val="32"/>
          <w:szCs w:val="32"/>
          <w:highlight w:val="none"/>
        </w:rPr>
      </w:pPr>
      <w:r>
        <w:rPr>
          <w:rFonts w:ascii="宋体" w:hAnsi="宋体"/>
          <w:b/>
          <w:bCs/>
          <w:sz w:val="32"/>
          <w:szCs w:val="32"/>
          <w:highlight w:val="none"/>
        </w:rPr>
      </w:r>
      <w:r/>
    </w:p>
    <w:p>
      <w:pPr>
        <w:jc w:val="center"/>
        <w:spacing w:line="360" w:lineRule="auto"/>
        <w:rPr>
          <w:rFonts w:ascii="宋体" w:hAnsi="宋体"/>
          <w:b/>
          <w:bCs/>
          <w:sz w:val="32"/>
          <w:szCs w:val="32"/>
          <w:highlight w:val="none"/>
        </w:rPr>
      </w:pPr>
      <w:r>
        <w:rPr>
          <w:rFonts w:ascii="宋体" w:hAnsi="宋体"/>
          <w:b/>
          <w:bCs/>
          <w:sz w:val="32"/>
          <w:szCs w:val="32"/>
          <w:highlight w:val="none"/>
        </w:rPr>
      </w:r>
      <w:r/>
    </w:p>
    <w:p>
      <w:pPr>
        <w:spacing w:line="360" w:lineRule="auto"/>
        <w:rPr>
          <w:rFonts w:ascii="宋体" w:hAnsi="宋体"/>
          <w:b/>
          <w:bCs/>
          <w:sz w:val="32"/>
          <w:szCs w:val="32"/>
          <w:highlight w:val="none"/>
        </w:rPr>
      </w:pPr>
      <w:r>
        <w:rPr>
          <w:rFonts w:ascii="宋体" w:hAnsi="宋体"/>
          <w:b/>
          <w:bCs/>
          <w:sz w:val="32"/>
          <w:szCs w:val="32"/>
          <w:highlight w:val="none"/>
        </w:rPr>
      </w:r>
      <w:r/>
    </w:p>
    <w:p>
      <w:pPr>
        <w:rPr>
          <w:rFonts w:ascii="宋体" w:hAnsi="宋体"/>
          <w:b/>
          <w:bCs/>
          <w:sz w:val="32"/>
          <w:szCs w:val="32"/>
          <w:highlight w:val="none"/>
        </w:rPr>
      </w:pPr>
      <w:r>
        <w:rPr>
          <w:rFonts w:hint="eastAsia" w:ascii="宋体" w:hAnsi="宋体"/>
          <w:b/>
          <w:bCs/>
          <w:sz w:val="32"/>
          <w:szCs w:val="32"/>
          <w:highlight w:val="none"/>
        </w:rPr>
        <w:br w:type="page" w:clear="all"/>
      </w:r>
      <w:r/>
    </w:p>
    <w:p>
      <w:pPr>
        <w:jc w:val="center"/>
        <w:spacing w:line="360" w:lineRule="auto"/>
        <w:rPr>
          <w:rFonts w:hint="eastAsia" w:ascii="宋体" w:hAnsi="宋体"/>
          <w:b/>
          <w:bCs/>
          <w:sz w:val="32"/>
          <w:szCs w:val="32"/>
          <w:highlight w:val="none"/>
        </w:rPr>
      </w:pPr>
      <w:r>
        <w:rPr>
          <w:rFonts w:hint="eastAsia" w:ascii="宋体" w:hAnsi="宋体"/>
          <w:b/>
          <w:bCs/>
          <w:sz w:val="32"/>
          <w:szCs w:val="32"/>
          <w:highlight w:val="none"/>
        </w:rPr>
        <w:t xml:space="preserve">投标主要文件目录</w:t>
      </w:r>
      <w:r/>
    </w:p>
    <w:p>
      <w:pPr>
        <w:jc w:val="center"/>
        <w:spacing w:line="360" w:lineRule="auto"/>
        <w:rPr>
          <w:rFonts w:ascii="宋体" w:hAnsi="宋体"/>
          <w:b/>
          <w:bCs/>
          <w:sz w:val="32"/>
          <w:szCs w:val="32"/>
          <w:highlight w:val="none"/>
        </w:rPr>
      </w:pPr>
      <w:r>
        <w:rPr>
          <w:rFonts w:ascii="宋体" w:hAnsi="宋体"/>
          <w:b/>
          <w:bCs/>
          <w:sz w:val="32"/>
          <w:szCs w:val="32"/>
          <w:highlight w:val="none"/>
        </w:rPr>
      </w:r>
      <w:r/>
    </w:p>
    <w:p>
      <w:pPr>
        <w:ind w:firstLine="480"/>
        <w:spacing w:line="360" w:lineRule="auto"/>
        <w:rPr>
          <w:rFonts w:ascii="宋体" w:hAnsi="宋体"/>
          <w:sz w:val="24"/>
          <w:highlight w:val="none"/>
        </w:rPr>
      </w:pPr>
      <w:r>
        <w:rPr>
          <w:rFonts w:hint="eastAsia" w:ascii="宋体" w:hAnsi="宋体"/>
          <w:sz w:val="24"/>
          <w:highlight w:val="none"/>
        </w:rPr>
        <w:t xml:space="preserve">一、资格审查响应对照表</w:t>
      </w:r>
      <w:r/>
    </w:p>
    <w:p>
      <w:pPr>
        <w:ind w:left="480"/>
        <w:spacing w:line="360" w:lineRule="auto"/>
        <w:rPr>
          <w:rFonts w:ascii="宋体" w:hAnsi="宋体"/>
          <w:sz w:val="24"/>
          <w:highlight w:val="none"/>
        </w:rPr>
      </w:pPr>
      <w:r>
        <w:rPr>
          <w:rFonts w:hint="eastAsia" w:ascii="宋体" w:hAnsi="宋体"/>
          <w:sz w:val="24"/>
          <w:highlight w:val="none"/>
        </w:rPr>
        <w:t xml:space="preserve">二、符合性审查响应对照表</w:t>
      </w:r>
      <w:r/>
    </w:p>
    <w:p>
      <w:pPr>
        <w:ind w:left="480"/>
        <w:spacing w:line="360" w:lineRule="auto"/>
        <w:rPr>
          <w:rFonts w:ascii="宋体" w:hAnsi="宋体"/>
          <w:sz w:val="24"/>
          <w:highlight w:val="none"/>
        </w:rPr>
      </w:pPr>
      <w:r>
        <w:rPr>
          <w:rFonts w:hint="eastAsia" w:ascii="宋体" w:hAnsi="宋体"/>
          <w:sz w:val="24"/>
          <w:highlight w:val="none"/>
        </w:rPr>
        <w:t xml:space="preserve">三、非实质性响应对照表</w:t>
      </w:r>
      <w:r/>
    </w:p>
    <w:p>
      <w:pPr>
        <w:ind w:firstLine="480"/>
        <w:spacing w:line="360" w:lineRule="auto"/>
        <w:rPr>
          <w:rFonts w:ascii="宋体" w:hAnsi="宋体"/>
          <w:b/>
          <w:bCs/>
          <w:sz w:val="24"/>
          <w:highlight w:val="none"/>
        </w:rPr>
      </w:pPr>
      <w:r>
        <w:rPr>
          <w:rFonts w:hint="eastAsia" w:ascii="宋体" w:hAnsi="宋体"/>
          <w:sz w:val="24"/>
          <w:highlight w:val="none"/>
        </w:rPr>
        <w:t xml:space="preserve">四</w:t>
      </w:r>
      <w:r>
        <w:rPr>
          <w:rFonts w:hint="eastAsia" w:ascii="宋体" w:hAnsi="宋体"/>
          <w:b/>
          <w:bCs/>
          <w:sz w:val="24"/>
          <w:highlight w:val="none"/>
        </w:rPr>
        <w:t xml:space="preserve">、</w:t>
      </w:r>
      <w:r>
        <w:rPr>
          <w:rFonts w:hint="eastAsia" w:ascii="宋体" w:hAnsi="宋体"/>
          <w:i/>
          <w:sz w:val="24"/>
          <w:highlight w:val="none"/>
          <w:u w:val="single"/>
        </w:rPr>
        <w:t xml:space="preserve">开标一览表</w:t>
      </w:r>
      <w:r/>
    </w:p>
    <w:p>
      <w:pPr>
        <w:ind w:firstLine="480"/>
        <w:spacing w:line="360" w:lineRule="auto"/>
        <w:rPr>
          <w:rFonts w:ascii="宋体" w:hAnsi="宋体"/>
          <w:sz w:val="24"/>
          <w:highlight w:val="none"/>
        </w:rPr>
      </w:pPr>
      <w:r>
        <w:rPr>
          <w:rFonts w:hint="eastAsia" w:ascii="宋体" w:hAnsi="宋体"/>
          <w:sz w:val="24"/>
          <w:highlight w:val="none"/>
        </w:rPr>
        <w:t xml:space="preserve">五、投标配置与分项报价表</w:t>
      </w:r>
      <w:r/>
    </w:p>
    <w:p>
      <w:pPr>
        <w:ind w:firstLine="480"/>
        <w:spacing w:line="360" w:lineRule="auto"/>
        <w:rPr>
          <w:rFonts w:ascii="宋体" w:hAnsi="宋体"/>
          <w:sz w:val="24"/>
          <w:highlight w:val="none"/>
        </w:rPr>
      </w:pPr>
      <w:r>
        <w:rPr>
          <w:rFonts w:hint="eastAsia" w:ascii="宋体" w:hAnsi="宋体"/>
          <w:sz w:val="24"/>
          <w:highlight w:val="none"/>
        </w:rPr>
        <w:t xml:space="preserve">六</w:t>
      </w:r>
      <w:r>
        <w:rPr>
          <w:rFonts w:hint="eastAsia" w:ascii="宋体" w:hAnsi="宋体" w:cs="Courier New"/>
          <w:sz w:val="24"/>
          <w:szCs w:val="24"/>
          <w:highlight w:val="none"/>
        </w:rPr>
        <w:t xml:space="preserve">、</w:t>
      </w:r>
      <w:r>
        <w:rPr>
          <w:rFonts w:hint="eastAsia" w:ascii="宋体" w:hAnsi="宋体"/>
          <w:sz w:val="24"/>
          <w:szCs w:val="24"/>
          <w:highlight w:val="none"/>
        </w:rPr>
        <w:t xml:space="preserve">技术参数响应及偏离表</w:t>
      </w:r>
      <w:r/>
    </w:p>
    <w:p>
      <w:pPr>
        <w:ind w:firstLine="480"/>
        <w:spacing w:line="360" w:lineRule="auto"/>
        <w:rPr>
          <w:rFonts w:ascii="宋体" w:hAnsi="宋体"/>
          <w:sz w:val="24"/>
          <w:highlight w:val="none"/>
        </w:rPr>
      </w:pPr>
      <w:r>
        <w:rPr>
          <w:rFonts w:hint="eastAsia" w:ascii="宋体" w:hAnsi="宋体"/>
          <w:sz w:val="24"/>
          <w:highlight w:val="none"/>
        </w:rPr>
        <w:t xml:space="preserve">七、商务条款响应及偏离表</w:t>
      </w:r>
      <w:r/>
    </w:p>
    <w:p>
      <w:pPr>
        <w:ind w:firstLine="480"/>
        <w:spacing w:line="360" w:lineRule="auto"/>
        <w:rPr>
          <w:sz w:val="36"/>
          <w:szCs w:val="36"/>
          <w:highlight w:val="none"/>
        </w:rPr>
      </w:pPr>
      <w:r>
        <w:rPr>
          <w:rFonts w:hint="eastAsia" w:ascii="宋体" w:hAnsi="宋体"/>
          <w:sz w:val="24"/>
          <w:highlight w:val="none"/>
        </w:rPr>
        <w:t xml:space="preserve">八、其他 （投标人认为有必要提供的声明和文件，如有自拟并自行添加）</w:t>
      </w:r>
      <w:r/>
    </w:p>
    <w:p>
      <w:pPr>
        <w:contextualSpacing/>
        <w:jc w:val="left"/>
        <w:spacing w:line="360" w:lineRule="auto"/>
        <w:rPr>
          <w:rFonts w:ascii="宋体" w:hAnsi="宋体"/>
          <w:b/>
          <w:sz w:val="72"/>
          <w:highlight w:val="none"/>
        </w:rPr>
      </w:pPr>
      <w:r>
        <w:rPr>
          <w:rFonts w:ascii="宋体" w:hAnsi="宋体"/>
          <w:b/>
          <w:sz w:val="72"/>
          <w:highlight w:val="none"/>
        </w:rPr>
      </w:r>
      <w:r/>
    </w:p>
    <w:p>
      <w:pPr>
        <w:contextualSpacing/>
        <w:spacing w:line="360" w:lineRule="auto"/>
        <w:rPr>
          <w:rFonts w:ascii="宋体" w:hAnsi="宋体"/>
          <w:b/>
          <w:sz w:val="36"/>
          <w:highlight w:val="none"/>
        </w:rPr>
      </w:pPr>
      <w:r>
        <w:rPr>
          <w:rFonts w:ascii="宋体" w:hAnsi="宋体"/>
          <w:b/>
          <w:sz w:val="36"/>
          <w:highlight w:val="none"/>
        </w:rPr>
      </w:r>
      <w:r/>
    </w:p>
    <w:p>
      <w:pPr>
        <w:contextualSpacing/>
        <w:spacing w:line="360" w:lineRule="auto"/>
        <w:rPr>
          <w:rFonts w:ascii="宋体" w:hAnsi="宋体"/>
          <w:b/>
          <w:sz w:val="36"/>
          <w:highlight w:val="none"/>
        </w:rPr>
      </w:pPr>
      <w:r>
        <w:rPr>
          <w:rFonts w:ascii="宋体" w:hAnsi="宋体"/>
          <w:b/>
          <w:sz w:val="36"/>
          <w:highlight w:val="none"/>
        </w:rPr>
      </w:r>
      <w:r/>
    </w:p>
    <w:p>
      <w:pPr>
        <w:contextualSpacing/>
        <w:spacing w:line="360" w:lineRule="auto"/>
        <w:rPr>
          <w:rFonts w:ascii="宋体" w:hAnsi="宋体"/>
          <w:b/>
          <w:sz w:val="36"/>
          <w:highlight w:val="none"/>
        </w:rPr>
      </w:pPr>
      <w:r>
        <w:rPr>
          <w:rFonts w:ascii="宋体" w:hAnsi="宋体"/>
          <w:b/>
          <w:sz w:val="36"/>
          <w:highlight w:val="none"/>
        </w:rPr>
      </w:r>
      <w:r/>
    </w:p>
    <w:p>
      <w:pPr>
        <w:contextualSpacing/>
        <w:spacing w:line="360" w:lineRule="auto"/>
        <w:rPr>
          <w:rFonts w:ascii="宋体" w:hAnsi="宋体"/>
          <w:b/>
          <w:sz w:val="36"/>
          <w:highlight w:val="none"/>
        </w:rPr>
      </w:pPr>
      <w:r>
        <w:rPr>
          <w:rFonts w:ascii="宋体" w:hAnsi="宋体"/>
          <w:b/>
          <w:sz w:val="36"/>
          <w:highlight w:val="none"/>
        </w:rPr>
      </w:r>
      <w:r/>
    </w:p>
    <w:p>
      <w:pPr>
        <w:contextualSpacing/>
        <w:spacing w:line="360" w:lineRule="auto"/>
        <w:rPr>
          <w:rFonts w:ascii="宋体" w:hAnsi="宋体"/>
          <w:b/>
          <w:sz w:val="36"/>
          <w:highlight w:val="none"/>
        </w:rPr>
      </w:pPr>
      <w:r>
        <w:rPr>
          <w:rFonts w:ascii="宋体" w:hAnsi="宋体"/>
          <w:b/>
          <w:sz w:val="36"/>
          <w:highlight w:val="none"/>
        </w:rPr>
      </w:r>
      <w:r/>
    </w:p>
    <w:p>
      <w:pPr>
        <w:contextualSpacing/>
        <w:spacing w:line="360" w:lineRule="auto"/>
        <w:rPr>
          <w:rFonts w:ascii="宋体" w:hAnsi="宋体"/>
          <w:b/>
          <w:sz w:val="36"/>
          <w:highlight w:val="none"/>
        </w:rPr>
      </w:pPr>
      <w:r>
        <w:rPr>
          <w:rFonts w:ascii="宋体" w:hAnsi="宋体"/>
          <w:b/>
          <w:sz w:val="36"/>
          <w:highlight w:val="none"/>
        </w:rPr>
      </w:r>
      <w:r/>
    </w:p>
    <w:p>
      <w:pPr>
        <w:contextualSpacing/>
        <w:spacing w:line="360" w:lineRule="auto"/>
        <w:rPr>
          <w:rFonts w:ascii="宋体" w:hAnsi="宋体"/>
          <w:b/>
          <w:sz w:val="36"/>
          <w:highlight w:val="none"/>
        </w:rPr>
      </w:pPr>
      <w:r>
        <w:rPr>
          <w:rFonts w:ascii="宋体" w:hAnsi="宋体"/>
          <w:b/>
          <w:sz w:val="36"/>
          <w:highlight w:val="none"/>
        </w:rPr>
      </w:r>
      <w:r/>
    </w:p>
    <w:p>
      <w:pPr>
        <w:spacing w:line="360" w:lineRule="auto"/>
        <w:rPr>
          <w:rFonts w:ascii="宋体" w:hAnsi="宋体"/>
          <w:b/>
          <w:sz w:val="32"/>
          <w:szCs w:val="32"/>
          <w:highlight w:val="none"/>
        </w:rPr>
      </w:pPr>
      <w:r>
        <w:rPr>
          <w:rFonts w:ascii="宋体" w:hAnsi="宋体"/>
          <w:b/>
          <w:sz w:val="32"/>
          <w:szCs w:val="32"/>
          <w:highlight w:val="none"/>
        </w:rPr>
      </w:r>
      <w:r/>
    </w:p>
    <w:p>
      <w:pPr>
        <w:pStyle w:val="876"/>
        <w:spacing w:line="360" w:lineRule="auto"/>
        <w:rPr>
          <w:rFonts w:ascii="宋体" w:hAnsi="宋体" w:eastAsia="宋体"/>
          <w:b w:val="0"/>
          <w:sz w:val="32"/>
          <w:szCs w:val="32"/>
          <w:highlight w:val="none"/>
        </w:rPr>
      </w:pPr>
      <w:r>
        <w:rPr>
          <w:rFonts w:hint="eastAsia" w:ascii="宋体" w:hAnsi="宋体"/>
          <w:sz w:val="32"/>
          <w:szCs w:val="32"/>
          <w:highlight w:val="none"/>
        </w:rPr>
        <w:br w:type="page" w:clear="all"/>
      </w:r>
      <w:bookmarkStart w:id="73" w:name="_Toc5320"/>
      <w:r>
        <w:rPr>
          <w:rFonts w:hint="eastAsia" w:ascii="宋体" w:hAnsi="宋体" w:eastAsia="宋体"/>
          <w:sz w:val="32"/>
          <w:highlight w:val="none"/>
        </w:rPr>
        <w:t xml:space="preserve">一、资格审查响应对照表</w:t>
      </w:r>
      <w:bookmarkEnd w:id="73"/>
      <w:r/>
      <w:r/>
    </w:p>
    <w:tbl>
      <w:tblPr>
        <w:tblStyle w:val="692"/>
        <w:tblW w:w="93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6574"/>
        <w:gridCol w:w="2158"/>
      </w:tblGrid>
      <w:tr>
        <w:trPr>
          <w:trHeight w:val="647"/>
        </w:trPr>
        <w:tc>
          <w:tcPr>
            <w:tcW w:w="646" w:type="dxa"/>
            <w:vAlign w:val="center"/>
            <w:textDirection w:val="lrTb"/>
            <w:noWrap w:val="false"/>
          </w:tcPr>
          <w:p>
            <w:pPr>
              <w:jc w:val="center"/>
              <w:spacing w:line="240" w:lineRule="auto"/>
              <w:rPr>
                <w:rFonts w:ascii="宋体" w:hAnsi="宋体"/>
                <w:b/>
                <w:szCs w:val="21"/>
                <w:highlight w:val="none"/>
              </w:rPr>
            </w:pPr>
            <w:r>
              <w:rPr>
                <w:rFonts w:hint="eastAsia" w:ascii="宋体" w:hAnsi="宋体"/>
                <w:b/>
                <w:szCs w:val="21"/>
                <w:highlight w:val="none"/>
              </w:rPr>
              <w:t xml:space="preserve">序号</w:t>
            </w:r>
            <w:r/>
          </w:p>
        </w:tc>
        <w:tc>
          <w:tcPr>
            <w:tcW w:w="6574" w:type="dxa"/>
            <w:vAlign w:val="center"/>
            <w:textDirection w:val="lrTb"/>
            <w:noWrap w:val="false"/>
          </w:tcPr>
          <w:p>
            <w:pPr>
              <w:jc w:val="center"/>
              <w:spacing w:line="240" w:lineRule="auto"/>
              <w:rPr>
                <w:rFonts w:ascii="宋体" w:hAnsi="宋体"/>
                <w:b/>
                <w:szCs w:val="21"/>
                <w:highlight w:val="none"/>
              </w:rPr>
            </w:pPr>
            <w:r>
              <w:rPr>
                <w:rFonts w:hint="eastAsia" w:ascii="宋体" w:hAnsi="宋体"/>
                <w:b/>
                <w:szCs w:val="21"/>
                <w:highlight w:val="none"/>
              </w:rPr>
              <w:t xml:space="preserve">资格审查响应内容</w:t>
            </w:r>
            <w:r/>
          </w:p>
        </w:tc>
        <w:tc>
          <w:tcPr>
            <w:tcW w:w="2158" w:type="dxa"/>
            <w:vAlign w:val="center"/>
            <w:textDirection w:val="lrTb"/>
            <w:noWrap w:val="false"/>
          </w:tcPr>
          <w:p>
            <w:pPr>
              <w:jc w:val="center"/>
              <w:spacing w:line="240" w:lineRule="auto"/>
              <w:rPr>
                <w:rFonts w:ascii="宋体" w:hAnsi="宋体"/>
                <w:b/>
                <w:szCs w:val="21"/>
                <w:highlight w:val="none"/>
              </w:rPr>
            </w:pPr>
            <w:r>
              <w:rPr>
                <w:rFonts w:hint="eastAsia" w:ascii="宋体" w:hAnsi="宋体"/>
                <w:b/>
                <w:szCs w:val="21"/>
                <w:highlight w:val="none"/>
              </w:rPr>
              <w:t xml:space="preserve">是否响应</w:t>
            </w:r>
            <w:r/>
          </w:p>
          <w:p>
            <w:pPr>
              <w:jc w:val="center"/>
              <w:spacing w:line="240" w:lineRule="auto"/>
              <w:rPr>
                <w:rFonts w:ascii="宋体" w:hAnsi="宋体"/>
                <w:b/>
                <w:szCs w:val="21"/>
                <w:highlight w:val="none"/>
              </w:rPr>
            </w:pPr>
            <w:r>
              <w:rPr>
                <w:rFonts w:hint="eastAsia" w:ascii="宋体" w:hAnsi="宋体"/>
                <w:b/>
                <w:szCs w:val="21"/>
                <w:highlight w:val="none"/>
              </w:rPr>
              <w:t xml:space="preserve">（填是或者否并填写材料所在页码）</w:t>
            </w:r>
            <w:r/>
          </w:p>
        </w:tc>
      </w:tr>
      <w:tr>
        <w:trPr>
          <w:trHeight w:val="335"/>
        </w:trPr>
        <w:tc>
          <w:tcPr>
            <w:gridSpan w:val="3"/>
            <w:tcW w:w="9378" w:type="dxa"/>
            <w:vAlign w:val="center"/>
            <w:textDirection w:val="lrTb"/>
            <w:noWrap w:val="false"/>
          </w:tcPr>
          <w:p>
            <w:pPr>
              <w:spacing w:line="240" w:lineRule="auto"/>
              <w:rPr>
                <w:rFonts w:ascii="宋体" w:hAnsi="宋体"/>
                <w:b/>
                <w:szCs w:val="21"/>
                <w:highlight w:val="none"/>
              </w:rPr>
            </w:pPr>
            <w:r>
              <w:rPr>
                <w:rFonts w:hint="eastAsia" w:ascii="宋体" w:hAnsi="宋体"/>
                <w:b/>
                <w:szCs w:val="21"/>
                <w:highlight w:val="none"/>
              </w:rPr>
              <w:t xml:space="preserve">通用资格条件</w:t>
            </w:r>
            <w:r/>
          </w:p>
        </w:tc>
      </w:tr>
      <w:tr>
        <w:trPr>
          <w:trHeight w:val="761"/>
        </w:trPr>
        <w:tc>
          <w:tcPr>
            <w:tcW w:w="646" w:type="dxa"/>
            <w:vAlign w:val="center"/>
            <w:textDirection w:val="lrTb"/>
            <w:noWrap w:val="false"/>
          </w:tcPr>
          <w:p>
            <w:pPr>
              <w:jc w:val="center"/>
              <w:spacing w:line="240" w:lineRule="auto"/>
              <w:rPr>
                <w:rFonts w:ascii="宋体" w:hAnsi="宋体"/>
                <w:b/>
                <w:szCs w:val="21"/>
                <w:highlight w:val="none"/>
              </w:rPr>
            </w:pPr>
            <w:r>
              <w:rPr>
                <w:rFonts w:ascii="宋体" w:hAnsi="宋体"/>
                <w:b/>
                <w:szCs w:val="21"/>
                <w:highlight w:val="none"/>
              </w:rPr>
            </w:r>
            <w:r/>
          </w:p>
        </w:tc>
        <w:tc>
          <w:tcPr>
            <w:tcW w:w="6574" w:type="dxa"/>
            <w:vAlign w:val="center"/>
            <w:textDirection w:val="lrTb"/>
            <w:noWrap w:val="false"/>
          </w:tcPr>
          <w:p>
            <w:pPr>
              <w:spacing w:line="240" w:lineRule="auto"/>
              <w:rPr>
                <w:rFonts w:hint="eastAsia" w:ascii="宋体" w:hAnsi="宋体" w:eastAsia="宋体" w:cs="宋体"/>
                <w:iCs/>
                <w:szCs w:val="21"/>
                <w:highlight w:val="none"/>
              </w:rPr>
            </w:pPr>
            <w:r>
              <w:rPr>
                <w:rFonts w:hint="eastAsia" w:ascii="宋体" w:hAnsi="宋体" w:eastAsia="宋体" w:cs="宋体"/>
                <w:iCs/>
                <w:szCs w:val="21"/>
                <w:highlight w:val="none"/>
              </w:rPr>
            </w:r>
            <w:r/>
          </w:p>
        </w:tc>
        <w:tc>
          <w:tcPr>
            <w:tcW w:w="2158" w:type="dxa"/>
            <w:vAlign w:val="center"/>
            <w:textDirection w:val="lrTb"/>
            <w:noWrap w:val="false"/>
          </w:tcPr>
          <w:p>
            <w:pPr>
              <w:spacing w:line="240" w:lineRule="auto"/>
              <w:rPr>
                <w:rFonts w:ascii="宋体" w:hAnsi="宋体"/>
                <w:b/>
                <w:szCs w:val="21"/>
                <w:highlight w:val="none"/>
              </w:rPr>
            </w:pPr>
            <w:r>
              <w:rPr>
                <w:rFonts w:ascii="宋体" w:hAnsi="宋体"/>
                <w:b/>
                <w:szCs w:val="21"/>
                <w:highlight w:val="none"/>
              </w:rPr>
            </w:r>
            <w:r/>
          </w:p>
        </w:tc>
      </w:tr>
      <w:tr>
        <w:trPr>
          <w:trHeight w:val="585"/>
        </w:trPr>
        <w:tc>
          <w:tcPr>
            <w:tcW w:w="646" w:type="dxa"/>
            <w:vAlign w:val="center"/>
            <w:textDirection w:val="lrTb"/>
            <w:noWrap w:val="false"/>
          </w:tcPr>
          <w:p>
            <w:pPr>
              <w:jc w:val="center"/>
              <w:spacing w:line="240" w:lineRule="auto"/>
              <w:rPr>
                <w:rFonts w:ascii="宋体" w:hAnsi="宋体"/>
                <w:szCs w:val="21"/>
                <w:highlight w:val="none"/>
              </w:rPr>
            </w:pPr>
            <w:r>
              <w:rPr>
                <w:rFonts w:ascii="宋体" w:hAnsi="宋体"/>
                <w:szCs w:val="21"/>
                <w:highlight w:val="none"/>
              </w:rPr>
            </w:r>
            <w:r/>
          </w:p>
        </w:tc>
        <w:tc>
          <w:tcPr>
            <w:tcW w:w="6574" w:type="dxa"/>
            <w:vAlign w:val="center"/>
            <w:textDirection w:val="lrTb"/>
            <w:noWrap w:val="false"/>
          </w:tcPr>
          <w:p>
            <w:pPr>
              <w:spacing w:line="240" w:lineRule="auto"/>
              <w:rPr>
                <w:rFonts w:hint="eastAsia" w:ascii="宋体" w:hAnsi="宋体" w:eastAsia="宋体" w:cs="宋体"/>
                <w:iCs w:val="0"/>
                <w:szCs w:val="22"/>
                <w:highlight w:val="none"/>
              </w:rPr>
            </w:pPr>
            <w:r>
              <w:rPr>
                <w:rFonts w:hint="eastAsia" w:ascii="宋体" w:hAnsi="宋体" w:eastAsia="宋体" w:cs="宋体"/>
                <w:iCs w:val="0"/>
                <w:szCs w:val="22"/>
                <w:highlight w:val="none"/>
              </w:rPr>
            </w:r>
            <w:r/>
          </w:p>
        </w:tc>
        <w:tc>
          <w:tcPr>
            <w:tcW w:w="2158" w:type="dxa"/>
            <w:vAlign w:val="center"/>
            <w:textDirection w:val="lrTb"/>
            <w:noWrap w:val="false"/>
          </w:tcPr>
          <w:p>
            <w:pPr>
              <w:spacing w:line="240" w:lineRule="auto"/>
              <w:rPr>
                <w:rFonts w:ascii="宋体" w:hAnsi="宋体"/>
                <w:szCs w:val="21"/>
                <w:highlight w:val="none"/>
              </w:rPr>
            </w:pPr>
            <w:r>
              <w:rPr>
                <w:rFonts w:ascii="宋体" w:hAnsi="宋体"/>
                <w:szCs w:val="21"/>
                <w:highlight w:val="none"/>
              </w:rPr>
            </w:r>
            <w:r/>
          </w:p>
        </w:tc>
      </w:tr>
      <w:tr>
        <w:trPr>
          <w:trHeight w:val="585"/>
        </w:trPr>
        <w:tc>
          <w:tcPr>
            <w:tcW w:w="646" w:type="dxa"/>
            <w:vAlign w:val="center"/>
            <w:textDirection w:val="lrTb"/>
            <w:noWrap w:val="false"/>
          </w:tcPr>
          <w:p>
            <w:pPr>
              <w:jc w:val="center"/>
              <w:spacing w:line="240" w:lineRule="auto"/>
              <w:rPr>
                <w:rFonts w:ascii="宋体" w:hAnsi="宋体"/>
                <w:szCs w:val="21"/>
                <w:highlight w:val="none"/>
              </w:rPr>
            </w:pPr>
            <w:r>
              <w:rPr>
                <w:rFonts w:ascii="宋体" w:hAnsi="宋体"/>
                <w:szCs w:val="21"/>
                <w:highlight w:val="none"/>
              </w:rPr>
            </w:r>
            <w:r/>
          </w:p>
        </w:tc>
        <w:tc>
          <w:tcPr>
            <w:tcW w:w="6574" w:type="dxa"/>
            <w:vAlign w:val="center"/>
            <w:textDirection w:val="lrTb"/>
            <w:noWrap w:val="false"/>
          </w:tcPr>
          <w:p>
            <w:pPr>
              <w:spacing w:line="240" w:lineRule="auto"/>
              <w:rPr>
                <w:rFonts w:hint="eastAsia" w:ascii="宋体" w:hAnsi="宋体" w:eastAsia="宋体" w:cs="宋体"/>
                <w:iCs w:val="0"/>
                <w:szCs w:val="22"/>
                <w:highlight w:val="none"/>
              </w:rPr>
            </w:pPr>
            <w:r>
              <w:rPr>
                <w:rFonts w:hint="eastAsia" w:ascii="宋体" w:hAnsi="宋体" w:eastAsia="宋体" w:cs="宋体"/>
                <w:iCs w:val="0"/>
                <w:szCs w:val="22"/>
                <w:highlight w:val="none"/>
              </w:rPr>
            </w:r>
            <w:r/>
          </w:p>
        </w:tc>
        <w:tc>
          <w:tcPr>
            <w:tcW w:w="2158" w:type="dxa"/>
            <w:vAlign w:val="center"/>
            <w:textDirection w:val="lrTb"/>
            <w:noWrap w:val="false"/>
          </w:tcPr>
          <w:p>
            <w:pPr>
              <w:spacing w:line="240" w:lineRule="auto"/>
              <w:rPr>
                <w:rFonts w:ascii="宋体" w:hAnsi="宋体"/>
                <w:szCs w:val="21"/>
                <w:highlight w:val="none"/>
              </w:rPr>
            </w:pPr>
            <w:r>
              <w:rPr>
                <w:rFonts w:ascii="宋体" w:hAnsi="宋体"/>
                <w:szCs w:val="21"/>
                <w:highlight w:val="none"/>
              </w:rPr>
            </w:r>
            <w:r/>
          </w:p>
        </w:tc>
      </w:tr>
      <w:tr>
        <w:trPr>
          <w:trHeight w:val="417"/>
        </w:trPr>
        <w:tc>
          <w:tcPr>
            <w:tcW w:w="646" w:type="dxa"/>
            <w:vAlign w:val="center"/>
            <w:textDirection w:val="lrTb"/>
            <w:noWrap w:val="false"/>
          </w:tcPr>
          <w:p>
            <w:pPr>
              <w:jc w:val="center"/>
              <w:spacing w:line="240" w:lineRule="auto"/>
              <w:rPr>
                <w:rFonts w:ascii="宋体" w:hAnsi="宋体"/>
                <w:szCs w:val="21"/>
                <w:highlight w:val="none"/>
              </w:rPr>
            </w:pPr>
            <w:r>
              <w:rPr>
                <w:rFonts w:ascii="宋体" w:hAnsi="宋体"/>
                <w:szCs w:val="21"/>
                <w:highlight w:val="none"/>
              </w:rPr>
            </w:r>
            <w:r/>
          </w:p>
        </w:tc>
        <w:tc>
          <w:tcPr>
            <w:tcW w:w="6574" w:type="dxa"/>
            <w:vAlign w:val="center"/>
            <w:textDirection w:val="lrTb"/>
            <w:noWrap w:val="false"/>
          </w:tcPr>
          <w:p>
            <w:pPr>
              <w:spacing w:line="240" w:lineRule="auto"/>
              <w:rPr>
                <w:rFonts w:hint="eastAsia" w:ascii="宋体" w:hAnsi="宋体" w:eastAsia="宋体" w:cs="宋体"/>
                <w:iCs/>
                <w:szCs w:val="21"/>
                <w:highlight w:val="none"/>
              </w:rPr>
            </w:pPr>
            <w:r>
              <w:rPr>
                <w:rFonts w:hint="eastAsia" w:ascii="宋体" w:hAnsi="宋体" w:eastAsia="宋体" w:cs="宋体"/>
                <w:iCs/>
                <w:szCs w:val="21"/>
                <w:highlight w:val="none"/>
              </w:rPr>
            </w:r>
            <w:r/>
          </w:p>
        </w:tc>
        <w:tc>
          <w:tcPr>
            <w:tcW w:w="2158" w:type="dxa"/>
            <w:vAlign w:val="center"/>
            <w:textDirection w:val="lrTb"/>
            <w:noWrap w:val="false"/>
          </w:tcPr>
          <w:p>
            <w:pPr>
              <w:spacing w:line="240" w:lineRule="auto"/>
              <w:rPr>
                <w:rFonts w:ascii="宋体" w:hAnsi="宋体"/>
                <w:szCs w:val="21"/>
                <w:highlight w:val="none"/>
              </w:rPr>
            </w:pPr>
            <w:r>
              <w:rPr>
                <w:rFonts w:ascii="宋体" w:hAnsi="宋体"/>
                <w:szCs w:val="21"/>
                <w:highlight w:val="none"/>
              </w:rPr>
            </w:r>
            <w:r/>
          </w:p>
        </w:tc>
      </w:tr>
      <w:tr>
        <w:trPr>
          <w:trHeight w:val="780"/>
        </w:trPr>
        <w:tc>
          <w:tcPr>
            <w:tcW w:w="646" w:type="dxa"/>
            <w:vAlign w:val="center"/>
            <w:textDirection w:val="lrTb"/>
            <w:noWrap w:val="false"/>
          </w:tcPr>
          <w:p>
            <w:pPr>
              <w:jc w:val="center"/>
              <w:spacing w:line="240" w:lineRule="auto"/>
              <w:rPr>
                <w:rFonts w:ascii="宋体" w:hAnsi="宋体"/>
                <w:szCs w:val="21"/>
                <w:highlight w:val="none"/>
              </w:rPr>
            </w:pPr>
            <w:r>
              <w:rPr>
                <w:rFonts w:ascii="宋体" w:hAnsi="宋体"/>
                <w:szCs w:val="21"/>
                <w:highlight w:val="none"/>
              </w:rPr>
            </w:r>
            <w:r/>
          </w:p>
        </w:tc>
        <w:tc>
          <w:tcPr>
            <w:tcW w:w="6574" w:type="dxa"/>
            <w:vAlign w:val="center"/>
            <w:textDirection w:val="lrTb"/>
            <w:noWrap w:val="false"/>
          </w:tcPr>
          <w:p>
            <w:pPr>
              <w:spacing w:line="24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2158" w:type="dxa"/>
            <w:vAlign w:val="center"/>
            <w:textDirection w:val="lrTb"/>
            <w:noWrap w:val="false"/>
          </w:tcPr>
          <w:p>
            <w:pPr>
              <w:spacing w:line="240" w:lineRule="auto"/>
              <w:rPr>
                <w:rFonts w:ascii="宋体" w:hAnsi="宋体"/>
                <w:szCs w:val="21"/>
                <w:highlight w:val="none"/>
              </w:rPr>
            </w:pPr>
            <w:r>
              <w:rPr>
                <w:rFonts w:ascii="宋体" w:hAnsi="宋体"/>
                <w:szCs w:val="21"/>
                <w:highlight w:val="none"/>
              </w:rPr>
            </w:r>
            <w:r/>
          </w:p>
        </w:tc>
      </w:tr>
      <w:tr>
        <w:trPr>
          <w:trHeight w:val="505"/>
        </w:trPr>
        <w:tc>
          <w:tcPr>
            <w:tcW w:w="646" w:type="dxa"/>
            <w:vAlign w:val="center"/>
            <w:textDirection w:val="lrTb"/>
            <w:noWrap w:val="false"/>
          </w:tcPr>
          <w:p>
            <w:pPr>
              <w:jc w:val="center"/>
              <w:spacing w:line="240" w:lineRule="auto"/>
              <w:rPr>
                <w:rFonts w:ascii="宋体" w:hAnsi="宋体"/>
                <w:szCs w:val="21"/>
                <w:highlight w:val="none"/>
              </w:rPr>
            </w:pPr>
            <w:r>
              <w:rPr>
                <w:rFonts w:ascii="宋体" w:hAnsi="宋体"/>
                <w:szCs w:val="21"/>
                <w:highlight w:val="none"/>
              </w:rPr>
            </w:r>
            <w:r/>
          </w:p>
        </w:tc>
        <w:tc>
          <w:tcPr>
            <w:tcW w:w="6574" w:type="dxa"/>
            <w:vAlign w:val="center"/>
            <w:textDirection w:val="lrTb"/>
            <w:noWrap w:val="false"/>
          </w:tcPr>
          <w:p>
            <w:pPr>
              <w:spacing w:line="24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2158" w:type="dxa"/>
            <w:vAlign w:val="center"/>
            <w:textDirection w:val="lrTb"/>
            <w:noWrap w:val="false"/>
          </w:tcPr>
          <w:p>
            <w:pPr>
              <w:spacing w:line="240" w:lineRule="auto"/>
              <w:rPr>
                <w:rFonts w:ascii="宋体" w:hAnsi="宋体"/>
                <w:szCs w:val="21"/>
                <w:highlight w:val="none"/>
              </w:rPr>
            </w:pPr>
            <w:r>
              <w:rPr>
                <w:rFonts w:ascii="宋体" w:hAnsi="宋体"/>
                <w:szCs w:val="21"/>
                <w:highlight w:val="none"/>
              </w:rPr>
            </w:r>
            <w:r/>
          </w:p>
        </w:tc>
      </w:tr>
      <w:tr>
        <w:trPr>
          <w:trHeight w:val="90"/>
        </w:trPr>
        <w:tc>
          <w:tcPr>
            <w:gridSpan w:val="3"/>
            <w:tcW w:w="9378" w:type="dxa"/>
            <w:vAlign w:val="center"/>
            <w:textDirection w:val="lrTb"/>
            <w:noWrap w:val="false"/>
          </w:tcPr>
          <w:p>
            <w:pPr>
              <w:spacing w:line="240" w:lineRule="auto"/>
              <w:rPr>
                <w:rFonts w:ascii="宋体" w:hAnsi="宋体"/>
                <w:szCs w:val="21"/>
                <w:highlight w:val="none"/>
              </w:rPr>
            </w:pPr>
            <w:r>
              <w:rPr>
                <w:rFonts w:hint="eastAsia" w:ascii="宋体" w:hAnsi="宋体" w:cs="宋体"/>
                <w:b/>
                <w:bCs/>
                <w:szCs w:val="21"/>
                <w:highlight w:val="none"/>
              </w:rPr>
              <w:t xml:space="preserve">落实政府采购政策需满足的资格要求</w:t>
            </w:r>
            <w:r/>
          </w:p>
        </w:tc>
      </w:tr>
      <w:tr>
        <w:trPr>
          <w:trHeight w:val="400"/>
        </w:trPr>
        <w:tc>
          <w:tcPr>
            <w:tcW w:w="646" w:type="dxa"/>
            <w:vAlign w:val="center"/>
            <w:textDirection w:val="lrTb"/>
            <w:noWrap w:val="false"/>
          </w:tcPr>
          <w:p>
            <w:pPr>
              <w:jc w:val="center"/>
              <w:spacing w:line="240" w:lineRule="auto"/>
              <w:rPr>
                <w:rFonts w:hint="eastAsia" w:ascii="宋体" w:hAnsi="宋体" w:eastAsia="宋体"/>
                <w:szCs w:val="21"/>
                <w:highlight w:val="none"/>
                <w:lang w:eastAsia="zh-CN"/>
              </w:rPr>
            </w:pPr>
            <w:r>
              <w:rPr>
                <w:rFonts w:hint="eastAsia" w:ascii="宋体" w:hAnsi="宋体" w:eastAsia="宋体"/>
                <w:szCs w:val="21"/>
                <w:highlight w:val="none"/>
                <w:lang w:eastAsia="zh-CN"/>
              </w:rPr>
            </w:r>
            <w:r/>
          </w:p>
        </w:tc>
        <w:tc>
          <w:tcPr>
            <w:tcW w:w="6574" w:type="dxa"/>
            <w:vAlign w:val="center"/>
            <w:textDirection w:val="lrTb"/>
            <w:noWrap w:val="false"/>
          </w:tcPr>
          <w:p>
            <w:pPr>
              <w:spacing w:line="240" w:lineRule="auto"/>
              <w:rPr>
                <w:highlight w:val="none"/>
              </w:rPr>
            </w:pPr>
            <w:r>
              <w:rPr>
                <w:highlight w:val="none"/>
              </w:rPr>
            </w:r>
            <w:r/>
          </w:p>
        </w:tc>
        <w:tc>
          <w:tcPr>
            <w:tcW w:w="2158" w:type="dxa"/>
            <w:vAlign w:val="center"/>
            <w:textDirection w:val="lrTb"/>
            <w:noWrap w:val="false"/>
          </w:tcPr>
          <w:p>
            <w:pPr>
              <w:spacing w:line="240" w:lineRule="auto"/>
              <w:rPr>
                <w:rFonts w:ascii="宋体" w:hAnsi="宋体"/>
                <w:szCs w:val="21"/>
                <w:highlight w:val="none"/>
              </w:rPr>
            </w:pPr>
            <w:r>
              <w:rPr>
                <w:rFonts w:ascii="宋体" w:hAnsi="宋体"/>
                <w:szCs w:val="21"/>
                <w:highlight w:val="none"/>
              </w:rPr>
            </w:r>
            <w:r/>
          </w:p>
        </w:tc>
      </w:tr>
      <w:tr>
        <w:trPr>
          <w:trHeight w:val="400"/>
        </w:trPr>
        <w:tc>
          <w:tcPr>
            <w:tcW w:w="646" w:type="dxa"/>
            <w:vAlign w:val="center"/>
            <w:textDirection w:val="lrTb"/>
            <w:noWrap w:val="false"/>
          </w:tcPr>
          <w:p>
            <w:pPr>
              <w:jc w:val="center"/>
              <w:spacing w:line="240" w:lineRule="auto"/>
              <w:rPr>
                <w:rFonts w:hint="eastAsia" w:ascii="宋体" w:hAnsi="宋体" w:eastAsia="宋体"/>
                <w:szCs w:val="21"/>
                <w:highlight w:val="none"/>
                <w:lang w:eastAsia="zh-CN"/>
              </w:rPr>
            </w:pPr>
            <w:r>
              <w:rPr>
                <w:rFonts w:hint="eastAsia" w:ascii="宋体" w:hAnsi="宋体" w:eastAsia="宋体"/>
                <w:szCs w:val="21"/>
                <w:highlight w:val="none"/>
                <w:lang w:eastAsia="zh-CN"/>
              </w:rPr>
            </w:r>
            <w:r/>
          </w:p>
        </w:tc>
        <w:tc>
          <w:tcPr>
            <w:tcW w:w="6574" w:type="dxa"/>
            <w:vAlign w:val="center"/>
            <w:textDirection w:val="lrTb"/>
            <w:noWrap w:val="false"/>
          </w:tcPr>
          <w:p>
            <w:pPr>
              <w:spacing w:line="240" w:lineRule="auto"/>
              <w:rPr>
                <w:rFonts w:ascii="宋体" w:hAnsi="宋体" w:cs="宋体"/>
                <w:szCs w:val="21"/>
                <w:highlight w:val="none"/>
              </w:rPr>
            </w:pPr>
            <w:r>
              <w:rPr>
                <w:rFonts w:ascii="宋体" w:hAnsi="宋体" w:cs="宋体"/>
                <w:szCs w:val="21"/>
                <w:highlight w:val="none"/>
              </w:rPr>
            </w:r>
            <w:r/>
          </w:p>
        </w:tc>
        <w:tc>
          <w:tcPr>
            <w:tcW w:w="2158" w:type="dxa"/>
            <w:vAlign w:val="center"/>
            <w:textDirection w:val="lrTb"/>
            <w:noWrap w:val="false"/>
          </w:tcPr>
          <w:p>
            <w:pPr>
              <w:spacing w:line="240" w:lineRule="auto"/>
              <w:rPr>
                <w:rFonts w:ascii="宋体" w:hAnsi="宋体"/>
                <w:szCs w:val="21"/>
                <w:highlight w:val="none"/>
              </w:rPr>
            </w:pPr>
            <w:r>
              <w:rPr>
                <w:rFonts w:ascii="宋体" w:hAnsi="宋体"/>
                <w:szCs w:val="21"/>
                <w:highlight w:val="none"/>
              </w:rPr>
            </w:r>
            <w:r/>
          </w:p>
        </w:tc>
      </w:tr>
      <w:tr>
        <w:trPr>
          <w:trHeight w:val="560"/>
        </w:trPr>
        <w:tc>
          <w:tcPr>
            <w:gridSpan w:val="3"/>
            <w:tcW w:w="9378" w:type="dxa"/>
            <w:vAlign w:val="center"/>
            <w:textDirection w:val="lrTb"/>
            <w:noWrap w:val="false"/>
          </w:tcPr>
          <w:p>
            <w:pPr>
              <w:spacing w:line="240" w:lineRule="auto"/>
              <w:rPr>
                <w:rFonts w:ascii="宋体" w:hAnsi="宋体"/>
                <w:szCs w:val="21"/>
                <w:highlight w:val="none"/>
              </w:rPr>
            </w:pPr>
            <w:r>
              <w:rPr>
                <w:rFonts w:hint="eastAsia" w:ascii="宋体" w:hAnsi="宋体"/>
                <w:b/>
                <w:szCs w:val="21"/>
                <w:highlight w:val="none"/>
              </w:rPr>
              <w:t xml:space="preserve">特定资格条件</w:t>
            </w:r>
            <w:r/>
          </w:p>
        </w:tc>
      </w:tr>
      <w:tr>
        <w:trPr>
          <w:trHeight w:val="405"/>
        </w:trPr>
        <w:tc>
          <w:tcPr>
            <w:tcW w:w="646" w:type="dxa"/>
            <w:vAlign w:val="center"/>
            <w:textDirection w:val="lrTb"/>
            <w:noWrap w:val="false"/>
          </w:tcPr>
          <w:p>
            <w:pPr>
              <w:jc w:val="center"/>
              <w:spacing w:line="240" w:lineRule="auto"/>
              <w:rPr>
                <w:rFonts w:hint="eastAsia" w:ascii="宋体" w:hAnsi="宋体" w:eastAsia="宋体"/>
                <w:szCs w:val="21"/>
                <w:highlight w:val="none"/>
                <w:lang w:val="en-US" w:eastAsia="zh-CN"/>
              </w:rPr>
            </w:pPr>
            <w:r>
              <w:rPr>
                <w:rFonts w:hint="eastAsia" w:ascii="宋体" w:hAnsi="宋体" w:eastAsia="宋体"/>
                <w:szCs w:val="21"/>
                <w:highlight w:val="none"/>
                <w:lang w:val="en-US" w:eastAsia="zh-CN"/>
              </w:rPr>
            </w:r>
            <w:r/>
          </w:p>
        </w:tc>
        <w:tc>
          <w:tcPr>
            <w:tcW w:w="6574" w:type="dxa"/>
            <w:vAlign w:val="center"/>
            <w:textDirection w:val="lrTb"/>
            <w:noWrap w:val="false"/>
          </w:tcPr>
          <w:p>
            <w:pPr>
              <w:spacing w:line="240" w:lineRule="auto"/>
              <w:rPr>
                <w:rFonts w:ascii="宋体" w:hAnsi="宋体"/>
                <w:iCs/>
                <w:szCs w:val="21"/>
                <w:highlight w:val="none"/>
              </w:rPr>
              <w:pBdr>
                <w:top w:val="none" w:color="auto" w:sz="0" w:space="0"/>
                <w:left w:val="none" w:color="auto" w:sz="0" w:space="0"/>
                <w:bottom w:val="none" w:color="auto" w:sz="0" w:space="0"/>
                <w:right w:val="none" w:color="auto" w:sz="0" w:space="0"/>
              </w:pBdr>
            </w:pPr>
            <w:r>
              <w:rPr>
                <w:rFonts w:ascii="宋体" w:hAnsi="宋体"/>
                <w:iCs/>
                <w:szCs w:val="21"/>
                <w:highlight w:val="none"/>
              </w:rPr>
            </w:r>
            <w:r/>
          </w:p>
        </w:tc>
        <w:tc>
          <w:tcPr>
            <w:tcW w:w="2158" w:type="dxa"/>
            <w:vAlign w:val="center"/>
            <w:textDirection w:val="lrTb"/>
            <w:noWrap w:val="false"/>
          </w:tcPr>
          <w:p>
            <w:pPr>
              <w:spacing w:line="240" w:lineRule="auto"/>
              <w:rPr>
                <w:rFonts w:ascii="宋体" w:hAnsi="宋体"/>
                <w:szCs w:val="21"/>
                <w:highlight w:val="none"/>
              </w:rPr>
            </w:pPr>
            <w:r>
              <w:rPr>
                <w:rFonts w:ascii="宋体" w:hAnsi="宋体"/>
                <w:szCs w:val="21"/>
                <w:highlight w:val="none"/>
              </w:rPr>
            </w:r>
            <w:r/>
          </w:p>
        </w:tc>
      </w:tr>
      <w:tr>
        <w:trPr>
          <w:trHeight w:val="389"/>
        </w:trPr>
        <w:tc>
          <w:tcPr>
            <w:tcW w:w="646" w:type="dxa"/>
            <w:vAlign w:val="center"/>
            <w:textDirection w:val="lrTb"/>
            <w:noWrap w:val="false"/>
          </w:tcPr>
          <w:p>
            <w:pPr>
              <w:jc w:val="center"/>
              <w:spacing w:line="240" w:lineRule="auto"/>
              <w:rPr>
                <w:rFonts w:hint="default" w:ascii="宋体" w:hAnsi="宋体" w:eastAsia="宋体"/>
                <w:szCs w:val="21"/>
                <w:highlight w:val="none"/>
                <w:lang w:val="en-US" w:eastAsia="zh-CN"/>
              </w:rPr>
            </w:pPr>
            <w:r>
              <w:rPr>
                <w:rFonts w:hint="default" w:ascii="宋体" w:hAnsi="宋体" w:eastAsia="宋体"/>
                <w:szCs w:val="21"/>
                <w:highlight w:val="none"/>
                <w:lang w:val="en-US" w:eastAsia="zh-CN"/>
              </w:rPr>
            </w:r>
            <w:r/>
          </w:p>
        </w:tc>
        <w:tc>
          <w:tcPr>
            <w:tcW w:w="6574" w:type="dxa"/>
            <w:vAlign w:val="center"/>
            <w:textDirection w:val="lrTb"/>
            <w:noWrap w:val="false"/>
          </w:tcPr>
          <w:p>
            <w:pPr>
              <w:spacing w:line="240" w:lineRule="auto"/>
              <w:rPr>
                <w:rFonts w:ascii="宋体" w:hAnsi="宋体"/>
                <w:iCs/>
                <w:szCs w:val="21"/>
                <w:highlight w:val="none"/>
              </w:rPr>
              <w:pBdr>
                <w:top w:val="none" w:color="auto" w:sz="0" w:space="0"/>
                <w:left w:val="none" w:color="auto" w:sz="0" w:space="0"/>
                <w:bottom w:val="none" w:color="auto" w:sz="0" w:space="0"/>
                <w:right w:val="none" w:color="auto" w:sz="0" w:space="0"/>
              </w:pBdr>
            </w:pPr>
            <w:r>
              <w:rPr>
                <w:rFonts w:ascii="宋体" w:hAnsi="宋体"/>
                <w:iCs/>
                <w:szCs w:val="21"/>
                <w:highlight w:val="none"/>
              </w:rPr>
            </w:r>
            <w:r/>
          </w:p>
        </w:tc>
        <w:tc>
          <w:tcPr>
            <w:tcW w:w="2158" w:type="dxa"/>
            <w:vAlign w:val="center"/>
            <w:textDirection w:val="lrTb"/>
            <w:noWrap w:val="false"/>
          </w:tcPr>
          <w:p>
            <w:pPr>
              <w:spacing w:line="240" w:lineRule="auto"/>
              <w:rPr>
                <w:rFonts w:ascii="宋体" w:hAnsi="宋体"/>
                <w:szCs w:val="21"/>
                <w:highlight w:val="none"/>
              </w:rPr>
            </w:pPr>
            <w:r>
              <w:rPr>
                <w:rFonts w:ascii="宋体" w:hAnsi="宋体"/>
                <w:szCs w:val="21"/>
                <w:highlight w:val="none"/>
              </w:rPr>
            </w:r>
            <w:r/>
          </w:p>
        </w:tc>
      </w:tr>
      <w:tr>
        <w:trPr>
          <w:trHeight w:val="389"/>
        </w:trPr>
        <w:tc>
          <w:tcPr>
            <w:tcW w:w="646" w:type="dxa"/>
            <w:vAlign w:val="center"/>
            <w:textDirection w:val="lrTb"/>
            <w:noWrap w:val="false"/>
          </w:tcPr>
          <w:p>
            <w:pPr>
              <w:jc w:val="center"/>
              <w:spacing w:line="240" w:lineRule="auto"/>
              <w:rPr>
                <w:rFonts w:hint="default" w:ascii="宋体" w:hAnsi="宋体" w:eastAsia="宋体"/>
                <w:szCs w:val="21"/>
                <w:highlight w:val="none"/>
                <w:lang w:val="en-US" w:eastAsia="zh-CN"/>
              </w:rPr>
            </w:pPr>
            <w:r>
              <w:rPr>
                <w:rFonts w:hint="default" w:ascii="宋体" w:hAnsi="宋体" w:eastAsia="宋体"/>
                <w:szCs w:val="21"/>
                <w:highlight w:val="none"/>
                <w:lang w:val="en-US" w:eastAsia="zh-CN"/>
              </w:rPr>
            </w:r>
            <w:r/>
          </w:p>
        </w:tc>
        <w:tc>
          <w:tcPr>
            <w:tcW w:w="6574" w:type="dxa"/>
            <w:vAlign w:val="center"/>
            <w:textDirection w:val="lrTb"/>
            <w:noWrap w:val="false"/>
          </w:tcPr>
          <w:p>
            <w:pPr>
              <w:spacing w:line="240" w:lineRule="auto"/>
              <w:rPr>
                <w:rFonts w:ascii="宋体" w:hAnsi="宋体"/>
                <w:iCs/>
                <w:szCs w:val="21"/>
                <w:highlight w:val="none"/>
              </w:rPr>
              <w:pBdr>
                <w:top w:val="none" w:color="auto" w:sz="0" w:space="0"/>
                <w:left w:val="none" w:color="auto" w:sz="0" w:space="0"/>
                <w:bottom w:val="none" w:color="auto" w:sz="0" w:space="0"/>
                <w:right w:val="none" w:color="auto" w:sz="0" w:space="0"/>
              </w:pBdr>
            </w:pPr>
            <w:r>
              <w:rPr>
                <w:rFonts w:ascii="宋体" w:hAnsi="宋体"/>
                <w:iCs/>
                <w:szCs w:val="21"/>
                <w:highlight w:val="none"/>
              </w:rPr>
            </w:r>
            <w:r/>
          </w:p>
        </w:tc>
        <w:tc>
          <w:tcPr>
            <w:tcW w:w="2158" w:type="dxa"/>
            <w:vAlign w:val="center"/>
            <w:textDirection w:val="lrTb"/>
            <w:noWrap w:val="false"/>
          </w:tcPr>
          <w:p>
            <w:pPr>
              <w:spacing w:line="240" w:lineRule="auto"/>
              <w:rPr>
                <w:rFonts w:ascii="宋体" w:hAnsi="宋体"/>
                <w:szCs w:val="21"/>
                <w:highlight w:val="none"/>
              </w:rPr>
            </w:pPr>
            <w:r>
              <w:rPr>
                <w:rFonts w:ascii="宋体" w:hAnsi="宋体"/>
                <w:szCs w:val="21"/>
                <w:highlight w:val="none"/>
              </w:rPr>
            </w:r>
            <w:r/>
          </w:p>
        </w:tc>
      </w:tr>
    </w:tbl>
    <w:p>
      <w:pPr>
        <w:jc w:val="center"/>
        <w:rPr>
          <w:rFonts w:hint="eastAsia" w:ascii="宋体" w:hAnsi="宋体"/>
          <w:b/>
          <w:bCs/>
          <w:color w:val="auto"/>
          <w:highlight w:val="none"/>
        </w:rPr>
      </w:pPr>
      <w:r>
        <w:rPr>
          <w:rFonts w:hint="eastAsia" w:ascii="宋体" w:hAnsi="宋体"/>
          <w:b/>
          <w:bCs/>
          <w:highlight w:val="none"/>
        </w:rPr>
        <w:br w:type="page" w:clear="all"/>
      </w:r>
      <w:r>
        <w:rPr>
          <w:rFonts w:hint="eastAsia" w:ascii="宋体" w:hAnsi="宋体"/>
          <w:b/>
          <w:bCs/>
          <w:color w:val="auto"/>
          <w:highlight w:val="none"/>
        </w:rPr>
        <w:t xml:space="preserve">1、营业执照副本、经营许可证副本（复印件）</w:t>
      </w:r>
      <w:r/>
    </w:p>
    <w:p>
      <w:pPr>
        <w:jc w:val="center"/>
        <w:rPr>
          <w:rFonts w:hint="eastAsia" w:ascii="宋体" w:hAnsi="宋体"/>
          <w:b/>
          <w:bCs/>
          <w:color w:val="auto"/>
          <w:highlight w:val="none"/>
          <w:lang w:eastAsia="zh-CN"/>
        </w:rPr>
      </w:pPr>
      <w:r>
        <w:rPr>
          <w:rFonts w:hint="eastAsia" w:ascii="宋体" w:hAnsi="宋体"/>
          <w:b/>
          <w:bCs/>
          <w:color w:val="auto"/>
          <w:highlight w:val="none"/>
        </w:rPr>
        <w:br w:type="page" w:clear="all"/>
      </w:r>
      <w:r>
        <w:rPr>
          <w:rFonts w:hint="eastAsia" w:ascii="宋体" w:hAnsi="宋体"/>
          <w:b/>
          <w:bCs/>
          <w:color w:val="auto"/>
          <w:highlight w:val="none"/>
        </w:rPr>
        <w:t xml:space="preserve">2、具有良好的商业信誉和健全的财务会计制度（提供开标时间前12个月内任意1个月的财务状况报告(至少包括资产负债表和利润表)（法人或者其他组织成立未满3个月的可以不提供）、或开标时间前12个月内银行出具的资信证书复印件、或其2024年度或2025年度经审计的财务报告(至少同时包括资产负债表、利润表、现金流量表)复印件）。</w:t>
      </w:r>
      <w:r/>
    </w:p>
    <w:p>
      <w:pPr>
        <w:jc w:val="center"/>
        <w:rPr>
          <w:rFonts w:hint="eastAsia" w:ascii="宋体" w:hAnsi="宋体"/>
          <w:b/>
          <w:bCs/>
          <w:color w:val="auto"/>
          <w:highlight w:val="none"/>
        </w:rPr>
      </w:pPr>
      <w:r>
        <w:rPr>
          <w:rFonts w:hint="eastAsia" w:ascii="宋体" w:hAnsi="宋体"/>
          <w:b/>
          <w:bCs/>
          <w:color w:val="auto"/>
          <w:highlight w:val="none"/>
        </w:rPr>
      </w:r>
      <w:r/>
    </w:p>
    <w:p>
      <w:pPr>
        <w:numPr>
          <w:ilvl w:val="0"/>
          <w:numId w:val="2"/>
        </w:numPr>
        <w:jc w:val="center"/>
        <w:rPr>
          <w:rFonts w:hint="eastAsia" w:ascii="宋体" w:hAnsi="宋体"/>
          <w:b/>
          <w:bCs/>
          <w:color w:val="auto"/>
          <w:highlight w:val="none"/>
        </w:rPr>
      </w:pPr>
      <w:r>
        <w:rPr>
          <w:rFonts w:hint="eastAsia" w:ascii="宋体" w:hAnsi="宋体"/>
          <w:b/>
          <w:bCs/>
          <w:color w:val="auto"/>
          <w:highlight w:val="none"/>
        </w:rPr>
        <w:br w:type="page" w:clear="all"/>
      </w:r>
      <w:r>
        <w:rPr>
          <w:rFonts w:hint="eastAsia" w:ascii="宋体" w:hAnsi="宋体"/>
          <w:b/>
          <w:bCs/>
          <w:color w:val="auto"/>
          <w:highlight w:val="none"/>
        </w:rPr>
        <w:t xml:space="preserve">具有履行合同所必需的设备和专业技术能力（根据项目需求提供履行合同所必需的设备和专业技术能力的证明材料复印件或声明函）。</w:t>
      </w:r>
      <w:r/>
    </w:p>
    <w:p>
      <w:pPr>
        <w:numPr>
          <w:ilvl w:val="0"/>
          <w:numId w:val="0"/>
        </w:numPr>
        <w:jc w:val="both"/>
        <w:rPr>
          <w:rFonts w:hint="eastAsia" w:ascii="宋体" w:hAnsi="宋体"/>
          <w:b/>
          <w:bCs/>
          <w:color w:val="auto"/>
          <w:highlight w:val="none"/>
        </w:rPr>
      </w:pPr>
      <w:r>
        <w:rPr>
          <w:rFonts w:hint="eastAsia" w:ascii="宋体" w:hAnsi="宋体"/>
          <w:b/>
          <w:bCs/>
          <w:color w:val="auto"/>
          <w:highlight w:val="none"/>
        </w:rPr>
      </w:r>
      <w:r/>
    </w:p>
    <w:p>
      <w:pPr>
        <w:jc w:val="center"/>
        <w:rPr>
          <w:rFonts w:hint="eastAsia" w:ascii="宋体" w:hAnsi="宋体"/>
          <w:b/>
          <w:bCs/>
          <w:color w:val="auto"/>
          <w:highlight w:val="none"/>
        </w:rPr>
      </w:pPr>
      <w:r>
        <w:rPr>
          <w:rFonts w:hint="eastAsia" w:ascii="宋体" w:hAnsi="宋体"/>
          <w:b/>
          <w:bCs/>
          <w:color w:val="auto"/>
          <w:highlight w:val="none"/>
        </w:rPr>
        <w:t xml:space="preserve">具备履行合同所必需的设备和专业技术能力的书面声明</w:t>
      </w:r>
      <w:r/>
    </w:p>
    <w:p>
      <w:pPr>
        <w:ind w:firstLine="492"/>
        <w:spacing w:line="360" w:lineRule="auto"/>
        <w:rPr>
          <w:rFonts w:ascii="宋体" w:hAnsi="宋体"/>
          <w:bCs/>
          <w:color w:val="auto"/>
          <w:szCs w:val="21"/>
          <w:highlight w:val="none"/>
        </w:rPr>
      </w:pPr>
      <w:r>
        <w:rPr>
          <w:rFonts w:hint="eastAsia" w:ascii="宋体" w:hAnsi="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bCs/>
          <w:color w:val="auto"/>
          <w:szCs w:val="21"/>
          <w:highlight w:val="none"/>
        </w:rPr>
      </w:pPr>
      <w:r>
        <w:rPr>
          <w:rFonts w:hint="eastAsia" w:ascii="宋体" w:hAnsi="宋体"/>
          <w:bCs/>
          <w:color w:val="auto"/>
          <w:szCs w:val="21"/>
          <w:highlight w:val="none"/>
        </w:rPr>
        <w:t xml:space="preserve">主要设备有：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ind w:firstLine="492"/>
        <w:spacing w:line="360" w:lineRule="auto"/>
        <w:rPr>
          <w:rFonts w:ascii="宋体" w:hAnsi="宋体"/>
          <w:bCs/>
          <w:color w:val="auto"/>
          <w:szCs w:val="21"/>
          <w:highlight w:val="none"/>
        </w:rPr>
      </w:pPr>
      <w:r>
        <w:rPr>
          <w:rFonts w:hint="eastAsia" w:ascii="宋体" w:hAnsi="宋体"/>
          <w:bCs/>
          <w:color w:val="auto"/>
          <w:szCs w:val="21"/>
          <w:highlight w:val="none"/>
        </w:rPr>
        <w:t xml:space="preserve">主要专业技术能力有：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jc w:val="center"/>
        <w:rPr>
          <w:rFonts w:hint="eastAsia" w:ascii="宋体" w:hAnsi="宋体"/>
          <w:b/>
          <w:bCs/>
          <w:color w:val="auto"/>
          <w:highlight w:val="none"/>
        </w:rPr>
      </w:pPr>
      <w:r>
        <w:rPr>
          <w:rFonts w:hint="eastAsia" w:ascii="宋体" w:hAnsi="宋体"/>
          <w:b/>
          <w:bCs/>
          <w:color w:val="auto"/>
          <w:highlight w:val="none"/>
        </w:rPr>
        <w:br w:type="page" w:clear="all"/>
      </w:r>
      <w:r>
        <w:rPr>
          <w:rFonts w:hint="eastAsia" w:ascii="宋体" w:hAnsi="宋体"/>
          <w:b/>
          <w:bCs/>
          <w:color w:val="auto"/>
          <w:highlight w:val="none"/>
        </w:rPr>
        <w:t xml:space="preserve">4、有依法缴纳税收和社会保障资金的良好记录（提供开标时间前6个月内任意1个月依法缴纳税收和社会保障资金的相关材料复印件，依法享受免缴、缓缴的提供证明材料复印件）。</w:t>
      </w:r>
      <w:r/>
    </w:p>
    <w:p>
      <w:pPr>
        <w:rPr>
          <w:rFonts w:ascii="宋体" w:hAnsi="宋体"/>
          <w:b/>
          <w:bCs/>
          <w:color w:val="auto"/>
          <w:highlight w:val="none"/>
        </w:rPr>
      </w:pPr>
      <w:r>
        <w:rPr>
          <w:rFonts w:hint="eastAsia" w:ascii="宋体" w:hAnsi="宋体"/>
          <w:b/>
          <w:bCs/>
          <w:color w:val="auto"/>
          <w:highlight w:val="none"/>
        </w:rPr>
        <w:br w:type="page" w:clear="all"/>
      </w:r>
      <w:r/>
    </w:p>
    <w:p>
      <w:pPr>
        <w:ind w:firstLine="492"/>
        <w:spacing w:line="360" w:lineRule="auto"/>
        <w:rPr>
          <w:rFonts w:ascii="宋体" w:hAnsi="宋体"/>
          <w:bCs/>
          <w:color w:val="auto"/>
          <w:szCs w:val="21"/>
          <w:highlight w:val="none"/>
        </w:rPr>
      </w:pPr>
      <w:r>
        <w:rPr>
          <w:rFonts w:hint="eastAsia" w:ascii="宋体" w:hAnsi="宋体"/>
          <w:b/>
          <w:bCs/>
          <w:color w:val="auto"/>
          <w:highlight w:val="none"/>
        </w:rPr>
        <w:t xml:space="preserve">5、参加政府采购活动前3年内，在经营活动中没有重大违法记录（提供声明函原件（重大违法记录是指供应商因违法经营受到刑事处罚或责令停产停业、吊销许可证或者执照、较大数额罚款等行政处罚））。</w:t>
      </w:r>
      <w:r/>
    </w:p>
    <w:p>
      <w:pPr>
        <w:jc w:val="center"/>
        <w:spacing w:after="312" w:line="360" w:lineRule="auto"/>
        <w:rPr>
          <w:rFonts w:ascii="宋体" w:hAnsi="宋体"/>
          <w:b/>
          <w:bCs/>
          <w:color w:val="auto"/>
          <w:highlight w:val="none"/>
        </w:rPr>
      </w:pPr>
      <w:r>
        <w:rPr>
          <w:rFonts w:hint="eastAsia" w:ascii="宋体" w:hAnsi="宋体"/>
          <w:b/>
          <w:bCs/>
          <w:color w:val="auto"/>
          <w:highlight w:val="none"/>
        </w:rPr>
        <w:t xml:space="preserve">声  明</w:t>
      </w:r>
      <w:r/>
    </w:p>
    <w:p>
      <w:pPr>
        <w:spacing w:line="360" w:lineRule="auto"/>
        <w:rPr>
          <w:rFonts w:ascii="宋体" w:hAnsi="宋体"/>
          <w:bCs/>
          <w:color w:val="auto"/>
          <w:highlight w:val="none"/>
        </w:rPr>
      </w:pPr>
      <w:r>
        <w:rPr>
          <w:rFonts w:hint="eastAsia" w:ascii="宋体" w:hAnsi="宋体"/>
          <w:b/>
          <w:bCs/>
          <w:color w:val="auto"/>
          <w:highlight w:val="none"/>
        </w:rPr>
        <w:t xml:space="preserve">    </w:t>
      </w:r>
      <w:r>
        <w:rPr>
          <w:rFonts w:hint="eastAsia" w:ascii="宋体" w:hAnsi="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color w:val="auto"/>
          <w:highlight w:val="none"/>
        </w:rPr>
      </w:pPr>
      <w:r>
        <w:rPr>
          <w:rFonts w:hint="eastAsia" w:ascii="宋体" w:hAnsi="宋体"/>
          <w:bCs/>
          <w:color w:val="auto"/>
          <w:highlight w:val="none"/>
        </w:rPr>
        <w:t xml:space="preserve">                               投标人名称（公章）：</w:t>
      </w:r>
      <w:r/>
    </w:p>
    <w:p>
      <w:pPr>
        <w:spacing w:line="360" w:lineRule="auto"/>
        <w:rPr>
          <w:rFonts w:ascii="宋体" w:hAnsi="宋体"/>
          <w:bCs/>
          <w:color w:val="auto"/>
          <w:highlight w:val="none"/>
        </w:rPr>
      </w:pPr>
      <w:r>
        <w:rPr>
          <w:rFonts w:hint="eastAsia" w:ascii="宋体" w:hAnsi="宋体"/>
          <w:bCs/>
          <w:color w:val="auto"/>
          <w:highlight w:val="none"/>
        </w:rPr>
        <w:t xml:space="preserve">                               法定代表人签章：</w:t>
      </w:r>
      <w:r>
        <w:rPr>
          <w:rFonts w:hint="eastAsia" w:ascii="宋体" w:hAnsi="宋体"/>
          <w:bCs/>
          <w:color w:val="auto"/>
          <w:highlight w:val="none"/>
          <w:u w:val="single"/>
        </w:rPr>
        <w:t xml:space="preserve">_______________________</w:t>
      </w:r>
      <w:r/>
    </w:p>
    <w:p>
      <w:pPr>
        <w:spacing w:line="360" w:lineRule="auto"/>
        <w:rPr>
          <w:rFonts w:ascii="宋体" w:hAnsi="宋体"/>
          <w:bCs/>
          <w:color w:val="auto"/>
          <w:highlight w:val="none"/>
        </w:rPr>
      </w:pPr>
      <w:r>
        <w:rPr>
          <w:rFonts w:hint="eastAsia" w:ascii="宋体" w:hAnsi="宋体"/>
          <w:bCs/>
          <w:color w:val="auto"/>
          <w:highlight w:val="none"/>
        </w:rPr>
        <w:t xml:space="preserve">                               日期：</w:t>
      </w:r>
      <w:r>
        <w:rPr>
          <w:rFonts w:hint="eastAsia" w:ascii="宋体" w:hAnsi="宋体"/>
          <w:bCs/>
          <w:color w:val="auto"/>
          <w:highlight w:val="none"/>
          <w:u w:val="single"/>
          <w:lang w:val="en-US" w:eastAsia="zh-CN"/>
        </w:rPr>
        <w:t xml:space="preserve">        </w:t>
      </w:r>
      <w:r>
        <w:rPr>
          <w:rFonts w:hint="eastAsia" w:ascii="宋体" w:hAnsi="宋体"/>
          <w:bCs/>
          <w:color w:val="auto"/>
          <w:highlight w:val="none"/>
        </w:rPr>
        <w:t xml:space="preserve">年</w:t>
      </w:r>
      <w:r>
        <w:rPr>
          <w:rFonts w:hint="eastAsia" w:ascii="宋体" w:hAnsi="宋体"/>
          <w:bCs/>
          <w:color w:val="auto"/>
          <w:highlight w:val="none"/>
          <w:u w:val="single"/>
        </w:rPr>
        <w:t xml:space="preserve">    </w:t>
      </w:r>
      <w:r>
        <w:rPr>
          <w:rFonts w:hint="eastAsia" w:ascii="宋体" w:hAnsi="宋体"/>
          <w:bCs/>
          <w:color w:val="auto"/>
          <w:highlight w:val="none"/>
        </w:rPr>
        <w:t xml:space="preserve">月</w:t>
      </w:r>
      <w:r>
        <w:rPr>
          <w:rFonts w:hint="eastAsia" w:ascii="宋体" w:hAnsi="宋体"/>
          <w:bCs/>
          <w:color w:val="auto"/>
          <w:highlight w:val="none"/>
          <w:u w:val="single"/>
        </w:rPr>
        <w:t xml:space="preserve">    </w:t>
      </w:r>
      <w:r>
        <w:rPr>
          <w:rFonts w:hint="eastAsia" w:ascii="宋体" w:hAnsi="宋体"/>
          <w:bCs/>
          <w:color w:val="auto"/>
          <w:highlight w:val="none"/>
        </w:rPr>
        <w:t xml:space="preserve">日</w:t>
      </w:r>
      <w:r/>
    </w:p>
    <w:p>
      <w:pPr>
        <w:numPr>
          <w:ilvl w:val="0"/>
          <w:numId w:val="0"/>
        </w:numPr>
        <w:ind w:left="0" w:firstLine="0"/>
        <w:spacing w:line="360" w:lineRule="auto"/>
        <w:rPr>
          <w:rFonts w:hint="eastAsia" w:ascii="宋体" w:hAnsi="宋体"/>
          <w:b/>
          <w:bCs/>
          <w:highlight w:val="none"/>
        </w:rPr>
      </w:pPr>
      <w:r>
        <w:rPr>
          <w:rFonts w:hint="eastAsia" w:ascii="宋体" w:hAnsi="宋体"/>
          <w:b/>
          <w:bCs/>
          <w:highlight w:val="none"/>
        </w:rPr>
      </w:r>
      <w:r/>
    </w:p>
    <w:p>
      <w:pPr>
        <w:contextualSpacing/>
        <w:spacing w:line="360" w:lineRule="auto"/>
        <w:rPr>
          <w:rFonts w:ascii="宋体" w:hAnsi="宋体"/>
          <w:b/>
          <w:sz w:val="36"/>
          <w:highlight w:val="none"/>
        </w:rPr>
      </w:pPr>
      <w:r>
        <w:rPr>
          <w:rFonts w:ascii="宋体" w:hAnsi="宋体"/>
          <w:b/>
          <w:sz w:val="36"/>
          <w:highlight w:val="none"/>
        </w:rPr>
      </w:r>
      <w:r/>
    </w:p>
    <w:p>
      <w:pPr>
        <w:contextualSpacing/>
        <w:spacing w:line="360" w:lineRule="auto"/>
        <w:rPr>
          <w:rFonts w:ascii="宋体" w:hAnsi="宋体"/>
          <w:b/>
          <w:sz w:val="36"/>
          <w:highlight w:val="none"/>
        </w:rPr>
      </w:pPr>
      <w:r>
        <w:rPr>
          <w:rFonts w:ascii="宋体" w:hAnsi="宋体"/>
          <w:b/>
          <w:sz w:val="36"/>
          <w:highlight w:val="none"/>
        </w:rPr>
      </w:r>
      <w:r/>
    </w:p>
    <w:p>
      <w:pPr>
        <w:contextualSpacing/>
        <w:spacing w:line="360" w:lineRule="auto"/>
        <w:rPr>
          <w:rFonts w:ascii="宋体" w:hAnsi="宋体"/>
          <w:b/>
          <w:sz w:val="36"/>
          <w:highlight w:val="none"/>
        </w:rPr>
      </w:pPr>
      <w:r>
        <w:rPr>
          <w:rFonts w:ascii="宋体" w:hAnsi="宋体"/>
          <w:b/>
          <w:sz w:val="36"/>
          <w:highlight w:val="none"/>
        </w:rPr>
      </w:r>
      <w:r/>
    </w:p>
    <w:p>
      <w:pPr>
        <w:contextualSpacing/>
        <w:spacing w:line="360" w:lineRule="auto"/>
        <w:rPr>
          <w:rFonts w:ascii="宋体" w:hAnsi="宋体"/>
          <w:b/>
          <w:sz w:val="36"/>
          <w:highlight w:val="none"/>
        </w:rPr>
      </w:pPr>
      <w:r>
        <w:rPr>
          <w:rFonts w:ascii="宋体" w:hAnsi="宋体"/>
          <w:b/>
          <w:sz w:val="36"/>
          <w:highlight w:val="none"/>
        </w:rPr>
      </w:r>
      <w:r/>
    </w:p>
    <w:p>
      <w:pPr>
        <w:contextualSpacing/>
        <w:spacing w:line="360" w:lineRule="auto"/>
        <w:rPr>
          <w:rFonts w:ascii="宋体" w:hAnsi="宋体"/>
          <w:b/>
          <w:sz w:val="36"/>
          <w:highlight w:val="none"/>
        </w:rPr>
      </w:pPr>
      <w:r>
        <w:rPr>
          <w:rFonts w:ascii="宋体" w:hAnsi="宋体"/>
          <w:b/>
          <w:sz w:val="36"/>
          <w:highlight w:val="none"/>
        </w:rPr>
      </w:r>
      <w:r/>
    </w:p>
    <w:p>
      <w:pPr>
        <w:contextualSpacing/>
        <w:spacing w:line="360" w:lineRule="auto"/>
        <w:rPr>
          <w:rFonts w:ascii="宋体" w:hAnsi="宋体"/>
          <w:b/>
          <w:sz w:val="36"/>
          <w:highlight w:val="none"/>
        </w:rPr>
      </w:pPr>
      <w:r>
        <w:rPr>
          <w:rFonts w:ascii="宋体" w:hAnsi="宋体"/>
          <w:b/>
          <w:sz w:val="36"/>
          <w:highlight w:val="none"/>
        </w:rPr>
      </w:r>
      <w:r/>
    </w:p>
    <w:p>
      <w:pPr>
        <w:contextualSpacing/>
        <w:spacing w:line="360" w:lineRule="auto"/>
        <w:rPr>
          <w:rFonts w:ascii="宋体" w:hAnsi="宋体"/>
          <w:b/>
          <w:sz w:val="36"/>
          <w:highlight w:val="none"/>
        </w:rPr>
      </w:pPr>
      <w:r>
        <w:rPr>
          <w:rFonts w:ascii="宋体" w:hAnsi="宋体"/>
          <w:b/>
          <w:sz w:val="36"/>
          <w:highlight w:val="none"/>
        </w:rPr>
      </w:r>
      <w:r/>
    </w:p>
    <w:p>
      <w:pPr>
        <w:contextualSpacing/>
        <w:spacing w:line="360" w:lineRule="auto"/>
        <w:rPr>
          <w:rFonts w:ascii="宋体" w:hAnsi="宋体"/>
          <w:b/>
          <w:sz w:val="36"/>
          <w:highlight w:val="none"/>
        </w:rPr>
      </w:pPr>
      <w:r>
        <w:rPr>
          <w:rFonts w:ascii="宋体" w:hAnsi="宋体"/>
          <w:b/>
          <w:sz w:val="36"/>
          <w:highlight w:val="none"/>
        </w:rPr>
      </w:r>
      <w:r/>
    </w:p>
    <w:p>
      <w:pPr>
        <w:contextualSpacing/>
        <w:spacing w:line="360" w:lineRule="auto"/>
        <w:rPr>
          <w:rFonts w:ascii="宋体" w:hAnsi="宋体"/>
          <w:b/>
          <w:sz w:val="36"/>
          <w:highlight w:val="none"/>
        </w:rPr>
      </w:pPr>
      <w:r>
        <w:rPr>
          <w:rFonts w:ascii="宋体" w:hAnsi="宋体"/>
          <w:b/>
          <w:sz w:val="36"/>
          <w:highlight w:val="none"/>
        </w:rPr>
      </w:r>
      <w:r/>
    </w:p>
    <w:p>
      <w:pPr>
        <w:contextualSpacing/>
        <w:spacing w:line="360" w:lineRule="auto"/>
        <w:rPr>
          <w:rFonts w:ascii="宋体" w:hAnsi="宋体"/>
          <w:b/>
          <w:sz w:val="36"/>
          <w:highlight w:val="none"/>
        </w:rPr>
      </w:pPr>
      <w:r>
        <w:rPr>
          <w:rFonts w:ascii="宋体" w:hAnsi="宋体"/>
          <w:b/>
          <w:sz w:val="36"/>
          <w:highlight w:val="none"/>
        </w:rPr>
      </w:r>
      <w:r/>
    </w:p>
    <w:p>
      <w:pPr>
        <w:contextualSpacing/>
        <w:spacing w:line="360" w:lineRule="auto"/>
        <w:rPr>
          <w:rFonts w:ascii="宋体" w:hAnsi="宋体"/>
          <w:b/>
          <w:sz w:val="36"/>
          <w:highlight w:val="none"/>
        </w:rPr>
      </w:pPr>
      <w:r>
        <w:rPr>
          <w:rFonts w:ascii="宋体" w:hAnsi="宋体"/>
          <w:b/>
          <w:sz w:val="36"/>
          <w:highlight w:val="none"/>
        </w:rPr>
      </w:r>
      <w:r/>
    </w:p>
    <w:p>
      <w:pPr>
        <w:contextualSpacing/>
        <w:spacing w:line="360" w:lineRule="auto"/>
        <w:rPr>
          <w:rFonts w:ascii="宋体" w:hAnsi="宋体"/>
          <w:b/>
          <w:sz w:val="36"/>
          <w:highlight w:val="none"/>
        </w:rPr>
      </w:pPr>
      <w:r>
        <w:rPr>
          <w:rFonts w:ascii="宋体" w:hAnsi="宋体"/>
          <w:b/>
          <w:sz w:val="36"/>
          <w:highlight w:val="none"/>
        </w:rPr>
      </w:r>
      <w:r/>
    </w:p>
    <w:p>
      <w:pPr>
        <w:contextualSpacing/>
        <w:spacing w:line="360" w:lineRule="auto"/>
        <w:rPr>
          <w:rFonts w:ascii="宋体" w:hAnsi="宋体"/>
          <w:b/>
          <w:sz w:val="36"/>
          <w:highlight w:val="none"/>
        </w:rPr>
      </w:pPr>
      <w:r>
        <w:rPr>
          <w:rFonts w:ascii="宋体" w:hAnsi="宋体"/>
          <w:b/>
          <w:sz w:val="36"/>
          <w:highlight w:val="none"/>
        </w:rPr>
      </w:r>
      <w:r/>
    </w:p>
    <w:p>
      <w:pPr>
        <w:rPr>
          <w:rFonts w:hint="eastAsia" w:ascii="宋体" w:hAnsi="宋体"/>
          <w:b/>
          <w:szCs w:val="21"/>
          <w:highlight w:val="none"/>
        </w:rPr>
      </w:pPr>
      <w:r>
        <w:rPr>
          <w:rFonts w:hint="eastAsia" w:ascii="宋体" w:hAnsi="宋体"/>
          <w:b/>
          <w:szCs w:val="21"/>
          <w:highlight w:val="none"/>
        </w:rPr>
        <w:br w:type="page" w:clear="all"/>
      </w:r>
      <w:r/>
    </w:p>
    <w:p>
      <w:pPr>
        <w:jc w:val="center"/>
        <w:spacing w:line="360" w:lineRule="auto"/>
        <w:rPr>
          <w:rFonts w:ascii="宋体" w:hAnsi="宋体"/>
          <w:b/>
          <w:szCs w:val="21"/>
          <w:highlight w:val="none"/>
        </w:rPr>
      </w:pPr>
      <w:r>
        <w:rPr>
          <w:rFonts w:hint="eastAsia" w:ascii="宋体" w:hAnsi="宋体"/>
          <w:b/>
          <w:szCs w:val="21"/>
          <w:highlight w:val="none"/>
        </w:rPr>
        <w:t xml:space="preserve">投标人信用承诺书</w:t>
      </w:r>
      <w:r/>
    </w:p>
    <w:p>
      <w:pPr>
        <w:spacing w:line="360" w:lineRule="auto"/>
        <w:rPr>
          <w:rFonts w:ascii="方正仿宋_GBK"/>
          <w:szCs w:val="32"/>
          <w:highlight w:val="none"/>
        </w:rPr>
      </w:pPr>
      <w:r>
        <w:rPr>
          <w:rFonts w:ascii="方正仿宋_GBK"/>
          <w:szCs w:val="32"/>
          <w:highlight w:val="none"/>
        </w:rPr>
      </w:r>
      <w:r/>
    </w:p>
    <w:p>
      <w:pPr>
        <w:spacing w:line="360" w:lineRule="auto"/>
        <w:rPr>
          <w:rFonts w:ascii="宋体" w:hAnsi="宋体"/>
          <w:szCs w:val="21"/>
          <w:highlight w:val="none"/>
        </w:rPr>
      </w:pPr>
      <w:r>
        <w:rPr>
          <w:rFonts w:hint="eastAsia" w:ascii="宋体" w:hAnsi="宋体"/>
          <w:szCs w:val="21"/>
          <w:highlight w:val="none"/>
        </w:rPr>
        <w:t xml:space="preserve">承诺主体名称：</w:t>
      </w:r>
      <w:r/>
    </w:p>
    <w:p>
      <w:pPr>
        <w:spacing w:line="360" w:lineRule="auto"/>
        <w:rPr>
          <w:rFonts w:ascii="宋体" w:hAnsi="宋体"/>
          <w:szCs w:val="21"/>
          <w:highlight w:val="none"/>
        </w:rPr>
      </w:pPr>
      <w:r>
        <w:rPr>
          <w:rFonts w:hint="eastAsia" w:ascii="宋体" w:hAnsi="宋体"/>
          <w:szCs w:val="21"/>
          <w:highlight w:val="none"/>
        </w:rPr>
        <w:t xml:space="preserve">统一社会信用代码：</w:t>
      </w:r>
      <w:r/>
    </w:p>
    <w:p>
      <w:pPr>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hint="eastAsia" w:ascii="宋体" w:hAnsi="宋体"/>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szCs w:val="21"/>
          <w:highlight w:val="none"/>
        </w:rPr>
      </w:pPr>
      <w:r>
        <w:rPr>
          <w:rFonts w:hint="eastAsia" w:ascii="宋体" w:hAnsi="宋体"/>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szCs w:val="21"/>
          <w:highlight w:val="none"/>
        </w:rPr>
      </w:pPr>
      <w:r>
        <w:rPr>
          <w:rFonts w:hint="eastAsia" w:ascii="宋体" w:hAnsi="宋体"/>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szCs w:val="21"/>
          <w:highlight w:val="none"/>
        </w:rPr>
      </w:pPr>
      <w:r>
        <w:rPr>
          <w:rFonts w:hint="eastAsia" w:ascii="宋体" w:hAnsi="宋体"/>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szCs w:val="21"/>
          <w:highlight w:val="none"/>
        </w:rPr>
      </w:pPr>
      <w:r>
        <w:rPr>
          <w:rFonts w:hint="eastAsia" w:ascii="宋体" w:hAnsi="宋体"/>
          <w:szCs w:val="21"/>
          <w:highlight w:val="none"/>
        </w:rPr>
        <w:t xml:space="preserve">四、自觉接受行政管理部门、行业组织、社会公众、新闻舆论的监督；</w:t>
      </w:r>
      <w:r/>
    </w:p>
    <w:p>
      <w:pPr>
        <w:ind w:firstLine="420"/>
        <w:spacing w:line="360" w:lineRule="auto"/>
        <w:rPr>
          <w:rFonts w:ascii="宋体" w:hAnsi="宋体"/>
          <w:szCs w:val="21"/>
          <w:highlight w:val="none"/>
        </w:rPr>
      </w:pPr>
      <w:r>
        <w:rPr>
          <w:rFonts w:hint="eastAsia" w:ascii="宋体" w:hAnsi="宋体"/>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szCs w:val="21"/>
          <w:highlight w:val="none"/>
        </w:rPr>
      </w:pPr>
      <w:r>
        <w:rPr>
          <w:rFonts w:hint="eastAsia" w:ascii="宋体" w:hAnsi="宋体"/>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szCs w:val="21"/>
          <w:highlight w:val="none"/>
        </w:rPr>
      </w:pPr>
      <w:r>
        <w:rPr>
          <w:rFonts w:hint="eastAsia" w:ascii="宋体" w:hAnsi="宋体"/>
          <w:szCs w:val="21"/>
          <w:highlight w:val="none"/>
        </w:rPr>
        <w:t xml:space="preserve">七、严格遵守信用信息公示相关规定，向社会公示信用信息；</w:t>
      </w:r>
      <w:r/>
    </w:p>
    <w:p>
      <w:pPr>
        <w:ind w:firstLine="420"/>
        <w:spacing w:line="360" w:lineRule="auto"/>
        <w:rPr>
          <w:rFonts w:ascii="宋体" w:hAnsi="宋体"/>
          <w:szCs w:val="21"/>
          <w:highlight w:val="none"/>
        </w:rPr>
      </w:pPr>
      <w:r>
        <w:rPr>
          <w:rFonts w:hint="eastAsia" w:ascii="宋体" w:hAnsi="宋体"/>
          <w:szCs w:val="21"/>
          <w:highlight w:val="none"/>
        </w:rPr>
        <w:t xml:space="preserve">八、在“信用中国”和“中国政府采购网”网站中无违法违规、较重或严重失信记录；</w:t>
      </w:r>
      <w:r/>
    </w:p>
    <w:p>
      <w:pPr>
        <w:ind w:firstLine="420"/>
        <w:spacing w:line="360" w:lineRule="auto"/>
        <w:rPr>
          <w:rFonts w:ascii="宋体" w:hAnsi="宋体"/>
          <w:szCs w:val="21"/>
          <w:highlight w:val="none"/>
        </w:rPr>
      </w:pPr>
      <w:r>
        <w:rPr>
          <w:rFonts w:hint="eastAsia" w:ascii="宋体" w:hAnsi="宋体"/>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szCs w:val="21"/>
          <w:highlight w:val="none"/>
        </w:rPr>
      </w:pPr>
      <w:r>
        <w:rPr>
          <w:rFonts w:hint="eastAsia" w:ascii="宋体" w:hAnsi="宋体"/>
          <w:szCs w:val="21"/>
          <w:highlight w:val="none"/>
        </w:rPr>
        <w:t xml:space="preserve">十、本承诺书自签订之日起生效。</w:t>
      </w:r>
      <w:r/>
    </w:p>
    <w:p>
      <w:pPr>
        <w:ind w:firstLine="420"/>
        <w:spacing w:line="360" w:lineRule="auto"/>
        <w:rPr>
          <w:rFonts w:ascii="宋体" w:hAnsi="宋体"/>
          <w:szCs w:val="21"/>
          <w:highlight w:val="none"/>
        </w:rPr>
      </w:pPr>
      <w:r>
        <w:rPr>
          <w:rFonts w:hint="eastAsia" w:ascii="宋体" w:hAnsi="宋体"/>
          <w:szCs w:val="21"/>
          <w:highlight w:val="none"/>
        </w:rPr>
        <w:t xml:space="preserve"> （注：法定代表人或负责人、主体名称发生变更的应当重新做出承诺。）</w:t>
      </w:r>
      <w:r/>
    </w:p>
    <w:p>
      <w:pPr>
        <w:spacing w:line="360" w:lineRule="auto"/>
        <w:rPr>
          <w:rFonts w:ascii="宋体" w:hAnsi="宋体"/>
          <w:szCs w:val="21"/>
          <w:highlight w:val="none"/>
        </w:rPr>
      </w:pPr>
      <w:r>
        <w:rPr>
          <w:rFonts w:ascii="宋体" w:hAnsi="宋体"/>
          <w:szCs w:val="21"/>
          <w:highlight w:val="none"/>
        </w:rPr>
      </w:r>
      <w:r/>
    </w:p>
    <w:p>
      <w:pPr>
        <w:jc w:val="center"/>
        <w:spacing w:line="360" w:lineRule="auto"/>
        <w:rPr>
          <w:rFonts w:ascii="宋体" w:hAnsi="宋体"/>
          <w:szCs w:val="21"/>
          <w:highlight w:val="none"/>
        </w:rPr>
      </w:pPr>
      <w:r>
        <w:rPr>
          <w:rFonts w:hint="eastAsia" w:ascii="宋体" w:hAnsi="宋体"/>
          <w:szCs w:val="21"/>
          <w:highlight w:val="none"/>
        </w:rPr>
        <w:t xml:space="preserve">　　　　　　　　　　        承诺单位（签章）：           </w:t>
      </w:r>
      <w:r/>
    </w:p>
    <w:p>
      <w:pPr>
        <w:jc w:val="center"/>
        <w:spacing w:line="360" w:lineRule="auto"/>
        <w:rPr>
          <w:rFonts w:ascii="宋体" w:hAnsi="宋体"/>
          <w:szCs w:val="21"/>
          <w:highlight w:val="none"/>
        </w:rPr>
      </w:pPr>
      <w:r>
        <w:rPr>
          <w:rFonts w:hint="eastAsia" w:ascii="宋体" w:hAnsi="宋体"/>
          <w:szCs w:val="21"/>
          <w:highlight w:val="none"/>
        </w:rPr>
        <w:t xml:space="preserve">　　　　　　　　　   　  法定代表人（负责人）：</w:t>
      </w:r>
      <w:r/>
    </w:p>
    <w:p>
      <w:pPr>
        <w:jc w:val="center"/>
        <w:spacing w:line="360" w:lineRule="auto"/>
        <w:rPr>
          <w:rFonts w:ascii="宋体" w:hAnsi="宋体"/>
          <w:szCs w:val="21"/>
          <w:highlight w:val="none"/>
        </w:rPr>
      </w:pPr>
      <w:r>
        <w:rPr>
          <w:rFonts w:hint="eastAsia" w:ascii="宋体" w:hAnsi="宋体"/>
          <w:szCs w:val="21"/>
          <w:highlight w:val="none"/>
        </w:rPr>
        <w:t xml:space="preserve">　　　　　　　　　      　年    月    日</w:t>
      </w:r>
      <w:r/>
    </w:p>
    <w:p>
      <w:pPr>
        <w:jc w:val="center"/>
        <w:spacing w:line="360" w:lineRule="auto"/>
        <w:rPr>
          <w:rFonts w:hint="eastAsia" w:ascii="宋体" w:hAnsi="宋体"/>
          <w:b/>
          <w:bCs/>
          <w:highlight w:val="none"/>
        </w:rPr>
      </w:pPr>
      <w:r>
        <w:rPr>
          <w:rFonts w:hint="eastAsia" w:ascii="宋体" w:hAnsi="宋体"/>
          <w:b/>
          <w:bCs/>
          <w:highlight w:val="none"/>
        </w:rPr>
      </w:r>
      <w:r/>
    </w:p>
    <w:p>
      <w:pPr>
        <w:rPr>
          <w:rFonts w:hint="eastAsia" w:ascii="宋体" w:hAnsi="宋体"/>
          <w:b/>
          <w:bCs/>
          <w:highlight w:val="none"/>
        </w:rPr>
      </w:pPr>
      <w:r>
        <w:rPr>
          <w:rFonts w:hint="eastAsia" w:ascii="宋体" w:hAnsi="宋体"/>
          <w:b/>
          <w:bCs/>
          <w:highlight w:val="none"/>
        </w:rPr>
        <w:br w:type="page" w:clear="all"/>
      </w:r>
      <w:r/>
    </w:p>
    <w:p>
      <w:pPr>
        <w:jc w:val="center"/>
        <w:rPr>
          <w:rFonts w:hint="eastAsia" w:ascii="宋体" w:hAnsi="宋体"/>
          <w:b/>
          <w:bCs/>
          <w:highlight w:val="none"/>
        </w:rPr>
      </w:pPr>
      <w:r>
        <w:rPr>
          <w:rFonts w:hint="eastAsia" w:ascii="宋体" w:hAnsi="宋体"/>
          <w:b/>
          <w:bCs/>
          <w:highlight w:val="none"/>
          <w:lang w:val="en-US" w:eastAsia="zh-CN"/>
        </w:rPr>
        <w:t xml:space="preserve">其他证明材料</w:t>
      </w:r>
      <w:r>
        <w:rPr>
          <w:rFonts w:hint="eastAsia" w:ascii="宋体" w:hAnsi="宋体"/>
          <w:b/>
          <w:bCs/>
          <w:highlight w:val="none"/>
        </w:rPr>
        <w:br w:type="page" w:clear="all"/>
      </w:r>
      <w:r/>
    </w:p>
    <w:p>
      <w:pPr>
        <w:jc w:val="center"/>
        <w:spacing w:line="360" w:lineRule="auto"/>
        <w:rPr>
          <w:rFonts w:hint="eastAsia" w:ascii="宋体" w:hAnsi="宋体"/>
          <w:b/>
          <w:bCs/>
          <w:highlight w:val="none"/>
        </w:rPr>
      </w:pPr>
      <w:r>
        <w:rPr>
          <w:rFonts w:hint="eastAsia" w:ascii="宋体" w:hAnsi="宋体"/>
          <w:b/>
          <w:bCs/>
          <w:highlight w:val="none"/>
        </w:rPr>
        <w:t xml:space="preserve">投标函格式</w:t>
      </w:r>
      <w:r/>
    </w:p>
    <w:p>
      <w:pPr>
        <w:pStyle w:val="898"/>
        <w:rPr>
          <w:rFonts w:hint="eastAsia" w:hAnsi="宋体"/>
          <w:b/>
          <w:bCs/>
          <w:highlight w:val="none"/>
        </w:rPr>
      </w:pPr>
      <w:r>
        <w:rPr>
          <w:rFonts w:hint="eastAsia" w:hAnsi="宋体"/>
          <w:b/>
          <w:bCs/>
          <w:highlight w:val="none"/>
        </w:rPr>
      </w:r>
      <w:r/>
    </w:p>
    <w:p>
      <w:pPr>
        <w:pStyle w:val="899"/>
        <w:rPr>
          <w:highlight w:val="none"/>
          <w:lang w:eastAsia="zh-CN"/>
        </w:rPr>
      </w:pPr>
      <w:r>
        <w:rPr>
          <w:highlight w:val="none"/>
          <w:lang w:eastAsia="zh-CN"/>
        </w:rPr>
      </w:r>
      <w:r/>
    </w:p>
    <w:p>
      <w:pPr>
        <w:pStyle w:val="905"/>
        <w:ind w:firstLine="0"/>
        <w:spacing w:before="0" w:after="0"/>
        <w:rPr>
          <w:rFonts w:ascii="宋体" w:hAnsi="宋体"/>
          <w:sz w:val="21"/>
          <w:szCs w:val="21"/>
          <w:highlight w:val="none"/>
        </w:rPr>
      </w:pPr>
      <w:r>
        <w:rPr>
          <w:rFonts w:hint="eastAsia" w:ascii="宋体" w:hAnsi="宋体"/>
          <w:sz w:val="21"/>
          <w:szCs w:val="21"/>
          <w:highlight w:val="none"/>
        </w:rPr>
        <w:t xml:space="preserve">致：</w:t>
      </w:r>
      <w:r>
        <w:rPr>
          <w:rFonts w:hint="eastAsia" w:hAnsi="宋体"/>
          <w:sz w:val="21"/>
          <w:highlight w:val="none"/>
        </w:rPr>
        <w:t xml:space="preserve">（</w:t>
      </w:r>
      <w:r>
        <w:rPr>
          <w:rFonts w:hint="eastAsia" w:hAnsi="宋体"/>
          <w:sz w:val="21"/>
          <w:highlight w:val="none"/>
          <w:lang w:eastAsia="zh-CN"/>
        </w:rPr>
        <w:t xml:space="preserve">江苏省招标中心有限公司</w:t>
      </w:r>
      <w:r>
        <w:rPr>
          <w:rFonts w:hint="eastAsia" w:hAnsi="宋体"/>
          <w:sz w:val="21"/>
          <w:highlight w:val="none"/>
        </w:rPr>
        <w:t xml:space="preserve">）</w:t>
      </w:r>
      <w:r/>
    </w:p>
    <w:p>
      <w:pPr>
        <w:pStyle w:val="905"/>
        <w:ind w:firstLine="420"/>
        <w:spacing w:before="0" w:after="0"/>
        <w:rPr>
          <w:rFonts w:ascii="宋体" w:hAnsi="宋体"/>
          <w:sz w:val="21"/>
          <w:szCs w:val="21"/>
          <w:highlight w:val="none"/>
        </w:rPr>
      </w:pPr>
      <w:r>
        <w:rPr>
          <w:rFonts w:hint="eastAsia" w:ascii="宋体" w:hAnsi="宋体"/>
          <w:sz w:val="21"/>
          <w:szCs w:val="21"/>
          <w:highlight w:val="none"/>
        </w:rPr>
        <w:t xml:space="preserve">根据贵方的（）号采购文件，正式授权下述签字人_________________(姓名)代表我方______________（投标人的名称），全权处理本次项目投标的有关事宜。</w:t>
      </w:r>
      <w:r/>
    </w:p>
    <w:p>
      <w:pPr>
        <w:pStyle w:val="905"/>
        <w:ind w:firstLine="420"/>
        <w:spacing w:before="0" w:after="0"/>
        <w:rPr>
          <w:rFonts w:ascii="宋体" w:hAnsi="宋体"/>
          <w:sz w:val="21"/>
          <w:szCs w:val="21"/>
          <w:highlight w:val="none"/>
        </w:rPr>
      </w:pPr>
      <w:r>
        <w:rPr>
          <w:rFonts w:hint="eastAsia" w:ascii="宋体" w:hAnsi="宋体"/>
          <w:sz w:val="21"/>
          <w:szCs w:val="21"/>
          <w:highlight w:val="none"/>
        </w:rPr>
        <w:t xml:space="preserve">据此函，__________签字人（姓名）兹宣布同意如下：</w:t>
      </w:r>
      <w:r/>
    </w:p>
    <w:p>
      <w:pPr>
        <w:pStyle w:val="905"/>
        <w:ind w:firstLine="420"/>
        <w:spacing w:before="0" w:after="0"/>
        <w:rPr>
          <w:rFonts w:ascii="宋体" w:hAnsi="宋体"/>
          <w:sz w:val="21"/>
          <w:szCs w:val="21"/>
          <w:highlight w:val="none"/>
        </w:rPr>
      </w:pPr>
      <w:r>
        <w:rPr>
          <w:rFonts w:hint="eastAsia" w:ascii="宋体" w:hAnsi="宋体"/>
          <w:sz w:val="21"/>
          <w:szCs w:val="21"/>
          <w:highlight w:val="none"/>
        </w:rPr>
        <w:t xml:space="preserve">1.按采购文件规定的各项要求，向买方提供所需货物与服务。</w:t>
      </w:r>
      <w:r/>
    </w:p>
    <w:p>
      <w:pPr>
        <w:pStyle w:val="905"/>
        <w:ind w:firstLine="420"/>
        <w:spacing w:before="0" w:after="0"/>
        <w:rPr>
          <w:rFonts w:ascii="宋体" w:hAnsi="宋体"/>
          <w:sz w:val="21"/>
          <w:szCs w:val="21"/>
          <w:highlight w:val="none"/>
        </w:rPr>
      </w:pPr>
      <w:r>
        <w:rPr>
          <w:rFonts w:hint="eastAsia" w:ascii="宋体" w:hAnsi="宋体"/>
          <w:sz w:val="21"/>
          <w:szCs w:val="21"/>
          <w:highlight w:val="none"/>
        </w:rPr>
        <w:t xml:space="preserve">2.我们完全理解贵方不一定将合同授予最低报价的投标人。</w:t>
      </w:r>
      <w:r/>
    </w:p>
    <w:p>
      <w:pPr>
        <w:pStyle w:val="905"/>
        <w:ind w:firstLine="420"/>
        <w:spacing w:before="0" w:after="0"/>
        <w:rPr>
          <w:rFonts w:ascii="宋体" w:hAnsi="宋体"/>
          <w:sz w:val="21"/>
          <w:szCs w:val="21"/>
          <w:highlight w:val="none"/>
        </w:rPr>
      </w:pPr>
      <w:r>
        <w:rPr>
          <w:rFonts w:hint="eastAsia" w:ascii="宋体" w:hAnsi="宋体"/>
          <w:sz w:val="21"/>
          <w:szCs w:val="21"/>
          <w:highlight w:val="none"/>
        </w:rPr>
        <w:t xml:space="preserve">3.我们已详细审核全部采购文件及其有效补充文件，我们知道必须放弃提出含糊不清或误解问题的权利。</w:t>
      </w:r>
      <w:r/>
    </w:p>
    <w:p>
      <w:pPr>
        <w:pStyle w:val="905"/>
        <w:spacing w:before="0" w:after="0"/>
        <w:rPr>
          <w:rFonts w:ascii="宋体" w:hAnsi="宋体"/>
          <w:sz w:val="21"/>
          <w:szCs w:val="21"/>
          <w:highlight w:val="none"/>
        </w:rPr>
      </w:pPr>
      <w:r>
        <w:rPr>
          <w:rFonts w:hint="eastAsia" w:ascii="宋体" w:hAnsi="宋体"/>
          <w:sz w:val="21"/>
          <w:szCs w:val="21"/>
          <w:highlight w:val="none"/>
        </w:rPr>
        <w:t xml:space="preserve">4.我们同意从规定的开标日期起遵循本投标文件，并在规定的投标有效期期满之前均具有约束力。</w:t>
      </w:r>
      <w:r/>
    </w:p>
    <w:p>
      <w:pPr>
        <w:pStyle w:val="905"/>
        <w:spacing w:before="0" w:after="0"/>
        <w:rPr>
          <w:rFonts w:ascii="宋体" w:hAnsi="宋体"/>
          <w:sz w:val="21"/>
          <w:szCs w:val="21"/>
          <w:highlight w:val="none"/>
        </w:rPr>
      </w:pPr>
      <w:r>
        <w:rPr>
          <w:rFonts w:hint="eastAsia" w:ascii="宋体" w:hAnsi="宋体"/>
          <w:sz w:val="21"/>
          <w:szCs w:val="21"/>
          <w:highlight w:val="none"/>
        </w:rPr>
        <w:t xml:space="preserve">5.同意向贵方提供贵方可能另外要求的与投标有关的任何证据或资料，并保证我方已提供和将要提供的文件是真实的、准确的。</w:t>
      </w:r>
      <w:r/>
    </w:p>
    <w:p>
      <w:pPr>
        <w:pStyle w:val="905"/>
        <w:spacing w:before="0" w:after="0"/>
        <w:rPr>
          <w:rFonts w:ascii="宋体" w:hAnsi="宋体"/>
          <w:sz w:val="21"/>
          <w:szCs w:val="21"/>
          <w:highlight w:val="none"/>
        </w:rPr>
      </w:pPr>
      <w:r>
        <w:rPr>
          <w:rFonts w:hint="eastAsia" w:ascii="宋体" w:hAnsi="宋体"/>
          <w:sz w:val="21"/>
          <w:szCs w:val="21"/>
          <w:highlight w:val="none"/>
        </w:rPr>
        <w:t xml:space="preserve">6.一旦我方中标,我方将根据采购文件的规定，严格履行合同的责任和义务,并保证在采购文件规定的时间完成项目，交付买方验收、使用。</w:t>
      </w:r>
      <w:r/>
    </w:p>
    <w:p>
      <w:pPr>
        <w:pStyle w:val="905"/>
        <w:ind w:left="425" w:firstLine="105"/>
        <w:spacing w:before="0" w:after="0"/>
        <w:rPr>
          <w:rFonts w:ascii="宋体" w:hAnsi="宋体"/>
          <w:sz w:val="21"/>
          <w:szCs w:val="21"/>
          <w:highlight w:val="none"/>
        </w:rPr>
      </w:pPr>
      <w:r>
        <w:rPr>
          <w:rFonts w:hint="eastAsia" w:ascii="宋体" w:hAnsi="宋体"/>
          <w:sz w:val="21"/>
          <w:szCs w:val="21"/>
          <w:highlight w:val="none"/>
        </w:rPr>
        <w:t xml:space="preserve">7.与本投标有关的正式通讯地址为：</w:t>
      </w:r>
      <w:r/>
    </w:p>
    <w:p>
      <w:pPr>
        <w:pStyle w:val="905"/>
        <w:ind w:firstLine="479"/>
        <w:spacing w:before="0" w:after="0"/>
        <w:rPr>
          <w:rFonts w:ascii="宋体" w:hAnsi="宋体"/>
          <w:sz w:val="21"/>
          <w:szCs w:val="21"/>
          <w:highlight w:val="none"/>
        </w:rPr>
      </w:pPr>
      <w:r>
        <w:rPr>
          <w:rFonts w:hint="eastAsia" w:ascii="宋体" w:hAnsi="宋体"/>
          <w:sz w:val="21"/>
          <w:szCs w:val="21"/>
          <w:highlight w:val="none"/>
        </w:rPr>
        <w:t xml:space="preserve">地 址：</w:t>
      </w:r>
      <w:r/>
    </w:p>
    <w:p>
      <w:pPr>
        <w:pStyle w:val="905"/>
        <w:ind w:firstLine="479"/>
        <w:spacing w:before="0" w:after="0"/>
        <w:rPr>
          <w:rFonts w:ascii="宋体" w:hAnsi="宋体"/>
          <w:sz w:val="21"/>
          <w:szCs w:val="21"/>
          <w:highlight w:val="none"/>
        </w:rPr>
      </w:pPr>
      <w:r>
        <w:rPr>
          <w:rFonts w:hint="eastAsia" w:ascii="宋体" w:hAnsi="宋体"/>
          <w:sz w:val="21"/>
          <w:szCs w:val="21"/>
          <w:highlight w:val="none"/>
        </w:rPr>
        <w:t xml:space="preserve">邮 编：</w:t>
      </w:r>
      <w:r/>
    </w:p>
    <w:p>
      <w:pPr>
        <w:pStyle w:val="905"/>
        <w:ind w:firstLine="479"/>
        <w:spacing w:before="0" w:after="0"/>
        <w:rPr>
          <w:rFonts w:ascii="宋体" w:hAnsi="宋体"/>
          <w:sz w:val="21"/>
          <w:szCs w:val="21"/>
          <w:highlight w:val="none"/>
        </w:rPr>
      </w:pPr>
      <w:r>
        <w:rPr>
          <w:rFonts w:hint="eastAsia" w:ascii="宋体" w:hAnsi="宋体"/>
          <w:sz w:val="21"/>
          <w:szCs w:val="21"/>
          <w:highlight w:val="none"/>
        </w:rPr>
        <w:t xml:space="preserve">电 话： </w:t>
      </w:r>
      <w:r/>
    </w:p>
    <w:p>
      <w:pPr>
        <w:pStyle w:val="905"/>
        <w:ind w:firstLine="479"/>
        <w:spacing w:before="0" w:after="0"/>
        <w:rPr>
          <w:rFonts w:ascii="宋体" w:hAnsi="宋体"/>
          <w:sz w:val="21"/>
          <w:szCs w:val="21"/>
          <w:highlight w:val="none"/>
        </w:rPr>
      </w:pPr>
      <w:r>
        <w:rPr>
          <w:rFonts w:hint="eastAsia" w:ascii="宋体" w:hAnsi="宋体"/>
          <w:sz w:val="21"/>
          <w:szCs w:val="21"/>
          <w:highlight w:val="none"/>
        </w:rPr>
        <w:t xml:space="preserve">传 真： </w:t>
      </w:r>
      <w:r/>
    </w:p>
    <w:p>
      <w:pPr>
        <w:pStyle w:val="905"/>
        <w:ind w:firstLine="479"/>
        <w:spacing w:before="0" w:after="0"/>
        <w:rPr>
          <w:rFonts w:ascii="宋体" w:hAnsi="宋体"/>
          <w:sz w:val="21"/>
          <w:szCs w:val="21"/>
          <w:highlight w:val="none"/>
        </w:rPr>
      </w:pPr>
      <w:r>
        <w:rPr>
          <w:rFonts w:hint="eastAsia" w:ascii="宋体" w:hAnsi="宋体"/>
          <w:sz w:val="21"/>
          <w:szCs w:val="21"/>
          <w:highlight w:val="none"/>
        </w:rPr>
        <w:t xml:space="preserve">投标人开户行：</w:t>
      </w:r>
      <w:r/>
    </w:p>
    <w:p>
      <w:pPr>
        <w:pStyle w:val="905"/>
        <w:ind w:firstLine="479"/>
        <w:spacing w:before="0" w:after="0"/>
        <w:rPr>
          <w:rFonts w:ascii="宋体" w:hAnsi="宋体"/>
          <w:sz w:val="21"/>
          <w:szCs w:val="21"/>
          <w:highlight w:val="none"/>
        </w:rPr>
      </w:pPr>
      <w:r>
        <w:rPr>
          <w:rFonts w:hint="eastAsia" w:ascii="宋体" w:hAnsi="宋体"/>
          <w:sz w:val="21"/>
          <w:szCs w:val="21"/>
          <w:highlight w:val="none"/>
        </w:rPr>
        <w:t xml:space="preserve">账 户： </w:t>
      </w:r>
      <w:r/>
    </w:p>
    <w:p>
      <w:pPr>
        <w:pStyle w:val="905"/>
        <w:ind w:firstLine="479"/>
        <w:spacing w:before="0" w:after="0"/>
        <w:rPr>
          <w:rFonts w:ascii="宋体" w:hAnsi="宋体"/>
          <w:sz w:val="21"/>
          <w:szCs w:val="21"/>
          <w:highlight w:val="none"/>
        </w:rPr>
      </w:pPr>
      <w:r>
        <w:rPr>
          <w:rFonts w:hint="eastAsia" w:ascii="宋体" w:hAnsi="宋体"/>
          <w:sz w:val="21"/>
          <w:szCs w:val="21"/>
          <w:highlight w:val="none"/>
        </w:rPr>
        <w:t xml:space="preserve">行 号：</w:t>
      </w:r>
      <w:r/>
    </w:p>
    <w:p>
      <w:pPr>
        <w:pStyle w:val="905"/>
        <w:ind w:firstLine="479"/>
        <w:spacing w:before="0" w:after="0"/>
        <w:rPr>
          <w:rFonts w:ascii="宋体" w:hAnsi="宋体"/>
          <w:sz w:val="21"/>
          <w:szCs w:val="21"/>
          <w:highlight w:val="none"/>
        </w:rPr>
      </w:pPr>
      <w:r>
        <w:rPr>
          <w:rFonts w:hint="eastAsia" w:ascii="宋体" w:hAnsi="宋体"/>
          <w:sz w:val="21"/>
          <w:szCs w:val="21"/>
          <w:highlight w:val="none"/>
        </w:rPr>
        <w:t xml:space="preserve">日 期：________年____月____日</w:t>
      </w:r>
      <w:r/>
    </w:p>
    <w:p>
      <w:pPr>
        <w:contextualSpacing/>
        <w:spacing w:line="360" w:lineRule="auto"/>
        <w:rPr>
          <w:rFonts w:ascii="宋体" w:hAnsi="宋体"/>
          <w:b/>
          <w:bCs/>
          <w:sz w:val="32"/>
          <w:szCs w:val="32"/>
          <w:highlight w:val="none"/>
        </w:rPr>
      </w:pPr>
      <w:r>
        <w:rPr>
          <w:rFonts w:ascii="宋体" w:hAnsi="宋体"/>
          <w:b/>
          <w:bCs/>
          <w:sz w:val="32"/>
          <w:szCs w:val="32"/>
          <w:highlight w:val="none"/>
        </w:rPr>
      </w:r>
      <w:r/>
    </w:p>
    <w:p>
      <w:pPr>
        <w:jc w:val="center"/>
        <w:spacing w:line="360" w:lineRule="auto"/>
        <w:rPr>
          <w:rFonts w:ascii="宋体" w:hAnsi="宋体"/>
          <w:b/>
          <w:szCs w:val="21"/>
          <w:highlight w:val="none"/>
        </w:rPr>
      </w:pPr>
      <w:r>
        <w:rPr>
          <w:rFonts w:hint="eastAsia" w:ascii="宋体" w:hAnsi="宋体"/>
          <w:b/>
          <w:sz w:val="32"/>
          <w:szCs w:val="32"/>
          <w:highlight w:val="none"/>
        </w:rPr>
        <w:br w:type="page" w:clear="all"/>
      </w:r>
      <w:r>
        <w:rPr>
          <w:rFonts w:hint="eastAsia" w:ascii="宋体" w:hAnsi="宋体"/>
          <w:b/>
          <w:szCs w:val="21"/>
          <w:highlight w:val="none"/>
        </w:rPr>
        <w:t xml:space="preserve">法人授权书</w:t>
      </w:r>
      <w:r/>
    </w:p>
    <w:p>
      <w:pPr>
        <w:pStyle w:val="906"/>
        <w:ind w:firstLine="420"/>
        <w:spacing w:line="360" w:lineRule="auto"/>
        <w:rPr>
          <w:rFonts w:ascii="宋体" w:hAnsi="宋体"/>
          <w:sz w:val="21"/>
          <w:szCs w:val="21"/>
          <w:highlight w:val="none"/>
        </w:rPr>
      </w:pPr>
      <w:r>
        <w:rPr>
          <w:rFonts w:hint="eastAsia" w:ascii="宋体" w:hAnsi="宋体"/>
          <w:sz w:val="21"/>
          <w:szCs w:val="21"/>
          <w:highlight w:val="none"/>
        </w:rPr>
        <w:t xml:space="preserve">本授权书声明：</w:t>
      </w:r>
      <w:r>
        <w:rPr>
          <w:rFonts w:ascii="宋体" w:hAnsi="宋体"/>
          <w:sz w:val="21"/>
          <w:szCs w:val="21"/>
          <w:highlight w:val="none"/>
        </w:rPr>
        <w:t xml:space="preserve">________________</w:t>
      </w:r>
      <w:r>
        <w:rPr>
          <w:rFonts w:hint="eastAsia" w:ascii="宋体" w:hAnsi="宋体"/>
          <w:sz w:val="21"/>
          <w:szCs w:val="21"/>
          <w:highlight w:val="none"/>
        </w:rPr>
        <w:t xml:space="preserve">（投标人名称）授权</w:t>
      </w:r>
      <w:r>
        <w:rPr>
          <w:rFonts w:ascii="宋体" w:hAnsi="宋体"/>
          <w:sz w:val="21"/>
          <w:szCs w:val="21"/>
          <w:highlight w:val="none"/>
        </w:rPr>
        <w:t xml:space="preserve">________________</w:t>
      </w:r>
      <w:r>
        <w:rPr>
          <w:rFonts w:hint="eastAsia" w:ascii="宋体" w:hAnsi="宋体"/>
          <w:sz w:val="21"/>
          <w:szCs w:val="21"/>
          <w:highlight w:val="none"/>
        </w:rPr>
        <w:t xml:space="preserve">（被授权人的姓名）为我方就（项目编号）号（项目名称）项目采购活动的合法代理人，以本公司名义全权处理一切与该项目采购有关的事务。</w:t>
      </w:r>
      <w:r/>
    </w:p>
    <w:p>
      <w:pPr>
        <w:pStyle w:val="906"/>
        <w:ind w:firstLine="420"/>
        <w:spacing w:line="360" w:lineRule="auto"/>
        <w:rPr>
          <w:rFonts w:ascii="宋体" w:hAnsi="宋体"/>
          <w:sz w:val="21"/>
          <w:szCs w:val="21"/>
          <w:highlight w:val="none"/>
        </w:rPr>
      </w:pPr>
      <w:r>
        <w:rPr>
          <w:rFonts w:hint="eastAsia" w:ascii="宋体" w:hAnsi="宋体"/>
          <w:sz w:val="21"/>
          <w:szCs w:val="21"/>
          <w:highlight w:val="none"/>
        </w:rPr>
        <w:t xml:space="preserve">本授权书于</w:t>
      </w:r>
      <w:r>
        <w:rPr>
          <w:rFonts w:ascii="宋体" w:hAnsi="宋体"/>
          <w:sz w:val="21"/>
          <w:szCs w:val="21"/>
          <w:highlight w:val="none"/>
        </w:rPr>
        <w:t xml:space="preserve">______</w:t>
      </w:r>
      <w:r>
        <w:rPr>
          <w:rFonts w:hint="eastAsia" w:ascii="宋体" w:hAnsi="宋体"/>
          <w:sz w:val="21"/>
          <w:szCs w:val="21"/>
          <w:highlight w:val="none"/>
        </w:rPr>
        <w:t xml:space="preserve">年</w:t>
      </w:r>
      <w:r>
        <w:rPr>
          <w:rFonts w:ascii="宋体" w:hAnsi="宋体"/>
          <w:sz w:val="21"/>
          <w:szCs w:val="21"/>
          <w:highlight w:val="none"/>
        </w:rPr>
        <w:t xml:space="preserve">____</w:t>
      </w:r>
      <w:r>
        <w:rPr>
          <w:rFonts w:hint="eastAsia" w:ascii="宋体" w:hAnsi="宋体"/>
          <w:sz w:val="21"/>
          <w:szCs w:val="21"/>
          <w:highlight w:val="none"/>
        </w:rPr>
        <w:t xml:space="preserve">月</w:t>
      </w:r>
      <w:r>
        <w:rPr>
          <w:rFonts w:ascii="宋体" w:hAnsi="宋体"/>
          <w:sz w:val="21"/>
          <w:szCs w:val="21"/>
          <w:highlight w:val="none"/>
        </w:rPr>
        <w:t xml:space="preserve">____</w:t>
      </w:r>
      <w:r>
        <w:rPr>
          <w:rFonts w:hint="eastAsia" w:ascii="宋体" w:hAnsi="宋体"/>
          <w:sz w:val="21"/>
          <w:szCs w:val="21"/>
          <w:highlight w:val="none"/>
        </w:rPr>
        <w:t xml:space="preserve">日起生效，特此声明。</w:t>
      </w:r>
      <w:r/>
    </w:p>
    <w:p>
      <w:pPr>
        <w:pStyle w:val="906"/>
        <w:ind w:firstLine="0"/>
        <w:spacing w:line="360" w:lineRule="auto"/>
        <w:rPr>
          <w:rFonts w:ascii="宋体" w:hAnsi="宋体"/>
          <w:sz w:val="21"/>
          <w:szCs w:val="21"/>
          <w:highlight w:val="none"/>
        </w:rPr>
      </w:pPr>
      <w:r>
        <w:rPr>
          <w:rFonts w:ascii="宋体" w:hAnsi="宋体"/>
          <w:sz w:val="21"/>
          <w:szCs w:val="21"/>
          <w:highlight w:val="none"/>
        </w:rPr>
        <w:t xml:space="preserve">    </w:t>
      </w:r>
      <w:r/>
    </w:p>
    <w:p>
      <w:pPr>
        <w:pStyle w:val="906"/>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被授权人姓名：</w:t>
      </w:r>
      <w:r>
        <w:rPr>
          <w:rFonts w:ascii="宋体" w:hAnsi="宋体"/>
          <w:sz w:val="21"/>
          <w:szCs w:val="21"/>
          <w:highlight w:val="none"/>
        </w:rPr>
        <w:t xml:space="preserve">_________________</w:t>
      </w:r>
      <w:r>
        <w:rPr>
          <w:rFonts w:hint="eastAsia" w:ascii="宋体" w:hAnsi="宋体"/>
          <w:sz w:val="21"/>
          <w:szCs w:val="21"/>
          <w:highlight w:val="none"/>
        </w:rPr>
        <w:t xml:space="preserve">         </w:t>
      </w:r>
      <w:r/>
    </w:p>
    <w:p>
      <w:pPr>
        <w:pStyle w:val="906"/>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联系电话（手机）：</w:t>
      </w:r>
      <w:r>
        <w:rPr>
          <w:rFonts w:hint="eastAsia" w:ascii="宋体" w:hAnsi="宋体"/>
          <w:sz w:val="21"/>
          <w:szCs w:val="21"/>
          <w:highlight w:val="none"/>
          <w:u w:val="single"/>
        </w:rPr>
        <w:t xml:space="preserve">                             </w:t>
      </w:r>
      <w:r/>
    </w:p>
    <w:p>
      <w:pPr>
        <w:pStyle w:val="906"/>
        <w:ind w:firstLine="0"/>
        <w:spacing w:line="360" w:lineRule="auto"/>
        <w:rPr>
          <w:rFonts w:ascii="宋体" w:hAnsi="宋体"/>
          <w:sz w:val="21"/>
          <w:szCs w:val="21"/>
          <w:highlight w:val="none"/>
        </w:rPr>
      </w:pPr>
      <w:r>
        <w:rPr>
          <w:rFonts w:ascii="宋体" w:hAnsi="宋体"/>
          <w:sz w:val="21"/>
          <w:szCs w:val="21"/>
          <w:highlight w:val="none"/>
        </w:rPr>
        <w:t xml:space="preserve">    </w:t>
      </w:r>
      <w:r>
        <w:rPr>
          <w:rFonts w:hint="eastAsia" w:ascii="宋体" w:hAnsi="宋体"/>
          <w:sz w:val="21"/>
          <w:szCs w:val="21"/>
          <w:highlight w:val="none"/>
        </w:rPr>
        <w:t xml:space="preserve">单位名称：</w:t>
      </w:r>
      <w:r>
        <w:rPr>
          <w:rFonts w:ascii="宋体" w:hAnsi="宋体"/>
          <w:sz w:val="21"/>
          <w:szCs w:val="21"/>
          <w:highlight w:val="none"/>
        </w:rPr>
        <w:t xml:space="preserve">____________________________________</w:t>
      </w:r>
      <w:r/>
    </w:p>
    <w:p>
      <w:pPr>
        <w:pStyle w:val="906"/>
        <w:ind w:firstLine="420"/>
        <w:spacing w:line="360" w:lineRule="auto"/>
        <w:rPr>
          <w:sz w:val="21"/>
          <w:szCs w:val="21"/>
          <w:highlight w:val="none"/>
          <w:u w:val="single"/>
        </w:rPr>
      </w:pPr>
      <w:r>
        <w:rPr>
          <w:rFonts w:hint="eastAsia"/>
          <w:sz w:val="21"/>
          <w:szCs w:val="21"/>
          <w:highlight w:val="none"/>
        </w:rPr>
        <w:t xml:space="preserve">单位地址：</w:t>
      </w:r>
      <w:r>
        <w:rPr>
          <w:sz w:val="21"/>
          <w:szCs w:val="21"/>
          <w:highlight w:val="none"/>
          <w:u w:val="single"/>
        </w:rPr>
        <w:t xml:space="preserve">                                         </w:t>
      </w:r>
      <w:r/>
    </w:p>
    <w:p>
      <w:pPr>
        <w:pStyle w:val="906"/>
        <w:ind w:firstLine="420"/>
        <w:spacing w:line="360" w:lineRule="auto"/>
        <w:rPr>
          <w:sz w:val="21"/>
          <w:szCs w:val="21"/>
          <w:highlight w:val="none"/>
        </w:rPr>
      </w:pPr>
      <w:r>
        <w:rPr>
          <w:rFonts w:hint="eastAsia"/>
          <w:sz w:val="21"/>
          <w:szCs w:val="21"/>
          <w:highlight w:val="none"/>
        </w:rPr>
        <w:t xml:space="preserve">日期：</w:t>
      </w:r>
      <w:r>
        <w:rPr>
          <w:sz w:val="21"/>
          <w:szCs w:val="21"/>
          <w:highlight w:val="none"/>
          <w:u w:val="single"/>
        </w:rPr>
        <w:t xml:space="preserve">                                         </w:t>
      </w:r>
      <w:r>
        <w:rPr>
          <w:sz w:val="21"/>
          <w:szCs w:val="21"/>
          <w:highlight w:val="none"/>
        </w:rPr>
        <w:t xml:space="preserve"> </w:t>
      </w:r>
      <w:r/>
    </w:p>
    <w:p>
      <w:pPr>
        <w:spacing w:line="360" w:lineRule="auto"/>
        <w:rPr>
          <w:rFonts w:ascii="宋体" w:hAnsi="宋体"/>
          <w:bCs/>
          <w:highlight w:val="none"/>
        </w:rPr>
      </w:pPr>
      <w:r>
        <w:rPr>
          <w:rFonts w:ascii="宋体" w:hAnsi="宋体"/>
          <w:bCs/>
          <w:highlight w:val="none"/>
        </w:rPr>
      </w:r>
      <w:r/>
    </w:p>
    <w:p>
      <w:pPr>
        <w:spacing w:line="360" w:lineRule="auto"/>
        <w:rPr>
          <w:rFonts w:ascii="宋体" w:hAnsi="宋体"/>
          <w:bCs/>
          <w:sz w:val="24"/>
          <w:highlight w:val="none"/>
        </w:rPr>
      </w:pPr>
      <w:r>
        <w:rPr>
          <w:rFonts w:ascii="宋体" w:hAnsi="宋体"/>
          <w:bCs/>
          <w:sz w:val="24"/>
          <w:highlight w:val="none"/>
        </w:rPr>
      </w:r>
      <w:r/>
    </w:p>
    <w:p>
      <w:pPr>
        <w:spacing w:line="360" w:lineRule="auto"/>
        <w:rPr>
          <w:rFonts w:hint="eastAsia" w:ascii="宋体" w:hAnsi="宋体"/>
          <w:bCs/>
          <w:highlight w:val="none"/>
        </w:rPr>
      </w:pPr>
      <w:r>
        <w:rPr>
          <w:rFonts w:hint="eastAsia" w:ascii="宋体" w:hAnsi="宋体"/>
          <w:bCs/>
          <w:highlight w:val="none"/>
        </w:rPr>
        <w:t xml:space="preserve">注：</w:t>
      </w:r>
      <w:r/>
    </w:p>
    <w:p>
      <w:pPr>
        <w:ind w:firstLine="420"/>
        <w:spacing w:line="360" w:lineRule="auto"/>
        <w:rPr>
          <w:rFonts w:hint="eastAsia" w:ascii="宋体" w:hAnsi="宋体"/>
          <w:bCs/>
          <w:highlight w:val="none"/>
        </w:rPr>
      </w:pPr>
      <w:r>
        <w:rPr>
          <w:rFonts w:hint="eastAsia" w:ascii="宋体" w:hAnsi="宋体"/>
          <w:bCs/>
          <w:highlight w:val="none"/>
        </w:rPr>
        <w:t xml:space="preserve">1、需同时提供法定代表人和被授权人身份证复印件，如法定代表人签署文件则无需出具授权书，仅需提供法定代表人身份证复印件</w:t>
      </w:r>
      <w:r/>
    </w:p>
    <w:p>
      <w:pPr>
        <w:ind w:firstLine="420"/>
        <w:spacing w:line="360" w:lineRule="auto"/>
        <w:rPr>
          <w:rFonts w:hint="eastAsia" w:ascii="宋体" w:hAnsi="宋体"/>
          <w:bCs/>
          <w:highlight w:val="none"/>
        </w:rPr>
        <w:sectPr>
          <w:headerReference w:type="default" r:id="rId10"/>
          <w:footerReference w:type="default" r:id="rId13"/>
          <w:footnotePr/>
          <w:endnotePr/>
          <w:type w:val="nextPage"/>
          <w:pgSz w:w="11906" w:h="16838" w:orient="portrait"/>
          <w:pgMar w:top="1440" w:right="1486" w:bottom="1440" w:left="1180" w:header="851" w:footer="992" w:gutter="0"/>
          <w:pgNumType w:start="1"/>
          <w:cols w:num="1" w:sep="0" w:space="720" w:equalWidth="1"/>
          <w:docGrid w:linePitch="360"/>
        </w:sectPr>
      </w:pPr>
      <w:r>
        <w:rPr>
          <w:rFonts w:hint="eastAsia" w:ascii="宋体" w:hAnsi="宋体"/>
          <w:bCs/>
          <w:highlight w:val="none"/>
        </w:rPr>
      </w:r>
      <w:r/>
    </w:p>
    <w:p>
      <w:pPr>
        <w:pStyle w:val="876"/>
        <w:spacing w:line="360" w:lineRule="auto"/>
        <w:rPr>
          <w:rFonts w:ascii="宋体" w:hAnsi="宋体"/>
          <w:b/>
          <w:sz w:val="32"/>
          <w:szCs w:val="32"/>
          <w:highlight w:val="none"/>
        </w:rPr>
      </w:pPr>
      <w:r/>
      <w:bookmarkStart w:id="74" w:name="_Toc7308"/>
      <w:r>
        <w:rPr>
          <w:rFonts w:hint="eastAsia" w:ascii="宋体" w:hAnsi="宋体" w:eastAsia="宋体"/>
          <w:sz w:val="32"/>
          <w:highlight w:val="none"/>
        </w:rPr>
        <w:t xml:space="preserve">二、符合性审查响应对照表</w:t>
      </w:r>
      <w:bookmarkEnd w:id="74"/>
      <w:r/>
      <w:r/>
    </w:p>
    <w:tbl>
      <w:tblPr>
        <w:tblStyle w:val="692"/>
        <w:tblpPr w:horzAnchor="page" w:tblpX="1447" w:vertAnchor="text" w:tblpY="297" w:leftFromText="180" w:topFromText="0" w:rightFromText="180" w:bottomFromText="0"/>
        <w:tblW w:w="90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ascii="幼圆" w:eastAsia="幼圆"/>
                <w:b/>
                <w:szCs w:val="21"/>
                <w:highlight w:val="none"/>
              </w:rPr>
            </w:pPr>
            <w:r>
              <w:rPr>
                <w:rFonts w:hint="eastAsia" w:ascii="宋体" w:hAnsi="宋体" w:cs="宋体"/>
                <w:b/>
                <w:szCs w:val="21"/>
                <w:highlight w:val="none"/>
              </w:rPr>
              <w:t xml:space="preserve">序号</w:t>
            </w:r>
            <w:r/>
          </w:p>
        </w:tc>
        <w:tc>
          <w:tcPr>
            <w:tcW w:w="5447" w:type="dxa"/>
            <w:vAlign w:val="center"/>
            <w:textDirection w:val="lrTb"/>
            <w:noWrap w:val="false"/>
          </w:tcPr>
          <w:p>
            <w:pPr>
              <w:jc w:val="center"/>
              <w:spacing w:line="360" w:lineRule="auto"/>
              <w:rPr>
                <w:rFonts w:ascii="幼圆" w:eastAsia="幼圆"/>
                <w:b/>
                <w:szCs w:val="21"/>
                <w:highlight w:val="none"/>
              </w:rPr>
            </w:pPr>
            <w:r>
              <w:rPr>
                <w:rFonts w:hint="eastAsia" w:ascii="宋体" w:hAnsi="宋体" w:cs="宋体"/>
                <w:b/>
                <w:szCs w:val="21"/>
                <w:highlight w:val="none"/>
              </w:rPr>
              <w:t xml:space="preserve">符合性审查响应内容</w:t>
            </w:r>
            <w:r/>
          </w:p>
        </w:tc>
        <w:tc>
          <w:tcPr>
            <w:tcW w:w="1680"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是否响应</w:t>
            </w:r>
            <w:r/>
          </w:p>
          <w:p>
            <w:pPr>
              <w:jc w:val="center"/>
              <w:spacing w:line="360" w:lineRule="auto"/>
              <w:rPr>
                <w:rFonts w:ascii="幼圆" w:eastAsia="幼圆"/>
                <w:b/>
                <w:szCs w:val="21"/>
                <w:highlight w:val="none"/>
              </w:rPr>
            </w:pPr>
            <w:r>
              <w:rPr>
                <w:rFonts w:hint="eastAsia" w:ascii="宋体" w:hAnsi="宋体" w:cs="宋体"/>
                <w:b/>
                <w:szCs w:val="21"/>
                <w:highlight w:val="none"/>
              </w:rPr>
              <w:t xml:space="preserve">（填是或者否）</w:t>
            </w:r>
            <w:r/>
          </w:p>
        </w:tc>
        <w:tc>
          <w:tcPr>
            <w:tcW w:w="1308" w:type="dxa"/>
            <w:vAlign w:val="center"/>
            <w:textDirection w:val="lrTb"/>
            <w:noWrap w:val="false"/>
          </w:tcPr>
          <w:p>
            <w:pPr>
              <w:jc w:val="center"/>
              <w:spacing w:line="360" w:lineRule="auto"/>
              <w:rPr>
                <w:rFonts w:ascii="幼圆" w:eastAsia="幼圆"/>
                <w:b/>
                <w:szCs w:val="21"/>
                <w:highlight w:val="none"/>
              </w:rPr>
            </w:pPr>
            <w:r>
              <w:rPr>
                <w:rFonts w:hint="eastAsia" w:ascii="宋体" w:hAnsi="宋体" w:cs="宋体"/>
                <w:b/>
                <w:szCs w:val="21"/>
                <w:highlight w:val="none"/>
              </w:rPr>
              <w:t xml:space="preserve">响应情况</w:t>
            </w:r>
            <w:r/>
          </w:p>
        </w:tc>
      </w:tr>
      <w:tr>
        <w:trPr>
          <w:trHeight w:val="592"/>
        </w:trPr>
        <w:tc>
          <w:tcPr>
            <w:tcW w:w="646" w:type="dxa"/>
            <w:vAlign w:val="center"/>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t xml:space="preserve">1</w:t>
            </w:r>
            <w:r/>
          </w:p>
        </w:tc>
        <w:tc>
          <w:tcPr>
            <w:tcW w:w="5447" w:type="dxa"/>
            <w:vAlign w:val="center"/>
            <w:textDirection w:val="lrTb"/>
            <w:noWrap w:val="false"/>
          </w:tcPr>
          <w:p>
            <w:pPr>
              <w:jc w:val="left"/>
              <w:spacing w:line="360" w:lineRule="auto"/>
              <w:rPr>
                <w:szCs w:val="21"/>
                <w:highlight w:val="none"/>
              </w:rPr>
            </w:pPr>
            <w:r>
              <w:rPr>
                <w:rFonts w:hint="eastAsia"/>
                <w:szCs w:val="21"/>
                <w:highlight w:val="none"/>
              </w:rPr>
              <w:t xml:space="preserve">非选择性报价</w:t>
            </w:r>
            <w:r/>
          </w:p>
        </w:tc>
        <w:tc>
          <w:tcPr>
            <w:tcW w:w="1680" w:type="dxa"/>
            <w:vAlign w:val="center"/>
            <w:textDirection w:val="lrTb"/>
            <w:noWrap w:val="false"/>
          </w:tcPr>
          <w:p>
            <w:pPr>
              <w:spacing w:line="360" w:lineRule="auto"/>
              <w:rPr>
                <w:rFonts w:ascii="宋体" w:hAnsi="宋体"/>
                <w:b/>
                <w:szCs w:val="21"/>
                <w:highlight w:val="none"/>
              </w:rPr>
            </w:pPr>
            <w:r>
              <w:rPr>
                <w:rFonts w:ascii="宋体" w:hAnsi="宋体"/>
                <w:b/>
                <w:szCs w:val="21"/>
                <w:highlight w:val="none"/>
              </w:rPr>
            </w:r>
            <w:r/>
          </w:p>
        </w:tc>
        <w:tc>
          <w:tcPr>
            <w:tcW w:w="1308" w:type="dxa"/>
            <w:vAlign w:val="center"/>
            <w:textDirection w:val="lrTb"/>
            <w:noWrap w:val="false"/>
          </w:tcPr>
          <w:p>
            <w:pPr>
              <w:spacing w:line="360" w:lineRule="auto"/>
              <w:rPr>
                <w:rFonts w:ascii="宋体" w:hAnsi="宋体"/>
                <w:b/>
                <w:szCs w:val="21"/>
                <w:highlight w:val="none"/>
              </w:rPr>
            </w:pPr>
            <w:r>
              <w:rPr>
                <w:rFonts w:ascii="宋体" w:hAnsi="宋体"/>
                <w:b/>
                <w:szCs w:val="21"/>
                <w:highlight w:val="none"/>
              </w:rPr>
            </w:r>
            <w:r/>
          </w:p>
        </w:tc>
      </w:tr>
      <w:tr>
        <w:trPr>
          <w:trHeight w:val="592"/>
        </w:trPr>
        <w:tc>
          <w:tcPr>
            <w:tcW w:w="646" w:type="dxa"/>
            <w:vAlign w:val="center"/>
            <w:textDirection w:val="lrTb"/>
            <w:noWrap w:val="false"/>
          </w:tcPr>
          <w:p>
            <w:pPr>
              <w:jc w:val="center"/>
              <w:spacing w:line="360" w:lineRule="auto"/>
              <w:rPr>
                <w:rFonts w:hint="eastAsia" w:ascii="宋体" w:hAnsi="宋体"/>
                <w:b/>
                <w:szCs w:val="21"/>
                <w:highlight w:val="none"/>
              </w:rPr>
            </w:pPr>
            <w:r>
              <w:rPr>
                <w:rFonts w:hint="eastAsia" w:ascii="宋体" w:hAnsi="宋体"/>
                <w:bCs/>
                <w:szCs w:val="21"/>
                <w:highlight w:val="none"/>
              </w:rPr>
              <w:t xml:space="preserve">2</w:t>
            </w:r>
            <w:r/>
          </w:p>
        </w:tc>
        <w:tc>
          <w:tcPr>
            <w:tcW w:w="5447" w:type="dxa"/>
            <w:vAlign w:val="center"/>
            <w:textDirection w:val="lrTb"/>
            <w:noWrap w:val="false"/>
          </w:tcPr>
          <w:p>
            <w:pPr>
              <w:jc w:val="left"/>
              <w:spacing w:line="360" w:lineRule="auto"/>
              <w:rPr>
                <w:rFonts w:ascii="宋体" w:hAnsi="宋体"/>
                <w:iCs/>
                <w:szCs w:val="21"/>
                <w:highlight w:val="none"/>
              </w:rPr>
            </w:pPr>
            <w:r>
              <w:rPr>
                <w:szCs w:val="21"/>
                <w:highlight w:val="none"/>
              </w:rPr>
              <w:t xml:space="preserve">法定代表人身份证明或授权委托书</w:t>
            </w:r>
            <w:r/>
          </w:p>
        </w:tc>
        <w:tc>
          <w:tcPr>
            <w:tcW w:w="1680" w:type="dxa"/>
            <w:vAlign w:val="center"/>
            <w:textDirection w:val="lrTb"/>
            <w:noWrap w:val="false"/>
          </w:tcPr>
          <w:p>
            <w:pPr>
              <w:spacing w:line="360" w:lineRule="auto"/>
              <w:rPr>
                <w:rFonts w:ascii="宋体" w:hAnsi="宋体"/>
                <w:b/>
                <w:szCs w:val="21"/>
                <w:highlight w:val="none"/>
              </w:rPr>
            </w:pPr>
            <w:r>
              <w:rPr>
                <w:rFonts w:ascii="宋体" w:hAnsi="宋体"/>
                <w:b/>
                <w:szCs w:val="21"/>
                <w:highlight w:val="none"/>
              </w:rPr>
            </w:r>
            <w:r/>
          </w:p>
        </w:tc>
        <w:tc>
          <w:tcPr>
            <w:tcW w:w="1308" w:type="dxa"/>
            <w:vAlign w:val="center"/>
            <w:textDirection w:val="lrTb"/>
            <w:noWrap w:val="false"/>
          </w:tcPr>
          <w:p>
            <w:pPr>
              <w:spacing w:line="360" w:lineRule="auto"/>
              <w:rPr>
                <w:rFonts w:ascii="宋体" w:hAnsi="宋体"/>
                <w:b/>
                <w:szCs w:val="21"/>
                <w:highlight w:val="none"/>
              </w:rPr>
            </w:pPr>
            <w:r>
              <w:rPr>
                <w:rFonts w:ascii="宋体" w:hAnsi="宋体"/>
                <w:b/>
                <w:szCs w:val="21"/>
                <w:highlight w:val="none"/>
              </w:rPr>
            </w:r>
            <w:r/>
          </w:p>
        </w:tc>
      </w:tr>
      <w:tr>
        <w:trPr>
          <w:trHeight w:val="592"/>
        </w:trPr>
        <w:tc>
          <w:tcPr>
            <w:tcW w:w="646"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3</w:t>
            </w:r>
            <w:r/>
          </w:p>
        </w:tc>
        <w:tc>
          <w:tcPr>
            <w:tcW w:w="5447" w:type="dxa"/>
            <w:vAlign w:val="center"/>
            <w:textDirection w:val="lrTb"/>
            <w:noWrap w:val="false"/>
          </w:tcPr>
          <w:p>
            <w:pPr>
              <w:jc w:val="left"/>
              <w:spacing w:line="360" w:lineRule="auto"/>
              <w:rPr>
                <w:rFonts w:ascii="宋体" w:hAnsi="宋体"/>
                <w:iCs/>
                <w:szCs w:val="21"/>
                <w:highlight w:val="none"/>
              </w:rPr>
            </w:pPr>
            <w:r>
              <w:rPr>
                <w:szCs w:val="21"/>
                <w:highlight w:val="none"/>
              </w:rPr>
              <w:t xml:space="preserve">投标文件签署、盖章齐全完整</w:t>
            </w:r>
            <w:r/>
          </w:p>
        </w:tc>
        <w:tc>
          <w:tcPr>
            <w:tcW w:w="1680"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308"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592"/>
        </w:trPr>
        <w:tc>
          <w:tcPr>
            <w:tcW w:w="646"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4</w:t>
            </w:r>
            <w:r/>
          </w:p>
        </w:tc>
        <w:tc>
          <w:tcPr>
            <w:tcW w:w="5447" w:type="dxa"/>
            <w:vAlign w:val="center"/>
            <w:textDirection w:val="lrTb"/>
            <w:noWrap w:val="false"/>
          </w:tcPr>
          <w:p>
            <w:pPr>
              <w:jc w:val="left"/>
              <w:spacing w:line="360" w:lineRule="auto"/>
              <w:rPr>
                <w:rFonts w:ascii="宋体" w:hAnsi="宋体"/>
                <w:iCs/>
                <w:szCs w:val="21"/>
                <w:highlight w:val="none"/>
              </w:rPr>
            </w:pPr>
            <w:r>
              <w:rPr>
                <w:rFonts w:hint="eastAsia"/>
                <w:szCs w:val="21"/>
                <w:highlight w:val="none"/>
              </w:rPr>
              <w:t xml:space="preserve">投标有效期</w:t>
            </w:r>
            <w:r/>
          </w:p>
        </w:tc>
        <w:tc>
          <w:tcPr>
            <w:tcW w:w="1680"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308"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592"/>
        </w:trPr>
        <w:tc>
          <w:tcPr>
            <w:tcW w:w="646"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5</w:t>
            </w:r>
            <w:r/>
          </w:p>
        </w:tc>
        <w:tc>
          <w:tcPr>
            <w:tcW w:w="5447" w:type="dxa"/>
            <w:vAlign w:val="center"/>
            <w:textDirection w:val="lrTb"/>
            <w:noWrap w:val="false"/>
          </w:tcPr>
          <w:p>
            <w:pPr>
              <w:jc w:val="left"/>
              <w:spacing w:line="360" w:lineRule="auto"/>
              <w:rPr>
                <w:rFonts w:ascii="宋体" w:hAnsi="宋体"/>
                <w:iCs/>
                <w:szCs w:val="21"/>
                <w:highlight w:val="none"/>
              </w:rPr>
            </w:pPr>
            <w:r>
              <w:rPr>
                <w:rFonts w:hint="eastAsia"/>
                <w:szCs w:val="21"/>
                <w:highlight w:val="none"/>
              </w:rPr>
              <w:t xml:space="preserve">项目需求中的实质性要求</w:t>
            </w:r>
            <w:r/>
          </w:p>
        </w:tc>
        <w:tc>
          <w:tcPr>
            <w:tcW w:w="1680"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308"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592"/>
        </w:trPr>
        <w:tc>
          <w:tcPr>
            <w:tcW w:w="646"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6</w:t>
            </w:r>
            <w:r/>
          </w:p>
        </w:tc>
        <w:tc>
          <w:tcPr>
            <w:tcW w:w="5447" w:type="dxa"/>
            <w:vAlign w:val="center"/>
            <w:textDirection w:val="lrTb"/>
            <w:noWrap w:val="false"/>
          </w:tcPr>
          <w:p>
            <w:pPr>
              <w:jc w:val="left"/>
              <w:spacing w:line="360" w:lineRule="auto"/>
              <w:rPr>
                <w:rFonts w:ascii="宋体" w:hAnsi="宋体"/>
                <w:iCs/>
                <w:szCs w:val="21"/>
                <w:highlight w:val="none"/>
              </w:rPr>
            </w:pPr>
            <w:r>
              <w:rPr>
                <w:szCs w:val="21"/>
                <w:highlight w:val="none"/>
              </w:rPr>
              <w:t xml:space="preserve">其他</w:t>
            </w:r>
            <w:r>
              <w:rPr>
                <w:rFonts w:hint="eastAsia"/>
                <w:szCs w:val="21"/>
                <w:highlight w:val="none"/>
              </w:rPr>
              <w:t xml:space="preserve">实质性要求</w:t>
            </w:r>
            <w:r/>
          </w:p>
        </w:tc>
        <w:tc>
          <w:tcPr>
            <w:tcW w:w="1680"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308"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bl>
    <w:p>
      <w:pPr>
        <w:contextualSpacing/>
        <w:jc w:val="center"/>
        <w:spacing w:line="360" w:lineRule="auto"/>
        <w:rPr>
          <w:rFonts w:ascii="宋体" w:hAnsi="宋体"/>
          <w:b/>
          <w:bCs/>
          <w:sz w:val="32"/>
          <w:szCs w:val="32"/>
          <w:highlight w:val="none"/>
        </w:rPr>
      </w:pPr>
      <w:r>
        <w:rPr>
          <w:rFonts w:ascii="宋体" w:hAnsi="宋体"/>
          <w:b/>
          <w:bCs/>
          <w:sz w:val="32"/>
          <w:szCs w:val="32"/>
          <w:highlight w:val="none"/>
        </w:rPr>
      </w:r>
      <w:r/>
    </w:p>
    <w:p>
      <w:pPr>
        <w:contextualSpacing/>
        <w:jc w:val="center"/>
        <w:spacing w:line="360" w:lineRule="auto"/>
        <w:rPr>
          <w:rFonts w:ascii="宋体" w:hAnsi="宋体"/>
          <w:b/>
          <w:bCs/>
          <w:sz w:val="32"/>
          <w:szCs w:val="32"/>
          <w:highlight w:val="none"/>
        </w:rPr>
      </w:pPr>
      <w:r>
        <w:rPr>
          <w:rFonts w:ascii="宋体" w:hAnsi="宋体"/>
          <w:b/>
          <w:bCs/>
          <w:sz w:val="32"/>
          <w:szCs w:val="32"/>
          <w:highlight w:val="none"/>
        </w:rPr>
      </w:r>
      <w:r/>
    </w:p>
    <w:p>
      <w:pPr>
        <w:contextualSpacing/>
        <w:jc w:val="center"/>
        <w:spacing w:line="360" w:lineRule="auto"/>
        <w:rPr>
          <w:rFonts w:ascii="宋体" w:hAnsi="宋体"/>
          <w:b/>
          <w:bCs/>
          <w:sz w:val="32"/>
          <w:szCs w:val="32"/>
          <w:highlight w:val="none"/>
        </w:rPr>
      </w:pPr>
      <w:r>
        <w:rPr>
          <w:rFonts w:ascii="宋体" w:hAnsi="宋体"/>
          <w:b/>
          <w:bCs/>
          <w:sz w:val="32"/>
          <w:szCs w:val="32"/>
          <w:highlight w:val="none"/>
        </w:rPr>
      </w:r>
      <w:r/>
    </w:p>
    <w:p>
      <w:pPr>
        <w:contextualSpacing/>
        <w:jc w:val="center"/>
        <w:spacing w:line="360" w:lineRule="auto"/>
        <w:rPr>
          <w:rFonts w:ascii="宋体" w:hAnsi="宋体"/>
          <w:b/>
          <w:bCs/>
          <w:sz w:val="32"/>
          <w:szCs w:val="32"/>
          <w:highlight w:val="none"/>
        </w:rPr>
      </w:pPr>
      <w:r>
        <w:rPr>
          <w:rFonts w:ascii="宋体" w:hAnsi="宋体"/>
          <w:b/>
          <w:bCs/>
          <w:sz w:val="32"/>
          <w:szCs w:val="32"/>
          <w:highlight w:val="none"/>
        </w:rPr>
      </w:r>
      <w:r/>
    </w:p>
    <w:p>
      <w:pPr>
        <w:contextualSpacing/>
        <w:jc w:val="center"/>
        <w:spacing w:line="360" w:lineRule="auto"/>
        <w:rPr>
          <w:rFonts w:ascii="宋体" w:hAnsi="宋体"/>
          <w:b/>
          <w:bCs/>
          <w:sz w:val="32"/>
          <w:szCs w:val="32"/>
          <w:highlight w:val="none"/>
        </w:rPr>
      </w:pPr>
      <w:r>
        <w:rPr>
          <w:rFonts w:ascii="宋体" w:hAnsi="宋体"/>
          <w:b/>
          <w:bCs/>
          <w:sz w:val="32"/>
          <w:szCs w:val="32"/>
          <w:highlight w:val="none"/>
        </w:rPr>
      </w:r>
      <w:r/>
    </w:p>
    <w:p>
      <w:pPr>
        <w:contextualSpacing/>
        <w:jc w:val="center"/>
        <w:spacing w:line="360" w:lineRule="auto"/>
        <w:rPr>
          <w:rFonts w:ascii="宋体" w:hAnsi="宋体"/>
          <w:b/>
          <w:bCs/>
          <w:sz w:val="32"/>
          <w:szCs w:val="32"/>
          <w:highlight w:val="none"/>
        </w:rPr>
      </w:pPr>
      <w:r>
        <w:rPr>
          <w:rFonts w:ascii="宋体" w:hAnsi="宋体"/>
          <w:b/>
          <w:bCs/>
          <w:sz w:val="32"/>
          <w:szCs w:val="32"/>
          <w:highlight w:val="none"/>
        </w:rPr>
      </w:r>
      <w:r/>
    </w:p>
    <w:p>
      <w:pPr>
        <w:rPr>
          <w:rFonts w:hint="eastAsia" w:ascii="宋体" w:hAnsi="宋体" w:eastAsia="宋体"/>
          <w:sz w:val="32"/>
          <w:highlight w:val="none"/>
        </w:rPr>
      </w:pPr>
      <w:r>
        <w:rPr>
          <w:rFonts w:hint="eastAsia" w:ascii="宋体" w:hAnsi="宋体" w:eastAsia="宋体"/>
          <w:sz w:val="32"/>
          <w:highlight w:val="none"/>
        </w:rPr>
        <w:br w:type="page" w:clear="all"/>
      </w:r>
      <w:r/>
    </w:p>
    <w:p>
      <w:pPr>
        <w:pStyle w:val="876"/>
        <w:spacing w:line="360" w:lineRule="auto"/>
        <w:rPr>
          <w:rFonts w:ascii="宋体" w:hAnsi="宋体" w:eastAsia="宋体"/>
          <w:sz w:val="32"/>
          <w:highlight w:val="none"/>
        </w:rPr>
      </w:pPr>
      <w:r/>
      <w:bookmarkStart w:id="75" w:name="_Toc31224"/>
      <w:r>
        <w:rPr>
          <w:rFonts w:hint="eastAsia" w:ascii="宋体" w:hAnsi="宋体" w:eastAsia="宋体"/>
          <w:sz w:val="32"/>
          <w:highlight w:val="none"/>
        </w:rPr>
        <w:t xml:space="preserve">三、非实质性响应对照表</w:t>
      </w:r>
      <w:bookmarkEnd w:id="75"/>
      <w:r/>
      <w:r/>
    </w:p>
    <w:p>
      <w:pPr>
        <w:spacing w:line="360" w:lineRule="auto"/>
        <w:rPr>
          <w:rFonts w:ascii="宋体" w:hAnsi="宋体"/>
          <w:b/>
          <w:sz w:val="32"/>
          <w:szCs w:val="32"/>
          <w:highlight w:val="none"/>
        </w:rPr>
      </w:pPr>
      <w:r>
        <w:rPr>
          <w:rFonts w:ascii="宋体" w:hAnsi="宋体"/>
          <w:b/>
          <w:sz w:val="32"/>
          <w:szCs w:val="32"/>
          <w:highlight w:val="none"/>
        </w:rPr>
      </w:r>
      <w:r/>
    </w:p>
    <w:tbl>
      <w:tblPr>
        <w:tblStyle w:val="692"/>
        <w:tblW w:w="90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ascii="幼圆" w:eastAsia="幼圆"/>
                <w:b/>
                <w:szCs w:val="21"/>
                <w:highlight w:val="none"/>
              </w:rPr>
            </w:pPr>
            <w:r>
              <w:rPr>
                <w:rFonts w:hint="eastAsia" w:ascii="宋体" w:hAnsi="宋体" w:cs="宋体"/>
                <w:b/>
                <w:szCs w:val="21"/>
                <w:highlight w:val="none"/>
              </w:rPr>
              <w:t xml:space="preserve">序号</w:t>
            </w:r>
            <w:r/>
          </w:p>
        </w:tc>
        <w:tc>
          <w:tcPr>
            <w:tcW w:w="5447" w:type="dxa"/>
            <w:vAlign w:val="center"/>
            <w:textDirection w:val="lrTb"/>
            <w:noWrap w:val="false"/>
          </w:tcPr>
          <w:p>
            <w:pPr>
              <w:jc w:val="center"/>
              <w:spacing w:line="360" w:lineRule="auto"/>
              <w:rPr>
                <w:rFonts w:ascii="幼圆" w:eastAsia="幼圆"/>
                <w:b/>
                <w:szCs w:val="21"/>
                <w:highlight w:val="none"/>
              </w:rPr>
            </w:pPr>
            <w:r>
              <w:rPr>
                <w:rFonts w:hint="eastAsia" w:ascii="宋体" w:hAnsi="宋体" w:cs="宋体"/>
                <w:b/>
                <w:szCs w:val="21"/>
                <w:highlight w:val="none"/>
              </w:rPr>
              <w:t xml:space="preserve">非实质性响应内容</w:t>
            </w:r>
            <w:r/>
          </w:p>
        </w:tc>
        <w:tc>
          <w:tcPr>
            <w:tcW w:w="1680"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是否响应</w:t>
            </w:r>
            <w:r/>
          </w:p>
          <w:p>
            <w:pPr>
              <w:jc w:val="center"/>
              <w:spacing w:line="360" w:lineRule="auto"/>
              <w:rPr>
                <w:rFonts w:ascii="幼圆" w:eastAsia="幼圆"/>
                <w:b/>
                <w:szCs w:val="21"/>
                <w:highlight w:val="none"/>
              </w:rPr>
            </w:pPr>
            <w:r>
              <w:rPr>
                <w:rFonts w:hint="eastAsia" w:ascii="宋体" w:hAnsi="宋体" w:cs="宋体"/>
                <w:b/>
                <w:szCs w:val="21"/>
                <w:highlight w:val="none"/>
              </w:rPr>
              <w:t xml:space="preserve">（填是或者否）</w:t>
            </w:r>
            <w:r/>
          </w:p>
        </w:tc>
        <w:tc>
          <w:tcPr>
            <w:tcW w:w="1308"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b/>
                <w:szCs w:val="21"/>
                <w:highlight w:val="none"/>
              </w:rPr>
            </w:pPr>
            <w:r>
              <w:rPr>
                <w:rFonts w:hint="eastAsia" w:ascii="宋体" w:hAnsi="宋体"/>
                <w:b w:val="0"/>
                <w:bCs/>
                <w:szCs w:val="21"/>
                <w:highlight w:val="none"/>
              </w:rPr>
              <w:t xml:space="preserve">1</w:t>
            </w:r>
            <w:r/>
          </w:p>
        </w:tc>
        <w:tc>
          <w:tcPr>
            <w:tcW w:w="5447" w:type="dxa"/>
            <w:vAlign w:val="center"/>
            <w:textDirection w:val="lrTb"/>
            <w:noWrap w:val="false"/>
          </w:tcPr>
          <w:p>
            <w:pPr>
              <w:spacing w:line="360" w:lineRule="auto"/>
              <w:rPr>
                <w:rFonts w:ascii="宋体" w:hAnsi="宋体"/>
                <w:iCs/>
                <w:szCs w:val="21"/>
                <w:highlight w:val="none"/>
              </w:rPr>
            </w:pPr>
            <w:r>
              <w:rPr>
                <w:rFonts w:hint="eastAsia" w:ascii="宋体" w:hAnsi="宋体"/>
                <w:szCs w:val="21"/>
                <w:highlight w:val="none"/>
              </w:rPr>
              <w:t xml:space="preserve">《企业声明函》</w:t>
            </w:r>
            <w:r/>
          </w:p>
        </w:tc>
        <w:tc>
          <w:tcPr>
            <w:tcW w:w="1680" w:type="dxa"/>
            <w:vAlign w:val="center"/>
            <w:textDirection w:val="lrTb"/>
            <w:noWrap w:val="false"/>
          </w:tcPr>
          <w:p>
            <w:pPr>
              <w:spacing w:line="360" w:lineRule="auto"/>
              <w:rPr>
                <w:rFonts w:ascii="宋体" w:hAnsi="宋体"/>
                <w:b/>
                <w:szCs w:val="21"/>
                <w:highlight w:val="none"/>
              </w:rPr>
            </w:pPr>
            <w:r>
              <w:rPr>
                <w:rFonts w:ascii="宋体" w:hAnsi="宋体"/>
                <w:b/>
                <w:szCs w:val="21"/>
                <w:highlight w:val="none"/>
              </w:rPr>
            </w:r>
            <w:r/>
          </w:p>
        </w:tc>
        <w:tc>
          <w:tcPr>
            <w:tcW w:w="1308" w:type="dxa"/>
            <w:vAlign w:val="center"/>
            <w:textDirection w:val="lrTb"/>
            <w:noWrap w:val="false"/>
          </w:tcPr>
          <w:p>
            <w:pPr>
              <w:spacing w:line="360" w:lineRule="auto"/>
              <w:rPr>
                <w:rFonts w:ascii="宋体" w:hAnsi="宋体"/>
                <w:b/>
                <w:szCs w:val="21"/>
                <w:highlight w:val="none"/>
              </w:rPr>
            </w:pPr>
            <w:r>
              <w:rPr>
                <w:rFonts w:ascii="宋体" w:hAnsi="宋体"/>
                <w:b/>
                <w:szCs w:val="21"/>
                <w:highlight w:val="none"/>
              </w:rPr>
            </w:r>
            <w:r/>
          </w:p>
        </w:tc>
      </w:tr>
      <w:tr>
        <w:trPr>
          <w:trHeight w:val="585"/>
        </w:trPr>
        <w:tc>
          <w:tcPr>
            <w:tcW w:w="646"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2</w:t>
            </w:r>
            <w:r/>
          </w:p>
        </w:tc>
        <w:tc>
          <w:tcPr>
            <w:tcW w:w="5447" w:type="dxa"/>
            <w:vAlign w:val="center"/>
            <w:textDirection w:val="lrTb"/>
            <w:noWrap w:val="false"/>
          </w:tcPr>
          <w:p>
            <w:pPr>
              <w:spacing w:line="360" w:lineRule="auto"/>
              <w:rPr>
                <w:rFonts w:ascii="宋体" w:hAnsi="宋体"/>
                <w:iCs/>
                <w:szCs w:val="21"/>
                <w:highlight w:val="none"/>
              </w:rPr>
            </w:pPr>
            <w:r>
              <w:rPr>
                <w:rFonts w:hint="eastAsia" w:ascii="宋体" w:hAnsi="宋体"/>
                <w:szCs w:val="21"/>
                <w:highlight w:val="none"/>
              </w:rPr>
              <w:t xml:space="preserve">《残疾人福利性单位声明函》</w:t>
            </w:r>
            <w:r/>
          </w:p>
        </w:tc>
        <w:tc>
          <w:tcPr>
            <w:tcW w:w="1680"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308"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585"/>
        </w:trPr>
        <w:tc>
          <w:tcPr>
            <w:tcW w:w="646" w:type="dxa"/>
            <w:vAlign w:val="center"/>
            <w:textDirection w:val="lrTb"/>
            <w:noWrap w:val="false"/>
          </w:tcPr>
          <w:p>
            <w:pPr>
              <w:jc w:val="center"/>
              <w:spacing w:line="360" w:lineRule="auto"/>
              <w:rPr>
                <w:rFonts w:hint="eastAsia" w:ascii="宋体" w:hAnsi="宋体" w:eastAsia="宋体"/>
                <w:szCs w:val="21"/>
                <w:highlight w:val="none"/>
                <w:lang w:val="en-US" w:eastAsia="zh-CN"/>
              </w:rPr>
            </w:pPr>
            <w:r>
              <w:rPr>
                <w:rFonts w:hint="eastAsia" w:ascii="宋体" w:hAnsi="宋体"/>
                <w:szCs w:val="21"/>
                <w:highlight w:val="none"/>
                <w:lang w:val="en-US" w:eastAsia="zh-CN"/>
              </w:rPr>
              <w:t xml:space="preserve">3</w:t>
            </w:r>
            <w:r/>
          </w:p>
        </w:tc>
        <w:tc>
          <w:tcPr>
            <w:tcW w:w="5447" w:type="dxa"/>
            <w:vAlign w:val="center"/>
            <w:textDirection w:val="lrTb"/>
            <w:noWrap w:val="false"/>
          </w:tcPr>
          <w:p>
            <w:pPr>
              <w:spacing w:line="360" w:lineRule="auto"/>
              <w:rPr>
                <w:rFonts w:hint="eastAsia" w:ascii="宋体" w:hAnsi="宋体" w:eastAsia="宋体"/>
                <w:szCs w:val="21"/>
                <w:highlight w:val="none"/>
                <w:lang w:eastAsia="zh-CN"/>
              </w:rPr>
            </w:pPr>
            <w:r>
              <w:rPr>
                <w:rFonts w:hint="eastAsia" w:ascii="宋体" w:hAnsi="宋体"/>
                <w:szCs w:val="21"/>
                <w:highlight w:val="none"/>
                <w:lang w:eastAsia="zh-CN"/>
              </w:rPr>
              <w:t xml:space="preserve">《</w:t>
            </w:r>
            <w:r>
              <w:rPr>
                <w:rFonts w:hint="eastAsia" w:ascii="宋体" w:hAnsi="宋体"/>
                <w:szCs w:val="21"/>
                <w:highlight w:val="none"/>
              </w:rPr>
              <w:t xml:space="preserve">关于符合本国产品标准的声明函</w:t>
            </w:r>
            <w:r>
              <w:rPr>
                <w:rFonts w:hint="eastAsia" w:ascii="宋体" w:hAnsi="宋体"/>
                <w:szCs w:val="21"/>
                <w:highlight w:val="none"/>
                <w:lang w:eastAsia="zh-CN"/>
              </w:rPr>
              <w:t xml:space="preserve">》</w:t>
            </w:r>
            <w:r/>
          </w:p>
        </w:tc>
        <w:tc>
          <w:tcPr>
            <w:tcW w:w="1680"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308"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780"/>
        </w:trPr>
        <w:tc>
          <w:tcPr>
            <w:tcW w:w="646" w:type="dxa"/>
            <w:vAlign w:val="center"/>
            <w:textDirection w:val="lrTb"/>
            <w:noWrap w:val="false"/>
          </w:tcPr>
          <w:p>
            <w:pPr>
              <w:jc w:val="center"/>
              <w:spacing w:line="360" w:lineRule="auto"/>
              <w:rPr>
                <w:rFonts w:hint="eastAsia" w:ascii="宋体" w:hAnsi="宋体" w:eastAsia="宋体"/>
                <w:szCs w:val="21"/>
                <w:highlight w:val="none"/>
                <w:lang w:eastAsia="zh-CN"/>
              </w:rPr>
            </w:pPr>
            <w:r>
              <w:rPr>
                <w:rFonts w:hint="eastAsia" w:ascii="宋体" w:hAnsi="宋体"/>
                <w:szCs w:val="21"/>
                <w:highlight w:val="none"/>
                <w:lang w:val="en-US" w:eastAsia="zh-CN"/>
              </w:rPr>
              <w:t xml:space="preserve">4</w:t>
            </w:r>
            <w:r/>
          </w:p>
        </w:tc>
        <w:tc>
          <w:tcPr>
            <w:tcW w:w="5447" w:type="dxa"/>
            <w:vAlign w:val="center"/>
            <w:textDirection w:val="lrTb"/>
            <w:noWrap w:val="false"/>
          </w:tcPr>
          <w:p>
            <w:pPr>
              <w:spacing w:line="360" w:lineRule="auto"/>
              <w:rPr>
                <w:rFonts w:ascii="宋体" w:hAnsi="宋体"/>
                <w:iCs/>
                <w:szCs w:val="21"/>
                <w:highlight w:val="none"/>
              </w:rPr>
            </w:pPr>
            <w:r>
              <w:rPr>
                <w:rFonts w:ascii="宋体" w:hAnsi="宋体"/>
                <w:iCs/>
                <w:szCs w:val="21"/>
                <w:highlight w:val="none"/>
              </w:rPr>
              <w:t xml:space="preserve">……</w:t>
            </w:r>
            <w:r/>
          </w:p>
        </w:tc>
        <w:tc>
          <w:tcPr>
            <w:tcW w:w="1680"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308"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bl>
    <w:p>
      <w:pPr>
        <w:contextualSpacing/>
        <w:jc w:val="center"/>
        <w:spacing w:line="360" w:lineRule="auto"/>
        <w:rPr>
          <w:rFonts w:ascii="宋体" w:hAnsi="宋体"/>
          <w:b/>
          <w:bCs/>
          <w:sz w:val="32"/>
          <w:szCs w:val="32"/>
          <w:highlight w:val="none"/>
        </w:rPr>
      </w:pPr>
      <w:r>
        <w:rPr>
          <w:rFonts w:ascii="宋体" w:hAnsi="宋体"/>
          <w:b/>
          <w:bCs/>
          <w:sz w:val="32"/>
          <w:szCs w:val="32"/>
          <w:highlight w:val="none"/>
        </w:rPr>
      </w:r>
      <w:r/>
    </w:p>
    <w:p>
      <w:pPr>
        <w:contextualSpacing/>
        <w:jc w:val="center"/>
        <w:spacing w:line="360" w:lineRule="auto"/>
        <w:rPr>
          <w:rFonts w:ascii="宋体" w:hAnsi="宋体"/>
          <w:b/>
          <w:bCs/>
          <w:sz w:val="32"/>
          <w:szCs w:val="32"/>
          <w:highlight w:val="none"/>
        </w:rPr>
      </w:pPr>
      <w:r>
        <w:rPr>
          <w:rFonts w:ascii="宋体" w:hAnsi="宋体"/>
          <w:b/>
          <w:bCs/>
          <w:sz w:val="32"/>
          <w:szCs w:val="32"/>
          <w:highlight w:val="none"/>
        </w:rPr>
      </w:r>
      <w:r/>
    </w:p>
    <w:p>
      <w:pPr>
        <w:spacing w:line="360" w:lineRule="auto"/>
        <w:rPr>
          <w:highlight w:val="none"/>
        </w:rPr>
      </w:pPr>
      <w:r>
        <w:rPr>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rPr>
          <w:b/>
          <w:bCs/>
          <w:highlight w:val="none"/>
        </w:rPr>
      </w:pPr>
      <w:r>
        <w:rPr>
          <w:rFonts w:hint="eastAsia"/>
          <w:b/>
          <w:bCs/>
          <w:highlight w:val="none"/>
        </w:rPr>
        <w:br w:type="page" w:clear="all"/>
      </w:r>
      <w:r/>
    </w:p>
    <w:p>
      <w:pPr>
        <w:jc w:val="center"/>
        <w:spacing w:before="312" w:after="312" w:line="360" w:lineRule="auto"/>
        <w:rPr>
          <w:rFonts w:hint="eastAsia"/>
          <w:b/>
          <w:bCs/>
          <w:highlight w:val="none"/>
        </w:rPr>
      </w:pPr>
      <w:r>
        <w:rPr>
          <w:rFonts w:hint="eastAsia"/>
          <w:b/>
          <w:bCs/>
          <w:highlight w:val="none"/>
        </w:rPr>
        <w:t xml:space="preserve">中小企业声明函（货物）</w:t>
      </w:r>
      <w:r/>
    </w:p>
    <w:p>
      <w:pPr>
        <w:ind w:firstLine="420"/>
        <w:jc w:val="left"/>
        <w:spacing w:line="312" w:lineRule="auto"/>
        <w:rPr>
          <w:highlight w:val="none"/>
        </w:rPr>
      </w:pPr>
      <w:r>
        <w:rPr>
          <w:rFonts w:hint="eastAsia"/>
          <w:highlight w:val="none"/>
        </w:rPr>
        <w:t xml:space="preserve">本公司（联合体）郑重声明，根据《政府采购促进中小企业发展管理办法》（财库﹝2020﹞46 号）的规定，本公司（联合体）参加</w:t>
      </w:r>
      <w:r>
        <w:rPr>
          <w:rFonts w:hint="eastAsia"/>
          <w:highlight w:val="none"/>
          <w:u w:val="single"/>
        </w:rPr>
        <w:t xml:space="preserve">（单位名称）</w:t>
      </w:r>
      <w:r>
        <w:rPr>
          <w:rFonts w:hint="eastAsia"/>
          <w:highlight w:val="none"/>
        </w:rPr>
        <w:t xml:space="preserve">的</w:t>
      </w:r>
      <w:r>
        <w:rPr>
          <w:rFonts w:hint="eastAsia"/>
          <w:highlight w:val="none"/>
          <w:u w:val="single"/>
        </w:rPr>
        <w:t xml:space="preserve">（项目名称）</w:t>
      </w:r>
      <w:r>
        <w:rPr>
          <w:rFonts w:hint="eastAsia"/>
          <w:highlight w:val="none"/>
        </w:rPr>
        <w:t xml:space="preserve">采购活动，提供的货物全部由符合政策要求的中小企业制造。相关企业（含联合体中的中小企业、签订分包意向协议的中小企业）的具体情况如下：</w:t>
      </w:r>
      <w:r/>
    </w:p>
    <w:p>
      <w:pPr>
        <w:ind w:firstLine="420"/>
        <w:jc w:val="left"/>
        <w:spacing w:line="312" w:lineRule="auto"/>
        <w:rPr>
          <w:highlight w:val="none"/>
        </w:rPr>
      </w:pPr>
      <w:r>
        <w:rPr>
          <w:rFonts w:hint="eastAsia"/>
          <w:highlight w:val="none"/>
        </w:rPr>
        <w:t xml:space="preserve">1. </w:t>
      </w:r>
      <w:r>
        <w:rPr>
          <w:rFonts w:hint="eastAsia"/>
          <w:highlight w:val="none"/>
          <w:u w:val="single"/>
        </w:rPr>
        <w:t xml:space="preserve">（标的名称） </w:t>
      </w:r>
      <w:r>
        <w:rPr>
          <w:rFonts w:hint="eastAsia"/>
          <w:highlight w:val="none"/>
        </w:rPr>
        <w:t xml:space="preserve">，属于</w:t>
      </w:r>
      <w:r>
        <w:rPr>
          <w:rFonts w:hint="eastAsia"/>
          <w:highlight w:val="none"/>
          <w:u w:val="single"/>
        </w:rPr>
        <w:t xml:space="preserve">（采购文件中明确的所属行业）行业（</w:t>
      </w:r>
      <w:r>
        <w:rPr>
          <w:rFonts w:hint="eastAsia"/>
          <w:highlight w:val="none"/>
          <w:u w:val="single"/>
          <w:lang w:val="en-US" w:eastAsia="zh-CN"/>
        </w:rPr>
        <w:t xml:space="preserve">工业</w:t>
      </w:r>
      <w:r>
        <w:rPr>
          <w:rFonts w:hint="eastAsia"/>
          <w:highlight w:val="none"/>
          <w:u w:val="single"/>
        </w:rPr>
        <w:t xml:space="preserve">）</w:t>
      </w:r>
      <w:r>
        <w:rPr>
          <w:rFonts w:hint="eastAsia"/>
          <w:highlight w:val="none"/>
        </w:rPr>
        <w:t xml:space="preserve">；制造商为</w:t>
      </w:r>
      <w:r>
        <w:rPr>
          <w:rFonts w:hint="eastAsia"/>
          <w:highlight w:val="none"/>
          <w:u w:val="single"/>
        </w:rPr>
        <w:t xml:space="preserve">（企业名称）</w:t>
      </w:r>
      <w:r>
        <w:rPr>
          <w:rFonts w:hint="eastAsia"/>
          <w:highlight w:val="none"/>
        </w:rPr>
        <w:t xml:space="preserve">，从业人员</w:t>
      </w:r>
      <w:r>
        <w:rPr>
          <w:rFonts w:hint="eastAsia"/>
          <w:highlight w:val="none"/>
          <w:u w:val="single"/>
        </w:rPr>
        <w:t xml:space="preserve">       </w:t>
      </w:r>
      <w:r>
        <w:rPr>
          <w:rFonts w:hint="eastAsia"/>
          <w:highlight w:val="none"/>
        </w:rPr>
        <w:t xml:space="preserve">人，营业收入为</w:t>
      </w:r>
      <w:r>
        <w:rPr>
          <w:rFonts w:hint="eastAsia"/>
          <w:highlight w:val="none"/>
          <w:u w:val="single"/>
        </w:rPr>
        <w:t xml:space="preserve">        </w:t>
      </w:r>
      <w:r>
        <w:rPr>
          <w:rFonts w:hint="eastAsia"/>
          <w:highlight w:val="none"/>
        </w:rPr>
        <w:t xml:space="preserve">万元，资产总额为</w:t>
      </w:r>
      <w:r>
        <w:rPr>
          <w:rFonts w:hint="eastAsia"/>
          <w:highlight w:val="none"/>
          <w:u w:val="single"/>
        </w:rPr>
        <w:t xml:space="preserve">        </w:t>
      </w:r>
      <w:r>
        <w:rPr>
          <w:rFonts w:hint="eastAsia"/>
          <w:highlight w:val="none"/>
        </w:rPr>
        <w:t xml:space="preserve">万元</w:t>
      </w:r>
      <w:r>
        <w:fldChar w:fldCharType="begin"/>
      </w:r>
      <w:r>
        <w:instrText xml:space="preserve"> HYPERLINK \l "br1" </w:instrText>
      </w:r>
      <w:r>
        <w:fldChar w:fldCharType="separate"/>
      </w:r>
      <w:r>
        <w:rPr>
          <w:rFonts w:ascii="仿宋" w:eastAsia="Times New Roman"/>
          <w:spacing w:val="-1"/>
          <w:highlight w:val="none"/>
          <w:vertAlign w:val="superscript"/>
        </w:rPr>
        <w:t xml:space="preserve">1</w:t>
      </w:r>
      <w:r>
        <w:rPr>
          <w:rFonts w:ascii="仿宋" w:eastAsia="Times New Roman"/>
          <w:spacing w:val="-1"/>
          <w:highlight w:val="none"/>
          <w:vertAlign w:val="superscript"/>
        </w:rPr>
        <w:fldChar w:fldCharType="end"/>
      </w:r>
      <w:r>
        <w:rPr>
          <w:rFonts w:hint="eastAsia"/>
          <w:highlight w:val="none"/>
        </w:rPr>
        <w:t xml:space="preserve">，属于</w:t>
      </w:r>
      <w:r>
        <w:rPr>
          <w:rFonts w:hint="eastAsia"/>
          <w:highlight w:val="none"/>
          <w:u w:val="single"/>
        </w:rPr>
        <w:t xml:space="preserve">（中型企业、小型企业、微型企业）；</w:t>
      </w:r>
      <w:r/>
    </w:p>
    <w:p>
      <w:pPr>
        <w:ind w:firstLine="420"/>
        <w:jc w:val="left"/>
        <w:spacing w:line="312" w:lineRule="auto"/>
        <w:rPr>
          <w:highlight w:val="none"/>
          <w:u w:val="single"/>
        </w:rPr>
      </w:pPr>
      <w:r>
        <w:rPr>
          <w:rFonts w:hint="eastAsia"/>
          <w:highlight w:val="none"/>
        </w:rPr>
        <w:t xml:space="preserve">2. </w:t>
      </w:r>
      <w:r>
        <w:rPr>
          <w:rFonts w:hint="eastAsia"/>
          <w:highlight w:val="none"/>
          <w:u w:val="single"/>
        </w:rPr>
        <w:t xml:space="preserve">（标的名称） </w:t>
      </w:r>
      <w:r>
        <w:rPr>
          <w:rFonts w:hint="eastAsia"/>
          <w:highlight w:val="none"/>
        </w:rPr>
        <w:t xml:space="preserve">，属于</w:t>
      </w:r>
      <w:r>
        <w:rPr>
          <w:rFonts w:hint="eastAsia"/>
          <w:highlight w:val="none"/>
          <w:u w:val="single"/>
        </w:rPr>
        <w:t xml:space="preserve">（采购文件中明确的所属行业）行业（</w:t>
      </w:r>
      <w:r>
        <w:rPr>
          <w:rFonts w:hint="eastAsia"/>
          <w:highlight w:val="none"/>
          <w:u w:val="single"/>
          <w:lang w:val="en-US" w:eastAsia="zh-CN"/>
        </w:rPr>
        <w:t xml:space="preserve">工业</w:t>
      </w:r>
      <w:r>
        <w:rPr>
          <w:rFonts w:hint="eastAsia"/>
          <w:highlight w:val="none"/>
          <w:u w:val="single"/>
        </w:rPr>
        <w:t xml:space="preserve">）；</w:t>
      </w:r>
      <w:r>
        <w:rPr>
          <w:rFonts w:hint="eastAsia"/>
          <w:highlight w:val="none"/>
        </w:rPr>
        <w:t xml:space="preserve">制造商为</w:t>
      </w:r>
      <w:r>
        <w:rPr>
          <w:rFonts w:hint="eastAsia"/>
          <w:highlight w:val="none"/>
          <w:u w:val="single"/>
        </w:rPr>
        <w:t xml:space="preserve">（企业名称）</w:t>
      </w:r>
      <w:r>
        <w:rPr>
          <w:rFonts w:hint="eastAsia"/>
          <w:highlight w:val="none"/>
        </w:rPr>
        <w:t xml:space="preserve">，从业人员</w:t>
      </w:r>
      <w:r>
        <w:rPr>
          <w:rFonts w:hint="eastAsia"/>
          <w:highlight w:val="none"/>
          <w:u w:val="single"/>
        </w:rPr>
        <w:t xml:space="preserve">       </w:t>
      </w:r>
      <w:r>
        <w:rPr>
          <w:rFonts w:hint="eastAsia"/>
          <w:highlight w:val="none"/>
        </w:rPr>
        <w:t xml:space="preserve">人，营业收入为</w:t>
      </w:r>
      <w:r>
        <w:rPr>
          <w:rFonts w:hint="eastAsia"/>
          <w:highlight w:val="none"/>
          <w:u w:val="single"/>
        </w:rPr>
        <w:t xml:space="preserve">        </w:t>
      </w:r>
      <w:r>
        <w:rPr>
          <w:rFonts w:hint="eastAsia"/>
          <w:highlight w:val="none"/>
        </w:rPr>
        <w:t xml:space="preserve">万元，资产总额为</w:t>
      </w:r>
      <w:r>
        <w:rPr>
          <w:rFonts w:hint="eastAsia"/>
          <w:highlight w:val="none"/>
          <w:u w:val="single"/>
        </w:rPr>
        <w:t xml:space="preserve">        </w:t>
      </w:r>
      <w:r>
        <w:rPr>
          <w:rFonts w:hint="eastAsia"/>
          <w:highlight w:val="none"/>
        </w:rPr>
        <w:t xml:space="preserve">万元，属于</w:t>
      </w:r>
      <w:r>
        <w:rPr>
          <w:rFonts w:hint="eastAsia"/>
          <w:highlight w:val="none"/>
          <w:u w:val="single"/>
        </w:rPr>
        <w:t xml:space="preserve">（中型企业、小型企业、微型企业）；</w:t>
      </w:r>
      <w:r/>
    </w:p>
    <w:p>
      <w:pPr>
        <w:ind w:firstLine="420"/>
        <w:jc w:val="left"/>
        <w:spacing w:line="312" w:lineRule="auto"/>
        <w:rPr>
          <w:highlight w:val="none"/>
        </w:rPr>
      </w:pPr>
      <w:r>
        <w:rPr>
          <w:rFonts w:hint="eastAsia"/>
          <w:highlight w:val="none"/>
        </w:rPr>
        <w:t xml:space="preserve">……</w:t>
      </w:r>
      <w:r/>
    </w:p>
    <w:p>
      <w:pPr>
        <w:ind w:firstLine="420"/>
        <w:jc w:val="left"/>
        <w:spacing w:line="312" w:lineRule="auto"/>
        <w:rPr>
          <w:highlight w:val="none"/>
        </w:rPr>
      </w:pPr>
      <w:r>
        <w:rPr>
          <w:rFonts w:hint="eastAsia"/>
          <w:highlight w:val="none"/>
        </w:rPr>
        <w:t xml:space="preserve">以上企业，不属于大企业的分支机构，不存在控股股东为大企业的情形，也不存在与大企业的负责人为同一人的情形。</w:t>
      </w:r>
      <w:r/>
    </w:p>
    <w:p>
      <w:pPr>
        <w:ind w:firstLine="420"/>
        <w:jc w:val="left"/>
        <w:spacing w:line="312" w:lineRule="auto"/>
        <w:rPr>
          <w:highlight w:val="none"/>
        </w:rPr>
      </w:pPr>
      <w:r>
        <w:rPr>
          <w:rFonts w:hint="eastAsia"/>
          <w:highlight w:val="none"/>
        </w:rPr>
        <w:t xml:space="preserve">本企业对上述声明内容的真实性负责。如有虚假，将依法承担相应责任。</w:t>
      </w:r>
      <w:r/>
    </w:p>
    <w:p>
      <w:pPr>
        <w:ind w:firstLine="420"/>
        <w:jc w:val="left"/>
        <w:spacing w:line="312" w:lineRule="auto"/>
        <w:rPr>
          <w:highlight w:val="none"/>
        </w:rPr>
      </w:pPr>
      <w:r>
        <w:rPr>
          <w:highlight w:val="none"/>
        </w:rPr>
      </w:r>
      <w:r/>
    </w:p>
    <w:p>
      <w:pPr>
        <w:jc w:val="left"/>
        <w:spacing w:line="312" w:lineRule="auto"/>
        <w:rPr>
          <w:highlight w:val="none"/>
        </w:rPr>
      </w:pPr>
      <w:r>
        <w:rPr>
          <w:rFonts w:hint="eastAsia" w:ascii="宋体" w:hAnsi="宋体"/>
          <w:highlight w:val="none"/>
        </w:rPr>
        <w:t xml:space="preserve">注： 1、</w:t>
      </w:r>
      <w:r>
        <w:rPr>
          <w:rFonts w:hint="eastAsia"/>
          <w:highlight w:val="none"/>
        </w:rPr>
        <w:t xml:space="preserve">从业人员（不仅指在职职工）、营业收入、资产总额填报上一年度数据，无上一年度数据的新成立企业可不填报。</w:t>
      </w:r>
      <w:r/>
    </w:p>
    <w:p>
      <w:pPr>
        <w:ind w:firstLine="420"/>
        <w:spacing w:line="312" w:lineRule="auto"/>
        <w:rPr>
          <w:rFonts w:ascii="宋体" w:hAnsi="宋体"/>
          <w:highlight w:val="none"/>
        </w:rPr>
      </w:pPr>
      <w:r>
        <w:rPr>
          <w:rFonts w:hint="eastAsia" w:ascii="宋体" w:hAnsi="宋体"/>
          <w:highlight w:val="none"/>
        </w:rPr>
        <w:t xml:space="preserve">2、投标人如不提供此声明函，价格将不做相应扣除。</w:t>
      </w:r>
      <w:r/>
    </w:p>
    <w:p>
      <w:pPr>
        <w:spacing w:line="312" w:lineRule="auto"/>
        <w:rPr>
          <w:rFonts w:ascii="宋体" w:hAnsi="宋体"/>
          <w:highlight w:val="none"/>
        </w:rPr>
      </w:pPr>
      <w:r>
        <w:rPr>
          <w:rFonts w:hint="eastAsia" w:ascii="宋体" w:hAnsi="宋体"/>
          <w:highlight w:val="none"/>
        </w:rPr>
        <w:t xml:space="preserve">    3、企业声明函请完整填写，中标后将公示。</w:t>
      </w:r>
      <w:r/>
    </w:p>
    <w:p>
      <w:pPr>
        <w:ind w:firstLine="420"/>
        <w:jc w:val="left"/>
        <w:spacing w:line="312" w:lineRule="auto"/>
        <w:rPr>
          <w:rFonts w:hint="eastAsia" w:ascii="宋体" w:hAnsi="宋体" w:eastAsia="宋体" w:cs="宋体"/>
          <w:highlight w:val="none"/>
        </w:rPr>
      </w:pPr>
      <w:r>
        <w:rPr>
          <w:rFonts w:hint="eastAsia" w:ascii="宋体" w:hAnsi="宋体" w:eastAsia="宋体" w:cs="宋体"/>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12" w:lineRule="auto"/>
        <w:rPr>
          <w:rFonts w:hint="eastAsia" w:ascii="宋体" w:hAnsi="宋体" w:eastAsia="宋体" w:cs="宋体"/>
          <w:highlight w:val="none"/>
        </w:rPr>
      </w:pPr>
      <w:r>
        <w:rPr>
          <w:rFonts w:hint="eastAsia" w:ascii="宋体" w:hAnsi="宋体" w:eastAsia="宋体" w:cs="宋体"/>
          <w:highlight w:val="none"/>
        </w:rPr>
        <w:t xml:space="preserve">5、声明函应涵盖本项目(分包)所有货物，否则价格不作扣除。</w:t>
      </w:r>
      <w:r/>
    </w:p>
    <w:p>
      <w:pPr>
        <w:ind w:firstLine="420"/>
        <w:jc w:val="left"/>
        <w:spacing w:line="312" w:lineRule="auto"/>
        <w:rPr>
          <w:rFonts w:ascii="宋体" w:hAnsi="宋体"/>
          <w:szCs w:val="21"/>
          <w:highlight w:val="none"/>
        </w:rPr>
      </w:pPr>
      <w:r>
        <w:rPr>
          <w:rFonts w:hint="eastAsia" w:ascii="宋体" w:hAnsi="宋体" w:eastAsia="宋体" w:cs="宋体"/>
          <w:highlight w:val="none"/>
        </w:rPr>
        <w:t xml:space="preserve">6、</w:t>
      </w:r>
      <w:r>
        <w:rPr>
          <w:rFonts w:hint="eastAsia" w:ascii="宋体" w:hAnsi="宋体" w:eastAsia="宋体" w:cs="宋体"/>
          <w:szCs w:val="21"/>
          <w:highlight w:val="none"/>
        </w:rPr>
        <w:t xml:space="preserve">中小企业不得属于大企业的分支机构，不得存在控股股东为大企业的情形，不得存在与大企业的负责人</w:t>
      </w:r>
      <w:r>
        <w:rPr>
          <w:rFonts w:hint="eastAsia" w:ascii="宋体" w:hAnsi="宋体"/>
          <w:szCs w:val="21"/>
          <w:highlight w:val="none"/>
        </w:rPr>
        <w:t xml:space="preserve">为同一人的情形。</w:t>
      </w:r>
      <w:r/>
    </w:p>
    <w:p>
      <w:pPr>
        <w:ind w:firstLine="420"/>
        <w:jc w:val="left"/>
        <w:spacing w:line="312" w:lineRule="auto"/>
        <w:rPr>
          <w:rFonts w:ascii="宋体" w:hAnsi="宋体"/>
          <w:szCs w:val="21"/>
          <w:highlight w:val="none"/>
        </w:rPr>
      </w:pPr>
      <w:r>
        <w:rPr>
          <w:rFonts w:hint="eastAsia" w:ascii="宋体" w:hAnsi="宋体"/>
          <w:szCs w:val="21"/>
          <w:highlight w:val="none"/>
        </w:rPr>
        <w:t xml:space="preserve">7、</w:t>
      </w:r>
      <w:r>
        <w:rPr>
          <w:rFonts w:hint="eastAsia" w:ascii="宋体" w:hAnsi="宋体" w:cs="Arial"/>
          <w:bCs/>
          <w:szCs w:val="21"/>
          <w:highlight w:val="none"/>
          <w:shd w:val="clear" w:color="auto" w:fill="ffffff"/>
        </w:rPr>
        <w:t xml:space="preserve">《政府采购法》第七十七条第一款：</w:t>
      </w:r>
      <w:r>
        <w:rPr>
          <w:rFonts w:hint="eastAsia" w:ascii="宋体" w:hAnsi="宋体"/>
          <w:bCs/>
          <w:szCs w:val="21"/>
          <w:highlight w:val="none"/>
          <w:shd w:val="clear" w:color="auto" w:fill="ffffff"/>
        </w:rPr>
        <w:t xml:space="preserve">提供虚假材料谋取中标、成交的</w:t>
      </w:r>
      <w:r>
        <w:rPr>
          <w:rFonts w:hint="eastAsia" w:ascii="宋体" w:hAnsi="宋体" w:cs="Arial"/>
          <w:bCs/>
          <w:szCs w:val="21"/>
          <w:highlight w:val="none"/>
          <w:shd w:val="clear" w:color="auto" w:fill="ffffff"/>
        </w:rPr>
        <w:t xml:space="preserve">，</w:t>
      </w:r>
      <w:r>
        <w:rPr>
          <w:rFonts w:hint="eastAsia" w:ascii="宋体" w:hAnsi="宋体"/>
          <w:bCs/>
          <w:szCs w:val="21"/>
          <w:highlight w:val="none"/>
          <w:shd w:val="clear" w:color="auto" w:fill="ffffff"/>
        </w:rPr>
        <w:t xml:space="preserve">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250"/>
        <w:spacing w:line="312" w:lineRule="auto"/>
        <w:rPr>
          <w:highlight w:val="none"/>
        </w:rPr>
      </w:pPr>
      <w:r>
        <w:rPr>
          <w:rFonts w:hint="eastAsia"/>
          <w:highlight w:val="none"/>
        </w:rPr>
        <w:t xml:space="preserve">企业名称（盖章）：</w:t>
      </w:r>
      <w:r/>
    </w:p>
    <w:p>
      <w:pPr>
        <w:jc w:val="center"/>
        <w:spacing w:line="312" w:lineRule="auto"/>
        <w:rPr>
          <w:highlight w:val="none"/>
        </w:rPr>
      </w:pPr>
      <w:r>
        <w:rPr>
          <w:rFonts w:hint="eastAsia"/>
          <w:highlight w:val="none"/>
        </w:rPr>
        <w:t xml:space="preserve">                             日 期：</w:t>
      </w:r>
      <w:r/>
    </w:p>
    <w:p>
      <w:pPr>
        <w:jc w:val="center"/>
        <w:spacing w:line="360" w:lineRule="auto"/>
        <w:rPr>
          <w:rStyle w:val="896"/>
          <w:rFonts w:ascii="宋体" w:hAnsi="宋体" w:cs="仿宋"/>
          <w:szCs w:val="21"/>
          <w:highlight w:val="none"/>
        </w:rPr>
      </w:pPr>
      <w:r>
        <w:rPr>
          <w:rStyle w:val="896"/>
          <w:rFonts w:hint="eastAsia" w:ascii="宋体" w:hAnsi="宋体" w:cs="仿宋"/>
          <w:szCs w:val="21"/>
          <w:highlight w:val="none"/>
        </w:rPr>
        <w:br w:type="page" w:clear="all"/>
      </w:r>
      <w:r>
        <w:rPr>
          <w:rStyle w:val="896"/>
          <w:rFonts w:hint="eastAsia" w:ascii="宋体" w:hAnsi="宋体" w:cs="仿宋"/>
          <w:szCs w:val="21"/>
          <w:highlight w:val="none"/>
        </w:rPr>
        <w:t xml:space="preserve">中小微企业划型标准</w:t>
      </w:r>
      <w:r/>
    </w:p>
    <w:p>
      <w:pPr>
        <w:pStyle w:val="890"/>
        <w:ind w:firstLine="420"/>
        <w:spacing w:before="300" w:after="452" w:line="360" w:lineRule="auto"/>
        <w:widowControl/>
        <w:rPr>
          <w:rStyle w:val="896"/>
          <w:rFonts w:ascii="宋体" w:hAnsi="宋体" w:cs="仿宋"/>
          <w:sz w:val="21"/>
          <w:szCs w:val="21"/>
          <w:highlight w:val="none"/>
        </w:rPr>
      </w:pPr>
      <w:r>
        <w:rPr>
          <w:rFonts w:hint="eastAsia" w:ascii="宋体" w:hAnsi="宋体" w:cs="仿宋"/>
          <w:sz w:val="21"/>
          <w:szCs w:val="21"/>
          <w:highlight w:val="none"/>
        </w:rPr>
        <w:t xml:space="preserve">    </w:t>
      </w:r>
      <w:r>
        <w:rPr>
          <w:rStyle w:val="896"/>
          <w:rFonts w:hint="eastAsia" w:ascii="宋体" w:hAnsi="宋体" w:cs="仿宋"/>
          <w:sz w:val="21"/>
          <w:szCs w:val="21"/>
          <w:highlight w:val="none"/>
        </w:rPr>
        <w:t xml:space="preserve">中小微企业划型标准如下：</w:t>
      </w:r>
      <w:r/>
    </w:p>
    <w:tbl>
      <w:tblPr>
        <w:tblStyle w:val="692"/>
        <w:tblW w:w="9318" w:type="dxa"/>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835"/>
        <w:gridCol w:w="2089"/>
        <w:gridCol w:w="1709"/>
        <w:gridCol w:w="1500"/>
      </w:tblGrid>
      <w:tr>
        <w:trPr>
          <w:tblCellSpacing w:w="15" w:type="dxa"/>
          <w:trHeight w:val="285"/>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401"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行业名称</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指标名称</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计量单位</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中型</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小型</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微型</w:t>
            </w:r>
            <w:r/>
          </w:p>
        </w:tc>
      </w:tr>
      <w:tr>
        <w:trP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Y＜50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X＜20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Y＜300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Y＜300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Z＜300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X＜5</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Y＜1000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X＜10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Y＜100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X＜20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Y＜200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X＜20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Y＜100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X＜20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Y＜100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X＜10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Y＜100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X＜10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Y＜100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X＜10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Y＜100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X＜10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Y＜50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X＜100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Y＜2000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X＜100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Y＜500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X＜10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Y＜100</w:t>
            </w:r>
            <w:r/>
          </w:p>
        </w:tc>
      </w:tr>
      <w:tr>
        <w:trP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X＜10</w:t>
            </w:r>
            <w:r/>
          </w:p>
        </w:tc>
      </w:tr>
    </w:tbl>
    <w:p>
      <w:pPr>
        <w:pStyle w:val="890"/>
        <w:ind w:firstLine="810"/>
        <w:spacing w:before="300" w:after="452" w:line="360" w:lineRule="auto"/>
        <w:widowControl/>
        <w:rPr>
          <w:rStyle w:val="896"/>
          <w:rFonts w:ascii="宋体" w:hAnsi="宋体" w:cs="仿宋"/>
          <w:sz w:val="21"/>
          <w:szCs w:val="21"/>
          <w:highlight w:val="none"/>
        </w:rPr>
      </w:pPr>
      <w:r>
        <w:rPr>
          <w:rStyle w:val="896"/>
          <w:rFonts w:hint="eastAsia" w:ascii="宋体" w:hAnsi="宋体" w:cs="仿宋"/>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878"/>
        <w:jc w:val="center"/>
        <w:spacing w:line="360" w:lineRule="auto"/>
        <w:rPr>
          <w:rFonts w:ascii="宋体" w:hAnsi="宋体"/>
          <w:highlight w:val="none"/>
        </w:rPr>
      </w:pPr>
      <w:r>
        <w:rPr>
          <w:rStyle w:val="896"/>
          <w:rFonts w:ascii="宋体" w:hAnsi="宋体" w:cs="仿宋"/>
          <w:b w:val="0"/>
          <w:sz w:val="21"/>
          <w:szCs w:val="21"/>
          <w:highlight w:val="none"/>
        </w:rPr>
        <w:br w:type="page" w:clear="all"/>
      </w:r>
      <w:bookmarkStart w:id="76" w:name="_Toc26813"/>
      <w:r>
        <w:rPr>
          <w:rFonts w:hint="eastAsia" w:ascii="宋体" w:hAnsi="宋体"/>
          <w:sz w:val="21"/>
          <w:szCs w:val="21"/>
          <w:highlight w:val="none"/>
        </w:rPr>
        <w:t xml:space="preserve">残疾人福利性单位声明函</w:t>
      </w:r>
      <w:bookmarkEnd w:id="76"/>
      <w:r/>
      <w:r/>
    </w:p>
    <w:p>
      <w:pPr>
        <w:ind w:firstLine="624"/>
        <w:spacing w:line="360" w:lineRule="auto"/>
        <w:rPr>
          <w:rFonts w:ascii="仿宋_GB2312" w:eastAsia="仿宋_GB2312"/>
          <w:spacing w:val="6"/>
          <w:sz w:val="30"/>
          <w:szCs w:val="30"/>
          <w:highlight w:val="none"/>
        </w:rPr>
      </w:pPr>
      <w:r>
        <w:rPr>
          <w:rFonts w:ascii="仿宋_GB2312" w:eastAsia="仿宋_GB2312"/>
          <w:spacing w:val="6"/>
          <w:sz w:val="30"/>
          <w:szCs w:val="30"/>
          <w:highlight w:val="none"/>
        </w:rPr>
      </w:r>
      <w:r/>
    </w:p>
    <w:p>
      <w:pPr>
        <w:ind w:firstLine="420"/>
        <w:spacing w:line="360" w:lineRule="auto"/>
        <w:rPr>
          <w:rFonts w:ascii="宋体" w:hAnsi="宋体"/>
          <w:szCs w:val="21"/>
          <w:highlight w:val="none"/>
        </w:rPr>
      </w:pPr>
      <w:r>
        <w:rPr>
          <w:rFonts w:hint="eastAsia" w:ascii="宋体" w:hAnsi="宋体"/>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highlight w:val="none"/>
          <w:u w:val="single"/>
        </w:rPr>
        <w:t xml:space="preserve">       </w:t>
      </w:r>
      <w:r>
        <w:rPr>
          <w:rFonts w:hint="eastAsia" w:ascii="宋体" w:hAnsi="宋体"/>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szCs w:val="21"/>
          <w:highlight w:val="none"/>
        </w:rPr>
      </w:pPr>
      <w:r>
        <w:rPr>
          <w:rFonts w:hint="eastAsia" w:ascii="宋体" w:hAnsi="宋体"/>
          <w:szCs w:val="21"/>
          <w:highlight w:val="none"/>
        </w:rPr>
        <w:t xml:space="preserve">本单位在本次政府采购活动中提供的残疾人福利单位产品报价合计为人民币（大写）</w:t>
      </w:r>
      <w:r>
        <w:rPr>
          <w:rFonts w:hint="eastAsia" w:ascii="宋体" w:hAnsi="宋体"/>
          <w:szCs w:val="21"/>
          <w:highlight w:val="none"/>
          <w:u w:val="single"/>
        </w:rPr>
        <w:t xml:space="preserve">      </w:t>
      </w:r>
      <w:r>
        <w:rPr>
          <w:rFonts w:hint="eastAsia" w:ascii="宋体" w:hAnsi="宋体"/>
          <w:szCs w:val="21"/>
          <w:highlight w:val="none"/>
        </w:rPr>
        <w:t xml:space="preserve">圆整（￥：     ）。</w:t>
      </w:r>
      <w:r/>
    </w:p>
    <w:p>
      <w:pPr>
        <w:ind w:firstLine="420"/>
        <w:spacing w:line="360" w:lineRule="auto"/>
        <w:rPr>
          <w:rFonts w:ascii="宋体" w:hAnsi="宋体"/>
          <w:szCs w:val="21"/>
          <w:highlight w:val="none"/>
        </w:rPr>
      </w:pPr>
      <w:r>
        <w:rPr>
          <w:rFonts w:hint="eastAsia" w:ascii="宋体" w:hAnsi="宋体"/>
          <w:szCs w:val="21"/>
          <w:highlight w:val="none"/>
        </w:rPr>
        <w:t xml:space="preserve">本单位对上述声明的真实性负责。如有虚假，将依法承担相应责任。</w:t>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hint="eastAsia" w:ascii="宋体" w:hAnsi="宋体"/>
          <w:szCs w:val="21"/>
          <w:highlight w:val="none"/>
        </w:rPr>
        <w:t xml:space="preserve">（备注：1、投标人如不提供此声明函，价格将不做相应扣除。2、中标投标人为残疾人福利单位的，此声明函将随中标结果同时公告，接受社会监督）</w:t>
      </w:r>
      <w:r/>
    </w:p>
    <w:p>
      <w:pPr>
        <w:ind w:firstLine="444"/>
        <w:spacing w:line="360" w:lineRule="auto"/>
        <w:rPr>
          <w:rFonts w:ascii="仿宋_GB2312" w:eastAsia="仿宋_GB2312"/>
          <w:spacing w:val="6"/>
          <w:szCs w:val="21"/>
          <w:highlight w:val="none"/>
        </w:rPr>
      </w:pPr>
      <w:r>
        <w:rPr>
          <w:rFonts w:ascii="仿宋_GB2312" w:eastAsia="仿宋_GB2312"/>
          <w:spacing w:val="6"/>
          <w:szCs w:val="21"/>
          <w:highlight w:val="none"/>
        </w:rPr>
      </w:r>
      <w:r/>
    </w:p>
    <w:p>
      <w:pPr>
        <w:ind w:right="1560" w:firstLine="444"/>
        <w:jc w:val="center"/>
        <w:spacing w:line="360" w:lineRule="auto"/>
        <w:tabs>
          <w:tab w:val="left" w:pos="4860" w:leader="none"/>
        </w:tabs>
        <w:rPr>
          <w:rFonts w:ascii="宋体" w:hAnsi="宋体"/>
          <w:szCs w:val="21"/>
          <w:highlight w:val="none"/>
        </w:rPr>
      </w:pPr>
      <w:r>
        <w:rPr>
          <w:rFonts w:hint="eastAsia" w:ascii="仿宋_GB2312" w:eastAsia="仿宋_GB2312"/>
          <w:spacing w:val="6"/>
          <w:szCs w:val="21"/>
          <w:highlight w:val="none"/>
        </w:rPr>
        <w:t xml:space="preserve">             </w:t>
      </w:r>
      <w:r>
        <w:rPr>
          <w:rFonts w:hint="eastAsia" w:ascii="宋体" w:hAnsi="宋体"/>
          <w:szCs w:val="21"/>
          <w:highlight w:val="none"/>
        </w:rPr>
        <w:t xml:space="preserve">               投标人全称（盖章）：</w:t>
      </w:r>
      <w:r/>
    </w:p>
    <w:p>
      <w:pPr>
        <w:ind w:right="1560" w:firstLine="420"/>
        <w:jc w:val="center"/>
        <w:spacing w:line="360" w:lineRule="auto"/>
        <w:tabs>
          <w:tab w:val="left" w:pos="4860" w:leader="none"/>
        </w:tabs>
        <w:rPr>
          <w:rFonts w:ascii="宋体" w:hAnsi="宋体"/>
          <w:szCs w:val="21"/>
          <w:highlight w:val="none"/>
        </w:rPr>
      </w:pPr>
      <w:r>
        <w:rPr>
          <w:rFonts w:hint="eastAsia" w:ascii="宋体" w:hAnsi="宋体"/>
          <w:szCs w:val="21"/>
          <w:highlight w:val="none"/>
        </w:rPr>
        <w:t xml:space="preserve">                              日  期：</w:t>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center"/>
        <w:spacing w:line="360" w:lineRule="auto"/>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pStyle w:val="717"/>
        <w:ind w:left="0" w:right="0" w:firstLine="0"/>
        <w:jc w:val="center"/>
        <w:keepLines w:val="0"/>
        <w:keepNext w:val="0"/>
        <w:spacing w:before="20" w:beforeAutospacing="0" w:after="2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b/>
          <w:sz w:val="32"/>
          <w:szCs w:val="32"/>
          <w:highlight w:val="none"/>
        </w:rPr>
        <w:br w:type="page" w:clear="all"/>
      </w:r>
      <w:r>
        <w:rPr>
          <w:rStyle w:val="722"/>
          <w:rFonts w:hint="eastAsia" w:ascii="宋体" w:hAnsi="宋体" w:eastAsia="宋体" w:cs="宋体"/>
          <w:i w:val="0"/>
          <w:iCs w:val="0"/>
          <w:caps w:val="0"/>
          <w:color w:val="333333"/>
          <w:spacing w:val="0"/>
          <w:sz w:val="24"/>
          <w:szCs w:val="24"/>
          <w:highlight w:val="none"/>
          <w:shd w:val="clear" w:color="auto" w:fill="ffffff"/>
        </w:rPr>
        <w:t xml:space="preserve">关于符合本国产品标准的声明函</w:t>
      </w:r>
      <w:r/>
    </w:p>
    <w:p>
      <w:pPr>
        <w:pStyle w:val="717"/>
        <w:ind w:left="0" w:right="0" w:firstLine="420"/>
        <w:keepLines w:val="0"/>
        <w:keepNext w:val="0"/>
        <w:spacing w:before="20" w:beforeAutospacing="0" w:after="20" w:afterAutospacing="0" w:line="360" w:lineRule="auto"/>
        <w:shd w:val="clear" w:color="auto" w:fill="ffffff"/>
        <w:widowControl/>
        <w:rPr>
          <w:rFonts w:hint="eastAsia" w:ascii="宋体" w:hAnsi="宋体" w:eastAsia="宋体" w:cs="宋体"/>
          <w:i w:val="0"/>
          <w:iCs w:val="0"/>
          <w:caps w:val="0"/>
          <w:color w:val="333333"/>
          <w:spacing w:val="0"/>
          <w:sz w:val="16"/>
          <w:szCs w:val="16"/>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16"/>
          <w:szCs w:val="16"/>
          <w:highlight w:val="none"/>
        </w:rPr>
      </w:r>
      <w:r/>
    </w:p>
    <w:p>
      <w:pPr>
        <w:ind w:left="120" w:right="207" w:firstLine="324"/>
        <w:spacing w:line="360" w:lineRule="auto"/>
        <w:rPr>
          <w:rFonts w:hint="eastAsia" w:ascii="宋体" w:hAnsi="宋体" w:eastAsia="宋体" w:cs="Microsoft New Tai Lue"/>
          <w:spacing w:val="3"/>
          <w:highlight w:val="none"/>
        </w:rPr>
      </w:pPr>
      <w:r>
        <w:rPr>
          <w:rFonts w:hint="eastAsia" w:ascii="宋体" w:hAnsi="宋体" w:eastAsia="宋体" w:cs="Microsoft New Tai Lue"/>
          <w:spacing w:val="3"/>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120" w:right="207" w:firstLine="324"/>
        <w:spacing w:line="360" w:lineRule="auto"/>
        <w:rPr>
          <w:rFonts w:hint="eastAsia" w:ascii="宋体" w:hAnsi="宋体" w:eastAsia="宋体" w:cs="Microsoft New Tai Lue"/>
          <w:spacing w:val="3"/>
          <w:highlight w:val="none"/>
        </w:rPr>
      </w:pPr>
      <w:r>
        <w:rPr>
          <w:rFonts w:hint="eastAsia" w:ascii="宋体" w:hAnsi="宋体" w:eastAsia="宋体" w:cs="Microsoft New Tai Lue"/>
          <w:spacing w:val="3"/>
          <w:highlight w:val="none"/>
        </w:rPr>
        <w:t xml:space="preserve">1.</w:t>
      </w:r>
      <w:r>
        <w:rPr>
          <w:rFonts w:hint="eastAsia" w:ascii="宋体" w:hAnsi="宋体" w:eastAsia="宋体" w:cs="Microsoft New Tai Lue"/>
          <w:i/>
          <w:iCs/>
          <w:spacing w:val="3"/>
          <w:highlight w:val="none"/>
          <w:u w:val="single"/>
        </w:rPr>
        <w:t xml:space="preserve">（产品名称1）</w:t>
      </w:r>
      <w:r>
        <w:rPr>
          <w:rFonts w:hint="eastAsia" w:ascii="宋体" w:hAnsi="宋体" w:eastAsia="宋体" w:cs="Microsoft New Tai Lue"/>
          <w:i/>
          <w:iCs/>
          <w:spacing w:val="6"/>
          <w:sz w:val="21"/>
          <w:highlight w:val="none"/>
          <w:u w:val="single"/>
          <w:vertAlign w:val="superscript"/>
        </w:rPr>
        <w:t xml:space="preserve">1</w:t>
      </w:r>
      <w:r>
        <w:rPr>
          <w:rFonts w:hint="eastAsia" w:ascii="宋体" w:hAnsi="宋体" w:eastAsia="宋体" w:cs="Microsoft New Tai Lue"/>
          <w:spacing w:val="3"/>
          <w:highlight w:val="none"/>
        </w:rPr>
        <w:t xml:space="preserve">，生产厂为</w:t>
      </w:r>
      <w:r>
        <w:rPr>
          <w:rFonts w:hint="eastAsia" w:ascii="宋体" w:hAnsi="宋体" w:eastAsia="宋体" w:cs="Microsoft New Tai Lue"/>
          <w:i/>
          <w:iCs/>
          <w:spacing w:val="3"/>
          <w:highlight w:val="none"/>
          <w:u w:val="single"/>
        </w:rPr>
        <w:t xml:space="preserve">（厂名）</w:t>
      </w:r>
      <w:r>
        <w:rPr>
          <w:rFonts w:hint="eastAsia" w:ascii="宋体" w:hAnsi="宋体" w:eastAsia="宋体" w:cs="Microsoft New Tai Lue"/>
          <w:i/>
          <w:iCs/>
          <w:spacing w:val="6"/>
          <w:sz w:val="21"/>
          <w:highlight w:val="none"/>
          <w:u w:val="single"/>
          <w:vertAlign w:val="superscript"/>
        </w:rPr>
        <w:t xml:space="preserve">2</w:t>
      </w:r>
      <w:r>
        <w:rPr>
          <w:rFonts w:hint="eastAsia" w:ascii="宋体" w:hAnsi="宋体" w:eastAsia="宋体" w:cs="Microsoft New Tai Lue"/>
          <w:spacing w:val="3"/>
          <w:highlight w:val="none"/>
        </w:rPr>
        <w:t xml:space="preserve">，厂址为</w:t>
      </w:r>
      <w:r>
        <w:rPr>
          <w:rFonts w:hint="eastAsia" w:ascii="宋体" w:hAnsi="宋体" w:eastAsia="宋体" w:cs="Microsoft New Tai Lue"/>
          <w:i/>
          <w:iCs/>
          <w:spacing w:val="3"/>
          <w:highlight w:val="none"/>
          <w:u w:val="single"/>
        </w:rPr>
        <w:t xml:space="preserve">（生产厂址）</w:t>
      </w:r>
      <w:r>
        <w:rPr>
          <w:rFonts w:hint="eastAsia" w:ascii="宋体" w:hAnsi="宋体" w:eastAsia="宋体" w:cs="Microsoft New Tai Lue"/>
          <w:spacing w:val="3"/>
          <w:highlight w:val="none"/>
        </w:rPr>
        <w:t xml:space="preserve">。</w:t>
      </w:r>
      <w:r>
        <w:rPr>
          <w:rFonts w:hint="eastAsia" w:ascii="宋体" w:hAnsi="宋体" w:eastAsia="宋体" w:cs="Microsoft New Tai Lue"/>
          <w:i/>
          <w:iCs/>
          <w:spacing w:val="3"/>
          <w:highlight w:val="none"/>
          <w:u w:val="single"/>
        </w:rPr>
        <w:t xml:space="preserve">（产品名称1）</w:t>
      </w:r>
      <w:r>
        <w:rPr>
          <w:rFonts w:hint="eastAsia" w:ascii="宋体" w:hAnsi="宋体" w:eastAsia="宋体" w:cs="Microsoft New Tai Lue"/>
          <w:spacing w:val="3"/>
          <w:highlight w:val="none"/>
        </w:rPr>
        <w:t xml:space="preserve">的中国境内生产的组件成本占比≥</w:t>
      </w:r>
      <w:r>
        <w:rPr>
          <w:rFonts w:hint="eastAsia" w:ascii="宋体" w:hAnsi="宋体" w:eastAsia="宋体" w:cs="Microsoft New Tai Lue"/>
          <w:i/>
          <w:iCs/>
          <w:spacing w:val="3"/>
          <w:highlight w:val="none"/>
          <w:u w:val="single"/>
        </w:rPr>
        <w:t xml:space="preserve">（规定比例）</w:t>
      </w:r>
      <w:r>
        <w:rPr>
          <w:rFonts w:hint="eastAsia" w:ascii="宋体" w:hAnsi="宋体" w:eastAsia="宋体" w:cs="Microsoft New Tai Lue"/>
          <w:spacing w:val="6"/>
          <w:sz w:val="21"/>
          <w:highlight w:val="none"/>
          <w:vertAlign w:val="superscript"/>
        </w:rPr>
        <w:t xml:space="preserve">3</w:t>
      </w:r>
      <w:r>
        <w:rPr>
          <w:rFonts w:hint="eastAsia" w:ascii="宋体" w:hAnsi="宋体" w:eastAsia="宋体" w:cs="Microsoft New Tai Lue"/>
          <w:spacing w:val="3"/>
          <w:highlight w:val="none"/>
        </w:rPr>
        <w:t xml:space="preserve">。</w:t>
      </w:r>
      <w:r>
        <w:rPr>
          <w:rFonts w:hint="eastAsia" w:ascii="宋体" w:hAnsi="宋体" w:eastAsia="宋体" w:cs="Microsoft New Tai Lue"/>
          <w:i/>
          <w:iCs/>
          <w:spacing w:val="3"/>
          <w:highlight w:val="none"/>
          <w:u w:val="single"/>
        </w:rPr>
        <w:t xml:space="preserve">（产品名称1）</w:t>
      </w:r>
      <w:r>
        <w:rPr>
          <w:rFonts w:hint="eastAsia" w:ascii="宋体" w:hAnsi="宋体" w:eastAsia="宋体" w:cs="Microsoft New Tai Lue"/>
          <w:spacing w:val="3"/>
          <w:highlight w:val="none"/>
        </w:rPr>
        <w:t xml:space="preserve">的</w:t>
      </w:r>
      <w:r>
        <w:rPr>
          <w:rFonts w:hint="eastAsia" w:ascii="宋体" w:hAnsi="宋体" w:eastAsia="宋体" w:cs="Microsoft New Tai Lue"/>
          <w:i/>
          <w:iCs/>
          <w:spacing w:val="3"/>
          <w:highlight w:val="none"/>
          <w:u w:val="single"/>
        </w:rPr>
        <w:t xml:space="preserve">（关键组件）</w:t>
      </w:r>
      <w:r>
        <w:rPr>
          <w:rFonts w:hint="eastAsia" w:ascii="宋体" w:hAnsi="宋体" w:eastAsia="宋体" w:cs="Microsoft New Tai Lue"/>
          <w:spacing w:val="6"/>
          <w:sz w:val="21"/>
          <w:highlight w:val="none"/>
          <w:vertAlign w:val="superscript"/>
        </w:rPr>
        <w:t xml:space="preserve">4</w:t>
      </w:r>
      <w:r>
        <w:rPr>
          <w:rFonts w:hint="eastAsia" w:ascii="宋体" w:hAnsi="宋体" w:eastAsia="宋体" w:cs="Microsoft New Tai Lue"/>
          <w:spacing w:val="3"/>
          <w:highlight w:val="none"/>
        </w:rPr>
        <w:t xml:space="preserve">在中国境内生产。</w:t>
      </w:r>
      <w:r>
        <w:rPr>
          <w:rFonts w:hint="eastAsia" w:ascii="宋体" w:hAnsi="宋体" w:eastAsia="宋体" w:cs="Microsoft New Tai Lue"/>
          <w:i/>
          <w:iCs/>
          <w:spacing w:val="3"/>
          <w:highlight w:val="none"/>
          <w:u w:val="single"/>
        </w:rPr>
        <w:t xml:space="preserve">（产品名称1）</w:t>
      </w:r>
      <w:r>
        <w:rPr>
          <w:rFonts w:hint="eastAsia" w:ascii="宋体" w:hAnsi="宋体" w:eastAsia="宋体" w:cs="Microsoft New Tai Lue"/>
          <w:spacing w:val="3"/>
          <w:highlight w:val="none"/>
        </w:rPr>
        <w:t xml:space="preserve">的</w:t>
      </w:r>
      <w:r>
        <w:rPr>
          <w:rFonts w:hint="eastAsia" w:ascii="宋体" w:hAnsi="宋体" w:eastAsia="宋体" w:cs="Microsoft New Tai Lue"/>
          <w:i/>
          <w:iCs/>
          <w:spacing w:val="3"/>
          <w:highlight w:val="none"/>
          <w:u w:val="single"/>
        </w:rPr>
        <w:t xml:space="preserve">（关键工序）</w:t>
      </w:r>
      <w:r>
        <w:rPr>
          <w:rFonts w:hint="eastAsia" w:ascii="宋体" w:hAnsi="宋体" w:eastAsia="宋体" w:cs="Microsoft New Tai Lue"/>
          <w:spacing w:val="6"/>
          <w:sz w:val="21"/>
          <w:highlight w:val="none"/>
          <w:vertAlign w:val="superscript"/>
        </w:rPr>
        <w:t xml:space="preserve">5</w:t>
      </w:r>
      <w:r>
        <w:rPr>
          <w:rFonts w:hint="eastAsia" w:ascii="宋体" w:hAnsi="宋体" w:eastAsia="宋体" w:cs="Microsoft New Tai Lue"/>
          <w:spacing w:val="3"/>
          <w:highlight w:val="none"/>
        </w:rPr>
        <w:t xml:space="preserve">在中国境内完成。</w:t>
      </w:r>
      <w:r/>
    </w:p>
    <w:p>
      <w:pPr>
        <w:ind w:left="120" w:right="207" w:firstLine="324"/>
        <w:spacing w:line="360" w:lineRule="auto"/>
        <w:rPr>
          <w:rFonts w:hint="eastAsia" w:ascii="宋体" w:hAnsi="宋体" w:eastAsia="宋体" w:cs="Microsoft New Tai Lue"/>
          <w:spacing w:val="3"/>
          <w:highlight w:val="none"/>
        </w:rPr>
      </w:pPr>
      <w:r>
        <w:rPr>
          <w:rFonts w:hint="eastAsia" w:ascii="宋体" w:hAnsi="宋体" w:eastAsia="宋体" w:cs="Microsoft New Tai Lue"/>
          <w:spacing w:val="3"/>
          <w:highlight w:val="none"/>
        </w:rPr>
        <w:t xml:space="preserve">2.</w:t>
      </w:r>
      <w:r>
        <w:rPr>
          <w:rFonts w:hint="eastAsia" w:ascii="宋体" w:hAnsi="宋体" w:eastAsia="宋体" w:cs="Microsoft New Tai Lue"/>
          <w:i/>
          <w:iCs/>
          <w:spacing w:val="3"/>
          <w:highlight w:val="none"/>
          <w:u w:val="single"/>
        </w:rPr>
        <w:t xml:space="preserve">（产品名称2）</w:t>
      </w:r>
      <w:r>
        <w:rPr>
          <w:rFonts w:hint="eastAsia" w:ascii="宋体" w:hAnsi="宋体" w:eastAsia="宋体" w:cs="Microsoft New Tai Lue"/>
          <w:spacing w:val="3"/>
          <w:highlight w:val="none"/>
        </w:rPr>
        <w:t xml:space="preserve">，生产厂为</w:t>
      </w:r>
      <w:r>
        <w:rPr>
          <w:rFonts w:hint="eastAsia" w:ascii="宋体" w:hAnsi="宋体" w:eastAsia="宋体" w:cs="Microsoft New Tai Lue"/>
          <w:i/>
          <w:iCs/>
          <w:spacing w:val="3"/>
          <w:highlight w:val="none"/>
          <w:u w:val="single"/>
        </w:rPr>
        <w:t xml:space="preserve">（厂名）</w:t>
      </w:r>
      <w:r>
        <w:rPr>
          <w:rFonts w:hint="eastAsia" w:ascii="宋体" w:hAnsi="宋体" w:eastAsia="宋体" w:cs="Microsoft New Tai Lue"/>
          <w:spacing w:val="3"/>
          <w:highlight w:val="none"/>
        </w:rPr>
        <w:t xml:space="preserve">，厂址为</w:t>
      </w:r>
      <w:r>
        <w:rPr>
          <w:rFonts w:hint="eastAsia" w:ascii="宋体" w:hAnsi="宋体" w:eastAsia="宋体" w:cs="Microsoft New Tai Lue"/>
          <w:i/>
          <w:iCs/>
          <w:spacing w:val="3"/>
          <w:highlight w:val="none"/>
          <w:u w:val="single"/>
        </w:rPr>
        <w:t xml:space="preserve">（生产厂址）</w:t>
      </w:r>
      <w:r>
        <w:rPr>
          <w:rFonts w:hint="eastAsia" w:ascii="宋体" w:hAnsi="宋体" w:eastAsia="宋体" w:cs="Microsoft New Tai Lue"/>
          <w:spacing w:val="3"/>
          <w:highlight w:val="none"/>
        </w:rPr>
        <w:t xml:space="preserve">。</w:t>
      </w:r>
      <w:r>
        <w:rPr>
          <w:rFonts w:hint="eastAsia" w:ascii="宋体" w:hAnsi="宋体" w:eastAsia="宋体" w:cs="Microsoft New Tai Lue"/>
          <w:i/>
          <w:iCs/>
          <w:spacing w:val="3"/>
          <w:highlight w:val="none"/>
          <w:u w:val="single"/>
        </w:rPr>
        <w:t xml:space="preserve">（产品名称2）</w:t>
      </w:r>
      <w:r>
        <w:rPr>
          <w:rFonts w:hint="eastAsia" w:ascii="宋体" w:hAnsi="宋体" w:eastAsia="宋体" w:cs="Microsoft New Tai Lue"/>
          <w:spacing w:val="3"/>
          <w:highlight w:val="none"/>
        </w:rPr>
        <w:t xml:space="preserve">的中国境内生产的组件成本占比≥</w:t>
      </w:r>
      <w:r>
        <w:rPr>
          <w:rFonts w:hint="eastAsia" w:ascii="宋体" w:hAnsi="宋体" w:eastAsia="宋体" w:cs="Microsoft New Tai Lue"/>
          <w:i/>
          <w:iCs/>
          <w:spacing w:val="3"/>
          <w:highlight w:val="none"/>
          <w:u w:val="single"/>
        </w:rPr>
        <w:t xml:space="preserve">（规定比例）</w:t>
      </w:r>
      <w:r>
        <w:rPr>
          <w:rFonts w:hint="eastAsia" w:ascii="宋体" w:hAnsi="宋体" w:eastAsia="宋体" w:cs="Microsoft New Tai Lue"/>
          <w:spacing w:val="3"/>
          <w:highlight w:val="none"/>
        </w:rPr>
        <w:t xml:space="preserve">。</w:t>
      </w:r>
      <w:r>
        <w:rPr>
          <w:rFonts w:hint="eastAsia" w:ascii="宋体" w:hAnsi="宋体" w:eastAsia="宋体" w:cs="Microsoft New Tai Lue"/>
          <w:i/>
          <w:iCs/>
          <w:spacing w:val="3"/>
          <w:highlight w:val="none"/>
          <w:u w:val="single"/>
        </w:rPr>
        <w:t xml:space="preserve">（产品名称2）</w:t>
      </w:r>
      <w:r>
        <w:rPr>
          <w:rFonts w:hint="eastAsia" w:ascii="宋体" w:hAnsi="宋体" w:eastAsia="宋体" w:cs="Microsoft New Tai Lue"/>
          <w:spacing w:val="3"/>
          <w:highlight w:val="none"/>
        </w:rPr>
        <w:t xml:space="preserve">的</w:t>
      </w:r>
      <w:r>
        <w:rPr>
          <w:rFonts w:hint="eastAsia" w:ascii="宋体" w:hAnsi="宋体" w:eastAsia="宋体" w:cs="Microsoft New Tai Lue"/>
          <w:i/>
          <w:iCs/>
          <w:spacing w:val="3"/>
          <w:highlight w:val="none"/>
          <w:u w:val="single"/>
        </w:rPr>
        <w:t xml:space="preserve">（关键组件）</w:t>
      </w:r>
      <w:r>
        <w:rPr>
          <w:rFonts w:hint="eastAsia" w:ascii="宋体" w:hAnsi="宋体" w:eastAsia="宋体" w:cs="Microsoft New Tai Lue"/>
          <w:spacing w:val="3"/>
          <w:highlight w:val="none"/>
        </w:rPr>
        <w:t xml:space="preserve">在中国境内生产。</w:t>
      </w:r>
      <w:r>
        <w:rPr>
          <w:rFonts w:hint="eastAsia" w:ascii="宋体" w:hAnsi="宋体" w:eastAsia="宋体" w:cs="Microsoft New Tai Lue"/>
          <w:i/>
          <w:iCs/>
          <w:spacing w:val="3"/>
          <w:highlight w:val="none"/>
          <w:u w:val="single"/>
        </w:rPr>
        <w:t xml:space="preserve">（产品名称2）</w:t>
      </w:r>
      <w:r>
        <w:rPr>
          <w:rFonts w:hint="eastAsia" w:ascii="宋体" w:hAnsi="宋体" w:eastAsia="宋体" w:cs="Microsoft New Tai Lue"/>
          <w:spacing w:val="3"/>
          <w:highlight w:val="none"/>
        </w:rPr>
        <w:t xml:space="preserve">的</w:t>
      </w:r>
      <w:r>
        <w:rPr>
          <w:rFonts w:hint="eastAsia" w:ascii="宋体" w:hAnsi="宋体" w:eastAsia="宋体" w:cs="Microsoft New Tai Lue"/>
          <w:i/>
          <w:iCs/>
          <w:spacing w:val="3"/>
          <w:highlight w:val="none"/>
          <w:u w:val="single"/>
        </w:rPr>
        <w:t xml:space="preserve">（关键工序）</w:t>
      </w:r>
      <w:r>
        <w:rPr>
          <w:rFonts w:hint="eastAsia" w:ascii="宋体" w:hAnsi="宋体" w:eastAsia="宋体" w:cs="Microsoft New Tai Lue"/>
          <w:spacing w:val="3"/>
          <w:highlight w:val="none"/>
        </w:rPr>
        <w:t xml:space="preserve">在中国境内完成。</w:t>
      </w:r>
      <w:r/>
    </w:p>
    <w:p>
      <w:pPr>
        <w:ind w:left="120" w:right="207" w:firstLine="324"/>
        <w:spacing w:line="360" w:lineRule="auto"/>
        <w:rPr>
          <w:rFonts w:hint="eastAsia" w:ascii="宋体" w:hAnsi="宋体" w:eastAsia="宋体" w:cs="Microsoft New Tai Lue"/>
          <w:spacing w:val="3"/>
          <w:highlight w:val="none"/>
        </w:rPr>
      </w:pPr>
      <w:r>
        <w:rPr>
          <w:rFonts w:hint="eastAsia" w:ascii="宋体" w:hAnsi="宋体" w:eastAsia="宋体" w:cs="Microsoft New Tai Lue"/>
          <w:spacing w:val="3"/>
          <w:highlight w:val="none"/>
        </w:rPr>
        <w:t xml:space="preserve">……</w:t>
      </w:r>
      <w:r/>
    </w:p>
    <w:p>
      <w:pPr>
        <w:ind w:left="120" w:right="207" w:firstLine="324"/>
        <w:spacing w:line="360" w:lineRule="auto"/>
        <w:rPr>
          <w:rFonts w:hint="eastAsia" w:ascii="宋体" w:hAnsi="宋体" w:eastAsia="宋体" w:cs="Microsoft New Tai Lue"/>
          <w:spacing w:val="3"/>
          <w:highlight w:val="none"/>
        </w:rPr>
      </w:pPr>
      <w:r>
        <w:rPr>
          <w:rFonts w:hint="eastAsia" w:ascii="宋体" w:hAnsi="宋体" w:eastAsia="宋体" w:cs="Microsoft New Tai Lue"/>
          <w:spacing w:val="3"/>
          <w:highlight w:val="none"/>
        </w:rPr>
        <w:t xml:space="preserve">本公司（单位）对上述声明内容的真实性负责。如有虚假，愿承担相应法律责任。</w:t>
      </w:r>
      <w:r/>
    </w:p>
    <w:p>
      <w:pPr>
        <w:ind w:left="120" w:right="207" w:firstLine="324"/>
        <w:spacing w:line="360" w:lineRule="auto"/>
        <w:rPr>
          <w:rFonts w:hint="eastAsia" w:ascii="宋体" w:hAnsi="宋体" w:eastAsia="宋体" w:cs="Microsoft New Tai Lue"/>
          <w:spacing w:val="3"/>
          <w:highlight w:val="none"/>
        </w:rPr>
      </w:pPr>
      <w:r>
        <w:rPr>
          <w:rFonts w:hint="eastAsia" w:ascii="宋体" w:hAnsi="宋体" w:eastAsia="宋体" w:cs="Microsoft New Tai Lue"/>
          <w:spacing w:val="3"/>
          <w:highlight w:val="none"/>
        </w:rPr>
      </w:r>
      <w:r/>
    </w:p>
    <w:p>
      <w:pPr>
        <w:ind w:left="120" w:right="207" w:firstLine="324"/>
        <w:jc w:val="right"/>
        <w:spacing w:line="360" w:lineRule="auto"/>
        <w:rPr>
          <w:rFonts w:hint="eastAsia" w:ascii="宋体" w:hAnsi="宋体" w:eastAsia="宋体" w:cs="Microsoft New Tai Lue"/>
          <w:spacing w:val="3"/>
          <w:highlight w:val="none"/>
        </w:rPr>
      </w:pPr>
      <w:r>
        <w:rPr>
          <w:rFonts w:hint="eastAsia" w:ascii="宋体" w:hAnsi="宋体" w:eastAsia="宋体" w:cs="Microsoft New Tai Lue"/>
          <w:spacing w:val="3"/>
          <w:highlight w:val="none"/>
        </w:rPr>
        <w:t xml:space="preserve">公司（单位）名称（盖章）：　        </w:t>
      </w:r>
      <w:r/>
    </w:p>
    <w:p>
      <w:pPr>
        <w:ind w:left="120" w:right="207" w:firstLine="324"/>
        <w:jc w:val="right"/>
        <w:spacing w:line="360" w:lineRule="auto"/>
        <w:rPr>
          <w:rFonts w:hint="eastAsia" w:ascii="宋体" w:hAnsi="宋体" w:eastAsia="宋体" w:cs="Microsoft New Tai Lue"/>
          <w:spacing w:val="3"/>
          <w:highlight w:val="none"/>
        </w:rPr>
      </w:pPr>
      <w:r>
        <w:rPr>
          <w:rFonts w:hint="eastAsia" w:ascii="宋体" w:hAnsi="宋体" w:eastAsia="宋体" w:cs="Microsoft New Tai Lue"/>
          <w:spacing w:val="3"/>
          <w:highlight w:val="none"/>
        </w:rPr>
        <w:t xml:space="preserve">日期：　     年　  月　  日         </w:t>
      </w:r>
      <w:r/>
    </w:p>
    <w:p>
      <w:pPr>
        <w:ind w:left="120" w:right="207" w:firstLine="324"/>
        <w:spacing w:line="360" w:lineRule="auto"/>
        <w:rPr>
          <w:rFonts w:hint="eastAsia" w:ascii="宋体" w:hAnsi="宋体" w:eastAsia="宋体" w:cs="Microsoft New Tai Lue"/>
          <w:spacing w:val="3"/>
          <w:highlight w:val="none"/>
        </w:rPr>
      </w:pPr>
      <w:r>
        <w:rPr>
          <w:rFonts w:hint="eastAsia" w:ascii="宋体" w:hAnsi="宋体" w:eastAsia="宋体" w:cs="Microsoft New Tai Lue"/>
          <w:spacing w:val="3"/>
          <w:highlight w:val="none"/>
        </w:rPr>
        <w:t xml:space="preserve">__________________</w:t>
      </w:r>
      <w:r/>
    </w:p>
    <w:p>
      <w:pPr>
        <w:ind w:left="120" w:right="207" w:firstLine="324"/>
        <w:spacing w:line="360" w:lineRule="auto"/>
        <w:rPr>
          <w:rFonts w:hint="eastAsia" w:ascii="宋体" w:hAnsi="宋体" w:eastAsia="宋体" w:cs="Microsoft New Tai Lue"/>
          <w:spacing w:val="3"/>
          <w:highlight w:val="none"/>
        </w:rPr>
      </w:pPr>
      <w:r>
        <w:rPr>
          <w:rFonts w:hint="eastAsia" w:ascii="宋体" w:hAnsi="宋体" w:eastAsia="宋体" w:cs="Microsoft New Tai Lue"/>
          <w:spacing w:val="3"/>
          <w:highlight w:val="none"/>
        </w:rPr>
        <w:t xml:space="preserve">1.产品如有型号，请在“产品名称”栏一并填写。</w:t>
      </w:r>
      <w:r/>
    </w:p>
    <w:p>
      <w:pPr>
        <w:ind w:left="120" w:right="207" w:firstLine="324"/>
        <w:spacing w:line="360" w:lineRule="auto"/>
        <w:rPr>
          <w:rFonts w:hint="eastAsia" w:ascii="宋体" w:hAnsi="宋体" w:eastAsia="宋体" w:cs="Microsoft New Tai Lue"/>
          <w:spacing w:val="3"/>
          <w:highlight w:val="none"/>
        </w:rPr>
      </w:pPr>
      <w:r>
        <w:rPr>
          <w:rFonts w:hint="eastAsia" w:ascii="宋体" w:hAnsi="宋体" w:eastAsia="宋体" w:cs="Microsoft New Tai Lue"/>
          <w:spacing w:val="3"/>
          <w:highlight w:val="none"/>
        </w:rPr>
        <w:t xml:space="preserve">2.生产厂名与厂址应与生产厂营业执照载明的相关信息保持一致。</w:t>
      </w:r>
      <w:r/>
    </w:p>
    <w:p>
      <w:pPr>
        <w:ind w:left="120" w:right="207" w:firstLine="324"/>
        <w:spacing w:line="360" w:lineRule="auto"/>
        <w:rPr>
          <w:rFonts w:hint="eastAsia" w:ascii="宋体" w:hAnsi="宋体" w:eastAsia="宋体" w:cs="Microsoft New Tai Lue"/>
          <w:spacing w:val="3"/>
          <w:highlight w:val="none"/>
        </w:rPr>
      </w:pPr>
      <w:r>
        <w:rPr>
          <w:rFonts w:hint="eastAsia" w:ascii="宋体" w:hAnsi="宋体" w:eastAsia="宋体" w:cs="Microsoft New Tai Lue"/>
          <w:spacing w:val="3"/>
          <w:highlight w:val="none"/>
        </w:rPr>
        <w:t xml:space="preserve">3.该产品的中国境内生产的组件成本占比相关要求实施前，“规定比例”栏可不填，下同。</w:t>
      </w:r>
      <w:r/>
    </w:p>
    <w:p>
      <w:pPr>
        <w:ind w:left="120" w:right="207" w:firstLine="324"/>
        <w:spacing w:line="360" w:lineRule="auto"/>
        <w:rPr>
          <w:rFonts w:hint="eastAsia" w:ascii="宋体" w:hAnsi="宋体" w:eastAsia="宋体" w:cs="Microsoft New Tai Lue"/>
          <w:spacing w:val="3"/>
          <w:highlight w:val="none"/>
        </w:rPr>
      </w:pPr>
      <w:r>
        <w:rPr>
          <w:rFonts w:hint="eastAsia" w:ascii="宋体" w:hAnsi="宋体" w:eastAsia="宋体" w:cs="Microsoft New Tai Lue"/>
          <w:spacing w:val="3"/>
          <w:highlight w:val="none"/>
        </w:rPr>
        <w:t xml:space="preserve">4.该产品的关键组件要求实施前，“关键组件”栏可不填，下同。</w:t>
      </w:r>
      <w:r/>
    </w:p>
    <w:p>
      <w:pPr>
        <w:ind w:left="120" w:right="207" w:firstLine="324"/>
        <w:spacing w:line="360" w:lineRule="auto"/>
        <w:rPr>
          <w:rFonts w:hint="eastAsia" w:ascii="宋体" w:hAnsi="宋体" w:eastAsia="宋体" w:cs="Microsoft New Tai Lue"/>
          <w:spacing w:val="3"/>
          <w:highlight w:val="none"/>
        </w:rPr>
      </w:pPr>
      <w:r>
        <w:rPr>
          <w:rFonts w:hint="eastAsia" w:ascii="宋体" w:hAnsi="宋体" w:eastAsia="宋体" w:cs="Microsoft New Tai Lue"/>
          <w:spacing w:val="3"/>
          <w:highlight w:val="none"/>
        </w:rPr>
        <w:t xml:space="preserve">5.该产品的关键工序要求实施前，“关键工序”栏可不填，下同。</w:t>
      </w:r>
      <w:r/>
    </w:p>
    <w:p>
      <w:pPr>
        <w:rPr>
          <w:rFonts w:hint="eastAsia" w:ascii="宋体" w:hAnsi="宋体"/>
          <w:b/>
          <w:sz w:val="32"/>
          <w:szCs w:val="32"/>
          <w:highlight w:val="none"/>
        </w:rPr>
      </w:pPr>
      <w:r>
        <w:rPr>
          <w:rFonts w:hint="eastAsia" w:ascii="宋体" w:hAnsi="宋体"/>
          <w:b/>
          <w:sz w:val="32"/>
          <w:szCs w:val="32"/>
          <w:highlight w:val="none"/>
        </w:rPr>
      </w:r>
      <w:r/>
    </w:p>
    <w:p>
      <w:pPr>
        <w:rPr>
          <w:rFonts w:hint="eastAsia" w:ascii="宋体" w:hAnsi="宋体" w:cs="Arial"/>
          <w:b/>
          <w:bCs/>
          <w:sz w:val="32"/>
          <w:szCs w:val="44"/>
          <w:highlight w:val="none"/>
        </w:rPr>
      </w:pPr>
      <w:r>
        <w:rPr>
          <w:rFonts w:hint="eastAsia" w:ascii="宋体" w:hAnsi="宋体" w:cs="Arial"/>
          <w:b/>
          <w:bCs/>
          <w:sz w:val="32"/>
          <w:szCs w:val="44"/>
          <w:highlight w:val="none"/>
        </w:rPr>
        <w:br w:type="page" w:clear="all"/>
      </w:r>
      <w:r/>
    </w:p>
    <w:p>
      <w:pPr>
        <w:jc w:val="center"/>
        <w:spacing w:line="360" w:lineRule="auto"/>
        <w:rPr>
          <w:rFonts w:ascii="宋体" w:hAnsi="宋体"/>
          <w:sz w:val="32"/>
          <w:highlight w:val="none"/>
        </w:rPr>
        <w:outlineLvl w:val="1"/>
      </w:pPr>
      <w:r>
        <w:rPr>
          <w:rFonts w:hint="eastAsia" w:ascii="宋体" w:hAnsi="宋体" w:cs="Arial"/>
          <w:b/>
          <w:bCs/>
          <w:sz w:val="32"/>
          <w:szCs w:val="44"/>
          <w:highlight w:val="none"/>
        </w:rPr>
        <w:t xml:space="preserve">四、开标一览表</w:t>
      </w:r>
      <w:r/>
    </w:p>
    <w:p>
      <w:pPr>
        <w:ind w:firstLine="480"/>
        <w:spacing w:line="360" w:lineRule="auto"/>
        <w:rPr>
          <w:szCs w:val="21"/>
          <w:highlight w:val="none"/>
        </w:rPr>
      </w:pPr>
      <w:r>
        <w:rPr>
          <w:rFonts w:hint="eastAsia" w:ascii="宋体" w:hAnsi="宋体"/>
          <w:szCs w:val="21"/>
          <w:highlight w:val="none"/>
        </w:rPr>
        <w:t xml:space="preserve">项目名称：</w:t>
      </w:r>
      <w:r/>
    </w:p>
    <w:p>
      <w:pPr>
        <w:ind w:firstLine="480"/>
        <w:spacing w:line="360" w:lineRule="auto"/>
        <w:rPr>
          <w:rFonts w:ascii="宋体" w:hAnsi="宋体"/>
          <w:szCs w:val="21"/>
          <w:highlight w:val="none"/>
        </w:rPr>
      </w:pPr>
      <w:r>
        <w:rPr>
          <w:rFonts w:hint="eastAsia" w:ascii="宋体" w:hAnsi="宋体"/>
          <w:szCs w:val="21"/>
          <w:highlight w:val="none"/>
        </w:rPr>
        <w:t xml:space="preserve">项目编号：</w:t>
      </w:r>
      <w:r/>
    </w:p>
    <w:p>
      <w:pPr>
        <w:ind w:firstLine="480"/>
        <w:spacing w:line="360" w:lineRule="auto"/>
        <w:rPr>
          <w:rFonts w:ascii="宋体" w:hAnsi="宋体"/>
          <w:szCs w:val="21"/>
          <w:highlight w:val="none"/>
        </w:rPr>
      </w:pPr>
      <w:r>
        <w:rPr>
          <w:rFonts w:hint="eastAsia" w:ascii="宋体" w:hAnsi="宋体"/>
          <w:szCs w:val="21"/>
          <w:highlight w:val="none"/>
        </w:rPr>
        <w:t xml:space="preserve">分包号(如有)： </w:t>
      </w:r>
      <w:r/>
    </w:p>
    <w:p>
      <w:pPr>
        <w:ind w:firstLine="480"/>
        <w:spacing w:line="360" w:lineRule="auto"/>
        <w:rPr>
          <w:rFonts w:ascii="宋体" w:hAnsi="宋体"/>
          <w:szCs w:val="21"/>
          <w:highlight w:val="none"/>
        </w:rPr>
      </w:pPr>
      <w:r>
        <w:rPr>
          <w:rFonts w:hint="eastAsia" w:ascii="宋体" w:hAnsi="宋体"/>
          <w:szCs w:val="21"/>
          <w:highlight w:val="none"/>
        </w:rPr>
        <w:t xml:space="preserve">                       </w:t>
      </w:r>
      <w:r/>
    </w:p>
    <w:tbl>
      <w:tblPr>
        <w:tblStyle w:val="692"/>
        <w:tblW w:w="88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881"/>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  投标货物及服务名称</w:t>
            </w:r>
            <w:r/>
          </w:p>
        </w:tc>
        <w:tc>
          <w:tcPr>
            <w:tcW w:w="6405" w:type="dxa"/>
            <w:vAlign w:val="center"/>
            <w:textDirection w:val="lrTb"/>
            <w:noWrap w:val="false"/>
          </w:tcPr>
          <w:p>
            <w:pPr>
              <w:spacing w:line="360" w:lineRule="auto"/>
              <w:rPr>
                <w:rFonts w:ascii="宋体" w:hAnsi="宋体"/>
                <w:szCs w:val="21"/>
                <w:highlight w:val="none"/>
              </w:rPr>
            </w:pPr>
            <w:r>
              <w:rPr>
                <w:rFonts w:hint="eastAsia" w:ascii="宋体" w:hAnsi="宋体" w:cs="宋体"/>
                <w:szCs w:val="21"/>
                <w:highlight w:val="none"/>
              </w:rPr>
              <w:t xml:space="preserve">                      </w:t>
            </w:r>
            <w:r>
              <w:rPr>
                <w:rFonts w:hint="eastAsia" w:ascii="宋体" w:hAnsi="宋体"/>
                <w:szCs w:val="21"/>
                <w:highlight w:val="none"/>
              </w:rPr>
              <w:t xml:space="preserve">投标报价</w:t>
            </w:r>
            <w:r/>
          </w:p>
        </w:tc>
      </w:tr>
      <w:tr>
        <w:trPr>
          <w:cantSplit/>
          <w:trHeight w:val="1697"/>
        </w:trPr>
        <w:tc>
          <w:tcPr>
            <w:tcW w:w="2481" w:type="dxa"/>
            <w:vAlign w:val="center"/>
            <w:textDirection w:val="lrTb"/>
            <w:noWrap w:val="false"/>
          </w:tcPr>
          <w:p>
            <w:pPr>
              <w:pStyle w:val="881"/>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405" w:type="dxa"/>
            <w:vAlign w:val="center"/>
            <w:textDirection w:val="lrTb"/>
            <w:noWrap w:val="false"/>
          </w:tcPr>
          <w:p>
            <w:pPr>
              <w:pStyle w:val="905"/>
              <w:ind w:firstLine="0"/>
              <w:spacing w:before="0" w:after="0"/>
              <w:rPr>
                <w:rFonts w:ascii="宋体" w:hAnsi="宋体" w:cs="宋体"/>
                <w:sz w:val="21"/>
                <w:szCs w:val="21"/>
                <w:highlight w:val="none"/>
              </w:rPr>
            </w:pPr>
            <w:r>
              <w:rPr>
                <w:rFonts w:hint="eastAsia" w:ascii="宋体" w:hAnsi="宋体" w:cs="宋体"/>
                <w:sz w:val="21"/>
                <w:szCs w:val="21"/>
                <w:highlight w:val="none"/>
              </w:rPr>
              <w:t xml:space="preserve">大写：</w:t>
            </w:r>
            <w:r/>
          </w:p>
          <w:p>
            <w:pPr>
              <w:pStyle w:val="905"/>
              <w:ind w:firstLine="0"/>
              <w:spacing w:before="0" w:after="0"/>
              <w:rPr>
                <w:rFonts w:hint="eastAsia" w:ascii="宋体" w:hAnsi="宋体" w:cs="宋体"/>
                <w:sz w:val="21"/>
                <w:szCs w:val="21"/>
                <w:highlight w:val="none"/>
              </w:rPr>
            </w:pPr>
            <w:r>
              <w:rPr>
                <w:rFonts w:hint="eastAsia" w:ascii="宋体" w:hAnsi="宋体" w:cs="宋体"/>
                <w:sz w:val="21"/>
                <w:szCs w:val="21"/>
                <w:highlight w:val="none"/>
              </w:rPr>
              <w:t xml:space="preserve">小写：                             （人民币：元）</w:t>
            </w:r>
            <w:r/>
          </w:p>
        </w:tc>
      </w:tr>
    </w:tbl>
    <w:p>
      <w:pPr>
        <w:spacing w:line="360" w:lineRule="auto"/>
        <w:rPr>
          <w:rFonts w:ascii="宋体" w:hAnsi="宋体"/>
          <w:szCs w:val="21"/>
          <w:highlight w:val="none"/>
        </w:rPr>
      </w:pPr>
      <w:r>
        <w:rPr>
          <w:rFonts w:ascii="宋体" w:hAnsi="宋体"/>
          <w:szCs w:val="21"/>
          <w:highlight w:val="none"/>
        </w:rPr>
      </w:r>
      <w:r/>
    </w:p>
    <w:p>
      <w:pPr>
        <w:ind w:firstLine="480"/>
        <w:spacing w:line="360" w:lineRule="auto"/>
        <w:rPr>
          <w:rFonts w:ascii="宋体" w:hAnsi="宋体"/>
          <w:sz w:val="32"/>
          <w:szCs w:val="32"/>
          <w:highlight w:val="none"/>
        </w:rPr>
      </w:pPr>
      <w:r>
        <w:rPr>
          <w:rFonts w:hint="eastAsia" w:ascii="宋体" w:hAnsi="宋体"/>
          <w:szCs w:val="21"/>
          <w:highlight w:val="none"/>
        </w:rPr>
        <w:t xml:space="preserve">                                              日期：  </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p>
    <w:p>
      <w:pPr>
        <w:pStyle w:val="877"/>
        <w:ind w:left="422" w:firstLine="0"/>
        <w:spacing w:line="360" w:lineRule="auto"/>
        <w:rPr>
          <w:rFonts w:ascii="宋体" w:hAnsi="宋体"/>
          <w:sz w:val="32"/>
          <w:szCs w:val="32"/>
          <w:highlight w:val="none"/>
        </w:rPr>
      </w:pPr>
      <w:r>
        <w:rPr>
          <w:rFonts w:hint="eastAsia"/>
          <w:b/>
          <w:bCs/>
          <w:highlight w:val="none"/>
        </w:rPr>
        <w:t xml:space="preserve">注：1、供应商在报价时应充分考虑不确定性因素所引起的费用。</w:t>
      </w:r>
      <w:r/>
    </w:p>
    <w:p>
      <w:pPr>
        <w:pStyle w:val="877"/>
        <w:ind w:firstLine="640"/>
        <w:spacing w:line="360" w:lineRule="auto"/>
        <w:rPr>
          <w:rFonts w:ascii="宋体" w:hAnsi="宋体"/>
          <w:sz w:val="32"/>
          <w:szCs w:val="32"/>
          <w:highlight w:val="none"/>
        </w:rPr>
      </w:pPr>
      <w:r>
        <w:rPr>
          <w:rFonts w:ascii="宋体" w:hAnsi="宋体"/>
          <w:sz w:val="32"/>
          <w:szCs w:val="32"/>
          <w:highlight w:val="none"/>
        </w:rPr>
      </w:r>
      <w:r/>
    </w:p>
    <w:p>
      <w:pPr>
        <w:jc w:val="center"/>
        <w:spacing w:line="360" w:lineRule="auto"/>
        <w:rPr>
          <w:rFonts w:ascii="宋体" w:hAnsi="宋体"/>
          <w:sz w:val="32"/>
          <w:highlight w:val="none"/>
        </w:rPr>
        <w:outlineLvl w:val="1"/>
      </w:pPr>
      <w:r>
        <w:rPr>
          <w:rFonts w:hint="eastAsia" w:ascii="宋体" w:hAnsi="宋体"/>
          <w:sz w:val="32"/>
          <w:szCs w:val="32"/>
          <w:highlight w:val="none"/>
        </w:rPr>
        <w:br w:type="page" w:clear="all"/>
      </w:r>
      <w:r>
        <w:rPr>
          <w:rFonts w:hint="eastAsia" w:ascii="宋体" w:hAnsi="宋体" w:cs="Arial"/>
          <w:b/>
          <w:bCs/>
          <w:sz w:val="32"/>
          <w:szCs w:val="44"/>
          <w:highlight w:val="none"/>
        </w:rPr>
        <w:t xml:space="preserve">五、投标产品配置及分项报价表</w:t>
      </w:r>
      <w:r/>
    </w:p>
    <w:tbl>
      <w:tblPr>
        <w:tblStyle w:val="692"/>
        <w:tblW w:w="92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1"/>
        <w:gridCol w:w="1167"/>
        <w:gridCol w:w="1578"/>
        <w:gridCol w:w="2033"/>
        <w:gridCol w:w="960"/>
        <w:gridCol w:w="1272"/>
        <w:gridCol w:w="1385"/>
      </w:tblGrid>
      <w:tr>
        <w:trPr>
          <w:trHeight w:val="490"/>
        </w:trPr>
        <w:tc>
          <w:tcPr>
            <w:tcW w:w="87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序号</w:t>
            </w:r>
            <w:r/>
          </w:p>
        </w:tc>
        <w:tc>
          <w:tcPr>
            <w:tcW w:w="116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名称</w:t>
            </w:r>
            <w:r/>
          </w:p>
        </w:tc>
        <w:tc>
          <w:tcPr>
            <w:tcW w:w="1578" w:type="dxa"/>
            <w:vAlign w:val="center"/>
            <w:textDirection w:val="lrTb"/>
            <w:noWrap w:val="false"/>
          </w:tcPr>
          <w:p>
            <w:pPr>
              <w:jc w:val="center"/>
              <w:widowControl/>
              <w:rPr>
                <w:rFonts w:hint="eastAsia" w:ascii="宋体" w:hAnsi="宋体"/>
                <w:color w:val="auto"/>
                <w:szCs w:val="21"/>
                <w:highlight w:val="none"/>
              </w:rPr>
            </w:pPr>
            <w:r>
              <w:rPr>
                <w:rFonts w:hint="eastAsia" w:ascii="宋体" w:hAnsi="宋体" w:cs="宋体"/>
                <w:color w:val="auto"/>
                <w:sz w:val="20"/>
                <w:szCs w:val="20"/>
                <w:highlight w:val="none"/>
                <w:lang w:bidi="ar"/>
              </w:rPr>
              <w:t xml:space="preserve">品牌、制造商</w:t>
            </w:r>
            <w:r/>
          </w:p>
        </w:tc>
        <w:tc>
          <w:tcPr>
            <w:tcW w:w="2033" w:type="dxa"/>
            <w:vAlign w:val="center"/>
            <w:textDirection w:val="lrTb"/>
            <w:noWrap w:val="false"/>
          </w:tcPr>
          <w:p>
            <w:pPr>
              <w:jc w:val="center"/>
              <w:widowControl/>
              <w:rPr>
                <w:rFonts w:hint="eastAsia" w:ascii="宋体" w:hAnsi="宋体"/>
                <w:color w:val="auto"/>
                <w:szCs w:val="21"/>
                <w:highlight w:val="none"/>
              </w:rPr>
            </w:pPr>
            <w:r>
              <w:rPr>
                <w:rFonts w:hint="eastAsia" w:ascii="宋体" w:hAnsi="宋体" w:cs="宋体"/>
                <w:color w:val="auto"/>
                <w:sz w:val="20"/>
                <w:szCs w:val="20"/>
                <w:highlight w:val="none"/>
                <w:lang w:bidi="ar"/>
              </w:rPr>
              <w:t xml:space="preserve">规格或型号或分项目</w:t>
            </w:r>
            <w:r/>
          </w:p>
        </w:tc>
        <w:tc>
          <w:tcPr>
            <w:tcW w:w="9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数量</w:t>
            </w:r>
            <w:r/>
          </w:p>
        </w:tc>
        <w:tc>
          <w:tcPr>
            <w:tcW w:w="1272"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单价（元）</w:t>
            </w:r>
            <w:r/>
          </w:p>
        </w:tc>
        <w:tc>
          <w:tcPr>
            <w:tcW w:w="138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总价（元）</w:t>
            </w:r>
            <w:r/>
          </w:p>
        </w:tc>
      </w:tr>
      <w:tr>
        <w:trPr>
          <w:trHeight w:val="490"/>
        </w:trPr>
        <w:tc>
          <w:tcPr>
            <w:tcW w:w="871" w:type="dxa"/>
            <w:vAlign w:val="center"/>
            <w:textDirection w:val="lrTb"/>
            <w:noWrap w:val="false"/>
          </w:tcPr>
          <w:p>
            <w:pPr>
              <w:jc w:val="center"/>
              <w:rPr>
                <w:rFonts w:hint="eastAsia" w:ascii="宋体" w:hAnsi="宋体"/>
                <w:color w:val="auto"/>
                <w:szCs w:val="21"/>
                <w:highlight w:val="none"/>
              </w:rPr>
            </w:pPr>
            <w:r>
              <w:rPr>
                <w:rFonts w:ascii="宋体" w:hAnsi="宋体"/>
                <w:color w:val="auto"/>
                <w:szCs w:val="21"/>
                <w:highlight w:val="none"/>
              </w:rPr>
              <w:t xml:space="preserve">1</w:t>
            </w:r>
            <w:r/>
          </w:p>
        </w:tc>
        <w:tc>
          <w:tcPr>
            <w:tcW w:w="116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7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0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72"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8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trHeight w:val="490"/>
        </w:trPr>
        <w:tc>
          <w:tcPr>
            <w:tcW w:w="871" w:type="dxa"/>
            <w:vAlign w:val="center"/>
            <w:textDirection w:val="lrTb"/>
            <w:noWrap w:val="false"/>
          </w:tcPr>
          <w:p>
            <w:pPr>
              <w:jc w:val="center"/>
              <w:rPr>
                <w:rFonts w:hint="eastAsia" w:ascii="宋体" w:hAnsi="宋体"/>
                <w:color w:val="auto"/>
                <w:szCs w:val="21"/>
                <w:highlight w:val="none"/>
              </w:rPr>
            </w:pPr>
            <w:r>
              <w:rPr>
                <w:rFonts w:ascii="宋体" w:hAnsi="宋体"/>
                <w:color w:val="auto"/>
                <w:szCs w:val="21"/>
                <w:highlight w:val="none"/>
              </w:rPr>
              <w:t xml:space="preserve">2</w:t>
            </w:r>
            <w:r/>
          </w:p>
        </w:tc>
        <w:tc>
          <w:tcPr>
            <w:tcW w:w="116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7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0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72"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8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trHeight w:val="490"/>
        </w:trPr>
        <w:tc>
          <w:tcPr>
            <w:tcW w:w="871" w:type="dxa"/>
            <w:vAlign w:val="center"/>
            <w:textDirection w:val="lrTb"/>
            <w:noWrap w:val="false"/>
          </w:tcPr>
          <w:p>
            <w:pPr>
              <w:jc w:val="center"/>
              <w:rPr>
                <w:rFonts w:hint="eastAsia" w:ascii="宋体" w:hAnsi="宋体"/>
                <w:color w:val="auto"/>
                <w:szCs w:val="21"/>
                <w:highlight w:val="none"/>
              </w:rPr>
            </w:pPr>
            <w:r>
              <w:rPr>
                <w:rFonts w:ascii="宋体" w:hAnsi="宋体"/>
                <w:color w:val="auto"/>
                <w:szCs w:val="21"/>
                <w:highlight w:val="none"/>
              </w:rPr>
              <w:t xml:space="preserve">3</w:t>
            </w:r>
            <w:r/>
          </w:p>
        </w:tc>
        <w:tc>
          <w:tcPr>
            <w:tcW w:w="116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7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0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72"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8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trHeight w:val="490"/>
        </w:trPr>
        <w:tc>
          <w:tcPr>
            <w:tcW w:w="871" w:type="dxa"/>
            <w:vAlign w:val="center"/>
            <w:textDirection w:val="lrTb"/>
            <w:noWrap w:val="false"/>
          </w:tcPr>
          <w:p>
            <w:pPr>
              <w:jc w:val="center"/>
              <w:rPr>
                <w:rFonts w:hint="eastAsia" w:ascii="宋体" w:hAnsi="宋体"/>
                <w:color w:val="auto"/>
                <w:szCs w:val="21"/>
                <w:highlight w:val="none"/>
              </w:rPr>
            </w:pPr>
            <w:r>
              <w:rPr>
                <w:rFonts w:ascii="宋体" w:hAnsi="宋体"/>
                <w:color w:val="auto"/>
                <w:szCs w:val="21"/>
                <w:highlight w:val="none"/>
              </w:rPr>
              <w:t xml:space="preserve">4</w:t>
            </w:r>
            <w:r/>
          </w:p>
        </w:tc>
        <w:tc>
          <w:tcPr>
            <w:tcW w:w="116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7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0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72"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8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trHeight w:val="490"/>
        </w:trPr>
        <w:tc>
          <w:tcPr>
            <w:tcW w:w="871" w:type="dxa"/>
            <w:vAlign w:val="center"/>
            <w:textDirection w:val="lrTb"/>
            <w:noWrap w:val="false"/>
          </w:tcPr>
          <w:p>
            <w:pPr>
              <w:jc w:val="center"/>
              <w:rPr>
                <w:rFonts w:hint="eastAsia" w:ascii="宋体" w:hAnsi="宋体"/>
                <w:color w:val="auto"/>
                <w:szCs w:val="21"/>
                <w:highlight w:val="none"/>
              </w:rPr>
            </w:pPr>
            <w:r>
              <w:rPr>
                <w:rFonts w:ascii="宋体" w:hAnsi="宋体"/>
                <w:color w:val="auto"/>
                <w:szCs w:val="21"/>
                <w:highlight w:val="none"/>
              </w:rPr>
              <w:t xml:space="preserve">5</w:t>
            </w:r>
            <w:r/>
          </w:p>
        </w:tc>
        <w:tc>
          <w:tcPr>
            <w:tcW w:w="116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7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0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72"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8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trHeight w:val="490"/>
        </w:trPr>
        <w:tc>
          <w:tcPr>
            <w:tcW w:w="871" w:type="dxa"/>
            <w:vAlign w:val="center"/>
            <w:textDirection w:val="lrTb"/>
            <w:noWrap w:val="false"/>
          </w:tcPr>
          <w:p>
            <w:pPr>
              <w:jc w:val="center"/>
              <w:rPr>
                <w:rFonts w:hint="eastAsia" w:ascii="宋体" w:hAnsi="宋体"/>
                <w:color w:val="auto"/>
                <w:szCs w:val="21"/>
                <w:highlight w:val="none"/>
              </w:rPr>
            </w:pPr>
            <w:r>
              <w:rPr>
                <w:rFonts w:ascii="宋体" w:hAnsi="宋体"/>
                <w:color w:val="auto"/>
                <w:szCs w:val="21"/>
                <w:highlight w:val="none"/>
              </w:rPr>
              <w:t xml:space="preserve">6</w:t>
            </w:r>
            <w:r/>
          </w:p>
        </w:tc>
        <w:tc>
          <w:tcPr>
            <w:tcW w:w="116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7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0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72"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8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trHeight w:val="490"/>
        </w:trPr>
        <w:tc>
          <w:tcPr>
            <w:tcW w:w="87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w:t>
            </w:r>
            <w:r/>
          </w:p>
        </w:tc>
        <w:tc>
          <w:tcPr>
            <w:tcW w:w="116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7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0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72"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8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trHeight w:val="490"/>
        </w:trPr>
        <w:tc>
          <w:tcPr>
            <w:tcW w:w="871"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r>
            <w:r/>
          </w:p>
        </w:tc>
        <w:tc>
          <w:tcPr>
            <w:gridSpan w:val="5"/>
            <w:tcW w:w="7010"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投标报价</w:t>
            </w:r>
            <w:r/>
          </w:p>
        </w:tc>
        <w:tc>
          <w:tcPr>
            <w:tcW w:w="138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trHeight w:val="490"/>
        </w:trPr>
        <w:tc>
          <w:tcPr>
            <w:gridSpan w:val="7"/>
            <w:tcW w:w="9266"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r>
            <w:r/>
          </w:p>
        </w:tc>
      </w:tr>
    </w:tbl>
    <w:p>
      <w:pPr>
        <w:jc w:val="left"/>
        <w:spacing w:line="360" w:lineRule="auto"/>
        <w:widowControl/>
        <w:rPr>
          <w:rFonts w:hint="eastAsia" w:ascii="宋体" w:cs="宋体"/>
          <w:bCs/>
          <w:color w:val="auto"/>
          <w:highlight w:val="none"/>
        </w:rPr>
      </w:pPr>
      <w:r>
        <w:rPr>
          <w:rFonts w:hint="eastAsia" w:ascii="宋体" w:cs="宋体"/>
          <w:bCs/>
          <w:color w:val="auto"/>
          <w:highlight w:val="none"/>
        </w:rPr>
        <w:t xml:space="preserve">注：1.本采购包中提供的符合本国产品标准的产品成本之和占该采购包提供的全部产品成本之和的比例为</w:t>
      </w:r>
      <w:r>
        <w:rPr>
          <w:rFonts w:hint="eastAsia" w:ascii="宋体" w:cs="宋体"/>
          <w:bCs/>
          <w:color w:val="auto"/>
          <w:highlight w:val="none"/>
          <w:u w:val="single"/>
        </w:rPr>
        <w:t xml:space="preserve">     %</w:t>
      </w:r>
      <w:r>
        <w:rPr>
          <w:rFonts w:hint="eastAsia" w:ascii="宋体" w:cs="宋体"/>
          <w:bCs/>
          <w:color w:val="auto"/>
          <w:highlight w:val="none"/>
        </w:rPr>
        <w:t xml:space="preserve">。</w:t>
      </w:r>
      <w:r/>
    </w:p>
    <w:p>
      <w:pPr>
        <w:ind w:firstLine="420"/>
        <w:jc w:val="left"/>
        <w:spacing w:line="360" w:lineRule="auto"/>
        <w:widowControl/>
        <w:rPr>
          <w:rFonts w:hint="eastAsia" w:ascii="宋体" w:cs="宋体"/>
          <w:bCs/>
          <w:color w:val="auto"/>
          <w:highlight w:val="none"/>
        </w:rPr>
      </w:pPr>
      <w:r>
        <w:rPr>
          <w:rFonts w:hint="eastAsia" w:ascii="宋体" w:cs="宋体"/>
          <w:bCs/>
          <w:color w:val="auto"/>
          <w:highlight w:val="none"/>
          <w:lang w:val="en-US" w:eastAsia="zh-CN"/>
        </w:rPr>
        <w:t xml:space="preserve">2.</w:t>
      </w:r>
      <w:r>
        <w:rPr>
          <w:rFonts w:hint="eastAsia" w:ascii="宋体" w:cs="宋体"/>
          <w:bCs/>
          <w:color w:val="auto"/>
          <w:highlight w:val="none"/>
        </w:rPr>
        <w:t xml:space="preserve">本表“投标报价”须与《开标一览表》中“投标报价”保持一致。</w:t>
      </w:r>
      <w:r/>
    </w:p>
    <w:p>
      <w:pPr>
        <w:ind w:firstLine="420"/>
        <w:jc w:val="left"/>
        <w:spacing w:line="360" w:lineRule="auto"/>
        <w:widowControl/>
        <w:rPr>
          <w:rFonts w:hint="default" w:ascii="宋体" w:cs="宋体"/>
          <w:bCs/>
          <w:color w:val="auto"/>
          <w:highlight w:val="none"/>
          <w:lang w:val="en-US" w:eastAsia="zh-CN"/>
        </w:rPr>
        <w:sectPr>
          <w:footnotePr/>
          <w:endnotePr/>
          <w:type w:val="nextPage"/>
          <w:pgSz w:w="11906" w:h="16838" w:orient="portrait"/>
          <w:pgMar w:top="1440" w:right="1486" w:bottom="1440" w:left="1180" w:header="851" w:footer="992" w:gutter="0"/>
          <w:cols w:num="1" w:sep="0" w:space="720" w:equalWidth="1"/>
          <w:docGrid w:linePitch="360"/>
        </w:sectPr>
      </w:pPr>
      <w:r>
        <w:rPr>
          <w:rFonts w:hint="eastAsia" w:ascii="宋体" w:cs="宋体"/>
          <w:bCs/>
          <w:color w:val="auto"/>
          <w:highlight w:val="none"/>
          <w:lang w:val="en-US" w:eastAsia="zh-CN"/>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876"/>
        <w:spacing w:line="360" w:lineRule="auto"/>
        <w:rPr>
          <w:rFonts w:hint="eastAsia" w:ascii="宋体" w:hAnsi="宋体" w:eastAsia="宋体"/>
          <w:sz w:val="32"/>
          <w:szCs w:val="32"/>
          <w:highlight w:val="none"/>
        </w:rPr>
        <w:outlineLvl w:val="1"/>
      </w:pPr>
      <w:r/>
      <w:bookmarkStart w:id="77" w:name="_Toc6082"/>
      <w:r>
        <w:rPr>
          <w:rFonts w:hint="eastAsia" w:ascii="宋体" w:hAnsi="宋体" w:eastAsia="宋体"/>
          <w:sz w:val="32"/>
          <w:highlight w:val="none"/>
        </w:rPr>
        <w:t xml:space="preserve">六、技术参数响应及偏离表</w:t>
      </w:r>
      <w:bookmarkEnd w:id="77"/>
      <w:r/>
      <w:r/>
    </w:p>
    <w:tbl>
      <w:tblPr>
        <w:tblStyle w:val="692"/>
        <w:tblW w:w="8591" w:type="dxa"/>
        <w:jc w:val="center"/>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jc w:val="center"/>
          <w:trHeight w:val="642"/>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jc w:val="center"/>
              <w:spacing w:before="156" w:line="360" w:lineRule="auto"/>
              <w:rPr>
                <w:rFonts w:ascii="仿宋_GB2312" w:hAnsi="宋体" w:eastAsia="仿宋_GB2312"/>
                <w:szCs w:val="21"/>
                <w:highlight w:val="none"/>
              </w:rPr>
            </w:pPr>
            <w:r>
              <w:rPr>
                <w:rFonts w:hint="eastAsia" w:ascii="仿宋_GB2312" w:hAnsi="宋体"/>
                <w:szCs w:val="21"/>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jc w:val="center"/>
              <w:spacing w:before="156" w:line="360" w:lineRule="auto"/>
              <w:rPr>
                <w:rFonts w:ascii="仿宋_GB2312" w:hAnsi="宋体" w:eastAsia="仿宋_GB2312"/>
                <w:szCs w:val="21"/>
                <w:highlight w:val="none"/>
              </w:rPr>
            </w:pPr>
            <w:r>
              <w:rPr>
                <w:rFonts w:hint="eastAsia" w:ascii="仿宋_GB2312" w:hAnsi="宋体"/>
                <w:szCs w:val="21"/>
                <w:highlight w:val="none"/>
                <w:lang w:val="en-US" w:eastAsia="zh-CN"/>
              </w:rPr>
              <w:t xml:space="preserve">招标</w:t>
            </w:r>
            <w:r>
              <w:rPr>
                <w:rFonts w:hint="eastAsia" w:ascii="仿宋_GB2312" w:hAnsi="宋体"/>
                <w:szCs w:val="21"/>
                <w:highlight w:val="none"/>
              </w:rPr>
              <w:t xml:space="preserve">文件要求</w:t>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jc w:val="center"/>
              <w:spacing w:before="156" w:line="360" w:lineRule="auto"/>
              <w:rPr>
                <w:rFonts w:ascii="仿宋_GB2312" w:hAnsi="宋体" w:eastAsia="仿宋_GB2312"/>
                <w:szCs w:val="21"/>
                <w:highlight w:val="none"/>
              </w:rPr>
            </w:pPr>
            <w:r>
              <w:rPr>
                <w:rFonts w:hint="eastAsia" w:ascii="仿宋_GB2312" w:hAnsi="宋体"/>
                <w:szCs w:val="21"/>
                <w:highlight w:val="none"/>
              </w:rPr>
              <w:t xml:space="preserve">投标人的承诺或说明</w:t>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jc w:val="center"/>
              <w:spacing w:before="156" w:line="360" w:lineRule="auto"/>
              <w:rPr>
                <w:rFonts w:ascii="仿宋_GB2312" w:hAnsi="宋体" w:eastAsia="仿宋_GB2312"/>
                <w:szCs w:val="21"/>
                <w:highlight w:val="none"/>
              </w:rPr>
            </w:pPr>
            <w:r>
              <w:rPr>
                <w:rFonts w:hint="eastAsia" w:ascii="仿宋_GB2312" w:hAnsi="宋体"/>
                <w:szCs w:val="21"/>
                <w:highlight w:val="none"/>
              </w:rPr>
              <w:t xml:space="preserve">是否响应</w:t>
            </w:r>
            <w:r/>
          </w:p>
        </w:tc>
      </w:tr>
      <w:tr>
        <w:trPr>
          <w:jc w:val="center"/>
          <w:trHeight w:val="469"/>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jc w:val="center"/>
          <w:trHeight w:val="719"/>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jc w:val="center"/>
              <w:spacing w:before="156" w:line="360" w:lineRule="auto"/>
              <w:rPr>
                <w:rFonts w:ascii="仿宋_GB2312"/>
                <w:szCs w:val="21"/>
                <w:highlight w:val="none"/>
              </w:rPr>
            </w:pPr>
            <w:r>
              <w:rPr>
                <w:rFonts w:ascii="仿宋_GB2312"/>
                <w:szCs w:val="21"/>
                <w:highlight w:val="none"/>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spacing w:before="156" w:line="360" w:lineRule="auto"/>
              <w:rPr>
                <w:rFonts w:ascii="仿宋_GB2312" w:hAnsi="宋体"/>
                <w:szCs w:val="21"/>
                <w:highlight w:val="none"/>
              </w:rPr>
            </w:pPr>
            <w:r>
              <w:rPr>
                <w:rFonts w:ascii="仿宋_GB2312" w:hAnsi="宋体"/>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jc w:val="center"/>
              <w:spacing w:before="156" w:line="360" w:lineRule="auto"/>
              <w:rPr>
                <w:rFonts w:ascii="仿宋_GB2312"/>
                <w:szCs w:val="21"/>
                <w:highlight w:val="none"/>
              </w:rPr>
            </w:pPr>
            <w:r>
              <w:rPr>
                <w:rFonts w:ascii="仿宋_GB2312"/>
                <w:szCs w:val="21"/>
                <w:highlight w:val="none"/>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spacing w:before="156" w:line="360" w:lineRule="auto"/>
              <w:rPr>
                <w:rFonts w:ascii="仿宋_GB2312" w:hAnsi="宋体"/>
                <w:szCs w:val="21"/>
                <w:highlight w:val="none"/>
              </w:rPr>
            </w:pPr>
            <w:r>
              <w:rPr>
                <w:rFonts w:ascii="仿宋_GB2312" w:hAnsi="宋体"/>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bl>
    <w:p>
      <w:pPr>
        <w:pStyle w:val="716"/>
        <w:keepLines w:val="0"/>
        <w:keepNext w:val="0"/>
        <w:pageBreakBefore w:val="0"/>
        <w:spacing w:line="360" w:lineRule="auto"/>
        <w:widowControl w:val="off"/>
        <w:rPr>
          <w:rFonts w:ascii="Times New Roman" w:hAnsi="Times New Roman"/>
          <w:b/>
          <w:bCs/>
          <w:color w:val="auto"/>
          <w:highlight w:val="none"/>
        </w:rPr>
      </w:pPr>
      <w:r>
        <w:rPr>
          <w:rFonts w:ascii="Times New Roman" w:hAnsi="Times New Roman"/>
          <w:b/>
          <w:bCs/>
          <w:color w:val="auto"/>
          <w:highlight w:val="none"/>
        </w:rPr>
      </w:r>
      <w:r/>
    </w:p>
    <w:p>
      <w:pPr>
        <w:ind w:firstLine="480"/>
        <w:spacing w:line="360" w:lineRule="auto"/>
        <w:rPr>
          <w:rFonts w:hint="eastAsia" w:ascii="宋体" w:hAnsi="宋体"/>
          <w:b w:val="0"/>
          <w:bCs w:val="0"/>
          <w:i w:val="0"/>
          <w:iCs w:val="0"/>
          <w:sz w:val="21"/>
          <w:szCs w:val="21"/>
          <w:highlight w:val="none"/>
          <w:u w:val="none"/>
        </w:rPr>
      </w:pPr>
      <w:r>
        <w:rPr>
          <w:rFonts w:hint="eastAsia" w:ascii="宋体" w:hAnsi="宋体"/>
          <w:b w:val="0"/>
          <w:bCs w:val="0"/>
          <w:i w:val="0"/>
          <w:iCs w:val="0"/>
          <w:sz w:val="21"/>
          <w:szCs w:val="21"/>
          <w:highlight w:val="none"/>
          <w:u w:val="none"/>
        </w:rPr>
        <w:t xml:space="preserve">注：</w:t>
      </w:r>
      <w:r/>
    </w:p>
    <w:p>
      <w:pPr>
        <w:ind w:firstLine="480"/>
        <w:spacing w:line="360" w:lineRule="auto"/>
        <w:rPr>
          <w:rFonts w:hint="eastAsia" w:ascii="宋体" w:hAnsi="宋体"/>
          <w:b w:val="0"/>
          <w:bCs w:val="0"/>
          <w:i w:val="0"/>
          <w:iCs w:val="0"/>
          <w:sz w:val="21"/>
          <w:szCs w:val="21"/>
          <w:highlight w:val="none"/>
          <w:u w:val="none"/>
        </w:rPr>
      </w:pPr>
      <w:r>
        <w:rPr>
          <w:rFonts w:hint="eastAsia" w:ascii="宋体" w:hAnsi="宋体"/>
          <w:b w:val="0"/>
          <w:bCs w:val="0"/>
          <w:i w:val="0"/>
          <w:iCs w:val="0"/>
          <w:sz w:val="21"/>
          <w:szCs w:val="21"/>
          <w:highlight w:val="none"/>
          <w:u w:val="none"/>
        </w:rPr>
        <w:t xml:space="preserve">1. 供应商须根据招标文件第四章要求填写此表，作为投标文件的组成部分。</w:t>
      </w:r>
      <w:r/>
    </w:p>
    <w:p>
      <w:pPr>
        <w:ind w:firstLine="480"/>
        <w:spacing w:line="360" w:lineRule="auto"/>
        <w:rPr>
          <w:rFonts w:hint="eastAsia" w:ascii="宋体" w:hAnsi="宋体"/>
          <w:b w:val="0"/>
          <w:bCs w:val="0"/>
          <w:i w:val="0"/>
          <w:iCs w:val="0"/>
          <w:sz w:val="21"/>
          <w:szCs w:val="21"/>
          <w:highlight w:val="none"/>
          <w:u w:val="none"/>
        </w:rPr>
      </w:pPr>
      <w:r>
        <w:rPr>
          <w:rFonts w:hint="eastAsia" w:ascii="宋体" w:hAnsi="宋体"/>
          <w:b w:val="0"/>
          <w:bCs w:val="0"/>
          <w:i w:val="0"/>
          <w:iCs w:val="0"/>
          <w:sz w:val="21"/>
          <w:szCs w:val="21"/>
          <w:highlight w:val="none"/>
          <w:u w:val="none"/>
        </w:rPr>
        <w:t xml:space="preserve">2. 所有偏离必须在本表中列出，未在本偏离表中列出偏离，将视为供应商已完全接受招标文件要求。如完全无偏离，也无其他说明，可在本表第一行填写“全部无偏离”。</w:t>
      </w:r>
      <w:r/>
    </w:p>
    <w:p>
      <w:pPr>
        <w:ind w:firstLine="480"/>
        <w:spacing w:line="360" w:lineRule="auto"/>
        <w:rPr>
          <w:rFonts w:hint="eastAsia" w:ascii="宋体" w:hAnsi="宋体"/>
          <w:b w:val="0"/>
          <w:bCs w:val="0"/>
          <w:i w:val="0"/>
          <w:iCs w:val="0"/>
          <w:sz w:val="21"/>
          <w:szCs w:val="21"/>
          <w:highlight w:val="none"/>
          <w:u w:val="none"/>
        </w:rPr>
      </w:pPr>
      <w:r>
        <w:rPr>
          <w:rFonts w:hint="eastAsia" w:ascii="宋体" w:hAnsi="宋体"/>
          <w:b w:val="0"/>
          <w:bCs w:val="0"/>
          <w:i w:val="0"/>
          <w:iCs w:val="0"/>
          <w:sz w:val="21"/>
          <w:szCs w:val="21"/>
          <w:highlight w:val="none"/>
          <w:u w:val="none"/>
        </w:rPr>
        <w:t xml:space="preserve">3. 偏离包括正、负偏离，正偏离指供应商的响应高于招标文件要求，负偏离指供应商的响应低于招标文件要求。</w:t>
      </w:r>
      <w:r/>
    </w:p>
    <w:p>
      <w:pPr>
        <w:ind w:firstLine="480"/>
        <w:spacing w:line="360" w:lineRule="auto"/>
        <w:rPr>
          <w:rFonts w:hint="eastAsia" w:ascii="宋体" w:hAnsi="宋体"/>
          <w:b w:val="0"/>
          <w:bCs w:val="0"/>
          <w:i w:val="0"/>
          <w:iCs w:val="0"/>
          <w:sz w:val="21"/>
          <w:szCs w:val="21"/>
          <w:highlight w:val="none"/>
          <w:u w:val="none"/>
        </w:rPr>
      </w:pPr>
      <w:r>
        <w:rPr>
          <w:rFonts w:hint="eastAsia" w:ascii="宋体" w:hAnsi="宋体"/>
          <w:b w:val="0"/>
          <w:bCs w:val="0"/>
          <w:i w:val="0"/>
          <w:iCs w:val="0"/>
          <w:sz w:val="21"/>
          <w:szCs w:val="21"/>
          <w:highlight w:val="none"/>
          <w:u w:val="none"/>
        </w:rPr>
        <w:t xml:space="preserve">4. 如供应商将此表空白，视为供应商无任何偏离。</w:t>
      </w:r>
      <w:r/>
    </w:p>
    <w:p>
      <w:pPr>
        <w:ind w:firstLine="422"/>
        <w:keepLines w:val="0"/>
        <w:keepNext w:val="0"/>
        <w:pageBreakBefore w:val="0"/>
        <w:spacing w:line="360" w:lineRule="auto"/>
        <w:widowControl w:val="off"/>
        <w:rPr>
          <w:rFonts w:hint="eastAsia" w:ascii="宋体" w:hAnsi="宋体"/>
          <w:b/>
          <w:bCs/>
          <w:i w:val="0"/>
          <w:iCs w:val="0"/>
          <w:sz w:val="21"/>
          <w:szCs w:val="21"/>
          <w:highlight w:val="none"/>
          <w:u w:val="none"/>
        </w:rPr>
      </w:pPr>
      <w:r>
        <w:rPr>
          <w:rFonts w:hint="eastAsia" w:ascii="宋体" w:hAnsi="宋体"/>
          <w:b/>
          <w:bCs/>
          <w:i w:val="0"/>
          <w:iCs w:val="0"/>
          <w:sz w:val="21"/>
          <w:szCs w:val="21"/>
          <w:highlight w:val="none"/>
          <w:u w:val="none"/>
        </w:rPr>
      </w:r>
      <w:r/>
    </w:p>
    <w:p>
      <w:pPr>
        <w:jc w:val="center"/>
        <w:spacing w:line="360" w:lineRule="auto"/>
        <w:rPr>
          <w:rFonts w:ascii="黑体" w:hAnsi="Arial" w:eastAsia="黑体"/>
          <w:b/>
          <w:sz w:val="36"/>
          <w:highlight w:val="none"/>
        </w:rPr>
      </w:pPr>
      <w:r>
        <w:rPr>
          <w:rFonts w:ascii="黑体" w:hAnsi="Arial" w:eastAsia="黑体"/>
          <w:b/>
          <w:sz w:val="36"/>
          <w:highlight w:val="none"/>
        </w:rPr>
      </w:r>
      <w:r/>
    </w:p>
    <w:p>
      <w:pPr>
        <w:jc w:val="center"/>
        <w:spacing w:line="360" w:lineRule="auto"/>
        <w:rPr>
          <w:rFonts w:ascii="黑体" w:hAnsi="Arial" w:eastAsia="黑体"/>
          <w:b/>
          <w:sz w:val="36"/>
          <w:highlight w:val="none"/>
        </w:rPr>
      </w:pPr>
      <w:r>
        <w:rPr>
          <w:rFonts w:ascii="黑体" w:hAnsi="Arial" w:eastAsia="黑体"/>
          <w:b/>
          <w:sz w:val="36"/>
          <w:highlight w:val="none"/>
        </w:rPr>
      </w:r>
      <w:r/>
    </w:p>
    <w:p>
      <w:pPr>
        <w:spacing w:line="360" w:lineRule="auto"/>
        <w:rPr>
          <w:rFonts w:ascii="黑体" w:hAnsi="Arial" w:eastAsia="黑体"/>
          <w:sz w:val="32"/>
          <w:highlight w:val="none"/>
        </w:rPr>
      </w:pPr>
      <w:r>
        <w:rPr>
          <w:rFonts w:ascii="黑体" w:hAnsi="Arial" w:eastAsia="黑体"/>
          <w:sz w:val="32"/>
          <w:highlight w:val="none"/>
        </w:rPr>
      </w:r>
      <w:r/>
    </w:p>
    <w:p>
      <w:pPr>
        <w:rPr>
          <w:rFonts w:ascii="宋体" w:hAnsi="宋体" w:eastAsia="宋体"/>
          <w:sz w:val="32"/>
          <w:szCs w:val="32"/>
          <w:highlight w:val="none"/>
        </w:rPr>
      </w:pPr>
      <w:r>
        <w:rPr>
          <w:rFonts w:hint="eastAsia" w:ascii="宋体" w:hAnsi="宋体" w:eastAsia="宋体"/>
          <w:sz w:val="32"/>
          <w:highlight w:val="none"/>
        </w:rPr>
        <w:br w:type="page" w:clear="all"/>
      </w:r>
      <w:r/>
    </w:p>
    <w:p>
      <w:pPr>
        <w:pStyle w:val="876"/>
        <w:spacing w:line="360" w:lineRule="auto"/>
        <w:rPr>
          <w:rFonts w:hint="eastAsia" w:ascii="宋体" w:hAnsi="宋体" w:eastAsia="宋体"/>
          <w:sz w:val="32"/>
          <w:szCs w:val="32"/>
          <w:highlight w:val="none"/>
        </w:rPr>
      </w:pPr>
      <w:r/>
      <w:bookmarkStart w:id="78" w:name="_Hlt26955054"/>
      <w:r/>
      <w:bookmarkEnd w:id="78"/>
      <w:r/>
      <w:bookmarkStart w:id="79" w:name="_Toc10088"/>
      <w:r>
        <w:rPr>
          <w:rFonts w:hint="eastAsia" w:ascii="宋体" w:hAnsi="宋体" w:eastAsia="宋体"/>
          <w:sz w:val="32"/>
          <w:highlight w:val="none"/>
        </w:rPr>
        <w:t xml:space="preserve">七、商务条款响应及偏离表</w:t>
      </w:r>
      <w:bookmarkEnd w:id="79"/>
      <w:r/>
      <w:r/>
    </w:p>
    <w:tbl>
      <w:tblPr>
        <w:tblStyle w:val="692"/>
        <w:tblW w:w="8591" w:type="dxa"/>
        <w:jc w:val="center"/>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jc w:val="center"/>
          <w:trHeight w:val="642"/>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jc w:val="center"/>
              <w:spacing w:before="156" w:line="360" w:lineRule="auto"/>
              <w:rPr>
                <w:rFonts w:ascii="仿宋_GB2312" w:hAnsi="宋体" w:eastAsia="仿宋_GB2312"/>
                <w:szCs w:val="21"/>
                <w:highlight w:val="none"/>
              </w:rPr>
            </w:pPr>
            <w:r/>
            <w:bookmarkStart w:id="80" w:name="_Hlt26671372"/>
            <w:r/>
            <w:bookmarkEnd w:id="80"/>
            <w:r/>
            <w:bookmarkStart w:id="81" w:name="_Hlt26671343"/>
            <w:r/>
            <w:bookmarkEnd w:id="81"/>
            <w:r/>
            <w:bookmarkStart w:id="82" w:name="_Hlt26782999"/>
            <w:r/>
            <w:bookmarkEnd w:id="82"/>
            <w:r/>
            <w:bookmarkStart w:id="83" w:name="_Hlt24879081"/>
            <w:r/>
            <w:bookmarkEnd w:id="83"/>
            <w:r/>
            <w:bookmarkStart w:id="84" w:name="_Hlt26609391"/>
            <w:r/>
            <w:bookmarkEnd w:id="84"/>
            <w:r/>
            <w:bookmarkStart w:id="85" w:name="_Hlt26955056"/>
            <w:r/>
            <w:bookmarkEnd w:id="85"/>
            <w:r/>
            <w:bookmarkStart w:id="86" w:name="_Hlt26580838"/>
            <w:r/>
            <w:bookmarkEnd w:id="86"/>
            <w:r/>
            <w:bookmarkStart w:id="87" w:name="_Hlt26955064"/>
            <w:r/>
            <w:bookmarkEnd w:id="87"/>
            <w:r>
              <w:rPr>
                <w:rFonts w:hint="eastAsia" w:ascii="仿宋_GB2312" w:hAnsi="宋体"/>
                <w:szCs w:val="21"/>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jc w:val="center"/>
              <w:spacing w:before="156" w:line="360" w:lineRule="auto"/>
              <w:rPr>
                <w:rFonts w:ascii="仿宋_GB2312" w:hAnsi="宋体" w:eastAsia="仿宋_GB2312"/>
                <w:szCs w:val="21"/>
                <w:highlight w:val="none"/>
              </w:rPr>
            </w:pPr>
            <w:r>
              <w:rPr>
                <w:rFonts w:hint="eastAsia" w:ascii="仿宋_GB2312" w:hAnsi="宋体"/>
                <w:szCs w:val="21"/>
                <w:highlight w:val="none"/>
                <w:lang w:val="en-US" w:eastAsia="zh-CN"/>
              </w:rPr>
              <w:t xml:space="preserve">招标</w:t>
            </w:r>
            <w:r>
              <w:rPr>
                <w:rFonts w:hint="eastAsia" w:ascii="仿宋_GB2312" w:hAnsi="宋体"/>
                <w:szCs w:val="21"/>
                <w:highlight w:val="none"/>
              </w:rPr>
              <w:t xml:space="preserve">文件要求</w:t>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jc w:val="center"/>
              <w:spacing w:before="156" w:line="360" w:lineRule="auto"/>
              <w:rPr>
                <w:rFonts w:ascii="仿宋_GB2312" w:hAnsi="宋体" w:eastAsia="仿宋_GB2312"/>
                <w:szCs w:val="21"/>
                <w:highlight w:val="none"/>
              </w:rPr>
            </w:pPr>
            <w:r>
              <w:rPr>
                <w:rFonts w:hint="eastAsia" w:ascii="仿宋_GB2312" w:hAnsi="宋体"/>
                <w:szCs w:val="21"/>
                <w:highlight w:val="none"/>
              </w:rPr>
              <w:t xml:space="preserve">投标人的承诺或说明</w:t>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jc w:val="center"/>
              <w:spacing w:before="156" w:line="360" w:lineRule="auto"/>
              <w:rPr>
                <w:rFonts w:ascii="仿宋_GB2312" w:hAnsi="宋体" w:eastAsia="仿宋_GB2312"/>
                <w:szCs w:val="21"/>
                <w:highlight w:val="none"/>
              </w:rPr>
            </w:pPr>
            <w:r>
              <w:rPr>
                <w:rFonts w:hint="eastAsia" w:ascii="仿宋_GB2312" w:hAnsi="宋体"/>
                <w:szCs w:val="21"/>
                <w:highlight w:val="none"/>
              </w:rPr>
              <w:t xml:space="preserve">是否响应</w:t>
            </w:r>
            <w:r/>
          </w:p>
        </w:tc>
      </w:tr>
      <w:tr>
        <w:trPr>
          <w:jc w:val="center"/>
          <w:trHeight w:val="469"/>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jc w:val="center"/>
          <w:trHeight w:val="719"/>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jc w:val="center"/>
              <w:spacing w:before="156" w:line="360" w:lineRule="auto"/>
              <w:rPr>
                <w:rFonts w:ascii="仿宋_GB2312"/>
                <w:szCs w:val="21"/>
                <w:highlight w:val="none"/>
              </w:rPr>
            </w:pPr>
            <w:r>
              <w:rPr>
                <w:rFonts w:ascii="仿宋_GB2312"/>
                <w:szCs w:val="21"/>
                <w:highlight w:val="none"/>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spacing w:before="156" w:line="360" w:lineRule="auto"/>
              <w:rPr>
                <w:rFonts w:ascii="仿宋_GB2312" w:hAnsi="宋体"/>
                <w:szCs w:val="21"/>
                <w:highlight w:val="none"/>
              </w:rPr>
            </w:pPr>
            <w:r>
              <w:rPr>
                <w:rFonts w:ascii="仿宋_GB2312" w:hAnsi="宋体"/>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jc w:val="center"/>
              <w:spacing w:before="156" w:line="360" w:lineRule="auto"/>
              <w:rPr>
                <w:rFonts w:ascii="仿宋_GB2312"/>
                <w:szCs w:val="21"/>
                <w:highlight w:val="none"/>
              </w:rPr>
            </w:pPr>
            <w:r>
              <w:rPr>
                <w:rFonts w:ascii="仿宋_GB2312"/>
                <w:szCs w:val="21"/>
                <w:highlight w:val="none"/>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spacing w:before="156" w:line="360" w:lineRule="auto"/>
              <w:rPr>
                <w:rFonts w:ascii="仿宋_GB2312" w:hAnsi="宋体"/>
                <w:szCs w:val="21"/>
                <w:highlight w:val="none"/>
              </w:rPr>
            </w:pPr>
            <w:r>
              <w:rPr>
                <w:rFonts w:ascii="仿宋_GB2312" w:hAnsi="宋体"/>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bl>
    <w:p>
      <w:pPr>
        <w:ind w:firstLine="480"/>
        <w:spacing w:line="360" w:lineRule="auto"/>
        <w:rPr>
          <w:rFonts w:hint="eastAsia" w:ascii="宋体" w:hAnsi="宋体"/>
          <w:b w:val="0"/>
          <w:bCs w:val="0"/>
          <w:i w:val="0"/>
          <w:iCs w:val="0"/>
          <w:sz w:val="21"/>
          <w:szCs w:val="21"/>
          <w:highlight w:val="none"/>
          <w:u w:val="none"/>
        </w:rPr>
      </w:pPr>
      <w:r>
        <w:rPr>
          <w:rFonts w:hint="eastAsia" w:ascii="宋体" w:hAnsi="宋体"/>
          <w:b w:val="0"/>
          <w:bCs w:val="0"/>
          <w:i w:val="0"/>
          <w:iCs w:val="0"/>
          <w:sz w:val="21"/>
          <w:szCs w:val="21"/>
          <w:highlight w:val="none"/>
          <w:u w:val="none"/>
        </w:rPr>
        <w:t xml:space="preserve">注：</w:t>
      </w:r>
      <w:r/>
    </w:p>
    <w:p>
      <w:pPr>
        <w:ind w:firstLine="480"/>
        <w:spacing w:line="360" w:lineRule="auto"/>
        <w:rPr>
          <w:rFonts w:hint="eastAsia" w:ascii="宋体" w:hAnsi="宋体"/>
          <w:b w:val="0"/>
          <w:bCs w:val="0"/>
          <w:i w:val="0"/>
          <w:iCs w:val="0"/>
          <w:sz w:val="21"/>
          <w:szCs w:val="21"/>
          <w:highlight w:val="none"/>
          <w:u w:val="none"/>
        </w:rPr>
      </w:pPr>
      <w:r>
        <w:rPr>
          <w:rFonts w:hint="eastAsia" w:ascii="宋体" w:hAnsi="宋体"/>
          <w:b w:val="0"/>
          <w:bCs w:val="0"/>
          <w:i w:val="0"/>
          <w:iCs w:val="0"/>
          <w:sz w:val="21"/>
          <w:szCs w:val="21"/>
          <w:highlight w:val="none"/>
          <w:u w:val="none"/>
        </w:rPr>
        <w:t xml:space="preserve">1. 供应商须根据招标文件第一章、第二章、第三章、第四章要求填写此表，作为投标文件的组成部分。</w:t>
      </w:r>
      <w:r/>
    </w:p>
    <w:p>
      <w:pPr>
        <w:ind w:firstLine="480"/>
        <w:spacing w:line="360" w:lineRule="auto"/>
        <w:rPr>
          <w:rFonts w:hint="eastAsia" w:ascii="宋体" w:hAnsi="宋体"/>
          <w:b w:val="0"/>
          <w:bCs w:val="0"/>
          <w:i w:val="0"/>
          <w:iCs w:val="0"/>
          <w:sz w:val="21"/>
          <w:szCs w:val="21"/>
          <w:highlight w:val="none"/>
          <w:u w:val="none"/>
        </w:rPr>
      </w:pPr>
      <w:r>
        <w:rPr>
          <w:rFonts w:hint="eastAsia" w:ascii="宋体" w:hAnsi="宋体"/>
          <w:b w:val="0"/>
          <w:bCs w:val="0"/>
          <w:i w:val="0"/>
          <w:iCs w:val="0"/>
          <w:sz w:val="21"/>
          <w:szCs w:val="21"/>
          <w:highlight w:val="none"/>
          <w:u w:val="none"/>
        </w:rPr>
        <w:t xml:space="preserve">2. 所有偏离必须在本表中列出，未在本偏离表中列出偏离，将视为供应商已完全接受招标文件要求。如完全无偏离，也无其他说明，可在本表第一行填写“全部无偏离”。</w:t>
      </w:r>
      <w:r/>
    </w:p>
    <w:p>
      <w:pPr>
        <w:ind w:firstLine="480"/>
        <w:spacing w:line="360" w:lineRule="auto"/>
        <w:rPr>
          <w:rFonts w:hint="eastAsia" w:ascii="宋体" w:hAnsi="宋体"/>
          <w:b w:val="0"/>
          <w:bCs w:val="0"/>
          <w:i w:val="0"/>
          <w:iCs w:val="0"/>
          <w:sz w:val="21"/>
          <w:szCs w:val="21"/>
          <w:highlight w:val="none"/>
          <w:u w:val="none"/>
        </w:rPr>
      </w:pPr>
      <w:r>
        <w:rPr>
          <w:rFonts w:hint="eastAsia" w:ascii="宋体" w:hAnsi="宋体"/>
          <w:b w:val="0"/>
          <w:bCs w:val="0"/>
          <w:i w:val="0"/>
          <w:iCs w:val="0"/>
          <w:sz w:val="21"/>
          <w:szCs w:val="21"/>
          <w:highlight w:val="none"/>
          <w:u w:val="none"/>
        </w:rPr>
        <w:t xml:space="preserve">3. 偏离包括正、负偏离，正偏离指供应商的响应高于招标文件要求，负偏离指供应商的响应低于招标文件要求。</w:t>
      </w:r>
      <w:r/>
    </w:p>
    <w:p>
      <w:pPr>
        <w:ind w:firstLine="480"/>
        <w:spacing w:line="360" w:lineRule="auto"/>
        <w:rPr>
          <w:rFonts w:hint="eastAsia" w:ascii="宋体" w:hAnsi="宋体"/>
          <w:b w:val="0"/>
          <w:bCs w:val="0"/>
          <w:i w:val="0"/>
          <w:iCs w:val="0"/>
          <w:sz w:val="21"/>
          <w:szCs w:val="21"/>
          <w:highlight w:val="none"/>
          <w:u w:val="none"/>
        </w:rPr>
      </w:pPr>
      <w:r>
        <w:rPr>
          <w:rFonts w:hint="eastAsia" w:ascii="宋体" w:hAnsi="宋体"/>
          <w:b w:val="0"/>
          <w:bCs w:val="0"/>
          <w:i w:val="0"/>
          <w:iCs w:val="0"/>
          <w:sz w:val="21"/>
          <w:szCs w:val="21"/>
          <w:highlight w:val="none"/>
          <w:u w:val="none"/>
        </w:rPr>
        <w:t xml:space="preserve">4. 如供应商将此表空白，视为供应商无任何偏离。</w:t>
      </w:r>
      <w:r/>
    </w:p>
    <w:p>
      <w:pPr>
        <w:spacing w:line="360" w:lineRule="auto"/>
        <w:rPr>
          <w:rFonts w:ascii="宋体" w:hAnsi="宋体"/>
          <w:sz w:val="24"/>
          <w:highlight w:val="none"/>
        </w:rPr>
      </w:pPr>
      <w:r>
        <w:rPr>
          <w:rFonts w:ascii="宋体" w:hAnsi="宋体"/>
          <w:sz w:val="24"/>
          <w:highlight w:val="none"/>
        </w:rPr>
      </w:r>
      <w:r/>
    </w:p>
    <w:p>
      <w:pPr>
        <w:spacing w:line="360" w:lineRule="auto"/>
        <w:rPr>
          <w:rFonts w:ascii="仿宋_GB2312" w:hAnsi="Arial"/>
          <w:sz w:val="30"/>
          <w:highlight w:val="none"/>
        </w:rPr>
      </w:pPr>
      <w:r>
        <w:rPr>
          <w:rFonts w:ascii="仿宋_GB2312" w:hAnsi="Arial"/>
          <w:sz w:val="30"/>
          <w:highlight w:val="none"/>
        </w:rPr>
      </w:r>
      <w:r/>
    </w:p>
    <w:p>
      <w:pPr>
        <w:pStyle w:val="877"/>
        <w:ind w:firstLine="480"/>
        <w:spacing w:line="360" w:lineRule="auto"/>
        <w:rPr>
          <w:rFonts w:ascii="宋体" w:hAnsi="宋体"/>
          <w:sz w:val="24"/>
          <w:highlight w:val="none"/>
        </w:rPr>
      </w:pPr>
      <w:r/>
      <w:bookmarkStart w:id="88" w:name="_Hlt26609389"/>
      <w:r/>
      <w:bookmarkEnd w:id="88"/>
      <w:r/>
      <w:bookmarkStart w:id="89" w:name="_Hlt26955066"/>
      <w:r/>
      <w:bookmarkEnd w:id="89"/>
      <w:r/>
      <w:bookmarkStart w:id="90" w:name="_Hlt26671374"/>
      <w:r/>
      <w:bookmarkEnd w:id="90"/>
      <w:r/>
      <w:bookmarkStart w:id="91" w:name="_Toc462564146"/>
      <w:r/>
      <w:r/>
    </w:p>
    <w:p>
      <w:pPr>
        <w:pStyle w:val="877"/>
        <w:ind w:firstLine="480"/>
        <w:spacing w:line="360" w:lineRule="auto"/>
        <w:rPr>
          <w:rFonts w:ascii="宋体" w:hAnsi="宋体"/>
          <w:sz w:val="24"/>
          <w:highlight w:val="none"/>
        </w:rPr>
      </w:pPr>
      <w:r>
        <w:rPr>
          <w:rFonts w:ascii="宋体" w:hAnsi="宋体"/>
          <w:sz w:val="24"/>
          <w:highlight w:val="none"/>
        </w:rPr>
      </w:r>
      <w:r/>
    </w:p>
    <w:p>
      <w:pPr>
        <w:pStyle w:val="877"/>
        <w:ind w:firstLine="480"/>
        <w:spacing w:line="360" w:lineRule="auto"/>
        <w:rPr>
          <w:rFonts w:ascii="宋体" w:hAnsi="宋体"/>
          <w:sz w:val="24"/>
          <w:highlight w:val="none"/>
        </w:rPr>
      </w:pPr>
      <w:r>
        <w:rPr>
          <w:rFonts w:ascii="宋体" w:hAnsi="宋体"/>
          <w:sz w:val="24"/>
          <w:highlight w:val="none"/>
        </w:rPr>
      </w:r>
      <w:r/>
    </w:p>
    <w:p>
      <w:pPr>
        <w:pStyle w:val="877"/>
        <w:ind w:firstLine="480"/>
        <w:spacing w:line="360" w:lineRule="auto"/>
        <w:rPr>
          <w:rFonts w:ascii="宋体" w:hAnsi="宋体"/>
          <w:sz w:val="24"/>
          <w:highlight w:val="none"/>
        </w:rPr>
      </w:pPr>
      <w:r>
        <w:rPr>
          <w:rFonts w:ascii="宋体" w:hAnsi="宋体"/>
          <w:sz w:val="24"/>
          <w:highlight w:val="none"/>
        </w:rPr>
      </w:r>
      <w:r/>
    </w:p>
    <w:p>
      <w:pPr>
        <w:pStyle w:val="877"/>
        <w:ind w:firstLine="480"/>
        <w:spacing w:line="360" w:lineRule="auto"/>
        <w:rPr>
          <w:rFonts w:ascii="宋体" w:hAnsi="宋体"/>
          <w:sz w:val="24"/>
          <w:highlight w:val="none"/>
        </w:rPr>
      </w:pPr>
      <w:r>
        <w:rPr>
          <w:rFonts w:hint="eastAsia" w:ascii="宋体" w:hAnsi="宋体"/>
          <w:sz w:val="24"/>
          <w:highlight w:val="none"/>
        </w:rPr>
        <w:t xml:space="preserve">.</w:t>
      </w:r>
      <w:r/>
    </w:p>
    <w:p>
      <w:pPr>
        <w:pStyle w:val="877"/>
        <w:ind w:firstLine="480"/>
        <w:spacing w:line="360" w:lineRule="auto"/>
        <w:rPr>
          <w:rFonts w:ascii="宋体" w:hAnsi="宋体"/>
          <w:sz w:val="24"/>
          <w:highlight w:val="none"/>
        </w:rPr>
      </w:pPr>
      <w:r>
        <w:rPr>
          <w:rFonts w:ascii="宋体" w:hAnsi="宋体"/>
          <w:sz w:val="24"/>
          <w:highlight w:val="none"/>
        </w:rPr>
      </w:r>
      <w:r/>
    </w:p>
    <w:p>
      <w:pPr>
        <w:pStyle w:val="877"/>
        <w:ind w:firstLine="480"/>
        <w:spacing w:line="360" w:lineRule="auto"/>
        <w:rPr>
          <w:rFonts w:ascii="宋体" w:hAnsi="宋体"/>
          <w:sz w:val="24"/>
          <w:highlight w:val="none"/>
        </w:rPr>
      </w:pPr>
      <w:r>
        <w:rPr>
          <w:rFonts w:ascii="宋体" w:hAnsi="宋体"/>
          <w:sz w:val="24"/>
          <w:highlight w:val="none"/>
        </w:rPr>
      </w:r>
      <w:r/>
    </w:p>
    <w:p>
      <w:pPr>
        <w:pStyle w:val="877"/>
        <w:ind w:firstLine="480"/>
        <w:spacing w:line="360" w:lineRule="auto"/>
        <w:rPr>
          <w:rFonts w:ascii="宋体" w:hAnsi="宋体"/>
          <w:sz w:val="24"/>
          <w:highlight w:val="none"/>
        </w:rPr>
      </w:pPr>
      <w:r>
        <w:rPr>
          <w:rFonts w:ascii="宋体" w:hAnsi="宋体"/>
          <w:sz w:val="24"/>
          <w:highlight w:val="none"/>
        </w:rPr>
      </w:r>
      <w:r/>
    </w:p>
    <w:p>
      <w:pPr>
        <w:pStyle w:val="877"/>
        <w:ind w:firstLine="480"/>
        <w:spacing w:line="360" w:lineRule="auto"/>
        <w:rPr>
          <w:rFonts w:ascii="宋体" w:hAnsi="宋体"/>
          <w:sz w:val="24"/>
          <w:highlight w:val="none"/>
        </w:rPr>
      </w:pPr>
      <w:r>
        <w:rPr>
          <w:rFonts w:ascii="宋体" w:hAnsi="宋体"/>
          <w:sz w:val="24"/>
          <w:highlight w:val="none"/>
        </w:rPr>
      </w:r>
      <w:r/>
    </w:p>
    <w:p>
      <w:pPr>
        <w:pStyle w:val="877"/>
        <w:ind w:left="0" w:firstLine="0"/>
        <w:spacing w:line="360" w:lineRule="auto"/>
        <w:rPr>
          <w:rFonts w:ascii="宋体" w:hAnsi="宋体"/>
          <w:sz w:val="24"/>
          <w:highlight w:val="none"/>
        </w:rPr>
      </w:pPr>
      <w:r>
        <w:rPr>
          <w:rFonts w:ascii="宋体" w:hAnsi="宋体"/>
          <w:sz w:val="24"/>
          <w:highlight w:val="none"/>
        </w:rPr>
      </w:r>
      <w:bookmarkEnd w:id="91"/>
      <w:r/>
    </w:p>
    <w:p>
      <w:pPr>
        <w:jc w:val="center"/>
        <w:spacing w:before="312" w:line="360" w:lineRule="auto"/>
        <w:rPr>
          <w:rFonts w:ascii="宋体" w:hAnsi="宋体"/>
          <w:b/>
          <w:highlight w:val="none"/>
        </w:rPr>
      </w:pPr>
      <w:r>
        <w:rPr>
          <w:rFonts w:hint="eastAsia" w:ascii="宋体" w:hAnsi="宋体"/>
          <w:b/>
          <w:highlight w:val="none"/>
        </w:rPr>
        <w:t xml:space="preserve">主要标的信息（中标后将公示）</w:t>
      </w:r>
      <w:r/>
    </w:p>
    <w:p>
      <w:pPr>
        <w:spacing w:after="312" w:line="360" w:lineRule="auto"/>
        <w:rPr>
          <w:rFonts w:ascii="宋体" w:hAnsi="宋体"/>
          <w:b/>
          <w:highlight w:val="none"/>
        </w:rPr>
      </w:pPr>
      <w:r>
        <w:rPr>
          <w:rFonts w:hint="eastAsia" w:ascii="宋体" w:hAnsi="宋体"/>
          <w:highlight w:val="none"/>
        </w:rPr>
        <w:t xml:space="preserve">投标人全称：</w:t>
      </w:r>
      <w:r/>
    </w:p>
    <w:tbl>
      <w:tblPr>
        <w:tblStyle w:val="692"/>
        <w:tblW w:w="76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货物类</w:t>
            </w:r>
            <w:r/>
          </w:p>
        </w:tc>
        <w:tc>
          <w:tcPr>
            <w:tcW w:w="3780" w:type="dxa"/>
            <w:vAlign w:val="top"/>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服务类</w:t>
            </w:r>
            <w:r/>
          </w:p>
        </w:tc>
      </w:tr>
      <w:tr>
        <w:trPr>
          <w:trHeight w:val="3810"/>
        </w:trPr>
        <w:tc>
          <w:tcPr>
            <w:tcW w:w="3901" w:type="dxa"/>
            <w:vAlign w:val="top"/>
            <w:textDirection w:val="lrTb"/>
            <w:noWrap w:val="false"/>
          </w:tcPr>
          <w:p>
            <w:pPr>
              <w:spacing w:line="360" w:lineRule="auto"/>
              <w:rPr>
                <w:rFonts w:ascii="宋体" w:hAnsi="宋体" w:cs="宋体"/>
                <w:highlight w:val="none"/>
              </w:rPr>
            </w:pPr>
            <w:r>
              <w:rPr>
                <w:rFonts w:hint="eastAsia" w:ascii="宋体" w:hAnsi="宋体" w:cs="宋体"/>
                <w:highlight w:val="none"/>
              </w:rPr>
              <w:t xml:space="preserve">名称：</w:t>
            </w:r>
            <w:r/>
          </w:p>
          <w:p>
            <w:pPr>
              <w:spacing w:line="360" w:lineRule="auto"/>
              <w:rPr>
                <w:rFonts w:ascii="宋体" w:hAnsi="宋体" w:cs="宋体"/>
                <w:highlight w:val="none"/>
              </w:rPr>
            </w:pPr>
            <w:r>
              <w:rPr>
                <w:rFonts w:hint="eastAsia" w:ascii="宋体" w:hAnsi="宋体" w:cs="宋体"/>
                <w:highlight w:val="none"/>
              </w:rPr>
              <w:t xml:space="preserve">品牌（如有）：</w:t>
            </w:r>
            <w:r/>
          </w:p>
          <w:p>
            <w:pPr>
              <w:spacing w:line="360" w:lineRule="auto"/>
              <w:rPr>
                <w:rFonts w:ascii="宋体" w:hAnsi="宋体" w:cs="宋体"/>
                <w:highlight w:val="none"/>
              </w:rPr>
            </w:pPr>
            <w:r>
              <w:rPr>
                <w:rFonts w:hint="eastAsia" w:ascii="宋体" w:hAnsi="宋体" w:cs="宋体"/>
                <w:highlight w:val="none"/>
              </w:rPr>
              <w:t xml:space="preserve">规格型号：</w:t>
            </w:r>
            <w:r/>
          </w:p>
          <w:p>
            <w:pPr>
              <w:spacing w:line="360" w:lineRule="auto"/>
              <w:rPr>
                <w:rFonts w:ascii="宋体" w:hAnsi="宋体" w:cs="宋体"/>
                <w:highlight w:val="none"/>
              </w:rPr>
            </w:pPr>
            <w:r>
              <w:rPr>
                <w:rFonts w:hint="eastAsia" w:ascii="宋体" w:hAnsi="宋体" w:cs="宋体"/>
                <w:highlight w:val="none"/>
              </w:rPr>
              <w:t xml:space="preserve">数量：</w:t>
            </w:r>
            <w:r/>
          </w:p>
          <w:p>
            <w:pPr>
              <w:spacing w:line="360" w:lineRule="auto"/>
              <w:rPr>
                <w:rFonts w:ascii="宋体" w:hAnsi="宋体" w:cs="宋体"/>
                <w:highlight w:val="none"/>
              </w:rPr>
            </w:pPr>
            <w:r>
              <w:rPr>
                <w:rFonts w:hint="eastAsia" w:ascii="宋体" w:hAnsi="宋体" w:cs="宋体"/>
                <w:highlight w:val="none"/>
              </w:rPr>
              <w:t xml:space="preserve">单价：</w:t>
            </w:r>
            <w:r/>
          </w:p>
        </w:tc>
        <w:tc>
          <w:tcPr>
            <w:tcW w:w="3780" w:type="dxa"/>
            <w:vAlign w:val="top"/>
            <w:textDirection w:val="lrTb"/>
            <w:noWrap w:val="false"/>
          </w:tcPr>
          <w:p>
            <w:pPr>
              <w:spacing w:line="360" w:lineRule="auto"/>
              <w:rPr>
                <w:rFonts w:ascii="宋体" w:hAnsi="宋体" w:cs="宋体"/>
                <w:highlight w:val="none"/>
              </w:rPr>
            </w:pPr>
            <w:r>
              <w:rPr>
                <w:rFonts w:hint="eastAsia" w:ascii="宋体" w:hAnsi="宋体" w:cs="宋体"/>
                <w:highlight w:val="none"/>
              </w:rPr>
              <w:t xml:space="preserve">名称：</w:t>
            </w:r>
            <w:r/>
          </w:p>
          <w:p>
            <w:pPr>
              <w:spacing w:line="360" w:lineRule="auto"/>
              <w:rPr>
                <w:rFonts w:ascii="宋体" w:hAnsi="宋体" w:cs="宋体"/>
                <w:highlight w:val="none"/>
              </w:rPr>
            </w:pPr>
            <w:r>
              <w:rPr>
                <w:rFonts w:hint="eastAsia" w:ascii="宋体" w:hAnsi="宋体" w:cs="宋体"/>
                <w:highlight w:val="none"/>
              </w:rPr>
              <w:t xml:space="preserve">服务范围：</w:t>
            </w:r>
            <w:r/>
          </w:p>
          <w:p>
            <w:pPr>
              <w:spacing w:line="360" w:lineRule="auto"/>
              <w:rPr>
                <w:rFonts w:ascii="宋体" w:hAnsi="宋体" w:cs="宋体"/>
                <w:highlight w:val="none"/>
                <w:u w:val="single"/>
              </w:rPr>
            </w:pPr>
            <w:r>
              <w:rPr>
                <w:rFonts w:hint="eastAsia" w:ascii="宋体" w:hAnsi="宋体" w:cs="宋体"/>
                <w:highlight w:val="none"/>
              </w:rPr>
              <w:t xml:space="preserve">服务要求：</w:t>
            </w:r>
            <w:r/>
          </w:p>
          <w:p>
            <w:pPr>
              <w:spacing w:line="360" w:lineRule="auto"/>
              <w:rPr>
                <w:rFonts w:ascii="宋体" w:hAnsi="宋体" w:cs="宋体"/>
                <w:highlight w:val="none"/>
                <w:u w:val="single"/>
              </w:rPr>
            </w:pPr>
            <w:r>
              <w:rPr>
                <w:rFonts w:hint="eastAsia" w:ascii="宋体" w:hAnsi="宋体" w:cs="宋体"/>
                <w:highlight w:val="none"/>
              </w:rPr>
              <w:t xml:space="preserve">服务时间：</w:t>
            </w:r>
            <w:r/>
          </w:p>
          <w:p>
            <w:pPr>
              <w:spacing w:line="360" w:lineRule="auto"/>
              <w:rPr>
                <w:rFonts w:ascii="宋体" w:hAnsi="宋体" w:cs="宋体"/>
                <w:highlight w:val="none"/>
              </w:rPr>
            </w:pPr>
            <w:r>
              <w:rPr>
                <w:rFonts w:hint="eastAsia" w:ascii="宋体" w:hAnsi="宋体" w:cs="宋体"/>
                <w:highlight w:val="none"/>
              </w:rPr>
              <w:t xml:space="preserve">服务标准：</w:t>
            </w:r>
            <w:r/>
          </w:p>
        </w:tc>
      </w:tr>
    </w:tbl>
    <w:p>
      <w:pPr>
        <w:jc w:val="center"/>
        <w:spacing w:line="360" w:lineRule="auto"/>
        <w:widowControl/>
        <w:rPr>
          <w:rFonts w:ascii="宋体" w:hAnsi="宋体"/>
          <w:b/>
          <w:highlight w:val="none"/>
        </w:rPr>
      </w:pPr>
      <w:r>
        <w:rPr>
          <w:rFonts w:ascii="宋体" w:hAnsi="宋体" w:cs="宋体"/>
          <w:sz w:val="24"/>
          <w:szCs w:val="24"/>
          <w:highlight w:val="none"/>
        </w:rPr>
        <w:br w:type="page" w:clear="all"/>
      </w:r>
      <w:r>
        <w:rPr>
          <w:rFonts w:hint="eastAsia" w:ascii="宋体" w:hAnsi="宋体"/>
          <w:b/>
          <w:highlight w:val="none"/>
        </w:rPr>
        <w:t xml:space="preserve">联合体协议（如有）</w:t>
      </w:r>
      <w:r/>
    </w:p>
    <w:p>
      <w:pPr>
        <w:ind w:firstLine="211"/>
        <w:jc w:val="center"/>
        <w:spacing w:line="360" w:lineRule="auto"/>
        <w:rPr>
          <w:rFonts w:ascii="宋体" w:hAnsi="宋体"/>
          <w:b/>
          <w:highlight w:val="none"/>
        </w:rPr>
      </w:pPr>
      <w:r>
        <w:rPr>
          <w:rFonts w:ascii="宋体" w:hAnsi="宋体"/>
          <w:b/>
          <w:highlight w:val="none"/>
        </w:rPr>
      </w:r>
      <w:r/>
    </w:p>
    <w:p>
      <w:pPr>
        <w:spacing w:line="360" w:lineRule="auto"/>
        <w:rPr>
          <w:rFonts w:ascii="宋体" w:hAnsi="宋体"/>
          <w:highlight w:val="none"/>
        </w:rPr>
      </w:pPr>
      <w:r>
        <w:rPr>
          <w:rFonts w:hint="eastAsia" w:ascii="宋体" w:hAnsi="宋体"/>
          <w:highlight w:val="none"/>
        </w:rPr>
        <w:t xml:space="preserve">（联合体中各投标人全称）在此达成以下协议：</w:t>
      </w:r>
      <w:r/>
    </w:p>
    <w:p>
      <w:pPr>
        <w:ind w:firstLine="645"/>
        <w:spacing w:line="360" w:lineRule="auto"/>
        <w:rPr>
          <w:rFonts w:ascii="宋体" w:hAnsi="宋体"/>
          <w:highlight w:val="none"/>
        </w:rPr>
      </w:pPr>
      <w:r>
        <w:rPr>
          <w:rFonts w:hint="eastAsia" w:ascii="宋体" w:hAnsi="宋体"/>
          <w:highlight w:val="none"/>
        </w:rPr>
        <w:t xml:space="preserve">1、我们自愿组成联合体，参加代理机构组织的采购编号为（项目编号）（项目全称）的政府采购活动。</w:t>
      </w:r>
      <w:r/>
    </w:p>
    <w:p>
      <w:pPr>
        <w:ind w:firstLine="645"/>
        <w:spacing w:line="360" w:lineRule="auto"/>
        <w:rPr>
          <w:rFonts w:ascii="宋体" w:hAnsi="宋体"/>
          <w:highlight w:val="none"/>
        </w:rPr>
      </w:pPr>
      <w:r>
        <w:rPr>
          <w:rFonts w:hint="eastAsia" w:ascii="宋体" w:hAnsi="宋体"/>
          <w:highlight w:val="none"/>
        </w:rPr>
        <w:t xml:space="preserve">2、若我们联合中标、成交，（投标人单位1全称）实施项目中（工作内容）部分工作，并承担相应的责任。（投标人单位2全称）实施项目中（工作内容）部分工作，并承担相应的责任……。（注：联合体中各投标人都应明示所承担的工作和相应的责任）。</w:t>
      </w:r>
      <w:r/>
    </w:p>
    <w:p>
      <w:pPr>
        <w:ind w:firstLine="645"/>
        <w:spacing w:line="360" w:lineRule="auto"/>
        <w:rPr>
          <w:rFonts w:ascii="宋体" w:hAnsi="宋体"/>
          <w:highlight w:val="none"/>
        </w:rPr>
      </w:pPr>
      <w:r>
        <w:rPr>
          <w:rFonts w:hint="eastAsia" w:ascii="宋体" w:hAnsi="宋体"/>
          <w:sz w:val="24"/>
          <w:highlight w:val="none"/>
        </w:rPr>
        <w:t xml:space="preserve">                                       </w:t>
      </w:r>
      <w:r>
        <w:rPr>
          <w:rFonts w:hint="eastAsia" w:ascii="宋体" w:hAnsi="宋体"/>
          <w:highlight w:val="none"/>
        </w:rPr>
        <w:t xml:space="preserve"> </w:t>
      </w:r>
      <w:r/>
    </w:p>
    <w:p>
      <w:pPr>
        <w:ind w:firstLine="4620"/>
        <w:spacing w:line="360" w:lineRule="auto"/>
        <w:rPr>
          <w:rFonts w:ascii="宋体" w:hAnsi="宋体"/>
          <w:highlight w:val="none"/>
        </w:rPr>
      </w:pPr>
      <w:r>
        <w:rPr>
          <w:rFonts w:hint="eastAsia" w:ascii="宋体" w:hAnsi="宋体"/>
          <w:highlight w:val="none"/>
        </w:rPr>
        <w:t xml:space="preserve">所有投标人全称：</w:t>
      </w:r>
      <w:r/>
    </w:p>
    <w:p>
      <w:pPr>
        <w:ind w:firstLine="645"/>
        <w:spacing w:line="360" w:lineRule="auto"/>
        <w:rPr>
          <w:rFonts w:ascii="宋体" w:hAnsi="宋体"/>
          <w:highlight w:val="none"/>
        </w:rPr>
      </w:pPr>
      <w:r>
        <w:rPr>
          <w:rFonts w:hint="eastAsia" w:ascii="宋体" w:hAnsi="宋体"/>
          <w:highlight w:val="none"/>
        </w:rPr>
        <w:t xml:space="preserve">                                      法定代表人：  </w:t>
      </w:r>
      <w:r/>
    </w:p>
    <w:p>
      <w:pPr>
        <w:ind w:firstLine="4620"/>
        <w:spacing w:line="360" w:lineRule="auto"/>
        <w:rPr>
          <w:rFonts w:ascii="宋体" w:hAnsi="宋体"/>
          <w:highlight w:val="none"/>
        </w:rPr>
      </w:pPr>
      <w:r>
        <w:rPr>
          <w:rFonts w:hint="eastAsia" w:ascii="宋体" w:hAnsi="宋体"/>
          <w:highlight w:val="none"/>
        </w:rPr>
        <w:t xml:space="preserve">日期：</w:t>
      </w:r>
      <w:r/>
    </w:p>
    <w:p>
      <w:pPr>
        <w:spacing w:line="360" w:lineRule="auto"/>
        <w:rPr>
          <w:highlight w:val="none"/>
        </w:rPr>
      </w:pPr>
      <w:r>
        <w:rPr>
          <w:highlight w:val="none"/>
        </w:rPr>
      </w:r>
      <w:r/>
    </w:p>
    <w:p>
      <w:pPr>
        <w:jc w:val="left"/>
        <w:spacing w:before="100" w:beforeAutospacing="1" w:after="143" w:line="360" w:lineRule="auto"/>
        <w:widowControl/>
        <w:rPr>
          <w:rFonts w:ascii="宋体" w:hAnsi="宋体" w:cs="宋体"/>
          <w:sz w:val="24"/>
          <w:szCs w:val="24"/>
          <w:highlight w:val="none"/>
        </w:rPr>
      </w:pPr>
      <w:r>
        <w:rPr>
          <w:rFonts w:ascii="宋体" w:hAnsi="宋体" w:cs="宋体"/>
          <w:sz w:val="24"/>
          <w:szCs w:val="24"/>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sectPr>
      <w:headerReference w:type="default" r:id="rId11"/>
      <w:footnotePr/>
      <w:endnotePr/>
      <w:type w:val="nextPage"/>
      <w:pgSz w:w="11906" w:h="16838" w:orient="portrait"/>
      <w:pgMar w:top="1440" w:right="1800" w:bottom="1440" w:left="96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Symbol">
    <w:panose1 w:val="05050102010706020507"/>
  </w:font>
  <w:font w:name="Wingdings">
    <w:panose1 w:val="05000000000000000000"/>
  </w:font>
  <w:font w:name="MS Mincho">
    <w:panose1 w:val="02020603050405090304"/>
  </w:font>
  <w:font w:name="楷体_GB2312">
    <w:panose1 w:val="02010609060101010101"/>
  </w:font>
  <w:font w:name="仿宋_GB2312">
    <w:panose1 w:val="02010609060101010101"/>
  </w:font>
  <w:font w:name="黑体">
    <w:panose1 w:val="02010609060101010101"/>
  </w:font>
  <w:font w:name="幼圆">
    <w:panose1 w:val="02010509060101010101"/>
  </w:font>
  <w:font w:name="Courier New">
    <w:panose1 w:val="02070309020205020404"/>
  </w:font>
  <w:font w:name="Microsoft New Tai Lue">
    <w:panose1 w:val="020B0502040204020203"/>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8"/>
                            <w:jc w:val="center"/>
                          </w:pPr>
                          <w:r>
                            <w:fldChar w:fldCharType="begin"/>
                          </w:r>
                          <w:r>
                            <w:instrText xml:space="preserve">PAGE   \* MERGEFORMAT</w:instrText>
                          </w:r>
                          <w:r>
                            <w:fldChar w:fldCharType="separate"/>
                          </w:r>
                          <w:r>
                            <w:rPr>
                              <w:lang w:val="zh-CN"/>
                            </w:rPr>
                            <w:t xml:space="preserve">6</w:t>
                          </w:r>
                          <w:r>
                            <w:rPr>
                              <w:lang w:val="zh-CN"/>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8"/>
                      <w:jc w:val="center"/>
                    </w:pPr>
                    <w:r>
                      <w:fldChar w:fldCharType="begin"/>
                    </w:r>
                    <w:r>
                      <w:instrText xml:space="preserve">PAGE   \* MERGEFORMAT</w:instrText>
                    </w:r>
                    <w:r>
                      <w:fldChar w:fldCharType="separate"/>
                    </w:r>
                    <w:r>
                      <w:rPr>
                        <w:lang w:val="zh-CN"/>
                      </w:rPr>
                      <w:t xml:space="preserve">6</w:t>
                    </w:r>
                    <w:r>
                      <w:rPr>
                        <w:lang w:val="zh-CN"/>
                      </w:rPr>
                      <w:fldChar w:fldCharType="end"/>
                    </w:r>
                    <w:r/>
                  </w:p>
                </w:txbxContent>
              </v:textbox>
            </v:shape>
          </w:pict>
        </mc:Fallback>
      </mc:AlternateContent>
    </w:r>
    <w:r/>
  </w:p>
  <w:p>
    <w:pPr>
      <w:pStyle w:val="88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46" w:lineRule="auto"/>
      <w:rPr>
        <w:rFonts w:ascii="Arial"/>
        <w:sz w:val="2"/>
      </w:rPr>
    </w:pPr>
    <w:r>
      <w:rPr>
        <w:rFonts w:ascii="Arial"/>
        <w:sz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rPr>
        <w:rFonts w:hint="eastAsia"/>
        <w:lang w:eastAsia="zh-CN"/>
      </w:rPr>
    </w:pPr>
    <w:r>
      <w:rPr>
        <w:rFonts w:hint="eastAsia"/>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rPr>
        <w:rFonts w:hint="eastAsia"/>
        <w:lang w:eastAsia="zh-CN"/>
      </w:rPr>
    </w:pPr>
    <w:r>
      <w:rPr>
        <w:rFonts w:hint="eastAsia"/>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10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1" w:default="1">
    <w:name w:val="Normal"/>
    <w:link w:val="897"/>
    <w:uiPriority w:val="0"/>
    <w:qFormat/>
    <w:pPr>
      <w:jc w:val="both"/>
      <w:widowControl w:val="off"/>
    </w:pPr>
    <w:rPr>
      <w:rFonts w:hint="default" w:ascii="Calibri" w:hAnsi="Calibri" w:eastAsia="宋体" w:cs="Times New Roman"/>
      <w:sz w:val="21"/>
      <w:szCs w:val="22"/>
      <w:lang w:val="en-US" w:eastAsia="zh-CN" w:bidi="ar-SA"/>
    </w:rPr>
  </w:style>
  <w:style w:type="paragraph" w:styleId="682">
    <w:name w:val="Heading 1"/>
    <w:basedOn w:val="681"/>
    <w:next w:val="681"/>
    <w:link w:val="727"/>
    <w:uiPriority w:val="9"/>
    <w:qFormat/>
    <w:pPr>
      <w:keepLines/>
      <w:keepNext/>
      <w:spacing w:before="480" w:after="200"/>
      <w:outlineLvl w:val="0"/>
    </w:pPr>
    <w:rPr>
      <w:rFonts w:ascii="Arial" w:hAnsi="Arial" w:eastAsia="Arial" w:cs="Arial"/>
      <w:sz w:val="40"/>
      <w:szCs w:val="40"/>
    </w:rPr>
  </w:style>
  <w:style w:type="paragraph" w:styleId="683">
    <w:name w:val="Heading 2"/>
    <w:basedOn w:val="681"/>
    <w:next w:val="681"/>
    <w:link w:val="728"/>
    <w:uiPriority w:val="9"/>
    <w:unhideWhenUsed/>
    <w:qFormat/>
    <w:pPr>
      <w:keepLines/>
      <w:keepNext/>
      <w:spacing w:before="360" w:after="200"/>
      <w:outlineLvl w:val="1"/>
    </w:pPr>
    <w:rPr>
      <w:rFonts w:ascii="Arial" w:hAnsi="Arial" w:eastAsia="Arial" w:cs="Arial"/>
      <w:sz w:val="34"/>
    </w:rPr>
  </w:style>
  <w:style w:type="paragraph" w:styleId="684">
    <w:name w:val="Heading 3"/>
    <w:basedOn w:val="681"/>
    <w:next w:val="681"/>
    <w:link w:val="729"/>
    <w:uiPriority w:val="9"/>
    <w:unhideWhenUsed/>
    <w:qFormat/>
    <w:pPr>
      <w:keepLines/>
      <w:keepNext/>
      <w:spacing w:before="320" w:after="200"/>
      <w:outlineLvl w:val="2"/>
    </w:pPr>
    <w:rPr>
      <w:rFonts w:ascii="Arial" w:hAnsi="Arial" w:eastAsia="Arial" w:cs="Arial"/>
      <w:sz w:val="30"/>
      <w:szCs w:val="30"/>
    </w:rPr>
  </w:style>
  <w:style w:type="paragraph" w:styleId="685">
    <w:name w:val="Heading 4"/>
    <w:basedOn w:val="681"/>
    <w:next w:val="681"/>
    <w:link w:val="730"/>
    <w:uiPriority w:val="9"/>
    <w:unhideWhenUsed/>
    <w:qFormat/>
    <w:pPr>
      <w:keepLines/>
      <w:keepNext/>
      <w:spacing w:before="320" w:after="200"/>
      <w:outlineLvl w:val="3"/>
    </w:pPr>
    <w:rPr>
      <w:rFonts w:ascii="Arial" w:hAnsi="Arial" w:eastAsia="Arial" w:cs="Arial"/>
      <w:b/>
      <w:bCs/>
      <w:sz w:val="26"/>
      <w:szCs w:val="26"/>
    </w:rPr>
  </w:style>
  <w:style w:type="paragraph" w:styleId="686">
    <w:name w:val="Heading 5"/>
    <w:basedOn w:val="681"/>
    <w:next w:val="681"/>
    <w:link w:val="731"/>
    <w:uiPriority w:val="9"/>
    <w:unhideWhenUsed/>
    <w:qFormat/>
    <w:pPr>
      <w:keepLines/>
      <w:keepNext/>
      <w:spacing w:before="320" w:after="200"/>
      <w:outlineLvl w:val="4"/>
    </w:pPr>
    <w:rPr>
      <w:rFonts w:ascii="Arial" w:hAnsi="Arial" w:eastAsia="Arial" w:cs="Arial"/>
      <w:b/>
      <w:bCs/>
      <w:sz w:val="24"/>
      <w:szCs w:val="24"/>
    </w:rPr>
  </w:style>
  <w:style w:type="paragraph" w:styleId="687">
    <w:name w:val="Heading 6"/>
    <w:basedOn w:val="681"/>
    <w:next w:val="681"/>
    <w:link w:val="732"/>
    <w:uiPriority w:val="9"/>
    <w:unhideWhenUsed/>
    <w:qFormat/>
    <w:pPr>
      <w:keepLines/>
      <w:keepNext/>
      <w:spacing w:before="320" w:after="200"/>
      <w:outlineLvl w:val="5"/>
    </w:pPr>
    <w:rPr>
      <w:rFonts w:ascii="Arial" w:hAnsi="Arial" w:eastAsia="Arial" w:cs="Arial"/>
      <w:b/>
      <w:bCs/>
      <w:sz w:val="22"/>
      <w:szCs w:val="22"/>
    </w:rPr>
  </w:style>
  <w:style w:type="paragraph" w:styleId="688">
    <w:name w:val="Heading 7"/>
    <w:basedOn w:val="681"/>
    <w:next w:val="681"/>
    <w:link w:val="733"/>
    <w:uiPriority w:val="9"/>
    <w:unhideWhenUsed/>
    <w:qFormat/>
    <w:pPr>
      <w:keepLines/>
      <w:keepNext/>
      <w:spacing w:before="320" w:after="200"/>
      <w:outlineLvl w:val="6"/>
    </w:pPr>
    <w:rPr>
      <w:rFonts w:ascii="Arial" w:hAnsi="Arial" w:eastAsia="Arial" w:cs="Arial"/>
      <w:b/>
      <w:bCs/>
      <w:i/>
      <w:iCs/>
      <w:sz w:val="22"/>
      <w:szCs w:val="22"/>
    </w:rPr>
  </w:style>
  <w:style w:type="paragraph" w:styleId="689">
    <w:name w:val="Heading 8"/>
    <w:basedOn w:val="681"/>
    <w:next w:val="681"/>
    <w:link w:val="734"/>
    <w:uiPriority w:val="9"/>
    <w:unhideWhenUsed/>
    <w:qFormat/>
    <w:pPr>
      <w:keepLines/>
      <w:keepNext/>
      <w:spacing w:before="320" w:after="200"/>
      <w:outlineLvl w:val="7"/>
    </w:pPr>
    <w:rPr>
      <w:rFonts w:ascii="Arial" w:hAnsi="Arial" w:eastAsia="Arial" w:cs="Arial"/>
      <w:i/>
      <w:iCs/>
      <w:sz w:val="22"/>
      <w:szCs w:val="22"/>
    </w:rPr>
  </w:style>
  <w:style w:type="paragraph" w:styleId="690">
    <w:name w:val="Heading 9"/>
    <w:basedOn w:val="681"/>
    <w:next w:val="681"/>
    <w:link w:val="735"/>
    <w:uiPriority w:val="9"/>
    <w:unhideWhenUsed/>
    <w:qFormat/>
    <w:pPr>
      <w:keepLines/>
      <w:keepNext/>
      <w:spacing w:before="320" w:after="200"/>
      <w:outlineLvl w:val="8"/>
    </w:pPr>
    <w:rPr>
      <w:rFonts w:ascii="Arial" w:hAnsi="Arial" w:eastAsia="Arial" w:cs="Arial"/>
      <w:i/>
      <w:iCs/>
      <w:sz w:val="21"/>
      <w:szCs w:val="21"/>
    </w:rPr>
  </w:style>
  <w:style w:type="character" w:styleId="691" w:default="1">
    <w:name w:val="Default Paragraph Font"/>
    <w:uiPriority w:val="1"/>
    <w:semiHidden/>
    <w:unhideWhenUsed/>
    <w:qFormat/>
  </w:style>
  <w:style w:type="table" w:styleId="692" w:default="1">
    <w:name w:val="Normal Table"/>
    <w:uiPriority w:val="99"/>
    <w:semiHidden/>
    <w:unhideWhenUsed/>
    <w:qFormat/>
    <w:tblPr>
      <w:tblCellMar>
        <w:left w:w="108" w:type="dxa"/>
        <w:top w:w="0" w:type="dxa"/>
        <w:right w:w="108" w:type="dxa"/>
        <w:bottom w:w="0" w:type="dxa"/>
      </w:tblCellMar>
    </w:tblPr>
  </w:style>
  <w:style w:type="paragraph" w:styleId="693">
    <w:name w:val="toc 7"/>
    <w:basedOn w:val="681"/>
    <w:next w:val="681"/>
    <w:uiPriority w:val="39"/>
    <w:unhideWhenUsed/>
    <w:qFormat/>
    <w:pPr>
      <w:ind w:left="1701" w:right="0" w:firstLine="0"/>
      <w:spacing w:after="57"/>
    </w:pPr>
  </w:style>
  <w:style w:type="paragraph" w:styleId="694">
    <w:name w:val="Normal Indent"/>
    <w:basedOn w:val="681"/>
    <w:uiPriority w:val="0"/>
    <w:unhideWhenUsed/>
    <w:qFormat/>
    <w:pPr>
      <w:ind w:firstLine="420"/>
    </w:pPr>
  </w:style>
  <w:style w:type="paragraph" w:styleId="695">
    <w:name w:val="Caption"/>
    <w:basedOn w:val="681"/>
    <w:next w:val="68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6">
    <w:name w:val="annotation text"/>
    <w:basedOn w:val="681"/>
    <w:uiPriority w:val="99"/>
    <w:semiHidden/>
    <w:unhideWhenUsed/>
    <w:qFormat/>
    <w:pPr>
      <w:jc w:val="left"/>
    </w:pPr>
  </w:style>
  <w:style w:type="paragraph" w:styleId="697">
    <w:name w:val="Body Text"/>
    <w:basedOn w:val="681"/>
    <w:uiPriority w:val="0"/>
    <w:qFormat/>
    <w:pPr>
      <w:spacing w:after="120"/>
    </w:pPr>
    <w:rPr>
      <w:sz w:val="28"/>
      <w:szCs w:val="24"/>
    </w:rPr>
  </w:style>
  <w:style w:type="paragraph" w:styleId="698">
    <w:name w:val="Body Text Indent"/>
    <w:basedOn w:val="681"/>
    <w:next w:val="699"/>
    <w:uiPriority w:val="99"/>
    <w:unhideWhenUsed/>
    <w:qFormat/>
    <w:pPr>
      <w:ind w:left="420"/>
      <w:spacing w:after="120"/>
    </w:pPr>
  </w:style>
  <w:style w:type="paragraph" w:styleId="699">
    <w:name w:val="envelope return"/>
    <w:basedOn w:val="681"/>
    <w:uiPriority w:val="0"/>
    <w:qFormat/>
    <w:rPr>
      <w:rFonts w:ascii="Arial" w:hAnsi="Arial"/>
    </w:rPr>
  </w:style>
  <w:style w:type="paragraph" w:styleId="700">
    <w:name w:val="index 4"/>
    <w:basedOn w:val="681"/>
    <w:next w:val="681"/>
    <w:uiPriority w:val="99"/>
    <w:semiHidden/>
    <w:qFormat/>
    <w:pPr>
      <w:ind w:firstLine="0"/>
      <w:jc w:val="left"/>
    </w:pPr>
    <w:rPr>
      <w:rFonts w:ascii="Microsoft New Tai Lue" w:hAnsi="Microsoft New Tai Lue" w:cs="Microsoft New Tai Lue"/>
      <w:i/>
      <w:iCs/>
      <w:position w:val="-10"/>
      <w:u w:val="single"/>
    </w:rPr>
  </w:style>
  <w:style w:type="paragraph" w:styleId="701">
    <w:name w:val="toc 5"/>
    <w:basedOn w:val="681"/>
    <w:next w:val="681"/>
    <w:uiPriority w:val="39"/>
    <w:unhideWhenUsed/>
    <w:qFormat/>
    <w:pPr>
      <w:ind w:left="1134" w:right="0" w:firstLine="0"/>
      <w:spacing w:after="57"/>
    </w:pPr>
  </w:style>
  <w:style w:type="paragraph" w:styleId="702">
    <w:name w:val="toc 3"/>
    <w:basedOn w:val="681"/>
    <w:next w:val="681"/>
    <w:uiPriority w:val="39"/>
    <w:unhideWhenUsed/>
    <w:qFormat/>
    <w:pPr>
      <w:ind w:left="567" w:right="0" w:firstLine="0"/>
      <w:spacing w:after="57"/>
    </w:pPr>
  </w:style>
  <w:style w:type="paragraph" w:styleId="703">
    <w:name w:val="Plain Text"/>
    <w:basedOn w:val="681"/>
    <w:uiPriority w:val="0"/>
    <w:qFormat/>
    <w:rPr>
      <w:rFonts w:ascii="宋体" w:hAnsi="Courier New"/>
      <w:sz w:val="20"/>
      <w:szCs w:val="21"/>
    </w:rPr>
  </w:style>
  <w:style w:type="paragraph" w:styleId="704">
    <w:name w:val="toc 8"/>
    <w:basedOn w:val="681"/>
    <w:next w:val="681"/>
    <w:uiPriority w:val="39"/>
    <w:unhideWhenUsed/>
    <w:qFormat/>
    <w:pPr>
      <w:ind w:left="1984" w:right="0" w:firstLine="0"/>
      <w:spacing w:after="57"/>
    </w:pPr>
  </w:style>
  <w:style w:type="paragraph" w:styleId="705">
    <w:name w:val="endnote text"/>
    <w:basedOn w:val="681"/>
    <w:link w:val="873"/>
    <w:uiPriority w:val="99"/>
    <w:semiHidden/>
    <w:unhideWhenUsed/>
    <w:qFormat/>
    <w:pPr>
      <w:spacing w:after="0" w:line="240" w:lineRule="auto"/>
    </w:pPr>
    <w:rPr>
      <w:sz w:val="20"/>
    </w:rPr>
  </w:style>
  <w:style w:type="paragraph" w:styleId="706">
    <w:name w:val="Footer"/>
    <w:basedOn w:val="681"/>
    <w:link w:val="746"/>
    <w:uiPriority w:val="99"/>
    <w:unhideWhenUsed/>
    <w:qFormat/>
    <w:pPr>
      <w:spacing w:after="0" w:line="240" w:lineRule="auto"/>
      <w:tabs>
        <w:tab w:val="center" w:pos="7143" w:leader="none"/>
        <w:tab w:val="right" w:pos="14287" w:leader="none"/>
      </w:tabs>
    </w:pPr>
  </w:style>
  <w:style w:type="paragraph" w:styleId="707">
    <w:name w:val="Header"/>
    <w:basedOn w:val="681"/>
    <w:link w:val="744"/>
    <w:uiPriority w:val="99"/>
    <w:unhideWhenUsed/>
    <w:qFormat/>
    <w:pPr>
      <w:spacing w:after="0" w:line="240" w:lineRule="auto"/>
      <w:tabs>
        <w:tab w:val="center" w:pos="7143" w:leader="none"/>
        <w:tab w:val="right" w:pos="14287" w:leader="none"/>
      </w:tabs>
    </w:pPr>
  </w:style>
  <w:style w:type="paragraph" w:styleId="708">
    <w:name w:val="toc 1"/>
    <w:basedOn w:val="681"/>
    <w:next w:val="681"/>
    <w:uiPriority w:val="39"/>
    <w:unhideWhenUsed/>
    <w:qFormat/>
  </w:style>
  <w:style w:type="paragraph" w:styleId="709">
    <w:name w:val="toc 4"/>
    <w:basedOn w:val="681"/>
    <w:next w:val="681"/>
    <w:uiPriority w:val="39"/>
    <w:unhideWhenUsed/>
    <w:qFormat/>
    <w:pPr>
      <w:ind w:left="850" w:right="0" w:firstLine="0"/>
      <w:spacing w:after="57"/>
    </w:pPr>
  </w:style>
  <w:style w:type="paragraph" w:styleId="710">
    <w:name w:val="Subtitle"/>
    <w:basedOn w:val="681"/>
    <w:next w:val="681"/>
    <w:link w:val="739"/>
    <w:uiPriority w:val="11"/>
    <w:qFormat/>
    <w:pPr>
      <w:spacing w:before="200" w:after="200"/>
    </w:pPr>
    <w:rPr>
      <w:sz w:val="24"/>
      <w:szCs w:val="24"/>
    </w:rPr>
  </w:style>
  <w:style w:type="paragraph" w:styleId="711">
    <w:name w:val="footnote text"/>
    <w:basedOn w:val="681"/>
    <w:link w:val="872"/>
    <w:uiPriority w:val="99"/>
    <w:semiHidden/>
    <w:unhideWhenUsed/>
    <w:qFormat/>
    <w:pPr>
      <w:spacing w:after="40" w:line="240" w:lineRule="auto"/>
    </w:pPr>
    <w:rPr>
      <w:sz w:val="18"/>
    </w:rPr>
  </w:style>
  <w:style w:type="paragraph" w:styleId="712">
    <w:name w:val="toc 6"/>
    <w:basedOn w:val="681"/>
    <w:next w:val="681"/>
    <w:uiPriority w:val="39"/>
    <w:unhideWhenUsed/>
    <w:qFormat/>
    <w:pPr>
      <w:ind w:left="1417" w:right="0" w:firstLine="0"/>
      <w:spacing w:after="57"/>
    </w:pPr>
  </w:style>
  <w:style w:type="paragraph" w:styleId="713">
    <w:name w:val="table of figures"/>
    <w:basedOn w:val="681"/>
    <w:next w:val="681"/>
    <w:uiPriority w:val="99"/>
    <w:unhideWhenUsed/>
    <w:qFormat/>
    <w:pPr>
      <w:spacing w:after="0" w:afterAutospacing="0"/>
    </w:pPr>
  </w:style>
  <w:style w:type="paragraph" w:styleId="714">
    <w:name w:val="toc 2"/>
    <w:basedOn w:val="681"/>
    <w:next w:val="681"/>
    <w:uiPriority w:val="39"/>
    <w:unhideWhenUsed/>
    <w:qFormat/>
    <w:pPr>
      <w:ind w:left="283" w:right="0" w:firstLine="0"/>
      <w:spacing w:after="57"/>
    </w:pPr>
  </w:style>
  <w:style w:type="paragraph" w:styleId="715">
    <w:name w:val="toc 9"/>
    <w:basedOn w:val="681"/>
    <w:next w:val="681"/>
    <w:uiPriority w:val="39"/>
    <w:unhideWhenUsed/>
    <w:qFormat/>
    <w:pPr>
      <w:ind w:left="2268" w:right="0" w:firstLine="0"/>
      <w:spacing w:after="57"/>
    </w:pPr>
  </w:style>
  <w:style w:type="paragraph" w:styleId="716">
    <w:name w:val="Body Text 2"/>
    <w:basedOn w:val="681"/>
    <w:uiPriority w:val="0"/>
    <w:qFormat/>
    <w:pPr>
      <w:spacing w:after="120" w:line="480" w:lineRule="auto"/>
    </w:pPr>
    <w:rPr>
      <w:rFonts w:ascii="Calibri" w:hAnsi="Calibri"/>
    </w:rPr>
  </w:style>
  <w:style w:type="paragraph" w:styleId="717">
    <w:name w:val="Normal (Web)"/>
    <w:basedOn w:val="681"/>
    <w:uiPriority w:val="99"/>
    <w:qFormat/>
    <w:pPr>
      <w:jc w:val="left"/>
      <w:spacing w:before="100" w:beforeAutospacing="1" w:after="100" w:afterAutospacing="1"/>
      <w:widowControl/>
    </w:pPr>
    <w:rPr>
      <w:sz w:val="24"/>
      <w:szCs w:val="24"/>
    </w:rPr>
  </w:style>
  <w:style w:type="paragraph" w:styleId="718">
    <w:name w:val="Title"/>
    <w:basedOn w:val="681"/>
    <w:next w:val="681"/>
    <w:link w:val="738"/>
    <w:uiPriority w:val="10"/>
    <w:qFormat/>
    <w:pPr>
      <w:contextualSpacing/>
      <w:spacing w:before="300" w:after="200"/>
    </w:pPr>
    <w:rPr>
      <w:sz w:val="48"/>
      <w:szCs w:val="48"/>
    </w:rPr>
  </w:style>
  <w:style w:type="paragraph" w:styleId="719">
    <w:name w:val="Body Text First Indent"/>
    <w:basedOn w:val="697"/>
    <w:uiPriority w:val="0"/>
    <w:qFormat/>
    <w:pPr>
      <w:ind w:firstLine="420"/>
      <w:spacing w:after="120"/>
    </w:pPr>
    <w:rPr>
      <w:rFonts w:ascii="Times New Roman" w:hAnsi="Times New Roman" w:eastAsia="宋体"/>
      <w:sz w:val="21"/>
      <w:szCs w:val="24"/>
    </w:rPr>
  </w:style>
  <w:style w:type="paragraph" w:styleId="720">
    <w:name w:val="Body Text First Indent 2"/>
    <w:basedOn w:val="698"/>
    <w:uiPriority w:val="0"/>
    <w:qFormat/>
    <w:pPr>
      <w:ind w:firstLine="420"/>
    </w:pPr>
  </w:style>
  <w:style w:type="table" w:styleId="72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2">
    <w:name w:val="Strong"/>
    <w:uiPriority w:val="99"/>
    <w:qFormat/>
    <w:rPr>
      <w:b/>
      <w:bCs/>
    </w:rPr>
  </w:style>
  <w:style w:type="character" w:styleId="723">
    <w:name w:val="endnote reference"/>
    <w:uiPriority w:val="99"/>
    <w:semiHidden/>
    <w:unhideWhenUsed/>
    <w:qFormat/>
    <w:rPr>
      <w:vertAlign w:val="superscript"/>
    </w:rPr>
  </w:style>
  <w:style w:type="character" w:styleId="724">
    <w:name w:val="Hyperlink"/>
    <w:uiPriority w:val="99"/>
    <w:unhideWhenUsed/>
    <w:qFormat/>
    <w:rPr>
      <w:color w:val="0000ff" w:themeColor="hyperlink"/>
      <w:u w:val="single"/>
      <w14:textFill>
        <w14:solidFill>
          <w14:schemeClr w14:val="hlink"/>
        </w14:solidFill>
      </w14:textFill>
    </w:rPr>
  </w:style>
  <w:style w:type="character" w:styleId="725">
    <w:name w:val="annotation reference"/>
    <w:basedOn w:val="691"/>
    <w:uiPriority w:val="0"/>
    <w:qFormat/>
    <w:rPr>
      <w:sz w:val="16"/>
      <w:szCs w:val="16"/>
    </w:rPr>
  </w:style>
  <w:style w:type="character" w:styleId="726">
    <w:name w:val="footnote reference"/>
    <w:uiPriority w:val="99"/>
    <w:unhideWhenUsed/>
    <w:qFormat/>
    <w:rPr>
      <w:vertAlign w:val="superscript"/>
    </w:rPr>
  </w:style>
  <w:style w:type="character" w:styleId="727" w:customStyle="1">
    <w:name w:val="Heading 1 Char"/>
    <w:link w:val="682"/>
    <w:uiPriority w:val="9"/>
    <w:qFormat/>
    <w:rPr>
      <w:rFonts w:ascii="Arial" w:hAnsi="Arial" w:eastAsia="Arial" w:cs="Arial"/>
      <w:sz w:val="40"/>
      <w:szCs w:val="40"/>
    </w:rPr>
  </w:style>
  <w:style w:type="character" w:styleId="728" w:customStyle="1">
    <w:name w:val="Heading 2 Char"/>
    <w:link w:val="683"/>
    <w:uiPriority w:val="9"/>
    <w:qFormat/>
    <w:rPr>
      <w:rFonts w:ascii="Arial" w:hAnsi="Arial" w:eastAsia="Arial" w:cs="Arial"/>
      <w:sz w:val="34"/>
    </w:rPr>
  </w:style>
  <w:style w:type="character" w:styleId="729" w:customStyle="1">
    <w:name w:val="Heading 3 Char"/>
    <w:link w:val="684"/>
    <w:uiPriority w:val="9"/>
    <w:qFormat/>
    <w:rPr>
      <w:rFonts w:ascii="Arial" w:hAnsi="Arial" w:eastAsia="Arial" w:cs="Arial"/>
      <w:sz w:val="30"/>
      <w:szCs w:val="30"/>
    </w:rPr>
  </w:style>
  <w:style w:type="character" w:styleId="730" w:customStyle="1">
    <w:name w:val="Heading 4 Char"/>
    <w:link w:val="685"/>
    <w:uiPriority w:val="9"/>
    <w:qFormat/>
    <w:rPr>
      <w:rFonts w:ascii="Arial" w:hAnsi="Arial" w:eastAsia="Arial" w:cs="Arial"/>
      <w:b/>
      <w:bCs/>
      <w:sz w:val="26"/>
      <w:szCs w:val="26"/>
    </w:rPr>
  </w:style>
  <w:style w:type="character" w:styleId="731" w:customStyle="1">
    <w:name w:val="Heading 5 Char"/>
    <w:link w:val="686"/>
    <w:uiPriority w:val="9"/>
    <w:qFormat/>
    <w:rPr>
      <w:rFonts w:ascii="Arial" w:hAnsi="Arial" w:eastAsia="Arial" w:cs="Arial"/>
      <w:b/>
      <w:bCs/>
      <w:sz w:val="24"/>
      <w:szCs w:val="24"/>
    </w:rPr>
  </w:style>
  <w:style w:type="character" w:styleId="732" w:customStyle="1">
    <w:name w:val="Heading 6 Char"/>
    <w:link w:val="687"/>
    <w:uiPriority w:val="9"/>
    <w:qFormat/>
    <w:rPr>
      <w:rFonts w:ascii="Arial" w:hAnsi="Arial" w:eastAsia="Arial" w:cs="Arial"/>
      <w:b/>
      <w:bCs/>
      <w:sz w:val="22"/>
      <w:szCs w:val="22"/>
    </w:rPr>
  </w:style>
  <w:style w:type="character" w:styleId="733" w:customStyle="1">
    <w:name w:val="Heading 7 Char"/>
    <w:link w:val="688"/>
    <w:uiPriority w:val="9"/>
    <w:qFormat/>
    <w:rPr>
      <w:rFonts w:ascii="Arial" w:hAnsi="Arial" w:eastAsia="Arial" w:cs="Arial"/>
      <w:b/>
      <w:bCs/>
      <w:i/>
      <w:iCs/>
      <w:sz w:val="22"/>
      <w:szCs w:val="22"/>
    </w:rPr>
  </w:style>
  <w:style w:type="character" w:styleId="734" w:customStyle="1">
    <w:name w:val="Heading 8 Char"/>
    <w:link w:val="689"/>
    <w:uiPriority w:val="9"/>
    <w:qFormat/>
    <w:rPr>
      <w:rFonts w:ascii="Arial" w:hAnsi="Arial" w:eastAsia="Arial" w:cs="Arial"/>
      <w:i/>
      <w:iCs/>
      <w:sz w:val="22"/>
      <w:szCs w:val="22"/>
    </w:rPr>
  </w:style>
  <w:style w:type="character" w:styleId="735" w:customStyle="1">
    <w:name w:val="Heading 9 Char"/>
    <w:link w:val="690"/>
    <w:uiPriority w:val="9"/>
    <w:qFormat/>
    <w:rPr>
      <w:rFonts w:ascii="Arial" w:hAnsi="Arial" w:eastAsia="Arial" w:cs="Arial"/>
      <w:i/>
      <w:iCs/>
      <w:sz w:val="21"/>
      <w:szCs w:val="21"/>
    </w:rPr>
  </w:style>
  <w:style w:type="paragraph" w:styleId="736">
    <w:name w:val="List Paragraph"/>
    <w:basedOn w:val="681"/>
    <w:uiPriority w:val="34"/>
    <w:qFormat/>
    <w:pPr>
      <w:contextualSpacing/>
      <w:ind w:left="720"/>
    </w:pPr>
  </w:style>
  <w:style w:type="paragraph" w:styleId="737">
    <w:name w:val="No Spacing"/>
    <w:uiPriority w:val="1"/>
    <w:qFormat/>
    <w:pPr>
      <w:spacing w:before="0" w:after="0" w:line="240" w:lineRule="auto"/>
    </w:pPr>
    <w:rPr>
      <w:rFonts w:hint="default" w:ascii="Calibri" w:hAnsi="Calibri" w:eastAsia="宋体" w:cs="Times New Roman"/>
      <w:lang w:val="en-US" w:eastAsia="en-US" w:bidi="ar-SA"/>
    </w:rPr>
  </w:style>
  <w:style w:type="character" w:styleId="738" w:customStyle="1">
    <w:name w:val="Title Char"/>
    <w:link w:val="718"/>
    <w:uiPriority w:val="10"/>
    <w:qFormat/>
    <w:rPr>
      <w:sz w:val="48"/>
      <w:szCs w:val="48"/>
    </w:rPr>
  </w:style>
  <w:style w:type="character" w:styleId="739" w:customStyle="1">
    <w:name w:val="Subtitle Char"/>
    <w:link w:val="710"/>
    <w:uiPriority w:val="11"/>
    <w:qFormat/>
    <w:rPr>
      <w:sz w:val="24"/>
      <w:szCs w:val="24"/>
    </w:rPr>
  </w:style>
  <w:style w:type="paragraph" w:styleId="740">
    <w:name w:val="Quote"/>
    <w:basedOn w:val="681"/>
    <w:next w:val="681"/>
    <w:link w:val="741"/>
    <w:uiPriority w:val="29"/>
    <w:qFormat/>
    <w:pPr>
      <w:ind w:left="720" w:right="720"/>
    </w:pPr>
    <w:rPr>
      <w:i/>
    </w:rPr>
  </w:style>
  <w:style w:type="character" w:styleId="741" w:customStyle="1">
    <w:name w:val="Quote Char"/>
    <w:link w:val="740"/>
    <w:uiPriority w:val="29"/>
    <w:qFormat/>
    <w:rPr>
      <w:i/>
    </w:rPr>
  </w:style>
  <w:style w:type="paragraph" w:styleId="742">
    <w:name w:val="Intense Quote"/>
    <w:basedOn w:val="681"/>
    <w:next w:val="681"/>
    <w:link w:val="7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3" w:customStyle="1">
    <w:name w:val="Intense Quote Char"/>
    <w:link w:val="742"/>
    <w:uiPriority w:val="30"/>
    <w:qFormat/>
    <w:rPr>
      <w:i/>
    </w:rPr>
  </w:style>
  <w:style w:type="character" w:styleId="744" w:customStyle="1">
    <w:name w:val="Header Char"/>
    <w:link w:val="707"/>
    <w:uiPriority w:val="99"/>
    <w:qFormat/>
  </w:style>
  <w:style w:type="character" w:styleId="745" w:customStyle="1">
    <w:name w:val="Footer Char"/>
    <w:link w:val="706"/>
    <w:uiPriority w:val="99"/>
    <w:qFormat/>
  </w:style>
  <w:style w:type="character" w:styleId="746" w:customStyle="1">
    <w:name w:val="Caption Char"/>
    <w:link w:val="706"/>
    <w:uiPriority w:val="99"/>
    <w:qFormat/>
  </w:style>
  <w:style w:type="table" w:styleId="74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2"/>
    <w:uiPriority w:val="59"/>
    <w:qFormat/>
    <w:pPr>
      <w:spacing w:after="0" w:line="240" w:lineRule="auto"/>
    </w:pPr>
    <w:tblPr>
      <w:tblBorders>
        <w:top w:val="single" w:color="000000" w:themeColor="text1" w:sz="4" w:space="0"/>
        <w:bottom w:val="singl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2" w:customStyle="1">
    <w:name w:val="Footnote Text Char"/>
    <w:link w:val="711"/>
    <w:uiPriority w:val="99"/>
    <w:qFormat/>
    <w:rPr>
      <w:sz w:val="18"/>
    </w:rPr>
  </w:style>
  <w:style w:type="character" w:styleId="873" w:customStyle="1">
    <w:name w:val="Endnote Text Char"/>
    <w:link w:val="705"/>
    <w:uiPriority w:val="99"/>
    <w:qFormat/>
    <w:rPr>
      <w:sz w:val="20"/>
    </w:rPr>
  </w:style>
  <w:style w:type="paragraph" w:styleId="874" w:customStyle="1">
    <w:name w:val="TOC Heading"/>
    <w:uiPriority w:val="39"/>
    <w:unhideWhenUsed/>
    <w:qFormat/>
    <w:rPr>
      <w:rFonts w:hint="default" w:ascii="Calibri" w:hAnsi="Calibri" w:eastAsia="宋体" w:cs="Times New Roman"/>
      <w:lang w:val="en-US" w:eastAsia="en-US" w:bidi="ar-SA"/>
    </w:rPr>
  </w:style>
  <w:style w:type="paragraph" w:styleId="875" w:customStyle="1">
    <w:name w:val="标题 11"/>
    <w:basedOn w:val="681"/>
    <w:next w:val="681"/>
    <w:uiPriority w:val="9"/>
    <w:qFormat/>
    <w:pPr>
      <w:keepLines/>
      <w:keepNext/>
      <w:spacing w:before="340" w:after="330" w:line="578" w:lineRule="auto"/>
      <w:outlineLvl w:val="0"/>
    </w:pPr>
    <w:rPr>
      <w:b/>
      <w:bCs/>
      <w:sz w:val="44"/>
      <w:szCs w:val="44"/>
    </w:rPr>
  </w:style>
  <w:style w:type="paragraph" w:styleId="876" w:customStyle="1">
    <w:name w:val="标题 21"/>
    <w:basedOn w:val="681"/>
    <w:next w:val="87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77" w:customStyle="1">
    <w:name w:val="正文缩进1"/>
    <w:basedOn w:val="681"/>
    <w:link w:val="883"/>
    <w:uiPriority w:val="0"/>
    <w:unhideWhenUsed/>
    <w:qFormat/>
    <w:pPr>
      <w:ind w:firstLine="420"/>
    </w:pPr>
  </w:style>
  <w:style w:type="paragraph" w:styleId="878" w:customStyle="1">
    <w:name w:val="标题 31"/>
    <w:basedOn w:val="681"/>
    <w:next w:val="681"/>
    <w:uiPriority w:val="0"/>
    <w:qFormat/>
    <w:pPr>
      <w:keepLines/>
      <w:keepNext/>
      <w:spacing w:before="260" w:after="260" w:line="416" w:lineRule="auto"/>
      <w:outlineLvl w:val="2"/>
    </w:pPr>
    <w:rPr>
      <w:b/>
      <w:bCs/>
      <w:sz w:val="32"/>
      <w:szCs w:val="32"/>
    </w:rPr>
  </w:style>
  <w:style w:type="character" w:styleId="879" w:customStyle="1">
    <w:name w:val="默认段落字体1"/>
    <w:link w:val="681"/>
    <w:uiPriority w:val="0"/>
    <w:semiHidden/>
    <w:qFormat/>
  </w:style>
  <w:style w:type="table" w:styleId="880" w:customStyle="1">
    <w:name w:val="普通表格1"/>
    <w:uiPriority w:val="0"/>
    <w:semiHidden/>
    <w:qFormat/>
    <w:tblPr/>
  </w:style>
  <w:style w:type="paragraph" w:styleId="881" w:customStyle="1">
    <w:name w:val="正文文本11"/>
    <w:basedOn w:val="681"/>
    <w:next w:val="681"/>
    <w:link w:val="882"/>
    <w:uiPriority w:val="0"/>
    <w:qFormat/>
    <w:rPr>
      <w:rFonts w:ascii="楷体_GB2312" w:hAnsi="Arial" w:eastAsia="楷体_GB2312"/>
      <w:sz w:val="28"/>
      <w:szCs w:val="28"/>
    </w:rPr>
  </w:style>
  <w:style w:type="character" w:styleId="882" w:customStyle="1">
    <w:name w:val="正文文本 字符"/>
    <w:link w:val="881"/>
    <w:uiPriority w:val="0"/>
    <w:qFormat/>
    <w:rPr>
      <w:rFonts w:ascii="楷体_GB2312" w:hAnsi="Arial" w:eastAsia="楷体_GB2312"/>
      <w:sz w:val="28"/>
      <w:szCs w:val="28"/>
    </w:rPr>
  </w:style>
  <w:style w:type="character" w:styleId="883" w:customStyle="1">
    <w:name w:val="正文缩进 字符"/>
    <w:link w:val="877"/>
    <w:uiPriority w:val="0"/>
    <w:qFormat/>
    <w:rPr>
      <w:sz w:val="21"/>
      <w:szCs w:val="22"/>
    </w:rPr>
  </w:style>
  <w:style w:type="paragraph" w:styleId="884" w:customStyle="1">
    <w:name w:val="批注文字1"/>
    <w:basedOn w:val="681"/>
    <w:link w:val="885"/>
    <w:uiPriority w:val="0"/>
    <w:qFormat/>
    <w:pPr>
      <w:jc w:val="left"/>
    </w:pPr>
  </w:style>
  <w:style w:type="character" w:styleId="885" w:customStyle="1">
    <w:name w:val="批注文字 字符"/>
    <w:link w:val="884"/>
    <w:uiPriority w:val="0"/>
    <w:qFormat/>
    <w:rPr>
      <w:sz w:val="21"/>
      <w:szCs w:val="22"/>
    </w:rPr>
  </w:style>
  <w:style w:type="paragraph" w:styleId="886" w:customStyle="1">
    <w:name w:val="索引 41"/>
    <w:basedOn w:val="681"/>
    <w:next w:val="681"/>
    <w:uiPriority w:val="0"/>
    <w:qFormat/>
    <w:pPr>
      <w:ind w:left="600"/>
    </w:pPr>
    <w:rPr>
      <w:szCs w:val="24"/>
    </w:rPr>
  </w:style>
  <w:style w:type="paragraph" w:styleId="887" w:customStyle="1">
    <w:name w:val="纯文本1"/>
    <w:basedOn w:val="681"/>
    <w:uiPriority w:val="99"/>
    <w:qFormat/>
    <w:rPr>
      <w:rFonts w:ascii="宋体" w:hAnsi="Courier New"/>
      <w:sz w:val="20"/>
      <w:szCs w:val="21"/>
    </w:rPr>
  </w:style>
  <w:style w:type="paragraph" w:styleId="888" w:customStyle="1">
    <w:name w:val="页脚1"/>
    <w:basedOn w:val="681"/>
    <w:uiPriority w:val="99"/>
    <w:unhideWhenUsed/>
    <w:qFormat/>
    <w:pPr>
      <w:jc w:val="left"/>
      <w:tabs>
        <w:tab w:val="center" w:pos="4153" w:leader="none"/>
        <w:tab w:val="right" w:pos="8306" w:leader="none"/>
      </w:tabs>
    </w:pPr>
    <w:rPr>
      <w:sz w:val="18"/>
      <w:szCs w:val="18"/>
    </w:rPr>
  </w:style>
  <w:style w:type="paragraph" w:styleId="889" w:customStyle="1">
    <w:name w:val="页眉1"/>
    <w:basedOn w:val="681"/>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890" w:customStyle="1">
    <w:name w:val="普通(网站)1"/>
    <w:basedOn w:val="681"/>
    <w:uiPriority w:val="0"/>
    <w:qFormat/>
    <w:rPr>
      <w:rFonts w:ascii="Times New Roman" w:hAnsi="Times New Roman"/>
      <w:sz w:val="24"/>
    </w:rPr>
  </w:style>
  <w:style w:type="paragraph" w:styleId="891" w:customStyle="1">
    <w:name w:val="批注主题1"/>
    <w:basedOn w:val="884"/>
    <w:next w:val="884"/>
    <w:link w:val="892"/>
    <w:uiPriority w:val="0"/>
    <w:qFormat/>
    <w:rPr>
      <w:b/>
      <w:bCs/>
    </w:rPr>
  </w:style>
  <w:style w:type="character" w:styleId="892" w:customStyle="1">
    <w:name w:val="批注主题 字符"/>
    <w:link w:val="891"/>
    <w:uiPriority w:val="0"/>
    <w:qFormat/>
    <w:rPr>
      <w:b/>
      <w:bCs/>
      <w:sz w:val="21"/>
      <w:szCs w:val="22"/>
    </w:rPr>
  </w:style>
  <w:style w:type="paragraph" w:styleId="893" w:customStyle="1">
    <w:name w:val="正文文本首行缩进"/>
    <w:basedOn w:val="881"/>
    <w:link w:val="894"/>
    <w:uiPriority w:val="0"/>
    <w:qFormat/>
    <w:pPr>
      <w:ind w:firstLine="420"/>
      <w:spacing w:after="120"/>
    </w:pPr>
    <w:rPr>
      <w:position w:val="-10"/>
      <w:sz w:val="21"/>
      <w:szCs w:val="24"/>
      <w:lang w:val="zh-CN"/>
    </w:rPr>
  </w:style>
  <w:style w:type="character" w:styleId="894" w:customStyle="1">
    <w:name w:val="正文文本首行缩进 字符"/>
    <w:link w:val="893"/>
    <w:uiPriority w:val="0"/>
    <w:qFormat/>
    <w:rPr>
      <w:rFonts w:ascii="楷体_GB2312" w:hAnsi="Arial" w:eastAsia="楷体_GB2312"/>
      <w:position w:val="-10"/>
      <w:sz w:val="21"/>
      <w:szCs w:val="24"/>
      <w:lang w:val="zh-CN"/>
    </w:rPr>
  </w:style>
  <w:style w:type="table" w:styleId="895" w:customStyle="1">
    <w:name w:val="网格型1"/>
    <w:basedOn w:val="880"/>
    <w:uiPriority w:val="59"/>
    <w:qFormat/>
    <w:pPr>
      <w:spacing w:after="0" w:line="240" w:lineRule="auto"/>
    </w:pPr>
    <w:tblPr/>
  </w:style>
  <w:style w:type="character" w:styleId="896" w:customStyle="1">
    <w:name w:val="要点1"/>
    <w:link w:val="681"/>
    <w:uiPriority w:val="0"/>
    <w:qFormat/>
    <w:rPr>
      <w:b/>
    </w:rPr>
  </w:style>
  <w:style w:type="character" w:styleId="897" w:customStyle="1">
    <w:name w:val="批注引用1"/>
    <w:link w:val="681"/>
    <w:uiPriority w:val="0"/>
    <w:qFormat/>
    <w:rPr>
      <w:sz w:val="21"/>
      <w:szCs w:val="21"/>
    </w:rPr>
  </w:style>
  <w:style w:type="paragraph" w:styleId="898" w:customStyle="1">
    <w:name w:val="正文1"/>
    <w:basedOn w:val="681"/>
    <w:next w:val="899"/>
    <w:uiPriority w:val="0"/>
    <w:qFormat/>
    <w:pPr>
      <w:jc w:val="left"/>
      <w:spacing w:line="360" w:lineRule="atLeast"/>
    </w:pPr>
    <w:rPr>
      <w:rFonts w:ascii="宋体" w:hAnsi="Calibri" w:eastAsia="宋体" w:cs="Times New Roman"/>
      <w:sz w:val="24"/>
      <w:szCs w:val="20"/>
    </w:rPr>
  </w:style>
  <w:style w:type="paragraph" w:styleId="899" w:customStyle="1">
    <w:name w:val="正文文本1"/>
    <w:basedOn w:val="898"/>
    <w:next w:val="900"/>
    <w:uiPriority w:val="0"/>
    <w:qFormat/>
    <w:pPr>
      <w:spacing w:after="120"/>
    </w:pPr>
    <w:rPr>
      <w:lang w:eastAsia="en-US"/>
    </w:rPr>
  </w:style>
  <w:style w:type="paragraph" w:styleId="900" w:customStyle="1">
    <w:name w:val="一级条标题"/>
    <w:basedOn w:val="901"/>
    <w:next w:val="90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01" w:customStyle="1">
    <w:name w:val="章标题"/>
    <w:next w:val="681"/>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02" w:customStyle="1">
    <w:name w:val="段"/>
    <w:basedOn w:val="898"/>
    <w:next w:val="681"/>
    <w:uiPriority w:val="0"/>
    <w:qFormat/>
    <w:pPr>
      <w:ind w:firstLine="200"/>
      <w:widowControl/>
    </w:pPr>
    <w:rPr>
      <w:sz w:val="20"/>
    </w:rPr>
  </w:style>
  <w:style w:type="paragraph" w:styleId="903" w:customStyle="1">
    <w:name w:val="列表段落"/>
    <w:basedOn w:val="681"/>
    <w:link w:val="904"/>
    <w:uiPriority w:val="0"/>
    <w:qFormat/>
    <w:pPr>
      <w:ind w:left="720"/>
      <w:jc w:val="left"/>
      <w:widowControl/>
    </w:pPr>
    <w:rPr>
      <w:rFonts w:ascii="Calibri" w:hAnsi="Calibri"/>
      <w:szCs w:val="24"/>
      <w:lang w:eastAsia="en-US" w:bidi="en-US"/>
    </w:rPr>
  </w:style>
  <w:style w:type="character" w:styleId="904" w:customStyle="1">
    <w:name w:val="列表段落 字符"/>
    <w:link w:val="903"/>
    <w:uiPriority w:val="0"/>
    <w:qFormat/>
    <w:rPr>
      <w:sz w:val="21"/>
      <w:szCs w:val="24"/>
      <w:lang w:eastAsia="en-US" w:bidi="en-US"/>
    </w:rPr>
  </w:style>
  <w:style w:type="paragraph" w:styleId="905" w:customStyle="1">
    <w:name w:val="普通正文"/>
    <w:basedOn w:val="681"/>
    <w:uiPriority w:val="0"/>
    <w:qFormat/>
    <w:pPr>
      <w:ind w:firstLine="480"/>
      <w:jc w:val="left"/>
      <w:spacing w:before="120" w:after="120" w:line="360" w:lineRule="auto"/>
    </w:pPr>
    <w:rPr>
      <w:rFonts w:ascii="Arial" w:hAnsi="Arial"/>
      <w:sz w:val="24"/>
      <w:szCs w:val="24"/>
    </w:rPr>
  </w:style>
  <w:style w:type="paragraph" w:styleId="906" w:customStyle="1">
    <w:name w:val="Char"/>
    <w:basedOn w:val="681"/>
    <w:uiPriority w:val="0"/>
    <w:qFormat/>
    <w:pPr>
      <w:ind w:firstLine="200"/>
      <w:tabs>
        <w:tab w:val="left" w:pos="360" w:leader="none"/>
      </w:tabs>
    </w:pPr>
    <w:rPr>
      <w:rFonts w:ascii="Times New Roman" w:hAnsi="Times New Roman"/>
      <w:sz w:val="28"/>
      <w:szCs w:val="30"/>
    </w:rPr>
  </w:style>
  <w:style w:type="paragraph" w:styleId="907" w:customStyle="1">
    <w:name w:val="Default"/>
    <w:uiPriority w:val="99"/>
    <w:qFormat/>
    <w:pPr>
      <w:widowControl w:val="off"/>
    </w:pPr>
    <w:rPr>
      <w:rFonts w:hint="default" w:ascii="MS Mincho" w:hAnsi="MS Mincho" w:eastAsia="宋体" w:cs="Times New Roman"/>
      <w:color w:val="000000"/>
      <w:sz w:val="21"/>
      <w:szCs w:val="24"/>
      <w:lang w:val="en-US" w:eastAsia="zh-CN" w:bidi="ar-SA"/>
    </w:rPr>
  </w:style>
  <w:style w:type="paragraph" w:styleId="908" w:customStyle="1">
    <w:name w:val="p0"/>
    <w:basedOn w:val="681"/>
    <w:uiPriority w:val="0"/>
    <w:qFormat/>
    <w:pPr>
      <w:jc w:val="left"/>
      <w:spacing w:before="100" w:beforeAutospacing="1" w:after="100" w:afterAutospacing="1"/>
      <w:widowControl/>
    </w:pPr>
    <w:rPr>
      <w:rFonts w:ascii="宋体" w:hAnsi="宋体" w:eastAsia="宋体" w:cs="宋体"/>
      <w:sz w:val="24"/>
      <w:szCs w:val="24"/>
    </w:rPr>
  </w:style>
  <w:style w:type="paragraph" w:styleId="909" w:customStyle="1">
    <w:name w:val="修订"/>
    <w:uiPriority w:val="99"/>
    <w:unhideWhenUsed/>
    <w:qFormat/>
    <w:rPr>
      <w:rFonts w:hint="default" w:ascii="Calibri" w:hAnsi="Calibri" w:eastAsia="宋体" w:cs="Times New Roman"/>
      <w:sz w:val="21"/>
      <w:szCs w:val="22"/>
      <w:lang w:val="en-US" w:eastAsia="zh-CN" w:bidi="ar-SA"/>
    </w:rPr>
  </w:style>
  <w:style w:type="paragraph" w:styleId="910" w:customStyle="1">
    <w:name w:val="Table Text"/>
    <w:basedOn w:val="681"/>
    <w:uiPriority w:val="0"/>
    <w:semiHidden/>
    <w:qFormat/>
    <w:rPr>
      <w:rFonts w:ascii="宋体" w:hAnsi="宋体" w:eastAsia="宋体" w:cs="宋体"/>
      <w:sz w:val="16"/>
      <w:szCs w:val="16"/>
      <w:lang w:val="en-US" w:eastAsia="en-US" w:bidi="ar-SA"/>
    </w:rPr>
  </w:style>
  <w:style w:type="table" w:styleId="911" w:customStyle="1">
    <w:name w:val="Table Normal_0"/>
    <w:uiPriority w:val="0"/>
    <w:semiHidden/>
    <w:unhideWhenUsed/>
    <w:qFormat/>
    <w:tblPr>
      <w:tblCellMar>
        <w:left w:w="0" w:type="dxa"/>
        <w:top w:w="0" w:type="dxa"/>
        <w:right w:w="0" w:type="dxa"/>
        <w:bottom w:w="0" w:type="dxa"/>
      </w:tblCellMar>
    </w:tblPr>
  </w:style>
  <w:style w:type="character" w:styleId="912" w:customStyle="1">
    <w:name w:val="font21"/>
    <w:basedOn w:val="691"/>
    <w:uiPriority w:val="0"/>
    <w:qFormat/>
    <w:rPr>
      <w:rFonts w:ascii="宋体" w:hAnsi="宋体" w:eastAsia="宋体" w:cs="宋体"/>
      <w:color w:val="000000"/>
      <w:sz w:val="18"/>
      <w:szCs w:val="18"/>
      <w:u w:val="none"/>
    </w:rPr>
  </w:style>
  <w:style w:type="character" w:styleId="913" w:customStyle="1">
    <w:name w:val="font31"/>
    <w:basedOn w:val="691"/>
    <w:uiPriority w:val="0"/>
    <w:qFormat/>
    <w:rPr>
      <w:rFonts w:ascii="宋体" w:hAnsi="宋体" w:eastAsia="宋体" w:cs="宋体"/>
      <w:color w:val="000000"/>
      <w:sz w:val="18"/>
      <w:szCs w:val="18"/>
      <w:u w:val="none"/>
    </w:rPr>
  </w:style>
  <w:style w:type="paragraph" w:styleId="914" w:customStyle="1">
    <w:name w:val="首行缩进"/>
    <w:basedOn w:val="681"/>
    <w:uiPriority w:val="0"/>
    <w:qFormat/>
    <w:pPr>
      <w:ind w:firstLine="480"/>
    </w:pPr>
    <w:rPr>
      <w:szCs w:val="20"/>
      <w:lang w:val="zh-CN"/>
    </w:rPr>
  </w:style>
  <w:style w:type="table" w:styleId="915" w:customStyle="1">
    <w:name w:val="Table Normal_0_0"/>
    <w:uiPriority w:val="0"/>
    <w:qFormat/>
    <w:tblPr/>
  </w:style>
  <w:style w:type="numbering" w:styleId="937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dc:creator>
  <cp:lastModifiedBy>王芳</cp:lastModifiedBy>
  <cp:revision>16</cp:revision>
  <dcterms:created xsi:type="dcterms:W3CDTF">2025-02-28T04:20:00Z</dcterms:created>
  <dcterms:modified xsi:type="dcterms:W3CDTF">2026-07-21T03:49:10Z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039D30F0294A4EC68BA27CAF140C86F8_13</vt:lpwstr>
  </property>
  <property fmtid="{D5CDD505-2E9C-101B-9397-08002B2CF9AE}" pid="3" name="KSOProductBuildVer">
    <vt:lpwstr>2052-12.1.0.26895</vt:lpwstr>
  </property>
  <property fmtid="{D5CDD505-2E9C-101B-9397-08002B2CF9AE}" pid="4" name="KSOTemplateDocerSaveRecord">
    <vt:lpwstr>eyJoZGlkIjoiNmZiODA4YmYwZDEyMTk1MDgzYmVkZjc5MWMxOWNkMzMiLCJ1c2VySWQiOiIzOTE1ODkzOTcifQ==</vt:lpwstr>
  </property>
</Properties>
</file>