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right"/>
        <w:rPr>
          <w:rFonts w:hint="default" w:ascii="宋体" w:hAnsi="宋体" w:cs="宋体"/>
          <w:b/>
          <w:bCs/>
          <w:color w:val="auto"/>
          <w:sz w:val="36"/>
          <w:highlight w:val="none"/>
          <w:lang w:val="en-US"/>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JSZC-321000-YZDX-G2026-0009</w:t>
      </w:r>
      <w:r>
        <w:rPr>
          <w:rFonts w:hint="eastAsia" w:ascii="宋体" w:hAnsi="宋体" w:cs="宋体"/>
          <w:b/>
          <w:bCs/>
          <w:color w:val="auto"/>
          <w:sz w:val="36"/>
          <w:highlight w:val="none"/>
          <w:lang w:val="en-US" w:eastAsia="zh-CN"/>
        </w:rPr>
        <w:t xml:space="preserve">号</w: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keepLines w:val="0"/>
        <w:keepNext w:val="0"/>
        <w:pageBreakBefore w:val="0"/>
        <w:spacing w:line="360" w:lineRule="auto"/>
        <w:widowControl w:val="off"/>
        <w:rPr>
          <w:rFonts w:hint="eastAsia" w:ascii="宋体" w:hAnsi="宋体" w:cs="宋体"/>
          <w:b/>
          <w:bCs/>
          <w:color w:val="auto"/>
          <w:spacing w:val="0"/>
          <w:sz w:val="34"/>
          <w:szCs w:val="34"/>
          <w:highlight w:val="none"/>
        </w:rPr>
      </w:pPr>
      <w:r>
        <w:rPr>
          <w:rFonts w:hint="eastAsia" w:ascii="宋体" w:hAnsi="宋体" w:cs="宋体"/>
          <w:b/>
          <w:bCs/>
          <w:color w:val="auto"/>
          <w:spacing w:val="-11"/>
          <w:sz w:val="34"/>
          <w:szCs w:val="34"/>
          <w:highlight w:val="none"/>
          <w:lang w:eastAsia="zh-CN"/>
        </w:rPr>
        <w:t xml:space="preserve">扬州高等职业技术学校学生宿舍床铺购置项目（二次）</w:t>
      </w:r>
      <w:r/>
    </w:p>
    <w:p>
      <w:pPr>
        <w:jc w:val="center"/>
        <w:keepLines w:val="0"/>
        <w:keepNext w:val="0"/>
        <w:pageBreakBefore w:val="0"/>
        <w:spacing w:line="360" w:lineRule="auto"/>
        <w:widowControl w:val="off"/>
        <w:rPr>
          <w:rFonts w:hint="eastAsia" w:ascii="宋体" w:hAnsi="宋体" w:cs="宋体"/>
          <w:b/>
          <w:bCs/>
          <w:color w:val="auto"/>
          <w:sz w:val="36"/>
          <w:highlight w:val="none"/>
        </w:rPr>
      </w:pPr>
      <w:r>
        <w:rPr>
          <w:rFonts w:hint="eastAsia" w:ascii="宋体" w:hAnsi="宋体" w:cs="宋体"/>
          <w:b/>
          <w:bCs/>
          <w:color w:val="auto"/>
          <w:spacing w:val="0"/>
          <w:sz w:val="34"/>
          <w:szCs w:val="34"/>
          <w:highlight w:val="none"/>
        </w:rPr>
        <w:t xml:space="preserve">公开招标文件</w:t>
      </w:r>
      <w:r/>
    </w:p>
    <w:p>
      <w:pPr>
        <w:pStyle w:val="96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eastAsia="宋体" w:cs="宋体"/>
          <w:color w:val="auto"/>
          <w:sz w:val="36"/>
          <w:highlight w:val="none"/>
          <w:lang w:eastAsia="zh-CN"/>
        </w:rPr>
      </w:pPr>
      <w:r>
        <w:rPr>
          <w:rFonts w:hint="eastAsia" w:ascii="宋体" w:hAnsi="宋体" w:eastAsia="宋体" w:cs="宋体"/>
          <w:color w:val="auto"/>
          <w:sz w:val="36"/>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1" locked="0" layoutInCell="1" allowOverlap="1">
                <wp:simplePos x="0" y="0"/>
                <wp:positionH relativeFrom="column">
                  <wp:posOffset>-209550</wp:posOffset>
                </wp:positionH>
                <wp:positionV relativeFrom="paragraph">
                  <wp:posOffset>152400</wp:posOffset>
                </wp:positionV>
                <wp:extent cx="5803900" cy="3827780"/>
                <wp:effectExtent l="0" t="0" r="6350" b="1270"/>
                <wp:wrapTight wrapText="bothSides">
                  <wp:wrapPolygon edited="1">
                    <wp:start x="0" y="0"/>
                    <wp:lineTo x="0" y="21500"/>
                    <wp:lineTo x="21553" y="21500"/>
                    <wp:lineTo x="21553" y="0"/>
                    <wp:lineTo x="0" y="0"/>
                  </wp:wrapPolygon>
                </wp:wrapTight>
                <wp:docPr id="3" name="图片 1" descr="30fe8839dc1867ee549dd71559e1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30fe8839dc1867ee549dd71559e13195"/>
                        <pic:cNvPicPr>
                          <a:picLocks noChangeAspect="1"/>
                        </pic:cNvPicPr>
                        <pic:nvPr/>
                      </pic:nvPicPr>
                      <pic:blipFill>
                        <a:blip r:embed="rId15"/>
                        <a:stretch/>
                      </pic:blipFill>
                      <pic:spPr bwMode="auto">
                        <a:xfrm>
                          <a:off x="0" y="0"/>
                          <a:ext cx="5803900" cy="382778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5648;o:allowoverlap:true;o:allowincell:true;mso-position-horizontal-relative:text;margin-left:-16.5pt;mso-position-horizontal:absolute;mso-position-vertical-relative:text;margin-top:12.0pt;mso-position-vertical:absolute;width:457.0pt;height:301.4pt;mso-wrap-distance-left:9.0pt;mso-wrap-distance-top:0.0pt;mso-wrap-distance-right:9.0pt;mso-wrap-distance-bottom:0.0pt;" wrapcoords="0 0 0 99537 99782 99537 99782 0 0 0" stroked="false">
                <v:path textboxrect="0,0,0,0"/>
                <w10:wrap type="tight"/>
                <v:imagedata r:id="rId15"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lang w:eastAsia="zh-CN"/>
        </w:rPr>
        <w:t xml:space="preserve">扬州大学工程设计研究院有限公司</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2026年</w:t>
      </w:r>
      <w:r>
        <w:rPr>
          <w:rFonts w:hint="eastAsia" w:ascii="宋体" w:hAnsi="宋体" w:cs="宋体"/>
          <w:b/>
          <w:bCs/>
          <w:color w:val="auto"/>
          <w:sz w:val="36"/>
          <w:highlight w:val="none"/>
          <w:lang w:val="en-US" w:eastAsia="zh-CN"/>
        </w:rPr>
        <w:t xml:space="preserve">7</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20</w:t>
      </w:r>
      <w:r>
        <w:rPr>
          <w:rFonts w:hint="eastAsia" w:ascii="宋体" w:hAnsi="宋体" w:cs="宋体"/>
          <w:b/>
          <w:bCs/>
          <w:color w:val="auto"/>
          <w:sz w:val="36"/>
          <w:highlight w:val="none"/>
        </w:rPr>
        <w:t xml:space="preserve">日</w:t>
      </w:r>
      <w:r/>
    </w:p>
    <w:p>
      <w:pPr>
        <w:jc w:val="center"/>
        <w:rPr>
          <w:rFonts w:hint="eastAsia" w:ascii="宋体" w:hAnsi="宋体" w:cs="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highlight w:val="none"/>
        </w:rPr>
      </w:r>
      <w:r/>
    </w:p>
    <w:p>
      <w:pPr>
        <w:pStyle w:val="971"/>
        <w:rPr>
          <w:rFonts w:hint="eastAsia" w:ascii="宋体" w:hAnsi="宋体" w:cs="宋体"/>
          <w:color w:val="auto"/>
          <w:highlight w:val="none"/>
        </w:rPr>
      </w:pPr>
      <w:r>
        <w:rPr>
          <w:rFonts w:hint="eastAsia" w:ascii="宋体" w:hAnsi="宋体" w:cs="宋体"/>
          <w:color w:val="auto"/>
          <w:highlight w:val="none"/>
        </w:rPr>
      </w:r>
      <w:r/>
    </w:p>
    <w:p>
      <w:pPr>
        <w:jc w:val="center"/>
        <w:spacing w:line="480" w:lineRule="auto"/>
        <w:rPr>
          <w:rFonts w:hint="eastAsia" w:ascii="宋体" w:hAnsi="宋体" w:cs="宋体"/>
          <w:color w:val="auto"/>
          <w:sz w:val="32"/>
          <w:highlight w:val="none"/>
        </w:rPr>
      </w:pPr>
      <w:r>
        <w:rPr>
          <w:rFonts w:hint="eastAsia" w:ascii="宋体" w:hAnsi="宋体" w:cs="宋体"/>
          <w:color w:val="auto"/>
          <w:sz w:val="32"/>
          <w:highlight w:val="none"/>
        </w:rPr>
        <w:t xml:space="preserve">目 录</w:t>
      </w:r>
      <w:r/>
    </w:p>
    <w:p>
      <w:pPr>
        <w:pStyle w:val="749"/>
        <w:spacing w:line="360" w:lineRule="auto"/>
        <w:tabs>
          <w:tab w:val="right" w:pos="8306" w:leader="dot"/>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TOC \o "1-3" \f </w:instrText>
      </w:r>
      <w:r>
        <w:rPr>
          <w:rFonts w:hint="eastAsia" w:ascii="宋体" w:hAnsi="宋体" w:cs="宋体"/>
          <w:color w:val="auto"/>
          <w:szCs w:val="21"/>
          <w:highlight w:val="none"/>
        </w:rPr>
        <w:fldChar w:fldCharType="separate"/>
      </w:r>
      <w:r>
        <w:rPr>
          <w:rFonts w:hint="eastAsia"/>
          <w:color w:val="auto"/>
          <w:highlight w:val="none"/>
        </w:rPr>
        <w:t xml:space="preserve">第一章 </w:t>
      </w:r>
      <w:r>
        <w:rPr>
          <w:rFonts w:hint="eastAsia"/>
          <w:color w:val="auto"/>
          <w:highlight w:val="none"/>
          <w:lang w:val="en-US" w:eastAsia="zh-CN"/>
        </w:rPr>
        <w:t xml:space="preserve">投标邀请</w:t>
      </w:r>
      <w:r>
        <w:rPr>
          <w:color w:val="auto"/>
          <w:highlight w:val="none"/>
        </w:rPr>
        <w:tab/>
      </w:r>
      <w:r>
        <w:rPr>
          <w:color w:val="auto"/>
          <w:highlight w:val="none"/>
        </w:rPr>
        <w:fldChar w:fldCharType="begin"/>
      </w:r>
      <w:r>
        <w:rPr>
          <w:color w:val="auto"/>
          <w:highlight w:val="none"/>
        </w:rPr>
        <w:instrText xml:space="preserve"> PAGEREF _Toc30208 \h </w:instrText>
      </w:r>
      <w:r>
        <w:rPr>
          <w:color w:val="auto"/>
          <w:highlight w:val="none"/>
        </w:rPr>
        <w:fldChar w:fldCharType="separate"/>
      </w:r>
      <w:r>
        <w:rPr>
          <w:color w:val="auto"/>
          <w:highlight w:val="none"/>
        </w:rPr>
        <w:t xml:space="preserve">1</w:t>
      </w:r>
      <w:r>
        <w:rPr>
          <w:color w:val="auto"/>
          <w:highlight w:val="none"/>
        </w:rPr>
        <w:fldChar w:fldCharType="end"/>
      </w:r>
      <w:r/>
    </w:p>
    <w:p>
      <w:pPr>
        <w:pStyle w:val="749"/>
        <w:spacing w:line="360" w:lineRule="auto"/>
        <w:tabs>
          <w:tab w:val="right" w:pos="8306" w:leader="dot"/>
        </w:tabs>
        <w:rPr>
          <w:color w:val="auto"/>
          <w:highlight w:val="none"/>
        </w:rPr>
      </w:pPr>
      <w:r>
        <w:rPr>
          <w:rFonts w:hint="eastAsia"/>
          <w:color w:val="auto"/>
          <w:highlight w:val="none"/>
        </w:rPr>
        <w:t xml:space="preserve">第二章 投标人须知</w:t>
      </w:r>
      <w:r>
        <w:rPr>
          <w:color w:val="auto"/>
          <w:highlight w:val="none"/>
        </w:rPr>
        <w:tab/>
      </w:r>
      <w:r>
        <w:rPr>
          <w:rFonts w:hint="eastAsia"/>
          <w:color w:val="auto"/>
          <w:highlight w:val="none"/>
        </w:rPr>
        <w:t xml:space="preserve">6</w:t>
      </w:r>
      <w:r/>
    </w:p>
    <w:p>
      <w:pPr>
        <w:pStyle w:val="749"/>
        <w:spacing w:line="360" w:lineRule="auto"/>
        <w:tabs>
          <w:tab w:val="right" w:pos="8306" w:leader="dot"/>
        </w:tabs>
        <w:rPr>
          <w:color w:val="auto"/>
          <w:highlight w:val="none"/>
        </w:rPr>
      </w:pPr>
      <w:r>
        <w:rPr>
          <w:rFonts w:hint="eastAsia"/>
          <w:color w:val="auto"/>
          <w:highlight w:val="none"/>
        </w:rPr>
        <w:t xml:space="preserve">第三章 合同条款及格式</w:t>
      </w:r>
      <w:r>
        <w:rPr>
          <w:color w:val="auto"/>
          <w:highlight w:val="none"/>
        </w:rPr>
        <w:tab/>
      </w:r>
      <w:r>
        <w:rPr>
          <w:rFonts w:hint="eastAsia"/>
          <w:color w:val="auto"/>
          <w:highlight w:val="none"/>
        </w:rPr>
        <w:t xml:space="preserve">18</w:t>
      </w:r>
      <w:r/>
    </w:p>
    <w:p>
      <w:pPr>
        <w:pStyle w:val="749"/>
        <w:spacing w:line="360" w:lineRule="auto"/>
        <w:tabs>
          <w:tab w:val="right" w:pos="8306" w:leader="dot"/>
        </w:tabs>
        <w:rPr>
          <w:color w:val="auto"/>
          <w:highlight w:val="none"/>
        </w:rPr>
      </w:pPr>
      <w:r>
        <w:rPr>
          <w:rFonts w:hint="eastAsia"/>
          <w:color w:val="auto"/>
          <w:highlight w:val="none"/>
        </w:rPr>
        <w:t xml:space="preserve">第四章 项目需求</w:t>
      </w:r>
      <w:r>
        <w:rPr>
          <w:color w:val="auto"/>
          <w:highlight w:val="none"/>
        </w:rPr>
        <w:tab/>
      </w:r>
      <w:r>
        <w:rPr>
          <w:rFonts w:hint="eastAsia"/>
          <w:color w:val="auto"/>
          <w:highlight w:val="none"/>
        </w:rPr>
        <w:t xml:space="preserve">25</w:t>
      </w:r>
      <w:r/>
    </w:p>
    <w:p>
      <w:pPr>
        <w:pStyle w:val="749"/>
        <w:spacing w:line="360" w:lineRule="auto"/>
        <w:tabs>
          <w:tab w:val="right" w:pos="8306" w:leader="dot"/>
        </w:tabs>
        <w:rPr>
          <w:color w:val="auto"/>
          <w:highlight w:val="none"/>
        </w:rPr>
      </w:pPr>
      <w:r>
        <w:rPr>
          <w:rFonts w:hint="eastAsia"/>
          <w:color w:val="auto"/>
          <w:highlight w:val="none"/>
        </w:rPr>
        <w:t xml:space="preserve">第五章 评标方法及评标标准</w:t>
      </w:r>
      <w:r>
        <w:rPr>
          <w:color w:val="auto"/>
          <w:highlight w:val="none"/>
        </w:rPr>
        <w:tab/>
      </w:r>
      <w:r>
        <w:rPr>
          <w:rFonts w:hint="eastAsia"/>
          <w:color w:val="auto"/>
          <w:highlight w:val="none"/>
        </w:rPr>
        <w:t xml:space="preserve">36</w:t>
      </w:r>
      <w:r/>
    </w:p>
    <w:p>
      <w:pPr>
        <w:pStyle w:val="749"/>
        <w:spacing w:line="360" w:lineRule="auto"/>
        <w:tabs>
          <w:tab w:val="right" w:pos="8306" w:leader="dot"/>
        </w:tabs>
        <w:rPr>
          <w:color w:val="auto"/>
          <w:highlight w:val="none"/>
        </w:rPr>
      </w:pPr>
      <w:r>
        <w:rPr>
          <w:rFonts w:hint="eastAsia"/>
          <w:color w:val="auto"/>
          <w:highlight w:val="none"/>
        </w:rPr>
        <w:t xml:space="preserve">第六章 投标文件格式</w:t>
      </w:r>
      <w:r>
        <w:rPr>
          <w:color w:val="auto"/>
          <w:highlight w:val="none"/>
        </w:rPr>
        <w:tab/>
      </w:r>
      <w:r>
        <w:rPr>
          <w:rFonts w:hint="eastAsia"/>
          <w:color w:val="auto"/>
          <w:highlight w:val="none"/>
        </w:rPr>
        <w:t xml:space="preserve">42</w:t>
      </w:r>
      <w:r/>
    </w:p>
    <w:p>
      <w:pPr>
        <w:pStyle w:val="755"/>
        <w:tabs>
          <w:tab w:val="right" w:pos="8306" w:leader="dot"/>
        </w:tabs>
        <w:rPr>
          <w:color w:val="auto"/>
          <w:highlight w:val="none"/>
        </w:rPr>
      </w:pP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fldChar w:fldCharType="end"/>
      </w:r>
      <w:r/>
    </w:p>
    <w:p>
      <w:pPr>
        <w:pStyle w:val="724"/>
        <w:rPr>
          <w:rFonts w:hint="eastAsia"/>
          <w:color w:val="auto"/>
          <w:highlight w:val="none"/>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olor w:val="auto"/>
          <w:highlight w:val="none"/>
        </w:rPr>
      </w:r>
      <w:r/>
    </w:p>
    <w:p>
      <w:pPr>
        <w:pStyle w:val="724"/>
        <w:rPr>
          <w:rFonts w:hint="default" w:eastAsia="宋体"/>
          <w:color w:val="auto"/>
          <w:highlight w:val="none"/>
          <w:lang w:val="en-US" w:eastAsia="zh-CN"/>
        </w:rPr>
      </w:pPr>
      <w:r>
        <w:rPr>
          <w:rFonts w:hint="eastAsia"/>
          <w:color w:val="auto"/>
          <w:highlight w:val="none"/>
        </w:rPr>
        <w:t xml:space="preserve">第一章 </w:t>
      </w:r>
      <w:r>
        <w:rPr>
          <w:rFonts w:hint="eastAsia"/>
          <w:color w:val="auto"/>
          <w:highlight w:val="none"/>
          <w:lang w:val="en-US" w:eastAsia="zh-CN"/>
        </w:rPr>
        <w:t xml:space="preserve">投标邀请</w:t>
      </w:r>
      <w:r/>
    </w:p>
    <w:p>
      <w:pPr>
        <w:ind w:firstLine="420"/>
        <w:jc w:val="left"/>
        <w:pageBreakBefore w:val="0"/>
        <w:spacing w:line="360" w:lineRule="auto"/>
        <w:tabs>
          <w:tab w:val="left" w:pos="26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扬州高等职业技术学校</w:t>
      </w:r>
      <w:r>
        <w:rPr>
          <w:rFonts w:hint="eastAsia" w:ascii="宋体" w:hAnsi="宋体" w:cs="宋体"/>
          <w:color w:val="auto"/>
          <w:sz w:val="21"/>
          <w:szCs w:val="21"/>
          <w:highlight w:val="none"/>
        </w:rPr>
        <w:t xml:space="preserve">的委托，</w:t>
      </w:r>
      <w:r>
        <w:rPr>
          <w:rFonts w:hint="eastAsia" w:ascii="宋体" w:hAnsi="宋体" w:cs="宋体"/>
          <w:color w:val="auto"/>
          <w:sz w:val="21"/>
          <w:szCs w:val="21"/>
          <w:highlight w:val="none"/>
          <w:lang w:eastAsia="zh-CN"/>
        </w:rPr>
        <w:t xml:space="preserve">扬州大学工程设计研究院有限公司</w:t>
      </w:r>
      <w:r>
        <w:rPr>
          <w:rFonts w:hint="eastAsia" w:ascii="宋体" w:hAnsi="宋体" w:cs="宋体"/>
          <w:color w:val="auto"/>
          <w:sz w:val="21"/>
          <w:szCs w:val="21"/>
          <w:highlight w:val="none"/>
        </w:rPr>
        <w:t xml:space="preserve">就</w:t>
      </w:r>
      <w:r>
        <w:rPr>
          <w:rFonts w:hint="eastAsia" w:ascii="宋体" w:hAnsi="宋体" w:cs="宋体"/>
          <w:color w:val="auto"/>
          <w:sz w:val="21"/>
          <w:szCs w:val="21"/>
          <w:highlight w:val="none"/>
          <w:lang w:eastAsia="zh-CN"/>
        </w:rPr>
        <w:t xml:space="preserve">扬州高等职业技术学校学生宿舍床铺购置项目（二次）</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JSZC-321000-YZDX-G2026-0009</w:t>
      </w:r>
      <w:r>
        <w:rPr>
          <w:rFonts w:hint="eastAsia" w:ascii="宋体" w:hAnsi="宋体" w:cs="宋体"/>
          <w:color w:val="auto"/>
          <w:sz w:val="21"/>
          <w:szCs w:val="21"/>
          <w:highlight w:val="none"/>
          <w:lang w:val="en-US" w:eastAsia="zh-CN"/>
        </w:rPr>
        <w:t xml:space="preserve">号</w:t>
      </w:r>
      <w:r>
        <w:rPr>
          <w:rFonts w:hint="eastAsia" w:ascii="宋体" w:hAnsi="宋体" w:cs="宋体"/>
          <w:color w:val="auto"/>
          <w:sz w:val="21"/>
          <w:szCs w:val="21"/>
          <w:highlight w:val="none"/>
        </w:rPr>
        <w:t xml:space="preserve">)进行公开招标采购，欢迎符合条件的供应商投标。</w:t>
      </w:r>
      <w:r/>
    </w:p>
    <w:p>
      <w:pPr>
        <w:ind w:firstLine="422"/>
        <w:pageBreakBefore w:val="0"/>
        <w:spacing w:line="360" w:lineRule="auto"/>
        <w:rPr>
          <w:rFonts w:hint="eastAsia" w:ascii="宋体" w:hAnsi="宋体" w:cs="宋体"/>
          <w:b w:val="0"/>
          <w:bCs w:val="0"/>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val="0"/>
          <w:bCs w:val="0"/>
          <w:color w:val="auto"/>
          <w:sz w:val="21"/>
          <w:szCs w:val="21"/>
          <w:highlight w:val="none"/>
        </w:rPr>
        <w:t xml:space="preserve">项目概况</w:t>
      </w:r>
      <w:r/>
    </w:p>
    <w:p>
      <w:pPr>
        <w:ind w:firstLine="420"/>
        <w:pageBreakBefore w:val="0"/>
        <w:spacing w:line="360" w:lineRule="auto"/>
        <w:rPr>
          <w:rFonts w:hint="eastAsia" w:ascii="宋体" w:hAnsi="宋体" w:cs="宋体"/>
          <w:color w:val="auto"/>
          <w:sz w:val="21"/>
          <w:szCs w:val="21"/>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扬州高等职业技术学校学生宿舍床铺购置项目（二次）JSZC-321000-YZDX-G2026-0009</w:t>
      </w:r>
      <w:r>
        <w:rPr>
          <w:rFonts w:hint="eastAsia" w:ascii="宋体" w:hAnsi="宋体" w:cs="宋体"/>
          <w:color w:val="auto"/>
          <w:sz w:val="21"/>
          <w:szCs w:val="21"/>
          <w:highlight w:val="none"/>
          <w:u w:val="single"/>
          <w:lang w:val="en-US" w:eastAsia="zh-CN"/>
        </w:rPr>
        <w:t xml:space="preserve">号</w:t>
      </w:r>
      <w:r>
        <w:rPr>
          <w:rFonts w:hint="eastAsia" w:ascii="宋体" w:hAnsi="宋体" w:cs="宋体"/>
          <w:color w:val="auto"/>
          <w:sz w:val="21"/>
          <w:szCs w:val="21"/>
          <w:highlight w:val="none"/>
          <w:u w:val="none"/>
        </w:rPr>
        <w:t xml:space="preserve">招标项目的潜在投标人应在</w:t>
      </w:r>
      <w:r>
        <w:rPr>
          <w:rFonts w:hint="eastAsia" w:ascii="宋体" w:hAnsi="宋体" w:cs="宋体"/>
          <w:color w:val="auto"/>
          <w:sz w:val="21"/>
          <w:szCs w:val="21"/>
          <w:highlight w:val="none"/>
          <w:u w:val="single"/>
        </w:rPr>
        <w:t xml:space="preserve">“扬州市政府采购网”“江苏政府采购网”“中国政府采购网”自行免费下载</w:t>
      </w:r>
      <w:r>
        <w:rPr>
          <w:rFonts w:hint="eastAsia" w:ascii="宋体" w:hAnsi="宋体" w:cs="宋体"/>
          <w:color w:val="auto"/>
          <w:sz w:val="21"/>
          <w:szCs w:val="21"/>
          <w:highlight w:val="none"/>
          <w:u w:val="none"/>
        </w:rPr>
        <w:t xml:space="preserve">获取招标文件，并于</w:t>
      </w:r>
      <w:r>
        <w:rPr>
          <w:rFonts w:hint="eastAsia" w:ascii="宋体" w:hAnsi="宋体" w:cs="宋体"/>
          <w:color w:val="auto"/>
          <w:sz w:val="21"/>
          <w:szCs w:val="21"/>
          <w:highlight w:val="none"/>
          <w:u w:val="single"/>
        </w:rPr>
        <w:t xml:space="preserve">2026年</w:t>
      </w:r>
      <w:r>
        <w:rPr>
          <w:rFonts w:hint="eastAsia" w:ascii="宋体" w:hAnsi="宋体" w:cs="宋体"/>
          <w:color w:val="auto"/>
          <w:sz w:val="21"/>
          <w:szCs w:val="21"/>
          <w:highlight w:val="none"/>
          <w:u w:val="single"/>
          <w:lang w:val="en-US" w:eastAsia="zh-CN"/>
        </w:rPr>
        <w:t xml:space="preserve">8</w:t>
      </w:r>
      <w:r>
        <w:rPr>
          <w:rFonts w:hint="eastAsia" w:ascii="宋体" w:hAnsi="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10</w:t>
      </w:r>
      <w:r>
        <w:rPr>
          <w:rFonts w:hint="eastAsia" w:ascii="宋体" w:hAnsi="宋体" w:cs="宋体"/>
          <w:color w:val="auto"/>
          <w:sz w:val="21"/>
          <w:szCs w:val="21"/>
          <w:highlight w:val="none"/>
          <w:u w:val="single"/>
        </w:rPr>
        <w:t xml:space="preserve">日</w:t>
      </w:r>
      <w:r>
        <w:rPr>
          <w:rFonts w:hint="eastAsia" w:ascii="宋体" w:hAnsi="宋体" w:cs="宋体"/>
          <w:color w:val="auto"/>
          <w:sz w:val="21"/>
          <w:szCs w:val="21"/>
          <w:highlight w:val="none"/>
          <w:u w:val="single"/>
          <w:lang w:val="en-US" w:eastAsia="zh-CN"/>
        </w:rPr>
        <w:t xml:space="preserve">上午9</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30</w:t>
      </w:r>
      <w:r>
        <w:rPr>
          <w:rFonts w:hint="eastAsia" w:ascii="宋体" w:hAnsi="宋体" w:cs="宋体"/>
          <w:color w:val="auto"/>
          <w:sz w:val="21"/>
          <w:szCs w:val="21"/>
          <w:highlight w:val="none"/>
          <w:u w:val="single"/>
        </w:rPr>
        <w:t xml:space="preserve">（北京时间）</w:t>
      </w:r>
      <w:r>
        <w:rPr>
          <w:rFonts w:hint="eastAsia" w:ascii="宋体" w:hAnsi="宋体" w:cs="宋体"/>
          <w:color w:val="auto"/>
          <w:sz w:val="21"/>
          <w:szCs w:val="21"/>
          <w:highlight w:val="none"/>
          <w:u w:val="none"/>
        </w:rPr>
        <w:t xml:space="preserve">前递交投标文件。</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0" w:name="_Toc35393621"/>
      <w:r/>
      <w:bookmarkStart w:id="1" w:name="_Toc28359002"/>
      <w:r/>
      <w:bookmarkStart w:id="2" w:name="_Toc28359079"/>
      <w:r/>
      <w:bookmarkStart w:id="3" w:name="_Toc38985263"/>
      <w:r/>
      <w:bookmarkStart w:id="4" w:name="_Toc35393790"/>
      <w:r>
        <w:rPr>
          <w:rFonts w:hint="eastAsia" w:ascii="宋体" w:hAnsi="宋体" w:cs="宋体"/>
          <w:b/>
          <w:bCs/>
          <w:color w:val="auto"/>
          <w:sz w:val="21"/>
          <w:szCs w:val="21"/>
          <w:highlight w:val="none"/>
        </w:rPr>
        <w:t xml:space="preserve">一、项目基本情况</w:t>
      </w:r>
      <w:bookmarkEnd w:id="0"/>
      <w:r/>
      <w:bookmarkEnd w:id="1"/>
      <w:r/>
      <w:bookmarkEnd w:id="2"/>
      <w:r/>
      <w:bookmarkEnd w:id="3"/>
      <w:r/>
      <w:bookmarkEnd w:id="4"/>
      <w:r/>
      <w:r/>
    </w:p>
    <w:p>
      <w:pPr>
        <w:ind w:firstLine="420"/>
        <w:pageBreakBefore w:val="0"/>
        <w:spacing w:line="360" w:lineRule="auto"/>
        <w:rPr>
          <w:rFonts w:hint="default" w:ascii="宋体" w:hAnsi="宋体" w:cs="宋体"/>
          <w:color w:val="auto"/>
          <w:sz w:val="21"/>
          <w:szCs w:val="21"/>
          <w:highlight w:val="none"/>
          <w:lang w:val="en-US"/>
        </w:rPr>
      </w:pPr>
      <w:r>
        <w:rPr>
          <w:rFonts w:hint="eastAsia" w:ascii="宋体" w:hAnsi="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JSZC-321000-YZDX-G2026-0009</w:t>
      </w:r>
      <w:r>
        <w:rPr>
          <w:rFonts w:hint="eastAsia" w:ascii="宋体" w:hAnsi="宋体" w:cs="宋体"/>
          <w:color w:val="auto"/>
          <w:sz w:val="21"/>
          <w:szCs w:val="21"/>
          <w:highlight w:val="none"/>
          <w:lang w:val="en-US" w:eastAsia="zh-CN"/>
        </w:rPr>
        <w:t xml:space="preserve">号</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2.项目名称：</w:t>
      </w:r>
      <w:r>
        <w:rPr>
          <w:rFonts w:hint="eastAsia" w:ascii="宋体" w:hAnsi="宋体" w:cs="宋体"/>
          <w:color w:val="auto"/>
          <w:sz w:val="21"/>
          <w:szCs w:val="21"/>
          <w:highlight w:val="none"/>
          <w:lang w:eastAsia="zh-CN"/>
        </w:rPr>
        <w:t xml:space="preserve">扬州高等职业技术学校学生宿舍床铺购置项目（二次）</w:t>
      </w:r>
      <w:r/>
    </w:p>
    <w:p>
      <w:pPr>
        <w:ind w:firstLine="420"/>
        <w:pageBreakBefore w:val="0"/>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3.预算金额：</w:t>
      </w:r>
      <w:r/>
    </w:p>
    <w:tbl>
      <w:tblPr>
        <w:tblStyle w:val="734"/>
        <w:tblW w:w="5130" w:type="pct"/>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18"/>
        <w:gridCol w:w="6694"/>
      </w:tblGrid>
      <w:tr>
        <w:trPr/>
        <w:tc>
          <w:tcPr>
            <w:tcW w:w="1068"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3931"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预算</w:t>
            </w:r>
            <w:r>
              <w:rPr>
                <w:rFonts w:ascii="宋体" w:hAnsi="宋体"/>
                <w:color w:val="auto"/>
                <w:sz w:val="21"/>
                <w:szCs w:val="21"/>
                <w:highlight w:val="none"/>
              </w:rPr>
              <w:t xml:space="preserve">金额</w:t>
            </w:r>
            <w:r>
              <w:rPr>
                <w:rFonts w:hint="eastAsia" w:ascii="宋体" w:hAnsi="宋体"/>
                <w:color w:val="auto"/>
                <w:sz w:val="21"/>
                <w:szCs w:val="21"/>
                <w:highlight w:val="none"/>
              </w:rPr>
              <w:t xml:space="preserve">（人民币</w:t>
            </w:r>
            <w:r>
              <w:rPr>
                <w:rFonts w:ascii="宋体" w:hAnsi="宋体"/>
                <w:color w:val="auto"/>
                <w:sz w:val="21"/>
                <w:szCs w:val="21"/>
                <w:highlight w:val="none"/>
              </w:rPr>
              <w:t xml:space="preserve">：万元</w:t>
            </w:r>
            <w:r>
              <w:rPr>
                <w:rFonts w:hint="eastAsia" w:ascii="宋体" w:hAnsi="宋体"/>
                <w:color w:val="auto"/>
                <w:sz w:val="21"/>
                <w:szCs w:val="21"/>
                <w:highlight w:val="none"/>
              </w:rPr>
              <w:t xml:space="preserve">）</w:t>
            </w:r>
            <w:r/>
          </w:p>
        </w:tc>
      </w:tr>
      <w:tr>
        <w:trPr/>
        <w:tc>
          <w:tcPr>
            <w:tcW w:w="1068"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3931" w:type="pct"/>
            <w:textDirection w:val="lrTb"/>
            <w:noWrap w:val="false"/>
          </w:tcPr>
          <w:p>
            <w:pPr>
              <w:ind w:firstLine="420"/>
              <w:jc w:val="center"/>
              <w:pageBreakBefore w:val="0"/>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198.30</w:t>
            </w:r>
            <w:r/>
          </w:p>
        </w:tc>
      </w:tr>
    </w:tbl>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4.本项目</w:t>
      </w:r>
      <w:r>
        <w:rPr>
          <w:rFonts w:hint="eastAsia" w:ascii="宋体" w:hAnsi="宋体" w:cs="宋体"/>
          <w:color w:val="auto"/>
          <w:sz w:val="21"/>
          <w:szCs w:val="21"/>
          <w:highlight w:val="none"/>
          <w:u w:val="single"/>
        </w:rPr>
        <w:t xml:space="preserve">设置</w:t>
      </w:r>
      <w:r>
        <w:rPr>
          <w:rFonts w:hint="eastAsia" w:ascii="宋体" w:hAnsi="宋体" w:cs="宋体"/>
          <w:color w:val="auto"/>
          <w:sz w:val="21"/>
          <w:szCs w:val="21"/>
          <w:highlight w:val="none"/>
        </w:rPr>
        <w:t xml:space="preserve">最高限价：</w:t>
      </w:r>
      <w:r/>
    </w:p>
    <w:tbl>
      <w:tblPr>
        <w:tblStyle w:val="734"/>
        <w:tblW w:w="5112" w:type="pct"/>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2"/>
        <w:gridCol w:w="2727"/>
        <w:gridCol w:w="4323"/>
      </w:tblGrid>
      <w:tr>
        <w:trPr/>
        <w:tc>
          <w:tcPr>
            <w:tcW w:w="844" w:type="pct"/>
            <w:vAlign w:val="center"/>
            <w:textDirection w:val="lrTb"/>
            <w:noWrap w:val="false"/>
          </w:tcPr>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1607" w:type="pct"/>
            <w:vAlign w:val="center"/>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设定最高</w:t>
            </w:r>
            <w:r>
              <w:rPr>
                <w:rFonts w:hint="eastAsia" w:ascii="宋体" w:hAnsi="宋体"/>
                <w:color w:val="auto"/>
                <w:sz w:val="21"/>
                <w:szCs w:val="21"/>
                <w:highlight w:val="none"/>
              </w:rPr>
              <w:t xml:space="preserve">限价</w:t>
            </w:r>
            <w:r/>
          </w:p>
          <w:p>
            <w:pPr>
              <w:ind w:firstLine="420"/>
              <w:jc w:val="center"/>
              <w:pageBreakBefore w:val="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w:t>
            </w:r>
            <w:r/>
          </w:p>
        </w:tc>
        <w:tc>
          <w:tcPr>
            <w:tcW w:w="2547" w:type="pct"/>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最高</w:t>
            </w:r>
            <w:r>
              <w:rPr>
                <w:rFonts w:ascii="宋体" w:hAnsi="宋体"/>
                <w:color w:val="auto"/>
                <w:sz w:val="21"/>
                <w:szCs w:val="21"/>
                <w:highlight w:val="none"/>
              </w:rPr>
              <w:t xml:space="preserve">限价</w:t>
            </w:r>
            <w:r/>
          </w:p>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（人民币</w:t>
            </w:r>
            <w:r>
              <w:rPr>
                <w:rFonts w:ascii="宋体" w:hAnsi="宋体"/>
                <w:color w:val="auto"/>
                <w:sz w:val="21"/>
                <w:szCs w:val="21"/>
                <w:highlight w:val="none"/>
              </w:rPr>
              <w:t xml:space="preserve">：万元</w:t>
            </w:r>
            <w:r>
              <w:rPr>
                <w:rFonts w:hint="eastAsia" w:ascii="宋体" w:hAnsi="宋体"/>
                <w:color w:val="auto"/>
                <w:sz w:val="21"/>
                <w:szCs w:val="21"/>
                <w:highlight w:val="none"/>
              </w:rPr>
              <w:t xml:space="preserve">）</w:t>
            </w:r>
            <w:r/>
          </w:p>
        </w:tc>
      </w:tr>
      <w:tr>
        <w:trPr/>
        <w:tc>
          <w:tcPr>
            <w:tcW w:w="844"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1607"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是</w:t>
            </w:r>
            <w:r/>
          </w:p>
        </w:tc>
        <w:tc>
          <w:tcPr>
            <w:tcW w:w="2547" w:type="pct"/>
            <w:textDirection w:val="lrTb"/>
            <w:noWrap w:val="false"/>
          </w:tcPr>
          <w:p>
            <w:pPr>
              <w:ind w:firstLine="420"/>
              <w:jc w:val="center"/>
              <w:pageBreakBefore w:val="0"/>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198.30</w:t>
            </w:r>
            <w:r/>
          </w:p>
        </w:tc>
      </w:tr>
    </w:tbl>
    <w:p>
      <w:pPr>
        <w:ind w:firstLine="420"/>
        <w:pageBreakBefore w:val="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5.采购需求：</w:t>
      </w:r>
      <w:r>
        <w:rPr>
          <w:rFonts w:hint="eastAsia" w:ascii="宋体" w:hAnsi="宋体" w:cs="宋体"/>
          <w:color w:val="auto"/>
          <w:sz w:val="21"/>
          <w:szCs w:val="21"/>
          <w:highlight w:val="none"/>
          <w:lang w:val="en-US" w:eastAsia="zh-CN"/>
        </w:rPr>
        <w:t xml:space="preserve">本项目包含244间宿舍，共计488套（每套含上床下桌两组+走梯一组+椅子两把）组合床供货、安装及相关配套整理工作,详细要求详见本招标文件第四章</w:t>
      </w:r>
      <w:r>
        <w:rPr>
          <w:rFonts w:hint="eastAsia" w:ascii="宋体" w:hAnsi="宋体" w:cs="宋体"/>
          <w:color w:val="auto"/>
          <w:sz w:val="21"/>
          <w:szCs w:val="21"/>
          <w:highlight w:val="none"/>
        </w:rPr>
        <w:t xml:space="preserve">。</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6.合同履行期限：</w:t>
      </w:r>
      <w:r>
        <w:rPr>
          <w:rFonts w:hint="eastAsia" w:ascii="宋体" w:hAnsi="宋体" w:cs="宋体"/>
          <w:color w:val="auto"/>
          <w:sz w:val="21"/>
          <w:szCs w:val="21"/>
          <w:highlight w:val="none"/>
          <w:lang w:val="en-US" w:eastAsia="zh-CN"/>
        </w:rPr>
        <w:t xml:space="preserve">自合同签订后40个日历天内完成全部家具供货安装及配套服务、现场垃圾清运保洁、竣工报验及验收等全部工作</w:t>
      </w:r>
      <w:r>
        <w:rPr>
          <w:rFonts w:hint="eastAsia" w:ascii="宋体" w:hAnsi="宋体" w:cs="宋体"/>
          <w:color w:val="auto"/>
          <w:sz w:val="21"/>
          <w:szCs w:val="21"/>
          <w:highlight w:val="none"/>
        </w:rPr>
        <w:t xml:space="preserve">。  </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5" w:name="_Toc35393622"/>
      <w:r/>
      <w:bookmarkStart w:id="6" w:name="_Toc38985264"/>
      <w:r/>
      <w:bookmarkStart w:id="7" w:name="_Toc28359080"/>
      <w:r/>
      <w:bookmarkStart w:id="8" w:name="_Toc35393791"/>
      <w:r/>
      <w:bookmarkStart w:id="9" w:name="_Toc28359003"/>
      <w:r>
        <w:rPr>
          <w:rFonts w:hint="eastAsia" w:ascii="宋体" w:hAnsi="宋体" w:cs="宋体"/>
          <w:b/>
          <w:bCs/>
          <w:color w:val="auto"/>
          <w:sz w:val="21"/>
          <w:szCs w:val="21"/>
          <w:highlight w:val="none"/>
        </w:rPr>
        <w:t xml:space="preserve">二、申请人的资格要求：</w:t>
      </w:r>
      <w:bookmarkEnd w:id="5"/>
      <w:r/>
      <w:bookmarkEnd w:id="6"/>
      <w:r/>
      <w:bookmarkEnd w:id="7"/>
      <w:r/>
      <w:bookmarkEnd w:id="8"/>
      <w:r/>
      <w:bookmarkEnd w:id="9"/>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（一）通用资格要求</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1.满足《中华人民共和国政府采购法》第二十二条规定：</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1.1法人或者其他组织的营业执照等证明文件，自然人的身份证明；</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1.2 上一年度的财务状况报告（成立不满一年不需提供）</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rPr>
        <w:t xml:space="preserve">1.3 依法缴纳税收和社会保障资金的相关材料；</w:t>
      </w:r>
      <w:r>
        <w:rPr>
          <w:rFonts w:hint="eastAsia" w:ascii="宋体" w:hAnsi="宋体" w:cs="宋体"/>
          <w:b w:val="0"/>
          <w:bCs w:val="0"/>
          <w:i/>
          <w:iCs/>
          <w:color w:val="auto"/>
          <w:sz w:val="21"/>
          <w:szCs w:val="21"/>
          <w:highlight w:val="none"/>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rPr>
        <w:t xml:space="preserve">1.4 具备履行合同所必需的设备和专业技术能力的书面声明；</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1.5 参加政府采购活动前3年内在经营活动中没有重大违法记录的书面声明；</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1.6 供应商信用承诺书；</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lang w:val="en-US" w:eastAsia="zh-CN"/>
        </w:rPr>
        <w:t xml:space="preserve">2.</w:t>
      </w:r>
      <w:r>
        <w:rPr>
          <w:rFonts w:hint="eastAsia" w:ascii="宋体" w:hAnsi="宋体" w:cs="宋体"/>
          <w:i/>
          <w:iCs/>
          <w:color w:val="auto"/>
          <w:sz w:val="21"/>
          <w:szCs w:val="21"/>
          <w:highlight w:val="none"/>
          <w:u w:val="single"/>
        </w:rPr>
        <w:t xml:space="preserve">未被“信用中国”网站（www.creditchina.gov.cn）、“中国政府采购网</w:t>
      </w:r>
      <w:r>
        <w:rPr>
          <w:rFonts w:hint="eastAsia" w:ascii="宋体" w:hAnsi="宋体" w:cs="宋体"/>
          <w:i/>
          <w:iCs/>
          <w:color w:val="auto"/>
          <w:sz w:val="21"/>
          <w:szCs w:val="21"/>
          <w:highlight w:val="none"/>
          <w:u w:val="single"/>
          <w:lang w:eastAsia="zh-CN"/>
        </w:rPr>
        <w:t xml:space="preserve">”</w:t>
      </w:r>
      <w:r>
        <w:rPr>
          <w:rFonts w:hint="eastAsia" w:ascii="宋体" w:hAnsi="宋体" w:cs="宋体"/>
          <w:i/>
          <w:iCs/>
          <w:color w:val="auto"/>
          <w:sz w:val="21"/>
          <w:szCs w:val="21"/>
          <w:highlight w:val="none"/>
          <w:u w:val="single"/>
        </w:rPr>
        <w:t xml:space="preserve">(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.落实政府采购政策需满足的资格要求：</w:t>
      </w:r>
      <w:r>
        <w:rPr>
          <w:rFonts w:hint="eastAsia" w:ascii="宋体" w:hAnsi="宋体" w:cs="宋体"/>
          <w:i/>
          <w:iCs/>
          <w:color w:val="auto"/>
          <w:sz w:val="21"/>
          <w:szCs w:val="21"/>
          <w:highlight w:val="none"/>
          <w:u w:val="single"/>
        </w:rPr>
        <w:t xml:space="preserve">本项目专门面向中小</w:t>
      </w:r>
      <w:r>
        <w:rPr>
          <w:rFonts w:hint="eastAsia" w:ascii="宋体" w:hAnsi="宋体" w:cs="宋体"/>
          <w:i/>
          <w:iCs/>
          <w:color w:val="auto"/>
          <w:sz w:val="21"/>
          <w:szCs w:val="21"/>
          <w:highlight w:val="none"/>
          <w:u w:val="single"/>
          <w:lang w:val="en-US" w:eastAsia="zh-CN"/>
        </w:rPr>
        <w:t xml:space="preserve">微</w:t>
      </w:r>
      <w:r>
        <w:rPr>
          <w:rFonts w:hint="eastAsia" w:ascii="宋体" w:hAnsi="宋体" w:cs="宋体"/>
          <w:i/>
          <w:iCs/>
          <w:color w:val="auto"/>
          <w:sz w:val="21"/>
          <w:szCs w:val="21"/>
          <w:highlight w:val="none"/>
          <w:u w:val="single"/>
        </w:rPr>
        <w:t xml:space="preserve">企业采购。残疾人福利性单位、监狱和戒毒企业（简称监狱企业）视同小型、微型企业。</w:t>
      </w:r>
      <w:r>
        <w:rPr>
          <w:rFonts w:hint="eastAsia" w:ascii="宋体" w:hAnsi="宋体" w:cs="宋体"/>
          <w:b w:val="0"/>
          <w:bCs w:val="0"/>
          <w:i/>
          <w:iCs/>
          <w:color w:val="auto"/>
          <w:sz w:val="21"/>
          <w:szCs w:val="21"/>
          <w:highlight w:val="none"/>
          <w:u w:val="single"/>
        </w:rPr>
        <w:t xml:space="preserve">（</w:t>
      </w:r>
      <w:r>
        <w:rPr>
          <w:rFonts w:hint="eastAsia" w:ascii="宋体" w:hAnsi="宋体" w:cs="宋体"/>
          <w:b w:val="0"/>
          <w:bCs w:val="0"/>
          <w:i/>
          <w:iCs/>
          <w:color w:val="auto"/>
          <w:sz w:val="21"/>
          <w:szCs w:val="21"/>
          <w:highlight w:val="none"/>
          <w:u w:val="single"/>
          <w:lang w:val="en-US" w:eastAsia="zh-CN"/>
        </w:rPr>
        <w:t xml:space="preserve">投标人</w:t>
      </w:r>
      <w:r>
        <w:rPr>
          <w:rFonts w:hint="eastAsia" w:ascii="宋体" w:hAnsi="宋体" w:cs="宋体"/>
          <w:b w:val="0"/>
          <w:bCs w:val="0"/>
          <w:i/>
          <w:iCs/>
          <w:color w:val="auto"/>
          <w:sz w:val="21"/>
          <w:szCs w:val="21"/>
          <w:highlight w:val="none"/>
          <w:u w:val="single"/>
        </w:rPr>
        <w:t xml:space="preserve">按要求填写并提供《中小企业声明函》或《残疾人福利性单位声明函》，或提供由省级以上监狱管理局、戒毒管理局(含新疆生产建设兵团)出具的属于监狱企业的证明文件。）</w:t>
      </w:r>
      <w:r/>
    </w:p>
    <w:p>
      <w:pPr>
        <w:ind w:firstLine="420"/>
        <w:pageBreakBefore w:val="0"/>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.联合体投标</w:t>
      </w:r>
      <w:r/>
    </w:p>
    <w:tbl>
      <w:tblPr>
        <w:tblStyle w:val="73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3"/>
        <w:gridCol w:w="3018"/>
        <w:gridCol w:w="3782"/>
      </w:tblGrid>
      <w:tr>
        <w:trPr>
          <w:jc w:val="center"/>
        </w:trPr>
        <w:tc>
          <w:tcPr>
            <w:tcW w:w="900" w:type="pct"/>
            <w:vAlign w:val="center"/>
            <w:textDirection w:val="lrTb"/>
            <w:noWrap w:val="false"/>
          </w:tcPr>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1819" w:type="pct"/>
            <w:vAlign w:val="center"/>
            <w:textDirection w:val="lrTb"/>
            <w:noWrap w:val="false"/>
          </w:tcPr>
          <w:p>
            <w:pPr>
              <w:ind w:firstLine="48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是否接受联合体</w:t>
            </w:r>
            <w:r>
              <w:rPr>
                <w:rFonts w:ascii="宋体" w:hAnsi="宋体"/>
                <w:color w:val="auto"/>
                <w:sz w:val="21"/>
                <w:szCs w:val="21"/>
                <w:highlight w:val="none"/>
              </w:rPr>
              <w:t xml:space="preserve">投标</w:t>
            </w:r>
            <w:r/>
          </w:p>
          <w:p>
            <w:pPr>
              <w:ind w:firstLine="480"/>
              <w:jc w:val="center"/>
              <w:pageBreakBefore w:val="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w:t>
            </w:r>
            <w:r/>
          </w:p>
        </w:tc>
        <w:tc>
          <w:tcPr>
            <w:tcW w:w="2279" w:type="pct"/>
            <w:vAlign w:val="center"/>
            <w:textDirection w:val="lrTb"/>
            <w:noWrap w:val="false"/>
          </w:tcPr>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该采购包中</w:t>
            </w:r>
            <w:r>
              <w:rPr>
                <w:rFonts w:ascii="宋体" w:hAnsi="宋体"/>
                <w:color w:val="auto"/>
                <w:sz w:val="21"/>
                <w:szCs w:val="21"/>
                <w:highlight w:val="none"/>
              </w:rPr>
              <w:t xml:space="preserve">联合体成员数量</w:t>
            </w:r>
            <w:r>
              <w:rPr>
                <w:rFonts w:hint="eastAsia" w:ascii="宋体" w:hAnsi="宋体"/>
                <w:color w:val="auto"/>
                <w:sz w:val="21"/>
                <w:szCs w:val="21"/>
                <w:highlight w:val="none"/>
              </w:rPr>
              <w:t xml:space="preserve">上限</w:t>
            </w:r>
            <w:r/>
          </w:p>
        </w:tc>
      </w:tr>
      <w:tr>
        <w:trPr>
          <w:jc w:val="center"/>
        </w:trPr>
        <w:tc>
          <w:tcPr>
            <w:tcW w:w="900" w:type="pct"/>
            <w:textDirection w:val="lrTb"/>
            <w:noWrap w:val="false"/>
          </w:tcPr>
          <w:p>
            <w:pPr>
              <w:ind w:firstLine="480"/>
              <w:jc w:val="both"/>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1819" w:type="pct"/>
            <w:textDirection w:val="lrTb"/>
            <w:noWrap w:val="false"/>
          </w:tcPr>
          <w:p>
            <w:pPr>
              <w:ind w:firstLine="48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否</w:t>
            </w:r>
            <w:r/>
          </w:p>
        </w:tc>
        <w:tc>
          <w:tcPr>
            <w:tcW w:w="2279" w:type="pct"/>
            <w:textDirection w:val="lrTb"/>
            <w:noWrap w:val="false"/>
          </w:tcPr>
          <w:p>
            <w:pPr>
              <w:ind w:firstLine="48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w:t>
            </w:r>
            <w:r/>
          </w:p>
        </w:tc>
      </w:tr>
    </w:tbl>
    <w:p>
      <w:pPr>
        <w:ind w:firstLine="42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5.进口产品投标</w:t>
      </w:r>
      <w:r/>
    </w:p>
    <w:tbl>
      <w:tblPr>
        <w:tblStyle w:val="734"/>
        <w:tblW w:w="83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7"/>
        <w:gridCol w:w="7142"/>
      </w:tblGrid>
      <w:tr>
        <w:trPr>
          <w:jc w:val="center"/>
          <w:trHeight w:val="372"/>
        </w:trPr>
        <w:tc>
          <w:tcPr>
            <w:tcW w:w="1187" w:type="dxa"/>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7142" w:type="dxa"/>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是否接受进口产品</w:t>
            </w:r>
            <w:r>
              <w:rPr>
                <w:rFonts w:ascii="宋体" w:hAnsi="宋体"/>
                <w:color w:val="auto"/>
                <w:sz w:val="21"/>
                <w:szCs w:val="21"/>
                <w:highlight w:val="none"/>
              </w:rPr>
              <w:t xml:space="preserve">投标（</w:t>
            </w: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w:t>
            </w:r>
            <w:r/>
          </w:p>
        </w:tc>
      </w:tr>
      <w:tr>
        <w:trPr>
          <w:jc w:val="center"/>
        </w:trPr>
        <w:tc>
          <w:tcPr>
            <w:tcW w:w="1187" w:type="dxa"/>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7142" w:type="dxa"/>
            <w:textDirection w:val="lrTb"/>
            <w:noWrap w:val="false"/>
          </w:tcPr>
          <w:p>
            <w:pPr>
              <w:jc w:val="cente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否</w:t>
            </w:r>
            <w:r/>
          </w:p>
        </w:tc>
      </w:tr>
    </w:tbl>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（二）本项目的特定资格要求：</w:t>
      </w:r>
      <w:r/>
    </w:p>
    <w:tbl>
      <w:tblPr>
        <w:tblStyle w:val="734"/>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4"/>
        <w:gridCol w:w="7019"/>
      </w:tblGrid>
      <w:tr>
        <w:trPr>
          <w:jc w:val="center"/>
          <w:trHeight w:val="512"/>
        </w:trPr>
        <w:tc>
          <w:tcPr>
            <w:tcW w:w="763"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采购包号</w:t>
            </w:r>
            <w:r/>
          </w:p>
        </w:tc>
        <w:tc>
          <w:tcPr>
            <w:tcW w:w="4236"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特定资格要求</w:t>
            </w:r>
            <w:r/>
          </w:p>
        </w:tc>
      </w:tr>
      <w:tr>
        <w:trPr>
          <w:jc w:val="center"/>
        </w:trPr>
        <w:tc>
          <w:tcPr>
            <w:tcW w:w="763" w:type="pct"/>
            <w:vAlign w:val="center"/>
            <w:textDirection w:val="lrTb"/>
            <w:noWrap w:val="false"/>
          </w:tcPr>
          <w:p>
            <w:pPr>
              <w:ind w:firstLine="420"/>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4236"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无</w:t>
            </w:r>
            <w:r/>
          </w:p>
        </w:tc>
      </w:tr>
    </w:tbl>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（三）其它资格条件：</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（2）凡为采购项目提供整体设计、规范编制或者项目管理、监理、检测等服务的供应商，不得再参加本项目的采购活动；</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三、获取招标文件</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1.时间：自招标文件公告发布之日起5个工作日。5个工作日后仍可下载招标文件，但不作为供应商权益受到损害的证明材料和依据。</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2.获取方式：“扬州市政府采购网”“江苏政府采购网”和“中国政府采购网”自行免费下载。</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3.潜在供应商访问政府采购管理交易系统（苏采云）的网络地址和方法：</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（1）潜在供应商访问政府采购管理交易系统（苏采云）的方法：“苏采云”系统用户注册</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获取“CA数字证书”--CA绑定与登录--网上报名</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下载采购文件（后缀名为</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kedt”）--将后缀名为</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kedt”的采购文件导入政府采购客户端工具</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制作投标文件</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导出加密的投标文件（后缀名为zip）--通过“苏采云”系统上传投标文件。</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（3）“CA数字证书”的办理材料以及供应商操作手册详见：</w:t>
      </w:r>
      <w:r/>
    </w:p>
    <w:p>
      <w:pPr>
        <w:ind w:firstLine="422"/>
        <w:jc w:val="left"/>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http</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//zfcg.yangzhou.gov.cn/xzzx/art/2023/art_4d7de1f7865f4a2894fc22bc452f94d8.html</w:t>
      </w:r>
      <w:r>
        <w:rPr>
          <w:rFonts w:hint="eastAsia" w:ascii="宋体" w:hAnsi="宋体" w:cs="宋体"/>
          <w:b w:val="0"/>
          <w:bCs w:val="0"/>
          <w:color w:val="auto"/>
          <w:sz w:val="21"/>
          <w:szCs w:val="21"/>
          <w:highlight w:val="none"/>
          <w:lang w:eastAsia="zh-CN"/>
        </w:rPr>
        <w:t xml:space="preserve">.</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（4）潜在供应商访问“苏采云”系统的网络地址和方法：“苏采云”系统的网址：http：//jszfcg.jsczt.cn/。</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（6）招标代理机构（采购代理机构）将数据电文形式的采购文件加载至“苏采云”系统，供潜在供应商下载或者查阅。     </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（7）苏采云系统使用谷歌浏览器参与不见面开标。</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四、提交投标文件截止时间、开标时间和地点</w:t>
      </w:r>
      <w:r/>
    </w:p>
    <w:p>
      <w:pPr>
        <w:ind w:firstLine="420"/>
        <w:pageBreakBefore w:val="0"/>
        <w:spacing w:line="360" w:lineRule="auto"/>
        <w:rPr>
          <w:rFonts w:hint="eastAsia" w:ascii="宋体" w:hAnsi="宋体" w:cs="宋体"/>
          <w:bCs/>
          <w:color w:val="auto"/>
          <w:sz w:val="21"/>
          <w:szCs w:val="21"/>
          <w:highlight w:val="none"/>
          <w:u w:val="single"/>
        </w:rPr>
      </w:pPr>
      <w:r>
        <w:rPr>
          <w:rFonts w:hint="eastAsia" w:ascii="宋体" w:hAnsi="宋体" w:cs="宋体"/>
          <w:color w:val="auto"/>
          <w:sz w:val="21"/>
          <w:szCs w:val="21"/>
          <w:highlight w:val="none"/>
        </w:rPr>
        <w:t xml:space="preserve">1.时间：</w:t>
      </w:r>
      <w:r>
        <w:rPr>
          <w:rFonts w:hint="eastAsia" w:ascii="宋体" w:hAnsi="宋体" w:cs="宋体"/>
          <w:color w:val="auto"/>
          <w:sz w:val="21"/>
          <w:szCs w:val="21"/>
          <w:highlight w:val="none"/>
          <w:u w:val="single"/>
        </w:rPr>
        <w:t xml:space="preserve">2026年</w:t>
      </w:r>
      <w:r>
        <w:rPr>
          <w:rFonts w:hint="eastAsia" w:ascii="宋体" w:hAnsi="宋体" w:cs="宋体"/>
          <w:color w:val="auto"/>
          <w:sz w:val="21"/>
          <w:szCs w:val="21"/>
          <w:highlight w:val="none"/>
          <w:u w:val="single"/>
          <w:lang w:val="en-US" w:eastAsia="zh-CN"/>
        </w:rPr>
        <w:t xml:space="preserve">8</w:t>
      </w:r>
      <w:r>
        <w:rPr>
          <w:rFonts w:hint="eastAsia" w:ascii="宋体" w:hAnsi="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10</w:t>
      </w:r>
      <w:r>
        <w:rPr>
          <w:rFonts w:hint="eastAsia" w:ascii="宋体" w:hAnsi="宋体" w:cs="宋体"/>
          <w:color w:val="auto"/>
          <w:sz w:val="21"/>
          <w:szCs w:val="21"/>
          <w:highlight w:val="none"/>
          <w:u w:val="single"/>
        </w:rPr>
        <w:t xml:space="preserve">日</w:t>
      </w:r>
      <w:r>
        <w:rPr>
          <w:rFonts w:hint="eastAsia" w:ascii="宋体" w:hAnsi="宋体" w:cs="宋体"/>
          <w:color w:val="auto"/>
          <w:sz w:val="21"/>
          <w:szCs w:val="21"/>
          <w:highlight w:val="none"/>
          <w:u w:val="single"/>
          <w:lang w:val="en-US" w:eastAsia="zh-CN"/>
        </w:rPr>
        <w:t xml:space="preserve">上</w:t>
      </w:r>
      <w:r>
        <w:rPr>
          <w:rFonts w:hint="eastAsia" w:ascii="宋体" w:hAnsi="宋体" w:cs="宋体"/>
          <w:color w:val="auto"/>
          <w:sz w:val="21"/>
          <w:szCs w:val="21"/>
          <w:highlight w:val="none"/>
          <w:u w:val="single"/>
        </w:rPr>
        <w:t xml:space="preserve">午</w:t>
      </w:r>
      <w:r>
        <w:rPr>
          <w:rFonts w:hint="eastAsia" w:ascii="宋体" w:hAnsi="宋体" w:cs="宋体"/>
          <w:color w:val="auto"/>
          <w:sz w:val="21"/>
          <w:szCs w:val="21"/>
          <w:highlight w:val="none"/>
          <w:u w:val="single"/>
          <w:lang w:val="en-US" w:eastAsia="zh-CN"/>
        </w:rPr>
        <w:t xml:space="preserve">9</w:t>
      </w:r>
      <w:r>
        <w:rPr>
          <w:rFonts w:hint="eastAsia" w:ascii="宋体" w:hAnsi="宋体" w:cs="宋体"/>
          <w:color w:val="auto"/>
          <w:sz w:val="21"/>
          <w:szCs w:val="21"/>
          <w:highlight w:val="none"/>
          <w:u w:val="single"/>
        </w:rPr>
        <w:t xml:space="preserve">：30</w:t>
      </w:r>
      <w:r>
        <w:rPr>
          <w:rFonts w:hint="eastAsia" w:ascii="宋体" w:hAnsi="宋体" w:cs="宋体"/>
          <w:color w:val="auto"/>
          <w:sz w:val="21"/>
          <w:szCs w:val="21"/>
          <w:highlight w:val="none"/>
        </w:rPr>
        <w:t xml:space="preserve">（北京时间）</w:t>
      </w:r>
      <w:r/>
    </w:p>
    <w:p>
      <w:pPr>
        <w:ind w:firstLine="420"/>
        <w:pageBreakBefore w:val="0"/>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2.开标地点：“苏采云”政府采购交易系统。</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10" w:name="_Toc35393794"/>
      <w:r/>
      <w:bookmarkStart w:id="11" w:name="_Toc38985267"/>
      <w:r/>
      <w:bookmarkStart w:id="12" w:name="_Toc28359007"/>
      <w:r/>
      <w:bookmarkStart w:id="13" w:name="_Toc28359084"/>
      <w:r/>
      <w:bookmarkStart w:id="14" w:name="_Toc35393625"/>
      <w:r>
        <w:rPr>
          <w:rFonts w:hint="eastAsia" w:ascii="宋体" w:hAnsi="宋体" w:cs="宋体"/>
          <w:b/>
          <w:bCs/>
          <w:color w:val="auto"/>
          <w:sz w:val="21"/>
          <w:szCs w:val="21"/>
          <w:highlight w:val="none"/>
        </w:rPr>
        <w:t xml:space="preserve">五、公告期限</w:t>
      </w:r>
      <w:bookmarkEnd w:id="10"/>
      <w:r/>
      <w:bookmarkEnd w:id="11"/>
      <w:r/>
      <w:bookmarkEnd w:id="12"/>
      <w:r/>
      <w:bookmarkEnd w:id="13"/>
      <w:r/>
      <w:bookmarkEnd w:id="14"/>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自本公告发布之日起5个工作日。</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六、其他补充事宜</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//zfcg.yangzhou.gov.cn/xzzx/art/2023/art_4d7de1f7865f4a2894fc22bc452f94d8.html，请按《操作手册》要求制作、上传电子投标文件。</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领取CA和办理电子签章（请至扬州市文昌东路9号广陵新城市民中心1号楼5楼办理，具体联系方式：18952716110）。</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rPr>
        <w:t xml:space="preserve">本次招标</w:t>
      </w:r>
      <w:r>
        <w:rPr>
          <w:rFonts w:hint="eastAsia" w:ascii="宋体" w:hAnsi="宋体" w:cs="宋体"/>
          <w:i/>
          <w:iCs/>
          <w:color w:val="auto"/>
          <w:sz w:val="21"/>
          <w:szCs w:val="21"/>
          <w:highlight w:val="none"/>
          <w:u w:val="single"/>
        </w:rPr>
        <w:t xml:space="preserve">不收取</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投标保证金。</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w:t>
      </w:r>
      <w:r>
        <w:rPr>
          <w:rFonts w:hint="eastAsia" w:ascii="宋体" w:hAnsi="宋体" w:cs="宋体"/>
          <w:bCs/>
          <w:color w:val="auto"/>
          <w:sz w:val="21"/>
          <w:szCs w:val="21"/>
          <w:highlight w:val="none"/>
        </w:rPr>
        <w:t xml:space="preserve">有关本次招标的事项若存在变动或修改，敬请及时关注</w:t>
      </w:r>
      <w:r>
        <w:rPr>
          <w:rFonts w:hint="eastAsia" w:ascii="宋体" w:hAnsi="宋体" w:cs="宋体"/>
          <w:bCs/>
          <w:color w:val="auto"/>
          <w:sz w:val="21"/>
          <w:szCs w:val="21"/>
          <w:highlight w:val="none"/>
          <w:lang w:eastAsia="zh-CN"/>
        </w:rPr>
        <w:t xml:space="preserve">“扬州市政府采购网”“江苏政府采购网”“中国政府采购网”</w:t>
      </w:r>
      <w:r>
        <w:rPr>
          <w:rFonts w:hint="eastAsia" w:ascii="宋体" w:hAnsi="宋体" w:cs="宋体"/>
          <w:bCs/>
          <w:color w:val="auto"/>
          <w:sz w:val="21"/>
          <w:szCs w:val="21"/>
          <w:highlight w:val="none"/>
        </w:rPr>
        <w:t xml:space="preserve">发布的信息。</w:t>
      </w:r>
      <w:r/>
    </w:p>
    <w:p>
      <w:pPr>
        <w:ind w:firstLine="422"/>
        <w:pageBreakBefore w:val="0"/>
        <w:spacing w:line="360" w:lineRule="auto"/>
        <w:tabs>
          <w:tab w:val="left" w:pos="266" w:leader="none"/>
        </w:tabs>
        <w:rPr>
          <w:rFonts w:hint="eastAsia" w:ascii="宋体" w:hAnsi="宋体" w:cs="宋体"/>
          <w:b/>
          <w:i/>
          <w:iCs/>
          <w:color w:val="auto"/>
          <w:sz w:val="21"/>
          <w:szCs w:val="21"/>
          <w:highlight w:val="none"/>
          <w:u w:val="single"/>
        </w:rPr>
      </w:pPr>
      <w:r>
        <w:rPr>
          <w:rFonts w:hint="eastAsia" w:ascii="宋体" w:hAnsi="宋体" w:cs="宋体"/>
          <w:b/>
          <w:i/>
          <w:iCs/>
          <w:color w:val="auto"/>
          <w:sz w:val="21"/>
          <w:szCs w:val="21"/>
          <w:highlight w:val="none"/>
          <w:u w:val="single"/>
          <w:lang w:val="en-US" w:eastAsia="zh-CN"/>
        </w:rPr>
        <w:t xml:space="preserve">4</w:t>
      </w:r>
      <w:r>
        <w:rPr>
          <w:rFonts w:hint="eastAsia" w:ascii="宋体" w:hAnsi="宋体" w:cs="宋体"/>
          <w:b/>
          <w:i/>
          <w:iCs/>
          <w:color w:val="auto"/>
          <w:sz w:val="21"/>
          <w:szCs w:val="21"/>
          <w:highlight w:val="none"/>
          <w:u w:val="single"/>
        </w:rPr>
        <w:t xml:space="preserve">.本项目招标文件中所有斜体下划线部分为实质性条款，如不满足，则为无效投标。</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5</w:t>
      </w:r>
      <w:r>
        <w:rPr>
          <w:rFonts w:hint="eastAsia" w:ascii="宋体" w:hAnsi="宋体" w:cs="宋体"/>
          <w:bCs/>
          <w:color w:val="auto"/>
          <w:highlight w:val="none"/>
        </w:rPr>
        <w:t xml:space="preserve">.如在开标时间发生系统崩溃等不可预见的情况，造成开评标活动无法正常进行的，将延迟开评标，具体开评标时间另行通知。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6</w:t>
      </w:r>
      <w:r>
        <w:rPr>
          <w:rFonts w:hint="eastAsia" w:ascii="宋体" w:hAnsi="宋体" w:cs="宋体"/>
          <w:bCs/>
          <w:color w:val="auto"/>
          <w:highlight w:val="none"/>
        </w:rPr>
        <w:t xml:space="preserve">.为落实好政府采购履约资金扶持政策，中标/成交供应商可凭政府采购合同办理融资贷款，详见江苏政府采购网“政采贷”专栏。</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7</w:t>
      </w:r>
      <w:r>
        <w:rPr>
          <w:rFonts w:hint="eastAsia" w:ascii="宋体" w:hAnsi="宋体" w:cs="宋体"/>
          <w:bCs/>
          <w:color w:val="auto"/>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由国家确定的认证机构出具的、处于有效期之内的节能产品、环境标志产品认证证书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8</w:t>
      </w:r>
      <w:r>
        <w:rPr>
          <w:rFonts w:hint="eastAsia" w:ascii="宋体" w:hAnsi="宋体" w:eastAsia="宋体" w:cs="宋体"/>
          <w:bCs/>
          <w:color w:val="auto"/>
          <w:highlight w:val="none"/>
        </w:rPr>
        <w:t xml:space="preserve">.供应商对于所投货物的包装应按照“财办库〔2020〕123号《关于印发《商品包装政府采购需求标准（试行）</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快递包装政府采购需求标准（试行）》的通知》”执行。</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9</w:t>
      </w:r>
      <w:r>
        <w:rPr>
          <w:rFonts w:hint="eastAsia" w:ascii="宋体" w:hAnsi="宋体" w:eastAsia="宋体" w:cs="宋体"/>
          <w:bCs/>
          <w:color w:val="auto"/>
          <w:highlight w:val="none"/>
        </w:rPr>
        <w:t xml:space="preserve">.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七、本次招标联系方式</w:t>
      </w:r>
      <w:r/>
    </w:p>
    <w:p>
      <w:pPr>
        <w:ind w:firstLine="420"/>
        <w:spacing w:line="360" w:lineRule="auto"/>
        <w:rPr>
          <w:rFonts w:hint="eastAsia" w:ascii="宋体" w:hAnsi="宋体"/>
          <w:bCs/>
          <w:color w:val="auto"/>
          <w:highlight w:val="none"/>
        </w:rPr>
      </w:pPr>
      <w:r>
        <w:rPr>
          <w:rFonts w:hint="eastAsia" w:ascii="宋体" w:hAnsi="宋体"/>
          <w:bCs/>
          <w:color w:val="auto"/>
          <w:highlight w:val="none"/>
        </w:rPr>
        <w:t xml:space="preserve">1.采购人信息</w:t>
      </w:r>
      <w:r/>
    </w:p>
    <w:p>
      <w:pPr>
        <w:ind w:firstLine="420"/>
        <w:spacing w:line="360" w:lineRule="auto"/>
        <w:rPr>
          <w:rFonts w:hint="eastAsia" w:ascii="宋体" w:hAnsi="宋体"/>
          <w:bCs/>
          <w:color w:val="auto"/>
          <w:highlight w:val="none"/>
        </w:rPr>
      </w:pPr>
      <w:r>
        <w:rPr>
          <w:rFonts w:hint="eastAsia" w:ascii="宋体" w:hAnsi="宋体"/>
          <w:bCs/>
          <w:color w:val="auto"/>
          <w:highlight w:val="none"/>
        </w:rPr>
        <w:t xml:space="preserve">名 称：</w:t>
      </w:r>
      <w:r>
        <w:rPr>
          <w:rFonts w:hint="eastAsia" w:ascii="宋体" w:hAnsi="宋体" w:cs="宋体"/>
          <w:color w:val="auto"/>
          <w:highlight w:val="none"/>
          <w:lang w:eastAsia="zh-CN"/>
        </w:rPr>
        <w:t xml:space="preserve">扬州高等职业技术学校</w:t>
      </w:r>
      <w:r>
        <w:rPr>
          <w:rFonts w:hint="eastAsia" w:ascii="宋体" w:hAnsi="宋体"/>
          <w:bCs/>
          <w:color w:val="auto"/>
          <w:highlight w:val="none"/>
        </w:rPr>
        <w:t xml:space="preserve">　　　　　　　　　　　　</w:t>
      </w:r>
      <w:r/>
    </w:p>
    <w:p>
      <w:pPr>
        <w:ind w:firstLine="420"/>
        <w:spacing w:line="360" w:lineRule="auto"/>
        <w:rPr>
          <w:rFonts w:hint="eastAsia" w:ascii="宋体" w:hAnsi="宋体"/>
          <w:bCs/>
          <w:color w:val="auto"/>
          <w:highlight w:val="none"/>
        </w:rPr>
      </w:pPr>
      <w:r>
        <w:rPr>
          <w:rFonts w:hint="eastAsia" w:ascii="宋体" w:hAnsi="宋体"/>
          <w:bCs/>
          <w:color w:val="auto"/>
          <w:highlight w:val="none"/>
        </w:rPr>
        <w:t xml:space="preserve">地</w:t>
      </w:r>
      <w:r>
        <w:rPr>
          <w:rFonts w:hint="eastAsia" w:ascii="宋体" w:hAnsi="宋体"/>
          <w:bCs/>
          <w:color w:val="auto"/>
          <w:highlight w:val="none"/>
          <w:lang w:val="en-US" w:eastAsia="zh-CN"/>
        </w:rPr>
        <w:t xml:space="preserve"> </w:t>
      </w:r>
      <w:r>
        <w:rPr>
          <w:rFonts w:hint="eastAsia" w:ascii="宋体" w:hAnsi="宋体"/>
          <w:bCs/>
          <w:color w:val="auto"/>
          <w:highlight w:val="none"/>
        </w:rPr>
        <w:t xml:space="preserve">址：</w:t>
      </w:r>
      <w:r>
        <w:rPr>
          <w:rFonts w:hint="eastAsia" w:ascii="宋体" w:hAnsi="宋体"/>
          <w:color w:val="auto"/>
          <w:szCs w:val="21"/>
          <w:highlight w:val="none"/>
          <w:lang w:eastAsia="zh-CN"/>
        </w:rPr>
        <w:t xml:space="preserve">扬州市万福西路106号</w:t>
      </w:r>
      <w:r>
        <w:rPr>
          <w:rFonts w:hint="eastAsia" w:ascii="宋体" w:hAnsi="宋体"/>
          <w:bCs/>
          <w:color w:val="auto"/>
          <w:highlight w:val="none"/>
        </w:rPr>
        <w:t xml:space="preserve">　　　　　　　　　　　</w:t>
      </w:r>
      <w:r/>
    </w:p>
    <w:p>
      <w:pPr>
        <w:ind w:firstLine="420"/>
        <w:spacing w:line="360" w:lineRule="auto"/>
        <w:rPr>
          <w:rFonts w:hint="eastAsia" w:ascii="宋体" w:hAnsi="宋体"/>
          <w:bCs/>
          <w:color w:val="auto"/>
          <w:highlight w:val="none"/>
          <w:lang w:val="en-US" w:eastAsia="zh-CN"/>
        </w:rPr>
      </w:pPr>
      <w:r>
        <w:rPr>
          <w:rFonts w:hint="eastAsia" w:ascii="宋体" w:hAnsi="宋体"/>
          <w:bCs/>
          <w:color w:val="auto"/>
          <w:highlight w:val="none"/>
          <w:lang w:val="en-US" w:eastAsia="zh-CN"/>
        </w:rPr>
        <w:t xml:space="preserve">联系人：</w:t>
      </w:r>
      <w:r>
        <w:rPr>
          <w:rFonts w:hint="eastAsia" w:ascii="宋体" w:hAnsi="宋体" w:eastAsia="宋体" w:cs="宋体"/>
          <w:bCs/>
          <w:color w:val="auto"/>
          <w:sz w:val="21"/>
          <w:szCs w:val="21"/>
          <w:highlight w:val="none"/>
          <w:u w:val="none"/>
          <w:lang w:val="en-US" w:eastAsia="zh-CN"/>
        </w:rPr>
        <w:t xml:space="preserve">伏老师</w:t>
      </w:r>
      <w:r/>
    </w:p>
    <w:p>
      <w:pPr>
        <w:ind w:firstLine="420"/>
        <w:spacing w:line="360" w:lineRule="auto"/>
        <w:rPr>
          <w:rFonts w:hint="eastAsia" w:ascii="宋体" w:hAnsi="宋体" w:eastAsia="宋体" w:cs="Times New Roman"/>
          <w:color w:val="auto"/>
          <w:highlight w:val="none"/>
          <w:lang w:val="en-US" w:eastAsia="zh-CN"/>
        </w:rPr>
      </w:pPr>
      <w:r>
        <w:rPr>
          <w:rFonts w:hint="eastAsia" w:ascii="宋体" w:hAnsi="宋体"/>
          <w:bCs/>
          <w:color w:val="auto"/>
          <w:highlight w:val="none"/>
          <w:lang w:val="en-US" w:eastAsia="zh-CN"/>
        </w:rPr>
        <w:t xml:space="preserve">电 话</w:t>
      </w:r>
      <w:r>
        <w:rPr>
          <w:rFonts w:hint="eastAsia" w:ascii="宋体" w:hAnsi="宋体"/>
          <w:bCs/>
          <w:color w:val="auto"/>
          <w:highlight w:val="none"/>
        </w:rPr>
        <w:t xml:space="preserve">：</w:t>
      </w:r>
      <w:r>
        <w:rPr>
          <w:rFonts w:hint="eastAsia" w:ascii="宋体" w:hAnsi="宋体" w:eastAsia="宋体" w:cs="宋体"/>
          <w:bCs/>
          <w:color w:val="auto"/>
          <w:sz w:val="21"/>
          <w:szCs w:val="21"/>
          <w:highlight w:val="none"/>
          <w:u w:val="none"/>
        </w:rPr>
        <w:t xml:space="preserve">0514-85829191</w:t>
      </w:r>
      <w:r/>
    </w:p>
    <w:p>
      <w:pPr>
        <w:ind w:firstLine="420"/>
        <w:spacing w:line="36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2.采购代理机构信息</w:t>
      </w:r>
      <w:r/>
    </w:p>
    <w:p>
      <w:pPr>
        <w:ind w:firstLine="420"/>
        <w:spacing w:line="288"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lang w:eastAsia="zh-CN"/>
        </w:rPr>
        <w:t xml:space="preserve">扬州大学工程设计研究院有限公司</w:t>
      </w:r>
      <w:r/>
    </w:p>
    <w:p>
      <w:pPr>
        <w:ind w:firstLine="420"/>
        <w:spacing w:line="288"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地　　址：扬州市江阳中路131号14号楼</w:t>
      </w:r>
      <w:r/>
    </w:p>
    <w:p>
      <w:pPr>
        <w:ind w:firstLine="420"/>
        <w:spacing w:line="288"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项目联系人：</w:t>
      </w:r>
      <w:r>
        <w:rPr>
          <w:rFonts w:hint="eastAsia" w:ascii="宋体" w:hAnsi="宋体" w:eastAsia="宋体" w:cs="宋体"/>
          <w:color w:val="auto"/>
          <w:szCs w:val="21"/>
          <w:highlight w:val="none"/>
          <w:lang w:eastAsia="zh-CN"/>
        </w:rPr>
        <w:t xml:space="preserve">高鑫</w:t>
      </w:r>
      <w:r/>
    </w:p>
    <w:p>
      <w:pPr>
        <w:ind w:firstLine="420"/>
        <w:pageBreakBefore w:val="0"/>
        <w:spacing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Cs w:val="21"/>
          <w:highlight w:val="none"/>
        </w:rPr>
        <w:t xml:space="preserve">电　　 话：</w:t>
      </w:r>
      <w:r>
        <w:rPr>
          <w:rFonts w:hint="eastAsia" w:ascii="宋体" w:hAnsi="宋体" w:eastAsia="宋体" w:cs="宋体"/>
          <w:color w:val="auto"/>
          <w:szCs w:val="21"/>
          <w:highlight w:val="none"/>
          <w:lang w:eastAsia="zh-CN"/>
        </w:rPr>
        <w:t xml:space="preserve">13348120099</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right"/>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扬州大学工程设计研究院有限公司</w:t>
      </w:r>
      <w:r/>
    </w:p>
    <w:p>
      <w:pPr>
        <w:pStyle w:val="758"/>
        <w:jc w:val="right"/>
        <w:rPr>
          <w:rFonts w:hint="eastAsia"/>
          <w:color w:val="auto"/>
          <w:sz w:val="21"/>
          <w:szCs w:val="21"/>
          <w:highlight w:val="none"/>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olor w:val="auto"/>
          <w:sz w:val="21"/>
          <w:szCs w:val="21"/>
          <w:highlight w:val="none"/>
          <w:lang w:eastAsia="zh-CN"/>
        </w:rPr>
        <w:t xml:space="preserve">2026年</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lang w:eastAsia="zh-CN"/>
        </w:rPr>
        <w:t xml:space="preserve">月</w:t>
      </w:r>
      <w:r>
        <w:rPr>
          <w:rFonts w:hint="eastAsia" w:ascii="宋体" w:hAnsi="宋体"/>
          <w:color w:val="auto"/>
          <w:sz w:val="21"/>
          <w:szCs w:val="21"/>
          <w:highlight w:val="none"/>
          <w:lang w:val="en-US" w:eastAsia="zh-CN"/>
        </w:rPr>
        <w:t xml:space="preserve">20</w:t>
      </w:r>
      <w:r>
        <w:rPr>
          <w:rFonts w:hint="eastAsia" w:ascii="宋体" w:hAnsi="宋体"/>
          <w:color w:val="auto"/>
          <w:sz w:val="21"/>
          <w:szCs w:val="21"/>
          <w:highlight w:val="none"/>
          <w:lang w:eastAsia="zh-CN"/>
        </w:rPr>
        <w:t xml:space="preserve">日</w:t>
      </w:r>
      <w:r/>
    </w:p>
    <w:p>
      <w:pPr>
        <w:pStyle w:val="724"/>
        <w:rPr>
          <w:color w:val="auto"/>
          <w:highlight w:val="none"/>
        </w:rPr>
      </w:pPr>
      <w:r/>
      <w:bookmarkStart w:id="15" w:name="_Toc10032"/>
      <w:r>
        <w:rPr>
          <w:rFonts w:hint="eastAsia"/>
          <w:color w:val="auto"/>
          <w:highlight w:val="none"/>
        </w:rPr>
        <w:t xml:space="preserve">第二章 投标人须知</w:t>
      </w:r>
      <w:bookmarkEnd w:id="15"/>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w:t>
      </w:r>
      <w:r>
        <w:rPr>
          <w:rFonts w:hint="eastAsia" w:ascii="宋体" w:hAnsi="宋体" w:cs="宋体"/>
          <w:b/>
          <w:color w:val="auto"/>
          <w:szCs w:val="21"/>
          <w:highlight w:val="none"/>
        </w:rPr>
        <w:t xml:space="preserve">招标方式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1.1本次招标采取公开招标方式，本招标文件仅适用于</w:t>
      </w:r>
      <w:r>
        <w:rPr>
          <w:rFonts w:hint="eastAsia" w:ascii="宋体" w:hAnsi="宋体" w:cs="宋体"/>
          <w:bCs/>
          <w:color w:val="auto"/>
          <w:szCs w:val="21"/>
          <w:highlight w:val="none"/>
          <w:lang w:eastAsia="zh-CN"/>
        </w:rPr>
        <w:t xml:space="preserve">JSZC-321000-YZDX-G2026-0009</w:t>
      </w:r>
      <w:r>
        <w:rPr>
          <w:rFonts w:hint="eastAsia" w:ascii="宋体" w:hAnsi="宋体" w:cs="宋体"/>
          <w:bCs/>
          <w:color w:val="auto"/>
          <w:szCs w:val="21"/>
          <w:highlight w:val="none"/>
          <w:lang w:val="en-US" w:eastAsia="zh-CN"/>
        </w:rPr>
        <w:t xml:space="preserve">号</w:t>
      </w:r>
      <w:r>
        <w:rPr>
          <w:rFonts w:hint="eastAsia" w:ascii="宋体" w:hAnsi="宋体" w:cs="宋体"/>
          <w:bCs/>
          <w:color w:val="auto"/>
          <w:szCs w:val="21"/>
          <w:highlight w:val="none"/>
        </w:rPr>
        <w:t xml:space="preserve">项目。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w:t>
      </w:r>
      <w:r>
        <w:rPr>
          <w:rFonts w:hint="eastAsia" w:ascii="宋体" w:hAnsi="宋体" w:cs="宋体"/>
          <w:b/>
          <w:color w:val="auto"/>
          <w:szCs w:val="21"/>
          <w:highlight w:val="none"/>
          <w:lang w:val="en-US" w:eastAsia="zh-CN"/>
        </w:rPr>
        <w:t xml:space="preserve">合格的</w:t>
      </w:r>
      <w:r>
        <w:rPr>
          <w:rFonts w:hint="eastAsia" w:ascii="宋体" w:hAnsi="宋体" w:cs="宋体"/>
          <w:b/>
          <w:color w:val="auto"/>
          <w:szCs w:val="21"/>
          <w:highlight w:val="none"/>
        </w:rPr>
        <w:t xml:space="preserve">投标人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2.1满足招标公告中供应商的资格要求的规定。</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 满足本文件实质性要求的规定。</w:t>
      </w:r>
      <w:r/>
    </w:p>
    <w:p>
      <w:pPr>
        <w:ind w:firstLine="422"/>
        <w:keepLines w:val="0"/>
        <w:keepNext w:val="0"/>
        <w:pageBreakBefore w:val="0"/>
        <w:spacing w:line="360" w:lineRule="auto"/>
        <w:widowControl w:val="off"/>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eastAsia="zh-CN"/>
        </w:rPr>
        <w:t xml:space="preserve">3.</w:t>
      </w:r>
      <w:r>
        <w:rPr>
          <w:rFonts w:hint="eastAsia" w:ascii="宋体" w:hAnsi="宋体" w:cs="宋体"/>
          <w:b/>
          <w:color w:val="auto"/>
          <w:szCs w:val="21"/>
          <w:highlight w:val="none"/>
        </w:rPr>
        <w:t xml:space="preserve">适用法律</w:t>
      </w:r>
      <w:r>
        <w:rPr>
          <w:rFonts w:hint="eastAsia" w:ascii="宋体" w:hAnsi="宋体" w:cs="宋体"/>
          <w:b/>
          <w:color w:val="auto"/>
          <w:szCs w:val="21"/>
          <w:highlight w:val="none"/>
          <w:lang w:val="en-US" w:eastAsia="zh-CN"/>
        </w:rPr>
        <w:t xml:space="preserve">和标准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3.2在本项目政府采购活动过程中，如果所执行的标准有更新的，按照最新标准执行。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4.</w:t>
      </w:r>
      <w:r>
        <w:rPr>
          <w:rFonts w:hint="eastAsia" w:ascii="宋体" w:hAnsi="宋体" w:cs="宋体"/>
          <w:b/>
          <w:color w:val="auto"/>
          <w:szCs w:val="21"/>
          <w:highlight w:val="none"/>
        </w:rPr>
        <w:t xml:space="preserve">投标费用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keepLines w:val="0"/>
        <w:keepNext w:val="0"/>
        <w:pageBreakBefore w:val="0"/>
        <w:spacing w:line="360" w:lineRule="auto"/>
        <w:widowControl w:val="off"/>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rPr>
        <w:t xml:space="preserve">4.2本次招标采购不收取标书工本费</w:t>
      </w:r>
      <w:r>
        <w:rPr>
          <w:rFonts w:hint="eastAsia" w:ascii="宋体" w:hAnsi="宋体" w:cs="宋体"/>
          <w:b w:val="0"/>
          <w:bCs w:val="0"/>
          <w:color w:val="auto"/>
          <w:szCs w:val="21"/>
          <w:highlight w:val="none"/>
          <w:lang w:eastAsia="zh-CN"/>
        </w:rPr>
        <w:t xml:space="preserve">。</w:t>
      </w:r>
      <w:r/>
    </w:p>
    <w:p>
      <w:pPr>
        <w:ind w:firstLine="422"/>
        <w:jc w:val="left"/>
        <w:spacing w:line="360" w:lineRule="auto"/>
        <w:rPr>
          <w:rFonts w:hint="eastAsia" w:ascii="Times New Roman" w:hAnsi="Times New Roman" w:eastAsia="宋体"/>
          <w:b w:val="0"/>
          <w:bCs w:val="0"/>
          <w:color w:val="auto"/>
          <w:sz w:val="21"/>
          <w:szCs w:val="21"/>
          <w:highlight w:val="none"/>
          <w:lang w:val="en-US" w:eastAsia="zh-CN"/>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en-US" w:eastAsia="zh-CN"/>
        </w:rPr>
        <w:t xml:space="preserve">3本次采购项目的招标代理服务费，由采购人在项目完成后一周内，按照《招标代理服务收费管理暂行办法》（计价格〔2002〕1980号）、本项目附表所载货物类对应档次基准费率标准按50%折算计费，一次性支付至招标代理机构</w:t>
      </w:r>
      <w:r>
        <w:rPr>
          <w:rFonts w:hint="eastAsia" w:ascii="Times New Roman" w:hAnsi="Times New Roman" w:eastAsia="宋体" w:cs="Times New Roman"/>
          <w:b/>
          <w:bCs/>
          <w:color w:val="auto"/>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基准费率表</w:t>
      </w:r>
      <w:r>
        <w:rPr>
          <w:rFonts w:hint="eastAsia" w:ascii="宋体" w:hAnsi="宋体" w:cs="宋体"/>
          <w:bCs/>
          <w:color w:val="auto"/>
          <w:szCs w:val="21"/>
          <w:highlight w:val="none"/>
          <w:lang w:val="en-US" w:eastAsia="zh-CN"/>
        </w:rPr>
        <w:t xml:space="preserve">：</w:t>
      </w:r>
      <w:r/>
    </w:p>
    <w:tbl>
      <w:tblPr>
        <w:tblStyle w:val="734"/>
        <w:tblW w:w="8141" w:type="dxa"/>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56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工程采购</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rPr>
                <w:rFonts w:hint="eastAsia" w:ascii="宋体" w:hAnsi="宋体" w:cs="宋体"/>
                <w:color w:val="auto"/>
                <w:highlight w:val="none"/>
                <w:lang w:eastAsia="zh-CN"/>
              </w:rPr>
              <w:t xml:space="preserve">%</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1.1</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0.8</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0.7</w:t>
            </w:r>
            <w:r>
              <w:rPr>
                <w:rFonts w:hint="eastAsia" w:ascii="宋体" w:hAnsi="宋体" w:cs="宋体"/>
                <w:color w:val="auto"/>
                <w:highlight w:val="none"/>
                <w:lang w:eastAsia="zh-CN"/>
              </w:rPr>
              <w:t xml:space="preserve">%</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0.8</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0.45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0.55</w:t>
            </w:r>
            <w:r>
              <w:rPr>
                <w:rFonts w:hint="eastAsia" w:ascii="宋体" w:hAnsi="宋体" w:cs="宋体"/>
                <w:color w:val="auto"/>
                <w:highlight w:val="none"/>
                <w:lang w:eastAsia="zh-CN"/>
              </w:rPr>
              <w:t xml:space="preserve">%</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0.25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0.35</w:t>
            </w:r>
            <w:r>
              <w:rPr>
                <w:rFonts w:hint="eastAsia" w:ascii="宋体" w:hAnsi="宋体" w:cs="宋体"/>
                <w:color w:val="auto"/>
                <w:highlight w:val="none"/>
                <w:lang w:eastAsia="zh-CN"/>
              </w:rPr>
              <w:t xml:space="preserve">%</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cs="宋体"/>
                <w:color w:val="auto"/>
                <w:highlight w:val="none"/>
                <w:lang w:eastAsia="zh-CN"/>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0.25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0.1</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0.2</w:t>
            </w:r>
            <w:r>
              <w:rPr>
                <w:rFonts w:hint="eastAsia" w:ascii="宋体" w:hAnsi="宋体" w:cs="宋体"/>
                <w:color w:val="auto"/>
                <w:highlight w:val="none"/>
                <w:lang w:eastAsia="zh-CN"/>
              </w:rPr>
              <w:t xml:space="preserve">%</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0.05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0.05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0.05</w:t>
            </w:r>
            <w:r>
              <w:rPr>
                <w:rFonts w:hint="eastAsia" w:ascii="宋体" w:hAnsi="宋体" w:cs="宋体"/>
                <w:color w:val="auto"/>
                <w:highlight w:val="none"/>
                <w:lang w:eastAsia="zh-CN"/>
              </w:rPr>
              <w:t xml:space="preserve">%</w:t>
            </w:r>
            <w:r/>
          </w:p>
        </w:tc>
      </w:tr>
    </w:tbl>
    <w:p>
      <w:pPr>
        <w:ind w:firstLine="2319"/>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代理服务费开户银行：江苏银行扬州唐城支行</w:t>
      </w:r>
      <w:r>
        <w:rPr>
          <w:rFonts w:hint="eastAsia" w:ascii="宋体" w:hAnsi="宋体" w:eastAsia="宋体" w:cs="宋体"/>
          <w:b/>
          <w:bCs/>
          <w:color w:val="auto"/>
          <w:szCs w:val="21"/>
          <w:highlight w:val="none"/>
          <w:lang w:val="en-US" w:eastAsia="zh-CN"/>
        </w:rPr>
        <w:t xml:space="preserve">  </w:t>
      </w:r>
      <w:r/>
    </w:p>
    <w:p>
      <w:pPr>
        <w:ind w:firstLine="2319"/>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开户名称： 扬州大学工程设计研究院有限公</w:t>
      </w:r>
      <w:r>
        <w:rPr>
          <w:rFonts w:hint="eastAsia" w:ascii="宋体" w:hAnsi="宋体" w:eastAsia="宋体" w:cs="宋体"/>
          <w:b/>
          <w:bCs/>
          <w:color w:val="auto"/>
          <w:szCs w:val="21"/>
          <w:highlight w:val="none"/>
          <w:lang w:val="en-US" w:eastAsia="zh-CN"/>
        </w:rPr>
        <w:t xml:space="preserve">司  </w:t>
      </w:r>
      <w:r/>
    </w:p>
    <w:p>
      <w:pPr>
        <w:ind w:firstLine="2319"/>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bCs/>
          <w:color w:val="auto"/>
          <w:szCs w:val="21"/>
          <w:highlight w:val="none"/>
          <w:lang w:eastAsia="zh-CN"/>
        </w:rPr>
        <w:t xml:space="preserve">开户账号</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pacing w:val="20"/>
          <w:szCs w:val="21"/>
          <w:highlight w:val="none"/>
        </w:rPr>
        <w:t xml:space="preserve">90160188000103894</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val="0"/>
          <w:bCs w:val="0"/>
          <w:color w:val="auto"/>
          <w:szCs w:val="21"/>
          <w:highlight w:val="none"/>
        </w:rPr>
        <w:t xml:space="preserve">4.</w:t>
      </w:r>
      <w:r>
        <w:rPr>
          <w:rFonts w:hint="eastAsia" w:ascii="宋体" w:hAnsi="宋体" w:cs="宋体"/>
          <w:b w:val="0"/>
          <w:bCs w:val="0"/>
          <w:color w:val="auto"/>
          <w:szCs w:val="21"/>
          <w:highlight w:val="none"/>
          <w:lang w:val="en-US" w:eastAsia="zh-CN"/>
        </w:rPr>
        <w:t xml:space="preserve">4</w:t>
      </w:r>
      <w:r>
        <w:rPr>
          <w:rFonts w:hint="eastAsia" w:ascii="宋体" w:hAnsi="宋体" w:cs="宋体"/>
          <w:b w:val="0"/>
          <w:bCs w:val="0"/>
          <w:color w:val="auto"/>
          <w:szCs w:val="21"/>
          <w:highlight w:val="none"/>
        </w:rPr>
        <w:t xml:space="preserve">专家评审费按照《扬州市财政局关于进一步规范扬州市政府采购专家评审费标准的通知》（扬财购〔2020〕40号）执行。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5.</w:t>
      </w:r>
      <w:r>
        <w:rPr>
          <w:rFonts w:hint="eastAsia" w:ascii="宋体" w:hAnsi="宋体" w:cs="宋体"/>
          <w:b/>
          <w:color w:val="auto"/>
          <w:szCs w:val="21"/>
          <w:highlight w:val="none"/>
        </w:rPr>
        <w:t xml:space="preserve">招标文件的约束力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6.</w:t>
      </w:r>
      <w:r>
        <w:rPr>
          <w:rFonts w:hint="eastAsia" w:ascii="宋体" w:hAnsi="宋体" w:cs="宋体"/>
          <w:b/>
          <w:color w:val="auto"/>
          <w:szCs w:val="21"/>
          <w:highlight w:val="none"/>
        </w:rPr>
        <w:t xml:space="preserve">招标文件构成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w:t>
      </w:r>
      <w:r>
        <w:rPr>
          <w:rFonts w:hint="eastAsia" w:ascii="宋体" w:hAnsi="宋体" w:cs="宋体"/>
          <w:bCs/>
          <w:color w:val="auto"/>
          <w:szCs w:val="21"/>
          <w:highlight w:val="none"/>
          <w:lang w:eastAsia="zh-CN"/>
        </w:rPr>
        <w:t xml:space="preserve">由</w:t>
      </w:r>
      <w:r>
        <w:rPr>
          <w:rFonts w:hint="eastAsia" w:ascii="宋体" w:hAnsi="宋体" w:cs="宋体"/>
          <w:bCs/>
          <w:color w:val="auto"/>
          <w:szCs w:val="21"/>
          <w:highlight w:val="none"/>
        </w:rPr>
        <w:t xml:space="preserve">以下部分组成：</w:t>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投标邀请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合同文本</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需求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招标文件如果要求供应商提交备选投标方案的，供应商可以提交备选方案；否则，备选方案将被拒绝。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7.</w:t>
      </w:r>
      <w:r>
        <w:rPr>
          <w:rFonts w:hint="eastAsia" w:ascii="宋体" w:hAnsi="宋体" w:cs="宋体"/>
          <w:b/>
          <w:color w:val="auto"/>
          <w:szCs w:val="21"/>
          <w:highlight w:val="none"/>
        </w:rPr>
        <w:t xml:space="preserve">招标文件的澄清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8.</w:t>
      </w:r>
      <w:r>
        <w:rPr>
          <w:rFonts w:hint="eastAsia" w:ascii="宋体" w:hAnsi="宋体" w:cs="宋体"/>
          <w:b/>
          <w:color w:val="auto"/>
          <w:szCs w:val="21"/>
          <w:highlight w:val="none"/>
        </w:rPr>
        <w:t xml:space="preserve">招标文件的修改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w:t>
      </w:r>
      <w:r>
        <w:rPr>
          <w:rFonts w:hint="eastAsia" w:ascii="宋体" w:hAnsi="宋体" w:cs="宋体"/>
          <w:bCs/>
          <w:color w:val="auto"/>
          <w:szCs w:val="21"/>
          <w:highlight w:val="none"/>
          <w:lang w:eastAsia="zh-CN"/>
        </w:rPr>
        <w:t xml:space="preserve">间之</w:t>
      </w:r>
      <w:r>
        <w:rPr>
          <w:rFonts w:hint="eastAsia" w:ascii="宋体" w:hAnsi="宋体" w:cs="宋体"/>
          <w:bCs/>
          <w:color w:val="auto"/>
          <w:szCs w:val="21"/>
          <w:highlight w:val="none"/>
        </w:rPr>
        <w:t xml:space="preserve">前，代理机构可以对招标文件进行修改。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8.2代理机构有权按照法定要求推迟投标截止时间和开标时间。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公布，补充文件将作为招标文件的组成部分，并对投标人具有约束力。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9.</w:t>
      </w:r>
      <w:r>
        <w:rPr>
          <w:rFonts w:hint="eastAsia" w:ascii="宋体" w:hAnsi="宋体" w:cs="宋体"/>
          <w:b/>
          <w:color w:val="auto"/>
          <w:szCs w:val="21"/>
          <w:highlight w:val="none"/>
        </w:rPr>
        <w:t xml:space="preserve">投标文件的语言及度量衡单位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10.</w:t>
      </w:r>
      <w:r>
        <w:rPr>
          <w:rFonts w:hint="eastAsia" w:ascii="宋体" w:hAnsi="宋体" w:cs="宋体"/>
          <w:b/>
          <w:color w:val="auto"/>
          <w:szCs w:val="21"/>
          <w:highlight w:val="none"/>
        </w:rPr>
        <w:t xml:space="preserve">投标文件构成</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10.1投标人编写的投标文件应包括基本目录、资格审查内容、符合性审查内容、价格扣除证明文件等部分</w:t>
      </w:r>
      <w:r>
        <w:rPr>
          <w:rFonts w:hint="eastAsia" w:ascii="宋体" w:hAnsi="宋体" w:cs="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.2如标书制作工具中格式和内容与</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发布的招标文件不一致，请以</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发布的招标文件为准。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投标人应当根据招标文件要求编制投标文件，投标文件应对招标文件提出的要求和条件作出响应，并在相应的投标文件中逐条标明满足与否。</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11.</w:t>
      </w:r>
      <w:r>
        <w:rPr>
          <w:rFonts w:hint="eastAsia" w:ascii="宋体" w:hAnsi="宋体" w:cs="宋体"/>
          <w:b/>
          <w:color w:val="auto"/>
          <w:szCs w:val="21"/>
          <w:highlight w:val="none"/>
        </w:rPr>
        <w:t xml:space="preserve">证明投标人及投标标的符合招标文件规定的文件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11.1投标人应按照招标文件要求提交证明文件，证明其投标标的符合招标文件规定。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11.5招标文件对证明文件无明确形式要求的，证明文件可以以文字资料、图纸和数据等形式提交。</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12.</w:t>
      </w:r>
      <w:r>
        <w:rPr>
          <w:rFonts w:hint="eastAsia" w:ascii="宋体" w:hAnsi="宋体" w:cs="宋体"/>
          <w:b/>
          <w:color w:val="auto"/>
          <w:szCs w:val="21"/>
          <w:highlight w:val="none"/>
        </w:rPr>
        <w:t xml:space="preserve">投标分项报价表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投标人按照招标文件规定格式填报投标分项报价表。每项货物</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服务</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只允许有一个报价，任何有选择的报价将不予接受(如有备选配件，备选配件的报价不属于选择的报价)。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其它费用处理</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招标文件未列明，而投标人认为必需的费用也需列入报价。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投标货币</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投标文件中的单价和总价无特殊规定的采用人民币报价，以元为单位标注。招标文件中另有规定的按规定执行。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13.</w:t>
      </w:r>
      <w:r>
        <w:rPr>
          <w:rFonts w:hint="eastAsia" w:ascii="宋体" w:hAnsi="宋体" w:cs="宋体"/>
          <w:b/>
          <w:color w:val="auto"/>
          <w:szCs w:val="21"/>
          <w:highlight w:val="none"/>
        </w:rPr>
        <w:t xml:space="preserve">技术要求响应及偏离表、商务要求响应及偏离表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.1投标人需对招标文件中的技术要求与商务要求逐项作出响应或偏离，并说明原因。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.2投标人需按照招标文件要求，在投标文件中提供与技术要求和商务要求相关的证明材料。</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 投标人认为需要的其他技术文件或说明。</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14.</w:t>
      </w:r>
      <w:r>
        <w:rPr>
          <w:rFonts w:hint="eastAsia" w:ascii="宋体" w:hAnsi="宋体" w:cs="宋体"/>
          <w:b/>
          <w:color w:val="auto"/>
          <w:szCs w:val="21"/>
          <w:highlight w:val="none"/>
        </w:rPr>
        <w:t xml:space="preserve">服务承诺、培训计划、人员安排及其他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.1投标人需根据招标文件要求提供有关售后服务的管理制度，售后服务机构的分布情况，售后服务人员的数量、素质、技术水平及售后服务的反应能力等。</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.2投标人需根据招标文件要求提供培训计划。</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.3投标人需根据招标文件要求提供所投标的的主要组成部分、功能设计、实现思路及关键技术等。</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15.</w:t>
      </w:r>
      <w:r>
        <w:rPr>
          <w:rFonts w:hint="eastAsia" w:ascii="宋体" w:hAnsi="宋体" w:cs="宋体"/>
          <w:b/>
          <w:color w:val="auto"/>
          <w:szCs w:val="21"/>
          <w:highlight w:val="none"/>
        </w:rPr>
        <w:t xml:space="preserve">投标函和开标一览表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15.2 对于采用货币报价的项目，开标一览表中的价格应与投标文件中分项报价表中的价格一致，如不一致，不作为无效投标处理，但评标时按开标一览表中价格为准。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16.</w:t>
      </w:r>
      <w:r>
        <w:rPr>
          <w:rFonts w:hint="eastAsia" w:ascii="宋体" w:hAnsi="宋体" w:cs="宋体"/>
          <w:b/>
          <w:color w:val="auto"/>
          <w:szCs w:val="21"/>
          <w:highlight w:val="none"/>
        </w:rPr>
        <w:t xml:space="preserve">投标有效期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w:t>
      </w:r>
      <w:r>
        <w:rPr>
          <w:rFonts w:hint="eastAsia" w:ascii="宋体" w:hAnsi="宋体" w:cs="宋体"/>
          <w:bCs/>
          <w:color w:val="auto"/>
          <w:szCs w:val="21"/>
          <w:highlight w:val="none"/>
          <w:lang w:val="en-US" w:eastAsia="zh-CN"/>
        </w:rPr>
        <w:t xml:space="preserve">后</w:t>
      </w:r>
      <w:r>
        <w:rPr>
          <w:rFonts w:hint="eastAsia" w:ascii="宋体" w:hAnsi="宋体" w:cs="宋体"/>
          <w:b/>
          <w:bCs w:val="0"/>
          <w:color w:val="auto"/>
          <w:szCs w:val="21"/>
          <w:highlight w:val="none"/>
          <w:u w:val="single"/>
        </w:rPr>
        <w:t xml:space="preserve">六十（60）天</w:t>
      </w:r>
      <w:r>
        <w:rPr>
          <w:rFonts w:hint="eastAsia" w:ascii="宋体" w:hAnsi="宋体" w:cs="宋体"/>
          <w:bCs/>
          <w:color w:val="auto"/>
          <w:szCs w:val="21"/>
          <w:highlight w:val="none"/>
        </w:rPr>
        <w:t xml:space="preserve">。投标有效期比规定短的将被视为未实质性响应招标文件而予以拒绝。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16" w:name="_Toc20823297"/>
      <w:r/>
      <w:bookmarkStart w:id="17" w:name="_Toc462564084"/>
      <w:r/>
      <w:bookmarkStart w:id="18" w:name="_Toc513029225"/>
      <w:r/>
      <w:bookmarkStart w:id="19" w:name="_Toc16938541"/>
      <w:r>
        <w:rPr>
          <w:rFonts w:hint="eastAsia" w:ascii="宋体" w:hAnsi="宋体" w:cs="宋体"/>
          <w:b/>
          <w:color w:val="auto"/>
          <w:szCs w:val="21"/>
          <w:highlight w:val="none"/>
          <w:lang w:eastAsia="zh-CN"/>
        </w:rPr>
        <w:t xml:space="preserve">17.</w:t>
      </w:r>
      <w:r>
        <w:rPr>
          <w:rFonts w:hint="eastAsia" w:ascii="宋体" w:hAnsi="宋体" w:cs="宋体"/>
          <w:b/>
          <w:color w:val="auto"/>
          <w:szCs w:val="21"/>
          <w:highlight w:val="none"/>
        </w:rPr>
        <w:t xml:space="preserve">投标文件</w:t>
      </w:r>
      <w:bookmarkEnd w:id="16"/>
      <w:r/>
      <w:bookmarkEnd w:id="17"/>
      <w:r/>
      <w:bookmarkEnd w:id="18"/>
      <w:r/>
      <w:bookmarkEnd w:id="19"/>
      <w:r>
        <w:rPr>
          <w:rFonts w:hint="eastAsia" w:ascii="宋体" w:hAnsi="宋体" w:cs="宋体"/>
          <w:b/>
          <w:color w:val="auto"/>
          <w:szCs w:val="21"/>
          <w:highlight w:val="none"/>
        </w:rPr>
        <w:t xml:space="preserve">的递交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17.2苏采云系统相关要求是本招标文件的组成部分。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17.3投标人应对 CA 证书妥善保管，如被他人盗用投标，因此带来的结果均由投标人自行承担。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17.4投标人应当对招标文件提出的要求和条件作出实质性响应，并在电子投标系统逐条应答。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17.6投标人应当在招标文件要求提交投标文件的截止时间前，将投标文件提交至</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，逾期提交的投标文件，</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将自动拒收。</w:t>
      </w:r>
      <w:r/>
    </w:p>
    <w:p>
      <w:pPr>
        <w:ind w:firstLine="420"/>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szCs w:val="21"/>
          <w:highlight w:val="none"/>
        </w:rPr>
        <w:t xml:space="preserve">17.7各投标人应在规定时间内凭CA证书进行网上解密。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eastAsia="zh-CN"/>
        </w:rPr>
        <w:t xml:space="preserve">18.</w:t>
      </w:r>
      <w:r>
        <w:rPr>
          <w:rFonts w:hint="eastAsia" w:ascii="宋体" w:hAnsi="宋体" w:cs="宋体"/>
          <w:b/>
          <w:color w:val="auto"/>
          <w:szCs w:val="21"/>
          <w:highlight w:val="none"/>
        </w:rPr>
        <w:t xml:space="preserve">投标截止</w:t>
      </w:r>
      <w:r>
        <w:rPr>
          <w:rFonts w:hint="eastAsia" w:ascii="宋体" w:hAnsi="宋体" w:cs="宋体"/>
          <w:b/>
          <w:color w:val="auto"/>
          <w:szCs w:val="21"/>
          <w:highlight w:val="none"/>
          <w:lang w:val="en-US" w:eastAsia="zh-CN"/>
        </w:rPr>
        <w:t xml:space="preserve">时间</w:t>
      </w:r>
      <w:r/>
    </w:p>
    <w:p>
      <w:pPr>
        <w:ind w:firstLine="420"/>
        <w:keepLines w:val="0"/>
        <w:keepNext w:val="0"/>
        <w:pageBreakBefore w:val="0"/>
        <w:spacing w:line="360" w:lineRule="auto"/>
        <w:widowControl w:val="off"/>
        <w:rPr>
          <w:rFonts w:hint="eastAsia" w:ascii="宋体" w:hAnsi="宋体" w:cs="宋体"/>
          <w:b/>
          <w:bCs w:val="0"/>
          <w:i/>
          <w:iCs/>
          <w:color w:val="auto"/>
          <w:szCs w:val="21"/>
          <w:highlight w:val="none"/>
          <w:u w:val="single"/>
        </w:rPr>
      </w:pPr>
      <w:r>
        <w:rPr>
          <w:rFonts w:hint="eastAsia" w:ascii="宋体" w:hAnsi="宋体" w:cs="宋体"/>
          <w:b/>
          <w:bCs w:val="0"/>
          <w:i/>
          <w:iCs/>
          <w:color w:val="auto"/>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投标人应充分考虑到网络环境、网络带宽等风险因素，如因投标人自身原因造成的电子投标文件上传不成功的按照本招标文件第二章第26.1.2条规定</w:t>
      </w:r>
      <w:r>
        <w:rPr>
          <w:rFonts w:hint="eastAsia" w:ascii="宋体" w:hAnsi="宋体" w:cs="宋体"/>
          <w:bCs/>
          <w:color w:val="auto"/>
          <w:szCs w:val="21"/>
          <w:highlight w:val="none"/>
          <w:lang w:eastAsia="zh-CN"/>
        </w:rPr>
        <w:t xml:space="preserve">作无效投标</w:t>
      </w:r>
      <w:r>
        <w:rPr>
          <w:rFonts w:hint="eastAsia" w:ascii="宋体" w:hAnsi="宋体" w:cs="宋体"/>
          <w:bCs/>
          <w:color w:val="auto"/>
          <w:szCs w:val="21"/>
          <w:highlight w:val="none"/>
        </w:rPr>
        <w:t xml:space="preserve">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20" w:name="_Toc16938543"/>
      <w:r/>
      <w:bookmarkStart w:id="21" w:name="_Toc20823299"/>
      <w:r/>
      <w:bookmarkStart w:id="22" w:name="_Toc513029227"/>
      <w:r>
        <w:rPr>
          <w:rFonts w:hint="eastAsia" w:ascii="宋体" w:hAnsi="宋体" w:cs="宋体"/>
          <w:b/>
          <w:color w:val="auto"/>
          <w:szCs w:val="21"/>
          <w:highlight w:val="none"/>
          <w:lang w:eastAsia="zh-CN"/>
        </w:rPr>
        <w:t xml:space="preserve">19.</w:t>
      </w:r>
      <w:r>
        <w:rPr>
          <w:rFonts w:hint="eastAsia" w:ascii="宋体" w:hAnsi="宋体" w:cs="宋体"/>
          <w:b/>
          <w:color w:val="auto"/>
          <w:szCs w:val="21"/>
          <w:highlight w:val="none"/>
        </w:rPr>
        <w:t xml:space="preserve">投标文件</w:t>
      </w:r>
      <w:bookmarkEnd w:id="20"/>
      <w:r/>
      <w:bookmarkEnd w:id="21"/>
      <w:r/>
      <w:bookmarkEnd w:id="22"/>
      <w:r>
        <w:rPr>
          <w:rFonts w:hint="eastAsia" w:ascii="宋体" w:hAnsi="宋体" w:cs="宋体"/>
          <w:b/>
          <w:color w:val="auto"/>
          <w:szCs w:val="21"/>
          <w:highlight w:val="none"/>
        </w:rPr>
        <w:t xml:space="preserve">的拒收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23" w:name="_Toc513029228"/>
      <w:r/>
      <w:bookmarkStart w:id="24" w:name="_Toc20823300"/>
      <w:r/>
      <w:bookmarkStart w:id="25" w:name="_Toc16938544"/>
      <w:r>
        <w:rPr>
          <w:rFonts w:hint="eastAsia" w:ascii="宋体" w:hAnsi="宋体" w:cs="宋体"/>
          <w:b/>
          <w:color w:val="auto"/>
          <w:szCs w:val="21"/>
          <w:highlight w:val="none"/>
          <w:lang w:eastAsia="zh-CN"/>
        </w:rPr>
        <w:t xml:space="preserve">20.</w:t>
      </w:r>
      <w:r>
        <w:rPr>
          <w:rFonts w:hint="eastAsia" w:ascii="宋体" w:hAnsi="宋体" w:cs="宋体"/>
          <w:b/>
          <w:color w:val="auto"/>
          <w:szCs w:val="21"/>
          <w:highlight w:val="none"/>
        </w:rPr>
        <w:t xml:space="preserve">投标文件的撤回和修改</w:t>
      </w:r>
      <w:bookmarkEnd w:id="23"/>
      <w:r/>
      <w:bookmarkEnd w:id="24"/>
      <w:r/>
      <w:bookmarkEnd w:id="25"/>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w:t>
      </w:r>
      <w:r>
        <w:rPr>
          <w:rFonts w:hint="eastAsia" w:ascii="宋体" w:hAnsi="宋体" w:cs="宋体"/>
          <w:bCs/>
          <w:color w:val="auto"/>
          <w:szCs w:val="21"/>
          <w:highlight w:val="none"/>
          <w:lang w:eastAsia="zh-CN"/>
        </w:rPr>
        <w:t xml:space="preserve">间之</w:t>
      </w:r>
      <w:r>
        <w:rPr>
          <w:rFonts w:hint="eastAsia" w:ascii="宋体" w:hAnsi="宋体" w:cs="宋体"/>
          <w:bCs/>
          <w:color w:val="auto"/>
          <w:szCs w:val="21"/>
          <w:highlight w:val="none"/>
        </w:rPr>
        <w:t xml:space="preserve">前，对其电子投标文件进行修改，具体操作方法见《操作手册》。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21.</w:t>
      </w:r>
      <w:r>
        <w:rPr>
          <w:rFonts w:hint="eastAsia" w:ascii="宋体" w:hAnsi="宋体" w:cs="宋体"/>
          <w:b/>
          <w:color w:val="auto"/>
          <w:szCs w:val="21"/>
          <w:highlight w:val="none"/>
        </w:rPr>
        <w:t xml:space="preserve">开标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代理机构将在招标公告中规定的时间和地点组织公开开标。投标人应当按照《操作手册》规定，参加开标活动和在苏采云系统规定的时间内对投标文件进行解密。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21.2</w:t>
      </w:r>
      <w:r>
        <w:rPr>
          <w:rFonts w:hint="eastAsia" w:ascii="宋体" w:hAnsi="宋体"/>
          <w:bCs/>
          <w:color w:val="auto"/>
          <w:szCs w:val="21"/>
          <w:highlight w:val="none"/>
        </w:rPr>
        <w:t xml:space="preserve">投标人不足3家的，不得开标</w:t>
      </w:r>
      <w:r>
        <w:rPr>
          <w:rFonts w:hint="eastAsia" w:ascii="宋体" w:hAnsi="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21.3</w:t>
      </w:r>
      <w:r>
        <w:rPr>
          <w:rFonts w:hint="eastAsia" w:ascii="宋体" w:hAnsi="宋体" w:cs="宋体"/>
          <w:bCs/>
          <w:color w:val="auto"/>
          <w:szCs w:val="21"/>
          <w:highlight w:val="none"/>
        </w:rPr>
        <w:t xml:space="preserve">开标仪式由代理机构组织。“</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”将自动对项目进行开标，并宣读各投标人的《开标一览表》。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投标人在开标过程中</w:t>
      </w:r>
      <w:r>
        <w:rPr>
          <w:rFonts w:hint="eastAsia" w:ascii="宋体" w:hAnsi="宋体" w:cs="宋体"/>
          <w:bCs/>
          <w:color w:val="auto"/>
          <w:szCs w:val="21"/>
          <w:highlight w:val="none"/>
          <w:lang w:eastAsia="zh-CN"/>
        </w:rPr>
        <w:t xml:space="preserve">涉及</w:t>
      </w:r>
      <w:r>
        <w:rPr>
          <w:rFonts w:hint="eastAsia" w:ascii="宋体" w:hAnsi="宋体" w:cs="宋体"/>
          <w:bCs/>
          <w:color w:val="auto"/>
          <w:szCs w:val="21"/>
          <w:highlight w:val="none"/>
        </w:rPr>
        <w:t xml:space="preserve">的投标文件解密、开标结果确认等工作，应按照《操作手册》规定执行。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21.5</w:t>
      </w:r>
      <w:r>
        <w:rPr>
          <w:rFonts w:hint="eastAsia" w:ascii="宋体" w:hAnsi="宋体" w:cs="宋体"/>
          <w:bCs/>
          <w:color w:val="auto"/>
          <w:szCs w:val="21"/>
          <w:highlight w:val="none"/>
        </w:rPr>
        <w:t xml:space="preserve">投标人如果对开标过程和开标记录有疑义，应当根据《操作手册》规定提出，如苏采云系统中《开标记录表》宣布后5分钟内未提出的，视同认可开标结果。</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22.</w:t>
      </w:r>
      <w:r>
        <w:rPr>
          <w:rFonts w:hint="eastAsia" w:ascii="宋体" w:hAnsi="宋体" w:cs="宋体"/>
          <w:b/>
          <w:color w:val="auto"/>
          <w:szCs w:val="21"/>
          <w:highlight w:val="none"/>
        </w:rPr>
        <w:t xml:space="preserve">评标委员会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开标后，代理机构将立即组织评标委员会（以下简称评委会）进行评标。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22.2 评委会由采购人代表和有关技术、经济等方面的专家组成，且人员构成符合政府采购有关规定。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22.3评委会独立工作，负责评审所有投标文件并确定中标候选人。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23.</w:t>
      </w:r>
      <w:r>
        <w:rPr>
          <w:rFonts w:hint="eastAsia" w:ascii="宋体" w:hAnsi="宋体" w:cs="宋体"/>
          <w:b/>
          <w:color w:val="auto"/>
          <w:szCs w:val="21"/>
          <w:highlight w:val="none"/>
        </w:rPr>
        <w:t xml:space="preserve">评标过程的保密与公正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23.1凡是与审查、澄清、评价和比较投标的有关资料以及授标建议等，采购人、评委、代理机构工作人员均不得向投标人或与评标无关的其他人员透露。</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采用综合评分法的项目，未中标的投标人可于中标结果公告期限届满之日起通过苏采云系统查看自己的评审得分及排序情况。</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24.</w:t>
      </w:r>
      <w:r>
        <w:rPr>
          <w:rFonts w:hint="eastAsia" w:ascii="宋体" w:hAnsi="宋体" w:cs="宋体"/>
          <w:b/>
          <w:color w:val="auto"/>
          <w:szCs w:val="21"/>
          <w:highlight w:val="none"/>
        </w:rPr>
        <w:t xml:space="preserve">投标的澄清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对投标文件中含义不明确、同类问题表述不一致或者有明显文字和计算错误的内容 ，有权要求投标人作出必要的澄清、说明或者补正。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评标委员会并非对每个投标人都做澄清要求。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24.2需要供应商进行澄清、说明和补正的，</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澄清、说明和补正要求的投标人如未按规定</w:t>
      </w:r>
      <w:r>
        <w:rPr>
          <w:rFonts w:hint="eastAsia" w:ascii="宋体" w:hAnsi="宋体" w:cs="宋体"/>
          <w:bCs/>
          <w:color w:val="auto"/>
          <w:szCs w:val="21"/>
          <w:highlight w:val="none"/>
          <w:lang w:eastAsia="zh-CN"/>
        </w:rPr>
        <w:t xml:space="preserve">作出</w:t>
      </w:r>
      <w:r>
        <w:rPr>
          <w:rFonts w:hint="eastAsia" w:ascii="宋体" w:hAnsi="宋体" w:cs="宋体"/>
          <w:bCs/>
          <w:color w:val="auto"/>
          <w:szCs w:val="21"/>
          <w:highlight w:val="none"/>
        </w:rPr>
        <w:t xml:space="preserve">澄清、说明和补正，其风险由投标人自行承担。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25.</w:t>
      </w:r>
      <w:r>
        <w:rPr>
          <w:rFonts w:hint="eastAsia" w:ascii="宋体" w:hAnsi="宋体" w:cs="宋体"/>
          <w:b/>
          <w:color w:val="auto"/>
          <w:szCs w:val="21"/>
          <w:highlight w:val="none"/>
        </w:rPr>
        <w:t xml:space="preserve">对投标文件的初审</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采购人在进行资格性审查的同时，将在“信用中国”网站（www.creditchina.gov.cn）和“中国政府采购网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(www.ccgp.gov.cn)查询投标人的信用记录，以确定投标人是否具备投标资格,查询结果留存并归档。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25.4评委会将对确定为实质性响应的投标进行进一步审核，是否有计算上或累加上的算术错误，修正错误的原则如下：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非单一产品采购项目，招标文件中将载明其中的核心。多家投标人提供的核心产品品牌相同的，按前两款规定处理。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投标人在开、评标全过程中应</w:t>
      </w:r>
      <w:r>
        <w:rPr>
          <w:rFonts w:hint="eastAsia" w:ascii="宋体" w:hAnsi="宋体" w:cs="宋体"/>
          <w:bCs/>
          <w:color w:val="auto"/>
          <w:szCs w:val="21"/>
          <w:highlight w:val="none"/>
          <w:lang w:eastAsia="zh-CN"/>
        </w:rPr>
        <w:t xml:space="preserve">保持通信畅通</w:t>
      </w:r>
      <w:r>
        <w:rPr>
          <w:rFonts w:hint="eastAsia" w:ascii="宋体" w:hAnsi="宋体" w:cs="宋体"/>
          <w:bCs/>
          <w:color w:val="auto"/>
          <w:szCs w:val="21"/>
          <w:highlight w:val="none"/>
        </w:rPr>
        <w:t xml:space="preserve">，及时登录苏采云系统查阅、答复相关信息，并安排专人与代理机构及评委会联系。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26.</w:t>
      </w:r>
      <w:r>
        <w:rPr>
          <w:rFonts w:hint="eastAsia" w:ascii="宋体" w:hAnsi="宋体" w:cs="宋体"/>
          <w:b/>
          <w:color w:val="auto"/>
          <w:szCs w:val="21"/>
          <w:highlight w:val="none"/>
        </w:rPr>
        <w:t xml:space="preserve">无效投标条款和废标条款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26.1无效投标条款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26.1.1投标人在苏采云系统规定的时间内未成功解密电子投标文件的。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26.1.2投标人未按照招标文件要求上传电子投标文件的。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26.1.3投标人同一采购包提交两个（含两个）以上不同的投标报价的。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26.1.4投标人不具备招标文件中规定资格要求的。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26.1.5投标人的报价超过了采购预算或最高限价的。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26.1.6未通过符合性审查的。</w:t>
      </w:r>
      <w:r/>
    </w:p>
    <w:p>
      <w:pPr>
        <w:ind w:firstLine="420"/>
        <w:keepLines w:val="0"/>
        <w:keepNext w:val="0"/>
        <w:pageBreakBefore w:val="0"/>
        <w:spacing w:line="360" w:lineRule="auto"/>
        <w:widowControl w:val="off"/>
        <w:rPr>
          <w:rFonts w:hint="eastAsia" w:ascii="宋体" w:hAnsi="宋体" w:eastAsia="宋体" w:cs="宋体"/>
          <w:i w:val="0"/>
          <w:iCs w:val="0"/>
          <w:color w:val="auto"/>
          <w:highlight w:val="none"/>
          <w:u w:val="none"/>
        </w:rPr>
      </w:pPr>
      <w:r>
        <w:rPr>
          <w:rFonts w:hint="eastAsia" w:ascii="宋体" w:hAnsi="宋体" w:eastAsia="宋体" w:cs="宋体"/>
          <w:color w:val="auto"/>
          <w:highlight w:val="none"/>
        </w:rPr>
        <w:t xml:space="preserve">26.1.7不符合招标文件中规定的实质性要求的</w:t>
      </w:r>
      <w:r>
        <w:rPr>
          <w:rFonts w:hint="eastAsia" w:ascii="宋体" w:hAnsi="宋体" w:eastAsia="宋体" w:cs="宋体"/>
          <w:b/>
          <w:bCs/>
          <w:i w:val="0"/>
          <w:iCs w:val="0"/>
          <w:color w:val="auto"/>
          <w:highlight w:val="none"/>
          <w:u w:val="none"/>
        </w:rPr>
        <w:t xml:space="preserve">（本招标文件中</w:t>
      </w:r>
      <w:r>
        <w:rPr>
          <w:rFonts w:hint="eastAsia" w:ascii="宋体" w:hAnsi="宋体" w:eastAsia="宋体" w:cs="宋体"/>
          <w:b/>
          <w:bCs/>
          <w:i/>
          <w:iCs/>
          <w:color w:val="auto"/>
          <w:highlight w:val="none"/>
          <w:u w:val="single"/>
        </w:rPr>
        <w:t xml:space="preserve">斜体且有下划线部分</w:t>
      </w:r>
      <w:r>
        <w:rPr>
          <w:rFonts w:hint="eastAsia" w:ascii="宋体" w:hAnsi="宋体" w:eastAsia="宋体" w:cs="宋体"/>
          <w:b/>
          <w:bCs/>
          <w:i w:val="0"/>
          <w:iCs w:val="0"/>
          <w:color w:val="auto"/>
          <w:highlight w:val="none"/>
          <w:u w:val="none"/>
        </w:rPr>
        <w:t xml:space="preserve">为实质性要求）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26.1.8 投标人被 “信用中国”网站（www.creditchina.gov.cn）列入失信被执行人或重大税收违法案件当事人名单或政府采购严重失信行为记录名单，被“中国政府采购网</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(www.ccgp.gov.cn)列入政府采购严重失信行为记录名单，或查询“信用中国”网站后发现投标人存在其他不符合《中华人民共和国政府采购法》第二十二条规定条件的信用记录。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26.1.9投标文件含有采购人不能接受的附加条件的。</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26.1.10异常低价投标（响应）</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26.1.10.1投标（响应）报价低于全部通过符合性审查供应商投标（响应）报价平均值50%的，即投标（响应）报价</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全部通过符合性审查供应商投标（响应）报价平均值×50%；</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26.1.10.2投标（响应）报价低于通过符合性审查的次低报价供应商投标（响应）报价50%的，即投标（响应）报价</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通过符合性审查的次低报价供应商投标（响应）报价×50%；</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26.1.10.3投标（响应）报价低于采购项目最高限价 45% 的，即投标（响应）报价</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采购项目最高限价×45% ；</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26.1.10.4评审委员会认定的供应商报价过低、有可能影响产品质量或者不能诚信履约的其他情形。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26.1.11如本项目采购产品被财政部、</w:t>
      </w:r>
      <w:r>
        <w:rPr>
          <w:rFonts w:hint="eastAsia" w:ascii="宋体" w:hAnsi="宋体" w:cs="宋体"/>
          <w:color w:val="auto"/>
          <w:highlight w:val="none"/>
          <w:lang w:eastAsia="zh-CN"/>
        </w:rPr>
        <w:t xml:space="preserve">国家发展改革委</w:t>
      </w:r>
      <w:r>
        <w:rPr>
          <w:rFonts w:hint="eastAsia" w:ascii="宋体" w:hAnsi="宋体" w:eastAsia="宋体" w:cs="宋体"/>
          <w:color w:val="auto"/>
          <w:highlight w:val="none"/>
        </w:rPr>
        <w:t xml:space="preserve">、生态环境部等列入“节能产品品目清单</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26.1.12投标文件未按照招标文件要求加盖CA电子公章的。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26.1.13 投标人所投标产品不符合招标文件中所列国家强制性标准的。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26.1.14其他</w:t>
      </w:r>
      <w:r>
        <w:rPr>
          <w:rFonts w:hint="eastAsia" w:ascii="宋体" w:hAnsi="宋体" w:cs="宋体"/>
          <w:color w:val="auto"/>
          <w:highlight w:val="none"/>
          <w:lang w:eastAsia="zh-CN"/>
        </w:rPr>
        <w:t xml:space="preserve">法律法规</w:t>
      </w:r>
      <w:r>
        <w:rPr>
          <w:rFonts w:hint="eastAsia" w:ascii="宋体" w:hAnsi="宋体" w:eastAsia="宋体" w:cs="宋体"/>
          <w:color w:val="auto"/>
          <w:highlight w:val="none"/>
        </w:rPr>
        <w:t xml:space="preserve">及本招标文件规定的</w:t>
      </w:r>
      <w:r>
        <w:rPr>
          <w:rFonts w:hint="eastAsia" w:ascii="宋体" w:hAnsi="宋体" w:cs="宋体"/>
          <w:color w:val="auto"/>
          <w:highlight w:val="none"/>
          <w:lang w:eastAsia="zh-CN"/>
        </w:rPr>
        <w:t xml:space="preserve">属于</w:t>
      </w:r>
      <w:r>
        <w:rPr>
          <w:rFonts w:hint="eastAsia" w:ascii="宋体" w:hAnsi="宋体" w:eastAsia="宋体" w:cs="宋体"/>
          <w:color w:val="auto"/>
          <w:highlight w:val="none"/>
        </w:rPr>
        <w:t xml:space="preserve">无效投标的情形。</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26.2.5 因苏采云系统故障原因造成开标不成功的。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27.</w:t>
      </w:r>
      <w:r>
        <w:rPr>
          <w:rFonts w:hint="eastAsia" w:ascii="宋体" w:hAnsi="宋体" w:cs="宋体"/>
          <w:b/>
          <w:color w:val="auto"/>
          <w:szCs w:val="21"/>
          <w:highlight w:val="none"/>
        </w:rPr>
        <w:t xml:space="preserve">确定中标单位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27.1中标候选人的选取原则和数量见招标文件第五章规定。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发布中标公告，公告期限为1个工作日。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27.4.1提供虚假材料谋取中标的。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27.4.2向采购人、</w:t>
      </w:r>
      <w:r>
        <w:rPr>
          <w:rFonts w:hint="eastAsia" w:ascii="宋体" w:hAnsi="宋体" w:cs="宋体"/>
          <w:b w:val="0"/>
          <w:bCs/>
          <w:color w:val="auto"/>
          <w:szCs w:val="21"/>
          <w:highlight w:val="none"/>
          <w:lang w:eastAsia="zh-CN"/>
        </w:rPr>
        <w:t xml:space="preserve">代理机构</w:t>
      </w:r>
      <w:r>
        <w:rPr>
          <w:rFonts w:hint="eastAsia" w:ascii="宋体" w:hAnsi="宋体" w:cs="宋体"/>
          <w:b w:val="0"/>
          <w:bCs/>
          <w:color w:val="auto"/>
          <w:szCs w:val="21"/>
          <w:highlight w:val="none"/>
        </w:rPr>
        <w:t xml:space="preserve">行贿或者提供其他不正当利益的。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27.4.3属于本文件规定的无效条件，但在评标过程中又未被评委会发现的。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27.4.4与采购人或者其他供应商恶意串通的。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27.4.5采取不正当手段诋毁、排挤其他供应商的。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 有下列情形之一的，视为投标人串通投标，投标无效：</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27.5.1不同投标人的投标文件由同一单位或者个人编制。</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27.5.2不同投标人委托同一单位或者个人办理投标事宜。</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27.5.3 不同投标人的投标文件载明的项目管理成员或者联系人员为同一人。</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27.5.4不同投标人的投标文件异常一致或者投标报价呈规律性差异。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spacing w:line="360" w:lineRule="auto"/>
        <w:rPr>
          <w:rFonts w:hint="eastAsia"/>
          <w:color w:val="auto"/>
          <w:highlight w:val="none"/>
        </w:rPr>
      </w:pPr>
      <w:r>
        <w:rPr>
          <w:rFonts w:hint="eastAsia" w:ascii="宋体" w:hAnsi="宋体" w:cs="宋体"/>
          <w:b/>
          <w:color w:val="auto"/>
          <w:szCs w:val="21"/>
          <w:highlight w:val="none"/>
        </w:rPr>
        <w:t xml:space="preserve">27.5.6经查实，不同投标人的电子投标文件出自同一台电脑的：不同投标人的标书制作工具客户端标识码存在一致的；不同投标人从同一互联网协议地址上传投标文件的。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28.</w:t>
      </w:r>
      <w:r>
        <w:rPr>
          <w:rFonts w:hint="eastAsia" w:ascii="宋体" w:hAnsi="宋体" w:cs="宋体"/>
          <w:b/>
          <w:color w:val="auto"/>
          <w:szCs w:val="21"/>
          <w:highlight w:val="none"/>
        </w:rPr>
        <w:t xml:space="preserve">质疑处理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w:t>
      </w:r>
      <w:r>
        <w:rPr>
          <w:rFonts w:hint="eastAsia" w:ascii="宋体" w:hAnsi="宋体" w:cs="宋体"/>
          <w:bCs/>
          <w:color w:val="auto"/>
          <w:szCs w:val="21"/>
          <w:highlight w:val="none"/>
          <w:lang w:eastAsia="zh-CN"/>
        </w:rPr>
        <w:t xml:space="preserve">七个工作日</w:t>
      </w:r>
      <w:r>
        <w:rPr>
          <w:rFonts w:hint="eastAsia" w:ascii="宋体" w:hAnsi="宋体" w:cs="宋体"/>
          <w:bCs/>
          <w:color w:val="auto"/>
          <w:szCs w:val="21"/>
          <w:highlight w:val="none"/>
        </w:rPr>
        <w:t xml:space="preserve">内，以书面形式向采购人或代理机构提出质疑。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28.2.1对可以质疑的采购文件提出质疑的，为收到采购文件之日或者采购文件公告期限届满之日；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28.2.3对中标或者成交结果提出质疑的，为中标或者成交结果公告期限届满之日。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质疑函必须按照《质疑函范本》及《授权委托书》要求的格式和内容进行填写，格式见网址：http：//zfcg.yangzhou.gov.cn。供应商如组成联合体参加投标，则《质疑函范本》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 采购人及代理机构只接收以纸质原件形式送达的质疑,建议供应商尽量通过邮寄方式提交质疑（采购人和代理机构不接受无快递运单号的快递）。同时需与采购代理机构经办人确认是否收到《质疑函》，如供应商未按上述要求去做，将自行承担所产生的风险。</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采购人质疑接收人及联系方式见招标文件第一章。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质疑人应当在法定质疑期限内进行补正并重新提交质疑函。</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以下情形的质疑不予受理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.2 超出政府采购法定期限的质疑。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.3 以传真、电子邮件等方式递交的非原件形式的质疑。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.4 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代理机构应当在收到供应商的书面质疑后</w:t>
      </w:r>
      <w:r>
        <w:rPr>
          <w:rFonts w:hint="eastAsia" w:ascii="宋体" w:hAnsi="宋体" w:cs="宋体"/>
          <w:bCs/>
          <w:color w:val="auto"/>
          <w:szCs w:val="21"/>
          <w:highlight w:val="none"/>
          <w:lang w:eastAsia="zh-CN"/>
        </w:rPr>
        <w:t xml:space="preserve">七个工作日</w:t>
      </w:r>
      <w:r>
        <w:rPr>
          <w:rFonts w:hint="eastAsia" w:ascii="宋体" w:hAnsi="宋体" w:cs="宋体"/>
          <w:bCs/>
          <w:color w:val="auto"/>
          <w:szCs w:val="21"/>
          <w:highlight w:val="none"/>
        </w:rPr>
        <w:t xml:space="preserve">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29.</w:t>
      </w:r>
      <w:r>
        <w:rPr>
          <w:rFonts w:hint="eastAsia" w:ascii="宋体" w:hAnsi="宋体" w:cs="宋体"/>
          <w:b/>
          <w:color w:val="auto"/>
          <w:szCs w:val="21"/>
          <w:highlight w:val="none"/>
        </w:rPr>
        <w:t xml:space="preserve">中标通知书</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30.</w:t>
      </w:r>
      <w:r>
        <w:rPr>
          <w:rFonts w:hint="eastAsia" w:ascii="宋体" w:hAnsi="宋体" w:cs="宋体"/>
          <w:b/>
          <w:color w:val="auto"/>
          <w:szCs w:val="21"/>
          <w:highlight w:val="none"/>
        </w:rPr>
        <w:t xml:space="preserve"> 签订合同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30.l中标人应在中标通知书发出之日起三十日内，按照招标文件确定的事项与采购人签订政府采购合同。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31.</w:t>
      </w:r>
      <w:r>
        <w:rPr>
          <w:rFonts w:hint="eastAsia" w:ascii="宋体" w:hAnsi="宋体" w:cs="宋体"/>
          <w:b/>
          <w:color w:val="auto"/>
          <w:szCs w:val="21"/>
          <w:highlight w:val="none"/>
        </w:rPr>
        <w:t xml:space="preserve">货物（包含与货物相关的服务）的追加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32.</w:t>
      </w:r>
      <w:r>
        <w:rPr>
          <w:rFonts w:hint="eastAsia" w:ascii="宋体" w:hAnsi="宋体" w:cs="宋体"/>
          <w:b/>
          <w:color w:val="auto"/>
          <w:szCs w:val="21"/>
          <w:highlight w:val="none"/>
        </w:rPr>
        <w:t xml:space="preserve">政府采购履约资金扶持政策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中标供应商可凭政府采购合同办理融资贷款，详情请见江苏政府采购网“政采贷”专栏。</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color w:val="auto"/>
          <w:szCs w:val="21"/>
          <w:highlight w:val="none"/>
          <w:lang w:eastAsia="zh-CN"/>
        </w:rPr>
        <w:t xml:space="preserve">33.</w:t>
      </w:r>
      <w:r>
        <w:rPr>
          <w:rFonts w:hint="eastAsia" w:ascii="宋体" w:hAnsi="宋体" w:cs="宋体"/>
          <w:b/>
          <w:bCs/>
          <w:color w:val="auto"/>
          <w:highlight w:val="none"/>
        </w:rPr>
        <w:t xml:space="preserve">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highlight w:val="none"/>
        </w:rPr>
        <w:t xml:space="preserve">33.1 依据《政府采购促进中小企业发展管理办法》享受扶持政策获得政府采购合同的，小微企业不得将合同分包给大中型企业，中型企业不得将合同分包给大型企业。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724"/>
        <w:rPr>
          <w:color w:val="auto"/>
          <w:highlight w:val="none"/>
        </w:rPr>
      </w:pPr>
      <w:r/>
      <w:bookmarkStart w:id="26" w:name="_Toc55204179"/>
      <w:r/>
      <w:bookmarkStart w:id="27" w:name="_Toc18427"/>
      <w:r>
        <w:rPr>
          <w:rFonts w:hint="eastAsia"/>
          <w:color w:val="auto"/>
          <w:highlight w:val="none"/>
        </w:rPr>
        <w:t xml:space="preserve">第三章 合同条款及格式</w:t>
      </w:r>
      <w:bookmarkEnd w:id="26"/>
      <w:r/>
      <w:bookmarkEnd w:id="27"/>
      <w:r/>
      <w:r/>
    </w:p>
    <w:p>
      <w:pPr>
        <w:pStyle w:val="967"/>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以下为中标后签订本项目合同的通用条款，中标人不得提出实质性的修改，关于专用条款将由采购人与中标人结合本项目具体情况协商后签订。</w:t>
      </w:r>
      <w:r/>
    </w:p>
    <w:p>
      <w:pPr>
        <w:pStyle w:val="967"/>
        <w:ind w:firstLine="422"/>
        <w:jc w:val="center"/>
        <w:spacing w:line="360" w:lineRule="auto"/>
        <w:rPr>
          <w:rFonts w:hint="eastAsia" w:hAnsi="宋体" w:cs="宋体"/>
          <w:b/>
          <w:bCs/>
          <w:color w:val="auto"/>
          <w:sz w:val="21"/>
          <w:highlight w:val="none"/>
        </w:rPr>
      </w:pPr>
      <w:r>
        <w:rPr>
          <w:rFonts w:hint="eastAsia" w:hAnsi="宋体" w:cs="宋体"/>
          <w:b/>
          <w:bCs/>
          <w:color w:val="auto"/>
          <w:sz w:val="21"/>
          <w:highlight w:val="none"/>
        </w:rPr>
      </w:r>
      <w:r/>
    </w:p>
    <w:p>
      <w:pPr>
        <w:pStyle w:val="967"/>
        <w:ind w:firstLine="422"/>
        <w:jc w:val="center"/>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扬州市政府采购合同（货物）（合同编号）</w:t>
      </w:r>
      <w:r/>
    </w:p>
    <w:p>
      <w:pPr>
        <w:pStyle w:val="967"/>
        <w:ind w:firstLine="420"/>
        <w:keepLines w:val="0"/>
        <w:keepNext w:val="0"/>
        <w:pageBreakBefore w:val="0"/>
        <w:spacing w:line="360" w:lineRule="auto"/>
        <w:widowControl w:val="off"/>
        <w:rPr>
          <w:rFonts w:hint="eastAsia" w:ascii="宋体" w:hAnsi="宋体" w:eastAsia="宋体" w:cs="宋体"/>
          <w:b w:val="0"/>
          <w:bCs w:val="0"/>
          <w:color w:val="auto"/>
          <w:sz w:val="21"/>
          <w:highlight w:val="none"/>
          <w:u w:val="none"/>
          <w:lang w:eastAsia="zh-CN"/>
        </w:rPr>
      </w:pPr>
      <w:r>
        <w:rPr>
          <w:rFonts w:hint="eastAsia" w:ascii="宋体" w:hAnsi="宋体" w:eastAsia="宋体" w:cs="宋体"/>
          <w:color w:val="auto"/>
          <w:sz w:val="21"/>
          <w:highlight w:val="none"/>
          <w:u w:val="none"/>
        </w:rPr>
        <w:t xml:space="preserve">项目名称：</w:t>
      </w:r>
      <w:r>
        <w:rPr>
          <w:rFonts w:hint="eastAsia" w:hAnsi="宋体" w:cs="宋体"/>
          <w:b w:val="0"/>
          <w:bCs w:val="0"/>
          <w:color w:val="auto"/>
          <w:sz w:val="21"/>
          <w:highlight w:val="none"/>
          <w:u w:val="none"/>
          <w:lang w:eastAsia="zh-CN"/>
        </w:rPr>
        <w:t xml:space="preserve">扬州高等职业技术学校学生宿舍床铺购置项目（二次）</w:t>
      </w:r>
      <w:r/>
    </w:p>
    <w:p>
      <w:pPr>
        <w:pStyle w:val="967"/>
        <w:ind w:firstLine="420"/>
        <w:keepLines w:val="0"/>
        <w:keepNext w:val="0"/>
        <w:pageBreakBefore w:val="0"/>
        <w:spacing w:line="360" w:lineRule="auto"/>
        <w:widowControl w:val="off"/>
        <w:rPr>
          <w:rFonts w:hint="default" w:hAnsi="宋体" w:cs="宋体"/>
          <w:b w:val="0"/>
          <w:bCs w:val="0"/>
          <w:color w:val="auto"/>
          <w:sz w:val="21"/>
          <w:highlight w:val="none"/>
          <w:u w:val="none"/>
          <w:lang w:val="en-US" w:eastAsia="zh-CN"/>
        </w:rPr>
      </w:pPr>
      <w:r>
        <w:rPr>
          <w:rFonts w:hint="eastAsia" w:ascii="宋体" w:hAnsi="宋体" w:eastAsia="宋体" w:cs="宋体"/>
          <w:color w:val="auto"/>
          <w:sz w:val="21"/>
          <w:highlight w:val="none"/>
          <w:u w:val="none"/>
        </w:rPr>
        <w:t xml:space="preserve">项目编号：</w:t>
      </w:r>
      <w:r>
        <w:rPr>
          <w:rFonts w:hint="eastAsia" w:hAnsi="宋体" w:cs="宋体"/>
          <w:b w:val="0"/>
          <w:bCs w:val="0"/>
          <w:color w:val="auto"/>
          <w:sz w:val="21"/>
          <w:highlight w:val="none"/>
          <w:u w:val="none"/>
          <w:lang w:eastAsia="zh-CN"/>
        </w:rPr>
        <w:t xml:space="preserve">JSZC-321000-YZDX-G2026-0009</w:t>
      </w:r>
      <w:r>
        <w:rPr>
          <w:rFonts w:hint="eastAsia" w:hAnsi="宋体" w:cs="宋体"/>
          <w:b w:val="0"/>
          <w:bCs w:val="0"/>
          <w:color w:val="auto"/>
          <w:sz w:val="21"/>
          <w:highlight w:val="none"/>
          <w:u w:val="none"/>
          <w:lang w:val="en-US" w:eastAsia="zh-CN"/>
        </w:rPr>
        <w:t xml:space="preserve">号</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u w:val="none"/>
          <w:lang w:eastAsia="zh-CN"/>
        </w:rPr>
      </w:pPr>
      <w:r>
        <w:rPr>
          <w:rFonts w:hint="eastAsia" w:ascii="宋体" w:hAnsi="宋体" w:eastAsia="宋体" w:cs="宋体"/>
          <w:color w:val="auto"/>
          <w:sz w:val="21"/>
          <w:highlight w:val="none"/>
          <w:u w:val="none"/>
        </w:rPr>
        <w:t xml:space="preserve">甲方：（买方）</w:t>
      </w:r>
      <w:r>
        <w:rPr>
          <w:rFonts w:hint="eastAsia" w:hAnsi="宋体" w:cs="宋体"/>
          <w:b w:val="0"/>
          <w:bCs w:val="0"/>
          <w:color w:val="auto"/>
          <w:sz w:val="21"/>
          <w:highlight w:val="none"/>
          <w:u w:val="none"/>
          <w:lang w:eastAsia="zh-CN"/>
        </w:rPr>
        <w:t xml:space="preserve">扬州高等职业技术学校</w:t>
      </w:r>
      <w:r/>
    </w:p>
    <w:p>
      <w:pPr>
        <w:pStyle w:val="967"/>
        <w:ind w:firstLine="420"/>
        <w:keepLines w:val="0"/>
        <w:keepNext w:val="0"/>
        <w:pageBreakBefore w:val="0"/>
        <w:spacing w:line="360" w:lineRule="auto"/>
        <w:widowControl w:val="off"/>
        <w:rPr>
          <w:rFonts w:hint="default" w:ascii="宋体" w:hAnsi="宋体" w:eastAsia="宋体" w:cs="宋体"/>
          <w:color w:val="auto"/>
          <w:sz w:val="21"/>
          <w:highlight w:val="none"/>
          <w:u w:val="none"/>
          <w:lang w:val="en-US" w:eastAsia="zh-CN"/>
        </w:rPr>
      </w:pPr>
      <w:r>
        <w:rPr>
          <w:rFonts w:hint="eastAsia" w:ascii="宋体" w:hAnsi="宋体" w:eastAsia="宋体" w:cs="宋体"/>
          <w:color w:val="auto"/>
          <w:sz w:val="21"/>
          <w:highlight w:val="none"/>
          <w:u w:val="none"/>
        </w:rPr>
        <w:t xml:space="preserve">乙方：（卖方）</w:t>
      </w:r>
      <w:r>
        <w:rPr>
          <w:rFonts w:hint="eastAsia" w:hAnsi="宋体" w:cs="宋体"/>
          <w:color w:val="auto"/>
          <w:sz w:val="21"/>
          <w:highlight w:val="none"/>
          <w:u w:val="none"/>
          <w:lang w:val="en-US" w:eastAsia="zh-CN"/>
        </w:rPr>
        <w:t xml:space="preserve">                     </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u w:val="none"/>
          <w:lang w:eastAsia="zh-CN"/>
        </w:rPr>
      </w:pPr>
      <w:r>
        <w:rPr>
          <w:rFonts w:hint="eastAsia" w:ascii="宋体" w:hAnsi="宋体" w:eastAsia="宋体" w:cs="宋体"/>
          <w:color w:val="auto"/>
          <w:sz w:val="21"/>
          <w:highlight w:val="none"/>
          <w:u w:val="none"/>
        </w:rPr>
        <w:t xml:space="preserve">见证方：</w:t>
      </w:r>
      <w:r>
        <w:rPr>
          <w:rFonts w:hint="eastAsia" w:hAnsi="宋体" w:cs="宋体"/>
          <w:color w:val="auto"/>
          <w:sz w:val="21"/>
          <w:highlight w:val="none"/>
          <w:u w:val="none"/>
          <w:lang w:eastAsia="zh-CN"/>
        </w:rPr>
        <w:t xml:space="preserve">扬州大学工程设计研究院有限公司</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甲、乙双方根据</w:t>
      </w:r>
      <w:r>
        <w:rPr>
          <w:rFonts w:hint="eastAsia" w:hAnsi="宋体" w:cs="宋体"/>
          <w:color w:val="auto"/>
          <w:sz w:val="21"/>
          <w:highlight w:val="none"/>
          <w:lang w:eastAsia="zh-CN"/>
        </w:rPr>
        <w:t xml:space="preserve">扬州大学工程设计研究院有限公司</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项目公开招标的结果，签署本合同。</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一、货物及伴随服务</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 货物及服务名称：</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 型号规格：</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1.3 数量（单位）</w:t>
      </w:r>
      <w:r>
        <w:rPr>
          <w:rFonts w:hint="eastAsia" w:hAnsi="宋体" w:cs="宋体"/>
          <w:color w:val="auto"/>
          <w:sz w:val="21"/>
          <w:highlight w:val="none"/>
          <w:lang w:eastAsia="zh-CN"/>
        </w:rPr>
        <w:t xml:space="preserve">：</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二、合同金额</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 本合同金额为（大写）：_____________圆（_______________元）人民币。</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三、技术资料</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3.1乙方应按招标文件规定的时间向甲方提供使用货物及服务的有关技术资料。</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四、知识产权</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五、产权担保</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5.1 乙方保证所交付的货物及服务的所有权完全属于乙方且无任何抵押、查封等产权瑕疵。</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六、履约保证金</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本项目不收取履约保证金</w:t>
      </w:r>
      <w:r>
        <w:rPr>
          <w:rFonts w:hint="eastAsia" w:hAnsi="宋体" w:cs="宋体"/>
          <w:color w:val="auto"/>
          <w:sz w:val="21"/>
          <w:highlight w:val="none"/>
          <w:lang w:eastAsia="zh-CN"/>
        </w:rPr>
        <w:t xml:space="preserve">。</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七、转包或分包</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7.1本合同范</w:t>
      </w:r>
      <w:r>
        <w:rPr>
          <w:rFonts w:hint="eastAsia" w:ascii="宋体" w:hAnsi="宋体" w:eastAsia="宋体" w:cs="宋体"/>
          <w:color w:val="auto"/>
          <w:sz w:val="21"/>
          <w:highlight w:val="none"/>
          <w:lang w:eastAsia="zh-CN"/>
        </w:rPr>
        <w:t xml:space="preserve">围内</w:t>
      </w:r>
      <w:r>
        <w:rPr>
          <w:rFonts w:hint="eastAsia" w:ascii="宋体" w:hAnsi="宋体" w:eastAsia="宋体" w:cs="宋体"/>
          <w:color w:val="auto"/>
          <w:sz w:val="21"/>
          <w:highlight w:val="none"/>
        </w:rPr>
        <w:t xml:space="preserve">的货物及服务，应由乙方直接供应，不得转让他人供应；</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7.2 除非得到甲方的书面同意，乙方不得部分分包给他人供应。</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7.3如有转让和未经甲方同意的分包行为，甲方有权给予终止合同。</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八、质保期</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质保期</w:t>
      </w:r>
      <w:r>
        <w:rPr>
          <w:rFonts w:hint="eastAsia" w:ascii="宋体" w:hAnsi="宋体" w:eastAsia="宋体" w:cs="宋体"/>
          <w:color w:val="auto"/>
          <w:sz w:val="21"/>
          <w:highlight w:val="none"/>
          <w:u w:val="single"/>
        </w:rPr>
        <w:t xml:space="preserve"> </w:t>
      </w:r>
      <w:r>
        <w:rPr>
          <w:rFonts w:hint="eastAsia" w:hAnsi="宋体" w:cs="宋体"/>
          <w:b/>
          <w:bCs/>
          <w:color w:val="auto"/>
          <w:sz w:val="21"/>
          <w:highlight w:val="none"/>
          <w:u w:val="single"/>
          <w:lang w:val="en-US" w:eastAsia="zh-CN"/>
        </w:rPr>
        <w:t xml:space="preserve">  </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年。（自交货验收合格之日起计）</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九、交付期、交付方式及交付地点</w:t>
      </w:r>
      <w:r/>
    </w:p>
    <w:p>
      <w:pPr>
        <w:ind w:left="0"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highlight w:val="none"/>
        </w:rPr>
        <w:t xml:space="preserve">9.1 交付期：</w:t>
      </w:r>
      <w:r>
        <w:rPr>
          <w:rFonts w:hint="eastAsia" w:ascii="宋体" w:hAnsi="宋体" w:eastAsia="宋体" w:cs="宋体"/>
          <w:b/>
          <w:bCs/>
          <w:color w:val="auto"/>
          <w:sz w:val="21"/>
          <w:highlight w:val="none"/>
          <w:u w:val="single"/>
          <w:lang w:val="en-US" w:eastAsia="zh-CN"/>
        </w:rPr>
        <w:t xml:space="preserve">乙方在接到甲方进场开工通知之日起40 个日历天内，完成全部货物供货、安装、</w:t>
      </w:r>
      <w:r>
        <w:rPr>
          <w:rFonts w:hint="eastAsia" w:ascii="宋体" w:hAnsi="宋体" w:cs="宋体"/>
          <w:b/>
          <w:bCs/>
          <w:color w:val="auto"/>
          <w:sz w:val="21"/>
          <w:highlight w:val="none"/>
          <w:u w:val="single"/>
          <w:lang w:val="en-US" w:eastAsia="zh-CN"/>
        </w:rPr>
        <w:t xml:space="preserve">配套服务</w:t>
      </w:r>
      <w:r>
        <w:rPr>
          <w:rFonts w:hint="eastAsia" w:ascii="宋体" w:hAnsi="宋体" w:eastAsia="宋体" w:cs="宋体"/>
          <w:b/>
          <w:bCs/>
          <w:color w:val="auto"/>
          <w:sz w:val="21"/>
          <w:highlight w:val="none"/>
          <w:u w:val="single"/>
          <w:lang w:val="en-US" w:eastAsia="zh-CN"/>
        </w:rPr>
        <w:t xml:space="preserve">、现场保洁、竣工验收等全部工作内容</w:t>
      </w:r>
      <w:r>
        <w:rPr>
          <w:rFonts w:hint="eastAsia" w:ascii="宋体" w:hAnsi="宋体" w:eastAsia="宋体" w:cs="宋体"/>
          <w:b/>
          <w:bCs/>
          <w:color w:val="auto"/>
          <w:sz w:val="21"/>
          <w:highlight w:val="none"/>
          <w:u w:val="single"/>
        </w:rPr>
        <w:t xml:space="preserve">。</w:t>
      </w:r>
      <w:r/>
    </w:p>
    <w:p>
      <w:pPr>
        <w:pStyle w:val="967"/>
        <w:ind w:firstLine="420"/>
        <w:keepLines w:val="0"/>
        <w:keepNext w:val="0"/>
        <w:pageBreakBefore w:val="0"/>
        <w:spacing w:line="360" w:lineRule="auto"/>
        <w:widowControl w:val="off"/>
        <w:rPr>
          <w:rFonts w:hint="eastAsia" w:ascii="宋体" w:hAnsi="宋体" w:eastAsia="宋体" w:cs="宋体"/>
          <w:b/>
          <w:bCs/>
          <w:color w:val="auto"/>
          <w:sz w:val="21"/>
          <w:szCs w:val="22"/>
          <w:highlight w:val="none"/>
          <w:u w:val="single"/>
          <w:lang w:val="en-US" w:eastAsia="zh-CN" w:bidi="ar-SA"/>
        </w:rPr>
      </w:pPr>
      <w:r>
        <w:rPr>
          <w:rFonts w:hint="eastAsia" w:ascii="宋体" w:hAnsi="宋体" w:eastAsia="宋体" w:cs="宋体"/>
          <w:color w:val="auto"/>
          <w:sz w:val="21"/>
          <w:highlight w:val="none"/>
        </w:rPr>
        <w:t xml:space="preserve">9.2 交付方式：</w:t>
      </w:r>
      <w:r>
        <w:rPr>
          <w:rFonts w:hint="eastAsia" w:ascii="宋体" w:hAnsi="宋体" w:eastAsia="宋体" w:cs="宋体"/>
          <w:b/>
          <w:bCs/>
          <w:color w:val="auto"/>
          <w:sz w:val="21"/>
          <w:szCs w:val="22"/>
          <w:highlight w:val="none"/>
          <w:u w:val="single"/>
          <w:lang w:val="en-US" w:eastAsia="zh-CN" w:bidi="ar-SA"/>
        </w:rPr>
        <w:t xml:space="preserve">由乙方负责送到甲方指定地点，运输费由乙方承担。</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9.3 交付地点：</w:t>
      </w:r>
      <w:r>
        <w:rPr>
          <w:rFonts w:hint="eastAsia" w:ascii="宋体" w:hAnsi="宋体" w:eastAsia="宋体" w:cs="宋体"/>
          <w:b/>
          <w:bCs w:val="0"/>
          <w:color w:val="auto"/>
          <w:sz w:val="21"/>
          <w:szCs w:val="21"/>
          <w:highlight w:val="none"/>
          <w:u w:val="single"/>
          <w:lang w:val="en-US" w:eastAsia="zh-CN" w:bidi="ar-SA"/>
        </w:rPr>
        <w:t xml:space="preserve">扬州市万福西路106号，扬州高等职业技术学校</w:t>
      </w:r>
      <w:r>
        <w:rPr>
          <w:rFonts w:hint="eastAsia" w:hAnsi="宋体" w:cs="宋体"/>
          <w:b/>
          <w:bCs w:val="0"/>
          <w:color w:val="auto"/>
          <w:sz w:val="21"/>
          <w:szCs w:val="21"/>
          <w:highlight w:val="none"/>
          <w:u w:val="single"/>
          <w:lang w:val="en-US" w:eastAsia="zh-CN" w:bidi="ar-SA"/>
        </w:rPr>
        <w:t xml:space="preserve">。</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十、货款支付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本合同项下所有款项均以人民币支付。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 本合同项下的采购资金由甲方支付，付款前乙方向甲方开具发票。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10.3 甲方付款方式：</w:t>
      </w:r>
      <w:r/>
    </w:p>
    <w:p>
      <w:pPr>
        <w:pStyle w:val="967"/>
        <w:ind w:firstLine="420"/>
        <w:spacing w:line="360" w:lineRule="auto"/>
        <w:rPr>
          <w:rFonts w:hint="eastAsia"/>
          <w:b/>
          <w:bCs/>
          <w:color w:val="auto"/>
          <w:highlight w:val="none"/>
          <w:lang w:eastAsia="zh-CN"/>
        </w:rPr>
      </w:pPr>
      <w:r>
        <w:rPr>
          <w:rFonts w:hint="eastAsia" w:hAnsi="宋体" w:cs="宋体"/>
          <w:color w:val="auto"/>
          <w:sz w:val="21"/>
          <w:highlight w:val="none"/>
          <w:lang w:val="en-US" w:eastAsia="zh-CN"/>
        </w:rPr>
        <w:t xml:space="preserve">合同签订后，乙方向甲方开具等额发票，甲方自收到发票之日起10个工作日内支付合同总价30%预付款；项目验收合格后，乙方向甲方开具剩余款项发票，甲方自收到发票之日起10个工作日内支付合同总价70%尾款。</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十一、税费</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11.1本合同执行中相关的一切税费均由乙方负担。</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十二、质量保证及售后服务</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12.1 乙方应按招标文件规定的货物及服务性能、技术要求、质量标准向甲方提供。</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⑴更换：由乙方承担所发生的全部费用。</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⑵贬值处理：由甲乙双方合议定价。</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⑶退还处理：乙方应退还甲方支付的合同款，同时应承担该货物及服务的直接费用（运输、保险、检验、款项利息及银行手续费等）。</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12.3 如在使用过程中发生质量问题，乙方在接到甲方通知后在</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小时内到达甲方现场。</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12.4 在质保期内，乙方应对货物及服务出现的质量及安全问题负责处理解决并承担一切费用。</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12.5</w:t>
      </w:r>
      <w:r>
        <w:rPr>
          <w:rFonts w:hint="eastAsia" w:ascii="宋体" w:hAnsi="宋体" w:eastAsia="宋体" w:cs="宋体"/>
          <w:color w:val="auto"/>
          <w:sz w:val="21"/>
          <w:highlight w:val="none"/>
          <w:lang w:eastAsia="zh-CN"/>
        </w:rPr>
        <w:t xml:space="preserve">上述</w:t>
      </w:r>
      <w:r>
        <w:rPr>
          <w:rFonts w:hint="eastAsia" w:ascii="宋体" w:hAnsi="宋体" w:eastAsia="宋体" w:cs="宋体"/>
          <w:color w:val="auto"/>
          <w:sz w:val="21"/>
          <w:highlight w:val="none"/>
        </w:rPr>
        <w:t xml:space="preserve">货物及服务免费保修期为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年，因人为因素出现的故障不在免费保修范围内。超过保修期的机器设备，终身维修，维修时只收部件成本费。</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十三、调试和验收</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hAnsi="宋体" w:cs="宋体"/>
          <w:color w:val="auto"/>
          <w:sz w:val="21"/>
          <w:highlight w:val="none"/>
          <w:lang w:val="en-US" w:eastAsia="zh-CN"/>
        </w:rPr>
        <w:t xml:space="preserve">13</w:t>
      </w:r>
      <w:r>
        <w:rPr>
          <w:rFonts w:hint="eastAsia" w:ascii="宋体" w:hAnsi="宋体" w:eastAsia="宋体" w:cs="宋体"/>
          <w:color w:val="auto"/>
          <w:sz w:val="21"/>
          <w:highlight w:val="none"/>
        </w:rPr>
        <w:t xml:space="preserve">.1 甲方依法组织履约验收工作。</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.3 对于实际使用人和甲方分离的项目，甲方邀请实际使用人参与验收。</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.4 如有必要，甲方邀请参加本项目的其他供应商或第三方专业机构及专家参与验收，相关意见将作为验收书的参考资料。</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十四、货物及服务包装、发运及运输</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14.2 使用说明书、质量检验证明书、随配附件和工具以及清单一并交付甲方。</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14.3 乙方在货物及服务发运手续办理完毕后24小时内或交付到甲方48小时前通知甲方，以准备接受交付。</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14.4 货物在交付甲方前发生的风险均由乙方负责。</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14.5 货物及服务在规定的交付期限内由乙方送达甲方指定的地点视为交付，乙方同时需通知甲方货物及服务已送达。</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十五、违约责任</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15.1 甲方无正当理由拒收货物及服务的，甲方向乙方偿付拒收款项总值的百分之五违约金。</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15.2 甲方无故逾期验收和办理款项支付手续的，甲方应按逾期付款总额每日万分之五向乙方支付违约金。</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67"/>
        <w:ind w:firstLine="420"/>
        <w:keepLines w:val="0"/>
        <w:keepNext w:val="0"/>
        <w:pageBreakBefore w:val="0"/>
        <w:spacing w:line="360" w:lineRule="auto"/>
        <w:widowControl w:val="off"/>
        <w:rPr>
          <w:rFonts w:hint="default" w:ascii="宋体" w:hAnsi="宋体" w:eastAsia="宋体" w:cs="宋体"/>
          <w:color w:val="auto"/>
          <w:sz w:val="21"/>
          <w:highlight w:val="none"/>
          <w:lang w:val="en-US" w:eastAsia="zh-CN"/>
        </w:rPr>
      </w:pPr>
      <w:r>
        <w:rPr>
          <w:rFonts w:hint="eastAsia" w:hAnsi="宋体" w:cs="宋体"/>
          <w:color w:val="auto"/>
          <w:sz w:val="21"/>
          <w:highlight w:val="none"/>
          <w:lang w:val="en-US" w:eastAsia="zh-CN"/>
        </w:rPr>
        <w:t xml:space="preserve">15.5 乙方施工期间应服从学校管理，不得有在校园内抽烟、乱丢垃圾、电瓶车骑行等行为，不得影响学校正常的教育教学工作，如有违反，每人每次在项目费用中扣款100元，情节恶劣的，除给予适当处罚外，该员工不得继续参与施工。</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十六、不可抗力事件处理</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16.1 在合同有效期内，任何一方因不可抗力事件导致不能履行合同，则合同履行期可延长，其延长期与不可抗力影响期相同。</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16.2 不可抗力事件发生后，应立即通知对方，并寄送有关权威机构出具的证明。</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16.3 不可抗力事件延续120天以上，双方应通过友好协商，确定是否继续履行合同。</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十七、诉讼</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17.1 双方在执行合同中所发生的一切争议，应通过协商解决。如协商不成，可向合同签订地法院起诉，合同签订地在此约定为扬州市。</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十八、</w:t>
      </w:r>
      <w:r>
        <w:rPr>
          <w:rFonts w:hint="eastAsia" w:ascii="宋体" w:hAnsi="宋体" w:eastAsia="宋体" w:cs="宋体"/>
          <w:bCs/>
          <w:color w:val="auto"/>
          <w:szCs w:val="21"/>
          <w:highlight w:val="none"/>
        </w:rPr>
        <w:t xml:space="preserve">为落实好政府采购履约资金扶持政策，乙方可凭政府采购合同办理融资贷款，详见江苏政府采购网“政采贷”专栏</w:t>
      </w:r>
      <w:r>
        <w:rPr>
          <w:rFonts w:hint="eastAsia" w:ascii="宋体" w:hAnsi="宋体" w:eastAsia="宋体" w:cs="宋体"/>
          <w:color w:val="auto"/>
          <w:szCs w:val="21"/>
          <w:highlight w:val="none"/>
        </w:rPr>
        <w:t xml:space="preserve">。</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lang w:val="en-US" w:eastAsia="zh-CN"/>
        </w:rPr>
        <w:t xml:space="preserve">十九、</w:t>
      </w:r>
      <w:r>
        <w:rPr>
          <w:rFonts w:hint="eastAsia" w:ascii="宋体" w:hAnsi="宋体" w:eastAsia="宋体" w:cs="宋体"/>
          <w:b/>
          <w:bCs/>
          <w:color w:val="auto"/>
          <w:sz w:val="21"/>
          <w:highlight w:val="none"/>
        </w:rPr>
        <w:t xml:space="preserve">货物（包含与货物相关的服务）的追加</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政府采购合同履行中，采购人需追加与合同标的相同的货物（包含与货物相关的服务）的，在不改变合同其他条款的前提下，可以与中标</w:t>
      </w:r>
      <w:r>
        <w:rPr>
          <w:rFonts w:hint="eastAsia" w:ascii="宋体" w:hAnsi="宋体" w:cs="宋体"/>
          <w:color w:val="auto"/>
          <w:szCs w:val="21"/>
          <w:highlight w:val="none"/>
          <w:lang w:val="en-US" w:eastAsia="zh-CN"/>
        </w:rPr>
        <w:t xml:space="preserve">人</w:t>
      </w:r>
      <w:r>
        <w:rPr>
          <w:rFonts w:hint="eastAsia" w:ascii="宋体" w:hAnsi="宋体" w:eastAsia="宋体" w:cs="宋体"/>
          <w:color w:val="auto"/>
          <w:szCs w:val="21"/>
          <w:highlight w:val="none"/>
        </w:rPr>
        <w:t xml:space="preserve">协商签订补充合同，但所有补充合同的采购金额不超过原合同金额10%。</w:t>
      </w:r>
      <w:r/>
    </w:p>
    <w:p>
      <w:pPr>
        <w:pStyle w:val="967"/>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hAnsi="宋体" w:cs="宋体"/>
          <w:b/>
          <w:bCs/>
          <w:color w:val="auto"/>
          <w:sz w:val="21"/>
          <w:highlight w:val="none"/>
          <w:lang w:val="en-US" w:eastAsia="zh-CN"/>
        </w:rPr>
        <w:t xml:space="preserve">二十</w:t>
      </w:r>
      <w:r>
        <w:rPr>
          <w:rFonts w:hint="eastAsia" w:ascii="宋体" w:hAnsi="宋体" w:eastAsia="宋体" w:cs="宋体"/>
          <w:b/>
          <w:bCs/>
          <w:color w:val="auto"/>
          <w:sz w:val="21"/>
          <w:highlight w:val="none"/>
        </w:rPr>
        <w:t xml:space="preserve">、合同生效及其它</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合同经双方法定代表人签章并加盖单位公章，并经</w:t>
      </w:r>
      <w:r>
        <w:rPr>
          <w:rFonts w:hint="eastAsia" w:hAnsi="宋体" w:cs="宋体"/>
          <w:color w:val="auto"/>
          <w:sz w:val="21"/>
          <w:highlight w:val="none"/>
          <w:lang w:eastAsia="zh-CN"/>
        </w:rPr>
        <w:t xml:space="preserve">扬州大学工程设计研究院有限公司</w:t>
      </w:r>
      <w:r>
        <w:rPr>
          <w:rFonts w:hint="eastAsia" w:ascii="宋体" w:hAnsi="宋体" w:eastAsia="宋体" w:cs="宋体"/>
          <w:color w:val="auto"/>
          <w:sz w:val="21"/>
          <w:highlight w:val="none"/>
        </w:rPr>
        <w:t xml:space="preserve">见证盖章后生效。</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19.2本合同未尽事宜，遵照《中华人民共和国民法典》有关条文执行。</w:t>
      </w:r>
      <w:r/>
    </w:p>
    <w:p>
      <w:pPr>
        <w:pStyle w:val="967"/>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本合同正本一式</w:t>
      </w:r>
      <w:r>
        <w:rPr>
          <w:rFonts w:hint="eastAsia" w:hAnsi="宋体" w:cs="宋体"/>
          <w:color w:val="auto"/>
          <w:sz w:val="21"/>
          <w:highlight w:val="none"/>
          <w:lang w:val="en-US" w:eastAsia="zh-CN"/>
        </w:rPr>
        <w:t xml:space="preserve">五</w:t>
      </w:r>
      <w:r>
        <w:rPr>
          <w:rFonts w:hint="eastAsia" w:ascii="宋体" w:hAnsi="宋体" w:eastAsia="宋体" w:cs="宋体"/>
          <w:color w:val="auto"/>
          <w:sz w:val="21"/>
          <w:highlight w:val="none"/>
        </w:rPr>
        <w:t xml:space="preserve">份，具有同等法律效力，甲方、乙方各执</w:t>
      </w:r>
      <w:r>
        <w:rPr>
          <w:rFonts w:hint="eastAsia" w:hAnsi="宋体" w:cs="宋体"/>
          <w:color w:val="auto"/>
          <w:sz w:val="21"/>
          <w:highlight w:val="none"/>
          <w:lang w:eastAsia="zh-CN"/>
        </w:rPr>
        <w:t xml:space="preserve">两份</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见证方执一份。  </w:t>
      </w:r>
      <w:r/>
    </w:p>
    <w:tbl>
      <w:tblPr>
        <w:tblStyle w:val="734"/>
        <w:tblW w:w="8379" w:type="dxa"/>
        <w:tblInd w:w="27" w:type="dxa"/>
        <w:tblLayout w:type="fixed"/>
        <w:tblCellMar>
          <w:left w:w="108" w:type="dxa"/>
          <w:top w:w="0" w:type="dxa"/>
          <w:right w:w="108" w:type="dxa"/>
          <w:bottom w:w="0" w:type="dxa"/>
        </w:tblCellMar>
        <w:tblLook w:val="04A0" w:firstRow="1" w:lastRow="0" w:firstColumn="1" w:lastColumn="0" w:noHBand="0" w:noVBand="1"/>
      </w:tblPr>
      <w:tblGrid>
        <w:gridCol w:w="4212"/>
        <w:gridCol w:w="4167"/>
      </w:tblGrid>
      <w:tr>
        <w:trPr>
          <w:trHeight w:val="16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67"/>
              <w:spacing w:before="120" w:after="120"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甲方：</w:t>
            </w:r>
            <w:r>
              <w:rPr>
                <w:rFonts w:hint="eastAsia" w:hAnsi="宋体" w:cs="宋体"/>
                <w:color w:val="auto"/>
                <w:sz w:val="21"/>
                <w:highlight w:val="none"/>
                <w:lang w:eastAsia="zh-CN"/>
              </w:rPr>
              <w:t xml:space="preserve">扬州高等职业技术学校</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乙方：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地址：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法定代表人或授权代表：</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日期：202</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年    月    日  </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日期：202</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年    月    日</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67"/>
              <w:spacing w:before="120" w:after="120"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见证方：</w:t>
            </w:r>
            <w:r>
              <w:rPr>
                <w:rFonts w:hint="eastAsia" w:hAnsi="宋体" w:cs="宋体"/>
                <w:color w:val="auto"/>
                <w:sz w:val="21"/>
                <w:highlight w:val="none"/>
                <w:lang w:eastAsia="zh-CN"/>
              </w:rPr>
              <w:t xml:space="preserve">扬州大学工程设计研究院有限公司</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日期：202</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年    月    日 </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67"/>
              <w:spacing w:before="120" w:after="120" w:line="360" w:lineRule="auto"/>
              <w:rPr>
                <w:rFonts w:hint="eastAsia" w:hAnsi="宋体" w:cs="宋体"/>
                <w:color w:val="auto"/>
                <w:sz w:val="21"/>
                <w:highlight w:val="none"/>
              </w:rPr>
            </w:pPr>
            <w:r>
              <w:rPr>
                <w:rFonts w:hint="eastAsia" w:hAnsi="宋体" w:cs="宋体"/>
                <w:color w:val="auto"/>
                <w:sz w:val="21"/>
                <w:highlight w:val="none"/>
              </w:rPr>
            </w:r>
            <w:r/>
          </w:p>
        </w:tc>
      </w:tr>
    </w:tbl>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numPr>
          <w:ilvl w:val="0"/>
          <w:numId w:val="0"/>
        </w:numPr>
        <w:rPr>
          <w:color w:val="auto"/>
          <w:highlight w:val="none"/>
        </w:rPr>
      </w:pPr>
      <w:r>
        <w:rPr>
          <w:color w:val="auto"/>
          <w:highlight w:val="none"/>
        </w:rPr>
      </w:r>
      <w:r/>
    </w:p>
    <w:p>
      <w:pPr>
        <w:pStyle w:val="724"/>
        <w:numPr>
          <w:ilvl w:val="0"/>
          <w:numId w:val="2"/>
        </w:numPr>
        <w:rPr>
          <w:color w:val="auto"/>
          <w:highlight w:val="none"/>
        </w:rPr>
      </w:pPr>
      <w:r>
        <w:rPr>
          <w:rFonts w:hint="eastAsia"/>
          <w:color w:val="auto"/>
          <w:highlight w:val="none"/>
          <w:lang w:val="en-US" w:eastAsia="zh-CN"/>
        </w:rPr>
        <w:t xml:space="preserve"> </w:t>
      </w:r>
      <w:r>
        <w:rPr>
          <w:rFonts w:hint="eastAsia"/>
          <w:color w:val="auto"/>
          <w:highlight w:val="none"/>
        </w:rPr>
        <w:t xml:space="preserve">项目需求</w:t>
      </w:r>
      <w:r/>
    </w:p>
    <w:p>
      <w:pPr>
        <w:pStyle w:val="739"/>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以下技术参数内容为参考标准，投标人应根据自身产品实际情况提供满足使用需求、性能等于或高于以下技术参数标准的产品</w:t>
      </w:r>
      <w:r>
        <w:rPr>
          <w:rFonts w:hint="eastAsia" w:ascii="宋体" w:hAnsi="宋体" w:eastAsia="宋体" w:cs="宋体"/>
          <w:b/>
          <w:bCs/>
          <w:color w:val="auto"/>
          <w:sz w:val="21"/>
          <w:szCs w:val="21"/>
          <w:highlight w:val="none"/>
          <w:lang w:val="en-US" w:eastAsia="zh-CN"/>
        </w:rPr>
        <w:t xml:space="preserve">(严格按照国家标准执行)</w:t>
      </w:r>
      <w:r>
        <w:rPr>
          <w:rFonts w:hint="eastAsia" w:ascii="宋体" w:hAnsi="宋体" w:eastAsia="宋体" w:cs="宋体"/>
          <w:b/>
          <w:bCs/>
          <w:color w:val="auto"/>
          <w:sz w:val="21"/>
          <w:szCs w:val="21"/>
          <w:highlight w:val="none"/>
        </w:rPr>
        <w:t xml:space="preserve">。如在各技术参数中仅为某一品牌或型号所有的，仅起说明作用，并没有任何限制性，投标人可以选用替代标准。</w:t>
      </w:r>
      <w:r/>
    </w:p>
    <w:p>
      <w:pPr>
        <w:pStyle w:val="739"/>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项目属性</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货物类</w:t>
      </w:r>
      <w:r>
        <w:rPr>
          <w:rFonts w:hint="eastAsia" w:ascii="宋体" w:hAnsi="宋体" w:eastAsia="宋体" w:cs="宋体"/>
          <w:b/>
          <w:bCs/>
          <w:color w:val="auto"/>
          <w:sz w:val="21"/>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1.如本项目采购产品被财政部、</w:t>
      </w:r>
      <w:r>
        <w:rPr>
          <w:rFonts w:hint="eastAsia" w:ascii="宋体" w:hAnsi="宋体" w:cs="宋体"/>
          <w:b w:val="0"/>
          <w:bCs w:val="0"/>
          <w:color w:val="auto"/>
          <w:sz w:val="21"/>
          <w:szCs w:val="21"/>
          <w:highlight w:val="none"/>
          <w:lang w:eastAsia="zh-CN"/>
        </w:rPr>
        <w:t xml:space="preserve">国家发展改革委</w:t>
      </w:r>
      <w:r>
        <w:rPr>
          <w:rFonts w:hint="eastAsia" w:ascii="宋体" w:hAnsi="宋体" w:cs="宋体"/>
          <w:b w:val="0"/>
          <w:bCs w:val="0"/>
          <w:color w:val="auto"/>
          <w:sz w:val="21"/>
          <w:szCs w:val="21"/>
          <w:highlight w:val="none"/>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b w:val="0"/>
          <w:bCs w:val="0"/>
          <w:color w:val="auto"/>
          <w:sz w:val="21"/>
          <w:szCs w:val="21"/>
          <w:highlight w:val="none"/>
          <w:u w:val="single"/>
          <w:lang w:val="en-US" w:eastAsia="zh-CN"/>
        </w:rPr>
        <w:t xml:space="preserve">无</w:t>
      </w:r>
      <w:r>
        <w:rPr>
          <w:rFonts w:hint="eastAsia" w:ascii="宋体" w:hAnsi="宋体" w:cs="宋体"/>
          <w:b w:val="0"/>
          <w:bCs w:val="0"/>
          <w:color w:val="auto"/>
          <w:sz w:val="21"/>
          <w:szCs w:val="21"/>
          <w:highlight w:val="none"/>
          <w:u w:val="single"/>
        </w:rPr>
        <w:t xml:space="preserve">。</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2.供应商对于投标产品的包装应按照“财办库〔2020〕123号《关于印发《商品包装政府采购需求标准（试行）</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快递包装政府采购需求标准（试行）》的通知》”执行。</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3.采购需求中</w:t>
      </w:r>
      <w:r>
        <w:rPr>
          <w:rFonts w:hint="eastAsia" w:ascii="宋体" w:hAnsi="宋体" w:cs="宋体"/>
          <w:b/>
          <w:bCs/>
          <w:i/>
          <w:iCs/>
          <w:color w:val="auto"/>
          <w:sz w:val="21"/>
          <w:szCs w:val="21"/>
          <w:highlight w:val="none"/>
          <w:u w:val="single"/>
        </w:rPr>
        <w:t xml:space="preserve">斜体且有下划线部分</w:t>
      </w:r>
      <w:r>
        <w:rPr>
          <w:rFonts w:hint="eastAsia" w:ascii="宋体" w:hAnsi="宋体" w:cs="宋体"/>
          <w:b w:val="0"/>
          <w:bCs w:val="0"/>
          <w:color w:val="auto"/>
          <w:sz w:val="21"/>
          <w:szCs w:val="21"/>
          <w:highlight w:val="none"/>
        </w:rPr>
        <w:t xml:space="preserve">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4.投标人需对技术要求（未加斜体下划线的非实质性要求）逐条做出明确响应。如果招标文件要求提供证明材料，投标人需将证明材料列于</w:t>
      </w:r>
      <w:r>
        <w:rPr>
          <w:rFonts w:hint="eastAsia" w:ascii="宋体" w:hAnsi="宋体" w:cs="宋体"/>
          <w:b/>
          <w:bCs/>
          <w:color w:val="auto"/>
          <w:sz w:val="21"/>
          <w:szCs w:val="21"/>
          <w:highlight w:val="none"/>
        </w:rPr>
        <w:t xml:space="preserve">技术要求响应及偏离表</w:t>
      </w:r>
      <w:r>
        <w:rPr>
          <w:rFonts w:hint="eastAsia" w:ascii="宋体" w:hAnsi="宋体" w:cs="宋体"/>
          <w:b w:val="0"/>
          <w:bCs w:val="0"/>
          <w:color w:val="auto"/>
          <w:sz w:val="21"/>
          <w:szCs w:val="21"/>
          <w:highlight w:val="none"/>
        </w:rPr>
        <w:t xml:space="preserve">之下。</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5.投标人需对商务要求（未加斜体下划线的非实质性要求）逐条做出明确响应。如果招标文件要求提供证明材料，投标人需将证明材料列于</w:t>
      </w:r>
      <w:r>
        <w:rPr>
          <w:rFonts w:hint="eastAsia" w:ascii="宋体" w:hAnsi="宋体" w:cs="宋体"/>
          <w:b/>
          <w:bCs/>
          <w:color w:val="auto"/>
          <w:sz w:val="21"/>
          <w:szCs w:val="21"/>
          <w:highlight w:val="none"/>
        </w:rPr>
        <w:t xml:space="preserve">商务要求响应及偏离表</w:t>
      </w:r>
      <w:r>
        <w:rPr>
          <w:rFonts w:hint="eastAsia" w:ascii="宋体" w:hAnsi="宋体" w:cs="宋体"/>
          <w:b w:val="0"/>
          <w:bCs w:val="0"/>
          <w:color w:val="auto"/>
          <w:sz w:val="21"/>
          <w:szCs w:val="21"/>
          <w:highlight w:val="none"/>
        </w:rPr>
        <w:t xml:space="preserve">之下。</w:t>
      </w:r>
      <w:r/>
    </w:p>
    <w:p>
      <w:pPr>
        <w:pStyle w:val="739"/>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6.采购标的清单</w:t>
      </w:r>
      <w:r/>
    </w:p>
    <w:tbl>
      <w:tblPr>
        <w:tblStyle w:val="734"/>
        <w:tblW w:w="48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30"/>
        <w:gridCol w:w="2514"/>
        <w:gridCol w:w="3531"/>
      </w:tblGrid>
      <w:tr>
        <w:trPr>
          <w:cantSplit/>
          <w:jc w:val="center"/>
          <w:trHeight w:val="607"/>
        </w:trPr>
        <w:tc>
          <w:tcPr>
            <w:tcW w:w="1210"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 w:val="21"/>
                <w:szCs w:val="21"/>
                <w:highlight w:val="none"/>
              </w:rPr>
              <w:t xml:space="preserve">采购包号</w:t>
            </w:r>
            <w:r/>
          </w:p>
        </w:tc>
        <w:tc>
          <w:tcPr>
            <w:tcW w:w="1576"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采购标的</w:t>
            </w:r>
            <w:r/>
          </w:p>
        </w:tc>
        <w:tc>
          <w:tcPr>
            <w:tcW w:w="2213"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对应中小企业划分标准所属行业</w:t>
            </w:r>
            <w:r/>
          </w:p>
        </w:tc>
      </w:tr>
      <w:tr>
        <w:trPr>
          <w:cantSplit/>
          <w:jc w:val="center"/>
          <w:trHeight w:val="318"/>
        </w:trPr>
        <w:tc>
          <w:tcPr>
            <w:tcW w:w="1210"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576" w:type="pct"/>
            <w:vAlign w:val="center"/>
            <w:textDirection w:val="lrTb"/>
            <w:noWrap w:val="false"/>
          </w:tcPr>
          <w:p>
            <w:pPr>
              <w:jc w:val="center"/>
              <w:keepLines w:val="0"/>
              <w:keepNext w:val="0"/>
              <w:pageBreakBefore w:val="0"/>
              <w:spacing w:line="360" w:lineRule="auto"/>
              <w:widowControl w:val="off"/>
              <w:tabs>
                <w:tab w:val="left" w:pos="202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学生宿舍床铺购置</w:t>
            </w:r>
            <w:r/>
          </w:p>
        </w:tc>
        <w:tc>
          <w:tcPr>
            <w:tcW w:w="221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工业</w:t>
            </w:r>
            <w:r/>
          </w:p>
        </w:tc>
      </w:tr>
    </w:tbl>
    <w:p>
      <w:pPr>
        <w:pStyle w:val="739"/>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核心产品</w:t>
      </w:r>
      <w:r/>
    </w:p>
    <w:tbl>
      <w:tblPr>
        <w:tblStyle w:val="7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01"/>
        <w:gridCol w:w="5835"/>
      </w:tblGrid>
      <w:tr>
        <w:trPr>
          <w:jc w:val="center"/>
        </w:trPr>
        <w:tc>
          <w:tcPr>
            <w:tcW w:w="2201"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采购包号</w:t>
            </w:r>
            <w:r/>
          </w:p>
        </w:tc>
        <w:tc>
          <w:tcPr>
            <w:tcW w:w="5835"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采购名称</w:t>
            </w:r>
            <w:r/>
          </w:p>
        </w:tc>
      </w:tr>
      <w:tr>
        <w:trPr>
          <w:jc w:val="center"/>
        </w:trPr>
        <w:tc>
          <w:tcPr>
            <w:tcW w:w="2201"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583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学生宿舍床铺购置</w:t>
            </w:r>
            <w:r/>
          </w:p>
        </w:tc>
      </w:tr>
    </w:tbl>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8.</w:t>
      </w:r>
      <w:r>
        <w:rPr>
          <w:rFonts w:hint="eastAsia" w:ascii="宋体" w:hAnsi="宋体" w:cs="宋体"/>
          <w:b w:val="0"/>
          <w:bCs w:val="0"/>
          <w:color w:val="auto"/>
          <w:sz w:val="21"/>
          <w:szCs w:val="21"/>
          <w:highlight w:val="none"/>
        </w:rPr>
        <w:t xml:space="preserve">进口产品投标</w:t>
      </w:r>
      <w:r/>
    </w:p>
    <w:tbl>
      <w:tblPr>
        <w:tblStyle w:val="7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48"/>
        <w:gridCol w:w="5801"/>
      </w:tblGrid>
      <w:tr>
        <w:trPr>
          <w:jc w:val="center"/>
          <w:trHeight w:val="818"/>
        </w:trPr>
        <w:tc>
          <w:tcPr>
            <w:tcW w:w="2248"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采购包号</w:t>
            </w:r>
            <w:r/>
          </w:p>
        </w:tc>
        <w:tc>
          <w:tcPr>
            <w:tcW w:w="5801"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是否接受进口产品投标</w:t>
            </w:r>
            <w:r/>
          </w:p>
          <w:p>
            <w:pPr>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（是/否）</w:t>
            </w:r>
            <w:r/>
          </w:p>
        </w:tc>
      </w:tr>
      <w:tr>
        <w:trPr>
          <w:jc w:val="center"/>
          <w:trHeight w:val="424"/>
        </w:trPr>
        <w:tc>
          <w:tcPr>
            <w:tcW w:w="2248"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58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否</w:t>
            </w:r>
            <w:r/>
          </w:p>
        </w:tc>
      </w:tr>
    </w:tbl>
    <w:p>
      <w:pPr>
        <w:numPr>
          <w:ilvl w:val="0"/>
          <w:numId w:val="0"/>
        </w:numPr>
        <w:ind w:firstLine="422"/>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二、</w:t>
      </w:r>
      <w:r>
        <w:rPr>
          <w:rFonts w:hint="eastAsia" w:ascii="宋体" w:hAnsi="宋体" w:cs="宋体"/>
          <w:b/>
          <w:bCs/>
          <w:color w:val="auto"/>
          <w:sz w:val="21"/>
          <w:szCs w:val="21"/>
          <w:highlight w:val="none"/>
        </w:rPr>
        <w:t xml:space="preserve">政府采购中实施本国产品标准及相关政策</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1.本项目对采购本国产品给予政策支持，具体内容见招标文件“第五章 评标方法与评标标准”。</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w:t>
      </w:r>
      <w:r>
        <w:rPr>
          <w:rFonts w:hint="eastAsia" w:ascii="宋体" w:hAnsi="宋体" w:cs="宋体"/>
          <w:b w:val="0"/>
          <w:bCs w:val="0"/>
          <w:color w:val="auto"/>
          <w:sz w:val="21"/>
          <w:szCs w:val="21"/>
          <w:highlight w:val="none"/>
        </w:rPr>
        <w:t xml:space="preserve">对医疗器械产品，取得药品监督管理部门授予的准字号医疗器械注册证的，属于在中国境内生产的产品；其他产品，根据实际情况判断是否在中国境内生产。</w:t>
      </w:r>
      <w:r/>
    </w:p>
    <w:p>
      <w:pPr>
        <w:numPr>
          <w:ilvl w:val="0"/>
          <w:numId w:val="0"/>
        </w:numPr>
        <w:ind w:left="0" w:firstLine="422"/>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三、采购清单及技术参数</w:t>
      </w:r>
      <w:r/>
    </w:p>
    <w:tbl>
      <w:tblPr>
        <w:tblStyle w:val="734"/>
        <w:tblpPr w:horzAnchor="page" w:tblpXSpec="center" w:vertAnchor="text" w:tblpY="491" w:leftFromText="180" w:topFromText="0" w:rightFromText="180" w:bottomFromText="0"/>
        <w:tblW w:w="10017" w:type="dxa"/>
        <w:jc w:val="center"/>
        <w:tblLayout w:type="fixed"/>
        <w:tblCellMar>
          <w:left w:w="108" w:type="dxa"/>
          <w:top w:w="0" w:type="dxa"/>
          <w:right w:w="108" w:type="dxa"/>
          <w:bottom w:w="0" w:type="dxa"/>
        </w:tblCellMar>
        <w:tblLook w:val="04A0" w:firstRow="1" w:lastRow="0" w:firstColumn="1" w:lastColumn="0" w:noHBand="0" w:noVBand="1"/>
      </w:tblPr>
      <w:tblGrid>
        <w:gridCol w:w="706"/>
        <w:gridCol w:w="1134"/>
        <w:gridCol w:w="8177"/>
      </w:tblGrid>
      <w:tr>
        <w:trPr>
          <w:jc w:val="center"/>
          <w:trHeight w:val="382"/>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360" w:lineRule="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8177" w:type="dxa"/>
            <w:vAlign w:val="center"/>
            <w:textDirection w:val="lrTb"/>
            <w:noWrap/>
          </w:tcPr>
          <w:p>
            <w:pPr>
              <w:jc w:val="cente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技术参数</w:t>
            </w:r>
            <w:r/>
          </w:p>
        </w:tc>
      </w:tr>
      <w:tr>
        <w:trPr>
          <w:jc w:val="center"/>
          <w:trHeight w:val="413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727"/>
              <w:numPr>
                <w:ilvl w:val="0"/>
                <w:numId w:val="0"/>
              </w:numPr>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两人位公寓床</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pStyle w:val="757"/>
              <w:numPr>
                <w:ilvl w:val="0"/>
                <w:numId w:val="0"/>
              </w:numPr>
              <w:jc w:val="left"/>
              <w:spacing w:line="360" w:lineRule="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 xml:space="preserve">公寓组合床规格：长</w:t>
            </w:r>
            <w:r>
              <w:rPr>
                <w:rFonts w:hint="eastAsia" w:asciiTheme="minorEastAsia" w:hAnsiTheme="minorEastAsia" w:cstheme="minorEastAsia"/>
                <w:color w:val="auto"/>
                <w:sz w:val="21"/>
                <w:szCs w:val="21"/>
                <w:highlight w:val="none"/>
                <w:shd w:val="clear" w:color="auto" w:fill="auto"/>
                <w:lang w:val="en-US" w:eastAsia="zh-CN"/>
              </w:rPr>
              <w:t xml:space="preserve">45</w:t>
            </w:r>
            <w:r>
              <w:rPr>
                <w:rFonts w:hint="eastAsia" w:asciiTheme="minorEastAsia" w:hAnsiTheme="minorEastAsia" w:eastAsiaTheme="minorEastAsia" w:cstheme="minorEastAsia"/>
                <w:color w:val="auto"/>
                <w:sz w:val="21"/>
                <w:szCs w:val="21"/>
                <w:highlight w:val="none"/>
                <w:shd w:val="clear" w:color="auto" w:fill="auto"/>
              </w:rPr>
              <w:t xml:space="preserve">00mm*宽1000mm*高2</w:t>
            </w:r>
            <w:r>
              <w:rPr>
                <w:rFonts w:hint="eastAsia" w:asciiTheme="minorEastAsia" w:hAnsiTheme="minorEastAsia" w:cstheme="minorEastAsia"/>
                <w:color w:val="auto"/>
                <w:sz w:val="21"/>
                <w:szCs w:val="21"/>
                <w:highlight w:val="none"/>
                <w:shd w:val="clear" w:color="auto" w:fill="auto"/>
                <w:lang w:val="en-US" w:eastAsia="zh-CN"/>
              </w:rPr>
              <w:t xml:space="preserve">10</w:t>
            </w:r>
            <w:r>
              <w:rPr>
                <w:rFonts w:hint="eastAsia" w:asciiTheme="minorEastAsia" w:hAnsiTheme="minorEastAsia" w:eastAsiaTheme="minorEastAsia" w:cstheme="minorEastAsia"/>
                <w:color w:val="auto"/>
                <w:sz w:val="21"/>
                <w:szCs w:val="21"/>
                <w:highlight w:val="none"/>
                <w:shd w:val="clear" w:color="auto" w:fill="auto"/>
              </w:rPr>
              <w:t xml:space="preserve">0mm</w:t>
            </w:r>
            <w:r>
              <w:rPr>
                <w:rFonts w:hint="eastAsia" w:asciiTheme="minorEastAsia" w:hAnsiTheme="minorEastAsia" w:cstheme="minorEastAsia"/>
                <w:color w:val="auto"/>
                <w:sz w:val="21"/>
                <w:szCs w:val="21"/>
                <w:highlight w:val="none"/>
                <w:shd w:val="clear" w:color="auto" w:fill="auto"/>
                <w:lang w:val="en-US" w:eastAsia="zh-CN"/>
              </w:rPr>
              <w:t xml:space="preserve">/含蚊帐架总高2800mm</w:t>
            </w:r>
            <w:r>
              <w:rPr>
                <w:rFonts w:hint="eastAsia" w:asciiTheme="minorEastAsia" w:hAnsiTheme="minorEastAsia" w:eastAsiaTheme="minorEastAsia" w:cstheme="minorEastAsia"/>
                <w:color w:val="auto"/>
                <w:sz w:val="21"/>
                <w:szCs w:val="21"/>
                <w:highlight w:val="none"/>
                <w:shd w:val="clear" w:color="auto" w:fill="auto"/>
              </w:rPr>
              <w:t xml:space="preserve">，外形尺寸正负5mm，床横梁离地净空高1700mm；每套为</w:t>
            </w:r>
            <w:r>
              <w:rPr>
                <w:rFonts w:hint="eastAsia" w:asciiTheme="minorEastAsia" w:hAnsiTheme="minorEastAsia" w:cstheme="minorEastAsia"/>
                <w:color w:val="auto"/>
                <w:sz w:val="21"/>
                <w:szCs w:val="21"/>
                <w:highlight w:val="none"/>
                <w:shd w:val="clear" w:color="auto" w:fill="auto"/>
                <w:lang w:val="en-US" w:eastAsia="zh-CN"/>
              </w:rPr>
              <w:t xml:space="preserve">两</w:t>
            </w:r>
            <w:r>
              <w:rPr>
                <w:rFonts w:hint="eastAsia" w:asciiTheme="minorEastAsia" w:hAnsiTheme="minorEastAsia" w:eastAsiaTheme="minorEastAsia" w:cstheme="minorEastAsia"/>
                <w:color w:val="auto"/>
                <w:sz w:val="21"/>
                <w:szCs w:val="21"/>
                <w:highlight w:val="none"/>
                <w:shd w:val="clear" w:color="auto" w:fill="auto"/>
              </w:rPr>
              <w:t xml:space="preserve">人位（注：含床架</w:t>
            </w:r>
            <w:r>
              <w:rPr>
                <w:rFonts w:hint="eastAsia" w:asciiTheme="minorEastAsia" w:hAnsiTheme="minorEastAsia" w:cstheme="minorEastAsia"/>
                <w:color w:val="auto"/>
                <w:sz w:val="21"/>
                <w:szCs w:val="21"/>
                <w:highlight w:val="none"/>
                <w:shd w:val="clear" w:color="auto" w:fill="auto"/>
                <w:lang w:val="en-US" w:eastAsia="zh-CN"/>
              </w:rPr>
              <w:t xml:space="preserve">两</w:t>
            </w:r>
            <w:r>
              <w:rPr>
                <w:rFonts w:hint="eastAsia" w:asciiTheme="minorEastAsia" w:hAnsiTheme="minorEastAsia" w:eastAsiaTheme="minorEastAsia" w:cstheme="minorEastAsia"/>
                <w:color w:val="auto"/>
                <w:sz w:val="21"/>
                <w:szCs w:val="21"/>
                <w:highlight w:val="none"/>
                <w:shd w:val="clear" w:color="auto" w:fill="auto"/>
              </w:rPr>
              <w:t xml:space="preserve">张、衣柜</w:t>
            </w:r>
            <w:r>
              <w:rPr>
                <w:rFonts w:hint="eastAsia" w:asciiTheme="minorEastAsia" w:hAnsiTheme="minorEastAsia" w:cstheme="minorEastAsia"/>
                <w:color w:val="auto"/>
                <w:sz w:val="21"/>
                <w:szCs w:val="21"/>
                <w:highlight w:val="none"/>
                <w:shd w:val="clear" w:color="auto" w:fill="auto"/>
                <w:lang w:val="en-US" w:eastAsia="zh-CN"/>
              </w:rPr>
              <w:t xml:space="preserve">两</w:t>
            </w:r>
            <w:r>
              <w:rPr>
                <w:rFonts w:hint="eastAsia" w:asciiTheme="minorEastAsia" w:hAnsiTheme="minorEastAsia" w:eastAsiaTheme="minorEastAsia" w:cstheme="minorEastAsia"/>
                <w:color w:val="auto"/>
                <w:sz w:val="21"/>
                <w:szCs w:val="21"/>
                <w:highlight w:val="none"/>
                <w:shd w:val="clear" w:color="auto" w:fill="auto"/>
              </w:rPr>
              <w:t xml:space="preserve">个、写字桌</w:t>
            </w:r>
            <w:r>
              <w:rPr>
                <w:rFonts w:hint="eastAsia" w:asciiTheme="minorEastAsia" w:hAnsiTheme="minorEastAsia" w:cstheme="minorEastAsia"/>
                <w:color w:val="auto"/>
                <w:sz w:val="21"/>
                <w:szCs w:val="21"/>
                <w:highlight w:val="none"/>
                <w:shd w:val="clear" w:color="auto" w:fill="auto"/>
                <w:lang w:val="en-US" w:eastAsia="zh-CN"/>
              </w:rPr>
              <w:t xml:space="preserve">两</w:t>
            </w:r>
            <w:r>
              <w:rPr>
                <w:rFonts w:hint="eastAsia" w:asciiTheme="minorEastAsia" w:hAnsiTheme="minorEastAsia" w:eastAsiaTheme="minorEastAsia" w:cstheme="minorEastAsia"/>
                <w:color w:val="auto"/>
                <w:sz w:val="21"/>
                <w:szCs w:val="21"/>
                <w:highlight w:val="none"/>
                <w:shd w:val="clear" w:color="auto" w:fill="auto"/>
              </w:rPr>
              <w:t xml:space="preserve">张、书架</w:t>
            </w:r>
            <w:r>
              <w:rPr>
                <w:rFonts w:hint="eastAsia" w:asciiTheme="minorEastAsia" w:hAnsiTheme="minorEastAsia" w:cstheme="minorEastAsia"/>
                <w:color w:val="auto"/>
                <w:sz w:val="21"/>
                <w:szCs w:val="21"/>
                <w:highlight w:val="none"/>
                <w:shd w:val="clear" w:color="auto" w:fill="auto"/>
                <w:lang w:val="en-US" w:eastAsia="zh-CN"/>
              </w:rPr>
              <w:t xml:space="preserve">两</w:t>
            </w:r>
            <w:r>
              <w:rPr>
                <w:rFonts w:hint="eastAsia" w:asciiTheme="minorEastAsia" w:hAnsiTheme="minorEastAsia" w:eastAsiaTheme="minorEastAsia" w:cstheme="minorEastAsia"/>
                <w:color w:val="auto"/>
                <w:sz w:val="21"/>
                <w:szCs w:val="21"/>
                <w:highlight w:val="none"/>
                <w:shd w:val="clear" w:color="auto" w:fill="auto"/>
              </w:rPr>
              <w:t xml:space="preserve">个、床板</w:t>
            </w:r>
            <w:r>
              <w:rPr>
                <w:rFonts w:hint="eastAsia" w:asciiTheme="minorEastAsia" w:hAnsiTheme="minorEastAsia" w:cstheme="minorEastAsia"/>
                <w:color w:val="auto"/>
                <w:sz w:val="21"/>
                <w:szCs w:val="21"/>
                <w:highlight w:val="none"/>
                <w:shd w:val="clear" w:color="auto" w:fill="auto"/>
                <w:lang w:val="en-US" w:eastAsia="zh-CN"/>
              </w:rPr>
              <w:t xml:space="preserve">两</w:t>
            </w:r>
            <w:r>
              <w:rPr>
                <w:rFonts w:hint="eastAsia" w:asciiTheme="minorEastAsia" w:hAnsiTheme="minorEastAsia" w:eastAsiaTheme="minorEastAsia" w:cstheme="minorEastAsia"/>
                <w:color w:val="auto"/>
                <w:sz w:val="21"/>
                <w:szCs w:val="21"/>
                <w:highlight w:val="none"/>
                <w:shd w:val="clear" w:color="auto" w:fill="auto"/>
              </w:rPr>
              <w:t xml:space="preserve">块、</w:t>
            </w:r>
            <w:r>
              <w:rPr>
                <w:rFonts w:hint="eastAsia" w:asciiTheme="minorEastAsia" w:hAnsiTheme="minorEastAsia" w:cstheme="minorEastAsia"/>
                <w:color w:val="auto"/>
                <w:sz w:val="21"/>
                <w:szCs w:val="21"/>
                <w:highlight w:val="none"/>
                <w:shd w:val="clear" w:color="auto" w:fill="auto"/>
                <w:lang w:val="en-US" w:eastAsia="zh-CN"/>
              </w:rPr>
              <w:t xml:space="preserve">步梯一</w:t>
            </w:r>
            <w:r>
              <w:rPr>
                <w:rFonts w:hint="eastAsia" w:asciiTheme="minorEastAsia" w:hAnsiTheme="minorEastAsia" w:eastAsiaTheme="minorEastAsia" w:cstheme="minorEastAsia"/>
                <w:color w:val="auto"/>
                <w:sz w:val="21"/>
                <w:szCs w:val="21"/>
                <w:highlight w:val="none"/>
                <w:shd w:val="clear" w:color="auto" w:fill="auto"/>
              </w:rPr>
              <w:t xml:space="preserve">个、公寓椅</w:t>
            </w:r>
            <w:r>
              <w:rPr>
                <w:rFonts w:hint="eastAsia" w:asciiTheme="minorEastAsia" w:hAnsiTheme="minorEastAsia" w:cstheme="minorEastAsia"/>
                <w:color w:val="auto"/>
                <w:sz w:val="21"/>
                <w:szCs w:val="21"/>
                <w:highlight w:val="none"/>
                <w:shd w:val="clear" w:color="auto" w:fill="auto"/>
                <w:lang w:val="en-US" w:eastAsia="zh-CN"/>
              </w:rPr>
              <w:t xml:space="preserve">两</w:t>
            </w:r>
            <w:r>
              <w:rPr>
                <w:rFonts w:hint="eastAsia" w:asciiTheme="minorEastAsia" w:hAnsiTheme="minorEastAsia" w:eastAsiaTheme="minorEastAsia" w:cstheme="minorEastAsia"/>
                <w:color w:val="auto"/>
                <w:sz w:val="21"/>
                <w:szCs w:val="21"/>
                <w:highlight w:val="none"/>
                <w:shd w:val="clear" w:color="auto" w:fill="auto"/>
              </w:rPr>
              <w:t xml:space="preserve">把）。</w:t>
            </w:r>
            <w:r/>
          </w:p>
          <w:p>
            <w:pPr>
              <w:pStyle w:val="757"/>
              <w:numPr>
                <w:ilvl w:val="0"/>
                <w:numId w:val="0"/>
              </w:num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★提供“公寓组合床”检测报告，检验检测依据：QB/T 2741-2013、GB/T 3325-2024、GB/T 2423.18-2021、GB/T 6461-2002、GB/T 35607-2024、JC/T 2039-2010、GB/T 11253-2019、GB/T 230.1-2018、GB/T 4340.1-2024、GB/T 17657-2022、GB/T 31762-2015；检测内容至少包含：①理化性</w:t>
            </w:r>
            <w:r>
              <w:rPr>
                <w:rFonts w:hint="eastAsia" w:asciiTheme="minorEastAsia" w:hAnsiTheme="minorEastAsia" w:eastAsiaTheme="minorEastAsia" w:cstheme="minorEastAsia"/>
                <w:b w:val="0"/>
                <w:bCs w:val="0"/>
                <w:color w:val="auto"/>
                <w:sz w:val="21"/>
                <w:szCs w:val="21"/>
                <w:highlight w:val="none"/>
                <w:lang w:val="en-US" w:eastAsia="zh-CN"/>
              </w:rPr>
              <w:t xml:space="preserve">能要求-木制件表面覆面材料：耐液性≥1级；耐湿热≥1级；耐干热≥1级；耐冷热温差符合要求；力学性能【桌类：键盘托（抽屉）耐久性60000次无缺陷;柜类：拉门耐久性60000次无缺陷】，安装符合要求；②硬度符合要求；冲击强度符合要求；附着力0级；耐盐浴符合要求；③交变盐雾试验【168h(试验方法3:1个循环周期7d)：10级/10级(无锈蚀,无鼓泡)】，④产品有害物质-甲醛释放量≤0.01mg/m³，苯≤0.005mg/m³、甲苯≤0.005mg/m³、二甲苯≤0.005mg/m³、总挥发性有机化合物≤0.0</w:t>
            </w:r>
            <w:r>
              <w:rPr>
                <w:rFonts w:hint="eastAsia" w:asciiTheme="minorEastAsia" w:hAnsiTheme="minorEastAsia" w:eastAsiaTheme="minorEastAsia" w:cstheme="minorEastAsia"/>
                <w:b w:val="0"/>
                <w:bCs w:val="0"/>
                <w:color w:val="auto"/>
                <w:sz w:val="21"/>
                <w:szCs w:val="21"/>
                <w:highlight w:val="none"/>
                <w:lang w:val="en-US" w:eastAsia="zh-CN"/>
              </w:rPr>
              <w:t xml:space="preserve">5mg/m³；⑤家具涂层可迁移元素-锑≤5mg/kg、砷≤5mg/kg、钡≤50mg/kg、镉≤5mg/kg、铬≤5mg/kg、铅≤5mg/kg、汞≤5mg/kg、硒≤5mg/kg】，⑥抗细菌性能-抗细菌率（金黄色葡萄球菌、大肠杆菌）≥99.9%；防霉菌性能-防霉菌等级（黑曲霉、寄生曲霉、黄曲霉）为0级；⑦力学性能-抗拉强度Rm≥350MPa、断后伸长率A80mm≥25%、下屈服强度ReL≥220MPa，⑧洛氏硬度≥60，维氏硬度≥130，⑨防静电性能≥6.0x10^11Ω；⑩苯酚释放量≤0.1mg/m³。</w:t>
            </w:r>
            <w:r/>
          </w:p>
          <w:p>
            <w:pPr>
              <w:pStyle w:val="757"/>
              <w:numPr>
                <w:ilvl w:val="0"/>
                <w:numId w:val="0"/>
              </w:num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mc:AlternateContent>
                <mc:Choice Requires="wpg">
                  <w:drawing>
                    <wp:inline xmlns:wp="http://schemas.openxmlformats.org/drawingml/2006/wordprocessingDrawing" distT="0" distB="0" distL="0" distR="0">
                      <wp:extent cx="5047615" cy="3549015"/>
                      <wp:effectExtent l="0" t="0" r="635" b="13335"/>
                      <wp:docPr id="4" name="图片 31" descr="09d8b9d05a4c6de799c6381a61f9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1" descr="09d8b9d05a4c6de799c6381a61f93456"/>
                              <pic:cNvPicPr>
                                <a:picLocks noChangeAspect="1"/>
                              </pic:cNvPicPr>
                              <pic:nvPr/>
                            </pic:nvPicPr>
                            <pic:blipFill>
                              <a:blip r:embed="rId16"/>
                              <a:stretch/>
                            </pic:blipFill>
                            <pic:spPr bwMode="auto">
                              <a:xfrm>
                                <a:off x="0" y="0"/>
                                <a:ext cx="5047615" cy="35490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97.4pt;height:279.4pt;mso-wrap-distance-left:0.0pt;mso-wrap-distance-top:0.0pt;mso-wrap-distance-right:0.0pt;mso-wrap-distance-bottom:0.0pt;" stroked="false">
                      <v:path textboxrect="0,0,0,0"/>
                      <v:imagedata r:id="rId16" o:title=""/>
                    </v:shape>
                  </w:pict>
                </mc:Fallback>
              </mc:AlternateConten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床立柱</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pStyle w:val="757"/>
              <w:jc w:val="left"/>
              <w:spacing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采用冷轧钢板经成型机辊压一次成型咬口闭合异型管，成型后尺寸为72mm±2mm*72mm±2mm,立柱带有四条加强筋，增加立柱强度，立柱与横梁采用卡式连接，立柱一侧带有凸出折边，可隐藏卡式连接处；立柱采用咬口连接辊压成型设计，咬口点隐藏于立柱内，整体美观大方，牢固耐用；钢板厚度≥1.2mm。</w:t>
            </w:r>
            <w:r/>
          </w:p>
          <w:p>
            <w:pPr>
              <w:pStyle w:val="757"/>
              <w:jc w:val="left"/>
              <w:spacing w:line="360" w:lineRule="auto"/>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床立柱：提供“床立柱”检测报告，检验检测依据：GB/T 3325-2024、GB/T 2423.18-2021、GB/T 6461-2002、GB/T 10125-2021、GB/</w:t>
            </w:r>
            <w:r>
              <w:rPr>
                <w:rFonts w:hint="eastAsia" w:asciiTheme="minorEastAsia" w:hAnsiTheme="minorEastAsia" w:eastAsiaTheme="minorEastAsia" w:cstheme="minorEastAsia"/>
                <w:b w:val="0"/>
                <w:bCs w:val="0"/>
                <w:color w:val="auto"/>
                <w:sz w:val="21"/>
                <w:szCs w:val="21"/>
                <w:highlight w:val="none"/>
                <w:lang w:val="en-US" w:eastAsia="zh-CN"/>
              </w:rPr>
              <w:t xml:space="preserve">T 30789.2-2014、GB/T 30789.3-2014、GB/T 30789.4-2015、GB/T 30789.5-2015、GB/T 30789.8-2015、GB/T 35607-2024、GB/T 230.1-2018、GB/T 11253-2019；检测内容至少包含：①外观性能-金属件：喷漆（塑）涂层符合要求；产品表面理化性能-金属喷漆（塑）层：硬度符合要求；冲击强度符合要求；附着力0级；耐盐浴符合要求；②交变盐雾试验168h(试验方法3:1个循环周期7d)：10级/10级(无锈蚀,无鼓</w:t>
            </w:r>
            <w:r>
              <w:rPr>
                <w:rFonts w:hint="eastAsia" w:asciiTheme="minorEastAsia" w:hAnsiTheme="minorEastAsia" w:eastAsiaTheme="minorEastAsia" w:cstheme="minorEastAsia"/>
                <w:b w:val="0"/>
                <w:bCs w:val="0"/>
                <w:color w:val="auto"/>
                <w:sz w:val="21"/>
                <w:szCs w:val="21"/>
                <w:highlight w:val="none"/>
                <w:lang w:val="en-US" w:eastAsia="zh-CN"/>
              </w:rPr>
              <w:t xml:space="preserve">泡)；③耐腐蚀试验-中性盐雾试验48h，起泡等级0级，生锈等级Ri 0级，开裂等级0级，剥落等级0级，腐蚀等级1级，剥离等级1级；④产品有害物质-家具涂层可迁移元素：锑≤5mg/kg；砷≤5mg/kg；钡≤50mg/kg；镉≤5mg/kg；铬≤5mg/kg；铅≤5mg/kg；汞≤5mg/kg；硒≤5mg/kg；⑤洛氏硬度≥60；⑥抗拉强度Rm≥350MPa、断后伸长率A80mm≥30%、下屈服强度ReL≥230MPa；化学成分：C≤0.05%、Si≤0.1%、Mn≤0.5%、P≤0.02%、S≤0.01%。</w:t>
            </w:r>
            <w:r/>
          </w:p>
          <w:p>
            <w:pPr>
              <w:pStyle w:val="757"/>
              <w:jc w:val="center"/>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color w:val="auto"/>
                <w:highlight w:val="none"/>
              </w:rPr>
              <mc:AlternateContent>
                <mc:Choice Requires="wpg">
                  <w:drawing>
                    <wp:inline xmlns:wp="http://schemas.openxmlformats.org/drawingml/2006/wordprocessingDrawing" distT="0" distB="0" distL="0" distR="0">
                      <wp:extent cx="2919730" cy="1424305"/>
                      <wp:effectExtent l="0" t="0" r="13970" b="4445"/>
                      <wp:docPr id="5" name="图片 11" descr="37579f404d0c3e363d150f8006adcc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1" descr="37579f404d0c3e363d150f8006adcc7c"/>
                              <pic:cNvPicPr>
                                <a:picLocks noChangeAspect="1"/>
                              </pic:cNvPicPr>
                              <pic:nvPr/>
                            </pic:nvPicPr>
                            <pic:blipFill>
                              <a:blip r:embed="rId17"/>
                              <a:stretch/>
                            </pic:blipFill>
                            <pic:spPr bwMode="auto">
                              <a:xfrm>
                                <a:off x="0" y="0"/>
                                <a:ext cx="2919730" cy="14243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9.9pt;height:112.1pt;mso-wrap-distance-left:0.0pt;mso-wrap-distance-top:0.0pt;mso-wrap-distance-right:0.0pt;mso-wrap-distance-bottom:0.0pt;" stroked="false">
                      <v:path textboxrect="0,0,0,0"/>
                      <v:imagedata r:id="rId17" o:title=""/>
                    </v:shape>
                  </w:pict>
                </mc:Fallback>
              </mc:AlternateContent>
            </w:r>
            <w:r>
              <w:rPr>
                <w:rFonts w:hint="eastAsia" w:asciiTheme="minorEastAsia" w:hAnsiTheme="minorEastAsia" w:eastAsiaTheme="minorEastAsia" w:cstheme="minorEastAsia"/>
                <w:b w:val="0"/>
                <w:bCs w:val="0"/>
                <w:color w:val="auto"/>
                <w:sz w:val="21"/>
                <w:szCs w:val="21"/>
                <w:highlight w:val="none"/>
              </w:rPr>
              <w:t xml:space="preserve">         </w: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床长横梁</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ind w:left="0" w:right="0"/>
              <w:jc w:val="left"/>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采用冷轧钢板经成型机辊压一次成型咬口闭合异型管，成型后尺寸为95mm±2mm*50mm±2mm，横梁下端为弧型,弧型中间设有一个≥20mm*20mm的向内凹方槽，便于后续考虑使用者隐私需求，可以安装一根布帘导轨。横梁上端为平面，平面尺寸为32±2mm宽；横梁内侧设计留有高50mm±2mm*宽18mm±2mm的位置放置床板；横梁正面带有3根向内凹加强筋，增加强度；横梁采用咬口连接辊压成型设计，咬口点隐藏于横梁内，整体美观大方，牢固耐用；钢板厚度≧1.2mm。</w:t>
            </w:r>
            <w:r/>
          </w:p>
          <w:p>
            <w:pPr>
              <w:pStyle w:val="738"/>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eastAsiaTheme="minorEastAsia" w:cstheme="minorEastAsia"/>
                <w:color w:val="auto"/>
                <w:highlight w:val="none"/>
                <w:lang w:val="en-US" w:eastAsia="zh-CN"/>
              </w:rPr>
              <w:t xml:space="preserve">提供“床横梁”检测报告，检验检测依据：GB/T 3325-2024、GB/T 2423.18-2021、GB/T 6461-2002、GB/T 10125-2021、GB/</w:t>
            </w:r>
            <w:r>
              <w:rPr>
                <w:rFonts w:hint="eastAsia" w:asciiTheme="minorEastAsia" w:hAnsiTheme="minorEastAsia" w:eastAsiaTheme="minorEastAsia" w:cstheme="minorEastAsia"/>
                <w:color w:val="auto"/>
                <w:highlight w:val="none"/>
                <w:lang w:val="en-US" w:eastAsia="zh-CN"/>
              </w:rPr>
              <w:t xml:space="preserve">T 30789.2-2014、GB/T 30789.3-2014、GB/T 30789.4-2015、GB/T 30789.5-2015、GB/T 30789.8-2015、GB/T 35607-2024、GB/T 230.1-2018、GB/T 11253-2019；检测内容至少包含：①外观性能-金属件：喷漆（塑）涂层符合要求；产品表面理化性能-金属喷漆（塑）层：硬度符合要求；冲击强度符合要求；附着力0级；耐盐浴符合要求；②交变盐雾试验168h(试验方法3:1个循环周期7d)：10级/10级(无锈蚀,无鼓</w:t>
            </w:r>
            <w:r>
              <w:rPr>
                <w:rFonts w:hint="eastAsia" w:asciiTheme="minorEastAsia" w:hAnsiTheme="minorEastAsia" w:eastAsiaTheme="minorEastAsia" w:cstheme="minorEastAsia"/>
                <w:color w:val="auto"/>
                <w:highlight w:val="none"/>
                <w:lang w:val="en-US" w:eastAsia="zh-CN"/>
              </w:rPr>
              <w:t xml:space="preserve">泡)；③耐腐蚀试验-中性盐雾试验48h，起泡等级0级，生锈等级Ri 0级，开裂等级0级，剥落等级0级，腐蚀等级1级，剥离等级1级；④产品有害物质-家具涂层可迁移元素：锑≤5mg/kg；砷≤5mg/kg；钡≤50mg/kg；镉≤5mg/kg；铬≤5mg/kg；铅≤5mg/kg；汞≤5mg/kg；硒≤5mg/kg；⑤洛氏硬度≥60；⑥抗拉强度Rm≥350MPa、断后伸长率A80mm≥30%、下屈服强度ReL≥230MPa；化学成分：C≤0.05%、Si≤0.1%、Mn≤0.5%、P≤0.02%、S≤0.01%。</w:t>
            </w:r>
            <w:r/>
          </w:p>
          <w:p>
            <w:pPr>
              <w:pStyle w:val="758"/>
              <w:ind w:left="0" w:right="0"/>
              <w:jc w:val="center"/>
              <w:keepLines w:val="0"/>
              <w:keepNext w:val="0"/>
              <w:spacing w:before="0" w:beforeAutospacing="0" w:after="0" w:afterAutospacing="0" w:line="360" w:lineRule="auto"/>
              <w:widowControl w:val="off"/>
              <w:rPr>
                <w:rFonts w:hint="eastAsia" w:asciiTheme="minorEastAsia" w:hAnsiTheme="minorEastAsia" w:eastAsiaTheme="minorEastAsia" w:cstheme="minorEastAsia"/>
                <w:b w:val="0"/>
                <w:bCs w:val="0"/>
                <w:color w:val="auto"/>
                <w:sz w:val="21"/>
                <w:szCs w:val="21"/>
                <w:highlight w:val="none"/>
                <w:lang w:val="en-US" w:eastAsia="zh-CN"/>
              </w:rPr>
              <w:outlineLvl w:val="0"/>
              <w:suppressLineNumbers w:val="0"/>
            </w:pPr>
            <w:r>
              <w:rPr>
                <w:color w:val="auto"/>
                <w:highlight w:val="none"/>
              </w:rPr>
              <mc:AlternateContent>
                <mc:Choice Requires="wpg">
                  <w:drawing>
                    <wp:inline xmlns:wp="http://schemas.openxmlformats.org/drawingml/2006/wordprocessingDrawing" distT="0" distB="0" distL="0" distR="0">
                      <wp:extent cx="2809240" cy="1800225"/>
                      <wp:effectExtent l="0" t="0" r="10160" b="9525"/>
                      <wp:docPr id="6" name="图片 6" descr="3e83f642610a2b950afce8694389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3e83f642610a2b950afce86943891621"/>
                              <pic:cNvPicPr>
                                <a:picLocks noChangeAspect="1"/>
                              </pic:cNvPicPr>
                              <pic:nvPr/>
                            </pic:nvPicPr>
                            <pic:blipFill>
                              <a:blip r:embed="rId18"/>
                              <a:stretch/>
                            </pic:blipFill>
                            <pic:spPr bwMode="auto">
                              <a:xfrm>
                                <a:off x="0" y="0"/>
                                <a:ext cx="2809240" cy="18002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1.2pt;height:141.8pt;mso-wrap-distance-left:0.0pt;mso-wrap-distance-top:0.0pt;mso-wrap-distance-right:0.0pt;mso-wrap-distance-bottom:0.0pt;" stroked="false">
                      <v:path textboxrect="0,0,0,0"/>
                      <v:imagedata r:id="rId18" o:title=""/>
                    </v:shape>
                  </w:pict>
                </mc:Fallback>
              </mc:AlternateConten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rPr>
              <w:t xml:space="preserve">卡式连接件</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numPr>
                <w:ilvl w:val="0"/>
                <w:numId w:val="0"/>
              </w:num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成型后尺寸≥ 210mm*27mm*27mm，材质厚度2.0mm。采用冷轧钢板经冲床一次性冲压成半圆型，挂件有2个接触面并带有3 个挂齿，挂齿由导向段和锁紧段组成。</w:t>
            </w:r>
            <w:r/>
          </w:p>
          <w:p>
            <w:pPr>
              <w:pStyle w:val="738"/>
              <w:ind w:left="0"/>
              <w:jc w:val="left"/>
              <w:spacing w:before="0" w:line="360" w:lineRule="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提供“冷轧钢板”检测报告，检验检测依据：GB/T 2423.18-2021、GB/T 6461-2002、GB/T 10125-2021、GB/T 30789.2-2014、GB/T 30789.3-2014、GB/T 30789.4-2015、GB/T 30789.5-2015、GB/T 30789.8-2015、GB/T 35607-2024、GB/T 3325-2024、GB/T 230.1-2018、GB/T 232-2024、GB/T 11253-2019、QB/T 4371-2012、GB/T </w:t>
            </w:r>
            <w:r>
              <w:rPr>
                <w:rFonts w:hint="eastAsia" w:asciiTheme="minorEastAsia" w:hAnsiTheme="minorEastAsia" w:eastAsiaTheme="minorEastAsia" w:cstheme="minorEastAsia"/>
                <w:b w:val="0"/>
                <w:bCs w:val="0"/>
                <w:color w:val="auto"/>
                <w:sz w:val="21"/>
                <w:szCs w:val="21"/>
                <w:highlight w:val="none"/>
                <w:lang w:val="en-US" w:eastAsia="zh-CN"/>
              </w:rPr>
              <w:t xml:space="preserve">1741-2020；检测内容至少包含：①产品表面理化性能-金属喷漆（塑）层：硬度符合要求；冲击强度符合要求；耐盐浴符合要求；附着力0级；②交变盐雾试验168h(试验方法3:1个循环周期7d)：10级/10级(无锈蚀,无鼓泡)；③耐腐蚀试验-中性盐雾试验48h，起泡等级0级，生锈等级Ri 0级，开裂等级0级，剥落等级0级，腐蚀等级1级，剥离等级1级；④产品有害物质-家具涂层可迁移元素：锑（Sb）≤5mg/kg、砷（As）≤5mg/kg、钡（Ba）≤50mg/kg、镉（Cd）≤5mg/kg、铬（Cr）≤5mg/</w:t>
            </w:r>
            <w:r>
              <w:rPr>
                <w:rFonts w:hint="eastAsia" w:asciiTheme="minorEastAsia" w:hAnsiTheme="minorEastAsia" w:eastAsiaTheme="minorEastAsia" w:cstheme="minorEastAsia"/>
                <w:b w:val="0"/>
                <w:bCs w:val="0"/>
                <w:color w:val="auto"/>
                <w:sz w:val="21"/>
                <w:szCs w:val="21"/>
                <w:highlight w:val="none"/>
                <w:lang w:val="en-US" w:eastAsia="zh-CN"/>
              </w:rPr>
              <w:t xml:space="preserve">kg、铅（Pb）≤5mg/kg、汞（Hg）≤5mg/kg、硒（Se）≤5mg/kg；⑤洛氏硬度≥60；⑥弯曲试验：不使用放大辅助设备观察弯曲后的试样，弯曲外表面无目视可见裂纹；⑦抗拉强度Rm≥380MPa、断后伸长率A80mm≥25%、下屈服强度ReL≥230MPa；⑧化学成分：C≤0.05%、Si≤0.1%、Mn≤0.4%、P≤0.02%、S≤0.01%；⑨抗菌性能-抗菌率（金黄色葡萄球菌、变化考克氏菌（变异库克菌）、大肠杆菌）≥99.9%；⑩耐霉菌性-耐霉菌性等级（黑曲霉、黄曲霉、平滑正青霉）为 0级。</w:t>
            </w:r>
            <w:r/>
          </w:p>
          <w:p>
            <w:pPr>
              <w:pStyle w:val="738"/>
              <w:ind w:left="0"/>
              <w:jc w:val="center"/>
              <w:spacing w:before="0"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42315" cy="1583690"/>
                      <wp:effectExtent l="0" t="0" r="635" b="1651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r/>
                            </pic:nvPicPr>
                            <pic:blipFill>
                              <a:blip r:embed="rId19"/>
                              <a:stretch/>
                            </pic:blipFill>
                            <pic:spPr bwMode="auto">
                              <a:xfrm>
                                <a:off x="0" y="0"/>
                                <a:ext cx="742315" cy="158369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8.4pt;height:124.7pt;mso-wrap-distance-left:0.0pt;mso-wrap-distance-top:0.0pt;mso-wrap-distance-right:0.0pt;mso-wrap-distance-bottom:0.0pt;" stroked="f" strokeweight="1.00pt">
                      <v:path textboxrect="0,0,0,0"/>
                      <v:imagedata r:id="rId19" o:title=""/>
                    </v:shape>
                  </w:pict>
                </mc:Fallback>
              </mc:AlternateContent>
            </w:r>
            <w:r/>
          </w:p>
        </w:tc>
      </w:tr>
      <w:tr>
        <w:trPr>
          <w:jc w:val="center"/>
          <w:trHeight w:val="9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床头护栏</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pStyle w:val="757"/>
              <w:jc w:val="left"/>
              <w:spacing w:after="0"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横管采用25mm*25mm*1.2mm厚优质钢管，挡板采用18mm厚</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三聚氰胺多层板</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制作。</w: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中片护栏</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pStyle w:val="727"/>
              <w:numPr>
                <w:ilvl w:val="0"/>
                <w:numId w:val="0"/>
              </w:numPr>
              <w:jc w:val="left"/>
              <w:spacing w:before="0" w:after="0"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Style w:val="733"/>
                <w:rFonts w:hint="eastAsia" w:asciiTheme="minorEastAsia" w:hAnsiTheme="minorEastAsia" w:eastAsiaTheme="minorEastAsia" w:cstheme="minorEastAsia"/>
                <w:b w:val="0"/>
                <w:bCs/>
                <w:color w:val="auto"/>
                <w:sz w:val="21"/>
                <w:szCs w:val="21"/>
                <w:highlight w:val="none"/>
                <w:lang w:val="en-US" w:eastAsia="zh-CN"/>
              </w:rPr>
              <w:t xml:space="preserve">横管采用整根25mm*25mm*1.2mm优质钢管弯曲成型，竖管采用20mm*20mm*0.8mm优质钢管。挡板采用18mm厚三聚氰胺多层板制作。</w:t>
            </w:r>
            <w:r/>
          </w:p>
        </w:tc>
      </w:tr>
      <w:tr>
        <w:trPr>
          <w:jc w:val="center"/>
          <w:trHeight w:val="1109"/>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7</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rPr>
              <w:t xml:space="preserve">床换</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rPr>
              <w:t xml:space="preserve">床换：</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采用20mm*30mm*1.0mm优质钢管制作，每个床位不低于5根，同时支撑管为防退设计，支撑管与横梁结合处须有防退卡扣，保证支撑管与床框结合紧密，不晃动,不脱扣,不允许使用胶水粘连。</w: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rPr>
              <w:t xml:space="preserve">护栏</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pStyle w:val="757"/>
              <w:jc w:val="left"/>
              <w:spacing w:line="360" w:lineRule="auto"/>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前护栏：</w:t>
            </w:r>
            <w:r>
              <w:rPr>
                <w:rStyle w:val="733"/>
                <w:rFonts w:hint="eastAsia" w:asciiTheme="minorEastAsia" w:hAnsiTheme="minorEastAsia" w:eastAsiaTheme="minorEastAsia" w:cstheme="minorEastAsia"/>
                <w:b w:val="0"/>
                <w:bCs/>
                <w:color w:val="auto"/>
                <w:sz w:val="21"/>
                <w:szCs w:val="21"/>
                <w:highlight w:val="none"/>
                <w:lang w:val="en-US" w:eastAsia="zh-CN"/>
              </w:rPr>
              <w:t xml:space="preserve">上横管及外侧竖管采用整根25mm*25mm*1.2mm优质钢管弯曲成型，中间挡板采用18mm厚三聚氰胺多层板制作；挡板靠床头一侧设有三个椭圆形装饰圈，规格：长2000mm±20mm*高300mm±20mm，材质采用PP塑料一次注塑成型。</w:t>
            </w:r>
            <w:r/>
          </w:p>
          <w:p>
            <w:pPr>
              <w:pStyle w:val="757"/>
              <w:jc w:val="left"/>
              <w:spacing w:line="360" w:lineRule="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★钢管：</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提供“钢管”检测报告，检验检测依据：GB/T 3325-2024、GB/T 2423.18-2021、GB/T 6461-2002、GB/T 10125-2021、GB/T 30789.2-2014、GB/T 30789.3-2014、GB/T 30789.4-2015、GB/T 30789.5-2015、GB/T 30789.8-2015、GB/T 35607-2024、GB/T 230.1-2018、GB/T 3094-2012、GB/T </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231.1-2018、QB/T 4371-2012、GB/T 1741-2020；检测内容至少包含：①产品表面理化性能-金属喷漆（塑）层：硬度符合要求；冲击强度符合要求；耐盐浴符合要求；附着力0级；②交变盐雾试验168h(试验方法3:1个循环周期7d)：10级/10级(无锈蚀,无鼓泡)；③耐腐蚀试验-中性盐雾试验48h，起泡等级0级，生锈等级Ri 0级，开裂等级0级，剥落等级0级，腐蚀等级1级，剥离等级1级；④产品有害物质-家具涂层可迁移元素：锑（Sb）≤5mg/kg、砷（As）≤5mg/kg、钡（Ba）≤</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50mg/kg、镉（Cd）≤5mg/kg、铬（Cr）≤5mg/kg、铅（Pb）≤5mg/kg、汞（Hg）≤5mg/kg、硒（Se）≤5mg/kg；⑤洛氏硬度≥60；⑥力学性能：抗拉强度Rm≥400MPa，下屈服强度ReL≥250MPa，断后伸长率A80mm≥30%；⑦化学成分（质量分数）：C≤0.05%、Si≤0.1%、Mn≤0.4%、P≤0.02%、S≤0.01%；⑧布氏硬度≥190；⑨抗菌性能-抗菌率（金黄色葡萄球菌、大肠杆菌）≥99.9%；耐霉菌性-耐霉菌性等级（黑曲霉、黄曲霉、串珠镰刀菌）为 0级。</w: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9</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rPr>
              <w:t xml:space="preserve">走梯</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pStyle w:val="757"/>
              <w:jc w:val="left"/>
              <w:spacing w:line="360" w:lineRule="auto"/>
              <w:rPr>
                <w:rFonts w:hint="eastAsia" w:asciiTheme="minorEastAsia" w:hAnsiTheme="minorEastAsia" w:cstheme="minorEastAsia"/>
                <w:b w:val="0"/>
                <w:bCs/>
                <w:color w:val="auto"/>
                <w:sz w:val="21"/>
                <w:szCs w:val="21"/>
                <w:highlight w:val="none"/>
                <w:shd w:val="clear" w:color="auto" w:fill="auto"/>
                <w:lang w:val="en-US" w:eastAsia="zh-CN" w:bidi="ar-SA"/>
              </w:rPr>
            </w:pPr>
            <w:r>
              <w:rPr>
                <w:rFonts w:hint="eastAsia" w:asciiTheme="minorEastAsia" w:hAnsiTheme="minorEastAsia" w:cstheme="minorEastAsia"/>
                <w:color w:val="auto"/>
                <w:sz w:val="21"/>
                <w:szCs w:val="21"/>
                <w:highlight w:val="none"/>
                <w:shd w:val="clear" w:color="auto" w:fill="auto"/>
                <w:lang w:val="en-US" w:eastAsia="zh-CN" w:bidi="ar-SA"/>
              </w:rPr>
              <w:t xml:space="preserve">框架采用25mm*25mm*1.2mm厚优质钢管，框架内镶入一块</w:t>
            </w:r>
            <w:r>
              <w:rPr>
                <w:rFonts w:hint="eastAsia" w:asciiTheme="minorEastAsia" w:hAnsiTheme="minorEastAsia" w:eastAsiaTheme="minorEastAsia" w:cstheme="minorEastAsia"/>
                <w:color w:val="auto"/>
                <w:sz w:val="21"/>
                <w:szCs w:val="21"/>
                <w:highlight w:val="none"/>
                <w:shd w:val="clear" w:color="auto" w:fill="auto"/>
                <w:lang w:val="en-US" w:eastAsia="zh-CN" w:bidi="ar-SA"/>
              </w:rPr>
              <w:t xml:space="preserve">1</w:t>
            </w:r>
            <w:r>
              <w:rPr>
                <w:rFonts w:hint="eastAsia" w:asciiTheme="minorEastAsia" w:hAnsiTheme="minorEastAsia" w:cstheme="minorEastAsia"/>
                <w:color w:val="auto"/>
                <w:sz w:val="21"/>
                <w:szCs w:val="21"/>
                <w:highlight w:val="none"/>
                <w:shd w:val="clear" w:color="auto" w:fill="auto"/>
                <w:lang w:val="en-US" w:eastAsia="zh-CN" w:bidi="ar-SA"/>
              </w:rPr>
              <w:t xml:space="preserve">8m</w:t>
            </w:r>
            <w:r>
              <w:rPr>
                <w:rFonts w:hint="eastAsia" w:asciiTheme="minorEastAsia" w:hAnsiTheme="minorEastAsia" w:eastAsiaTheme="minorEastAsia" w:cstheme="minorEastAsia"/>
                <w:color w:val="auto"/>
                <w:sz w:val="21"/>
                <w:szCs w:val="21"/>
                <w:highlight w:val="none"/>
                <w:shd w:val="clear" w:color="auto" w:fill="auto"/>
                <w:lang w:val="en-US" w:eastAsia="zh-CN" w:bidi="ar-SA"/>
              </w:rPr>
              <w:t xml:space="preserve">m厚</w:t>
            </w:r>
            <w:r>
              <w:rPr>
                <w:rFonts w:hint="default" w:asciiTheme="minorEastAsia" w:hAnsiTheme="minorEastAsia" w:cstheme="minorEastAsia"/>
                <w:color w:val="auto"/>
                <w:sz w:val="21"/>
                <w:szCs w:val="21"/>
                <w:highlight w:val="none"/>
                <w:shd w:val="clear" w:color="auto" w:fill="auto"/>
                <w:vertAlign w:val="baseline"/>
                <w:lang w:val="en-US" w:eastAsia="zh-CN" w:bidi="ar-SA"/>
              </w:rPr>
              <w:t xml:space="preserve">三聚氰胺双饰面</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多层板</w:t>
            </w:r>
            <w:r>
              <w:rPr>
                <w:rFonts w:hint="eastAsia" w:asciiTheme="minorEastAsia" w:hAnsiTheme="minorEastAsia" w:eastAsiaTheme="minorEastAsia" w:cstheme="minorEastAsia"/>
                <w:color w:val="auto"/>
                <w:sz w:val="21"/>
                <w:szCs w:val="21"/>
                <w:highlight w:val="none"/>
                <w:shd w:val="clear" w:color="auto" w:fill="auto"/>
                <w:lang w:val="en-US" w:eastAsia="zh-CN" w:bidi="ar-SA"/>
              </w:rPr>
              <w:t xml:space="preserve">，背板采用≥4mm厚</w:t>
            </w:r>
            <w:r>
              <w:rPr>
                <w:rFonts w:hint="default" w:asciiTheme="minorEastAsia" w:hAnsiTheme="minorEastAsia" w:cstheme="minorEastAsia"/>
                <w:color w:val="auto"/>
                <w:sz w:val="21"/>
                <w:szCs w:val="21"/>
                <w:highlight w:val="none"/>
                <w:shd w:val="clear" w:color="auto" w:fill="auto"/>
                <w:vertAlign w:val="baseline"/>
                <w:lang w:val="en-US" w:eastAsia="zh-CN" w:bidi="ar-SA"/>
              </w:rPr>
              <w:t xml:space="preserve">三聚氰胺双饰面</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多层板</w:t>
            </w:r>
            <w:r>
              <w:rPr>
                <w:rFonts w:hint="eastAsia" w:asciiTheme="minorEastAsia" w:hAnsiTheme="minorEastAsia" w:eastAsiaTheme="minorEastAsia" w:cstheme="minorEastAsia"/>
                <w:color w:val="auto"/>
                <w:sz w:val="21"/>
                <w:szCs w:val="21"/>
                <w:highlight w:val="none"/>
                <w:shd w:val="clear" w:color="auto" w:fill="auto"/>
                <w:lang w:val="en-US" w:eastAsia="zh-CN" w:bidi="ar-SA"/>
              </w:rPr>
              <w:t xml:space="preserve">制作。踏板规格为长500mm±5mm*宽235mm±5mm*厚20mm，材质采用环保PE聚乙烯塑料一次性中空吹塑成型；踏板正面嵌入两块脚印形状防滑软塑料件具有夜光功能，脚印规格180mm±2mm*100mm±2mm*2mm，材质采用PP塑料一次性注塑成型，脚印反面至少需有6个稳钉与踏板链接固定，增加美观及安全性；踏板表面带有不少于18条凸起加强筋，增加踏板的强度同时起到防滑作用。踏板正前端向下弯曲20mm长，弯曲处呈弧形状，无棱角防磕碰。</w:t>
            </w:r>
            <w:r>
              <w:rPr>
                <w:rFonts w:hint="eastAsia" w:asciiTheme="minorEastAsia" w:hAnsiTheme="minorEastAsia" w:cstheme="minorEastAsia"/>
                <w:b w:val="0"/>
                <w:bCs/>
                <w:color w:val="auto"/>
                <w:sz w:val="21"/>
                <w:szCs w:val="21"/>
                <w:highlight w:val="none"/>
                <w:shd w:val="clear" w:color="auto" w:fill="auto"/>
                <w:lang w:val="en-US" w:eastAsia="zh-CN" w:bidi="ar-SA"/>
              </w:rPr>
              <w:t xml:space="preserve">步梯两侧上下侧短横梁内嵌入一块挡板，防止上下楼梯踏空滑落，挡板材质采用18mm厚三聚氰胺双饰面多层板。</w:t>
            </w:r>
            <w:r/>
          </w:p>
          <w:p>
            <w:pPr>
              <w:pStyle w:val="757"/>
              <w:jc w:val="left"/>
              <w:spacing w:line="360" w:lineRule="auto"/>
              <w:rPr>
                <w:rFonts w:hint="eastAsia" w:asciiTheme="minorEastAsia" w:hAnsiTheme="minorEastAsia" w:eastAsiaTheme="minorEastAsia" w:cstheme="minorEastAsia"/>
                <w:color w:val="auto"/>
                <w:sz w:val="21"/>
                <w:szCs w:val="21"/>
                <w:highlight w:val="none"/>
                <w:shd w:val="clear" w:color="auto" w:fill="auto"/>
                <w:lang w:val="en-US" w:eastAsia="zh-CN" w:bidi="ar-SA"/>
              </w:rPr>
            </w:pP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37870" cy="1451610"/>
                      <wp:effectExtent l="0" t="0" r="5080" b="1524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20"/>
                              <a:stretch/>
                            </pic:blipFill>
                            <pic:spPr bwMode="auto">
                              <a:xfrm>
                                <a:off x="0" y="0"/>
                                <a:ext cx="737870" cy="1451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8.1pt;height:114.3pt;mso-wrap-distance-left:0.0pt;mso-wrap-distance-top:0.0pt;mso-wrap-distance-right:0.0pt;mso-wrap-distance-bottom:0.0pt;" stroked="f">
                      <v:path textboxrect="0,0,0,0"/>
                      <v:imagedata r:id="rId20" o:title=""/>
                    </v:shape>
                  </w:pict>
                </mc:Fallback>
              </mc:AlternateContent>
            </w:r>
            <w:r>
              <w:rPr>
                <w:color w:val="auto"/>
                <w:highlight w:val="none"/>
              </w:rPr>
              <mc:AlternateContent>
                <mc:Choice Requires="wpg">
                  <w:drawing>
                    <wp:inline xmlns:wp="http://schemas.openxmlformats.org/drawingml/2006/wordprocessingDrawing" distT="0" distB="0" distL="0" distR="0">
                      <wp:extent cx="1516380" cy="672465"/>
                      <wp:effectExtent l="0" t="0" r="7620" b="13335"/>
                      <wp:docPr id="9"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8"/>
                              <pic:cNvPicPr>
                                <a:picLocks noChangeAspect="1"/>
                              </pic:cNvPicPr>
                              <pic:nvPr/>
                            </pic:nvPicPr>
                            <pic:blipFill>
                              <a:blip r:embed="rId21"/>
                              <a:srcRect l="10039" t="29466" r="9364" b="31092"/>
                              <a:stretch/>
                            </pic:blipFill>
                            <pic:spPr bwMode="auto">
                              <a:xfrm>
                                <a:off x="0" y="0"/>
                                <a:ext cx="1516380" cy="6724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19.4pt;height:52.9pt;mso-wrap-distance-left:0.0pt;mso-wrap-distance-top:0.0pt;mso-wrap-distance-right:0.0pt;mso-wrap-distance-bottom:0.0pt;" stroked="f" strokeweight="0.75pt">
                      <v:path textboxrect="0,0,0,0"/>
                      <v:imagedata r:id="rId21" o:title=""/>
                    </v:shape>
                  </w:pict>
                </mc:Fallback>
              </mc:AlternateContent>
            </w:r>
            <w:r/>
          </w:p>
          <w:p>
            <w:pPr>
              <w:pStyle w:val="757"/>
              <w:jc w:val="center"/>
              <w:spacing w:line="360" w:lineRule="auto"/>
              <w:rPr>
                <w:rFonts w:hint="eastAsia" w:eastAsia="宋体"/>
                <w:color w:val="auto"/>
                <w:highlight w:val="none"/>
                <w:lang w:val="en-US" w:eastAsia="zh-CN"/>
              </w:rPr>
            </w:pPr>
            <w:r>
              <w:rPr>
                <w:rFonts w:hint="eastAsia" w:eastAsia="宋体"/>
                <w:color w:val="auto"/>
                <w:highlight w:val="none"/>
                <w:lang w:val="en-US" w:eastAsia="zh-CN"/>
              </w:rPr>
            </w:r>
            <w:r/>
          </w:p>
        </w:tc>
      </w:tr>
      <w:tr>
        <w:trPr>
          <w:jc w:val="center"/>
          <w:trHeight w:val="9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蚊帐</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pStyle w:val="757"/>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采用φ19mm*1.0mm优质圆管制作,</w:t>
            </w:r>
            <w:r>
              <w:rPr>
                <w:rFonts w:hint="eastAsia" w:asciiTheme="minorEastAsia" w:hAnsiTheme="minorEastAsia" w:eastAsiaTheme="minorEastAsia" w:cstheme="minorEastAsia"/>
                <w:color w:val="auto"/>
                <w:sz w:val="21"/>
                <w:szCs w:val="21"/>
                <w:highlight w:val="none"/>
                <w:lang w:val="en-US" w:eastAsia="zh-CN"/>
              </w:rPr>
              <w:t xml:space="preserve">主材两边圆弧处焊接Φ3mm粗的钢圈</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w:t>
            </w:r>
            <w:bookmarkStart w:id="54" w:name="_GoBack"/>
            <w:r/>
            <w:bookmarkEnd w:id="54"/>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11</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rPr>
              <w:t xml:space="preserve">床铺板</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numPr>
                <w:ilvl w:val="0"/>
                <w:numId w:val="0"/>
              </w:numPr>
              <w:jc w:val="both"/>
              <w:keepLines w:val="0"/>
              <w:keepNext w:val="0"/>
              <w:pageBreakBefore w:val="0"/>
              <w:spacing w:line="288" w:lineRule="auto"/>
              <w:widowControl w:val="off"/>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rPr>
              <w:t xml:space="preserve">床板</w:t>
            </w: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shd w:val="clear" w:color="auto" w:fill="auto"/>
                <w:lang w:val="en-US" w:eastAsia="zh-CN" w:bidi="ar-SA"/>
              </w:rPr>
              <w:t xml:space="preserve">采用1</w:t>
            </w:r>
            <w:r>
              <w:rPr>
                <w:rFonts w:hint="eastAsia" w:asciiTheme="minorEastAsia" w:hAnsiTheme="minorEastAsia" w:cstheme="minorEastAsia"/>
                <w:color w:val="auto"/>
                <w:sz w:val="21"/>
                <w:szCs w:val="21"/>
                <w:highlight w:val="none"/>
                <w:shd w:val="clear" w:color="auto" w:fill="auto"/>
                <w:lang w:val="en-US" w:eastAsia="zh-CN" w:bidi="ar-SA"/>
              </w:rPr>
              <w:t xml:space="preserve">5</w:t>
            </w:r>
            <w:r>
              <w:rPr>
                <w:rFonts w:hint="eastAsia" w:asciiTheme="minorEastAsia" w:hAnsiTheme="minorEastAsia" w:eastAsiaTheme="minorEastAsia" w:cstheme="minorEastAsia"/>
                <w:color w:val="auto"/>
                <w:sz w:val="21"/>
                <w:szCs w:val="21"/>
                <w:highlight w:val="none"/>
                <w:shd w:val="clear" w:color="auto" w:fill="auto"/>
                <w:lang w:val="en-US" w:eastAsia="zh-CN" w:bidi="ar-SA"/>
              </w:rPr>
              <w:t xml:space="preserve">mm厚优质杉木板，经烘干、正反双面抛光处理，拼接缝隙应小于5mm，床板背面需有3根≥20*30mm实木方料横杠加固（可根据床内空制作）</w:t>
            </w:r>
            <w:r>
              <w:rPr>
                <w:rFonts w:hint="eastAsia" w:asciiTheme="minorEastAsia" w:hAnsiTheme="minorEastAsia" w:cstheme="minorEastAsia"/>
                <w:color w:val="auto"/>
                <w:sz w:val="21"/>
                <w:szCs w:val="21"/>
                <w:highlight w:val="none"/>
                <w:shd w:val="clear" w:color="auto" w:fill="auto"/>
                <w:lang w:val="en-US" w:eastAsia="zh-CN" w:bidi="ar-SA"/>
              </w:rPr>
              <w:t xml:space="preserve">；床下带有鞋架，采用20mm*20mm的优质钢管制作。</w:t>
            </w:r>
            <w:r/>
          </w:p>
          <w:p>
            <w:pPr>
              <w:pStyle w:val="738"/>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提供“床板”检测报告，检验检测依据：GB/T 3324-2024</w:t>
            </w:r>
            <w:r>
              <w:rPr>
                <w:rFonts w:hint="eastAsia" w:asciiTheme="minorEastAsia" w:hAnsiTheme="minorEastAsia" w:eastAsiaTheme="minorEastAsia" w:cstheme="minorEastAsia"/>
                <w:color w:val="auto"/>
                <w:highlight w:val="none"/>
                <w:lang w:val="en-US" w:eastAsia="zh-CN"/>
              </w:rPr>
              <w:t xml:space="preserve">、GB 18584-2024、GB/T 31762-2015、GB/T 38467-2020；检测内容至少包含：①外观要求-木材（贯通裂缝，虫蛀，腐朽材，树脂囊，节子，死节、孔洞、夹皮和树脂道、树胶道）符合要求；②有害物质限量-甲醛≤0.01mg/m³、苯≤0.005mg/m³、甲苯≤0.005mg/m³、二甲苯(邻、间、对二甲苯之和)≤0.005mg/m³、总挥发性有机化合物（TVOC）≤0.05mg/m³；③苯酚释放量≤0.1mg/m³；④理化性能-体积湿胀率≤5%，宽度干缩率≤3%，体积干缩率≤7%。</w:t>
            </w:r>
            <w:r/>
          </w:p>
          <w:p>
            <w:pPr>
              <w:pStyle w:val="738"/>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b w:val="0"/>
                <w:bCs w:val="0"/>
                <w:color w:val="auto"/>
                <w:sz w:val="21"/>
                <w:szCs w:val="21"/>
                <w:highlight w:val="none"/>
              </w:rPr>
              <mc:AlternateContent>
                <mc:Choice Requires="wpg">
                  <w:drawing>
                    <wp:inline xmlns:wp="http://schemas.openxmlformats.org/drawingml/2006/wordprocessingDrawing" distT="0" distB="0" distL="0" distR="0">
                      <wp:extent cx="2468880" cy="1057910"/>
                      <wp:effectExtent l="0" t="0" r="7620" b="8890"/>
                      <wp:docPr id="10" name="图片 9" descr="997424bceb6be67b6de023d636b4d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descr="997424bceb6be67b6de023d636b4df5"/>
                              <pic:cNvPicPr>
                                <a:picLocks noChangeAspect="1"/>
                              </pic:cNvPicPr>
                              <pic:nvPr/>
                            </pic:nvPicPr>
                            <pic:blipFill>
                              <a:blip r:embed="rId22"/>
                              <a:stretch/>
                            </pic:blipFill>
                            <pic:spPr bwMode="auto">
                              <a:xfrm>
                                <a:off x="0" y="0"/>
                                <a:ext cx="2468880" cy="1057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94.4pt;height:83.3pt;mso-wrap-distance-left:0.0pt;mso-wrap-distance-top:0.0pt;mso-wrap-distance-right:0.0pt;mso-wrap-distance-bottom:0.0pt;" stroked="f">
                      <v:path textboxrect="0,0,0,0"/>
                      <v:imagedata r:id="rId22" o:title=""/>
                    </v:shape>
                  </w:pict>
                </mc:Fallback>
              </mc:AlternateContent>
            </w:r>
            <w:r/>
          </w:p>
        </w:tc>
      </w:tr>
      <w:tr>
        <w:trPr>
          <w:jc w:val="center"/>
          <w:trHeight w:val="9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组合学习桌</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eastAsiaTheme="minorEastAsia" w:cstheme="minorEastAsia"/>
                <w:color w:val="auto"/>
                <w:sz w:val="21"/>
                <w:szCs w:val="21"/>
                <w:highlight w:val="none"/>
                <w:shd w:val="clear" w:color="auto" w:fill="auto"/>
                <w:lang w:val="en-US" w:eastAsia="zh-CN" w:bidi="ar-SA"/>
              </w:rPr>
              <w:t xml:space="preserve">1、床下组合柜</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：整体规格长1900mm*</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最宽处800mm</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*高1690mm，尺寸±5mm（含衣柜、写字桌、书架）。</w:t>
            </w:r>
            <w:r/>
          </w:p>
          <w:p>
            <w:p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衣柜尺寸：宽700mm*</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深600mm</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*高1690mm。</w:t>
            </w:r>
            <w:r/>
          </w:p>
          <w:p>
            <w:p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1572895" cy="1746250"/>
                      <wp:effectExtent l="0" t="0" r="8255" b="6350"/>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r/>
                            </pic:nvPicPr>
                            <pic:blipFill>
                              <a:blip r:embed="rId23"/>
                              <a:stretch/>
                            </pic:blipFill>
                            <pic:spPr bwMode="auto">
                              <a:xfrm>
                                <a:off x="0" y="0"/>
                                <a:ext cx="1572895" cy="174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23.8pt;height:137.5pt;mso-wrap-distance-left:0.0pt;mso-wrap-distance-top:0.0pt;mso-wrap-distance-right:0.0pt;mso-wrap-distance-bottom:0.0pt;" stroked="f">
                      <v:path textboxrect="0,0,0,0"/>
                      <v:imagedata r:id="rId23" o:title=""/>
                    </v:shape>
                  </w:pict>
                </mc:Fallback>
              </mc:AlternateContent>
            </w:r>
            <w:r/>
          </w:p>
          <w:p>
            <w:pPr>
              <w:jc w:val="both"/>
              <w:keepLines w:val="0"/>
              <w:keepNext w:val="0"/>
              <w:pageBreakBefore w:val="0"/>
              <w:spacing w:line="288" w:lineRule="auto"/>
              <w:widowControl w:val="off"/>
              <w:rPr>
                <w:rFonts w:hint="default"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①</w:t>
            </w:r>
            <w:r>
              <w:rPr>
                <w:rFonts w:hint="default" w:asciiTheme="minorEastAsia" w:hAnsiTheme="minorEastAsia" w:cstheme="minorEastAsia"/>
                <w:color w:val="auto"/>
                <w:sz w:val="21"/>
                <w:szCs w:val="21"/>
                <w:highlight w:val="none"/>
                <w:shd w:val="clear" w:color="auto" w:fill="auto"/>
                <w:vertAlign w:val="baseline"/>
                <w:lang w:val="en-US" w:eastAsia="zh-CN" w:bidi="ar-SA"/>
              </w:rPr>
              <w:t xml:space="preserve">衣柜采用</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对开门</w:t>
            </w:r>
            <w:r>
              <w:rPr>
                <w:rFonts w:hint="default" w:asciiTheme="minorEastAsia" w:hAnsiTheme="minorEastAsia" w:cstheme="minorEastAsia"/>
                <w:color w:val="auto"/>
                <w:sz w:val="21"/>
                <w:szCs w:val="21"/>
                <w:highlight w:val="none"/>
                <w:shd w:val="clear" w:color="auto" w:fill="auto"/>
                <w:vertAlign w:val="baseline"/>
                <w:lang w:val="en-US" w:eastAsia="zh-CN" w:bidi="ar-SA"/>
              </w:rPr>
              <w:t xml:space="preserve">设计，柜门与柜体采用阻尼铰链连接。上层空间可用于叠放被褥、棉被等；下层配备</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挂衣杆可挂放衣物</w:t>
            </w:r>
            <w:r>
              <w:rPr>
                <w:rFonts w:hint="default" w:asciiTheme="minorEastAsia" w:hAnsiTheme="minorEastAsia" w:cstheme="minorEastAsia"/>
                <w:color w:val="auto"/>
                <w:sz w:val="21"/>
                <w:szCs w:val="21"/>
                <w:highlight w:val="none"/>
                <w:shd w:val="clear" w:color="auto" w:fill="auto"/>
                <w:vertAlign w:val="baseline"/>
                <w:lang w:val="en-US" w:eastAsia="zh-CN" w:bidi="ar-SA"/>
              </w:rPr>
              <w:t xml:space="preserve">。</w:t>
            </w:r>
            <w:r/>
          </w:p>
          <w:p>
            <w:pPr>
              <w:ind w:left="-13" w:hanging="94"/>
              <w:jc w:val="left"/>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★多层板满足：</w:t>
            </w:r>
            <w:r>
              <w:rPr>
                <w:rFonts w:hint="eastAsia" w:ascii="宋体" w:hAnsi="宋体" w:eastAsia="宋体" w:cs="宋体"/>
                <w:color w:val="auto"/>
                <w:highlight w:val="none"/>
                <w:lang w:val="en-US" w:eastAsia="zh-CN"/>
              </w:rPr>
              <w:t xml:space="preserve">LY/T 1985-2011、GB/T 9846-2015、GB/T 39600-2021、GB/T 35601-2024、LY/T 2230-2013、GB/T 17657-2022；</w:t>
            </w:r>
            <w:r>
              <w:rPr>
                <w:rFonts w:hint="eastAsia" w:ascii="宋体" w:hAnsi="宋体" w:eastAsia="宋体" w:cs="宋体"/>
                <w:b w:val="0"/>
                <w:bCs w:val="0"/>
                <w:color w:val="auto"/>
                <w:sz w:val="21"/>
                <w:szCs w:val="21"/>
                <w:highlight w:val="none"/>
                <w:vertAlign w:val="baseline"/>
                <w:lang w:val="en-US" w:eastAsia="zh-CN"/>
              </w:rPr>
              <w:t xml:space="preserve">检测内容至少包含：</w:t>
            </w:r>
            <w:r>
              <w:rPr>
                <w:rFonts w:hint="eastAsia" w:ascii="宋体" w:hAnsi="宋体" w:eastAsia="宋体" w:cs="宋体"/>
                <w:color w:val="auto"/>
                <w:highlight w:val="none"/>
                <w:lang w:val="en-US" w:eastAsia="zh-CN"/>
              </w:rPr>
              <w:t xml:space="preserve">①五氯苯酚含量≤0.05mg/kg，②外观质量符合要求，③理化性能-胶合强度≥0.9MPa，合格试件数与有效试件总数之比≥100%；理化性能-浸渍剥离：每个试件同一胶层每边剥离长度累计不超过25mm，6块试件的胶层均无剥离现象；④理化性能-静曲强度（顺纹）≥30MPa，符合指标值规定的试件数占有效试件数≥100%；静曲强度（横纹）≥30MPa</w:t>
            </w:r>
            <w:r>
              <w:rPr>
                <w:rFonts w:hint="eastAsia" w:ascii="宋体" w:hAnsi="宋体" w:eastAsia="宋体" w:cs="宋体"/>
                <w:color w:val="auto"/>
                <w:highlight w:val="none"/>
                <w:lang w:val="en-US" w:eastAsia="zh-CN"/>
              </w:rPr>
              <w:t xml:space="preserve">，符合指标值规定的试件数占有效试件数≥100%；⑤理化性能-弹性模量（顺纹）≥5000MPa，符合指标值规定的试件数占有效试件数≥100%；弹性模量（横纹）≥4000MPa，符合指标值规定的试件数占有效试件数≥100%；⑥甲醛释放量（气候箱法）≤0.025mg/m³；⑦品质属性-挥发性有机化合物释放浓度(7d)：苯≤0.2μg/m³、甲苯≤0.4μg/m³、二甲苯≤0.2μg/m³、总挥发性有机化合物(TVOC)≤0.4μg/m³；⑧防霉性能-防霉质量分级（黑曲霉、黄曲霉、树脂子囊菌）为0级；⑨防静电性能≥</w:t>
            </w:r>
            <w:r>
              <w:rPr>
                <w:rFonts w:hint="eastAsia" w:ascii="宋体" w:hAnsi="宋体" w:eastAsia="宋体" w:cs="宋体"/>
                <w:color w:val="auto"/>
                <w:sz w:val="24"/>
                <w:szCs w:val="24"/>
                <w:highlight w:val="none"/>
                <w:lang w:val="en-US" w:eastAsia="zh-CN"/>
              </w:rPr>
              <w:t xml:space="preserve">6.0x10^11Ω；</w:t>
            </w:r>
            <w:r>
              <w:rPr>
                <w:rFonts w:hint="eastAsia" w:ascii="宋体" w:hAnsi="宋体" w:eastAsia="宋体" w:cs="宋体"/>
                <w:color w:val="auto"/>
                <w:highlight w:val="none"/>
                <w:lang w:val="en-US" w:eastAsia="zh-CN"/>
              </w:rPr>
              <w:t xml:space="preserve">⑩抗冲击性能：落球高度1000mm、压痕直径≥1.5mm、板面无破损。</w:t>
            </w:r>
            <w:r/>
          </w:p>
          <w:p>
            <w:p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②材质：基材采用18mm厚三聚氰胺多层板制作，背板采用≥4mm厚三聚氰胺多层板制作。</w:t>
            </w:r>
            <w:r/>
          </w:p>
          <w:p>
            <w:p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2、写字桌规格：长1200mm*最宽处800mm*与衣柜连接处600mm*高760mm。</w:t>
            </w:r>
            <w:r/>
          </w:p>
          <w:p>
            <w:pPr>
              <w:pStyle w:val="757"/>
              <w:jc w:val="left"/>
              <w:keepLines w:val="0"/>
              <w:keepNext w:val="0"/>
              <w:pageBreakBefore w:val="0"/>
              <w:spacing w:after="0" w:line="360" w:lineRule="auto"/>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①桌面：规格为长1200mm±5mm*最宽处800mm±5mm*与衣柜连接处600mm±5mm*厚25mm，材质采用多层板。桌面整体为L型，正前方靠胸位置为内凹弧形，贴合人体工程学，防止挤压胸腔，方便书写流畅；</w:t>
            </w:r>
            <w:r/>
          </w:p>
          <w:p>
            <w:pPr>
              <w:pStyle w:val="757"/>
              <w:jc w:val="left"/>
              <w:keepLines w:val="0"/>
              <w:keepNext w:val="0"/>
              <w:pageBreakBefore w:val="0"/>
              <w:spacing w:after="0" w:line="360" w:lineRule="auto"/>
              <w:widowControl w:val="off"/>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②桌面下一侧设有一个抽屉一个储物柜，可用于存放物品。抽屉推拉采用静音三节导轨，储物柜柜门与柜体采用阻尼铰链连接。</w:t>
            </w:r>
            <w:r/>
          </w:p>
          <w:p>
            <w:pPr>
              <w:pStyle w:val="757"/>
              <w:jc w:val="left"/>
              <w:keepLines w:val="0"/>
              <w:keepNext w:val="0"/>
              <w:pageBreakBefore w:val="0"/>
              <w:spacing w:after="0" w:line="360"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rPr>
              <w:t xml:space="preserve">③材质要求：抽屉和储物柜基材采用18mm厚多层板制作，抽屉底板、储物柜背板采用≥4mm厚多层板制作。</w:t>
            </w:r>
            <w:r/>
          </w:p>
          <w:p>
            <w:pPr>
              <w:numPr>
                <w:ilvl w:val="0"/>
                <w:numId w:val="0"/>
              </w:num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3、书架规格：宽1200mm*深240mm*高930mm。</w:t>
            </w:r>
            <w:r/>
          </w:p>
          <w:p>
            <w:p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①书架结构布局合理，置物空间充足。</w:t>
            </w:r>
            <w:r/>
          </w:p>
          <w:p>
            <w:p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②材质要求：整体采用18mm厚</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三聚氰胺饰多层板</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制作，背板采用≥4mm厚</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三聚氰胺饰面多层板</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制作。</w:t>
            </w:r>
            <w:r/>
          </w:p>
          <w:p>
            <w:pPr>
              <w:pStyle w:val="738"/>
              <w:numPr>
                <w:ilvl w:val="0"/>
                <w:numId w:val="0"/>
              </w:numPr>
              <w:rPr>
                <w:rFonts w:hint="eastAsia"/>
                <w:color w:val="auto"/>
                <w:highlight w:val="none"/>
                <w:lang w:val="en-US" w:eastAsia="zh-CN"/>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4、门板及抽屉面板拉手：拉手材质采用环保ABS塑料一次性注塑成型，整体分为扣手和底座两个部分；扣手规格长125mm*宽25mm，底座规格长140mm*宽32mm，扣手和底座采用插入式连接，采用优质螺丝加固，扣手与底座连接后整体厚度为25mm；拉手带有锁扣隐藏功能。</w:t>
            </w:r>
            <w:r/>
          </w:p>
          <w:p>
            <w:pPr>
              <w:pStyle w:val="745"/>
              <w:jc w:val="center"/>
              <w:rPr>
                <w:rFonts w:hint="eastAsia"/>
                <w:color w:val="auto"/>
                <w:highlight w:val="none"/>
                <w:lang w:val="en-US" w:eastAsia="zh-CN"/>
              </w:rPr>
            </w:pPr>
            <w:r>
              <w:rPr>
                <w:color w:val="auto"/>
                <w:highlight w:val="none"/>
              </w:rPr>
              <mc:AlternateContent>
                <mc:Choice Requires="wpg">
                  <w:drawing>
                    <wp:inline xmlns:wp="http://schemas.openxmlformats.org/drawingml/2006/wordprocessingDrawing" distT="0" distB="0" distL="0" distR="0">
                      <wp:extent cx="491490" cy="1217930"/>
                      <wp:effectExtent l="0" t="0" r="3810" b="1270"/>
                      <wp:docPr id="12"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9"/>
                              <pic:cNvPicPr>
                                <a:picLocks noChangeAspect="1"/>
                              </pic:cNvPicPr>
                              <pic:nvPr/>
                            </pic:nvPicPr>
                            <pic:blipFill>
                              <a:blip r:embed="rId24"/>
                              <a:srcRect l="26959" t="23703" r="45553" b="25875"/>
                              <a:stretch/>
                            </pic:blipFill>
                            <pic:spPr bwMode="auto">
                              <a:xfrm>
                                <a:off x="0" y="0"/>
                                <a:ext cx="491490" cy="12179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8.7pt;height:95.9pt;mso-wrap-distance-left:0.0pt;mso-wrap-distance-top:0.0pt;mso-wrap-distance-right:0.0pt;mso-wrap-distance-bottom:0.0pt;" stroked="f" strokeweight="0.75pt">
                      <v:path textboxrect="0,0,0,0"/>
                      <v:imagedata r:id="rId24" o:title=""/>
                    </v:shape>
                  </w:pict>
                </mc:Fallback>
              </mc:AlternateContent>
            </w:r>
            <w:r/>
          </w:p>
          <w:p>
            <w:pPr>
              <w:jc w:val="both"/>
              <w:keepLines w:val="0"/>
              <w:keepNext w:val="0"/>
              <w:pageBreakBefore w:val="0"/>
              <w:spacing w:line="288" w:lineRule="auto"/>
              <w:widowControl w:val="off"/>
              <w:rPr>
                <w:rFonts w:hint="default"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5、家具板材经烘干、杀菌、杀虫处理，保证材料不会变形生虫，不带有毒气体，达到国家标准。板材表面不得有缺角和破损，无明显的干湿花污斑及划痕。</w:t>
            </w:r>
            <w:r/>
          </w:p>
          <w:p>
            <w:pPr>
              <w:jc w:val="both"/>
              <w:keepLines w:val="0"/>
              <w:keepNext w:val="0"/>
              <w:pageBreakBefore w:val="0"/>
              <w:spacing w:line="288" w:lineRule="auto"/>
              <w:widowControl w:val="off"/>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6、封边工艺：板材采用PVC封边条封边，与柜板面同色，厚度≥1.2 mm，粘接采用优质</w:t>
            </w: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刨花</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热熔胶高温固化，粘接牢固，无脱胶、无鼓泡、防水。</w:t>
            </w:r>
            <w:r/>
          </w:p>
          <w:p>
            <w:pPr>
              <w:pStyle w:val="757"/>
              <w:jc w:val="both"/>
              <w:spacing w:line="360" w:lineRule="auto"/>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7、</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五金配件：组合柜整体采用三合一连接件固定连接。</w:t>
            </w:r>
            <w:r/>
          </w:p>
          <w:p>
            <w:pPr>
              <w:pStyle w:val="757"/>
              <w:jc w:val="both"/>
              <w:spacing w:line="360" w:lineRule="auto"/>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8、衣柜和储物柜底部设有防潮脚垫，采用PP塑料一次注塑成型，规格为：长90mm±2mm*宽90mm±2mm*高90mm±2mm，厚度20mm±2mm。</w:t>
            </w:r>
            <w:r/>
          </w:p>
          <w:p>
            <w:pPr>
              <w:pStyle w:val="757"/>
              <w:jc w:val="center"/>
              <w:spacing w:line="360" w:lineRule="auto"/>
              <w:rPr>
                <w:rFonts w:hint="default" w:asciiTheme="minorEastAsia" w:hAnsiTheme="minorEastAsia" w:cstheme="minorEastAsia"/>
                <w:color w:val="auto"/>
                <w:sz w:val="21"/>
                <w:szCs w:val="21"/>
                <w:highlight w:val="none"/>
                <w:shd w:val="clear" w:color="auto" w:fill="auto"/>
                <w:vertAlign w:val="baseline"/>
                <w:lang w:val="en-US" w:eastAsia="zh-CN" w:bidi="ar-SA"/>
              </w:rPr>
            </w:pPr>
            <w:r>
              <w:rPr>
                <w:color w:val="auto"/>
                <w:highlight w:val="none"/>
              </w:rPr>
              <mc:AlternateContent>
                <mc:Choice Requires="wpg">
                  <w:drawing>
                    <wp:inline xmlns:wp="http://schemas.openxmlformats.org/drawingml/2006/wordprocessingDrawing" distT="0" distB="0" distL="0" distR="0">
                      <wp:extent cx="980440" cy="978535"/>
                      <wp:effectExtent l="0" t="0" r="10160" b="12065"/>
                      <wp:docPr id="13" name="图片 1" descr="bdcc5bb0af488007c63a2e47bda3f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descr="bdcc5bb0af488007c63a2e47bda3f4c"/>
                              <pic:cNvPicPr>
                                <a:picLocks noChangeAspect="1"/>
                              </pic:cNvPicPr>
                              <pic:nvPr/>
                            </pic:nvPicPr>
                            <pic:blipFill>
                              <a:blip r:embed="rId25"/>
                              <a:srcRect l="12651" t="10548" r="11781" b="8114"/>
                              <a:stretch/>
                            </pic:blipFill>
                            <pic:spPr bwMode="auto">
                              <a:xfrm>
                                <a:off x="0" y="0"/>
                                <a:ext cx="980440" cy="9785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7.2pt;height:77.0pt;mso-wrap-distance-left:0.0pt;mso-wrap-distance-top:0.0pt;mso-wrap-distance-right:0.0pt;mso-wrap-distance-bottom:0.0pt;" stroked="false">
                      <v:path textboxrect="0,0,0,0"/>
                      <v:imagedata r:id="rId25" o:title=""/>
                    </v:shape>
                  </w:pict>
                </mc:Fallback>
              </mc:AlternateConten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公寓椅</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numPr>
                <w:ilvl w:val="0"/>
                <w:numId w:val="0"/>
              </w:numPr>
              <w:jc w:val="left"/>
              <w:rPr>
                <w:rFonts w:hint="eastAsia" w:asciiTheme="minorEastAsia" w:hAnsiTheme="minorEastAsia" w:cstheme="minorEastAsia"/>
                <w:color w:val="auto"/>
                <w:sz w:val="21"/>
                <w:szCs w:val="21"/>
                <w:highlight w:val="none"/>
                <w:shd w:val="clear" w:color="auto" w:fill="auto"/>
                <w:lang w:val="en-US" w:eastAsia="zh-CN"/>
              </w:rPr>
            </w:pPr>
            <w:r>
              <w:rPr>
                <w:rFonts w:hint="eastAsia" w:asciiTheme="minorEastAsia" w:hAnsiTheme="minorEastAsia" w:cstheme="minorEastAsia"/>
                <w:color w:val="auto"/>
                <w:sz w:val="21"/>
                <w:szCs w:val="21"/>
                <w:highlight w:val="none"/>
                <w:shd w:val="clear" w:color="auto" w:fill="auto"/>
                <w:lang w:val="en-US" w:eastAsia="zh-CN"/>
              </w:rPr>
              <w:t xml:space="preserve">1、公寓椅规格：宽460*深490*高850mm（尺寸允许±10mm）</w:t>
            </w:r>
            <w:r/>
          </w:p>
          <w:p>
            <w:pPr>
              <w:jc w:val="both"/>
              <w:keepLines w:val="0"/>
              <w:keepNext w:val="0"/>
              <w:pageBreakBefore w:val="0"/>
              <w:spacing w:line="288" w:lineRule="auto"/>
              <w:widowControl w:val="off"/>
              <w:rPr>
                <w:rFonts w:hint="eastAsia" w:asciiTheme="minorEastAsia" w:hAnsiTheme="minorEastAsia" w:eastAsiaTheme="minorEastAsia" w:cstheme="minorEastAsia"/>
                <w:color w:val="auto"/>
                <w:sz w:val="21"/>
                <w:szCs w:val="21"/>
                <w:highlight w:val="none"/>
                <w:shd w:val="clear" w:color="auto" w:fill="auto"/>
                <w:lang w:val="en-US" w:eastAsia="zh-CN"/>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2</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w:t>
            </w:r>
            <w:r>
              <w:rPr>
                <w:rFonts w:hint="eastAsia" w:asciiTheme="minorEastAsia" w:hAnsiTheme="minorEastAsia" w:cstheme="minorEastAsia"/>
                <w:color w:val="auto"/>
                <w:sz w:val="21"/>
                <w:szCs w:val="21"/>
                <w:highlight w:val="none"/>
                <w:shd w:val="clear" w:color="auto" w:fill="auto"/>
                <w:lang w:val="en-US" w:eastAsia="zh-CN"/>
              </w:rPr>
              <w:t xml:space="preserve">连体椅座、背靠板规格：座板宽（左右直线距离）≧460mm*背靠宽度≧455mm；背靠板高度（靠背顶边到椅座最底点直线距离）≧465mm;座深（椅面最前端至靠背与椅座座面连接处最长直线距离）≧490mm；</w:t>
            </w:r>
            <w:r/>
          </w:p>
          <w:p>
            <w:pPr>
              <w:jc w:val="both"/>
              <w:keepLines w:val="0"/>
              <w:keepNext w:val="0"/>
              <w:pageBreakBefore w:val="0"/>
              <w:spacing w:line="288" w:lineRule="auto"/>
              <w:widowControl w:val="off"/>
              <w:rPr>
                <w:rFonts w:hint="eastAsia" w:asciiTheme="minorEastAsia" w:hAnsiTheme="minorEastAsia" w:eastAsiaTheme="minorEastAsia" w:cstheme="minorEastAsia"/>
                <w:color w:val="auto"/>
                <w:sz w:val="21"/>
                <w:szCs w:val="21"/>
                <w:highlight w:val="none"/>
                <w:shd w:val="clear" w:color="auto" w:fill="auto"/>
                <w:lang w:val="en-US" w:eastAsia="zh-CN"/>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3</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、椅座、靠背板材质要求：采用PP塑料一体注塑成型，连体结构，靠背板有不低于34个直径4mm透气孔。</w:t>
            </w:r>
            <w:r/>
          </w:p>
          <w:p>
            <w:pPr>
              <w:numPr>
                <w:ilvl w:val="0"/>
                <w:numId w:val="0"/>
              </w:numPr>
              <w:jc w:val="left"/>
              <w:keepLines w:val="0"/>
              <w:keepNext w:val="0"/>
              <w:pageBreakBefore w:val="0"/>
              <w:spacing w:line="288" w:lineRule="auto"/>
              <w:widowControl w:val="off"/>
              <w:rPr>
                <w:rFonts w:hint="eastAsia"/>
                <w:color w:val="auto"/>
                <w:highlight w:val="none"/>
                <w:lang w:val="en-US" w:eastAsia="zh-CN"/>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4</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、安全要求：靠背与椅座连接处向呈后凸弧状，靠背板稍前倾；靠背与椅座连接后凸弧状处有≧9条外凸加强筋均衡排列，能有效加增强椅背受力后倾牢固及安全性；</w:t>
            </w:r>
            <w:r/>
          </w:p>
          <w:p>
            <w:pPr>
              <w:jc w:val="left"/>
              <w:keepLines w:val="0"/>
              <w:keepNext w:val="0"/>
              <w:pageBreakBefore w:val="0"/>
              <w:spacing w:line="288" w:lineRule="auto"/>
              <w:widowControl w:val="off"/>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5</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、安装连接要求：椅面底部须有≧4个椅架连接点，考虑牢固性，连接点应于椅子一体注塑成型，安装后椅面连接点与椅架管材包裹接触面应不低于管材周长的二分之一。</w:t>
            </w:r>
            <w:r/>
          </w:p>
          <w:p>
            <w:pPr>
              <w:jc w:val="both"/>
              <w:keepLines w:val="0"/>
              <w:keepNext w:val="0"/>
              <w:pageBreakBefore w:val="0"/>
              <w:spacing w:line="288" w:lineRule="auto"/>
              <w:widowControl w:val="off"/>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6</w:t>
            </w:r>
            <w:r>
              <w:rPr>
                <w:rFonts w:hint="eastAsia" w:asciiTheme="minorEastAsia" w:hAnsiTheme="minorEastAsia" w:eastAsiaTheme="minorEastAsia" w:cstheme="minorEastAsia"/>
                <w:color w:val="auto"/>
                <w:sz w:val="21"/>
                <w:szCs w:val="21"/>
                <w:highlight w:val="none"/>
                <w:shd w:val="clear" w:color="auto" w:fill="auto"/>
                <w:vertAlign w:val="baseline"/>
                <w:lang w:val="en-US" w:eastAsia="zh-CN" w:bidi="ar-SA"/>
              </w:rPr>
              <w:t xml:space="preserve">、其他功能：椅子具有逍遥功能，坐感舒适，靠背受力可前倾、后倾逍遥范围约10～15°，能缓解学生长时间学习引起的腰背疲劳。方便椅子移动，靠背处设置≧长110*高35mm提手孔；</w:t>
            </w:r>
            <w:r/>
          </w:p>
          <w:p>
            <w:pPr>
              <w:jc w:val="both"/>
              <w:keepLines w:val="0"/>
              <w:keepNext w:val="0"/>
              <w:pageBreakBefore w:val="0"/>
              <w:spacing w:line="288" w:lineRule="auto"/>
              <w:widowControl w:val="off"/>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7、椅钢架要求；椅架腿管采用≧φ25mm*壁厚1.2mm圆管制作，座板下部采用两根≧20mm*30mm*1.2mm钢管与椅架腿管焊接加固；椅座、靠背板与加固连接管连接稳固不松动；管材露口处采用PP工程塑料内塞。</w:t>
            </w:r>
            <w:r/>
          </w:p>
          <w:p>
            <w:pPr>
              <w:ind w:left="-13" w:hanging="94"/>
              <w:jc w:val="left"/>
              <w:spacing w:line="360" w:lineRule="auto"/>
              <w:rPr>
                <w:rFonts w:hint="eastAsia" w:asciiTheme="minorEastAsia" w:hAnsiTheme="minorEastAsia" w:cstheme="minorEastAsia"/>
                <w:color w:val="auto"/>
                <w:sz w:val="21"/>
                <w:szCs w:val="21"/>
                <w:highlight w:val="none"/>
                <w:shd w:val="clear" w:color="auto" w:fill="auto"/>
                <w:vertAlign w:val="baseline"/>
                <w:lang w:val="en-US" w:eastAsia="zh-CN" w:bidi="ar-SA"/>
              </w:rPr>
            </w:pPr>
            <w:r>
              <w:rPr>
                <w:rFonts w:hint="eastAsia" w:asciiTheme="minorEastAsia" w:hAnsiTheme="minorEastAsia" w:cstheme="minorEastAsia"/>
                <w:color w:val="auto"/>
                <w:sz w:val="21"/>
                <w:szCs w:val="21"/>
                <w:highlight w:val="none"/>
                <w:shd w:val="clear" w:color="auto" w:fill="auto"/>
                <w:vertAlign w:val="baseline"/>
                <w:lang w:val="en-US" w:eastAsia="zh-CN" w:bidi="ar-SA"/>
              </w:rPr>
              <w:t xml:space="preserve">8、钢材全部采用国标钢材，焊接方式为二氧化碳保护焊接,焊接表面波纹均匀,焊接处无夹渣、气孔、焊瘤、焊丝头咬边飞溅，并保证无脱焊、虚焊及焊穿等现象。各钢制件经酸洗、磷化、陶化等除油除锈工序后，采用环保塑粉静电喷涂及高温固化处理，防锈，耐磨，防腐蚀。</w:t>
            </w:r>
            <w:r/>
          </w:p>
          <w:p>
            <w:pPr>
              <w:pStyle w:val="738"/>
              <w:jc w:val="center"/>
              <w:rPr>
                <w:rFonts w:hint="eastAsia"/>
                <w:color w:val="auto"/>
                <w:highlight w:val="none"/>
              </w:rPr>
            </w:pPr>
            <w:r>
              <w:rPr>
                <w:color w:val="auto"/>
                <w:highlight w:val="none"/>
              </w:rPr>
              <mc:AlternateContent>
                <mc:Choice Requires="wpg">
                  <w:drawing>
                    <wp:inline xmlns:wp="http://schemas.openxmlformats.org/drawingml/2006/wordprocessingDrawing" distT="0" distB="0" distL="0" distR="0">
                      <wp:extent cx="1588770" cy="1967230"/>
                      <wp:effectExtent l="0" t="0" r="11430" b="13970"/>
                      <wp:docPr id="14" name="ID_4F3928E69C0045258994C200022F27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D_4F3928E69C0045258994C200022F27DE"/>
                              <pic:cNvPicPr>
                                <a:picLocks noChangeAspect="1"/>
                              </pic:cNvPicPr>
                              <pic:nvPr/>
                            </pic:nvPicPr>
                            <pic:blipFill>
                              <a:blip r:embed="rId26"/>
                              <a:stretch/>
                            </pic:blipFill>
                            <pic:spPr bwMode="auto">
                              <a:xfrm>
                                <a:off x="0" y="0"/>
                                <a:ext cx="1588770" cy="19672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5.1pt;height:154.9pt;mso-wrap-distance-left:0.0pt;mso-wrap-distance-top:0.0pt;mso-wrap-distance-right:0.0pt;mso-wrap-distance-bottom:0.0pt;" stroked="f" strokeweight="0.75pt">
                      <v:path textboxrect="0,0,0,0"/>
                      <v:imagedata r:id="rId26" o:title=""/>
                    </v:shape>
                  </w:pict>
                </mc:Fallback>
              </mc:AlternateContent>
            </w:r>
            <w:r/>
          </w:p>
          <w:p>
            <w:pPr>
              <w:ind w:left="-13" w:hanging="94"/>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提供“公寓椅”检测报告，检验检测依据：GB/T 3325-2024</w:t>
            </w:r>
            <w:r>
              <w:rPr>
                <w:rFonts w:hint="eastAsia" w:ascii="宋体" w:hAnsi="宋体" w:eastAsia="宋体" w:cs="宋体"/>
                <w:color w:val="auto"/>
                <w:sz w:val="21"/>
                <w:szCs w:val="21"/>
                <w:highlight w:val="none"/>
                <w:lang w:val="en-US" w:eastAsia="zh-CN"/>
              </w:rPr>
              <w:t xml:space="preserve">、GB/T 2423.18-2021、GB/T 6461-2002、GB/T 10125-2021、GB/T 30789.2-2014、GB/T 30789.3-2014、GB/T 30789.4-2015、GB/T 30789.5-2015、GB/T 30789.8-2015、GB/T 35607-2024、GB/T 230.1-2018、QB/T 4371-2012、GB/T 1741-2020；检测内容至少包含：①外观性能（金属件、木制件、塑料件）符合要求，安全性能（结构安全）符合要求；②产品表面理化</w:t>
            </w:r>
            <w:r>
              <w:rPr>
                <w:rFonts w:hint="eastAsia" w:ascii="宋体" w:hAnsi="宋体" w:eastAsia="宋体" w:cs="宋体"/>
                <w:color w:val="auto"/>
                <w:sz w:val="21"/>
                <w:szCs w:val="21"/>
                <w:highlight w:val="none"/>
                <w:lang w:val="en-US" w:eastAsia="zh-CN"/>
              </w:rPr>
              <w:t xml:space="preserve">性能-金属喷漆（塑）层：硬度符合要求，冲击强度符合要求，耐盐浴符合要求，附着力0级；木制件表面装饰层（软硬质覆面层）耐冷热循环符合要求，耐干热≥4级，耐湿热≥4级，耐污染≥4级；③力学性能-椅凳类强度和耐久性符合要求，椅凳类稳定性无倾翻；④交变盐雾试验168h(试验方法3:1个循环周期7d)：10级/10级(无锈蚀,无鼓泡)；⑤耐腐蚀试验-中性盐雾试验48h，起泡等级0级，生锈等级Ri 0级，开裂等级0级，剥落等级0级，腐蚀等级1级，剥离等级1级；⑥产品有害物质-家具涂层可迁移元素：锑（Sb）≤5mg/kg</w:t>
            </w:r>
            <w:r>
              <w:rPr>
                <w:rFonts w:hint="eastAsia" w:ascii="宋体" w:hAnsi="宋体" w:eastAsia="宋体" w:cs="宋体"/>
                <w:color w:val="auto"/>
                <w:sz w:val="21"/>
                <w:szCs w:val="21"/>
                <w:highlight w:val="none"/>
                <w:lang w:val="en-US" w:eastAsia="zh-CN"/>
              </w:rPr>
              <w:t xml:space="preserve">、砷（As）≤5mg/kg、钡（Ba）≤50mg/kg、镉（Cd）≤5mg/kg、铬（Cr）≤5mg/kg、铅（Pb）≤5mg/kg、汞（Hg）≤5mg/kg、硒（Se）≤5mg/kg；⑦甲醛释放量≤0.01mg/m³，苯≤0.005mg/m³、甲苯≤0.005mg/m³、二甲苯≤0.005mg/m³，总挥发性有机化合物≤0.05mg/m³；⑧洛氏硬度≥60，⑨抗菌性能-抑菌率（金黄色葡萄球菌、变化考克氏菌（变异库克菌）、大肠杆菌）≥99.9%；⑩耐霉菌性-耐霉菌性等级（黑曲霉、黄曲霉、平滑正青霉）为0级。</w: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14</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default"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配套服务</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jc w:val="left"/>
              <w:spacing w:line="36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需要根据上床下桌的结构，自行调整原墙面插座位置，满足使用，搬离原有床铺到甲方指定位置（校内地下仓库），并对安装前的环境进行清洁以满足使用需求，该项内容需要潜在供货商投标前到现场确认。</w:t>
            </w:r>
            <w:r/>
          </w:p>
        </w:tc>
      </w:tr>
    </w:tbl>
    <w:p>
      <w:pPr>
        <w:pStyle w:val="992"/>
        <w:ind w:firstLine="422"/>
        <w:keepLines w:val="0"/>
        <w:keepNext w:val="0"/>
        <w:pageBreakBefore w:val="0"/>
        <w:spacing w:before="0" w:after="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四、执行标准</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（一）国家强制环保标准</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1.GB 18580-2017《室内装饰装修材料 人造板及其制品中甲醛释放限量》</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2.GB 18583-2008《室内装饰装修材料 胶粘剂中有害物质限量》</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3.GB 18584-2024《室内装饰装修材料 木家具中有害物质限量》</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（二）家具通用技术国标</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1.GB/T 3324-2024《木家具通用技术条件》</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2.GB/T 3325-2024《金属家具通用技术条件》</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3.GB/T 3326《家具</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桌》、GB/T 3327《家具 柜》、GB/T 3328《家具 床》</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4.QB/T 2741-2013《学生公寓多功能家具》</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5.T/JSJJ008-2023、T/SGHX 002-2023《学生宿舍用床》</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6.《学生宿舍用床安全栏板改造技术指南》</w:t>
      </w:r>
      <w:r/>
    </w:p>
    <w:p>
      <w:pPr>
        <w:pStyle w:val="992"/>
        <w:ind w:firstLine="420"/>
        <w:keepLines w:val="0"/>
        <w:keepNext w:val="0"/>
        <w:pageBreakBefore w:val="0"/>
        <w:spacing w:before="0" w:after="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7.待发布《中小学教育装备配置指南-中小学宿舍、食堂、卫生室、心理咨询室》（征求意见稿现行要求同步执行，正式发布 后按最新版本执行）</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备注：产品原材料送检、成品CMA检测、现场竣工验收全部遵照本章节所列现行标准执行，招标文件评分细则中各项CMA检测参数、验收要求均与本条标准一一对应。</w:t>
      </w:r>
      <w:r/>
    </w:p>
    <w:p>
      <w:pPr>
        <w:pStyle w:val="992"/>
        <w:ind w:firstLine="422"/>
        <w:keepLines w:val="0"/>
        <w:keepNext w:val="0"/>
        <w:pageBreakBefore w:val="0"/>
        <w:spacing w:before="0" w:after="0"/>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投标人提供的投标货物须满足绿色环保要求，所有主、辅材料均符合国家环保标准。若</w:t>
      </w:r>
      <w:r>
        <w:rPr>
          <w:rFonts w:hint="eastAsia" w:ascii="宋体" w:hAnsi="宋体" w:cs="宋体"/>
          <w:b/>
          <w:bCs/>
          <w:i/>
          <w:iCs/>
          <w:color w:val="auto"/>
          <w:sz w:val="21"/>
          <w:szCs w:val="21"/>
          <w:highlight w:val="none"/>
          <w:u w:val="single"/>
          <w:lang w:val="en-US" w:eastAsia="zh-CN"/>
        </w:rPr>
        <w:t xml:space="preserve">招标</w:t>
      </w:r>
      <w:r>
        <w:rPr>
          <w:rFonts w:hint="eastAsia" w:ascii="宋体" w:hAnsi="宋体" w:eastAsia="宋体" w:cs="宋体"/>
          <w:b/>
          <w:bCs/>
          <w:i/>
          <w:iCs/>
          <w:color w:val="auto"/>
          <w:sz w:val="21"/>
          <w:szCs w:val="21"/>
          <w:highlight w:val="none"/>
          <w:u w:val="single"/>
          <w:lang w:val="en-US" w:eastAsia="zh-CN"/>
        </w:rPr>
        <w:t xml:space="preserve">文件所列标准、规范发布新版本，或出台新的标准、规范，一律按最新版本执行。</w:t>
      </w:r>
      <w:r/>
    </w:p>
    <w:p>
      <w:pPr>
        <w:pStyle w:val="992"/>
        <w:ind w:firstLine="422"/>
        <w:keepLines w:val="0"/>
        <w:keepNext w:val="0"/>
        <w:pageBreakBefore w:val="0"/>
        <w:spacing w:before="0" w:after="0"/>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本项目所有家具产品完成生产、组装及交付后，采购人有权委托第三方检测机构开展成品整体甲醛释放量检测，检测方法遵照GB 18580-2017或GB/T 39600-2021执行，成品整体甲醛释放量≤0.050mg/m³，达到E0级环保标准。若检测结果不合格，中标人须无条件更换全部不合格产品，自行承担检测费用及项目相关全部经济损失。</w:t>
      </w:r>
      <w:r/>
    </w:p>
    <w:p>
      <w:pPr>
        <w:pStyle w:val="992"/>
        <w:ind w:firstLine="422"/>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b/>
          <w:bCs/>
          <w:i/>
          <w:iCs/>
          <w:color w:val="auto"/>
          <w:sz w:val="21"/>
          <w:szCs w:val="21"/>
          <w:highlight w:val="none"/>
          <w:u w:val="single"/>
          <w:lang w:val="en-US" w:eastAsia="zh-CN"/>
        </w:rPr>
        <w:t xml:space="preserve">除</w:t>
      </w:r>
      <w:r>
        <w:rPr>
          <w:rFonts w:hint="eastAsia" w:ascii="宋体" w:hAnsi="宋体" w:cs="宋体"/>
          <w:b/>
          <w:bCs/>
          <w:i/>
          <w:iCs/>
          <w:color w:val="auto"/>
          <w:sz w:val="21"/>
          <w:szCs w:val="21"/>
          <w:highlight w:val="none"/>
          <w:u w:val="single"/>
          <w:lang w:val="en-US" w:eastAsia="zh-CN"/>
        </w:rPr>
        <w:t xml:space="preserve">招标</w:t>
      </w:r>
      <w:r>
        <w:rPr>
          <w:rFonts w:hint="eastAsia" w:ascii="宋体" w:hAnsi="宋体" w:eastAsia="宋体" w:cs="宋体"/>
          <w:b/>
          <w:bCs/>
          <w:i/>
          <w:iCs/>
          <w:color w:val="auto"/>
          <w:sz w:val="21"/>
          <w:szCs w:val="21"/>
          <w:highlight w:val="none"/>
          <w:u w:val="single"/>
          <w:lang w:val="en-US" w:eastAsia="zh-CN"/>
        </w:rPr>
        <w:t xml:space="preserve">文件技术要求明确允许偏离或有更严格规定外，所有家具产品的设计、材料、制造工艺、安全性能、环保指标、结构强度及耐久性等参数，须完全满足本章节所列全部国家标准、行业标准、团体标准的最新版本要求，多标准不一致时，以最严格标准为准。履约期间采购人依规抽检，若检测结果不合格，所有检测费、返工费、损失费由中标人承担。</w:t>
      </w:r>
      <w:r/>
    </w:p>
    <w:p>
      <w:pPr>
        <w:pStyle w:val="992"/>
        <w:ind w:firstLine="422"/>
        <w:keepLines w:val="0"/>
        <w:keepNext w:val="0"/>
        <w:pageBreakBefore w:val="0"/>
        <w:spacing w:before="0" w:after="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五、分项技术参数</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（一）上床下桌组合家具技术要求</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 结构与安全：床架采用优质冷轧钢管型材，型材壁厚符合承重国标要求，所有尖角位置做安全圆角钝化处理，床架与桌柜整体紧固连接为一体式结构，无松动间隙。围栏洞口尺寸完整标注，严格遵循《学生宿舍用床安全栏板改造技术指南》。</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 承重与工艺：产品整体静载承重≥300kg，床架钢管表面采用防锈静电喷塑工艺，做工规整，无虚焊、毛刺、脱漆、锈蚀等质量缺陷。</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 配套座椅：标配自修椅结构稳固、防滑耐磨，材质环保无异味，不用时可完全推入书桌下方，椅背不突出床外立面。</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 五金配件：所有抽屉滑轨、柜门铰链采用产品满足高端定制家具五金技术指标，铰链：Φ35mm 标准铰杯、钢板壁厚≥1.5mm、三维可调、内置液压阻尼，使用寿命≥10万次，盐雾≥72h；三节阻尼滑轨：45mm 轨宽、加厚冷轧钢、双排钢珠全拉出、末端液压缓冲，额定承重≥35kg，使用寿命≥5万次，配备三节静音阻尼导轨、缓冲铰链；家具拉手采用内嵌式无尖角设计，衣柜标配不锈钢承重挂衣杆，配件开合顺畅、静音耐用，爬梯踏步板采用ABS工程塑料一体成型，表面带防滑凸点，结构稳定、无毛刺裂纹。</w:t>
      </w:r>
      <w:r/>
    </w:p>
    <w:p>
      <w:pPr>
        <w:pStyle w:val="992"/>
        <w:ind w:firstLine="420"/>
        <w:keepLines w:val="0"/>
        <w:keepNext w:val="0"/>
        <w:pageBreakBefore w:val="0"/>
        <w:spacing w:before="0" w:after="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护栏安全尺寸：全套上下床围栏完整标注围栏洞口长宽、间隙等全部尺寸，所有参数符合《学生宿舍用床安全栏板改造技术指南》强制性安全要求，无尺寸缺失、无安全漏洞。</w:t>
      </w:r>
      <w:r/>
    </w:p>
    <w:p>
      <w:pPr>
        <w:pStyle w:val="992"/>
        <w:ind w:firstLine="420"/>
        <w:keepLines w:val="0"/>
        <w:keepNext w:val="0"/>
        <w:pageBreakBefore w:val="0"/>
        <w:spacing w:before="0" w:after="0"/>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w:t>
      </w:r>
      <w:r>
        <w:rPr>
          <w:rFonts w:hint="eastAsia" w:ascii="宋体" w:hAnsi="宋体" w:cs="宋体"/>
          <w:color w:val="auto"/>
          <w:sz w:val="21"/>
          <w:szCs w:val="21"/>
          <w:highlight w:val="none"/>
          <w:lang w:val="en-US" w:eastAsia="zh-CN"/>
        </w:rPr>
        <w:t xml:space="preserve">配套服务：</w:t>
      </w:r>
      <w:r>
        <w:rPr>
          <w:rFonts w:hint="eastAsia" w:asciiTheme="minorEastAsia" w:hAnsiTheme="minorEastAsia" w:eastAsiaTheme="minorEastAsia" w:cstheme="minorEastAsia"/>
          <w:b w:val="0"/>
          <w:bCs w:val="0"/>
          <w:color w:val="auto"/>
          <w:sz w:val="21"/>
          <w:szCs w:val="21"/>
          <w:highlight w:val="none"/>
          <w:lang w:val="en-US" w:eastAsia="zh-CN"/>
        </w:rPr>
        <w:t xml:space="preserve">需要根据上床下桌的结构，自行调整原墙面插座位置，满足使用，并对安装前的环境进行清洁以满足使用需求，该项内容需要潜在供货商投标前到现场确认。</w:t>
      </w:r>
      <w:r/>
    </w:p>
    <w:p>
      <w:pPr>
        <w:pStyle w:val="992"/>
        <w:ind w:firstLine="422"/>
        <w:keepLines w:val="0"/>
        <w:keepNext w:val="0"/>
        <w:pageBreakBefore w:val="0"/>
        <w:spacing w:before="0" w:after="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六、商务要求</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商务要求是指取得采购标的时间、地点、财务和服务要求，包括交付（实施）的时间（期限）和地点（范围），付款条件（进度和方法），包装和运输，售后服务，保险等。其中必须满足的实质性要求加斜体下划线。</w:t>
      </w:r>
      <w:r/>
    </w:p>
    <w:p>
      <w:pPr>
        <w:pStyle w:val="992"/>
        <w:ind w:firstLine="422"/>
        <w:keepLines w:val="0"/>
        <w:keepNext w:val="0"/>
        <w:pageBreakBefore w:val="0"/>
        <w:spacing w:before="0" w:after="0"/>
        <w:rPr>
          <w:rFonts w:hint="eastAsia" w:ascii="宋体" w:hAnsi="宋体" w:eastAsia="宋体" w:cs="宋体"/>
          <w:color w:val="auto"/>
          <w:sz w:val="21"/>
          <w:szCs w:val="21"/>
          <w:highlight w:val="none"/>
          <w:lang w:val="en-US" w:eastAsia="zh-CN"/>
        </w:rPr>
      </w:pPr>
      <w:r/>
      <w:bookmarkStart w:id="28" w:name="_Hlk229171473"/>
      <w:r>
        <w:rPr>
          <w:rFonts w:hint="eastAsia" w:ascii="宋体" w:hAnsi="宋体" w:eastAsia="宋体" w:cs="宋体"/>
          <w:b/>
          <w:bCs/>
          <w:i/>
          <w:iCs/>
          <w:color w:val="auto"/>
          <w:sz w:val="21"/>
          <w:szCs w:val="21"/>
          <w:highlight w:val="none"/>
          <w:u w:val="single"/>
          <w:lang w:val="en-US" w:eastAsia="zh-CN"/>
        </w:rPr>
        <w:t xml:space="preserve">（一）</w:t>
      </w:r>
      <w:bookmarkEnd w:id="28"/>
      <w:r>
        <w:rPr>
          <w:rFonts w:hint="eastAsia" w:ascii="宋体" w:hAnsi="宋体" w:eastAsia="宋体" w:cs="宋体"/>
          <w:b/>
          <w:bCs/>
          <w:i/>
          <w:iCs/>
          <w:color w:val="auto"/>
          <w:sz w:val="21"/>
          <w:szCs w:val="21"/>
          <w:highlight w:val="none"/>
          <w:u w:val="single"/>
          <w:lang w:val="en-US" w:eastAsia="zh-CN"/>
        </w:rPr>
        <w:t xml:space="preserve">交货期：合同签订生效后，在接到采购人进场通知后，中标人必须在40个日历天内将全部货物运抵采购人工地现场并完成安装、加固、调试、检测（</w:t>
      </w:r>
      <w:r>
        <w:rPr>
          <w:rFonts w:hint="eastAsia" w:ascii="宋体" w:hAnsi="宋体" w:cs="宋体"/>
          <w:b/>
          <w:bCs/>
          <w:i/>
          <w:iCs/>
          <w:color w:val="auto"/>
          <w:sz w:val="21"/>
          <w:szCs w:val="21"/>
          <w:highlight w:val="none"/>
          <w:u w:val="single"/>
          <w:lang w:val="en-US" w:eastAsia="zh-CN"/>
        </w:rPr>
        <w:t xml:space="preserve">中标人</w:t>
      </w:r>
      <w:r>
        <w:rPr>
          <w:rFonts w:hint="eastAsia" w:ascii="宋体" w:hAnsi="宋体" w:eastAsia="宋体" w:cs="宋体"/>
          <w:b/>
          <w:bCs/>
          <w:i/>
          <w:iCs/>
          <w:color w:val="auto"/>
          <w:sz w:val="21"/>
          <w:szCs w:val="21"/>
          <w:highlight w:val="none"/>
          <w:u w:val="single"/>
          <w:lang w:val="en-US" w:eastAsia="zh-CN"/>
        </w:rPr>
        <w:t xml:space="preserve">负责检测），直至验收合格。若未能按时交付，每延迟一日，中标人应向采购人支付合同总金额万分之五（0.05%）的违约金。迟延交付产生的违约金总额，不得超过本合同总价款的30%。（投标人须提供书面盖章承诺书，格式自拟）</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（二）报价要求：</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 本项目所有设备材料均由中标人自行采购，但</w:t>
      </w:r>
      <w:r>
        <w:rPr>
          <w:rFonts w:hint="eastAsia" w:ascii="宋体" w:hAnsi="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en-US" w:eastAsia="zh-CN"/>
        </w:rPr>
        <w:t xml:space="preserve">文件中列出材料设备的，要在所列范围内进行采购。投标人应在《开标一览表</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投标分项报价》等标明拟提供服务和货物的规格、品牌、详细配置、单价和总价。</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2.投标报价应包括但不仅限于提供货物及其运输、装卸、清点、堆放、验收前保管、调试、验收合格及之前所有含税费用，投标报价还包含投标人应当提供的伴随服务/售后服务费用。</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（三）售后服务要求</w:t>
      </w:r>
      <w:r/>
    </w:p>
    <w:p>
      <w:pPr>
        <w:pStyle w:val="992"/>
        <w:ind w:firstLine="422"/>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b/>
          <w:bCs/>
          <w:i/>
          <w:iCs/>
          <w:color w:val="auto"/>
          <w:sz w:val="21"/>
          <w:szCs w:val="21"/>
          <w:highlight w:val="none"/>
          <w:u w:val="single"/>
          <w:lang w:val="en-US" w:eastAsia="zh-CN"/>
        </w:rPr>
        <w:t xml:space="preserve">1.质保期：家具验收合格交付使用之日起，全套家具及所有配套配件免费质保不少于</w:t>
      </w:r>
      <w:r>
        <w:rPr>
          <w:rFonts w:hint="eastAsia" w:ascii="宋体" w:hAnsi="宋体" w:cs="宋体"/>
          <w:b/>
          <w:bCs/>
          <w:i/>
          <w:iCs/>
          <w:color w:val="auto"/>
          <w:sz w:val="21"/>
          <w:szCs w:val="21"/>
          <w:highlight w:val="none"/>
          <w:u w:val="single"/>
          <w:lang w:val="en-US" w:eastAsia="zh-CN"/>
        </w:rPr>
        <w:t xml:space="preserve">三</w:t>
      </w:r>
      <w:r>
        <w:rPr>
          <w:rFonts w:hint="eastAsia" w:ascii="宋体" w:hAnsi="宋体" w:eastAsia="宋体" w:cs="宋体"/>
          <w:b/>
          <w:bCs/>
          <w:i/>
          <w:iCs/>
          <w:color w:val="auto"/>
          <w:sz w:val="21"/>
          <w:szCs w:val="21"/>
          <w:highlight w:val="none"/>
          <w:u w:val="single"/>
          <w:lang w:val="en-US" w:eastAsia="zh-CN"/>
        </w:rPr>
        <w:t xml:space="preserve">年；质保期内非人为损坏，中标人免费上门维修、更换配件（含人工、辅材费用）；质保期内中标人每年提供不少于两次免费上门巡检回访服务。（投标人须提供书面盖章承诺书，格式自拟）</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2.投标人应结合</w:t>
      </w:r>
      <w:r>
        <w:rPr>
          <w:rFonts w:hint="eastAsia" w:ascii="宋体" w:hAnsi="宋体" w:cs="宋体"/>
          <w:color w:val="auto"/>
          <w:sz w:val="21"/>
          <w:szCs w:val="21"/>
          <w:highlight w:val="none"/>
          <w:lang w:val="en-US" w:eastAsia="zh-CN"/>
        </w:rPr>
        <w:t xml:space="preserve">招标文件</w:t>
      </w:r>
      <w:r>
        <w:rPr>
          <w:rFonts w:hint="eastAsia" w:ascii="宋体" w:hAnsi="宋体" w:eastAsia="宋体" w:cs="宋体"/>
          <w:color w:val="auto"/>
          <w:sz w:val="21"/>
          <w:szCs w:val="21"/>
          <w:highlight w:val="none"/>
          <w:lang w:val="en-US" w:eastAsia="zh-CN"/>
        </w:rPr>
        <w:t xml:space="preserve">及</w:t>
      </w:r>
      <w:r>
        <w:rPr>
          <w:rFonts w:hint="eastAsia" w:ascii="宋体" w:hAnsi="宋体" w:cs="宋体"/>
          <w:color w:val="auto"/>
          <w:sz w:val="21"/>
          <w:szCs w:val="21"/>
          <w:highlight w:val="none"/>
          <w:lang w:val="en-US" w:eastAsia="zh-CN"/>
        </w:rPr>
        <w:t xml:space="preserve">图纸</w:t>
      </w:r>
      <w:r>
        <w:rPr>
          <w:rFonts w:hint="eastAsia" w:ascii="宋体" w:hAnsi="宋体" w:eastAsia="宋体" w:cs="宋体"/>
          <w:color w:val="auto"/>
          <w:sz w:val="21"/>
          <w:szCs w:val="21"/>
          <w:highlight w:val="none"/>
          <w:lang w:val="en-US" w:eastAsia="zh-CN"/>
        </w:rPr>
        <w:t xml:space="preserve">，充分考虑效果图与实物图有差异引起的价格风险。 </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中标人应对由于产品设计、工艺、材料、配套件的缺陷而造成的任何产品质量问题或故障负责。在质量保证期内，中标人负责修理和替换不合格的部件并承担费用，包括部件调换的运输费用。在质量保证期内，更换后的部件或零件质量保证期为更换之日起顺延12个月。</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4.质保期内发生的零部件不正常的磨损，或产成品质量不符合生产工艺要求，或非人为原因而损坏、失效的零部件，</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en-US" w:eastAsia="zh-CN"/>
        </w:rPr>
        <w:t xml:space="preserve">须免费提供服务；并更换上述零部件、备品备件和易损件。</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中标人应负责质保期内的免费保修和质保期外的维修工作，需提供24小时服务及联系电话，保修期内发生的保修费用由中标人承担。质保期间，中标人接到维保通知后4小时内赶到现场并在24小时内解决，通知中标人3次或首次通知后24小</w:t>
      </w:r>
      <w:r>
        <w:rPr>
          <w:rFonts w:hint="eastAsia" w:ascii="宋体" w:hAnsi="宋体" w:cs="宋体"/>
          <w:color w:val="auto"/>
          <w:sz w:val="21"/>
          <w:szCs w:val="21"/>
          <w:highlight w:val="none"/>
          <w:lang w:val="en-US" w:eastAsia="zh-CN"/>
        </w:rPr>
        <w:t xml:space="preserve">时内</w:t>
      </w:r>
      <w:r>
        <w:rPr>
          <w:rFonts w:hint="eastAsia" w:ascii="宋体" w:hAnsi="宋体" w:eastAsia="宋体" w:cs="宋体"/>
          <w:color w:val="auto"/>
          <w:sz w:val="21"/>
          <w:szCs w:val="21"/>
          <w:highlight w:val="none"/>
          <w:lang w:val="en-US" w:eastAsia="zh-CN"/>
        </w:rPr>
        <w:t xml:space="preserve">中标人未到现场解决，视作中标人违约1次，采购人将每次从合同尾款中扣除合同总价款的1%作为违约处罚，同时并不免除中标人的维保责任。</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6.如由于非</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en-US" w:eastAsia="zh-CN"/>
        </w:rPr>
        <w:t xml:space="preserve">或第三方人为造成的故障或损坏，由中标人负责在24小时内免费维修，免费调换部件，该部分材料的质量保证期自维修或调换完毕并经采购人认可之日起重新计算（期限同合同与投标承诺的质量保证期限）。</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b w:val="0"/>
          <w:bCs w:val="0"/>
          <w:i w:val="0"/>
          <w:iCs w:val="0"/>
          <w:color w:val="auto"/>
          <w:sz w:val="21"/>
          <w:szCs w:val="21"/>
          <w:highlight w:val="none"/>
          <w:u w:val="none"/>
          <w:lang w:val="en-US" w:eastAsia="zh-CN"/>
        </w:rPr>
        <w:t xml:space="preserve">在签订家具采购合同时，需要提供全部家具所用材料生产厂家的原厂质保书资料（并加盖投标人公章）</w:t>
      </w:r>
      <w:r>
        <w:rPr>
          <w:rFonts w:hint="eastAsia" w:ascii="宋体" w:hAnsi="宋体" w:eastAsia="宋体" w:cs="宋体"/>
          <w:color w:val="auto"/>
          <w:sz w:val="21"/>
          <w:szCs w:val="21"/>
          <w:highlight w:val="none"/>
          <w:lang w:val="en-US" w:eastAsia="zh-CN"/>
        </w:rPr>
        <w:t xml:space="preserve">。</w:t>
      </w:r>
      <w:r/>
    </w:p>
    <w:p>
      <w:pPr>
        <w:pStyle w:val="992"/>
        <w:ind w:firstLine="422"/>
        <w:keepLines w:val="0"/>
        <w:keepNext w:val="0"/>
        <w:pageBreakBefore w:val="0"/>
        <w:spacing w:before="0" w:after="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七、其他要求</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（一）中标人在签订合同前提供本次采购货物的色卡供采购人选择，经采购人确认后方可正式投入生产，否则，由此造成的后果均由中标人承担。颜色调整不再另行支付费用。本项目涉及全新宿舍</w:t>
      </w:r>
      <w:r>
        <w:rPr>
          <w:rFonts w:hint="eastAsia" w:ascii="宋体" w:hAnsi="宋体" w:cs="宋体"/>
          <w:color w:val="auto"/>
          <w:sz w:val="21"/>
          <w:szCs w:val="21"/>
          <w:highlight w:val="none"/>
          <w:lang w:val="en-US" w:eastAsia="zh-CN"/>
        </w:rPr>
        <w:t xml:space="preserve">床铺购置项目</w:t>
      </w:r>
      <w:r>
        <w:rPr>
          <w:rFonts w:hint="eastAsia" w:ascii="宋体" w:hAnsi="宋体" w:eastAsia="宋体" w:cs="宋体"/>
          <w:color w:val="auto"/>
          <w:sz w:val="21"/>
          <w:szCs w:val="21"/>
          <w:highlight w:val="none"/>
          <w:lang w:val="en-US" w:eastAsia="zh-CN"/>
        </w:rPr>
        <w:t xml:space="preserve">，请参加投标的</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自行安排时间现场勘察，采购人不集中组织现场勘察。</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val="en-US" w:eastAsia="zh-CN"/>
        </w:rPr>
        <w:t xml:space="preserve">）产品验收要求 </w:t>
      </w:r>
      <w:r/>
    </w:p>
    <w:p>
      <w:pPr>
        <w:pStyle w:val="992"/>
        <w:ind w:firstLine="422"/>
        <w:keepLines w:val="0"/>
        <w:keepNext w:val="0"/>
        <w:pageBreakBefore w:val="0"/>
        <w:spacing w:before="0" w:after="0"/>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1.验收方法：中标人交货安装完成后，向采购人提交验收申请和各项验收资料，由采购人在3个工作日内组织验收。采购人有权随机抽取部分产品送第三方检测机构进行破坏性检测，若不合格，中标人须接受无条件退货、换货；采购人有权拒付货款并要求中标人赔偿采购人不能如期交付的经济损失。（投标人须提供书面盖章承诺书，格式自拟）。</w:t>
      </w:r>
      <w:r/>
    </w:p>
    <w:p>
      <w:pPr>
        <w:pStyle w:val="992"/>
        <w:ind w:firstLine="422"/>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b/>
          <w:bCs/>
          <w:i/>
          <w:iCs/>
          <w:color w:val="auto"/>
          <w:sz w:val="21"/>
          <w:szCs w:val="21"/>
          <w:highlight w:val="none"/>
          <w:u w:val="single"/>
          <w:lang w:val="en-US" w:eastAsia="zh-CN"/>
        </w:rPr>
        <w:t xml:space="preserve">采购人有权随机抽取组装完成后的成套家具，按照GB 18580-2017或GB/T 39600-2021标准进行整体甲醛释放量检测，检测结果须≤0.050mg/m³（E0级），对检测不合格品的家具采购人有权拒付货款并要求中标人赔偿不能如期交付的经济损失。检测费用及更换费用由中标人承担。（投标人须提供书面盖章承诺书，格式自拟）</w:t>
      </w:r>
      <w:r>
        <w:rPr>
          <w:rFonts w:hint="eastAsia" w:ascii="宋体" w:hAnsi="宋体" w:eastAsia="宋体" w:cs="宋体"/>
          <w:color w:val="auto"/>
          <w:sz w:val="21"/>
          <w:szCs w:val="21"/>
          <w:highlight w:val="none"/>
          <w:lang w:val="en-US" w:eastAsia="zh-CN"/>
        </w:rPr>
        <w:t xml:space="preserve">。</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2.具体验收内容与标准： </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2.1供货产品需与项目需求中“技术要求”内容相符；如有不符的，由</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en-US" w:eastAsia="zh-CN"/>
        </w:rPr>
        <w:t xml:space="preserve">整改或换货，造成所有的损失（包括：因此给采购人造成的损失），由</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lang w:val="en-US" w:eastAsia="zh-CN"/>
        </w:rPr>
        <w:t xml:space="preserve">承担。</w:t>
      </w:r>
      <w:r/>
    </w:p>
    <w:p>
      <w:pPr>
        <w:pStyle w:val="992"/>
        <w:ind w:firstLine="422"/>
        <w:keepLines w:val="0"/>
        <w:keepNext w:val="0"/>
        <w:pageBreakBefore w:val="0"/>
        <w:spacing w:before="0" w:after="0"/>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2.2采购人有权请检测机构相关专家和采购人单位代表在生产前随时到生产现场，查看所有制作材料的型号和进货清单等书面材料及原始凭证，中标人应承担</w:t>
      </w:r>
      <w:r>
        <w:rPr>
          <w:rFonts w:hint="eastAsia" w:ascii="宋体" w:hAnsi="宋体" w:cs="宋体"/>
          <w:b/>
          <w:bCs/>
          <w:i/>
          <w:iCs/>
          <w:color w:val="auto"/>
          <w:sz w:val="21"/>
          <w:szCs w:val="21"/>
          <w:highlight w:val="none"/>
          <w:u w:val="single"/>
          <w:lang w:val="en-US" w:eastAsia="zh-CN"/>
        </w:rPr>
        <w:t xml:space="preserve">因</w:t>
      </w:r>
      <w:r>
        <w:rPr>
          <w:rFonts w:hint="eastAsia" w:ascii="宋体" w:hAnsi="宋体" w:eastAsia="宋体" w:cs="宋体"/>
          <w:b/>
          <w:bCs/>
          <w:i/>
          <w:iCs/>
          <w:color w:val="auto"/>
          <w:sz w:val="21"/>
          <w:szCs w:val="21"/>
          <w:highlight w:val="none"/>
          <w:u w:val="single"/>
          <w:lang w:val="en-US" w:eastAsia="zh-CN"/>
        </w:rPr>
        <w:t xml:space="preserve">材料检测而产生的各类费用。（投标人须提供书面盖章承诺书，格式自拟）</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2.3中标人将产品在规定的时间内配送到采购人指定的交货地点后，采购</w:t>
      </w:r>
      <w:r>
        <w:rPr>
          <w:rFonts w:hint="eastAsia" w:ascii="宋体" w:hAnsi="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lang w:val="en-US" w:eastAsia="zh-CN"/>
        </w:rPr>
        <w:t xml:space="preserve">和中标单位共同按照相关质量要求对产品进行检验。</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2.4收货做好记录，内容包括：名称、数量、生产企业、发货单位、运输单位、发运地点、启运时间、运输工具、到货时间、收货人员等。</w:t>
      </w:r>
      <w:r/>
    </w:p>
    <w:p>
      <w:pPr>
        <w:pStyle w:val="992"/>
        <w:ind w:firstLine="420"/>
        <w:keepLines w:val="0"/>
        <w:keepNext w:val="0"/>
        <w:pageBreakBefore w:val="0"/>
        <w:spacing w:before="0" w:after="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2.5对销后退回的产品，同一批号不得再入采购单位。</w:t>
      </w:r>
      <w:r/>
    </w:p>
    <w:p>
      <w:pPr>
        <w:pStyle w:val="992"/>
        <w:ind w:firstLine="420"/>
        <w:keepLines w:val="0"/>
        <w:keepNext w:val="0"/>
        <w:pageBreakBefore w:val="0"/>
        <w:spacing w:before="0" w:after="0"/>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2.6中标人按采购人要求的送货时间和送货地点提供规定的产品，保证产品的正常供应。所供应的产品的规格、包装、生产厂家、有效期等参数必须</w:t>
      </w:r>
      <w:r>
        <w:rPr>
          <w:rFonts w:hint="eastAsia" w:ascii="宋体" w:hAnsi="宋体" w:eastAsia="宋体" w:cs="宋体"/>
          <w:b/>
          <w:bCs/>
          <w:i/>
          <w:iCs/>
          <w:color w:val="auto"/>
          <w:sz w:val="21"/>
          <w:szCs w:val="21"/>
          <w:highlight w:val="none"/>
          <w:u w:val="single"/>
          <w:lang w:val="en-US" w:eastAsia="zh-CN"/>
        </w:rPr>
        <w:t xml:space="preserve">与投标文件相一致，否则不予验收。</w:t>
      </w:r>
      <w:r/>
    </w:p>
    <w:p>
      <w:pPr>
        <w:pStyle w:val="992"/>
        <w:ind w:firstLine="422"/>
        <w:keepLines w:val="0"/>
        <w:keepNext w:val="0"/>
        <w:pageBreakBefore w:val="0"/>
        <w:spacing w:before="0" w:after="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八、其他要求</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定制化服务：中标人根据采购人的采购情况如订单需求、交货时间、运输方式等制定个性化的方案。日常做好备货工作，保供及时，如因产品缺货问题造成采购人检验项目停止，因此带来的损失均由中标人承担。</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风险管理与应对：中标人有针对采购人的应急预案和风险管理等措施，有效应对可能出现的风险，确保供货的稳定性和可靠性。</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olor w:val="auto"/>
          <w:szCs w:val="21"/>
          <w:highlight w:val="none"/>
          <w:lang w:val="en-US" w:eastAsia="zh-CN"/>
        </w:rPr>
        <w:t xml:space="preserve">货物</w:t>
      </w:r>
      <w:r>
        <w:rPr>
          <w:rFonts w:hint="eastAsia" w:ascii="宋体" w:hAnsi="宋体"/>
          <w:color w:val="auto"/>
          <w:szCs w:val="21"/>
          <w:highlight w:val="none"/>
        </w:rPr>
        <w:t xml:space="preserve">为制造商原装出厂的、全新的、包装完好的产品，各项技术指标完全符合国家有关质量检测、环保标准及产品出厂标准，采购人将委托质检机构进行环保、质量检测，验收达不到规范要求、招标文件要求和投标文件承诺的，必须更换产品并承担检测费用，并按国家有关规定进行处罚，直至赔偿采购人的一切损失。如发现使用假冒伪劣产品、</w:t>
      </w:r>
      <w:r>
        <w:rPr>
          <w:rFonts w:hint="eastAsia" w:ascii="宋体" w:hAnsi="宋体"/>
          <w:color w:val="auto"/>
          <w:szCs w:val="21"/>
          <w:highlight w:val="none"/>
          <w:lang w:eastAsia="zh-CN"/>
        </w:rPr>
        <w:t xml:space="preserve">“三无”产品</w:t>
      </w:r>
      <w:r>
        <w:rPr>
          <w:rFonts w:hint="eastAsia" w:ascii="宋体" w:hAnsi="宋体"/>
          <w:color w:val="auto"/>
          <w:szCs w:val="21"/>
          <w:highlight w:val="none"/>
        </w:rPr>
        <w:t xml:space="preserve">，一经查实，立即终止合同，所有款项一律不付，并将来货封存，交由质量监督部门处理，并按其处罚意见，处以罚款。</w:t>
      </w:r>
      <w:r/>
    </w:p>
    <w:p>
      <w:pPr>
        <w:pStyle w:val="1029"/>
        <w:ind w:firstLine="420"/>
        <w:keepLines w:val="0"/>
        <w:keepNext w:val="0"/>
        <w:pageBreakBefore w:val="0"/>
        <w:spacing w:before="0" w:beforeAutospacing="0" w:after="0" w:afterAutospacing="0"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信用承诺：中标人承诺按照招标文件要求提供的服务承诺及实施方案等是真实的，若技术指标、产品资料、服务承诺等与投标文件说明不符，采购人可以立即取消中标人的中标资格或解除合同。</w:t>
      </w:r>
      <w:r/>
    </w:p>
    <w:p>
      <w:pPr>
        <w:pStyle w:val="992"/>
        <w:ind w:firstLine="420"/>
        <w:keepLines w:val="0"/>
        <w:keepNext w:val="0"/>
        <w:pageBreakBefore w:val="0"/>
        <w:spacing w:before="0" w:after="0"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6</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报价要求：报价包含货物、安装、运输、调试验收、系统对接和售后服务、利润、保险、税金</w:t>
      </w:r>
      <w:r>
        <w:rPr>
          <w:rFonts w:hint="eastAsia" w:ascii="宋体" w:hAnsi="宋体"/>
          <w:color w:val="auto"/>
          <w:sz w:val="21"/>
          <w:szCs w:val="21"/>
          <w:highlight w:val="none"/>
          <w:lang w:eastAsia="zh-CN"/>
        </w:rPr>
        <w:t xml:space="preserve">，以及</w:t>
      </w:r>
      <w:r>
        <w:rPr>
          <w:rFonts w:hint="eastAsia" w:ascii="宋体" w:hAnsi="宋体"/>
          <w:color w:val="auto"/>
          <w:sz w:val="21"/>
          <w:szCs w:val="21"/>
          <w:highlight w:val="none"/>
        </w:rPr>
        <w:t xml:space="preserve">所包含的风险、责任等所有费用，请各投标人认真考虑其各种风险。除合同另有规定之外，伴随服务的费用均已含在合同价款中，采购人不再另行支付</w:t>
      </w:r>
      <w:r>
        <w:rPr>
          <w:rFonts w:hint="eastAsia" w:ascii="宋体" w:hAnsi="宋体"/>
          <w:color w:val="auto"/>
          <w:sz w:val="21"/>
          <w:szCs w:val="21"/>
          <w:highlight w:val="none"/>
          <w:lang w:eastAsia="zh-CN"/>
        </w:rPr>
        <w:t xml:space="preserve">。</w:t>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992"/>
        <w:ind w:firstLine="420"/>
        <w:keepLines w:val="0"/>
        <w:keepNext w:val="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r>
      <w:r/>
    </w:p>
    <w:p>
      <w:pPr>
        <w:pStyle w:val="724"/>
        <w:rPr>
          <w:color w:val="auto"/>
          <w:highlight w:val="none"/>
        </w:rPr>
      </w:pPr>
      <w:r>
        <w:rPr>
          <w:rFonts w:hint="eastAsia"/>
          <w:color w:val="auto"/>
          <w:highlight w:val="none"/>
        </w:rPr>
        <w:t xml:space="preserve">第五章 评标方法及评标标准</w:t>
      </w:r>
      <w:r/>
    </w:p>
    <w:p>
      <w:pPr>
        <w:pStyle w:val="992"/>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992"/>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r/>
    </w:p>
    <w:p>
      <w:pPr>
        <w:ind w:firstLine="441"/>
        <w:keepLines w:val="0"/>
        <w:keepNext w:val="0"/>
        <w:pageBreakBefore w:val="0"/>
        <w:spacing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本项目专门面向中小微企业</w:t>
      </w:r>
      <w:r/>
    </w:p>
    <w:tbl>
      <w:tblPr>
        <w:tblStyle w:val="734"/>
        <w:tblW w:w="4999"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20"/>
        <w:gridCol w:w="4578"/>
      </w:tblGrid>
      <w:tr>
        <w:trPr>
          <w:trHeight w:val="488"/>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5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专门面向中小</w:t>
            </w:r>
            <w:r>
              <w:rPr>
                <w:rFonts w:hint="eastAsia" w:ascii="宋体" w:hAnsi="宋体" w:cs="宋体"/>
                <w:color w:val="auto"/>
                <w:sz w:val="21"/>
                <w:szCs w:val="21"/>
                <w:highlight w:val="none"/>
                <w:lang w:val="en-US" w:eastAsia="zh-CN"/>
              </w:rPr>
              <w:t xml:space="preserve">微</w:t>
            </w:r>
            <w:r>
              <w:rPr>
                <w:rFonts w:hint="eastAsia" w:ascii="宋体" w:hAnsi="宋体" w:eastAsia="宋体" w:cs="宋体"/>
                <w:color w:val="auto"/>
                <w:sz w:val="21"/>
                <w:szCs w:val="21"/>
                <w:highlight w:val="none"/>
              </w:rPr>
              <w:t xml:space="preserve">企业</w:t>
            </w:r>
            <w:r/>
          </w:p>
        </w:tc>
      </w:tr>
      <w:tr>
        <w:trPr>
          <w:trHeight w:val="53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val="en-US" w:eastAsia="zh-CN"/>
              </w:rPr>
              <w:t xml:space="preserve">是</w:t>
            </w:r>
            <w:r/>
          </w:p>
        </w:tc>
      </w:tr>
    </w:tbl>
    <w:p>
      <w:pPr>
        <w:pStyle w:val="992"/>
        <w:numPr>
          <w:ilvl w:val="0"/>
          <w:numId w:val="3"/>
        </w:numPr>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本项目为专门面向中小企业采购项目，仅限中小企业、残疾人福利性单位、监狱企业参与投标；大中型企业提交的投标文件，资格审查不予通过。</w:t>
      </w:r>
      <w:r/>
    </w:p>
    <w:p>
      <w:pPr>
        <w:pStyle w:val="992"/>
        <w:numPr>
          <w:ilvl w:val="0"/>
          <w:numId w:val="3"/>
        </w:numPr>
        <w:ind w:left="0"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残疾人福利性单位、监狱企业视同小型、微型企业，具备本项目投标资格。投标人须按招标文件要求，分别提供《残疾人福利性单位声明函》、省级以上监狱 / 戒毒管理部门出具的监狱企业证明材料，未按要求提供的不予认可其投标资格。</w:t>
      </w:r>
      <w:r/>
    </w:p>
    <w:p>
      <w:pPr>
        <w:pStyle w:val="992"/>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.采购本国产品的支持政策</w:t>
      </w:r>
      <w:r/>
    </w:p>
    <w:p>
      <w:pPr>
        <w:pStyle w:val="992"/>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.1 本项目政府采购活动中既有本国产品又有非本国产品参与竞争的，依法对本国产品给予价格评审优惠，对本国产品的报价给予20%的价格扣除，用扣除后的价格参与评审。</w:t>
      </w:r>
      <w:r/>
    </w:p>
    <w:p>
      <w:pPr>
        <w:pStyle w:val="992"/>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92"/>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992"/>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92"/>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92"/>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以上政策要求均遵照《政府采购促进中小企业发展管理办法》（财库〔2020〕46号）、《国务院办公厅关于在政府采购中实施本国产品标准及相关政策的通知》（国办发〔2025〕34号）等文件执行。</w:t>
      </w:r>
      <w:r/>
    </w:p>
    <w:p>
      <w:pPr>
        <w:pStyle w:val="992"/>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w:t>
      </w:r>
      <w:r>
        <w:rPr>
          <w:rFonts w:hint="eastAsia" w:ascii="宋体" w:hAnsi="宋体" w:cs="宋体"/>
          <w:b/>
          <w:color w:val="auto"/>
          <w:sz w:val="21"/>
          <w:szCs w:val="21"/>
          <w:highlight w:val="none"/>
          <w:lang w:val="en-US" w:eastAsia="zh-CN"/>
        </w:rPr>
        <w:t xml:space="preserve">审</w:t>
      </w:r>
      <w:r>
        <w:rPr>
          <w:rFonts w:hint="eastAsia" w:ascii="宋体" w:hAnsi="宋体" w:cs="宋体"/>
          <w:b/>
          <w:color w:val="auto"/>
          <w:sz w:val="21"/>
          <w:szCs w:val="21"/>
          <w:highlight w:val="none"/>
        </w:rPr>
        <w:t xml:space="preserve">标准</w:t>
      </w:r>
      <w:r/>
    </w:p>
    <w:tbl>
      <w:tblPr>
        <w:tblStyle w:val="734"/>
        <w:tblpPr w:horzAnchor="page" w:tblpXSpec="center" w:vertAnchor="text" w:tblpY="453" w:leftFromText="180" w:topFromText="0" w:rightFromText="180" w:bottomFromText="0"/>
        <w:tblW w:w="9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8688"/>
      </w:tblGrid>
      <w:tr>
        <w:trPr>
          <w:jc w:val="center"/>
          <w:trHeight w:val="567"/>
        </w:trPr>
        <w:tc>
          <w:tcPr>
            <w:tcW w:w="1187"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w:t>
            </w:r>
            <w:r/>
          </w:p>
        </w:tc>
        <w:tc>
          <w:tcPr>
            <w:tcW w:w="8688"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评标要点及说明</w:t>
            </w:r>
            <w:r/>
          </w:p>
        </w:tc>
      </w:tr>
      <w:tr>
        <w:trPr>
          <w:jc w:val="center"/>
          <w:trHeight w:val="567"/>
        </w:trPr>
        <w:tc>
          <w:tcPr>
            <w:tcW w:w="118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868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满足招标文件要求且投标价格最低的投标报价为评标基准价，其价格分为满分。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其他投标人的价格分统一按照下列公式计算：</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投标报价得分=(评标基准价／投标报价)×</w:t>
            </w:r>
            <w:r>
              <w:rPr>
                <w:rFonts w:hint="eastAsia" w:ascii="宋体" w:hAnsi="宋体" w:cs="宋体"/>
                <w:color w:val="auto"/>
                <w:sz w:val="21"/>
                <w:szCs w:val="21"/>
                <w:highlight w:val="none"/>
                <w:u w:val="none"/>
                <w:lang w:val="en-US" w:eastAsia="zh-CN"/>
              </w:rPr>
              <w:t xml:space="preserve">30</w:t>
            </w:r>
            <w:r>
              <w:rPr>
                <w:rFonts w:hint="eastAsia" w:ascii="宋体" w:hAnsi="宋体" w:cs="宋体"/>
                <w:color w:val="auto"/>
                <w:sz w:val="21"/>
                <w:szCs w:val="21"/>
                <w:highlight w:val="none"/>
              </w:rPr>
              <w:t xml:space="preserve">（保留2位小数）</w:t>
            </w:r>
            <w:r/>
          </w:p>
        </w:tc>
      </w:tr>
      <w:tr>
        <w:trPr>
          <w:jc w:val="center"/>
          <w:trHeight w:val="567"/>
        </w:trPr>
        <w:tc>
          <w:tcPr>
            <w:tcW w:w="118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技术参数响应情况</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688" w:type="dxa"/>
            <w:vAlign w:val="center"/>
            <w:textDirection w:val="lrTb"/>
            <w:noWrap w:val="false"/>
          </w:tcPr>
          <w:p>
            <w:pPr>
              <w:jc w:val="left"/>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全部响应即满足招标文件的技术和服务等要求的得20分；标注“★”的为重要技术指标，如有负偏离，每项扣2分；其余为一般指标，如有负偏离，每项扣1分，扣完为止。</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b/>
                <w:bCs/>
                <w:color w:val="auto"/>
                <w:szCs w:val="21"/>
                <w:highlight w:val="none"/>
                <w:lang w:val="en-US" w:eastAsia="zh-CN"/>
              </w:rPr>
              <w:t xml:space="preserve">注：带</w:t>
            </w:r>
            <w:r>
              <w:rPr>
                <w:rFonts w:hint="eastAsia" w:ascii="宋体" w:hAnsi="宋体" w:cs="宋体"/>
                <w:b w:val="0"/>
                <w:bCs w:val="0"/>
                <w:color w:val="auto"/>
                <w:szCs w:val="21"/>
                <w:highlight w:val="none"/>
                <w:lang w:val="en-US" w:eastAsia="zh-CN"/>
              </w:rPr>
              <w:t xml:space="preserve">“★”</w:t>
            </w:r>
            <w:r>
              <w:rPr>
                <w:rFonts w:hint="eastAsia" w:ascii="宋体" w:hAnsi="宋体" w:cs="宋体"/>
                <w:b/>
                <w:bCs/>
                <w:color w:val="auto"/>
                <w:szCs w:val="21"/>
                <w:highlight w:val="none"/>
                <w:lang w:val="en-US" w:eastAsia="zh-CN"/>
              </w:rPr>
              <w:t xml:space="preserve">须提供具有CMA或CNAS资质的检测机构出具的有效检测报告扫描件并加盖公章上传，否则对应参数视为未响应。</w:t>
            </w:r>
            <w:r/>
          </w:p>
        </w:tc>
      </w:tr>
      <w:tr>
        <w:trPr>
          <w:jc w:val="center"/>
          <w:trHeight w:val="567"/>
        </w:trPr>
        <w:tc>
          <w:tcPr>
            <w:tcW w:w="1187"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项目实施方案</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分）</w:t>
            </w:r>
            <w:r/>
          </w:p>
        </w:tc>
        <w:tc>
          <w:tcPr>
            <w:tcW w:w="8688" w:type="dxa"/>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 设计方案（</w:t>
            </w:r>
            <w:r>
              <w:rPr>
                <w:rFonts w:hint="eastAsia" w:ascii="宋体" w:hAnsi="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分）</w:t>
            </w:r>
            <w:r/>
          </w:p>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根据投标人针对本项目学生宿舍家具设计方案(包括但不限于</w:t>
            </w:r>
            <w:r>
              <w:rPr>
                <w:rFonts w:hint="eastAsia" w:ascii="宋体" w:hAnsi="宋体" w:cs="宋体"/>
                <w:color w:val="auto"/>
                <w:sz w:val="21"/>
                <w:szCs w:val="21"/>
                <w:highlight w:val="none"/>
                <w:lang w:val="en-US" w:eastAsia="zh-CN"/>
              </w:rPr>
              <w:t xml:space="preserve">床铺</w:t>
            </w:r>
            <w:r>
              <w:rPr>
                <w:rFonts w:hint="default" w:ascii="宋体" w:hAnsi="宋体" w:eastAsia="宋体" w:cs="宋体"/>
                <w:color w:val="auto"/>
                <w:sz w:val="21"/>
                <w:szCs w:val="21"/>
                <w:highlight w:val="none"/>
                <w:lang w:val="en-US" w:eastAsia="zh-CN"/>
              </w:rPr>
              <w:t xml:space="preserve">深化设计图、</w:t>
            </w:r>
            <w:r>
              <w:rPr>
                <w:rFonts w:hint="eastAsia" w:ascii="宋体" w:hAnsi="宋体" w:cs="宋体"/>
                <w:color w:val="auto"/>
                <w:sz w:val="21"/>
                <w:szCs w:val="21"/>
                <w:highlight w:val="none"/>
                <w:lang w:val="en-US" w:eastAsia="zh-CN"/>
              </w:rPr>
              <w:t xml:space="preserve">配件详图</w:t>
            </w:r>
            <w:r>
              <w:rPr>
                <w:rFonts w:hint="default" w:ascii="宋体" w:hAnsi="宋体" w:eastAsia="宋体" w:cs="宋体"/>
                <w:color w:val="auto"/>
                <w:sz w:val="21"/>
                <w:szCs w:val="21"/>
                <w:highlight w:val="none"/>
                <w:lang w:val="en-US" w:eastAsia="zh-CN"/>
              </w:rPr>
              <w:t xml:space="preserve">)进行</w:t>
            </w:r>
            <w:r>
              <w:rPr>
                <w:rFonts w:hint="eastAsia" w:ascii="宋体" w:hAnsi="宋体" w:cs="宋体"/>
                <w:color w:val="auto"/>
                <w:sz w:val="21"/>
                <w:szCs w:val="21"/>
                <w:highlight w:val="none"/>
                <w:lang w:val="en-US" w:eastAsia="zh-CN"/>
              </w:rPr>
              <w:t xml:space="preserve">评审</w:t>
            </w:r>
            <w:r>
              <w:rPr>
                <w:rFonts w:hint="default" w:ascii="宋体" w:hAnsi="宋体" w:eastAsia="宋体" w:cs="宋体"/>
                <w:color w:val="auto"/>
                <w:sz w:val="21"/>
                <w:szCs w:val="21"/>
                <w:highlight w:val="none"/>
                <w:lang w:val="en-US" w:eastAsia="zh-CN"/>
              </w:rPr>
              <w:t xml:space="preserve">：图纸齐全、</w:t>
            </w:r>
            <w:r>
              <w:rPr>
                <w:rFonts w:hint="eastAsia" w:ascii="宋体" w:hAnsi="宋体" w:cs="宋体"/>
                <w:color w:val="auto"/>
                <w:sz w:val="21"/>
                <w:szCs w:val="21"/>
                <w:highlight w:val="none"/>
                <w:lang w:val="en-US" w:eastAsia="zh-CN"/>
              </w:rPr>
              <w:t xml:space="preserve">材质、</w:t>
            </w:r>
            <w:r>
              <w:rPr>
                <w:rFonts w:hint="default" w:ascii="宋体" w:hAnsi="宋体" w:eastAsia="宋体" w:cs="宋体"/>
                <w:color w:val="auto"/>
                <w:sz w:val="21"/>
                <w:szCs w:val="21"/>
                <w:highlight w:val="none"/>
                <w:lang w:val="en-US" w:eastAsia="zh-CN"/>
              </w:rPr>
              <w:t xml:space="preserve">工艺说明完整，得</w:t>
            </w:r>
            <w:r>
              <w:rPr>
                <w:rFonts w:hint="eastAsia" w:ascii="宋体" w:hAnsi="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分；图纸缺一项或方案内容简略，得1分；仅简易文字描述、无图纸或未提供方案不得分。</w:t>
            </w:r>
            <w:r/>
          </w:p>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 项目整体实施方案（</w:t>
            </w:r>
            <w:r>
              <w:rPr>
                <w:rFonts w:hint="eastAsia" w:ascii="宋体" w:hAnsi="宋体" w:cs="宋体"/>
                <w:color w:val="auto"/>
                <w:sz w:val="21"/>
                <w:szCs w:val="21"/>
                <w:highlight w:val="none"/>
                <w:lang w:val="en-US" w:eastAsia="zh-CN"/>
              </w:rPr>
              <w:t xml:space="preserve">8</w:t>
            </w:r>
            <w:r>
              <w:rPr>
                <w:rFonts w:hint="default" w:ascii="宋体" w:hAnsi="宋体" w:eastAsia="宋体" w:cs="宋体"/>
                <w:color w:val="auto"/>
                <w:sz w:val="21"/>
                <w:szCs w:val="21"/>
                <w:highlight w:val="none"/>
                <w:lang w:val="en-US" w:eastAsia="zh-CN"/>
              </w:rPr>
              <w:t xml:space="preserve">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val="en-US" w:eastAsia="zh-CN"/>
              </w:rPr>
              <w:t xml:space="preserve">对本项目实施方案进行</w:t>
            </w:r>
            <w:r>
              <w:rPr>
                <w:rFonts w:hint="eastAsia" w:ascii="宋体" w:hAnsi="宋体" w:cs="宋体"/>
                <w:color w:val="auto"/>
                <w:sz w:val="21"/>
                <w:szCs w:val="21"/>
                <w:highlight w:val="none"/>
                <w:lang w:val="en-US" w:eastAsia="zh-CN"/>
              </w:rPr>
              <w:t xml:space="preserve">评审</w:t>
            </w:r>
            <w:r>
              <w:rPr>
                <w:rFonts w:hint="default" w:ascii="宋体" w:hAnsi="宋体" w:eastAsia="宋体" w:cs="宋体"/>
                <w:color w:val="auto"/>
                <w:sz w:val="21"/>
                <w:szCs w:val="21"/>
                <w:highlight w:val="none"/>
                <w:lang w:val="en-US" w:eastAsia="zh-CN"/>
              </w:rPr>
              <w:t xml:space="preserve">（包括生产人员配置、原辅材料采购、加工制作、外购产品等各个环节的具体落实情况）：方案思路清晰、合理，实施生产协调措施得当得</w:t>
            </w:r>
            <w:r>
              <w:rPr>
                <w:rFonts w:hint="eastAsia" w:ascii="宋体" w:hAnsi="宋体" w:cs="宋体"/>
                <w:color w:val="auto"/>
                <w:sz w:val="21"/>
                <w:szCs w:val="21"/>
                <w:highlight w:val="none"/>
                <w:lang w:val="en-US" w:eastAsia="zh-CN"/>
              </w:rPr>
              <w:t xml:space="preserve">4</w:t>
            </w:r>
            <w:r>
              <w:rPr>
                <w:rFonts w:hint="default" w:ascii="宋体" w:hAnsi="宋体" w:eastAsia="宋体" w:cs="宋体"/>
                <w:color w:val="auto"/>
                <w:sz w:val="21"/>
                <w:szCs w:val="21"/>
                <w:highlight w:val="none"/>
                <w:lang w:val="en-US" w:eastAsia="zh-CN"/>
              </w:rPr>
              <w:t xml:space="preserve">分；方案思路较为清晰、合理，实施生产协调措施一般的得</w:t>
            </w:r>
            <w:r>
              <w:rPr>
                <w:rFonts w:hint="eastAsia" w:ascii="宋体" w:hAnsi="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方案思路有缺陷、不能合理指导生产的得1分；</w:t>
            </w:r>
            <w:r>
              <w:rPr>
                <w:rFonts w:hint="default" w:ascii="宋体" w:hAnsi="宋体" w:eastAsia="宋体" w:cs="宋体"/>
                <w:color w:val="auto"/>
                <w:sz w:val="21"/>
                <w:szCs w:val="21"/>
                <w:highlight w:val="none"/>
                <w:lang w:val="en-US" w:eastAsia="zh-CN"/>
              </w:rPr>
              <w:t xml:space="preserve">无方案不得分。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val="en-US" w:eastAsia="zh-CN"/>
              </w:rPr>
              <w:t xml:space="preserve">对本项目安装实施方案进行</w:t>
            </w:r>
            <w:r>
              <w:rPr>
                <w:rFonts w:hint="eastAsia" w:ascii="宋体" w:hAnsi="宋体" w:cs="宋体"/>
                <w:color w:val="auto"/>
                <w:sz w:val="21"/>
                <w:szCs w:val="21"/>
                <w:highlight w:val="none"/>
                <w:lang w:val="en-US" w:eastAsia="zh-CN"/>
              </w:rPr>
              <w:t xml:space="preserve">评审</w:t>
            </w:r>
            <w:r>
              <w:rPr>
                <w:rFonts w:hint="default"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包括</w:t>
            </w:r>
            <w:r>
              <w:rPr>
                <w:rFonts w:hint="default" w:ascii="宋体" w:hAnsi="宋体" w:eastAsia="宋体" w:cs="宋体"/>
                <w:color w:val="auto"/>
                <w:sz w:val="21"/>
                <w:szCs w:val="21"/>
                <w:highlight w:val="none"/>
                <w:lang w:val="en-US" w:eastAsia="zh-CN"/>
              </w:rPr>
              <w:t xml:space="preserve">安装时间、安装工序、调试工序、安装人员的落实）：方案详细明确、工序条理清晰、各环节的工作进度安排合理、人员落实配备到位的得</w:t>
            </w:r>
            <w:r>
              <w:rPr>
                <w:rFonts w:hint="eastAsia" w:ascii="宋体" w:hAnsi="宋体" w:cs="宋体"/>
                <w:color w:val="auto"/>
                <w:sz w:val="21"/>
                <w:szCs w:val="21"/>
                <w:highlight w:val="none"/>
                <w:lang w:val="en-US" w:eastAsia="zh-CN"/>
              </w:rPr>
              <w:t xml:space="preserve">4</w:t>
            </w:r>
            <w:r>
              <w:rPr>
                <w:rFonts w:hint="default" w:ascii="宋体" w:hAnsi="宋体" w:eastAsia="宋体" w:cs="宋体"/>
                <w:color w:val="auto"/>
                <w:sz w:val="21"/>
                <w:szCs w:val="21"/>
                <w:highlight w:val="none"/>
                <w:lang w:val="en-US" w:eastAsia="zh-CN"/>
              </w:rPr>
              <w:t xml:space="preserve">分；方案基本明确、工序较为清晰、各环节的工作进度安排较为合理、人员落实配备满足采购需求，不会实质影响项目建设实施的得</w:t>
            </w:r>
            <w:r>
              <w:rPr>
                <w:rFonts w:hint="eastAsia" w:ascii="宋体" w:hAnsi="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分；方案</w:t>
            </w:r>
            <w:r>
              <w:rPr>
                <w:rFonts w:hint="eastAsia" w:ascii="宋体" w:hAnsi="宋体" w:cs="宋体"/>
                <w:color w:val="auto"/>
                <w:sz w:val="21"/>
                <w:szCs w:val="21"/>
                <w:highlight w:val="none"/>
                <w:lang w:val="en-US" w:eastAsia="zh-CN"/>
              </w:rPr>
              <w:t xml:space="preserve">不</w:t>
            </w:r>
            <w:r>
              <w:rPr>
                <w:rFonts w:hint="default" w:ascii="宋体" w:hAnsi="宋体" w:eastAsia="宋体" w:cs="宋体"/>
                <w:color w:val="auto"/>
                <w:sz w:val="21"/>
                <w:szCs w:val="21"/>
                <w:highlight w:val="none"/>
                <w:lang w:val="en-US" w:eastAsia="zh-CN"/>
              </w:rPr>
              <w:t xml:space="preserve">明确、工序</w:t>
            </w:r>
            <w:r>
              <w:rPr>
                <w:rFonts w:hint="eastAsia" w:ascii="宋体" w:hAnsi="宋体" w:cs="宋体"/>
                <w:color w:val="auto"/>
                <w:sz w:val="21"/>
                <w:szCs w:val="21"/>
                <w:highlight w:val="none"/>
                <w:lang w:val="en-US" w:eastAsia="zh-CN"/>
              </w:rPr>
              <w:t xml:space="preserve">紊乱</w:t>
            </w:r>
            <w:r>
              <w:rPr>
                <w:rFonts w:hint="default" w:ascii="宋体" w:hAnsi="宋体" w:eastAsia="宋体" w:cs="宋体"/>
                <w:color w:val="auto"/>
                <w:sz w:val="21"/>
                <w:szCs w:val="21"/>
                <w:highlight w:val="none"/>
                <w:lang w:val="en-US" w:eastAsia="zh-CN"/>
              </w:rPr>
              <w:t xml:space="preserve">、各环节的工作进度安排</w:t>
            </w:r>
            <w:r>
              <w:rPr>
                <w:rFonts w:hint="eastAsia" w:ascii="宋体" w:hAnsi="宋体" w:cs="宋体"/>
                <w:color w:val="auto"/>
                <w:sz w:val="21"/>
                <w:szCs w:val="21"/>
                <w:highlight w:val="none"/>
                <w:lang w:val="en-US" w:eastAsia="zh-CN"/>
              </w:rPr>
              <w:t xml:space="preserve">不</w:t>
            </w:r>
            <w:r>
              <w:rPr>
                <w:rFonts w:hint="default" w:ascii="宋体" w:hAnsi="宋体" w:eastAsia="宋体" w:cs="宋体"/>
                <w:color w:val="auto"/>
                <w:sz w:val="21"/>
                <w:szCs w:val="21"/>
                <w:highlight w:val="none"/>
                <w:lang w:val="en-US" w:eastAsia="zh-CN"/>
              </w:rPr>
              <w:t xml:space="preserve">合理、人员落实配备</w:t>
            </w:r>
            <w:r>
              <w:rPr>
                <w:rFonts w:hint="eastAsia" w:ascii="宋体" w:hAnsi="宋体" w:cs="宋体"/>
                <w:color w:val="auto"/>
                <w:sz w:val="21"/>
                <w:szCs w:val="21"/>
                <w:highlight w:val="none"/>
                <w:lang w:val="en-US" w:eastAsia="zh-CN"/>
              </w:rPr>
              <w:t xml:space="preserve">不能</w:t>
            </w:r>
            <w:r>
              <w:rPr>
                <w:rFonts w:hint="default" w:ascii="宋体" w:hAnsi="宋体" w:eastAsia="宋体" w:cs="宋体"/>
                <w:color w:val="auto"/>
                <w:sz w:val="21"/>
                <w:szCs w:val="21"/>
                <w:highlight w:val="none"/>
                <w:lang w:val="en-US" w:eastAsia="zh-CN"/>
              </w:rPr>
              <w:t xml:space="preserve">满足采购需求，会实质影响项目建设实施的得</w:t>
            </w:r>
            <w:r>
              <w:rPr>
                <w:rFonts w:hint="eastAsia" w:ascii="宋体" w:hAnsi="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无方案不得分。</w:t>
            </w:r>
            <w:r/>
          </w:p>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 生产能力（</w:t>
            </w:r>
            <w:r>
              <w:rPr>
                <w:rFonts w:hint="eastAsia" w:ascii="宋体" w:hAnsi="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val="en-US" w:eastAsia="zh-CN"/>
              </w:rPr>
              <w:t xml:space="preserve">分）</w:t>
            </w:r>
            <w:r/>
          </w:p>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结合本项目产品需求的生产实施工艺技术要求，评标委员会根据投标人提供的产品制造工艺，包含产品钢制喷涂工艺、打磨工艺、组装工艺进行</w:t>
            </w:r>
            <w:r>
              <w:rPr>
                <w:rFonts w:hint="eastAsia" w:ascii="宋体" w:hAnsi="宋体" w:cs="宋体"/>
                <w:color w:val="auto"/>
                <w:sz w:val="21"/>
                <w:szCs w:val="21"/>
                <w:highlight w:val="none"/>
                <w:lang w:val="en-US" w:eastAsia="zh-CN"/>
              </w:rPr>
              <w:t xml:space="preserve">评审</w:t>
            </w:r>
            <w:r>
              <w:rPr>
                <w:rFonts w:hint="default" w:ascii="宋体" w:hAnsi="宋体" w:eastAsia="宋体" w:cs="宋体"/>
                <w:color w:val="auto"/>
                <w:sz w:val="21"/>
                <w:szCs w:val="21"/>
                <w:highlight w:val="none"/>
                <w:lang w:val="en-US" w:eastAsia="zh-CN"/>
              </w:rPr>
              <w:t xml:space="preserve">：产品钢制喷涂工艺、打磨工艺、组装工艺处理技术先进的得</w:t>
            </w:r>
            <w:r>
              <w:rPr>
                <w:rFonts w:hint="eastAsia" w:ascii="宋体" w:hAnsi="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val="en-US" w:eastAsia="zh-CN"/>
              </w:rPr>
              <w:t xml:space="preserve">分；产品钢制喷涂工艺、打磨工艺、组装工艺处理技术良好的得</w:t>
            </w:r>
            <w:r>
              <w:rPr>
                <w:rFonts w:hint="eastAsia" w:ascii="宋体" w:hAnsi="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分；产品钢制喷涂工艺、打磨工艺、组装工艺处理技术落后的得1分。</w:t>
            </w:r>
            <w:r/>
          </w:p>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 品质管理管控方案（</w:t>
            </w:r>
            <w:r>
              <w:rPr>
                <w:rFonts w:hint="eastAsia" w:ascii="宋体" w:hAnsi="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val="en-US" w:eastAsia="zh-CN"/>
              </w:rPr>
              <w:t xml:space="preserve">分）</w:t>
            </w:r>
            <w:r/>
          </w:p>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对本项目品质管控实施方案</w:t>
            </w:r>
            <w:r>
              <w:rPr>
                <w:rFonts w:hint="eastAsia" w:ascii="宋体" w:hAnsi="宋体" w:cs="宋体"/>
                <w:color w:val="auto"/>
                <w:sz w:val="21"/>
                <w:szCs w:val="21"/>
                <w:highlight w:val="none"/>
                <w:lang w:val="en-US" w:eastAsia="zh-CN"/>
              </w:rPr>
              <w:t xml:space="preserve">评审</w:t>
            </w:r>
            <w:r>
              <w:rPr>
                <w:rFonts w:hint="default" w:ascii="宋体" w:hAnsi="宋体" w:eastAsia="宋体" w:cs="宋体"/>
                <w:color w:val="auto"/>
                <w:sz w:val="21"/>
                <w:szCs w:val="21"/>
                <w:highlight w:val="none"/>
                <w:lang w:val="en-US" w:eastAsia="zh-CN"/>
              </w:rPr>
              <w:t xml:space="preserve">（包括对产品品质有严格的管控制度、有专职的品控管理人员、品控管理过程建立品控管理档案，生产过程中产品质量符合采购要求）：质量品控措施、自查、验收方案完整、合理的得</w:t>
            </w:r>
            <w:r>
              <w:rPr>
                <w:rFonts w:hint="eastAsia" w:ascii="宋体" w:hAnsi="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val="en-US" w:eastAsia="zh-CN"/>
              </w:rPr>
              <w:t xml:space="preserve">分；质量品控措施、自查、验收方案较完整、合理，但有欠缺的得</w:t>
            </w:r>
            <w:r>
              <w:rPr>
                <w:rFonts w:hint="eastAsia" w:ascii="宋体" w:hAnsi="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分；质量品控措施、自查、验收方案内容不完整的得1分；无方案不得分。</w:t>
            </w:r>
            <w:r/>
          </w:p>
          <w:p>
            <w:pPr>
              <w:jc w:val="left"/>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5. 售后服务方案（7分）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val="en-US" w:eastAsia="zh-CN"/>
              </w:rPr>
              <w:t xml:space="preserve">对本项目售后服务方案</w:t>
            </w:r>
            <w:r>
              <w:rPr>
                <w:rFonts w:hint="eastAsia" w:ascii="宋体" w:hAnsi="宋体" w:cs="宋体"/>
                <w:color w:val="auto"/>
                <w:sz w:val="21"/>
                <w:szCs w:val="21"/>
                <w:highlight w:val="none"/>
                <w:lang w:val="en-US" w:eastAsia="zh-CN"/>
              </w:rPr>
              <w:t xml:space="preserve">评审</w:t>
            </w:r>
            <w:r>
              <w:rPr>
                <w:rFonts w:hint="default" w:ascii="宋体" w:hAnsi="宋体" w:eastAsia="宋体" w:cs="宋体"/>
                <w:color w:val="auto"/>
                <w:sz w:val="21"/>
                <w:szCs w:val="21"/>
                <w:highlight w:val="none"/>
                <w:lang w:val="en-US" w:eastAsia="zh-CN"/>
              </w:rPr>
              <w:t xml:space="preserve">情况（包括服务的响应时间、响应程度、解决问题的能力、本地化服务能力、紧急故障处理预案、备品备件、技术指导、质保内容、质保期后的维保）；方案完善合理、保修范围完全覆盖本项目内容、具有</w:t>
            </w:r>
            <w:r>
              <w:rPr>
                <w:rFonts w:hint="eastAsia" w:ascii="宋体" w:hAnsi="宋体" w:cs="宋体"/>
                <w:color w:val="auto"/>
                <w:sz w:val="21"/>
                <w:szCs w:val="21"/>
                <w:highlight w:val="none"/>
                <w:lang w:val="en-US" w:eastAsia="zh-CN"/>
              </w:rPr>
              <w:t xml:space="preserve">涉及</w:t>
            </w:r>
            <w:r>
              <w:rPr>
                <w:rFonts w:hint="default" w:ascii="宋体" w:hAnsi="宋体" w:eastAsia="宋体" w:cs="宋体"/>
                <w:color w:val="auto"/>
                <w:sz w:val="21"/>
                <w:szCs w:val="21"/>
                <w:highlight w:val="none"/>
                <w:lang w:val="en-US" w:eastAsia="zh-CN"/>
              </w:rPr>
              <w:t xml:space="preserve">本项目所采购产品的备品备件库与零配件的供应保障措施，技术人员配置齐全、专业性强且服务响应时间迅速且满足项目要求的得3分；方案内容比较完善但有部分细节欠缺、保修范围不够全面、备品备件库存不够齐备、技术人员配置略有欠缺的得2分；方案简略、保修范围及内容不够全面、技术人员配置不足、售后措施保障缺陷较多的得1分；无方案不得分。</w:t>
            </w:r>
            <w:r/>
          </w:p>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val="en-US" w:eastAsia="zh-CN"/>
              </w:rPr>
              <w:t xml:space="preserve">在满足招标文件要求</w:t>
            </w:r>
            <w:r>
              <w:rPr>
                <w:rFonts w:hint="eastAsia" w:ascii="宋体" w:hAnsi="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年的基础上，所有产品的免费质保期增加1年得</w:t>
            </w:r>
            <w:r>
              <w:rPr>
                <w:rFonts w:hint="eastAsia" w:ascii="宋体" w:hAnsi="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val="en-US" w:eastAsia="zh-CN"/>
              </w:rPr>
              <w:t xml:space="preserve">分，最高得</w:t>
            </w:r>
            <w:r>
              <w:rPr>
                <w:rFonts w:hint="eastAsia" w:ascii="宋体" w:hAnsi="宋体" w:cs="宋体"/>
                <w:color w:val="auto"/>
                <w:sz w:val="21"/>
                <w:szCs w:val="21"/>
                <w:highlight w:val="none"/>
                <w:lang w:val="en-US" w:eastAsia="zh-CN"/>
              </w:rPr>
              <w:t xml:space="preserve">4</w:t>
            </w:r>
            <w:r>
              <w:rPr>
                <w:rFonts w:hint="default" w:ascii="宋体" w:hAnsi="宋体" w:eastAsia="宋体" w:cs="宋体"/>
                <w:color w:val="auto"/>
                <w:sz w:val="21"/>
                <w:szCs w:val="21"/>
                <w:highlight w:val="none"/>
                <w:lang w:val="en-US" w:eastAsia="zh-CN"/>
              </w:rPr>
              <w:t xml:space="preserve">分，增加不足1年部分或只对部分产品的质保延长的不予计分。</w:t>
            </w:r>
            <w:r/>
          </w:p>
          <w:p>
            <w:pPr>
              <w:jc w:val="left"/>
              <w:spacing w:line="360" w:lineRule="auto"/>
              <w:rPr>
                <w:rFonts w:hint="default" w:ascii="宋体" w:hAnsi="宋体" w:eastAsia="宋体" w:cs="宋体"/>
                <w:color w:val="auto"/>
                <w:sz w:val="21"/>
                <w:szCs w:val="21"/>
                <w:highlight w:val="none"/>
                <w:lang w:val="en-US"/>
              </w:rPr>
            </w:pPr>
            <w:r>
              <w:rPr>
                <w:rFonts w:hint="eastAsia" w:ascii="宋体" w:hAnsi="宋体" w:cs="宋体"/>
                <w:b/>
                <w:bCs/>
                <w:color w:val="auto"/>
                <w:sz w:val="21"/>
                <w:szCs w:val="21"/>
                <w:highlight w:val="none"/>
                <w:lang w:val="en-US" w:eastAsia="zh-CN"/>
              </w:rPr>
              <w:t xml:space="preserve">注：（投标人须提供书面盖章承诺书，格式自拟）</w:t>
            </w:r>
            <w:r/>
          </w:p>
        </w:tc>
      </w:tr>
      <w:tr>
        <w:trPr>
          <w:jc w:val="center"/>
          <w:trHeight w:val="567"/>
        </w:trPr>
        <w:tc>
          <w:tcPr>
            <w:tcW w:w="118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样品分</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tc>
        <w:tc>
          <w:tcPr>
            <w:tcW w:w="8688" w:type="dxa"/>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 外观款式</w:t>
            </w:r>
            <w:r>
              <w:rPr>
                <w:rFonts w:hint="eastAsia" w:ascii="宋体" w:hAnsi="宋体" w:cs="宋体"/>
                <w:color w:val="auto"/>
                <w:sz w:val="21"/>
                <w:szCs w:val="21"/>
                <w:highlight w:val="none"/>
                <w:lang w:val="en-US" w:eastAsia="zh-CN"/>
              </w:rPr>
              <w:t xml:space="preserve">评审</w:t>
            </w:r>
            <w:r>
              <w:rPr>
                <w:rFonts w:hint="eastAsia" w:ascii="宋体" w:hAnsi="宋体" w:eastAsia="宋体" w:cs="宋体"/>
                <w:color w:val="auto"/>
                <w:sz w:val="21"/>
                <w:szCs w:val="21"/>
                <w:highlight w:val="none"/>
                <w:lang w:val="en-US" w:eastAsia="zh-CN"/>
              </w:rPr>
              <w:t xml:space="preserve">（4分）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样品整体造型、色调、尺寸、款式符合招标文件要求，整体协调统一得4分；基本符合但细节一般得2分；偏差较大不得分。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 制作工艺</w:t>
            </w:r>
            <w:r>
              <w:rPr>
                <w:rFonts w:hint="eastAsia" w:ascii="宋体" w:hAnsi="宋体" w:cs="宋体"/>
                <w:color w:val="auto"/>
                <w:sz w:val="21"/>
                <w:szCs w:val="21"/>
                <w:highlight w:val="none"/>
                <w:lang w:val="en-US" w:eastAsia="zh-CN"/>
              </w:rPr>
              <w:t xml:space="preserve">评审</w:t>
            </w:r>
            <w:r>
              <w:rPr>
                <w:rFonts w:hint="eastAsia" w:ascii="宋体" w:hAnsi="宋体" w:eastAsia="宋体" w:cs="宋体"/>
                <w:color w:val="auto"/>
                <w:sz w:val="21"/>
                <w:szCs w:val="21"/>
                <w:highlight w:val="none"/>
                <w:lang w:val="en-US" w:eastAsia="zh-CN"/>
              </w:rPr>
              <w:t xml:space="preserve">（4分）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样品拼接牢固、结构严密、板面平整、使用舒适，得1分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否则不得分；板材纹理、配色、图案均匀协调，得1分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色差、纹理杂乱不得分；板面无透胶、鼓泡、凹陷、压痕、划伤、麻点、裂痕、崩角、锐边刃口等缺陷，得2分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存在任一瑕疵不得分。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 油漆或喷涂涂饰</w:t>
            </w:r>
            <w:r>
              <w:rPr>
                <w:rFonts w:hint="eastAsia" w:ascii="宋体" w:hAnsi="宋体" w:cs="宋体"/>
                <w:color w:val="auto"/>
                <w:sz w:val="21"/>
                <w:szCs w:val="21"/>
                <w:highlight w:val="none"/>
                <w:lang w:val="en-US" w:eastAsia="zh-CN"/>
              </w:rPr>
              <w:t xml:space="preserve">评审</w:t>
            </w:r>
            <w:r>
              <w:rPr>
                <w:rFonts w:hint="eastAsia" w:ascii="宋体" w:hAnsi="宋体" w:eastAsia="宋体" w:cs="宋体"/>
                <w:color w:val="auto"/>
                <w:sz w:val="21"/>
                <w:szCs w:val="21"/>
                <w:highlight w:val="none"/>
                <w:lang w:val="en-US" w:eastAsia="zh-CN"/>
              </w:rPr>
              <w:t xml:space="preserve">（4分）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产品无刺激性异味，环保无味，得2分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有异味不得分；正视面板材涂层平整光滑、色泽均匀，得1分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粗糙、不均不得分；其余部位涂层手感细腻、无颗粒、无涨边、平整干净，得1分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有明显缺陷不得分。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 样品主材</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规格</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尺寸（3分）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根据提供样品与招标文件项目需求的要求综合评定。样品主材</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规格</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尺寸全部符合要求的得3分，有1</w:t>
            </w:r>
            <w:r>
              <w:rPr>
                <w:rFonts w:hint="eastAsia" w:ascii="宋体" w:hAnsi="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lang w:val="en-US" w:eastAsia="zh-CN"/>
              </w:rPr>
              <w:t xml:space="preserve">不符合要求得1分；有2</w:t>
            </w:r>
            <w:r>
              <w:rPr>
                <w:rFonts w:hint="eastAsia" w:ascii="宋体" w:hAnsi="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lang w:val="en-US" w:eastAsia="zh-CN"/>
              </w:rPr>
              <w:t xml:space="preserve">不符合要求不得分。</w:t>
            </w:r>
            <w:r/>
          </w:p>
        </w:tc>
      </w:tr>
      <w:tr>
        <w:trPr>
          <w:jc w:val="center"/>
          <w:trHeight w:val="567"/>
        </w:trPr>
        <w:tc>
          <w:tcPr>
            <w:tcW w:w="118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企业实力</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8688" w:type="dxa"/>
            <w:vAlign w:val="center"/>
            <w:textDirection w:val="lrTb"/>
            <w:noWrap w:val="false"/>
          </w:tcPr>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投标人提供有效的质量管理认证体系证书得0.5分；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证明材料：投标文件中提供以上认证证书的复印件（扫描件）或全国认证认可信息公共服务平台（http://cx.cnca.cn/CertECloud/index/index/page）的查询结果截图。体系认证证书须能在全国认证认可信息公共服务平台查询到，否则不予认可</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投标人提供有效的环境管理认证体系证书得0.5分；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证明材料：投标文件中提供以上认证证书的复印件（扫描件）或全国认证认可信息公共服务平台（http://cx.cnca.cn/CertECloud/index/index/page）的查询结果截图。体系认证证书须能在全国认证认可信息公共服务平台查询到，否则不予认可</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投标人提供有效的职业健康安全管理认证体系证书得0.5分；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证明材料：投标文件中提供以上认证证书的复印件（扫描件）或全国认证认可信息公共服务平台（http://cx.cnca.cn/CertECloud/index/index/page）的查询结果截图。体系认证证书须能在全国认证认可信息公共服务平台查询到，否则不予认可</w:t>
            </w:r>
            <w:r>
              <w:rPr>
                <w:rFonts w:hint="eastAsia" w:ascii="宋体" w:hAnsi="宋体" w:cs="宋体"/>
                <w:color w:val="auto"/>
                <w:sz w:val="21"/>
                <w:szCs w:val="21"/>
                <w:highlight w:val="none"/>
                <w:lang w:val="en-US" w:eastAsia="zh-CN"/>
              </w:rPr>
              <w:t xml:space="preserve">】</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投标人提供有效的中国环境标志产品认证证书的得0.5分。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【证明材料：投标文件中提供以上认证证书的复印件（扫描件）并加盖公章，否则不予认可</w:t>
            </w:r>
            <w:r>
              <w:rPr>
                <w:rFonts w:hint="eastAsia" w:ascii="宋体" w:hAnsi="宋体" w:cs="宋体"/>
                <w:color w:val="auto"/>
                <w:sz w:val="21"/>
                <w:szCs w:val="21"/>
                <w:highlight w:val="none"/>
                <w:lang w:val="en-US" w:eastAsia="zh-CN"/>
              </w:rPr>
              <w:t xml:space="preserve">】</w:t>
            </w:r>
            <w:r/>
          </w:p>
          <w:p>
            <w:pPr>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注：本条项下全部证书、平台查询截图均须加盖投标人公章，未按要求加盖公章的对应证书不予得分。</w:t>
            </w:r>
            <w:r/>
          </w:p>
        </w:tc>
      </w:tr>
      <w:tr>
        <w:trPr>
          <w:jc w:val="center"/>
          <w:trHeight w:val="567"/>
        </w:trPr>
        <w:tc>
          <w:tcPr>
            <w:tcW w:w="118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8688" w:type="dxa"/>
            <w:vAlign w:val="center"/>
            <w:textDirection w:val="lrTb"/>
            <w:noWrap w:val="false"/>
          </w:tcPr>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投标人提供自2023年1月1日以来（以合同签订时间为准）</w:t>
            </w:r>
            <w:r>
              <w:rPr>
                <w:rFonts w:hint="eastAsia" w:ascii="宋体" w:hAnsi="宋体" w:cs="宋体"/>
                <w:color w:val="auto"/>
                <w:sz w:val="21"/>
                <w:szCs w:val="21"/>
                <w:highlight w:val="none"/>
                <w:lang w:val="en-US" w:eastAsia="zh-CN"/>
              </w:rPr>
              <w:t xml:space="preserve">类似成套家具</w:t>
            </w:r>
            <w:r>
              <w:rPr>
                <w:rFonts w:hint="eastAsia" w:ascii="宋体" w:hAnsi="宋体" w:eastAsia="宋体" w:cs="宋体"/>
                <w:color w:val="auto"/>
                <w:sz w:val="21"/>
                <w:szCs w:val="21"/>
                <w:highlight w:val="none"/>
                <w:lang w:val="en-US" w:eastAsia="zh-CN"/>
              </w:rPr>
              <w:t xml:space="preserve">业绩，每提供1个业绩合同得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分，最高得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b/>
                <w:bCs/>
                <w:color w:val="auto"/>
                <w:szCs w:val="21"/>
                <w:highlight w:val="none"/>
              </w:rPr>
              <w:t xml:space="preserve">注：投标文件中须附合同、中标通知书复印件并加盖投标人公章，合同需体现签约日期及对应产品清单；上传扫描件，资料要素缺失、图文模糊无法辨识或未按要求提交的，本项不予计分。</w:t>
            </w:r>
            <w:r/>
          </w:p>
        </w:tc>
      </w:tr>
      <w:tr>
        <w:trPr>
          <w:jc w:val="center"/>
          <w:trHeight w:val="567"/>
        </w:trPr>
        <w:tc>
          <w:tcPr>
            <w:tcW w:w="118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节能和环境标志产品</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8688" w:type="dxa"/>
            <w:vAlign w:val="center"/>
            <w:textDirection w:val="lrTb"/>
            <w:noWrap w:val="false"/>
          </w:tcPr>
          <w:p>
            <w:pPr>
              <w:ind w:left="0" w:right="0"/>
              <w:jc w:val="left"/>
              <w:keepLines w:val="0"/>
              <w:keepNext w:val="0"/>
              <w:spacing w:before="0" w:beforeAutospacing="0" w:after="0" w:afterAutospacing="0" w:line="360" w:lineRule="auto"/>
              <w:widowControl/>
              <w:rPr>
                <w:rStyle w:val="763"/>
                <w:rFonts w:hint="default" w:ascii="宋体" w:hAnsi="宋体" w:eastAsia="宋体" w:cs="宋体"/>
                <w:b w:val="0"/>
                <w:bCs w:val="0"/>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Style w:val="763"/>
                <w:rFonts w:hint="default" w:ascii="宋体" w:hAnsi="宋体" w:eastAsia="宋体" w:cs="宋体"/>
                <w:b w:val="0"/>
                <w:bCs w:val="0"/>
                <w:color w:val="auto"/>
                <w:sz w:val="21"/>
                <w:szCs w:val="21"/>
                <w:highlight w:val="none"/>
                <w:lang w:val="en-US" w:eastAsia="zh-CN" w:bidi="ar"/>
              </w:rPr>
              <w:t xml:space="preserve">投标家具成品（含桌、椅、柜、床等）属于《环境标志产品政府采购品目清单》（财库〔2019〕18号）范围，且具有国家确定的认证机构出具、处于有效期之内的环境标志产品认证证书的，得</w:t>
            </w:r>
            <w:r>
              <w:rPr>
                <w:rStyle w:val="763"/>
                <w:rFonts w:hint="eastAsia" w:ascii="宋体" w:hAnsi="宋体" w:cs="宋体"/>
                <w:b w:val="0"/>
                <w:bCs w:val="0"/>
                <w:color w:val="auto"/>
                <w:sz w:val="21"/>
                <w:szCs w:val="21"/>
                <w:highlight w:val="none"/>
                <w:lang w:val="en-US" w:eastAsia="zh-CN" w:bidi="ar"/>
              </w:rPr>
              <w:t xml:space="preserve">2</w:t>
            </w:r>
            <w:r>
              <w:rPr>
                <w:rStyle w:val="763"/>
                <w:rFonts w:hint="default" w:ascii="宋体" w:hAnsi="宋体" w:eastAsia="宋体" w:cs="宋体"/>
                <w:b w:val="0"/>
                <w:bCs w:val="0"/>
                <w:color w:val="auto"/>
                <w:sz w:val="21"/>
                <w:szCs w:val="21"/>
                <w:highlight w:val="none"/>
                <w:lang w:val="en-US" w:eastAsia="zh-CN" w:bidi="ar"/>
              </w:rPr>
              <w:t xml:space="preserve">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Style w:val="763"/>
                <w:rFonts w:hint="default" w:ascii="宋体" w:hAnsi="宋体" w:eastAsia="宋体" w:cs="宋体"/>
                <w:b/>
                <w:bCs/>
                <w:color w:val="auto"/>
                <w:sz w:val="21"/>
                <w:szCs w:val="21"/>
                <w:highlight w:val="none"/>
                <w:lang w:val="en-US" w:eastAsia="zh-CN" w:bidi="ar"/>
              </w:rPr>
              <w:t xml:space="preserve">注：上述得分项须在投标文件商务技术部分提供对应材料，缺项或资料不合规的，对应分值不予计取：（1）须提供</w:t>
            </w:r>
            <w:r>
              <w:rPr>
                <w:rStyle w:val="763"/>
                <w:rFonts w:hint="default" w:ascii="宋体" w:hAnsi="宋体" w:eastAsia="宋体" w:cs="宋体"/>
                <w:b/>
                <w:bCs/>
                <w:color w:val="auto"/>
                <w:sz w:val="21"/>
                <w:szCs w:val="21"/>
                <w:highlight w:val="none"/>
                <w:lang w:val="en-US" w:eastAsia="zh-CN" w:bidi="ar"/>
              </w:rPr>
              <w:t xml:space="preserve">《市场监管总局关于发布参与实施政府采购节能产品、环境标志产品认证机构名录的公告》名录内机构出具、处于有效期之内的环境标志产品认证证书清晰复印件，证书认证范围须对应覆盖本项目投标产品 / 所用板材，复印件加盖投标人公章（或投标人与制造商双方公章）；（2）证书过期、发证机构不在官方名录、认证范围与投标产品不符、盖章不符合要求、图片模糊无法辨识的，对应得分项均不得分；（3）本项依据《财政部 发展改革委 生态环境部 市场监管总局关于调整优化节能产品、环境标志产品政府采购执行机制的通知》（财库〔2019〕9号）执行。</w:t>
            </w:r>
            <w:r/>
          </w:p>
        </w:tc>
      </w:tr>
    </w:tbl>
    <w:p>
      <w:pPr>
        <w:pStyle w:val="992"/>
        <w:ind w:firstLine="420"/>
        <w:rPr>
          <w:rFonts w:ascii="宋体" w:hAnsi="宋体" w:cs="宋体"/>
          <w:b/>
          <w:bCs/>
          <w:color w:val="auto"/>
          <w:sz w:val="21"/>
          <w:szCs w:val="21"/>
          <w:highlight w:val="none"/>
        </w:rPr>
        <w:outlineLvl w:val="9"/>
      </w:pPr>
      <w:r>
        <w:rPr>
          <w:rFonts w:hint="eastAsia" w:ascii="宋体" w:hAnsi="宋体" w:cs="宋体"/>
          <w:b/>
          <w:bCs/>
          <w:color w:val="auto"/>
          <w:sz w:val="21"/>
          <w:szCs w:val="21"/>
          <w:highlight w:val="none"/>
          <w:lang w:val="en-US" w:eastAsia="zh-CN"/>
        </w:rPr>
        <w:t xml:space="preserve">四</w:t>
      </w:r>
      <w:r>
        <w:rPr>
          <w:rFonts w:ascii="宋体" w:hAnsi="宋体" w:cs="宋体"/>
          <w:b/>
          <w:bCs/>
          <w:color w:val="auto"/>
          <w:sz w:val="21"/>
          <w:szCs w:val="21"/>
          <w:highlight w:val="none"/>
        </w:rPr>
        <w:t xml:space="preserve">、样品要求</w:t>
      </w:r>
      <w:r/>
    </w:p>
    <w:p>
      <w:pPr>
        <w:pStyle w:val="992"/>
        <w:ind w:firstLine="420"/>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1.样品送达时间及安装规定：样品提供</w:t>
      </w:r>
      <w:r>
        <w:rPr>
          <w:rFonts w:hint="eastAsia" w:ascii="宋体" w:hAnsi="宋体" w:cs="宋体"/>
          <w:color w:val="auto"/>
          <w:sz w:val="21"/>
          <w:szCs w:val="21"/>
          <w:highlight w:val="none"/>
          <w:lang w:val="en-US" w:eastAsia="zh-CN"/>
        </w:rPr>
        <w:t xml:space="preserve">单</w:t>
      </w:r>
      <w:r>
        <w:rPr>
          <w:rFonts w:hint="eastAsia" w:ascii="宋体" w:hAnsi="宋体" w:cs="宋体"/>
          <w:color w:val="auto"/>
          <w:sz w:val="21"/>
          <w:szCs w:val="21"/>
          <w:highlight w:val="none"/>
        </w:rPr>
        <w:t xml:space="preserve">人位公寓床1</w:t>
      </w:r>
      <w:r>
        <w:rPr>
          <w:rFonts w:hint="eastAsia" w:ascii="宋体" w:hAnsi="宋体" w:cs="宋体"/>
          <w:color w:val="auto"/>
          <w:sz w:val="21"/>
          <w:szCs w:val="21"/>
          <w:highlight w:val="none"/>
          <w:lang w:val="en-US" w:eastAsia="zh-CN"/>
        </w:rPr>
        <w:t xml:space="preserve">套</w:t>
      </w:r>
      <w:r>
        <w:rPr>
          <w:rFonts w:hint="eastAsia" w:ascii="宋体" w:hAnsi="宋体" w:cs="宋体"/>
          <w:color w:val="auto"/>
          <w:sz w:val="21"/>
          <w:szCs w:val="21"/>
          <w:highlight w:val="none"/>
        </w:rPr>
        <w:t xml:space="preserve">，公寓椅1把</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样品须在</w:t>
      </w:r>
      <w:r>
        <w:rPr>
          <w:rFonts w:hint="eastAsia" w:ascii="宋体" w:hAnsi="宋体" w:cs="宋体"/>
          <w:color w:val="auto"/>
          <w:sz w:val="21"/>
          <w:szCs w:val="21"/>
          <w:highlight w:val="none"/>
          <w:lang w:val="en-US" w:eastAsia="zh-CN"/>
        </w:rPr>
        <w:t xml:space="preserve">2026年8月9日下午3：00</w:t>
      </w:r>
      <w:r>
        <w:rPr>
          <w:rFonts w:hint="eastAsia" w:ascii="宋体" w:hAnsi="宋体" w:cs="宋体"/>
          <w:color w:val="auto"/>
          <w:sz w:val="21"/>
          <w:szCs w:val="21"/>
          <w:highlight w:val="none"/>
        </w:rPr>
        <w:t xml:space="preserve">前（逾期不予接收）送至扬州市江阳中路131号（扬州大学）14号楼</w:t>
      </w:r>
      <w:r>
        <w:rPr>
          <w:rFonts w:hint="eastAsia" w:ascii="宋体" w:hAnsi="宋体" w:cs="宋体"/>
          <w:color w:val="auto"/>
          <w:sz w:val="21"/>
          <w:szCs w:val="21"/>
          <w:highlight w:val="none"/>
          <w:lang w:val="en-US" w:eastAsia="zh-CN"/>
        </w:rPr>
        <w:t xml:space="preserve">下</w:t>
      </w:r>
      <w:r>
        <w:rPr>
          <w:rFonts w:hint="eastAsia" w:ascii="宋体" w:hAnsi="宋体" w:cs="宋体"/>
          <w:color w:val="auto"/>
          <w:sz w:val="21"/>
          <w:szCs w:val="21"/>
          <w:highlight w:val="none"/>
        </w:rPr>
        <w:t xml:space="preserve">，并安装摆放整齐。样品安装结束后，开标前由代理公司工作人员及监督人员统一进行编号、封号，开标后投标人必须退出样品现场，直至样品打分结束。</w:t>
      </w:r>
      <w:r/>
    </w:p>
    <w:p>
      <w:pPr>
        <w:pStyle w:val="992"/>
        <w:ind w:firstLine="420"/>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2.样品费用：样品的制作、运输、安装、退场等费用均由投标人承担。</w:t>
      </w:r>
      <w:r/>
    </w:p>
    <w:p>
      <w:pPr>
        <w:pStyle w:val="992"/>
        <w:ind w:firstLine="420"/>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3.样品标识：所有样品都不应含有或隐去投标人单位名称、品牌、商标等能标明具体投标人的标识。</w:t>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4.样品退场：采购活动结束后，未中标人的样品，由投标人1个工作日内及时取回；中标人的样品，应按采购人要求送至指定位置，由采购人进行封存保管，并作为履约验收的参考。若投标人未及时取回，代理公司不负有保管责任。</w:t>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992"/>
        <w:ind w:firstLine="420"/>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724"/>
        <w:rPr>
          <w:color w:val="auto"/>
          <w:highlight w:val="none"/>
        </w:rPr>
      </w:pPr>
      <w:r>
        <w:rPr>
          <w:rFonts w:hint="eastAsia"/>
          <w:color w:val="auto"/>
          <w:highlight w:val="none"/>
        </w:rPr>
        <w:t xml:space="preserve">第六章 投标文件格式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pStyle w:val="739"/>
        <w:rPr>
          <w:rFonts w:hint="eastAsia" w:ascii="宋体" w:hAnsi="宋体" w:cs="宋体"/>
          <w:bCs/>
          <w:color w:val="auto"/>
          <w:sz w:val="44"/>
          <w:highlight w:val="none"/>
        </w:rPr>
      </w:pPr>
      <w:r>
        <w:rPr>
          <w:rFonts w:hint="eastAsia" w:ascii="宋体" w:hAnsi="宋体" w:cs="宋体"/>
          <w:bCs/>
          <w:color w:val="auto"/>
          <w:sz w:val="44"/>
          <w:highlight w:val="none"/>
        </w:rPr>
      </w:r>
      <w:r/>
    </w:p>
    <w:p>
      <w:pPr>
        <w:rPr>
          <w:color w:val="auto"/>
          <w:highlight w:val="none"/>
        </w:rPr>
      </w:pPr>
      <w:r>
        <w:rPr>
          <w:color w:val="auto"/>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0"/>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ind w:firstLine="1080"/>
        <w:rPr>
          <w:rFonts w:hint="eastAsia" w:ascii="宋体" w:hAnsi="宋体"/>
          <w:b/>
          <w:color w:val="auto"/>
          <w:sz w:val="36"/>
          <w:szCs w:val="21"/>
          <w:highlight w:val="none"/>
          <w:u w:val="single"/>
        </w:rPr>
      </w:pPr>
      <w:r>
        <w:rPr>
          <w:rFonts w:hint="eastAsia" w:ascii="宋体" w:hAnsi="宋体"/>
          <w:b/>
          <w:color w:val="auto"/>
          <w:sz w:val="36"/>
          <w:szCs w:val="21"/>
          <w:highlight w:val="none"/>
          <w:lang w:eastAsia="zh-CN"/>
        </w:rPr>
        <w:t xml:space="preserve">采</w:t>
      </w:r>
      <w:r>
        <w:rPr>
          <w:rFonts w:hint="eastAsia" w:ascii="宋体" w:hAnsi="宋体"/>
          <w:b/>
          <w:color w:val="auto"/>
          <w:sz w:val="36"/>
          <w:szCs w:val="21"/>
          <w:highlight w:val="none"/>
          <w:lang w:val="en-US" w:eastAsia="zh-CN"/>
        </w:rPr>
        <w:t xml:space="preserve"> </w:t>
      </w:r>
      <w:r>
        <w:rPr>
          <w:rFonts w:hint="eastAsia" w:ascii="宋体" w:hAnsi="宋体"/>
          <w:b/>
          <w:color w:val="auto"/>
          <w:sz w:val="36"/>
          <w:szCs w:val="21"/>
          <w:highlight w:val="none"/>
          <w:lang w:eastAsia="zh-CN"/>
        </w:rPr>
        <w:t xml:space="preserve">购</w:t>
      </w:r>
      <w:r>
        <w:rPr>
          <w:rFonts w:hint="eastAsia" w:ascii="宋体" w:hAnsi="宋体"/>
          <w:b/>
          <w:color w:val="auto"/>
          <w:sz w:val="36"/>
          <w:szCs w:val="21"/>
          <w:highlight w:val="none"/>
        </w:rPr>
        <w:t xml:space="preserve"> 编 号：</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footerReference w:type="default" r:id="rId13"/>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投标文件的组成</w:t>
      </w:r>
      <w:r/>
    </w:p>
    <w:p>
      <w:pPr>
        <w:jc w:val="center"/>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一、资格审查响应对照表</w:t>
      </w:r>
      <w:r/>
    </w:p>
    <w:p>
      <w:pPr>
        <w:ind w:left="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二、符合性审查响应对照表</w:t>
      </w:r>
      <w:r/>
    </w:p>
    <w:p>
      <w:pPr>
        <w:ind w:left="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三、非实质性响应对照表</w:t>
      </w:r>
      <w:r/>
    </w:p>
    <w:p>
      <w:pPr>
        <w:ind w:firstLine="480"/>
        <w:spacing w:line="360" w:lineRule="auto"/>
        <w:rPr>
          <w:rFonts w:hint="eastAsia" w:ascii="宋体" w:hAnsi="宋体" w:cs="宋体"/>
          <w:b/>
          <w:bCs/>
          <w:i w:val="0"/>
          <w:iCs/>
          <w:color w:val="auto"/>
          <w:sz w:val="21"/>
          <w:szCs w:val="21"/>
          <w:highlight w:val="none"/>
          <w:u w:val="none"/>
        </w:rPr>
      </w:pPr>
      <w:r>
        <w:rPr>
          <w:rFonts w:hint="eastAsia" w:ascii="宋体" w:hAnsi="宋体" w:cs="宋体"/>
          <w:color w:val="auto"/>
          <w:sz w:val="21"/>
          <w:szCs w:val="21"/>
          <w:highlight w:val="none"/>
        </w:rPr>
        <w:t xml:space="preserve">四</w:t>
      </w:r>
      <w:r>
        <w:rPr>
          <w:rFonts w:hint="eastAsia" w:ascii="宋体" w:hAnsi="宋体" w:cs="宋体"/>
          <w:b/>
          <w:bCs/>
          <w:color w:val="auto"/>
          <w:sz w:val="21"/>
          <w:szCs w:val="21"/>
          <w:highlight w:val="none"/>
        </w:rPr>
        <w:t xml:space="preserve">、</w:t>
      </w:r>
      <w:r>
        <w:rPr>
          <w:rFonts w:hint="eastAsia" w:ascii="宋体" w:hAnsi="宋体" w:cs="宋体"/>
          <w:i w:val="0"/>
          <w:iCs/>
          <w:color w:val="auto"/>
          <w:sz w:val="21"/>
          <w:szCs w:val="21"/>
          <w:highlight w:val="none"/>
          <w:u w:val="none"/>
        </w:rPr>
        <w:t xml:space="preserve">开标一览表</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五、投标分项报价表</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六、</w:t>
      </w:r>
      <w:r>
        <w:rPr>
          <w:rFonts w:hint="eastAsia" w:ascii="宋体" w:hAnsi="宋体" w:cs="宋体"/>
          <w:color w:val="auto"/>
          <w:sz w:val="21"/>
          <w:szCs w:val="21"/>
          <w:highlight w:val="none"/>
          <w:lang w:eastAsia="zh-CN"/>
        </w:rPr>
        <w:t xml:space="preserve">技术要求响应及偏离表</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七</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商务要求响应及偏离表</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八</w:t>
      </w:r>
      <w:r>
        <w:rPr>
          <w:rFonts w:hint="eastAsia" w:ascii="宋体" w:hAnsi="宋体" w:cs="宋体"/>
          <w:color w:val="auto"/>
          <w:sz w:val="21"/>
          <w:szCs w:val="21"/>
          <w:highlight w:val="none"/>
        </w:rPr>
        <w:t xml:space="preserve">、拟投入人员一览表</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九</w:t>
      </w:r>
      <w:r>
        <w:rPr>
          <w:rFonts w:hint="eastAsia" w:ascii="宋体" w:hAnsi="宋体" w:cs="宋体"/>
          <w:color w:val="auto"/>
          <w:sz w:val="21"/>
          <w:szCs w:val="21"/>
          <w:highlight w:val="none"/>
        </w:rPr>
        <w:t xml:space="preserve">、其他 （投标人认为有必要提供的声明和文件，如有自拟并自行添加）</w:t>
      </w:r>
      <w:r/>
    </w:p>
    <w:p>
      <w:pPr>
        <w:contextualSpacing/>
        <w:jc w:val="center"/>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56"/>
        <w:rPr>
          <w:rFonts w:hint="eastAsia" w:ascii="宋体" w:hAnsi="宋体" w:cs="宋体"/>
          <w:color w:val="auto"/>
          <w:highlight w:val="none"/>
        </w:rPr>
        <w:outlineLvl w:val="9"/>
      </w:pPr>
      <w:r>
        <w:rPr>
          <w:rFonts w:hint="eastAsia" w:ascii="宋体" w:hAnsi="宋体" w:eastAsia="宋体" w:cs="宋体"/>
          <w:color w:val="auto"/>
          <w:sz w:val="32"/>
          <w:szCs w:val="32"/>
          <w:highlight w:val="none"/>
        </w:rPr>
        <w:br w:type="page" w:clear="all"/>
      </w:r>
      <w:bookmarkStart w:id="29" w:name="_Toc20369"/>
      <w:r/>
      <w:bookmarkStart w:id="30" w:name="_Toc7268"/>
      <w:r/>
      <w:bookmarkStart w:id="31" w:name="_Toc5792"/>
      <w:r>
        <w:rPr>
          <w:rFonts w:hint="eastAsia" w:ascii="宋体" w:hAnsi="宋体" w:eastAsia="宋体" w:cs="宋体"/>
          <w:color w:val="auto"/>
          <w:sz w:val="32"/>
          <w:highlight w:val="none"/>
        </w:rPr>
        <w:t xml:space="preserve">一、</w:t>
      </w:r>
      <w:bookmarkEnd w:id="29"/>
      <w:r/>
      <w:bookmarkEnd w:id="30"/>
      <w:r/>
      <w:bookmarkEnd w:id="31"/>
      <w:r>
        <w:rPr>
          <w:rFonts w:hint="eastAsia" w:ascii="宋体" w:hAnsi="宋体" w:cs="宋体"/>
          <w:color w:val="auto"/>
          <w:sz w:val="24"/>
          <w:highlight w:val="none"/>
        </w:rPr>
        <w:t xml:space="preserve">资格审查响应对照表</w:t>
      </w:r>
      <w:r/>
    </w:p>
    <w:tbl>
      <w:tblPr>
        <w:tblStyle w:val="734"/>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48"/>
        <w:gridCol w:w="5914"/>
        <w:gridCol w:w="38"/>
        <w:gridCol w:w="1614"/>
      </w:tblGrid>
      <w:tr>
        <w:trPr>
          <w:trHeight w:val="647"/>
        </w:trPr>
        <w:tc>
          <w:tcPr>
            <w:tcW w:w="688"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gridSpan w:val="2"/>
            <w:tcW w:w="6122"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gridSpan w:val="2"/>
            <w:tcW w:w="1709"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524"/>
        </w:trPr>
        <w:tc>
          <w:tcPr>
            <w:gridSpan w:val="5"/>
            <w:tcW w:w="8519"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688"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法人或者其他组织的营业执照等证明文件，自然人的身份证明；</w:t>
            </w:r>
            <w:r/>
          </w:p>
        </w:tc>
        <w:tc>
          <w:tcPr>
            <w:gridSpan w:val="2"/>
            <w:tcW w:w="1709"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上一年度的财务状况报告（成立不满一年不需提供）</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依法缴纳税收和社会保障资金的相关材料；（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具备履行合同所必需的设备和专业技术能力的书面声明；</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参加政府采购活动前3年内在经营活动中没有重大违法记录的书面声明；</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供应商信用承诺书；</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法律、行政法规规定的其他条件；（投标文件中无需提供证明材料）</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c>
          <w:tcPr>
            <w:gridSpan w:val="2"/>
            <w:tcW w:w="612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28"/>
        </w:trPr>
        <w:tc>
          <w:tcPr>
            <w:gridSpan w:val="5"/>
            <w:tcW w:w="8519" w:type="dxa"/>
            <w:vAlign w:val="center"/>
            <w:textDirection w:val="lrTb"/>
            <w:noWrap w:val="false"/>
          </w:tcPr>
          <w:p>
            <w:pPr>
              <w:ind w:firstLine="420"/>
              <w:pageBreakBefore w:val="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rPr>
                <w:rFonts w:hint="eastAsia" w:ascii="宋体" w:hAnsi="宋体" w:cs="宋体"/>
                <w:i w:val="0"/>
                <w:iCs w:val="0"/>
                <w:color w:val="auto"/>
                <w:sz w:val="21"/>
                <w:szCs w:val="21"/>
                <w:highlight w:val="none"/>
                <w:u w:val="none"/>
              </w:rPr>
              <w:t xml:space="preserve">本项目专门面向中小</w:t>
            </w:r>
            <w:r>
              <w:rPr>
                <w:rFonts w:hint="eastAsia" w:ascii="宋体" w:hAnsi="宋体" w:cs="宋体"/>
                <w:i w:val="0"/>
                <w:iCs w:val="0"/>
                <w:color w:val="auto"/>
                <w:sz w:val="21"/>
                <w:szCs w:val="21"/>
                <w:highlight w:val="none"/>
                <w:u w:val="none"/>
                <w:lang w:val="en-US" w:eastAsia="zh-CN"/>
              </w:rPr>
              <w:t xml:space="preserve">微</w:t>
            </w:r>
            <w:r>
              <w:rPr>
                <w:rFonts w:hint="eastAsia" w:ascii="宋体" w:hAnsi="宋体" w:cs="宋体"/>
                <w:i w:val="0"/>
                <w:iCs w:val="0"/>
                <w:color w:val="auto"/>
                <w:sz w:val="21"/>
                <w:szCs w:val="21"/>
                <w:highlight w:val="none"/>
                <w:u w:val="none"/>
              </w:rPr>
              <w:t xml:space="preserve">企业采购。残疾人福利性单位、监狱和戒毒企业（简称监狱企业）视同小型、微型企业。</w:t>
            </w:r>
            <w:r>
              <w:rPr>
                <w:rFonts w:hint="eastAsia" w:ascii="宋体" w:hAnsi="宋体" w:cs="宋体"/>
                <w:b w:val="0"/>
                <w:bCs w:val="0"/>
                <w:i w:val="0"/>
                <w:iCs w:val="0"/>
                <w:color w:val="auto"/>
                <w:sz w:val="21"/>
                <w:szCs w:val="21"/>
                <w:highlight w:val="none"/>
                <w:u w:val="none"/>
              </w:rPr>
              <w:t xml:space="preserve">（</w:t>
            </w:r>
            <w:r>
              <w:rPr>
                <w:rFonts w:hint="eastAsia" w:ascii="宋体" w:hAnsi="宋体" w:cs="宋体"/>
                <w:b w:val="0"/>
                <w:bCs w:val="0"/>
                <w:i w:val="0"/>
                <w:iCs w:val="0"/>
                <w:color w:val="auto"/>
                <w:sz w:val="21"/>
                <w:szCs w:val="21"/>
                <w:highlight w:val="none"/>
                <w:u w:val="none"/>
                <w:lang w:val="en-US" w:eastAsia="zh-CN"/>
              </w:rPr>
              <w:t xml:space="preserve">投标人</w:t>
            </w:r>
            <w:r>
              <w:rPr>
                <w:rFonts w:hint="eastAsia" w:ascii="宋体" w:hAnsi="宋体" w:cs="宋体"/>
                <w:b w:val="0"/>
                <w:bCs w:val="0"/>
                <w:i w:val="0"/>
                <w:iCs w:val="0"/>
                <w:color w:val="auto"/>
                <w:sz w:val="21"/>
                <w:szCs w:val="21"/>
                <w:highlight w:val="none"/>
                <w:u w:val="none"/>
              </w:rPr>
              <w:t xml:space="preserve">按要求填写并提供《中小企业声明函》或《残疾人福利性单位声明函》，或提供由省级以上监狱管理局、戒毒管理局(含新疆生产建设兵团)出具的属于监狱企业的证明文件。）</w:t>
            </w:r>
            <w:r/>
          </w:p>
        </w:tc>
      </w:tr>
      <w:tr>
        <w:trPr>
          <w:trHeight w:val="452"/>
        </w:trPr>
        <w:tc>
          <w:tcPr>
            <w:gridSpan w:val="5"/>
            <w:tcW w:w="8519" w:type="dxa"/>
            <w:vAlign w:val="center"/>
            <w:textDirection w:val="lrTb"/>
            <w:noWrap w:val="false"/>
          </w:tcPr>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本项目的特定资格要求：</w:t>
            </w:r>
            <w:r/>
          </w:p>
        </w:tc>
      </w:tr>
      <w:tr>
        <w:trPr>
          <w:trHeight w:val="452"/>
        </w:trPr>
        <w:tc>
          <w:tcPr>
            <w:gridSpan w:val="2"/>
            <w:tcBorders>
              <w:right w:val="single" w:color="auto" w:sz="4" w:space="0"/>
            </w:tcBorders>
            <w:tcW w:w="736" w:type="dxa"/>
            <w:vAlign w:val="center"/>
            <w:textDirection w:val="lrTb"/>
            <w:noWrap w:val="false"/>
          </w:tcPr>
          <w:p>
            <w:pPr>
              <w:jc w:val="center"/>
              <w:spacing w:line="440" w:lineRule="exact"/>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9</w:t>
            </w:r>
            <w:r/>
          </w:p>
        </w:tc>
        <w:tc>
          <w:tcPr>
            <w:gridSpan w:val="2"/>
            <w:tcBorders>
              <w:left w:val="single" w:color="auto" w:sz="4" w:space="0"/>
              <w:right w:val="single" w:color="auto" w:sz="4" w:space="0"/>
            </w:tcBorders>
            <w:tcW w:w="6113" w:type="dxa"/>
            <w:vAlign w:val="center"/>
            <w:textDirection w:val="lrTb"/>
            <w:noWrap w:val="false"/>
          </w:tcPr>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无</w:t>
            </w:r>
            <w:r/>
          </w:p>
        </w:tc>
        <w:tc>
          <w:tcPr>
            <w:tcBorders>
              <w:left w:val="single" w:color="auto" w:sz="4" w:space="0"/>
            </w:tcBorders>
            <w:tcW w:w="1670" w:type="dxa"/>
            <w:vAlign w:val="center"/>
            <w:textDirection w:val="lrTb"/>
            <w:noWrap w:val="false"/>
          </w:tcPr>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trHeight w:val="400"/>
        </w:trPr>
        <w:tc>
          <w:tcPr>
            <w:gridSpan w:val="5"/>
            <w:tcW w:w="85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688"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gridSpan w:val="2"/>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（2）凡为采购项目提供整体设计、规范编制或者项目管理、监理、检测等服务的供应商，不得再参加本项目的采购活动；</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tcW w:w="688"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gridSpan w:val="2"/>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投标函</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2"/>
        </w:trPr>
        <w:tc>
          <w:tcPr>
            <w:tcW w:w="688"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gridSpan w:val="2"/>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2"/>
        <w:spacing w:before="156" w:after="156" w:line="360" w:lineRule="auto"/>
        <w:rPr>
          <w:rFonts w:hint="eastAsia" w:ascii="宋体" w:hAnsi="宋体" w:cs="宋体"/>
          <w:b/>
          <w:bCs/>
          <w:color w:val="auto"/>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color w:val="auto"/>
          <w:highlight w:val="none"/>
        </w:rPr>
      </w:r>
      <w:r/>
    </w:p>
    <w:p>
      <w:pPr>
        <w:ind w:firstLine="1476"/>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t xml:space="preserve">具备履行合同所必需的设备和专业技术能力的书面声明</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lang w:eastAsia="zh-CN"/>
        </w:rPr>
        <w:t xml:space="preserve">：</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lang w:eastAsia="zh-CN"/>
        </w:rPr>
        <w:t xml:space="preserve">：</w:t>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ind w:firstLine="3360"/>
        <w:spacing w:line="360" w:lineRule="auto"/>
        <w:rPr>
          <w:rFonts w:hint="eastAsia" w:ascii="宋体" w:hAnsi="宋体" w:cs="宋体"/>
          <w:bCs/>
          <w:color w:val="auto"/>
          <w:highlight w:val="none"/>
        </w:rPr>
      </w:pPr>
      <w:r>
        <w:rPr>
          <w:rFonts w:hint="eastAsia" w:ascii="宋体" w:hAnsi="宋体" w:cs="宋体"/>
          <w:bCs/>
          <w:color w:val="auto"/>
          <w:highlight w:val="none"/>
        </w:rPr>
        <w:t xml:space="preserve">供应商名称（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highlight w:val="none"/>
        </w:rPr>
        <w:t xml:space="preserve">）：</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w:t>
      </w:r>
      <w:r>
        <w:rPr>
          <w:rFonts w:hint="eastAsia" w:ascii="宋体" w:hAnsi="宋体" w:cs="宋体"/>
          <w:bCs/>
          <w:color w:val="auto"/>
          <w:highlight w:val="none"/>
          <w:u w:val="none"/>
        </w:rPr>
        <w:t xml:space="preserve">_______________________</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  年  月  日</w:t>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br w:type="page" w:clear="all"/>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ind w:firstLine="480"/>
        <w:spacing w:line="46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336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投标人</w:t>
      </w:r>
      <w:r>
        <w:rPr>
          <w:rFonts w:hint="eastAsia" w:ascii="宋体" w:hAnsi="宋体" w:cs="宋体"/>
          <w:bCs/>
          <w:color w:val="auto"/>
          <w:sz w:val="21"/>
          <w:szCs w:val="21"/>
          <w:highlight w:val="none"/>
        </w:rPr>
        <w:t xml:space="preserve">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sz w:val="21"/>
          <w:szCs w:val="21"/>
          <w:highlight w:val="none"/>
        </w:rPr>
        <w:t xml:space="preserve">）：</w:t>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法定代表人签章：</w:t>
      </w:r>
      <w:r>
        <w:rPr>
          <w:rFonts w:hint="eastAsia" w:ascii="宋体" w:hAnsi="宋体" w:cs="宋体"/>
          <w:bCs/>
          <w:color w:val="auto"/>
          <w:sz w:val="21"/>
          <w:szCs w:val="21"/>
          <w:highlight w:val="none"/>
          <w:u w:val="none"/>
        </w:rPr>
        <w:t xml:space="preserve">_______________________</w:t>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日期：  年  月  日</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500" w:lineRule="exact"/>
        <w:rPr>
          <w:rFonts w:hint="eastAsia" w:ascii="宋体" w:hAnsi="宋体" w:cs="宋体"/>
          <w:b/>
          <w:color w:val="auto"/>
          <w:szCs w:val="21"/>
          <w:highlight w:val="none"/>
        </w:rPr>
      </w:pPr>
      <w:r>
        <w:rPr>
          <w:rFonts w:hint="eastAsia" w:ascii="宋体" w:hAnsi="宋体" w:cs="宋体"/>
          <w:b/>
          <w:bCs/>
          <w:color w:val="auto"/>
          <w:highlight w:val="none"/>
        </w:rPr>
        <w:br w:type="page" w:clear="all"/>
      </w:r>
      <w:r>
        <w:rPr>
          <w:rFonts w:hint="eastAsia" w:ascii="宋体" w:hAnsi="宋体" w:cs="宋体"/>
          <w:b/>
          <w:color w:val="auto"/>
          <w:szCs w:val="21"/>
          <w:highlight w:val="none"/>
        </w:rPr>
        <w:t xml:space="preserve">供应商信用承诺书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承诺主体名称：</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二、严格按照国家</w:t>
      </w:r>
      <w:r>
        <w:rPr>
          <w:rFonts w:hint="eastAsia" w:ascii="宋体" w:hAnsi="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十、本承诺书自签订之日起生效。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（注：法定代表人或负责人、主体名称发生变更的应当重新</w:t>
      </w:r>
      <w:r>
        <w:rPr>
          <w:rFonts w:hint="eastAsia" w:ascii="宋体" w:hAnsi="宋体" w:cs="宋体"/>
          <w:color w:val="auto"/>
          <w:sz w:val="21"/>
          <w:szCs w:val="21"/>
          <w:highlight w:val="none"/>
          <w:lang w:eastAsia="zh-CN"/>
        </w:rPr>
        <w:t xml:space="preserve">作出</w:t>
      </w:r>
      <w:r>
        <w:rPr>
          <w:rFonts w:hint="eastAsia" w:ascii="宋体" w:hAnsi="宋体" w:eastAsia="宋体" w:cs="宋体"/>
          <w:color w:val="auto"/>
          <w:sz w:val="21"/>
          <w:szCs w:val="21"/>
          <w:highlight w:val="none"/>
        </w:rPr>
        <w:t xml:space="preserve">承诺。）</w:t>
      </w:r>
      <w:r/>
    </w:p>
    <w:p>
      <w:pPr>
        <w:ind w:left="0" w:right="0" w:firstLine="0"/>
        <w:jc w:val="center"/>
        <w:spacing w:before="0" w:after="0" w:line="558"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承诺单位（加盖CA电子公章）：    </w:t>
      </w:r>
      <w:r/>
    </w:p>
    <w:p>
      <w:pPr>
        <w:ind w:left="0" w:right="0" w:firstLine="0"/>
        <w:jc w:val="center"/>
        <w:spacing w:before="0" w:after="0" w:line="558"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年  月  日</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投标函</w:t>
      </w:r>
      <w:r/>
    </w:p>
    <w:p>
      <w:pPr>
        <w:pStyle w:val="992"/>
        <w:ind w:firstLine="0"/>
        <w:spacing w:before="0" w:after="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致：</w:t>
      </w:r>
      <w:r>
        <w:rPr>
          <w:rFonts w:hint="eastAsia" w:ascii="宋体" w:hAnsi="宋体" w:cs="宋体"/>
          <w:color w:val="auto"/>
          <w:sz w:val="21"/>
          <w:highlight w:val="none"/>
          <w:lang w:eastAsia="zh-CN"/>
        </w:rPr>
        <w:t xml:space="preserve">扬州大学工程设计研究院有限公司</w:t>
      </w:r>
      <w:r/>
    </w:p>
    <w:p>
      <w:pPr>
        <w:pStyle w:val="992"/>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92"/>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据此函，__________签字人（姓名）兹宣布同意如下：</w:t>
      </w:r>
      <w:r/>
    </w:p>
    <w:p>
      <w:pPr>
        <w:pStyle w:val="992"/>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1.按招标文件规定的各项要求，向买方提供所需货物与服务。</w:t>
      </w:r>
      <w:r/>
    </w:p>
    <w:p>
      <w:pPr>
        <w:pStyle w:val="992"/>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992"/>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992"/>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992"/>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92"/>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w:t>
      </w:r>
      <w:r>
        <w:rPr>
          <w:rFonts w:hint="eastAsia" w:ascii="宋体" w:hAnsi="宋体" w:cs="宋体"/>
          <w:color w:val="auto"/>
          <w:sz w:val="21"/>
          <w:szCs w:val="21"/>
          <w:highlight w:val="none"/>
          <w:lang w:eastAsia="zh-CN"/>
        </w:rPr>
        <w:t xml:space="preserve">间内</w:t>
      </w:r>
      <w:r>
        <w:rPr>
          <w:rFonts w:hint="eastAsia" w:ascii="宋体" w:hAnsi="宋体" w:cs="宋体"/>
          <w:color w:val="auto"/>
          <w:sz w:val="21"/>
          <w:szCs w:val="21"/>
          <w:highlight w:val="none"/>
        </w:rPr>
        <w:t xml:space="preserve">完成项目，交付买方验收、使用。</w:t>
      </w:r>
      <w:r/>
    </w:p>
    <w:p>
      <w:pPr>
        <w:pStyle w:val="992"/>
        <w:ind w:left="425" w:firstLine="105"/>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992"/>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p>
    <w:p>
      <w:pPr>
        <w:pStyle w:val="992"/>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 编：</w:t>
      </w:r>
      <w:r/>
    </w:p>
    <w:p>
      <w:pPr>
        <w:pStyle w:val="992"/>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w:t>
      </w:r>
      <w:r/>
    </w:p>
    <w:p>
      <w:pPr>
        <w:pStyle w:val="992"/>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传 真： </w:t>
      </w:r>
      <w:r/>
    </w:p>
    <w:p>
      <w:pPr>
        <w:pStyle w:val="992"/>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p>
    <w:p>
      <w:pPr>
        <w:pStyle w:val="992"/>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 户： </w:t>
      </w:r>
      <w:r/>
    </w:p>
    <w:p>
      <w:pPr>
        <w:pStyle w:val="992"/>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行 号：</w:t>
      </w:r>
      <w:r/>
    </w:p>
    <w:p>
      <w:pPr>
        <w:pStyle w:val="992"/>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contextualSpacing/>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color w:val="auto"/>
          <w:szCs w:val="21"/>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Cs w:val="21"/>
          <w:highlight w:val="none"/>
        </w:rPr>
        <w:t xml:space="preserve">法人授权书</w:t>
      </w:r>
      <w:r/>
    </w:p>
    <w:p>
      <w:pPr>
        <w:pStyle w:val="99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9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99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993"/>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9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 </w:t>
      </w:r>
      <w:r/>
    </w:p>
    <w:p>
      <w:pPr>
        <w:pStyle w:val="993"/>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99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单位名称： </w:t>
      </w:r>
      <w:r/>
    </w:p>
    <w:p>
      <w:pPr>
        <w:pStyle w:val="993"/>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993"/>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460" w:lineRule="exact"/>
        <w:rPr>
          <w:rFonts w:hint="eastAsia" w:ascii="宋体" w:hAnsi="宋体" w:cs="宋体"/>
          <w:bCs/>
          <w:color w:val="auto"/>
          <w:highlight w:val="none"/>
        </w:rPr>
      </w:pPr>
      <w:r>
        <w:rPr>
          <w:rFonts w:hint="eastAsia" w:ascii="宋体" w:hAnsi="宋体" w:cs="宋体"/>
          <w:bCs/>
          <w:color w:val="auto"/>
          <w:highlight w:val="none"/>
        </w:rPr>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20"/>
        <w:spacing w:line="460" w:lineRule="exact"/>
        <w:rPr>
          <w:rFonts w:hint="eastAsia" w:ascii="宋体" w:hAnsi="宋体" w:cs="宋体"/>
          <w:bCs/>
          <w:color w:val="auto"/>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Cs/>
          <w:color w:val="auto"/>
          <w:highlight w:val="none"/>
        </w:rPr>
        <w:t xml:space="preserve">法定代表人身份证复印件、被授权人身份证复印件</w:t>
      </w:r>
      <w:r/>
    </w:p>
    <w:p>
      <w:pPr>
        <w:pStyle w:val="956"/>
        <w:rPr>
          <w:rFonts w:hint="eastAsia" w:ascii="宋体" w:hAnsi="宋体" w:eastAsia="宋体" w:cs="宋体"/>
          <w:color w:val="auto"/>
          <w:sz w:val="32"/>
          <w:highlight w:val="none"/>
        </w:rPr>
        <w:outlineLvl w:val="9"/>
      </w:pPr>
      <w:r/>
      <w:bookmarkStart w:id="32" w:name="_Toc9345"/>
      <w:r/>
      <w:bookmarkStart w:id="33" w:name="_Toc20616"/>
      <w:r/>
      <w:bookmarkStart w:id="34" w:name="_Toc16911"/>
      <w:r>
        <w:rPr>
          <w:rFonts w:hint="eastAsia" w:ascii="宋体" w:hAnsi="宋体" w:eastAsia="宋体" w:cs="宋体"/>
          <w:color w:val="auto"/>
          <w:sz w:val="32"/>
          <w:highlight w:val="none"/>
        </w:rPr>
        <w:t xml:space="preserve">二、符合性审查响应对照表</w:t>
      </w:r>
      <w:bookmarkEnd w:id="32"/>
      <w:r/>
      <w:bookmarkEnd w:id="33"/>
      <w:r/>
      <w:bookmarkEnd w:id="34"/>
      <w:r/>
      <w:r/>
    </w:p>
    <w:tbl>
      <w:tblPr>
        <w:tblStyle w:val="73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9"/>
        <w:gridCol w:w="4972"/>
        <w:gridCol w:w="1532"/>
        <w:gridCol w:w="1194"/>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924"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投标响应情况</w:t>
            </w:r>
            <w:r/>
          </w:p>
        </w:tc>
        <w:tc>
          <w:tcPr>
            <w:tcW w:w="720"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超出、符合或偏离</w:t>
            </w:r>
            <w:r/>
          </w:p>
        </w:tc>
      </w:tr>
      <w:tr>
        <w:trPr>
          <w:trHeight w:val="582"/>
        </w:trPr>
        <w:tc>
          <w:tcPr>
            <w:tcW w:w="355"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2999" w:type="pct"/>
            <w:vAlign w:val="center"/>
            <w:textDirection w:val="lrTb"/>
            <w:noWrap w:val="false"/>
          </w:tcPr>
          <w:p>
            <w:pPr>
              <w:spacing w:line="0" w:lineRule="atLeast"/>
              <w:rPr>
                <w:rFonts w:hint="eastAsia" w:ascii="宋体" w:hAnsi="宋体" w:cs="宋体"/>
                <w:bCs/>
                <w:iCs/>
                <w:color w:val="auto"/>
                <w:szCs w:val="21"/>
                <w:highlight w:val="none"/>
              </w:rPr>
            </w:pPr>
            <w:r>
              <w:rPr>
                <w:rFonts w:hint="eastAsia" w:ascii="宋体" w:hAnsi="宋体"/>
                <w:color w:val="auto"/>
                <w:sz w:val="21"/>
                <w:szCs w:val="21"/>
                <w:highlight w:val="none"/>
              </w:rPr>
              <w:t xml:space="preserve">招标文件（含技术</w:t>
            </w:r>
            <w:r>
              <w:rPr>
                <w:rFonts w:ascii="宋体" w:hAnsi="宋体"/>
                <w:color w:val="auto"/>
                <w:sz w:val="21"/>
                <w:szCs w:val="21"/>
                <w:highlight w:val="none"/>
              </w:rPr>
              <w:t xml:space="preserve">要求和商务</w:t>
            </w:r>
            <w:r>
              <w:rPr>
                <w:rFonts w:hint="eastAsia" w:ascii="宋体" w:hAnsi="宋体"/>
                <w:color w:val="auto"/>
                <w:sz w:val="21"/>
                <w:szCs w:val="21"/>
                <w:highlight w:val="none"/>
              </w:rPr>
              <w:t xml:space="preserve">要求）</w:t>
            </w:r>
            <w:r>
              <w:rPr>
                <w:rFonts w:ascii="宋体" w:hAnsi="宋体"/>
                <w:color w:val="auto"/>
                <w:sz w:val="21"/>
                <w:szCs w:val="21"/>
                <w:highlight w:val="none"/>
              </w:rPr>
              <w:t xml:space="preserve">中的实质性要求</w:t>
            </w:r>
            <w:r>
              <w:rPr>
                <w:rFonts w:hint="eastAsia" w:ascii="宋体" w:hAnsi="宋体"/>
                <w:b/>
                <w:bCs/>
                <w:color w:val="auto"/>
                <w:sz w:val="21"/>
                <w:szCs w:val="21"/>
                <w:highlight w:val="none"/>
              </w:rPr>
              <w:t xml:space="preserve">（</w:t>
            </w:r>
            <w:r>
              <w:rPr>
                <w:rFonts w:hint="eastAsia" w:ascii="宋体" w:hAnsi="宋体"/>
                <w:b/>
                <w:bCs/>
                <w:i/>
                <w:color w:val="auto"/>
                <w:sz w:val="21"/>
                <w:szCs w:val="21"/>
                <w:highlight w:val="none"/>
                <w:u w:val="single"/>
              </w:rPr>
              <w:t xml:space="preserve">斜体且有下划线部分</w:t>
            </w:r>
            <w:r>
              <w:rPr>
                <w:rFonts w:hint="eastAsia" w:ascii="宋体" w:hAnsi="宋体"/>
                <w:b/>
                <w:bCs/>
                <w:color w:val="auto"/>
                <w:sz w:val="21"/>
                <w:szCs w:val="21"/>
                <w:highlight w:val="none"/>
              </w:rPr>
              <w:t xml:space="preserve">）</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证明材料1，证明材料2，……</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1.投标人必须对招标文件（含技术要求和商务要求）中的实质性要求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逐条做出明确响应。</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2.如果招标文件要求提供证明材料，投标人必须将证明材料列于该表之下。</w:t>
      </w:r>
      <w:r/>
    </w:p>
    <w:p>
      <w:pPr>
        <w:contextualSpacing/>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3.投标人未对实质性要求逐条作出明确响应的，或未按招标文件要求提供证明材料的，该采购包作无效投标处理。</w:t>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956"/>
        <w:rPr>
          <w:rFonts w:hint="eastAsia" w:ascii="宋体" w:hAnsi="宋体" w:eastAsia="宋体" w:cs="宋体"/>
          <w:color w:val="auto"/>
          <w:sz w:val="32"/>
          <w:highlight w:val="none"/>
        </w:rPr>
        <w:outlineLvl w:val="9"/>
      </w:pPr>
      <w:r/>
      <w:bookmarkStart w:id="35" w:name="_Toc23420"/>
      <w:r/>
      <w:bookmarkStart w:id="36" w:name="_Toc29406"/>
      <w:r/>
      <w:bookmarkStart w:id="37" w:name="_Toc23068"/>
      <w:r>
        <w:rPr>
          <w:rFonts w:hint="eastAsia" w:ascii="宋体" w:hAnsi="宋体" w:eastAsia="宋体" w:cs="宋体"/>
          <w:color w:val="auto"/>
          <w:sz w:val="32"/>
          <w:highlight w:val="none"/>
        </w:rPr>
        <w:t xml:space="preserve">三、非实质性响应对照表</w:t>
      </w:r>
      <w:bookmarkEnd w:id="35"/>
      <w:r/>
      <w:bookmarkEnd w:id="36"/>
      <w:r/>
      <w:bookmarkEnd w:id="37"/>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73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9"/>
        <w:gridCol w:w="4972"/>
        <w:gridCol w:w="1532"/>
        <w:gridCol w:w="1194"/>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投标响应情况</w:t>
            </w:r>
            <w:r/>
          </w:p>
        </w:tc>
        <w:tc>
          <w:tcPr>
            <w:tcW w:w="1228"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超出、符合或偏离</w:t>
            </w:r>
            <w:r/>
          </w:p>
        </w:tc>
      </w:tr>
      <w:tr>
        <w:trPr>
          <w:trHeight w:val="643"/>
        </w:trPr>
        <w:tc>
          <w:tcPr>
            <w:tcW w:w="355"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108" w:type="dxa"/>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643"/>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108" w:type="dxa"/>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lang w:eastAsia="zh-CN"/>
              </w:rPr>
              <w:t xml:space="preserve">《关于符合本国产品标准的声明函》</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3"/>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999" w:type="pct"/>
            <w:vAlign w:val="center"/>
            <w:textDirection w:val="lrTb"/>
            <w:noWrap w:val="false"/>
          </w:tcPr>
          <w:p>
            <w:pPr>
              <w:spacing w:line="0" w:lineRule="atLeast"/>
              <w:rPr>
                <w:rFonts w:hint="eastAsia" w:ascii="宋体" w:hAnsi="宋体" w:eastAsia="宋体" w:cs="宋体"/>
                <w:iCs/>
                <w:color w:val="auto"/>
                <w:szCs w:val="21"/>
                <w:highlight w:val="none"/>
                <w:lang w:eastAsia="zh-CN"/>
              </w:rPr>
            </w:pPr>
            <w:r>
              <w:rPr>
                <w:rFonts w:hint="eastAsia" w:ascii="宋体" w:hAnsi="宋体" w:eastAsia="宋体" w:cs="宋体"/>
                <w:iCs/>
                <w:color w:val="auto"/>
                <w:szCs w:val="21"/>
                <w:highlight w:val="none"/>
                <w:lang w:eastAsia="zh-CN"/>
              </w:rPr>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312" w:after="312"/>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中小企业声明函（货物）</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Cs w:val="21"/>
          <w:highlight w:val="none"/>
          <w:u w:val="single"/>
        </w:rPr>
        <w:t xml:space="preserve">（单位名称）</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（项目名称）</w:t>
      </w:r>
      <w:r>
        <w:rPr>
          <w:rFonts w:hint="eastAsia" w:ascii="宋体" w:hAnsi="宋体" w:eastAsia="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u w:val="single"/>
        </w:rPr>
        <w:t xml:space="preserve">（标的名称） </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工</w:t>
      </w:r>
      <w:r>
        <w:rPr>
          <w:rFonts w:hint="eastAsia" w:ascii="宋体" w:hAnsi="宋体" w:eastAsia="宋体" w:cs="宋体"/>
          <w:color w:val="auto"/>
          <w:szCs w:val="21"/>
          <w:highlight w:val="none"/>
          <w:u w:val="single"/>
        </w:rPr>
        <w:t xml:space="preserve">业）行业</w:t>
      </w:r>
      <w:r>
        <w:rPr>
          <w:rFonts w:hint="eastAsia" w:ascii="宋体" w:hAnsi="宋体" w:eastAsia="宋体" w:cs="宋体"/>
          <w:b/>
          <w:bCs/>
          <w:color w:val="auto"/>
          <w:szCs w:val="21"/>
          <w:highlight w:val="none"/>
          <w:u w:val="single"/>
        </w:rPr>
        <w:t xml:space="preserve">（不得对行业类别修改）</w:t>
      </w:r>
      <w:r>
        <w:rPr>
          <w:rFonts w:hint="eastAsia" w:ascii="宋体" w:hAnsi="宋体" w:eastAsia="宋体" w:cs="宋体"/>
          <w:color w:val="auto"/>
          <w:szCs w:val="21"/>
          <w:highlight w:val="none"/>
        </w:rPr>
        <w:t xml:space="preserve">；制造商为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\o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Cs w:val="21"/>
          <w:highlight w:val="none"/>
          <w:vertAlign w:val="superscript"/>
        </w:rPr>
        <w:t xml:space="preserve">1</w:t>
      </w:r>
      <w:r>
        <w:rPr>
          <w:rFonts w:hint="eastAsia" w:ascii="宋体" w:hAnsi="宋体" w:eastAsia="宋体" w:cs="宋体"/>
          <w:color w:val="auto"/>
          <w:spacing w:val="-1"/>
          <w:szCs w:val="21"/>
          <w:highlight w:val="none"/>
          <w:vertAlign w:val="superscript"/>
        </w:rPr>
        <w:fldChar w:fldCharType="end"/>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u w:val="single"/>
        </w:rPr>
        <w:t xml:space="preserve">（标的名称） </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工业</w:t>
      </w:r>
      <w:r>
        <w:rPr>
          <w:rFonts w:hint="eastAsia" w:ascii="宋体" w:hAnsi="宋体" w:eastAsia="宋体" w:cs="宋体"/>
          <w:color w:val="auto"/>
          <w:szCs w:val="21"/>
          <w:highlight w:val="none"/>
          <w:u w:val="single"/>
        </w:rPr>
        <w:t xml:space="preserve">）行业</w:t>
      </w:r>
      <w:r>
        <w:rPr>
          <w:rFonts w:hint="eastAsia" w:ascii="宋体" w:hAnsi="宋体" w:eastAsia="宋体" w:cs="宋体"/>
          <w:b/>
          <w:bCs/>
          <w:color w:val="auto"/>
          <w:szCs w:val="21"/>
          <w:highlight w:val="none"/>
          <w:u w:val="single"/>
        </w:rPr>
        <w:t xml:space="preserve">（不得对行业类别修改）</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制造商为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万元，属于</w:t>
      </w:r>
      <w:r>
        <w:rPr>
          <w:rFonts w:hint="eastAsia" w:ascii="宋体" w:hAnsi="宋体" w:eastAsia="宋体" w:cs="宋体"/>
          <w:color w:val="auto"/>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本企业对上述声明内容的真实性负责。如有虚假，将依法承担相应责任。</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 1、从业人员（不仅指在职职工）、营业收入、资产总额填报上一年度数据，无上一年度数据的新成立企业可不填报。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eastAsia="宋体" w:cs="宋体"/>
          <w:color w:val="auto"/>
          <w:szCs w:val="21"/>
          <w:highlight w:val="none"/>
        </w:rPr>
        <w:t xml:space="preserve">专门面向中小微型企业采购的项目，供应商如不提供此声明函，则不能通过资格审查；非专门面向中小微型企业采购的项目，供应商如不提供此声明函或未按要求对所有采购设备逐项填写完整，价格将不做相应扣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eastAsia="宋体" w:cs="宋体"/>
          <w:color w:val="auto"/>
          <w:szCs w:val="21"/>
          <w:highlight w:val="none"/>
        </w:rPr>
        <w:t xml:space="preserve">企业声明函请完整填写，中标后将公示。</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eastAsia="宋体" w:cs="宋体"/>
          <w:color w:val="auto"/>
          <w:szCs w:val="21"/>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5.</w:t>
      </w:r>
      <w:r>
        <w:rPr>
          <w:rFonts w:hint="eastAsia" w:ascii="宋体" w:hAnsi="宋体" w:eastAsia="宋体" w:cs="宋体"/>
          <w:color w:val="auto"/>
          <w:szCs w:val="21"/>
          <w:highlight w:val="none"/>
        </w:rPr>
        <w:t xml:space="preserve">声明函应涵盖本项目(分包)所有货物，否则价格不作扣除。</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6.</w:t>
      </w:r>
      <w:r>
        <w:rPr>
          <w:rFonts w:hint="eastAsia" w:ascii="宋体" w:hAnsi="宋体" w:eastAsia="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7.《中华人民共和国政府采购法》</w:t>
      </w:r>
      <w:r>
        <w:rPr>
          <w:rFonts w:hint="eastAsia" w:ascii="宋体" w:hAnsi="宋体" w:eastAsia="宋体" w:cs="宋体"/>
          <w:bCs/>
          <w:color w:val="auto"/>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399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企业名称（盖章）：</w:t>
      </w:r>
      <w:r/>
    </w:p>
    <w:p>
      <w:pPr>
        <w:ind w:firstLine="420"/>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r/>
    </w:p>
    <w:p>
      <w:pPr>
        <w:jc w:val="center"/>
        <w:rPr>
          <w:rStyle w:val="982"/>
          <w:rFonts w:hint="eastAsia" w:ascii="宋体" w:hAnsi="宋体" w:cs="宋体"/>
          <w:color w:val="auto"/>
          <w:szCs w:val="21"/>
          <w:highlight w:val="none"/>
        </w:rPr>
      </w:pPr>
      <w:r>
        <w:rPr>
          <w:rStyle w:val="982"/>
          <w:rFonts w:hint="eastAsia" w:ascii="宋体" w:hAnsi="宋体" w:cs="宋体"/>
          <w:color w:val="auto"/>
          <w:szCs w:val="21"/>
          <w:highlight w:val="none"/>
        </w:rPr>
        <w:t xml:space="preserve">中小微企业划型标准</w:t>
      </w:r>
      <w:r/>
    </w:p>
    <w:p>
      <w:pPr>
        <w:pStyle w:val="977"/>
        <w:ind w:firstLine="420"/>
        <w:spacing w:before="300" w:after="452"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982"/>
          <w:rFonts w:hint="eastAsia" w:ascii="宋体" w:hAnsi="宋体" w:cs="宋体"/>
          <w:color w:val="auto"/>
          <w:sz w:val="21"/>
          <w:szCs w:val="21"/>
          <w:highlight w:val="none"/>
        </w:rPr>
        <w:t xml:space="preserve">中小微企业划型标准如下：</w:t>
      </w:r>
      <w:r/>
    </w:p>
    <w:tbl>
      <w:tblPr>
        <w:tblStyle w:val="734"/>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77"/>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77"/>
              <w:ind w:firstLine="420"/>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77"/>
              <w:jc w:val="center"/>
              <w:spacing w:after="150" w:line="360" w:lineRule="auto"/>
              <w:widowControl/>
              <w:rPr>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X＜10</w:t>
            </w:r>
            <w:r/>
          </w:p>
        </w:tc>
      </w:tr>
    </w:tbl>
    <w:p>
      <w:pPr>
        <w:pStyle w:val="977"/>
        <w:ind w:firstLine="810"/>
        <w:spacing w:before="300" w:after="452" w:line="360" w:lineRule="auto"/>
        <w:widowControl/>
        <w:rPr>
          <w:rStyle w:val="982"/>
          <w:rFonts w:hint="eastAsia" w:ascii="宋体" w:hAnsi="宋体" w:cs="宋体"/>
          <w:color w:val="auto"/>
          <w:sz w:val="21"/>
          <w:szCs w:val="21"/>
          <w:highlight w:val="none"/>
        </w:rPr>
      </w:pPr>
      <w:r>
        <w:rPr>
          <w:rStyle w:val="982"/>
          <w:rFonts w:hint="eastAsia" w:ascii="宋体" w:hAnsi="宋体" w:cs="宋体"/>
          <w:color w:val="auto"/>
          <w:sz w:val="21"/>
          <w:szCs w:val="21"/>
          <w:highlight w:val="none"/>
        </w:rPr>
        <w:t xml:space="preserve">说明：上述标准参照《关于印发中小企业划型标准规定的通知》（工信部联企业</w:t>
      </w:r>
      <w:r>
        <w:rPr>
          <w:rStyle w:val="982"/>
          <w:rFonts w:hint="eastAsia" w:ascii="宋体" w:hAnsi="宋体" w:cs="宋体"/>
          <w:color w:val="auto"/>
          <w:sz w:val="21"/>
          <w:szCs w:val="21"/>
          <w:highlight w:val="none"/>
          <w:lang w:eastAsia="zh-CN"/>
        </w:rPr>
        <w:t xml:space="preserve">〔2011〕300号</w:t>
      </w:r>
      <w:r>
        <w:rPr>
          <w:rStyle w:val="982"/>
          <w:rFonts w:hint="eastAsia" w:ascii="宋体" w:hAnsi="宋体" w:cs="宋体"/>
          <w:color w:val="auto"/>
          <w:sz w:val="21"/>
          <w:szCs w:val="21"/>
          <w:highlight w:val="none"/>
        </w:rPr>
        <w:t xml:space="preserve">），大型、中型和小型企业须同时满足所列指标的下限，否则下划一档；微型企业只</w:t>
      </w:r>
      <w:r>
        <w:rPr>
          <w:rStyle w:val="982"/>
          <w:rFonts w:hint="eastAsia" w:ascii="宋体" w:hAnsi="宋体" w:cs="宋体"/>
          <w:color w:val="auto"/>
          <w:sz w:val="21"/>
          <w:szCs w:val="21"/>
          <w:highlight w:val="none"/>
          <w:lang w:eastAsia="zh-CN"/>
        </w:rPr>
        <w:t xml:space="preserve">需</w:t>
      </w:r>
      <w:r>
        <w:rPr>
          <w:rStyle w:val="982"/>
          <w:rFonts w:hint="eastAsia" w:ascii="宋体" w:hAnsi="宋体" w:cs="宋体"/>
          <w:color w:val="auto"/>
          <w:sz w:val="21"/>
          <w:szCs w:val="21"/>
          <w:highlight w:val="none"/>
        </w:rPr>
        <w:t xml:space="preserve">满足所列指标中的一项即可。</w:t>
      </w:r>
      <w:r/>
    </w:p>
    <w:p>
      <w:pPr>
        <w:pStyle w:val="957"/>
        <w:rPr>
          <w:rFonts w:hint="eastAsia" w:ascii="宋体" w:hAnsi="宋体" w:cs="宋体"/>
          <w:color w:val="auto"/>
          <w:highlight w:val="none"/>
        </w:rPr>
        <w:outlineLvl w:val="9"/>
      </w:pPr>
      <w:r>
        <w:rPr>
          <w:rStyle w:val="982"/>
          <w:rFonts w:hint="eastAsia" w:ascii="宋体" w:hAnsi="宋体" w:cs="宋体"/>
          <w:b w:val="0"/>
          <w:color w:val="auto"/>
          <w:sz w:val="21"/>
          <w:szCs w:val="21"/>
          <w:highlight w:val="none"/>
        </w:rPr>
        <w:br w:type="page" w:clear="all"/>
      </w:r>
      <w:r/>
    </w:p>
    <w:p>
      <w:pPr>
        <w:ind w:firstLine="2726"/>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残疾人福利性单位声明函</w:t>
      </w:r>
      <w:r/>
    </w:p>
    <w:p>
      <w:pPr>
        <w:ind w:firstLine="624"/>
        <w:spacing w:line="588"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单位的采购文件编号为</w:t>
      </w:r>
      <w:r>
        <w:rPr>
          <w:rFonts w:hint="eastAsia" w:ascii="宋体" w:hAnsi="宋体"/>
          <w:color w:val="auto"/>
          <w:sz w:val="21"/>
          <w:szCs w:val="21"/>
          <w:highlight w:val="none"/>
          <w:u w:val="single"/>
          <w:lang w:eastAsia="zh-CN"/>
        </w:rPr>
        <w:t xml:space="preserve">JSZC-321000-YZDX-G2026-0009</w:t>
      </w:r>
      <w:r>
        <w:rPr>
          <w:rFonts w:hint="eastAsia" w:ascii="宋体" w:hAnsi="宋体"/>
          <w:color w:val="auto"/>
          <w:sz w:val="21"/>
          <w:szCs w:val="21"/>
          <w:highlight w:val="none"/>
          <w:u w:val="single"/>
        </w:rPr>
        <w:t xml:space="preserve">号</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项目（采购包号：**）采购活动提供本单位制造的货物，或者提供其他残疾人福利性单位制造的货物（不包括使用非残疾人福利性单位注册商标的货物）。</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专门面向中小微型企业采购的</w:t>
      </w:r>
      <w:r>
        <w:rPr>
          <w:rFonts w:ascii="宋体" w:hAnsi="宋体"/>
          <w:color w:val="auto"/>
          <w:sz w:val="21"/>
          <w:szCs w:val="21"/>
          <w:highlight w:val="none"/>
        </w:rPr>
        <w:t xml:space="preserve">项目</w:t>
      </w:r>
      <w:r>
        <w:rPr>
          <w:rFonts w:hint="eastAsia" w:ascii="宋体" w:hAnsi="宋体"/>
          <w:color w:val="auto"/>
          <w:sz w:val="21"/>
          <w:szCs w:val="21"/>
          <w:highlight w:val="none"/>
        </w:rPr>
        <w:t xml:space="preserve">，供应商为残疾人福利性单位并提供本单位制造的货物，或者提供其他残疾人福利性单位制造的货物，必须提供此</w:t>
      </w:r>
      <w:r>
        <w:rPr>
          <w:rFonts w:ascii="宋体" w:hAnsi="宋体"/>
          <w:color w:val="auto"/>
          <w:sz w:val="21"/>
          <w:szCs w:val="21"/>
          <w:highlight w:val="none"/>
        </w:rPr>
        <w:t xml:space="preserve">声明函</w:t>
      </w:r>
      <w:r>
        <w:rPr>
          <w:rFonts w:hint="eastAsia" w:ascii="宋体" w:hAnsi="宋体"/>
          <w:color w:val="auto"/>
          <w:sz w:val="21"/>
          <w:szCs w:val="21"/>
          <w:highlight w:val="none"/>
        </w:rPr>
        <w:t xml:space="preserve">，</w:t>
      </w:r>
      <w:r>
        <w:rPr>
          <w:rFonts w:ascii="宋体" w:hAnsi="宋体"/>
          <w:color w:val="auto"/>
          <w:sz w:val="21"/>
          <w:szCs w:val="21"/>
          <w:highlight w:val="none"/>
        </w:rPr>
        <w:t xml:space="preserve">否则将</w:t>
      </w:r>
      <w:r>
        <w:rPr>
          <w:rFonts w:hint="eastAsia" w:ascii="宋体" w:hAnsi="宋体"/>
          <w:color w:val="auto"/>
          <w:sz w:val="21"/>
          <w:szCs w:val="21"/>
          <w:highlight w:val="none"/>
        </w:rPr>
        <w:t xml:space="preserve">不能</w:t>
      </w:r>
      <w:r>
        <w:rPr>
          <w:rFonts w:ascii="宋体" w:hAnsi="宋体"/>
          <w:color w:val="auto"/>
          <w:sz w:val="21"/>
          <w:szCs w:val="21"/>
          <w:highlight w:val="none"/>
        </w:rPr>
        <w:t xml:space="preserve">通过资格审查</w:t>
      </w:r>
      <w:r>
        <w:rPr>
          <w:rFonts w:hint="eastAsia" w:ascii="宋体" w:hAnsi="宋体"/>
          <w:color w:val="auto"/>
          <w:sz w:val="21"/>
          <w:szCs w:val="21"/>
          <w:highlight w:val="none"/>
        </w:rPr>
        <w:t xml:space="preserve">。</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 非专门面向中小微型企业采购的</w:t>
      </w:r>
      <w:r>
        <w:rPr>
          <w:rFonts w:ascii="宋体" w:hAnsi="宋体"/>
          <w:color w:val="auto"/>
          <w:sz w:val="21"/>
          <w:szCs w:val="21"/>
          <w:highlight w:val="none"/>
        </w:rPr>
        <w:t xml:space="preserve">项目</w:t>
      </w:r>
      <w:r>
        <w:rPr>
          <w:rFonts w:hint="eastAsia" w:ascii="宋体" w:hAnsi="宋体"/>
          <w:color w:val="auto"/>
          <w:sz w:val="21"/>
          <w:szCs w:val="21"/>
          <w:highlight w:val="none"/>
        </w:rPr>
        <w:t xml:space="preserve">，供应商如不提供此声明函，价格将不做相应扣除。</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.中标/成交供应商为残疾人福利性单位的，此声明函将随中标/成交结果同时公告，接受社会监督。</w:t>
      </w:r>
      <w:r/>
    </w:p>
    <w:p>
      <w:pPr>
        <w:ind w:right="0" w:firstLine="624"/>
        <w:keepLines w:val="0"/>
        <w:keepNext w:val="0"/>
        <w:pageBreakBefore w:val="0"/>
        <w:spacing w:line="360" w:lineRule="auto"/>
        <w:widowControl w:val="off"/>
        <w:rPr>
          <w:rFonts w:ascii="仿宋_GB2312" w:eastAsia="仿宋_GB2312"/>
          <w:color w:val="auto"/>
          <w:spacing w:val="6"/>
          <w:sz w:val="21"/>
          <w:szCs w:val="21"/>
          <w:highlight w:val="none"/>
        </w:rPr>
      </w:pPr>
      <w:r>
        <w:rPr>
          <w:rFonts w:ascii="仿宋_GB2312" w:eastAsia="仿宋_GB2312"/>
          <w:color w:val="auto"/>
          <w:spacing w:val="6"/>
          <w:sz w:val="21"/>
          <w:szCs w:val="21"/>
          <w:highlight w:val="none"/>
        </w:rPr>
      </w:r>
      <w:r/>
    </w:p>
    <w:p>
      <w:pPr>
        <w:ind w:right="0" w:firstLine="624"/>
        <w:jc w:val="center"/>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仿宋_GB2312" w:eastAsia="仿宋_GB2312"/>
          <w:color w:val="auto"/>
          <w:spacing w:val="6"/>
          <w:sz w:val="21"/>
          <w:szCs w:val="21"/>
          <w:highlight w:val="none"/>
        </w:rPr>
        <w:t xml:space="preserve">             </w:t>
      </w:r>
      <w:r>
        <w:rPr>
          <w:rFonts w:hint="eastAsia" w:ascii="宋体" w:hAnsi="宋体"/>
          <w:color w:val="auto"/>
          <w:sz w:val="21"/>
          <w:szCs w:val="21"/>
          <w:highlight w:val="none"/>
        </w:rPr>
        <w:t xml:space="preserve">    供应商全称（加盖CA电子公章）：</w:t>
      </w:r>
      <w:r/>
    </w:p>
    <w:p>
      <w:pPr>
        <w:ind w:right="0" w:firstLine="480"/>
        <w:jc w:val="center"/>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日  期：</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br w:type="page" w:clear="all"/>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关于符合本国产品标准的声明函（采购包号）</w:t>
      </w:r>
      <w:r/>
    </w:p>
    <w:p>
      <w:pPr>
        <w:pStyle w:val="758"/>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8"/>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24765</wp:posOffset>
                </wp:positionH>
                <wp:positionV relativeFrom="paragraph">
                  <wp:posOffset>352425</wp:posOffset>
                </wp:positionV>
                <wp:extent cx="566420" cy="97155"/>
                <wp:effectExtent l="635" t="4445" r="4445" b="12700"/>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566420" cy="971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8480;o:allowoverlap:true;o:allowincell:true;mso-position-horizontal-relative:text;margin-left:1.9pt;mso-position-horizontal:absolute;mso-position-vertical-relative:text;margin-top:27.8pt;mso-position-vertical:absolute;width:44.6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117475</wp:posOffset>
                </wp:positionH>
                <wp:positionV relativeFrom="paragraph">
                  <wp:posOffset>621665</wp:posOffset>
                </wp:positionV>
                <wp:extent cx="641985" cy="104775"/>
                <wp:effectExtent l="635" t="4445" r="5080" b="5080"/>
                <wp:wrapNone/>
                <wp:docPr id="16" name="直接箭头连接符 7"/>
                <wp:cNvGraphicFramePr/>
                <a:graphic xmlns:a="http://schemas.openxmlformats.org/drawingml/2006/main">
                  <a:graphicData uri="http://schemas.microsoft.com/office/word/2010/wordprocessingShape">
                    <wps:wsp>
                      <wps:cNvPr id="0" name=""/>
                      <wps:cNvSpPr/>
                      <wps:spPr bwMode="auto">
                        <a:xfrm flipV="1">
                          <a:off x="0" y="0"/>
                          <a:ext cx="641985" cy="1047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0528;o:allowoverlap:true;o:allowincell:true;mso-position-horizontal-relative:text;margin-left:9.2pt;mso-position-horizontal:absolute;mso-position-vertical-relative:text;margin-top:48.9pt;mso-position-vertical:absolute;width:50.5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3455035</wp:posOffset>
                </wp:positionH>
                <wp:positionV relativeFrom="paragraph">
                  <wp:posOffset>605790</wp:posOffset>
                </wp:positionV>
                <wp:extent cx="876300" cy="120015"/>
                <wp:effectExtent l="635" t="4445" r="18415" b="8890"/>
                <wp:wrapNone/>
                <wp:docPr id="17"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72.1pt;mso-position-horizontal:absolute;mso-position-vertical-relative:text;margin-top:47.7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2250440</wp:posOffset>
                </wp:positionH>
                <wp:positionV relativeFrom="paragraph">
                  <wp:posOffset>654050</wp:posOffset>
                </wp:positionV>
                <wp:extent cx="816610" cy="147320"/>
                <wp:effectExtent l="635" t="4445" r="1905" b="19685"/>
                <wp:wrapNone/>
                <wp:docPr id="18"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miter lim="0"/>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9504;o:allowoverlap:true;o:allowincell:true;mso-position-horizontal-relative:text;margin-left:177.2pt;mso-position-horizontal:absolute;mso-position-vertical-relative:text;margin-top:51.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4130040</wp:posOffset>
                </wp:positionH>
                <wp:positionV relativeFrom="paragraph">
                  <wp:posOffset>329565</wp:posOffset>
                </wp:positionV>
                <wp:extent cx="816610" cy="76200"/>
                <wp:effectExtent l="635" t="4445" r="1905" b="14604"/>
                <wp:wrapNone/>
                <wp:docPr id="19"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0288;o:allowoverlap:true;o:allowincell:true;mso-position-horizontal-relative:text;margin-left:325.2pt;mso-position-horizontal:absolute;mso-position-vertical-relative:text;margin-top:25.9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3025775</wp:posOffset>
                </wp:positionH>
                <wp:positionV relativeFrom="paragraph">
                  <wp:posOffset>304165</wp:posOffset>
                </wp:positionV>
                <wp:extent cx="816610" cy="103505"/>
                <wp:effectExtent l="635" t="4445" r="1905" b="6350"/>
                <wp:wrapNone/>
                <wp:docPr id="20"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1312;o:allowoverlap:true;o:allowincell:true;mso-position-horizontal-relative:text;margin-left:238.2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4618990</wp:posOffset>
                </wp:positionH>
                <wp:positionV relativeFrom="paragraph">
                  <wp:posOffset>45085</wp:posOffset>
                </wp:positionV>
                <wp:extent cx="577215" cy="92075"/>
                <wp:effectExtent l="635" t="4445" r="12700" b="17780"/>
                <wp:wrapNone/>
                <wp:docPr id="21"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7456;o:allowoverlap:true;o:allowincell:true;mso-position-horizontal-relative:text;margin-left:363.7pt;mso-position-horizontal:absolute;mso-position-vertical-relative:text;margin-top:3.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ffffff"/>
        </w:rPr>
        <w:t xml:space="preserve">1.</w:t>
      </w:r>
      <w:r>
        <w:rPr>
          <w:rStyle w:val="765"/>
          <w:rFonts w:hint="eastAsia" w:ascii="宋体" w:hAnsi="宋体" w:eastAsia="宋体" w:cs="宋体"/>
          <w:i w:val="0"/>
          <w:color w:val="auto"/>
          <w:sz w:val="21"/>
          <w:szCs w:val="21"/>
          <w:highlight w:val="none"/>
          <w:u w:val="single"/>
          <w:shd w:val="clear" w:color="auto" w:fill="ffffff"/>
        </w:rPr>
        <w:t xml:space="preserve">（产品名称1）</w:t>
      </w:r>
      <w:r>
        <w:rPr>
          <w:rStyle w:val="765"/>
          <w:rFonts w:hint="eastAsia" w:ascii="宋体" w:hAnsi="宋体" w:eastAsia="宋体" w:cs="宋体"/>
          <w:i w:val="0"/>
          <w:color w:val="auto"/>
          <w:sz w:val="21"/>
          <w:szCs w:val="21"/>
          <w:highlight w:val="none"/>
          <w:shd w:val="clear" w:color="auto" w:fill="ffffff"/>
          <w:vertAlign w:val="superscript"/>
        </w:rPr>
        <w:t xml:space="preserve">1</w:t>
      </w:r>
      <w:r>
        <w:rPr>
          <w:rFonts w:hint="eastAsia" w:ascii="宋体" w:hAnsi="宋体" w:eastAsia="宋体" w:cs="宋体"/>
          <w:color w:val="auto"/>
          <w:sz w:val="21"/>
          <w:szCs w:val="21"/>
          <w:highlight w:val="none"/>
          <w:shd w:val="clear" w:color="auto" w:fill="ffffff"/>
        </w:rPr>
        <w:t xml:space="preserve">，生产厂为</w:t>
      </w:r>
      <w:r>
        <w:rPr>
          <w:rStyle w:val="765"/>
          <w:rFonts w:hint="eastAsia" w:ascii="宋体" w:hAnsi="宋体" w:eastAsia="宋体" w:cs="宋体"/>
          <w:i w:val="0"/>
          <w:color w:val="auto"/>
          <w:sz w:val="21"/>
          <w:szCs w:val="21"/>
          <w:highlight w:val="none"/>
          <w:u w:val="single"/>
          <w:shd w:val="clear" w:color="auto" w:fill="ffffff"/>
        </w:rPr>
        <w:t xml:space="preserve">（厂名）</w:t>
      </w:r>
      <w:r>
        <w:rPr>
          <w:rStyle w:val="765"/>
          <w:rFonts w:hint="eastAsia" w:ascii="宋体" w:hAnsi="宋体" w:eastAsia="宋体" w:cs="宋体"/>
          <w:i w:val="0"/>
          <w:color w:val="auto"/>
          <w:sz w:val="21"/>
          <w:szCs w:val="21"/>
          <w:highlight w:val="none"/>
          <w:shd w:val="clear" w:color="auto" w:fill="ffffff"/>
          <w:vertAlign w:val="superscript"/>
        </w:rPr>
        <w:t xml:space="preserve">2</w:t>
      </w:r>
      <w:r>
        <w:rPr>
          <w:rFonts w:hint="eastAsia" w:ascii="宋体" w:hAnsi="宋体" w:eastAsia="宋体" w:cs="宋体"/>
          <w:color w:val="auto"/>
          <w:sz w:val="21"/>
          <w:szCs w:val="21"/>
          <w:highlight w:val="none"/>
          <w:shd w:val="clear" w:color="auto" w:fill="ffffff"/>
        </w:rPr>
        <w:t xml:space="preserve">，厂址为</w:t>
      </w:r>
      <w:r>
        <w:rPr>
          <w:rStyle w:val="765"/>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Style w:val="765"/>
          <w:rFonts w:hint="eastAsia" w:ascii="宋体" w:hAnsi="宋体" w:eastAsia="宋体" w:cs="宋体"/>
          <w:i w:val="0"/>
          <w:color w:val="auto"/>
          <w:sz w:val="21"/>
          <w:szCs w:val="21"/>
          <w:highlight w:val="none"/>
          <w:u w:val="single"/>
          <w:shd w:val="clear" w:color="auto" w:fill="ffffff"/>
        </w:rPr>
        <w:t xml:space="preserve">（产品名称1） </w:t>
      </w:r>
      <w:r>
        <w:rPr>
          <w:rFonts w:hint="eastAsia" w:ascii="宋体" w:hAnsi="宋体" w:eastAsia="宋体" w:cs="宋体"/>
          <w:color w:val="auto"/>
          <w:sz w:val="21"/>
          <w:szCs w:val="21"/>
          <w:highlight w:val="none"/>
          <w:shd w:val="clear" w:color="auto" w:fill="ffffff"/>
        </w:rPr>
        <w:t xml:space="preserve">的中国境内生产的组件成本占比≥</w:t>
      </w:r>
      <w:r>
        <w:rPr>
          <w:rStyle w:val="765"/>
          <w:rFonts w:hint="eastAsia" w:ascii="宋体" w:hAnsi="宋体" w:eastAsia="宋体" w:cs="宋体"/>
          <w:i w:val="0"/>
          <w:color w:val="auto"/>
          <w:sz w:val="21"/>
          <w:szCs w:val="21"/>
          <w:highlight w:val="none"/>
          <w:u w:val="single"/>
          <w:shd w:val="clear" w:color="auto" w:fill="ffffff"/>
        </w:rPr>
        <w:t xml:space="preserve">（规定比例）</w:t>
      </w:r>
      <w:r>
        <w:rPr>
          <w:rStyle w:val="765"/>
          <w:rFonts w:hint="eastAsia" w:ascii="宋体" w:hAnsi="宋体" w:eastAsia="宋体" w:cs="宋体"/>
          <w:i w:val="0"/>
          <w:color w:val="auto"/>
          <w:sz w:val="21"/>
          <w:szCs w:val="21"/>
          <w:highlight w:val="none"/>
          <w:shd w:val="clear" w:color="auto" w:fill="ffffff"/>
          <w:vertAlign w:val="superscript"/>
        </w:rPr>
        <w:t xml:space="preserve">3</w:t>
      </w:r>
      <w:r>
        <w:rPr>
          <w:rFonts w:hint="eastAsia" w:ascii="宋体" w:hAnsi="宋体" w:eastAsia="宋体" w:cs="宋体"/>
          <w:color w:val="auto"/>
          <w:sz w:val="21"/>
          <w:szCs w:val="21"/>
          <w:highlight w:val="none"/>
          <w:shd w:val="clear" w:color="auto" w:fill="ffffff"/>
        </w:rPr>
        <w:t xml:space="preserve">。</w:t>
      </w:r>
      <w:r>
        <w:rPr>
          <w:rStyle w:val="765"/>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765"/>
          <w:rFonts w:hint="eastAsia" w:ascii="宋体" w:hAnsi="宋体" w:eastAsia="宋体" w:cs="宋体"/>
          <w:i w:val="0"/>
          <w:color w:val="auto"/>
          <w:sz w:val="21"/>
          <w:szCs w:val="21"/>
          <w:highlight w:val="none"/>
          <w:u w:val="single"/>
          <w:shd w:val="clear" w:color="auto" w:fill="ffffff"/>
        </w:rPr>
        <w:t xml:space="preserve">（关键组件）</w:t>
      </w:r>
      <w:r>
        <w:rPr>
          <w:rStyle w:val="765"/>
          <w:rFonts w:hint="eastAsia" w:ascii="宋体" w:hAnsi="宋体" w:eastAsia="宋体" w:cs="宋体"/>
          <w:i w:val="0"/>
          <w:color w:val="auto"/>
          <w:sz w:val="21"/>
          <w:szCs w:val="21"/>
          <w:highlight w:val="none"/>
          <w:shd w:val="clear" w:color="auto" w:fill="ffffff"/>
          <w:vertAlign w:val="superscript"/>
        </w:rPr>
        <w:t xml:space="preserve">4</w:t>
      </w:r>
      <w:r>
        <w:rPr>
          <w:rFonts w:hint="eastAsia" w:ascii="宋体" w:hAnsi="宋体" w:eastAsia="宋体" w:cs="宋体"/>
          <w:color w:val="auto"/>
          <w:sz w:val="21"/>
          <w:szCs w:val="21"/>
          <w:highlight w:val="none"/>
          <w:shd w:val="clear" w:color="auto" w:fill="ffffff"/>
        </w:rPr>
        <w:t xml:space="preserve">在中国境内生产。</w:t>
      </w:r>
      <w:r>
        <w:rPr>
          <w:rStyle w:val="765"/>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765"/>
          <w:rFonts w:hint="eastAsia" w:ascii="宋体" w:hAnsi="宋体" w:eastAsia="宋体" w:cs="宋体"/>
          <w:i w:val="0"/>
          <w:color w:val="auto"/>
          <w:sz w:val="21"/>
          <w:szCs w:val="21"/>
          <w:highlight w:val="none"/>
          <w:u w:val="single"/>
          <w:shd w:val="clear" w:color="auto" w:fill="ffffff"/>
        </w:rPr>
        <w:t xml:space="preserve">（关键工序）</w:t>
      </w:r>
      <w:r>
        <w:rPr>
          <w:rStyle w:val="765"/>
          <w:rFonts w:hint="eastAsia" w:ascii="宋体" w:hAnsi="宋体" w:eastAsia="宋体" w:cs="宋体"/>
          <w:i w:val="0"/>
          <w:color w:val="auto"/>
          <w:sz w:val="21"/>
          <w:szCs w:val="21"/>
          <w:highlight w:val="none"/>
          <w:shd w:val="clear" w:color="auto" w:fill="ffffff"/>
          <w:vertAlign w:val="superscript"/>
        </w:rPr>
        <w:t xml:space="preserve">5</w:t>
      </w:r>
      <w:r>
        <w:rPr>
          <w:rFonts w:hint="eastAsia" w:ascii="宋体" w:hAnsi="宋体" w:eastAsia="宋体" w:cs="宋体"/>
          <w:color w:val="auto"/>
          <w:sz w:val="21"/>
          <w:szCs w:val="21"/>
          <w:highlight w:val="none"/>
          <w:shd w:val="clear" w:color="auto" w:fill="ffffff"/>
        </w:rPr>
        <w:t xml:space="preserve">在中国境内完成。</w:t>
      </w:r>
      <w:r/>
    </w:p>
    <w:p>
      <w:pPr>
        <w:pStyle w:val="758"/>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3116580</wp:posOffset>
                </wp:positionH>
                <wp:positionV relativeFrom="paragraph">
                  <wp:posOffset>638175</wp:posOffset>
                </wp:positionV>
                <wp:extent cx="821690" cy="102870"/>
                <wp:effectExtent l="635" t="4445" r="15875" b="6985"/>
                <wp:wrapNone/>
                <wp:docPr id="22"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6432;o:allowoverlap:true;o:allowincell:true;mso-position-horizontal-relative:text;margin-left:245.4pt;mso-position-horizontal:absolute;mso-position-vertical-relative:text;margin-top:50.2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1869440</wp:posOffset>
                </wp:positionH>
                <wp:positionV relativeFrom="paragraph">
                  <wp:posOffset>626745</wp:posOffset>
                </wp:positionV>
                <wp:extent cx="908685" cy="140970"/>
                <wp:effectExtent l="635" t="4445" r="5080" b="6985"/>
                <wp:wrapNone/>
                <wp:docPr id="23"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5408;o:allowoverlap:true;o:allowincell:true;mso-position-horizontal-relative:text;margin-left:147.2pt;mso-position-horizontal:absolute;mso-position-vertical-relative:text;margin-top:49.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92710</wp:posOffset>
                </wp:positionH>
                <wp:positionV relativeFrom="paragraph">
                  <wp:posOffset>330200</wp:posOffset>
                </wp:positionV>
                <wp:extent cx="234315" cy="86995"/>
                <wp:effectExtent l="1905" t="4445" r="11430" b="22860"/>
                <wp:wrapNone/>
                <wp:docPr id="24"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72576;o:allowoverlap:true;o:allowincell:true;mso-position-horizontal-relative:text;margin-left:7.3pt;mso-position-horizontal:absolute;mso-position-vertical-relative:text;margin-top:26.0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80010</wp:posOffset>
                </wp:positionH>
                <wp:positionV relativeFrom="paragraph">
                  <wp:posOffset>629920</wp:posOffset>
                </wp:positionV>
                <wp:extent cx="424815" cy="112395"/>
                <wp:effectExtent l="1270" t="4445" r="12065" b="16510"/>
                <wp:wrapNone/>
                <wp:docPr id="25"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74624;o:allowoverlap:true;o:allowincell:true;mso-position-horizontal-relative:text;margin-left:6.3pt;mso-position-horizontal:absolute;mso-position-vertical-relative:text;margin-top:49.6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4949190</wp:posOffset>
                </wp:positionH>
                <wp:positionV relativeFrom="paragraph">
                  <wp:posOffset>322580</wp:posOffset>
                </wp:positionV>
                <wp:extent cx="462280" cy="147320"/>
                <wp:effectExtent l="1270" t="4445" r="12700" b="19685"/>
                <wp:wrapNone/>
                <wp:docPr id="26"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5" o:spid="_x0000_s25" o:spt="32" type="#_x0000_t32" style="position:absolute;z-index:251673600;o:allowoverlap:true;o:allowincell:true;mso-position-horizontal-relative:text;margin-left:389.7pt;mso-position-horizontal:absolute;mso-position-vertical-relative:text;margin-top:25.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3885565</wp:posOffset>
                </wp:positionH>
                <wp:positionV relativeFrom="paragraph">
                  <wp:posOffset>319405</wp:posOffset>
                </wp:positionV>
                <wp:extent cx="849630" cy="120015"/>
                <wp:effectExtent l="635" t="4445" r="6985" b="8890"/>
                <wp:wrapNone/>
                <wp:docPr id="27"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6" o:spid="_x0000_s26" o:spt="32" type="#_x0000_t32" style="position:absolute;z-index:251664384;o:allowoverlap:true;o:allowincell:true;mso-position-horizontal-relative:text;margin-left:305.9pt;mso-position-horizontal:absolute;mso-position-vertical-relative:text;margin-top:25.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2781935</wp:posOffset>
                </wp:positionH>
                <wp:positionV relativeFrom="paragraph">
                  <wp:posOffset>330835</wp:posOffset>
                </wp:positionV>
                <wp:extent cx="843915" cy="125730"/>
                <wp:effectExtent l="635" t="4445" r="12700" b="22225"/>
                <wp:wrapNone/>
                <wp:docPr id="28"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7" o:spid="_x0000_s27" o:spt="32" type="#_x0000_t32" style="position:absolute;z-index:251663360;o:allowoverlap:true;o:allowincell:true;mso-position-horizontal-relative:text;margin-left:219.0pt;mso-position-horizontal:absolute;mso-position-vertical-relative:text;margin-top:26.0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29"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8" o:spid="_x0000_s28"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ffffff"/>
        </w:rPr>
        <w:t xml:space="preserve">2.</w:t>
      </w:r>
      <w:r>
        <w:rPr>
          <w:rStyle w:val="765"/>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，生产厂为</w:t>
      </w:r>
      <w:r>
        <w:rPr>
          <w:rStyle w:val="765"/>
          <w:rFonts w:hint="eastAsia" w:ascii="宋体" w:hAnsi="宋体" w:eastAsia="宋体" w:cs="宋体"/>
          <w:i w:val="0"/>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rPr>
        <w:t xml:space="preserve">，厂址为</w:t>
      </w:r>
      <w:r>
        <w:rPr>
          <w:rStyle w:val="765"/>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Style w:val="765"/>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的中国境内生产的组件成本占比≥</w:t>
      </w:r>
      <w:r>
        <w:rPr>
          <w:rStyle w:val="765"/>
          <w:rFonts w:hint="eastAsia" w:ascii="宋体" w:hAnsi="宋体" w:eastAsia="宋体" w:cs="宋体"/>
          <w:i w:val="0"/>
          <w:color w:val="auto"/>
          <w:sz w:val="21"/>
          <w:szCs w:val="21"/>
          <w:highlight w:val="none"/>
          <w:u w:val="single"/>
          <w:shd w:val="clear" w:color="auto" w:fill="ffffff"/>
        </w:rPr>
        <w:t xml:space="preserve">（规定比例）</w:t>
      </w:r>
      <w:r>
        <w:rPr>
          <w:rFonts w:hint="eastAsia" w:ascii="宋体" w:hAnsi="宋体" w:eastAsia="宋体" w:cs="宋体"/>
          <w:color w:val="auto"/>
          <w:sz w:val="21"/>
          <w:szCs w:val="21"/>
          <w:highlight w:val="none"/>
          <w:shd w:val="clear" w:color="auto" w:fill="ffffff"/>
        </w:rPr>
        <w:t xml:space="preserve">。</w:t>
      </w:r>
      <w:r>
        <w:rPr>
          <w:rStyle w:val="765"/>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w:t>
      </w:r>
      <w:r>
        <w:rPr>
          <w:rStyle w:val="765"/>
          <w:rFonts w:hint="eastAsia" w:ascii="宋体" w:hAnsi="宋体" w:eastAsia="宋体" w:cs="宋体"/>
          <w:i w:val="0"/>
          <w:color w:val="auto"/>
          <w:sz w:val="21"/>
          <w:szCs w:val="21"/>
          <w:highlight w:val="none"/>
          <w:u w:val="single"/>
          <w:shd w:val="clear" w:color="auto" w:fill="ffffff"/>
        </w:rPr>
        <w:t xml:space="preserve">（关键组件）</w:t>
      </w:r>
      <w:r>
        <w:rPr>
          <w:rFonts w:hint="eastAsia" w:ascii="宋体" w:hAnsi="宋体" w:eastAsia="宋体" w:cs="宋体"/>
          <w:color w:val="auto"/>
          <w:sz w:val="21"/>
          <w:szCs w:val="21"/>
          <w:highlight w:val="none"/>
          <w:shd w:val="clear" w:color="auto" w:fill="ffffff"/>
        </w:rPr>
        <w:t xml:space="preserve">在中国境内生产。</w:t>
      </w:r>
      <w:r>
        <w:rPr>
          <w:rStyle w:val="765"/>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765"/>
          <w:rFonts w:hint="eastAsia" w:ascii="宋体" w:hAnsi="宋体" w:eastAsia="宋体" w:cs="宋体"/>
          <w:i w:val="0"/>
          <w:color w:val="auto"/>
          <w:sz w:val="21"/>
          <w:szCs w:val="21"/>
          <w:highlight w:val="none"/>
          <w:u w:val="single"/>
          <w:shd w:val="clear" w:color="auto" w:fill="ffffff"/>
        </w:rPr>
        <w:t xml:space="preserve">（关键工序）</w:t>
      </w:r>
      <w:r>
        <w:rPr>
          <w:rFonts w:hint="eastAsia" w:ascii="宋体" w:hAnsi="宋体" w:eastAsia="宋体" w:cs="宋体"/>
          <w:color w:val="auto"/>
          <w:sz w:val="21"/>
          <w:szCs w:val="21"/>
          <w:highlight w:val="none"/>
          <w:shd w:val="clear" w:color="auto" w:fill="ffffff"/>
        </w:rPr>
        <w:t xml:space="preserve">在中国境内完成。</w:t>
      </w:r>
      <w:r/>
    </w:p>
    <w:p>
      <w:pPr>
        <w:pStyle w:val="758"/>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p>
    <w:p>
      <w:pPr>
        <w:pStyle w:val="758"/>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758"/>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8"/>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公司（单位）名称（盖章）：　        </w:t>
      </w:r>
      <w:r/>
    </w:p>
    <w:p>
      <w:pPr>
        <w:pStyle w:val="758"/>
        <w:ind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                                日期：　   年　  月　  日         </w:t>
      </w:r>
      <w:r/>
    </w:p>
    <w:p>
      <w:pPr>
        <w:pStyle w:val="758"/>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__________________</w:t>
      </w:r>
      <w:r/>
    </w:p>
    <w:p>
      <w:pPr>
        <w:pStyle w:val="758"/>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758"/>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758"/>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758"/>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758"/>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758"/>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6.用斜线划除的地方无需填写。</w:t>
      </w:r>
      <w:r/>
    </w:p>
    <w:p>
      <w:pPr>
        <w:pStyle w:val="758"/>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7.如word斜线错位，请以下方图片所示为准。</w:t>
      </w:r>
      <w:r/>
    </w:p>
    <w:p>
      <w:pPr>
        <w:pStyle w:val="758"/>
        <w:ind w:right="0"/>
        <w:jc w:val="both"/>
        <w:keepLines w:val="0"/>
        <w:keepNext w:val="0"/>
        <w:pageBreakBefore w:val="0"/>
        <w:spacing w:beforeAutospacing="0" w:afterAutospacing="0" w:line="360" w:lineRule="auto"/>
        <w:widowControl w:val="off"/>
        <w:rPr>
          <w:rFonts w:hint="default" w:ascii="宋体" w:hAnsi="宋体" w:eastAsia="宋体" w:cs="宋体"/>
          <w:color w:val="auto"/>
          <w:sz w:val="22"/>
          <w:highlight w:val="none"/>
          <w:shd w:val="clear" w:color="auto" w:fill="ffffff"/>
          <w:lang w:val="en-US" w:eastAsia="zh-CN"/>
        </w:rPr>
      </w:pPr>
      <w:r>
        <w:rPr>
          <w:rFonts w:hint="eastAsia" w:cs="方正魏碑_GBK" w:asciiTheme="minorEastAsia" w:hAnsiTheme="minorEastAsia" w:eastAsiaTheme="minorEastAsia"/>
          <w:color w:val="auto"/>
          <w:highlight w:val="none"/>
          <w:shd w:val="clear" w:color="auto" w:fill="ffffff"/>
        </w:rPr>
        <mc:AlternateContent>
          <mc:Choice Requires="wpg">
            <w:drawing>
              <wp:inline xmlns:wp="http://schemas.openxmlformats.org/drawingml/2006/wordprocessingDrawing" distT="0" distB="0" distL="0" distR="0">
                <wp:extent cx="5262245" cy="5727700"/>
                <wp:effectExtent l="0" t="0" r="14604" b="6350"/>
                <wp:docPr id="30" name="图片 20"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0" descr="E:\xwechat_files\luoboxiaowuzei_e771\temp\RWTemp\2026-03\c9f511a4c1d072259a887ee18cc5d0ba\322a02389c0a3bd68b9fafd7fe73f7eb.png"/>
                        <pic:cNvPicPr>
                          <a:picLocks noChangeAspect="1"/>
                        </pic:cNvPicPr>
                        <pic:nvPr/>
                      </pic:nvPicPr>
                      <pic:blipFill>
                        <a:blip r:embed="rId27"/>
                        <a:stretch/>
                      </pic:blipFill>
                      <pic:spPr bwMode="auto">
                        <a:xfrm>
                          <a:off x="0" y="0"/>
                          <a:ext cx="5262245" cy="5727700"/>
                        </a:xfrm>
                        <a:prstGeom prst="rect">
                          <a:avLst/>
                        </a:prstGeom>
                        <a:noFill/>
                        <a:ln w="12700">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14.3pt;height:451.0pt;mso-wrap-distance-left:0.0pt;mso-wrap-distance-top:0.0pt;mso-wrap-distance-right:0.0pt;mso-wrap-distance-bottom:0.0pt;" stroked="f" strokeweight="1.00pt">
                <v:path textboxrect="0,0,0,0"/>
                <v:imagedata r:id="rId27" o:title=""/>
              </v:shape>
            </w:pict>
          </mc:Fallback>
        </mc:AlternateContent>
      </w:r>
      <w:r/>
    </w:p>
    <w:p>
      <w:pPr>
        <w:jc w:val="center"/>
        <w:rPr>
          <w:rFonts w:hint="eastAsia" w:ascii="宋体" w:hAnsi="宋体" w:cs="宋体"/>
          <w:color w:val="auto"/>
          <w:sz w:val="32"/>
          <w:highlight w:val="none"/>
        </w:rPr>
      </w:pPr>
      <w:r>
        <w:rPr>
          <w:rFonts w:hint="eastAsia" w:ascii="宋体" w:hAnsi="宋体" w:cs="宋体"/>
          <w:b/>
          <w:color w:val="auto"/>
          <w:sz w:val="32"/>
          <w:szCs w:val="32"/>
          <w:highlight w:val="none"/>
        </w:rPr>
        <w:br w:type="page" w:clear="all"/>
      </w:r>
      <w:bookmarkStart w:id="38" w:name="_Toc25382"/>
      <w:r/>
      <w:bookmarkStart w:id="39" w:name="_Toc19910"/>
      <w:r>
        <w:rPr>
          <w:rFonts w:hint="eastAsia" w:ascii="宋体" w:hAnsi="宋体" w:cs="宋体"/>
          <w:b/>
          <w:bCs/>
          <w:color w:val="auto"/>
          <w:sz w:val="32"/>
          <w:szCs w:val="44"/>
          <w:highlight w:val="none"/>
        </w:rPr>
        <w:t xml:space="preserve">四、开标一览表</w:t>
      </w:r>
      <w:bookmarkEnd w:id="38"/>
      <w:r/>
      <w:bookmarkEnd w:id="39"/>
      <w:r/>
      <w:r/>
    </w:p>
    <w:p>
      <w:pPr>
        <w:ind w:left="0" w:right="0" w:firstLine="482"/>
        <w:jc w:val="both"/>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投标人全称（加盖CA电子签章）：</w:t>
      </w:r>
      <w:r/>
    </w:p>
    <w:p>
      <w:pPr>
        <w:ind w:left="0" w:right="0" w:firstLine="482"/>
        <w:jc w:val="both"/>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项目名称：</w:t>
      </w:r>
      <w:r/>
    </w:p>
    <w:p>
      <w:pPr>
        <w:ind w:left="0" w:right="0" w:firstLine="482"/>
        <w:jc w:val="both"/>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项目编号：</w:t>
      </w:r>
      <w:r/>
    </w:p>
    <w:tbl>
      <w:tblPr>
        <w:tblStyle w:val="762"/>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81"/>
        <w:gridCol w:w="5776"/>
      </w:tblGrid>
      <w:tr>
        <w:trPr>
          <w:jc w:val="cente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投标总报价</w:t>
            </w:r>
            <w:r/>
          </w:p>
        </w:tc>
      </w:tr>
      <w:tr>
        <w:trPr>
          <w:jc w:val="cente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大写：                   （人民币：</w:t>
            </w:r>
            <w:r>
              <w:rPr>
                <w:rFonts w:hint="eastAsia" w:ascii="宋体" w:hAnsi="宋体" w:cs="宋体"/>
                <w:color w:val="auto"/>
                <w:sz w:val="21"/>
                <w:szCs w:val="21"/>
                <w:highlight w:val="none"/>
                <w:lang w:val="en-US" w:eastAsia="zh-CN"/>
              </w:rPr>
              <w:t xml:space="preserve">圆</w:t>
            </w:r>
            <w:r>
              <w:rPr>
                <w:rFonts w:hint="eastAsia" w:ascii="宋体" w:hAnsi="宋体" w:eastAsia="宋体" w:cs="宋体"/>
                <w:color w:val="auto"/>
                <w:sz w:val="21"/>
                <w:szCs w:val="21"/>
                <w:highlight w:val="none"/>
              </w:rPr>
              <w:t xml:space="preserve">）</w:t>
            </w:r>
            <w:r/>
          </w:p>
        </w:tc>
      </w:tr>
      <w:tr>
        <w:trPr>
          <w:jc w:val="cente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line="49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小写：                   （人民币：元）</w:t>
            </w:r>
            <w:r/>
          </w:p>
        </w:tc>
      </w:tr>
      <w:tr>
        <w:trPr>
          <w:jc w:val="cente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6" w:type="dxa"/>
            <w:vAlign w:val="center"/>
            <w:textDirection w:val="lrTb"/>
            <w:noWrap w:val="false"/>
          </w:tcPr>
          <w:p>
            <w:pPr>
              <w:ind w:left="0" w:right="0" w:firstLine="0"/>
              <w:jc w:val="center"/>
              <w:spacing w:before="0" w:after="0" w:line="49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bl>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962"/>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62"/>
        <w:ind w:firstLine="640"/>
        <w:jc w:val="right"/>
        <w:rPr>
          <w:rFonts w:hint="eastAsia" w:ascii="宋体" w:hAnsi="宋体" w:eastAsia="宋体" w:cs="宋体"/>
          <w:color w:val="auto"/>
          <w:sz w:val="21"/>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962"/>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cs="宋体"/>
          <w:color w:val="auto"/>
          <w:sz w:val="32"/>
          <w:highlight w:val="none"/>
        </w:rPr>
      </w:pPr>
      <w:r>
        <w:rPr>
          <w:rFonts w:hint="eastAsia" w:ascii="宋体" w:hAnsi="宋体" w:cs="宋体"/>
          <w:color w:val="auto"/>
          <w:sz w:val="32"/>
          <w:szCs w:val="32"/>
          <w:highlight w:val="none"/>
        </w:rPr>
        <w:br w:type="page" w:clear="all"/>
      </w:r>
      <w:bookmarkStart w:id="40" w:name="_Toc17891"/>
      <w:r/>
      <w:bookmarkStart w:id="41" w:name="_Toc20323"/>
      <w:r>
        <w:rPr>
          <w:rFonts w:hint="eastAsia" w:ascii="宋体" w:hAnsi="宋体" w:cs="宋体"/>
          <w:b/>
          <w:bCs/>
          <w:color w:val="auto"/>
          <w:sz w:val="32"/>
          <w:szCs w:val="44"/>
          <w:highlight w:val="none"/>
        </w:rPr>
        <w:t xml:space="preserve">五、投标分项报价表</w:t>
      </w:r>
      <w:bookmarkEnd w:id="40"/>
      <w:r/>
      <w:bookmarkEnd w:id="41"/>
      <w:r/>
      <w:r/>
    </w:p>
    <w:tbl>
      <w:tblPr>
        <w:tblStyle w:val="73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7"/>
        <w:gridCol w:w="650"/>
        <w:gridCol w:w="650"/>
        <w:gridCol w:w="838"/>
        <w:gridCol w:w="875"/>
        <w:gridCol w:w="989"/>
        <w:gridCol w:w="1238"/>
        <w:gridCol w:w="827"/>
        <w:gridCol w:w="901"/>
        <w:gridCol w:w="870"/>
      </w:tblGrid>
      <w:tr>
        <w:trPr>
          <w:cantSplit/>
          <w:trHeight w:val="544"/>
        </w:trPr>
        <w:tc>
          <w:tcPr>
            <w:tcW w:w="270"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59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r>
      <w:tr>
        <w:trPr>
          <w:cantSplit/>
          <w:trHeight w:val="294"/>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w:t>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w:t>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制造商名称</w:t>
            </w:r>
            <w:r/>
          </w:p>
        </w:tc>
        <w:tc>
          <w:tcPr>
            <w:tcW w:w="59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产地</w:t>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交付期</w:t>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w:t>
            </w:r>
            <w:r/>
          </w:p>
        </w:tc>
      </w:tr>
      <w:tr>
        <w:trPr>
          <w:cantSplit/>
          <w:trHeight w:val="696"/>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合同签订后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724"/>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392" w:type="pct"/>
            <w:vAlign w:val="center"/>
            <w:textDirection w:val="lrTb"/>
            <w:noWrap w:val="false"/>
          </w:tcPr>
          <w:p>
            <w:pPr>
              <w:jc w:val="center"/>
              <w:spacing w:line="0" w:lineRule="atLeast"/>
              <w:rPr>
                <w:rFonts w:hint="default" w:ascii="宋体" w:hAnsi="宋体" w:eastAsia="宋体" w:cs="宋体"/>
                <w:color w:val="auto"/>
                <w:sz w:val="22"/>
                <w:szCs w:val="22"/>
                <w:highlight w:val="none"/>
                <w:shd w:val="clear" w:color="auto" w:fill="ffffff"/>
                <w:lang w:val="en-US" w:eastAsia="zh-CN" w:bidi="ar-SA"/>
              </w:rPr>
            </w:pPr>
            <w:r>
              <w:rPr>
                <w:rFonts w:hint="default" w:ascii="宋体" w:hAnsi="宋体" w:eastAsia="宋体" w:cs="宋体"/>
                <w:color w:val="auto"/>
                <w:sz w:val="22"/>
                <w:szCs w:val="22"/>
                <w:highlight w:val="none"/>
                <w:shd w:val="clear" w:color="auto" w:fill="ffffff"/>
                <w:lang w:val="en-US" w:eastAsia="zh-CN" w:bidi="ar-SA"/>
              </w:rPr>
            </w:r>
            <w:r/>
          </w:p>
        </w:tc>
        <w:tc>
          <w:tcPr>
            <w:tcW w:w="392"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506"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528"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597"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747"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499"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80"/>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34"/>
        </w:trPr>
        <w:tc>
          <w:tcPr>
            <w:gridSpan w:val="10"/>
            <w:tcW w:w="5000" w:type="pct"/>
            <w:textDirection w:val="lrTb"/>
            <w:noWrap w:val="false"/>
          </w:tcPr>
          <w:p>
            <w:pPr>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投标总报价（人民币：元）</w:t>
            </w:r>
            <w:r>
              <w:rPr>
                <w:rFonts w:hint="eastAsia" w:ascii="宋体" w:hAnsi="宋体" w:eastAsia="宋体" w:cs="宋体"/>
                <w:color w:val="auto"/>
                <w:sz w:val="21"/>
                <w:szCs w:val="21"/>
                <w:highlight w:val="none"/>
                <w:u w:val="single"/>
              </w:rPr>
              <w:t xml:space="preserve">                             </w:t>
            </w:r>
            <w:r/>
          </w:p>
        </w:tc>
      </w:tr>
      <w:tr>
        <w:trPr>
          <w:cantSplit/>
          <w:trHeight w:val="767"/>
        </w:trPr>
        <w:tc>
          <w:tcPr>
            <w:gridSpan w:val="10"/>
            <w:tcW w:w="5000" w:type="pct"/>
            <w:textDirection w:val="lrTb"/>
            <w:noWrap w:val="false"/>
          </w:tcPr>
          <w:p>
            <w:pPr>
              <w:pStyle w:val="758"/>
              <w:spacing w:beforeAutospacing="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tc>
      </w:tr>
    </w:tbl>
    <w:p>
      <w:pPr>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1.本项目投标报价</w:t>
      </w:r>
      <w:r>
        <w:rPr>
          <w:rFonts w:hint="eastAsia" w:ascii="宋体" w:hAnsi="宋体" w:eastAsia="宋体" w:cs="宋体"/>
          <w:color w:val="auto"/>
          <w:sz w:val="21"/>
          <w:szCs w:val="21"/>
          <w:highlight w:val="none"/>
          <w:lang w:val="en-US" w:eastAsia="zh-CN"/>
        </w:rPr>
        <w:t xml:space="preserve">应</w:t>
      </w:r>
      <w:r>
        <w:rPr>
          <w:rFonts w:hint="eastAsia" w:ascii="宋体" w:hAnsi="宋体" w:eastAsia="宋体" w:cs="宋体"/>
          <w:color w:val="auto"/>
          <w:sz w:val="21"/>
          <w:szCs w:val="21"/>
          <w:highlight w:val="none"/>
        </w:rPr>
        <w:t xml:space="preserve">按招标文件要求详细列明各项产品名称、规格型号、数量、单价、总价等内容，报价应清晰、完整、准确。</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3.“投标分项报价表”中“投标总报价”数额应当与“开标一览表”中“投标总报价”数额一致。</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5.本项目招标代理服务费应包含在投标总价中，具体计算方式详见招标文件第二章4.3条要求。</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pStyle w:val="738"/>
        <w:rPr>
          <w:rFonts w:hint="eastAsia"/>
          <w:color w:val="auto"/>
          <w:highlight w:val="none"/>
        </w:rPr>
      </w:pPr>
      <w:r>
        <w:rPr>
          <w:rFonts w:hint="eastAsia"/>
          <w:color w:val="auto"/>
          <w:highlight w:val="none"/>
        </w:rPr>
      </w:r>
      <w:r/>
    </w:p>
    <w:p>
      <w:pPr>
        <w:pStyle w:val="956"/>
        <w:rPr>
          <w:rFonts w:hint="eastAsia" w:ascii="宋体" w:hAnsi="宋体" w:eastAsia="宋体" w:cs="宋体"/>
          <w:color w:val="auto"/>
          <w:sz w:val="32"/>
          <w:highlight w:val="none"/>
          <w:lang w:eastAsia="zh-CN"/>
        </w:rPr>
        <w:outlineLvl w:val="9"/>
      </w:pPr>
      <w:r/>
      <w:bookmarkStart w:id="42" w:name="_Toc5967"/>
      <w:r/>
      <w:bookmarkStart w:id="43" w:name="_Toc16517"/>
      <w:r/>
      <w:bookmarkStart w:id="44" w:name="_Toc9678"/>
      <w:r>
        <w:rPr>
          <w:rFonts w:hint="eastAsia" w:ascii="宋体" w:hAnsi="宋体" w:eastAsia="宋体" w:cs="宋体"/>
          <w:color w:val="auto"/>
          <w:sz w:val="32"/>
          <w:highlight w:val="none"/>
          <w:lang w:val="en-US" w:eastAsia="zh-CN"/>
        </w:rPr>
        <w:t xml:space="preserve">六</w:t>
      </w:r>
      <w:r>
        <w:rPr>
          <w:rFonts w:hint="eastAsia" w:ascii="宋体" w:hAnsi="宋体" w:eastAsia="宋体" w:cs="宋体"/>
          <w:color w:val="auto"/>
          <w:sz w:val="32"/>
          <w:highlight w:val="none"/>
        </w:rPr>
        <w:t xml:space="preserve">、</w:t>
      </w:r>
      <w:bookmarkEnd w:id="42"/>
      <w:r/>
      <w:bookmarkEnd w:id="43"/>
      <w:r/>
      <w:bookmarkEnd w:id="44"/>
      <w:r>
        <w:rPr>
          <w:rFonts w:hint="eastAsia" w:ascii="宋体" w:hAnsi="宋体" w:eastAsia="宋体" w:cs="宋体"/>
          <w:color w:val="auto"/>
          <w:sz w:val="32"/>
          <w:highlight w:val="none"/>
          <w:lang w:eastAsia="zh-CN"/>
        </w:rPr>
        <w:t xml:space="preserve">技术要求响应及偏离表</w:t>
      </w:r>
      <w:r/>
    </w:p>
    <w:tbl>
      <w:tblPr>
        <w:tblStyle w:val="73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8"/>
        <w:gridCol w:w="2749"/>
        <w:gridCol w:w="2910"/>
        <w:gridCol w:w="1570"/>
      </w:tblGrid>
      <w:tr>
        <w:trPr>
          <w:cantSplit/>
        </w:trPr>
        <w:tc>
          <w:tcPr>
            <w:tcW w:w="63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658"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技术要求</w:t>
            </w:r>
            <w:r/>
          </w:p>
        </w:tc>
        <w:tc>
          <w:tcPr>
            <w:tcW w:w="1755"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投标响应情况</w:t>
            </w:r>
            <w:r/>
          </w:p>
        </w:tc>
        <w:tc>
          <w:tcPr>
            <w:tcW w:w="947"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超出、符合或偏离</w:t>
            </w:r>
            <w:r/>
          </w:p>
        </w:tc>
      </w:tr>
      <w:tr>
        <w:trPr>
          <w:cantSplit/>
          <w:trHeight w:val="640"/>
        </w:trPr>
        <w:tc>
          <w:tcPr>
            <w:tcW w:w="63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W w:w="165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W w:w="1755"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7"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63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W w:w="165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p>
        </w:tc>
        <w:tc>
          <w:tcPr>
            <w:tcW w:w="1755"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7"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附件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证明材料1，证明材料2，……</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备注：</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1.投标人需对技术要求（未加斜体下划线的非实质性要求）逐条做出明确响应。</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2.如果招标文件要求提供证明材料，投标人需将证明材料列于该表之下。</w:t>
      </w:r>
      <w:r/>
    </w:p>
    <w:p>
      <w:pPr>
        <w:jc w:val="center"/>
        <w:rPr>
          <w:rFonts w:hint="eastAsia" w:ascii="宋体" w:hAnsi="宋体" w:cs="宋体"/>
          <w:b/>
          <w:bCs/>
          <w:color w:val="auto"/>
          <w:sz w:val="32"/>
          <w:szCs w:val="44"/>
          <w:highlight w:val="none"/>
        </w:rPr>
      </w:pPr>
      <w:r/>
      <w:bookmarkStart w:id="45" w:name="_Hlt26955054"/>
      <w:r/>
      <w:bookmarkEnd w:id="45"/>
      <w:r/>
      <w:r/>
    </w:p>
    <w:p>
      <w:pPr>
        <w:rPr>
          <w:rFonts w:hint="eastAsia" w:ascii="宋体" w:hAnsi="宋体" w:cs="宋体"/>
          <w:b/>
          <w:bCs/>
          <w:color w:val="auto"/>
          <w:sz w:val="32"/>
          <w:szCs w:val="44"/>
          <w:highlight w:val="none"/>
        </w:rPr>
      </w:pPr>
      <w:r>
        <w:rPr>
          <w:rFonts w:hint="eastAsia" w:ascii="宋体" w:hAnsi="宋体" w:cs="宋体"/>
          <w:b/>
          <w:bCs/>
          <w:color w:val="auto"/>
          <w:sz w:val="32"/>
          <w:szCs w:val="44"/>
          <w:highlight w:val="none"/>
        </w:rPr>
      </w:r>
      <w:r/>
    </w:p>
    <w:p>
      <w:pPr>
        <w:jc w:val="center"/>
        <w:rPr>
          <w:rFonts w:hint="eastAsia" w:ascii="宋体" w:hAnsi="宋体" w:eastAsia="宋体" w:cs="宋体"/>
          <w:color w:val="auto"/>
          <w:sz w:val="32"/>
          <w:highlight w:val="none"/>
          <w:lang w:eastAsia="zh-CN"/>
        </w:rPr>
      </w:pPr>
      <w:r>
        <w:rPr>
          <w:rFonts w:hint="eastAsia" w:ascii="宋体" w:hAnsi="宋体" w:cs="宋体"/>
          <w:b/>
          <w:bCs/>
          <w:color w:val="auto"/>
          <w:sz w:val="32"/>
          <w:szCs w:val="44"/>
          <w:highlight w:val="none"/>
          <w:lang w:val="en-US" w:eastAsia="zh-CN"/>
        </w:rPr>
        <w:t xml:space="preserve">七</w:t>
      </w:r>
      <w:r>
        <w:rPr>
          <w:rFonts w:hint="eastAsia" w:ascii="宋体" w:hAnsi="宋体" w:cs="宋体"/>
          <w:b/>
          <w:bCs/>
          <w:color w:val="auto"/>
          <w:sz w:val="32"/>
          <w:szCs w:val="44"/>
          <w:highlight w:val="none"/>
        </w:rPr>
        <w:t xml:space="preserve">、</w:t>
      </w:r>
      <w:r>
        <w:rPr>
          <w:rFonts w:hint="eastAsia" w:ascii="宋体" w:hAnsi="宋体" w:cs="宋体"/>
          <w:b/>
          <w:bCs/>
          <w:color w:val="auto"/>
          <w:sz w:val="32"/>
          <w:szCs w:val="44"/>
          <w:highlight w:val="none"/>
          <w:lang w:eastAsia="zh-CN"/>
        </w:rPr>
        <w:t xml:space="preserve">商务要求响应及偏离表</w:t>
      </w:r>
      <w:r/>
    </w:p>
    <w:tbl>
      <w:tblPr>
        <w:tblStyle w:val="734"/>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2885"/>
        <w:gridCol w:w="1800"/>
        <w:gridCol w:w="2561"/>
      </w:tblGrid>
      <w:tr>
        <w:trPr>
          <w:trHeight w:val="850"/>
        </w:trPr>
        <w:tc>
          <w:tcPr>
            <w:tcW w:w="1172"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46" w:name="_Hlt26955064"/>
            <w:r/>
            <w:bookmarkEnd w:id="46"/>
            <w:r/>
            <w:bookmarkStart w:id="47" w:name="_Hlt26671372"/>
            <w:r/>
            <w:bookmarkEnd w:id="47"/>
            <w:r/>
            <w:bookmarkStart w:id="48" w:name="_Hlt26671343"/>
            <w:r/>
            <w:bookmarkEnd w:id="48"/>
            <w:r/>
            <w:bookmarkStart w:id="49" w:name="_Hlt26580838"/>
            <w:r/>
            <w:bookmarkEnd w:id="49"/>
            <w:r/>
            <w:bookmarkStart w:id="50" w:name="_Hlt26609391"/>
            <w:r/>
            <w:bookmarkEnd w:id="50"/>
            <w:r/>
            <w:bookmarkStart w:id="51" w:name="_Hlt26782999"/>
            <w:r/>
            <w:bookmarkEnd w:id="51"/>
            <w:r/>
            <w:bookmarkStart w:id="52" w:name="_Hlt24879081"/>
            <w:r/>
            <w:bookmarkEnd w:id="52"/>
            <w:r/>
            <w:bookmarkStart w:id="53" w:name="_Hlt26955056"/>
            <w:r/>
            <w:bookmarkEnd w:id="53"/>
            <w:r>
              <w:rPr>
                <w:rFonts w:hint="eastAsia" w:ascii="宋体" w:hAnsi="宋体" w:eastAsia="宋体" w:cs="宋体"/>
                <w:color w:val="auto"/>
                <w:sz w:val="21"/>
                <w:szCs w:val="21"/>
                <w:highlight w:val="none"/>
              </w:rPr>
              <w:t xml:space="preserve">序号</w:t>
            </w:r>
            <w:r/>
          </w:p>
        </w:tc>
        <w:tc>
          <w:tcPr>
            <w:tcW w:w="2885"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商务要求</w:t>
            </w:r>
            <w:r/>
          </w:p>
        </w:tc>
        <w:tc>
          <w:tcPr>
            <w:tcW w:w="1800"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投标响应情况</w:t>
            </w:r>
            <w:r/>
          </w:p>
        </w:tc>
        <w:tc>
          <w:tcPr>
            <w:tcW w:w="2561"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超出、符合或偏离</w:t>
            </w:r>
            <w:r/>
          </w:p>
        </w:tc>
      </w:tr>
      <w:tr>
        <w:trPr>
          <w:trHeight w:val="670"/>
        </w:trPr>
        <w:tc>
          <w:tcPr>
            <w:tcW w:w="1172"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W w:w="2885"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W w:w="1800"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1"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70"/>
        </w:trPr>
        <w:tc>
          <w:tcPr>
            <w:tcW w:w="1172"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W w:w="2885"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p>
        </w:tc>
        <w:tc>
          <w:tcPr>
            <w:tcW w:w="1800"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1"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附件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证明材料1，证明材料2，……</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备注：</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1.投标人需对商务要求（未加斜体下划线的非实质性要求）逐条做出明确响应。</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2.如果招标文件要求提供证明材料，投标人需将证明材料列于该表之下。</w:t>
      </w:r>
      <w:r/>
    </w:p>
    <w:p>
      <w:pPr>
        <w:pStyle w:val="962"/>
        <w:ind w:firstLine="480"/>
        <w:jc w:val="center"/>
        <w:rPr>
          <w:rFonts w:hint="eastAsia" w:ascii="宋体" w:hAnsi="宋体" w:cs="宋体"/>
          <w:b/>
          <w:bCs/>
          <w:color w:val="auto"/>
          <w:sz w:val="32"/>
          <w:szCs w:val="44"/>
          <w:highlight w:val="none"/>
        </w:rPr>
      </w:pPr>
      <w:r>
        <w:rPr>
          <w:rFonts w:hint="eastAsia" w:ascii="宋体" w:hAnsi="宋体" w:cs="宋体"/>
          <w:b/>
          <w:bCs/>
          <w:color w:val="auto"/>
          <w:sz w:val="32"/>
          <w:szCs w:val="44"/>
          <w:highlight w:val="none"/>
          <w:lang w:val="en-US" w:eastAsia="zh-CN"/>
        </w:rPr>
        <w:t xml:space="preserve">八</w:t>
      </w:r>
      <w:r>
        <w:rPr>
          <w:rFonts w:hint="eastAsia" w:ascii="宋体" w:hAnsi="宋体" w:cs="宋体"/>
          <w:b/>
          <w:bCs/>
          <w:color w:val="auto"/>
          <w:sz w:val="32"/>
          <w:szCs w:val="44"/>
          <w:highlight w:val="none"/>
        </w:rPr>
        <w:t xml:space="preserve">、拟投入人员一览表</w:t>
      </w:r>
      <w:r/>
    </w:p>
    <w:tbl>
      <w:tblPr>
        <w:tblStyle w:val="7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743"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岗位</w:t>
            </w:r>
            <w:r/>
          </w:p>
        </w:tc>
        <w:tc>
          <w:tcPr>
            <w:tcW w:w="744"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p>
        </w:tc>
        <w:tc>
          <w:tcPr>
            <w:tcW w:w="801"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W w:w="727"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学历</w:t>
            </w:r>
            <w:r/>
          </w:p>
        </w:tc>
        <w:tc>
          <w:tcPr>
            <w:tcW w:w="1365"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出生年月</w:t>
            </w:r>
            <w:r/>
          </w:p>
        </w:tc>
        <w:tc>
          <w:tcPr>
            <w:tcW w:w="855"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专业</w:t>
            </w:r>
            <w:r/>
          </w:p>
        </w:tc>
        <w:tc>
          <w:tcPr>
            <w:tcW w:w="1573"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证书及编号</w:t>
            </w:r>
            <w:r/>
          </w:p>
        </w:tc>
        <w:tc>
          <w:tcPr>
            <w:tcW w:w="871"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r/>
    </w:p>
    <w:p>
      <w:pPr>
        <w:pStyle w:val="962"/>
        <w:ind w:firstLine="480"/>
        <w:jc w:val="center"/>
        <w:rPr>
          <w:rFonts w:hint="default" w:ascii="宋体" w:hAnsi="宋体" w:cs="宋体"/>
          <w:b/>
          <w:bCs/>
          <w:color w:val="auto"/>
          <w:sz w:val="32"/>
          <w:szCs w:val="44"/>
          <w:highlight w:val="none"/>
          <w:lang w:val="en-US" w:eastAsia="zh-CN"/>
        </w:rPr>
      </w:pPr>
      <w:r>
        <w:rPr>
          <w:rFonts w:hint="eastAsia" w:ascii="宋体" w:hAnsi="宋体" w:cs="宋体"/>
          <w:b/>
          <w:bCs/>
          <w:color w:val="auto"/>
          <w:sz w:val="32"/>
          <w:szCs w:val="44"/>
          <w:highlight w:val="none"/>
          <w:lang w:val="en-US" w:eastAsia="zh-CN"/>
        </w:rPr>
        <w:t xml:space="preserve">九、其他</w:t>
      </w:r>
      <w:r/>
    </w:p>
    <w:p>
      <w:pPr>
        <w:jc w:val="center"/>
        <w:widowControl/>
        <w:rPr>
          <w:rFonts w:hint="eastAsia" w:ascii="宋体" w:hAnsi="宋体" w:cs="宋体"/>
          <w:b/>
          <w:color w:val="auto"/>
          <w:highlight w:val="none"/>
        </w:rPr>
      </w:pPr>
      <w:r>
        <w:rPr>
          <w:rFonts w:hint="eastAsia" w:ascii="宋体" w:hAnsi="宋体" w:cs="宋体"/>
          <w:b/>
          <w:color w:val="auto"/>
          <w:highlight w:val="none"/>
        </w:rPr>
      </w:r>
      <w:r/>
    </w:p>
    <w:p>
      <w:pPr>
        <w:jc w:val="center"/>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投标人认为有必要提供的声明和文件，如有自拟并自行添加</w:t>
      </w:r>
      <w:r/>
    </w:p>
    <w:p>
      <w:pPr>
        <w:pStyle w:val="738"/>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pStyle w:val="738"/>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pStyle w:val="73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widowControl/>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br w:type="page" w:clear="all"/>
      </w:r>
      <w:r/>
    </w:p>
    <w:p>
      <w:pPr>
        <w:jc w:val="center"/>
        <w:widowControl/>
        <w:rPr>
          <w:rFonts w:hint="eastAsia" w:ascii="宋体" w:hAnsi="宋体" w:cs="宋体"/>
          <w:b/>
          <w:color w:val="auto"/>
          <w:highlight w:val="none"/>
        </w:rPr>
      </w:pPr>
      <w:r>
        <w:rPr>
          <w:rFonts w:hint="eastAsia" w:ascii="宋体" w:hAnsi="宋体" w:cs="宋体"/>
          <w:b/>
          <w:color w:val="auto"/>
          <w:highlight w:val="none"/>
        </w:rPr>
        <w:t xml:space="preserve">主要标的信息（中标后将公示）</w:t>
      </w:r>
      <w:r/>
    </w:p>
    <w:p>
      <w:pPr>
        <w:pStyle w:val="740"/>
        <w:rPr>
          <w:rFonts w:hint="eastAsia"/>
          <w:color w:val="auto"/>
          <w:highlight w:val="none"/>
        </w:rPr>
      </w:pPr>
      <w:r>
        <w:rPr>
          <w:rFonts w:hint="eastAsia"/>
          <w:color w:val="auto"/>
          <w:highlight w:val="none"/>
        </w:rPr>
      </w:r>
      <w:r/>
    </w:p>
    <w:p>
      <w:pPr>
        <w:spacing w:after="312" w:line="240" w:lineRule="auto"/>
        <w:rPr>
          <w:rFonts w:hint="eastAsia" w:ascii="宋体" w:hAnsi="宋体"/>
          <w:color w:val="auto"/>
          <w:highlight w:val="none"/>
        </w:rPr>
      </w:pPr>
      <w:r>
        <w:rPr>
          <w:rFonts w:hint="eastAsia" w:ascii="宋体" w:hAnsi="宋体"/>
          <w:color w:val="auto"/>
          <w:highlight w:val="none"/>
        </w:rPr>
        <w:t xml:space="preserve">投标人全称（加盖CA电子签章）：</w:t>
      </w:r>
      <w:r/>
    </w:p>
    <w:p>
      <w:pPr>
        <w:spacing w:after="312" w:line="240" w:lineRule="auto"/>
        <w:rPr>
          <w:rFonts w:hint="eastAsia" w:ascii="宋体" w:hAnsi="宋体"/>
          <w:color w:val="auto"/>
          <w:highlight w:val="none"/>
        </w:rPr>
      </w:pPr>
      <w:r>
        <w:rPr>
          <w:rFonts w:hint="eastAsia" w:ascii="宋体" w:hAnsi="宋体"/>
          <w:color w:val="auto"/>
          <w:highlight w:val="none"/>
        </w:rPr>
        <w:t xml:space="preserve">项目名称：</w:t>
      </w:r>
      <w:r/>
    </w:p>
    <w:p>
      <w:pPr>
        <w:spacing w:after="312" w:line="240" w:lineRule="auto"/>
        <w:rPr>
          <w:rFonts w:hint="eastAsia" w:ascii="宋体" w:hAnsi="宋体"/>
          <w:color w:val="auto"/>
          <w:highlight w:val="none"/>
        </w:rPr>
      </w:pPr>
      <w:r>
        <w:rPr>
          <w:rFonts w:hint="eastAsia" w:ascii="宋体" w:hAnsi="宋体"/>
          <w:color w:val="auto"/>
          <w:highlight w:val="none"/>
        </w:rPr>
        <w:t xml:space="preserve">项目编号：                                   </w:t>
      </w:r>
      <w:r/>
    </w:p>
    <w:tbl>
      <w:tblPr>
        <w:tblStyle w:val="734"/>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17"/>
      </w:tblGrid>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货物类</w:t>
            </w:r>
            <w:r/>
          </w:p>
        </w:tc>
      </w:tr>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品牌（如有）：</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规格型号：</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数量：</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单价：</w:t>
            </w:r>
            <w:r/>
          </w:p>
        </w:tc>
      </w:tr>
    </w:tbl>
    <w:p>
      <w:pPr>
        <w:jc w:val="center"/>
        <w:spacing w:line="500" w:lineRule="atLeas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500" w:lineRule="atLeas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业绩表（格式仅供参考）</w:t>
      </w:r>
      <w:r/>
    </w:p>
    <w:tbl>
      <w:tblPr>
        <w:tblStyle w:val="1028"/>
        <w:tblW w:w="4742"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8"/>
        <w:gridCol w:w="1000"/>
        <w:gridCol w:w="1714"/>
        <w:gridCol w:w="635"/>
        <w:gridCol w:w="862"/>
        <w:gridCol w:w="1272"/>
        <w:gridCol w:w="748"/>
        <w:gridCol w:w="1120"/>
      </w:tblGrid>
      <w:tr>
        <w:trPr>
          <w:trHeight w:val="840"/>
        </w:trPr>
        <w:tc>
          <w:tcPr>
            <w:tcBorders>
              <w:bottom w:val="single" w:color="000000" w:sz="6" w:space="0"/>
              <w:right w:val="single" w:color="000000" w:sz="6" w:space="0"/>
            </w:tcBorders>
            <w:tcMar>
              <w:left w:w="20" w:type="dxa"/>
              <w:top w:w="20" w:type="dxa"/>
              <w:right w:w="20" w:type="dxa"/>
              <w:bottom w:w="8" w:type="dxa"/>
            </w:tcMar>
            <w:tcW w:w="5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bottom w:val="single" w:color="000000" w:sz="6" w:space="0"/>
              <w:right w:val="single" w:color="000000" w:sz="6" w:space="0"/>
            </w:tcBorders>
            <w:tcMar>
              <w:left w:w="25" w:type="dxa"/>
              <w:top w:w="20" w:type="dxa"/>
              <w:right w:w="20" w:type="dxa"/>
              <w:bottom w:w="8" w:type="dxa"/>
            </w:tcMar>
            <w:tcW w:w="10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Borders>
              <w:bottom w:val="single" w:color="000000" w:sz="6" w:space="0"/>
              <w:right w:val="single" w:color="000000" w:sz="6" w:space="0"/>
            </w:tcBorders>
            <w:tcMar>
              <w:left w:w="25" w:type="dxa"/>
              <w:top w:w="20" w:type="dxa"/>
              <w:right w:w="20" w:type="dxa"/>
              <w:bottom w:w="8" w:type="dxa"/>
            </w:tcMar>
            <w:tcW w:w="17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供货设备清单</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（品牌、型号）</w:t>
            </w:r>
            <w:r/>
          </w:p>
        </w:tc>
        <w:tc>
          <w:tcPr>
            <w:tcBorders>
              <w:bottom w:val="single" w:color="000000" w:sz="6" w:space="0"/>
              <w:right w:val="single" w:color="000000" w:sz="6" w:space="0"/>
            </w:tcBorders>
            <w:tcMar>
              <w:left w:w="25" w:type="dxa"/>
              <w:top w:w="20" w:type="dxa"/>
              <w:right w:w="20" w:type="dxa"/>
              <w:bottom w:w="8" w:type="dxa"/>
            </w:tcMar>
            <w:tcW w:w="6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bottom w:val="single" w:color="000000" w:sz="6" w:space="0"/>
              <w:right w:val="single" w:color="000000" w:sz="6" w:space="0"/>
            </w:tcBorders>
            <w:tcMar>
              <w:left w:w="25" w:type="dxa"/>
              <w:top w:w="20" w:type="dxa"/>
              <w:right w:w="20" w:type="dxa"/>
              <w:bottom w:w="8" w:type="dxa"/>
            </w:tcMar>
            <w:tcW w:w="86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签约</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tc>
        <w:tc>
          <w:tcPr>
            <w:tcBorders>
              <w:bottom w:val="single" w:color="000000" w:sz="6" w:space="0"/>
              <w:right w:val="single" w:color="000000" w:sz="6" w:space="0"/>
            </w:tcBorders>
            <w:tcMar>
              <w:left w:w="25" w:type="dxa"/>
              <w:top w:w="20" w:type="dxa"/>
              <w:right w:w="20" w:type="dxa"/>
              <w:bottom w:w="8" w:type="dxa"/>
            </w:tcMar>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货物合同价</w:t>
            </w:r>
            <w:r/>
          </w:p>
        </w:tc>
        <w:tc>
          <w:tcPr>
            <w:tcBorders>
              <w:bottom w:val="single" w:color="000000" w:sz="6" w:space="0"/>
              <w:right w:val="single" w:color="000000" w:sz="6" w:space="0"/>
            </w:tcBorders>
            <w:tcMar>
              <w:left w:w="25" w:type="dxa"/>
              <w:top w:w="20" w:type="dxa"/>
              <w:right w:w="20" w:type="dxa"/>
              <w:bottom w:w="8" w:type="dxa"/>
            </w:tcMar>
            <w:tcW w:w="7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业主 名称</w:t>
            </w:r>
            <w:r/>
          </w:p>
        </w:tc>
        <w:tc>
          <w:tcPr>
            <w:tcBorders>
              <w:bottom w:val="single" w:color="000000" w:sz="6" w:space="0"/>
            </w:tcBorders>
            <w:tcMar>
              <w:left w:w="25" w:type="dxa"/>
              <w:top w:w="20" w:type="dxa"/>
              <w:right w:w="20" w:type="dxa"/>
              <w:bottom w:w="8" w:type="dxa"/>
            </w:tcMar>
            <w:tcW w:w="11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地址/电话/传真</w:t>
            </w:r>
            <w:r/>
          </w:p>
        </w:tc>
      </w:tr>
      <w:tr>
        <w:trPr>
          <w:trHeight w:val="499"/>
        </w:trPr>
        <w:tc>
          <w:tcPr>
            <w:tcBorders>
              <w:bottom w:val="single" w:color="000000" w:sz="6" w:space="0"/>
              <w:right w:val="single" w:color="000000" w:sz="6" w:space="0"/>
            </w:tcBorders>
            <w:tcMar>
              <w:left w:w="20" w:type="dxa"/>
              <w:top w:w="25" w:type="dxa"/>
              <w:right w:w="20" w:type="dxa"/>
              <w:bottom w:w="8" w:type="dxa"/>
            </w:tcMar>
            <w:tcW w:w="509" w:type="dxa"/>
            <w:vAlign w:val="bottom"/>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bottom w:val="single" w:color="000000" w:sz="6" w:space="0"/>
              <w:right w:val="single" w:color="000000" w:sz="6" w:space="0"/>
            </w:tcBorders>
            <w:tcMar>
              <w:left w:w="25" w:type="dxa"/>
              <w:top w:w="25" w:type="dxa"/>
              <w:right w:w="20" w:type="dxa"/>
              <w:bottom w:w="8" w:type="dxa"/>
            </w:tcMar>
            <w:tcW w:w="100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717"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636"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864"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274"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749"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tcBorders>
            <w:tcMar>
              <w:left w:w="25" w:type="dxa"/>
              <w:top w:w="25" w:type="dxa"/>
              <w:right w:w="20" w:type="dxa"/>
              <w:bottom w:w="8" w:type="dxa"/>
            </w:tcMar>
            <w:tcW w:w="112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499"/>
        </w:trPr>
        <w:tc>
          <w:tcPr>
            <w:tcBorders>
              <w:bottom w:val="single" w:color="000000" w:sz="6" w:space="0"/>
              <w:right w:val="single" w:color="000000" w:sz="6" w:space="0"/>
            </w:tcBorders>
            <w:tcMar>
              <w:left w:w="20" w:type="dxa"/>
              <w:top w:w="25" w:type="dxa"/>
              <w:right w:w="20" w:type="dxa"/>
              <w:bottom w:w="8" w:type="dxa"/>
            </w:tcMar>
            <w:tcW w:w="509" w:type="dxa"/>
            <w:vAlign w:val="bottom"/>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00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717"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636"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864"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274"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749"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tcBorders>
            <w:tcMar>
              <w:left w:w="25" w:type="dxa"/>
              <w:top w:w="25" w:type="dxa"/>
              <w:right w:w="20" w:type="dxa"/>
              <w:bottom w:w="8" w:type="dxa"/>
            </w:tcMar>
            <w:tcW w:w="112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bl>
    <w:p>
      <w:pP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投标人名称（加盖电子公章）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r/>
    </w:p>
    <w:sectPr>
      <w:headerReference w:type="default" r:id="rId10"/>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ambria">
    <w:panose1 w:val="02040503050406030204"/>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pPr>
      <w:pStyle w:val="7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both"/>
      <w:rPr>
        <w:rFonts w:hint="eastAsia" w:eastAsia="宋体"/>
        <w:lang w:eastAsia="zh-CN"/>
      </w:rPr>
    </w:pPr>
    <w:r>
      <w:rPr>
        <w:rFonts w:hint="eastAsia" w:ascii="宋体" w:hAnsi="宋体" w:cs="宋体"/>
        <w:color w:val="auto"/>
        <w:sz w:val="18"/>
        <w:szCs w:val="18"/>
        <w:lang w:eastAsia="zh-CN"/>
      </w:rPr>
      <w:t xml:space="preserve">JSZC-321000-YZDX-G2026-0009</w:t>
    </w:r>
    <w:r>
      <w:rPr>
        <w:rFonts w:hint="eastAsia" w:ascii="宋体" w:hAnsi="宋体" w:cs="宋体"/>
        <w:color w:val="auto"/>
        <w:sz w:val="18"/>
        <w:szCs w:val="18"/>
        <w:lang w:val="en-US" w:eastAsia="zh-CN"/>
      </w:rPr>
      <w:t xml:space="preserve">号</w:t>
    </w:r>
    <w:r>
      <w:rPr>
        <w:rFonts w:hint="eastAsia"/>
        <w:sz w:val="18"/>
        <w:szCs w:val="18"/>
      </w:rPr>
      <w:t xml:space="preserve"> </w:t>
    </w:r>
    <w:r>
      <w:rPr>
        <w:rFonts w:hint="eastAsia"/>
      </w:rPr>
      <w:t xml:space="preserve">                          </w:t>
    </w:r>
    <w:r>
      <w:rPr>
        <w:rFonts w:hint="eastAsia"/>
        <w:lang w:val="en-US" w:eastAsia="zh-CN"/>
      </w:rPr>
      <w:t xml:space="preserve">     </w:t>
    </w:r>
    <w:r>
      <w:rPr>
        <w:rFonts w:hint="eastAsia"/>
        <w:lang w:eastAsia="zh-CN"/>
      </w:rPr>
      <w:t xml:space="preserve">扬州大学工程设计研究院有限公司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both"/>
      <w:rPr>
        <w:rFonts w:hint="eastAsia" w:eastAsia="宋体"/>
        <w:lang w:eastAsia="zh-CN"/>
      </w:rPr>
    </w:pPr>
    <w:r>
      <w:rPr>
        <w:rFonts w:hint="eastAsia"/>
        <w:lang w:eastAsia="zh-CN"/>
      </w:rPr>
      <w:t xml:space="preserve">JSZC-321000-</w:t>
    </w:r>
    <w:r>
      <w:rPr>
        <w:rFonts w:hint="eastAsia"/>
      </w:rPr>
      <w:t xml:space="preserve">号</w:t>
    </w:r>
    <w:r>
      <w:tab/>
    </w:r>
    <w:r>
      <w:rPr>
        <w:rFonts w:hint="eastAsia"/>
      </w:rPr>
      <w:t xml:space="preserve">                                </w:t>
    </w:r>
    <w:r>
      <w:rPr>
        <w:rFonts w:hint="eastAsia"/>
        <w:lang w:val="en-US" w:eastAsia="zh-CN"/>
      </w:rPr>
      <w:t xml:space="preserve">                </w:t>
    </w:r>
    <w:r>
      <w:rPr>
        <w:rFonts w:hint="eastAsia"/>
      </w:rPr>
      <w:t xml:space="preserve"> </w:t>
    </w:r>
    <w:r>
      <w:rPr>
        <w:rFonts w:hint="eastAsia"/>
        <w:lang w:eastAsia="zh-CN"/>
      </w:rPr>
      <w:t xml:space="preserve">扬州大学工程设计研究院有限公司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5"/>
      <w:isLgl w:val="false"/>
      <w:suff w:val="nothing"/>
      <w:lvlText w:val="（%1）"/>
      <w:lvlJc w:val="left"/>
      <w:pPr>
        <w:ind w:left="0" w:firstLine="482"/>
      </w:pPr>
      <w:rPr>
        <w:rFonts w:hint="eastAsia"/>
        <w:b w:val="0"/>
        <w:bCs w:val="0"/>
        <w:i w:val="0"/>
        <w:iCs w:val="0"/>
        <w:vanish/>
        <w:spacing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24">
    <w:name w:val="Heading 1"/>
    <w:basedOn w:val="723"/>
    <w:link w:val="769"/>
    <w:uiPriority w:val="9"/>
    <w:qFormat/>
    <w:pPr>
      <w:jc w:val="center"/>
      <w:keepLines/>
      <w:keepNext/>
      <w:spacing w:line="360" w:lineRule="auto"/>
      <w:outlineLvl w:val="0"/>
    </w:pPr>
    <w:rPr>
      <w:rFonts w:ascii="Arial" w:hAnsi="Arial" w:cs="Arial"/>
      <w:b/>
      <w:sz w:val="30"/>
      <w:szCs w:val="40"/>
    </w:rPr>
  </w:style>
  <w:style w:type="paragraph" w:styleId="725">
    <w:name w:val="Heading 2"/>
    <w:basedOn w:val="723"/>
    <w:link w:val="808"/>
    <w:uiPriority w:val="9"/>
    <w:unhideWhenUsed/>
    <w:qFormat/>
    <w:pPr>
      <w:keepLines/>
      <w:keepNext/>
      <w:spacing w:before="360" w:after="200"/>
      <w:outlineLvl w:val="1"/>
    </w:pPr>
    <w:rPr>
      <w:rFonts w:ascii="Arial" w:hAnsi="Arial" w:eastAsia="Arial" w:cs="Arial"/>
      <w:sz w:val="34"/>
    </w:rPr>
  </w:style>
  <w:style w:type="paragraph" w:styleId="726">
    <w:name w:val="Heading 3"/>
    <w:basedOn w:val="723"/>
    <w:link w:val="809"/>
    <w:uiPriority w:val="9"/>
    <w:unhideWhenUsed/>
    <w:qFormat/>
    <w:pPr>
      <w:keepLines/>
      <w:keepNext/>
      <w:spacing w:before="320" w:after="200"/>
      <w:outlineLvl w:val="2"/>
    </w:pPr>
    <w:rPr>
      <w:rFonts w:ascii="Arial" w:hAnsi="Arial" w:eastAsia="Arial" w:cs="Arial"/>
      <w:sz w:val="30"/>
      <w:szCs w:val="30"/>
    </w:rPr>
  </w:style>
  <w:style w:type="paragraph" w:styleId="727">
    <w:name w:val="Heading 4"/>
    <w:basedOn w:val="723"/>
    <w:link w:val="810"/>
    <w:uiPriority w:val="9"/>
    <w:unhideWhenUsed/>
    <w:qFormat/>
    <w:pPr>
      <w:keepLines/>
      <w:keepNext/>
      <w:spacing w:before="320" w:after="200"/>
      <w:outlineLvl w:val="3"/>
    </w:pPr>
    <w:rPr>
      <w:rFonts w:ascii="Arial" w:hAnsi="Arial" w:eastAsia="Arial" w:cs="Arial"/>
      <w:b/>
      <w:bCs/>
      <w:sz w:val="26"/>
      <w:szCs w:val="26"/>
    </w:rPr>
  </w:style>
  <w:style w:type="paragraph" w:styleId="728">
    <w:name w:val="Heading 5"/>
    <w:basedOn w:val="723"/>
    <w:link w:val="811"/>
    <w:uiPriority w:val="9"/>
    <w:unhideWhenUsed/>
    <w:qFormat/>
    <w:pPr>
      <w:keepLines/>
      <w:keepNext/>
      <w:spacing w:before="320" w:after="200"/>
      <w:outlineLvl w:val="4"/>
    </w:pPr>
    <w:rPr>
      <w:rFonts w:ascii="Arial" w:hAnsi="Arial" w:eastAsia="Arial" w:cs="Arial"/>
      <w:b/>
      <w:bCs/>
      <w:sz w:val="24"/>
      <w:szCs w:val="24"/>
    </w:rPr>
  </w:style>
  <w:style w:type="paragraph" w:styleId="729">
    <w:name w:val="Heading 6"/>
    <w:basedOn w:val="723"/>
    <w:link w:val="812"/>
    <w:uiPriority w:val="9"/>
    <w:unhideWhenUsed/>
    <w:qFormat/>
    <w:pPr>
      <w:keepLines/>
      <w:keepNext/>
      <w:spacing w:before="320" w:after="200"/>
      <w:outlineLvl w:val="5"/>
    </w:pPr>
    <w:rPr>
      <w:rFonts w:ascii="Arial" w:hAnsi="Arial" w:eastAsia="Arial" w:cs="Arial"/>
      <w:b/>
      <w:bCs/>
      <w:sz w:val="22"/>
    </w:rPr>
  </w:style>
  <w:style w:type="paragraph" w:styleId="730">
    <w:name w:val="Heading 7"/>
    <w:basedOn w:val="723"/>
    <w:link w:val="813"/>
    <w:uiPriority w:val="9"/>
    <w:unhideWhenUsed/>
    <w:qFormat/>
    <w:pPr>
      <w:keepLines/>
      <w:keepNext/>
      <w:spacing w:before="320" w:after="200"/>
      <w:outlineLvl w:val="6"/>
    </w:pPr>
    <w:rPr>
      <w:rFonts w:ascii="Arial" w:hAnsi="Arial" w:eastAsia="Arial" w:cs="Arial"/>
      <w:b/>
      <w:bCs/>
      <w:i/>
      <w:iCs/>
      <w:sz w:val="22"/>
    </w:rPr>
  </w:style>
  <w:style w:type="paragraph" w:styleId="731">
    <w:name w:val="Heading 8"/>
    <w:basedOn w:val="723"/>
    <w:link w:val="814"/>
    <w:uiPriority w:val="9"/>
    <w:unhideWhenUsed/>
    <w:qFormat/>
    <w:pPr>
      <w:keepLines/>
      <w:keepNext/>
      <w:spacing w:before="320" w:after="200"/>
      <w:outlineLvl w:val="7"/>
    </w:pPr>
    <w:rPr>
      <w:rFonts w:ascii="Arial" w:hAnsi="Arial" w:eastAsia="Arial" w:cs="Arial"/>
      <w:i/>
      <w:iCs/>
      <w:sz w:val="22"/>
    </w:rPr>
  </w:style>
  <w:style w:type="paragraph" w:styleId="732">
    <w:name w:val="Heading 9"/>
    <w:basedOn w:val="723"/>
    <w:link w:val="815"/>
    <w:uiPriority w:val="9"/>
    <w:unhideWhenUsed/>
    <w:qFormat/>
    <w:pPr>
      <w:keepLines/>
      <w:keepNext/>
      <w:spacing w:before="320" w:after="200"/>
      <w:outlineLvl w:val="8"/>
    </w:pPr>
    <w:rPr>
      <w:rFonts w:ascii="Arial" w:hAnsi="Arial" w:eastAsia="Arial" w:cs="Arial"/>
      <w:i/>
      <w:iCs/>
      <w:szCs w:val="21"/>
    </w:rPr>
  </w:style>
  <w:style w:type="character" w:styleId="733" w:default="1">
    <w:name w:val="Default Paragraph Font"/>
    <w:uiPriority w:val="1"/>
    <w:semiHidden/>
    <w:unhideWhenUsed/>
    <w:qFormat/>
  </w:style>
  <w:style w:type="table" w:styleId="734" w:default="1">
    <w:name w:val="Normal Table"/>
    <w:uiPriority w:val="99"/>
    <w:semiHidden/>
    <w:unhideWhenUsed/>
    <w:qFormat/>
    <w:tblPr>
      <w:tblCellMar>
        <w:left w:w="108" w:type="dxa"/>
        <w:top w:w="0" w:type="dxa"/>
        <w:right w:w="108" w:type="dxa"/>
        <w:bottom w:w="0" w:type="dxa"/>
      </w:tblCellMar>
    </w:tblPr>
  </w:style>
  <w:style w:type="paragraph" w:styleId="735">
    <w:name w:val="toc 7"/>
    <w:basedOn w:val="723"/>
    <w:uiPriority w:val="39"/>
    <w:unhideWhenUsed/>
    <w:qFormat/>
    <w:pPr>
      <w:ind w:left="1701"/>
      <w:spacing w:after="57"/>
    </w:pPr>
  </w:style>
  <w:style w:type="paragraph" w:styleId="736">
    <w:name w:val="Caption"/>
    <w:basedOn w:val="72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annotation text"/>
    <w:basedOn w:val="723"/>
    <w:link w:val="1025"/>
    <w:uiPriority w:val="99"/>
    <w:unhideWhenUsed/>
    <w:qFormat/>
    <w:pPr>
      <w:jc w:val="left"/>
    </w:pPr>
  </w:style>
  <w:style w:type="paragraph" w:styleId="738">
    <w:name w:val="Body Text"/>
    <w:basedOn w:val="723"/>
    <w:uiPriority w:val="0"/>
    <w:qFormat/>
    <w:pPr>
      <w:spacing w:after="120"/>
    </w:pPr>
    <w:rPr>
      <w:rFonts w:ascii="Times New Roman" w:hAnsi="Times New Roman"/>
    </w:rPr>
  </w:style>
  <w:style w:type="paragraph" w:styleId="739">
    <w:name w:val="Body Text Indent"/>
    <w:basedOn w:val="723"/>
    <w:uiPriority w:val="0"/>
    <w:qFormat/>
    <w:pPr>
      <w:ind w:left="420"/>
      <w:spacing w:after="120"/>
    </w:pPr>
    <w:rPr>
      <w:rFonts w:ascii="等线" w:hAnsi="等线" w:eastAsia="等线"/>
    </w:rPr>
  </w:style>
  <w:style w:type="paragraph" w:styleId="740">
    <w:name w:val="Block Text"/>
    <w:basedOn w:val="723"/>
    <w:uiPriority w:val="99"/>
    <w:unhideWhenUsed/>
    <w:qFormat/>
    <w:pPr>
      <w:ind w:left="1440" w:right="1440"/>
      <w:spacing w:after="120"/>
    </w:pPr>
  </w:style>
  <w:style w:type="paragraph" w:styleId="741">
    <w:name w:val="toc 5"/>
    <w:basedOn w:val="723"/>
    <w:uiPriority w:val="39"/>
    <w:unhideWhenUsed/>
    <w:qFormat/>
    <w:pPr>
      <w:ind w:left="1134"/>
      <w:spacing w:after="57"/>
    </w:pPr>
  </w:style>
  <w:style w:type="paragraph" w:styleId="742">
    <w:name w:val="toc 3"/>
    <w:basedOn w:val="723"/>
    <w:uiPriority w:val="39"/>
    <w:unhideWhenUsed/>
    <w:qFormat/>
    <w:pPr>
      <w:ind w:left="567"/>
      <w:spacing w:after="57"/>
    </w:pPr>
  </w:style>
  <w:style w:type="paragraph" w:styleId="743">
    <w:name w:val="Plain Text"/>
    <w:basedOn w:val="723"/>
    <w:uiPriority w:val="0"/>
    <w:qFormat/>
    <w:rPr>
      <w:rFonts w:ascii="宋体" w:hAnsi="Courier New"/>
      <w:sz w:val="20"/>
      <w:szCs w:val="21"/>
    </w:rPr>
  </w:style>
  <w:style w:type="paragraph" w:styleId="744">
    <w:name w:val="toc 8"/>
    <w:basedOn w:val="723"/>
    <w:uiPriority w:val="39"/>
    <w:unhideWhenUsed/>
    <w:qFormat/>
    <w:pPr>
      <w:ind w:left="1984"/>
      <w:spacing w:after="57"/>
    </w:pPr>
  </w:style>
  <w:style w:type="paragraph" w:styleId="745">
    <w:name w:val="Date"/>
    <w:basedOn w:val="723"/>
    <w:uiPriority w:val="0"/>
    <w:qFormat/>
    <w:rPr>
      <w:rFonts w:ascii="Arial" w:hAnsi="Arial" w:eastAsia="宋体" w:cs="Arial"/>
      <w:b/>
      <w:sz w:val="28"/>
    </w:rPr>
  </w:style>
  <w:style w:type="paragraph" w:styleId="746">
    <w:name w:val="endnote text"/>
    <w:basedOn w:val="723"/>
    <w:link w:val="953"/>
    <w:uiPriority w:val="99"/>
    <w:semiHidden/>
    <w:unhideWhenUsed/>
    <w:qFormat/>
    <w:rPr>
      <w:sz w:val="20"/>
    </w:rPr>
  </w:style>
  <w:style w:type="paragraph" w:styleId="747">
    <w:name w:val="Footer"/>
    <w:basedOn w:val="723"/>
    <w:link w:val="826"/>
    <w:uiPriority w:val="99"/>
    <w:unhideWhenUsed/>
    <w:qFormat/>
    <w:pPr>
      <w:tabs>
        <w:tab w:val="center" w:pos="7143" w:leader="none"/>
        <w:tab w:val="right" w:pos="14287" w:leader="none"/>
      </w:tabs>
    </w:pPr>
  </w:style>
  <w:style w:type="paragraph" w:styleId="748">
    <w:name w:val="Header"/>
    <w:basedOn w:val="723"/>
    <w:link w:val="824"/>
    <w:uiPriority w:val="99"/>
    <w:unhideWhenUsed/>
    <w:qFormat/>
    <w:pPr>
      <w:tabs>
        <w:tab w:val="center" w:pos="7143" w:leader="none"/>
        <w:tab w:val="right" w:pos="14287" w:leader="none"/>
      </w:tabs>
    </w:pPr>
  </w:style>
  <w:style w:type="paragraph" w:styleId="749">
    <w:name w:val="toc 1"/>
    <w:basedOn w:val="723"/>
    <w:uiPriority w:val="39"/>
    <w:unhideWhenUsed/>
    <w:qFormat/>
    <w:pPr>
      <w:spacing w:after="57"/>
    </w:pPr>
  </w:style>
  <w:style w:type="paragraph" w:styleId="750">
    <w:name w:val="toc 4"/>
    <w:basedOn w:val="723"/>
    <w:uiPriority w:val="39"/>
    <w:unhideWhenUsed/>
    <w:qFormat/>
    <w:pPr>
      <w:ind w:left="850"/>
      <w:spacing w:after="57"/>
    </w:pPr>
  </w:style>
  <w:style w:type="paragraph" w:styleId="751">
    <w:name w:val="Subtitle"/>
    <w:basedOn w:val="723"/>
    <w:link w:val="819"/>
    <w:uiPriority w:val="11"/>
    <w:qFormat/>
    <w:pPr>
      <w:spacing w:before="200" w:after="200"/>
    </w:pPr>
    <w:rPr>
      <w:sz w:val="24"/>
      <w:szCs w:val="24"/>
    </w:rPr>
  </w:style>
  <w:style w:type="paragraph" w:styleId="752">
    <w:name w:val="footnote text"/>
    <w:basedOn w:val="723"/>
    <w:link w:val="952"/>
    <w:uiPriority w:val="99"/>
    <w:semiHidden/>
    <w:unhideWhenUsed/>
    <w:qFormat/>
    <w:pPr>
      <w:spacing w:after="40"/>
    </w:pPr>
    <w:rPr>
      <w:sz w:val="18"/>
    </w:rPr>
  </w:style>
  <w:style w:type="paragraph" w:styleId="753">
    <w:name w:val="toc 6"/>
    <w:basedOn w:val="723"/>
    <w:uiPriority w:val="39"/>
    <w:unhideWhenUsed/>
    <w:qFormat/>
    <w:pPr>
      <w:ind w:left="1417"/>
      <w:spacing w:after="57"/>
    </w:pPr>
  </w:style>
  <w:style w:type="paragraph" w:styleId="754">
    <w:name w:val="table of figures"/>
    <w:basedOn w:val="723"/>
    <w:uiPriority w:val="99"/>
    <w:unhideWhenUsed/>
    <w:qFormat/>
  </w:style>
  <w:style w:type="paragraph" w:styleId="755">
    <w:name w:val="toc 2"/>
    <w:basedOn w:val="723"/>
    <w:uiPriority w:val="39"/>
    <w:unhideWhenUsed/>
    <w:qFormat/>
    <w:pPr>
      <w:ind w:left="283"/>
      <w:spacing w:after="57"/>
    </w:pPr>
  </w:style>
  <w:style w:type="paragraph" w:styleId="756">
    <w:name w:val="toc 9"/>
    <w:basedOn w:val="723"/>
    <w:uiPriority w:val="39"/>
    <w:unhideWhenUsed/>
    <w:qFormat/>
    <w:pPr>
      <w:ind w:left="2268"/>
      <w:spacing w:after="57"/>
    </w:pPr>
  </w:style>
  <w:style w:type="paragraph" w:styleId="757">
    <w:name w:val="Body Text 2"/>
    <w:basedOn w:val="723"/>
    <w:uiPriority w:val="0"/>
    <w:qFormat/>
    <w:pPr>
      <w:spacing w:after="120" w:line="480" w:lineRule="auto"/>
    </w:pPr>
  </w:style>
  <w:style w:type="paragraph" w:styleId="758">
    <w:name w:val="Normal (Web)"/>
    <w:basedOn w:val="723"/>
    <w:uiPriority w:val="99"/>
    <w:semiHidden/>
    <w:unhideWhenUsed/>
    <w:qFormat/>
    <w:pPr>
      <w:jc w:val="left"/>
      <w:spacing w:beforeAutospacing="1" w:afterAutospacing="1"/>
    </w:pPr>
    <w:rPr>
      <w:sz w:val="24"/>
    </w:rPr>
  </w:style>
  <w:style w:type="paragraph" w:styleId="759">
    <w:name w:val="Title"/>
    <w:basedOn w:val="723"/>
    <w:link w:val="818"/>
    <w:uiPriority w:val="10"/>
    <w:qFormat/>
    <w:pPr>
      <w:contextualSpacing/>
      <w:spacing w:before="300" w:after="200"/>
    </w:pPr>
    <w:rPr>
      <w:sz w:val="48"/>
      <w:szCs w:val="48"/>
    </w:rPr>
  </w:style>
  <w:style w:type="paragraph" w:styleId="760">
    <w:name w:val="annotation subject"/>
    <w:basedOn w:val="737"/>
    <w:link w:val="1026"/>
    <w:uiPriority w:val="99"/>
    <w:semiHidden/>
    <w:unhideWhenUsed/>
    <w:qFormat/>
    <w:rPr>
      <w:b/>
      <w:bCs/>
    </w:rPr>
  </w:style>
  <w:style w:type="paragraph" w:styleId="761">
    <w:name w:val="Body Text First Indent"/>
    <w:basedOn w:val="738"/>
    <w:uiPriority w:val="0"/>
    <w:unhideWhenUsed/>
    <w:qFormat/>
    <w:pPr>
      <w:ind w:firstLine="420"/>
    </w:pPr>
    <w:rPr>
      <w:szCs w:val="21"/>
    </w:rPr>
  </w:style>
  <w:style w:type="table" w:styleId="7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Strong"/>
    <w:basedOn w:val="733"/>
    <w:uiPriority w:val="22"/>
    <w:qFormat/>
    <w:rPr>
      <w:b/>
    </w:rPr>
  </w:style>
  <w:style w:type="character" w:styleId="764">
    <w:name w:val="endnote reference"/>
    <w:uiPriority w:val="99"/>
    <w:semiHidden/>
    <w:unhideWhenUsed/>
    <w:qFormat/>
    <w:rPr>
      <w:vertAlign w:val="superscript"/>
    </w:rPr>
  </w:style>
  <w:style w:type="character" w:styleId="765">
    <w:name w:val="Emphasis"/>
    <w:uiPriority w:val="0"/>
    <w:qFormat/>
    <w:rPr>
      <w:i/>
    </w:rPr>
  </w:style>
  <w:style w:type="character" w:styleId="766">
    <w:name w:val="Hyperlink"/>
    <w:uiPriority w:val="99"/>
    <w:unhideWhenUsed/>
    <w:qFormat/>
    <w:rPr>
      <w:color w:val="0000ff" w:themeColor="hyperlink"/>
      <w:u w:val="single"/>
      <w14:textFill>
        <w14:solidFill>
          <w14:schemeClr w14:val="hlink"/>
        </w14:solidFill>
      </w14:textFill>
    </w:rPr>
  </w:style>
  <w:style w:type="character" w:styleId="767">
    <w:name w:val="annotation reference"/>
    <w:basedOn w:val="733"/>
    <w:uiPriority w:val="0"/>
    <w:qFormat/>
    <w:rPr>
      <w:sz w:val="21"/>
      <w:szCs w:val="21"/>
    </w:rPr>
  </w:style>
  <w:style w:type="character" w:styleId="768">
    <w:name w:val="footnote reference"/>
    <w:uiPriority w:val="99"/>
    <w:unhideWhenUsed/>
    <w:qFormat/>
    <w:rPr>
      <w:vertAlign w:val="superscript"/>
    </w:rPr>
  </w:style>
  <w:style w:type="character" w:styleId="769" w:customStyle="1">
    <w:name w:val="标题 1 字符"/>
    <w:link w:val="724"/>
    <w:uiPriority w:val="9"/>
    <w:qFormat/>
    <w:rPr>
      <w:rFonts w:ascii="Arial" w:hAnsi="Arial" w:eastAsia="宋体" w:cs="Arial"/>
      <w:b/>
      <w:sz w:val="30"/>
      <w:szCs w:val="40"/>
    </w:rPr>
  </w:style>
  <w:style w:type="character" w:styleId="770" w:customStyle="1">
    <w:name w:val="Heading 1 Char"/>
    <w:basedOn w:val="733"/>
    <w:uiPriority w:val="9"/>
    <w:qFormat/>
    <w:rPr>
      <w:rFonts w:ascii="Arial" w:hAnsi="Arial" w:eastAsia="Arial" w:cs="Arial"/>
      <w:sz w:val="40"/>
      <w:szCs w:val="40"/>
    </w:rPr>
  </w:style>
  <w:style w:type="character" w:styleId="771" w:customStyle="1">
    <w:name w:val="Heading 2 Char"/>
    <w:basedOn w:val="733"/>
    <w:uiPriority w:val="9"/>
    <w:qFormat/>
    <w:rPr>
      <w:rFonts w:ascii="Arial" w:hAnsi="Arial" w:eastAsia="Arial" w:cs="Arial"/>
      <w:sz w:val="34"/>
    </w:rPr>
  </w:style>
  <w:style w:type="character" w:styleId="772" w:customStyle="1">
    <w:name w:val="Heading 3 Char"/>
    <w:basedOn w:val="733"/>
    <w:uiPriority w:val="9"/>
    <w:qFormat/>
    <w:rPr>
      <w:rFonts w:ascii="Arial" w:hAnsi="Arial" w:eastAsia="Arial" w:cs="Arial"/>
      <w:sz w:val="30"/>
      <w:szCs w:val="30"/>
    </w:rPr>
  </w:style>
  <w:style w:type="character" w:styleId="773" w:customStyle="1">
    <w:name w:val="Heading 4 Char"/>
    <w:basedOn w:val="733"/>
    <w:uiPriority w:val="9"/>
    <w:qFormat/>
    <w:rPr>
      <w:rFonts w:ascii="Arial" w:hAnsi="Arial" w:eastAsia="Arial" w:cs="Arial"/>
      <w:b/>
      <w:bCs/>
      <w:sz w:val="26"/>
      <w:szCs w:val="26"/>
    </w:rPr>
  </w:style>
  <w:style w:type="character" w:styleId="774" w:customStyle="1">
    <w:name w:val="Heading 5 Char"/>
    <w:basedOn w:val="733"/>
    <w:uiPriority w:val="9"/>
    <w:qFormat/>
    <w:rPr>
      <w:rFonts w:ascii="Arial" w:hAnsi="Arial" w:eastAsia="Arial" w:cs="Arial"/>
      <w:b/>
      <w:bCs/>
      <w:sz w:val="24"/>
      <w:szCs w:val="24"/>
    </w:rPr>
  </w:style>
  <w:style w:type="character" w:styleId="775" w:customStyle="1">
    <w:name w:val="Heading 6 Char"/>
    <w:basedOn w:val="733"/>
    <w:uiPriority w:val="9"/>
    <w:qFormat/>
    <w:rPr>
      <w:rFonts w:ascii="Arial" w:hAnsi="Arial" w:eastAsia="Arial" w:cs="Arial"/>
      <w:b/>
      <w:bCs/>
      <w:sz w:val="22"/>
      <w:szCs w:val="22"/>
    </w:rPr>
  </w:style>
  <w:style w:type="character" w:styleId="776" w:customStyle="1">
    <w:name w:val="Heading 7 Char"/>
    <w:basedOn w:val="733"/>
    <w:uiPriority w:val="9"/>
    <w:qFormat/>
    <w:rPr>
      <w:rFonts w:ascii="Arial" w:hAnsi="Arial" w:eastAsia="Arial" w:cs="Arial"/>
      <w:b/>
      <w:bCs/>
      <w:i/>
      <w:iCs/>
      <w:sz w:val="22"/>
      <w:szCs w:val="22"/>
    </w:rPr>
  </w:style>
  <w:style w:type="character" w:styleId="777" w:customStyle="1">
    <w:name w:val="Heading 8 Char"/>
    <w:basedOn w:val="733"/>
    <w:uiPriority w:val="9"/>
    <w:qFormat/>
    <w:rPr>
      <w:rFonts w:ascii="Arial" w:hAnsi="Arial" w:eastAsia="Arial" w:cs="Arial"/>
      <w:i/>
      <w:iCs/>
      <w:sz w:val="22"/>
      <w:szCs w:val="22"/>
    </w:rPr>
  </w:style>
  <w:style w:type="character" w:styleId="778" w:customStyle="1">
    <w:name w:val="Heading 9 Char"/>
    <w:basedOn w:val="733"/>
    <w:uiPriority w:val="9"/>
    <w:qFormat/>
    <w:rPr>
      <w:rFonts w:ascii="Arial" w:hAnsi="Arial" w:eastAsia="Arial" w:cs="Arial"/>
      <w:i/>
      <w:iCs/>
      <w:sz w:val="21"/>
      <w:szCs w:val="21"/>
    </w:rPr>
  </w:style>
  <w:style w:type="character" w:styleId="779" w:customStyle="1">
    <w:name w:val="Title Char"/>
    <w:basedOn w:val="733"/>
    <w:uiPriority w:val="10"/>
    <w:qFormat/>
    <w:rPr>
      <w:sz w:val="48"/>
      <w:szCs w:val="48"/>
    </w:rPr>
  </w:style>
  <w:style w:type="character" w:styleId="780" w:customStyle="1">
    <w:name w:val="Subtitle Char"/>
    <w:basedOn w:val="733"/>
    <w:uiPriority w:val="11"/>
    <w:qFormat/>
    <w:rPr>
      <w:sz w:val="24"/>
      <w:szCs w:val="24"/>
    </w:rPr>
  </w:style>
  <w:style w:type="character" w:styleId="781" w:customStyle="1">
    <w:name w:val="Quote Char"/>
    <w:uiPriority w:val="29"/>
    <w:qFormat/>
    <w:rPr>
      <w:i/>
    </w:rPr>
  </w:style>
  <w:style w:type="character" w:styleId="782" w:customStyle="1">
    <w:name w:val="Intense Quote Char"/>
    <w:uiPriority w:val="30"/>
    <w:qFormat/>
    <w:rPr>
      <w:i/>
    </w:rPr>
  </w:style>
  <w:style w:type="character" w:styleId="783" w:customStyle="1">
    <w:name w:val="Header Char"/>
    <w:basedOn w:val="733"/>
    <w:uiPriority w:val="99"/>
    <w:qFormat/>
  </w:style>
  <w:style w:type="character" w:styleId="784" w:customStyle="1">
    <w:name w:val="Caption Char"/>
    <w:uiPriority w:val="99"/>
    <w:qFormat/>
  </w:style>
  <w:style w:type="table" w:styleId="785" w:customStyle="1">
    <w:name w:val="Plain Table 1"/>
    <w:basedOn w:val="73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basedOn w:val="73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basedOn w:val="73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2"/>
    <w:basedOn w:val="7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3"/>
    <w:basedOn w:val="7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basedOn w:val="73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5 Dark"/>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6 Colorful"/>
    <w:basedOn w:val="73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7 Colorful"/>
    <w:basedOn w:val="73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List Table 1 Light"/>
    <w:basedOn w:val="73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2"/>
    <w:basedOn w:val="73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3"/>
    <w:basedOn w:val="7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w:basedOn w:val="7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5 Dark"/>
    <w:basedOn w:val="73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6 Colorful"/>
    <w:basedOn w:val="73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List Table 7 Colorful"/>
    <w:basedOn w:val="73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4" w:customStyle="1">
    <w:name w:val="Footnote Text Char"/>
    <w:uiPriority w:val="99"/>
    <w:qFormat/>
    <w:rPr>
      <w:sz w:val="18"/>
    </w:rPr>
  </w:style>
  <w:style w:type="character" w:styleId="805" w:customStyle="1">
    <w:name w:val="Endnote Text Char"/>
    <w:uiPriority w:val="99"/>
    <w:qFormat/>
    <w:rPr>
      <w:sz w:val="20"/>
    </w:rPr>
  </w:style>
  <w:style w:type="paragraph" w:styleId="806" w:customStyle="1">
    <w:name w:val="TOC Heading"/>
    <w:uiPriority w:val="39"/>
    <w:unhideWhenUsed/>
    <w:qFormat/>
    <w:rPr>
      <w:rFonts w:hint="default" w:ascii="Times New Roman" w:hAnsi="Times New Roman" w:eastAsia="宋体" w:cs="Times New Roman"/>
    </w:rPr>
  </w:style>
  <w:style w:type="paragraph" w:styleId="807" w:customStyle="1">
    <w:name w:val="Default"/>
    <w:uiPriority w:val="0"/>
    <w:qFormat/>
    <w:pPr>
      <w:widowControl w:val="off"/>
    </w:pPr>
    <w:rPr>
      <w:rFonts w:hint="default" w:ascii="黑体" w:hAnsi="Times New Roman" w:eastAsia="黑体" w:cs="Times New Roman"/>
      <w:lang w:val="en-US" w:eastAsia="zh-CN" w:bidi="ar-SA"/>
    </w:rPr>
  </w:style>
  <w:style w:type="character" w:styleId="808" w:customStyle="1">
    <w:name w:val="标题 2 字符"/>
    <w:link w:val="725"/>
    <w:uiPriority w:val="9"/>
    <w:qFormat/>
    <w:rPr>
      <w:rFonts w:ascii="Arial" w:hAnsi="Arial" w:eastAsia="Arial" w:cs="Arial"/>
      <w:sz w:val="34"/>
    </w:rPr>
  </w:style>
  <w:style w:type="character" w:styleId="809" w:customStyle="1">
    <w:name w:val="标题 3 字符"/>
    <w:link w:val="726"/>
    <w:uiPriority w:val="9"/>
    <w:qFormat/>
    <w:rPr>
      <w:rFonts w:ascii="Arial" w:hAnsi="Arial" w:eastAsia="Arial" w:cs="Arial"/>
      <w:sz w:val="30"/>
      <w:szCs w:val="30"/>
    </w:rPr>
  </w:style>
  <w:style w:type="character" w:styleId="810" w:customStyle="1">
    <w:name w:val="标题 4 字符"/>
    <w:link w:val="727"/>
    <w:uiPriority w:val="9"/>
    <w:qFormat/>
    <w:rPr>
      <w:rFonts w:ascii="Arial" w:hAnsi="Arial" w:eastAsia="Arial" w:cs="Arial"/>
      <w:b/>
      <w:bCs/>
      <w:sz w:val="26"/>
      <w:szCs w:val="26"/>
    </w:rPr>
  </w:style>
  <w:style w:type="character" w:styleId="811" w:customStyle="1">
    <w:name w:val="标题 5 字符"/>
    <w:link w:val="728"/>
    <w:uiPriority w:val="9"/>
    <w:qFormat/>
    <w:rPr>
      <w:rFonts w:ascii="Arial" w:hAnsi="Arial" w:eastAsia="Arial" w:cs="Arial"/>
      <w:b/>
      <w:bCs/>
      <w:sz w:val="24"/>
      <w:szCs w:val="24"/>
    </w:rPr>
  </w:style>
  <w:style w:type="character" w:styleId="812" w:customStyle="1">
    <w:name w:val="标题 6 字符"/>
    <w:link w:val="729"/>
    <w:uiPriority w:val="9"/>
    <w:qFormat/>
    <w:rPr>
      <w:rFonts w:ascii="Arial" w:hAnsi="Arial" w:eastAsia="Arial" w:cs="Arial"/>
      <w:b/>
      <w:bCs/>
      <w:sz w:val="22"/>
      <w:szCs w:val="22"/>
    </w:rPr>
  </w:style>
  <w:style w:type="character" w:styleId="813" w:customStyle="1">
    <w:name w:val="标题 7 字符"/>
    <w:link w:val="730"/>
    <w:uiPriority w:val="9"/>
    <w:qFormat/>
    <w:rPr>
      <w:rFonts w:ascii="Arial" w:hAnsi="Arial" w:eastAsia="Arial" w:cs="Arial"/>
      <w:b/>
      <w:bCs/>
      <w:i/>
      <w:iCs/>
      <w:sz w:val="22"/>
      <w:szCs w:val="22"/>
    </w:rPr>
  </w:style>
  <w:style w:type="character" w:styleId="814" w:customStyle="1">
    <w:name w:val="标题 8 字符"/>
    <w:link w:val="731"/>
    <w:uiPriority w:val="9"/>
    <w:qFormat/>
    <w:rPr>
      <w:rFonts w:ascii="Arial" w:hAnsi="Arial" w:eastAsia="Arial" w:cs="Arial"/>
      <w:i/>
      <w:iCs/>
      <w:sz w:val="22"/>
      <w:szCs w:val="22"/>
    </w:rPr>
  </w:style>
  <w:style w:type="character" w:styleId="815" w:customStyle="1">
    <w:name w:val="标题 9 字符"/>
    <w:link w:val="732"/>
    <w:uiPriority w:val="9"/>
    <w:qFormat/>
    <w:rPr>
      <w:rFonts w:ascii="Arial" w:hAnsi="Arial" w:eastAsia="Arial" w:cs="Arial"/>
      <w:i/>
      <w:iCs/>
      <w:sz w:val="21"/>
      <w:szCs w:val="21"/>
    </w:rPr>
  </w:style>
  <w:style w:type="paragraph" w:styleId="816">
    <w:name w:val="List Paragraph"/>
    <w:basedOn w:val="723"/>
    <w:uiPriority w:val="34"/>
    <w:qFormat/>
    <w:pPr>
      <w:contextualSpacing/>
      <w:ind w:left="720"/>
    </w:pPr>
  </w:style>
  <w:style w:type="paragraph" w:styleId="817">
    <w:name w:val="No Spacing"/>
    <w:uiPriority w:val="1"/>
    <w:qFormat/>
    <w:rPr>
      <w:rFonts w:hint="default" w:ascii="Times New Roman" w:hAnsi="Times New Roman" w:eastAsia="宋体" w:cs="Times New Roman"/>
      <w:lang w:val="en-US" w:eastAsia="zh-CN" w:bidi="ar-SA"/>
    </w:rPr>
  </w:style>
  <w:style w:type="character" w:styleId="818" w:customStyle="1">
    <w:name w:val="标题 字符"/>
    <w:link w:val="759"/>
    <w:uiPriority w:val="10"/>
    <w:qFormat/>
    <w:rPr>
      <w:sz w:val="48"/>
      <w:szCs w:val="48"/>
    </w:rPr>
  </w:style>
  <w:style w:type="character" w:styleId="819" w:customStyle="1">
    <w:name w:val="副标题 字符"/>
    <w:link w:val="751"/>
    <w:uiPriority w:val="11"/>
    <w:qFormat/>
    <w:rPr>
      <w:sz w:val="24"/>
      <w:szCs w:val="24"/>
    </w:rPr>
  </w:style>
  <w:style w:type="paragraph" w:styleId="820">
    <w:name w:val="Quote"/>
    <w:basedOn w:val="723"/>
    <w:link w:val="821"/>
    <w:uiPriority w:val="29"/>
    <w:qFormat/>
    <w:pPr>
      <w:ind w:left="720" w:right="720"/>
    </w:pPr>
    <w:rPr>
      <w:i/>
    </w:rPr>
  </w:style>
  <w:style w:type="character" w:styleId="821" w:customStyle="1">
    <w:name w:val="引用 字符"/>
    <w:link w:val="820"/>
    <w:uiPriority w:val="29"/>
    <w:qFormat/>
    <w:rPr>
      <w:i/>
    </w:rPr>
  </w:style>
  <w:style w:type="paragraph" w:styleId="822">
    <w:name w:val="Intense Quote"/>
    <w:basedOn w:val="723"/>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明显引用 字符"/>
    <w:link w:val="822"/>
    <w:uiPriority w:val="30"/>
    <w:qFormat/>
    <w:rPr>
      <w:i/>
    </w:rPr>
  </w:style>
  <w:style w:type="character" w:styleId="824" w:customStyle="1">
    <w:name w:val="页眉 字符"/>
    <w:link w:val="748"/>
    <w:uiPriority w:val="99"/>
    <w:qFormat/>
  </w:style>
  <w:style w:type="character" w:styleId="825" w:customStyle="1">
    <w:name w:val="Footer Char"/>
    <w:uiPriority w:val="99"/>
    <w:qFormat/>
  </w:style>
  <w:style w:type="character" w:styleId="826" w:customStyle="1">
    <w:name w:val="页脚 字符"/>
    <w:link w:val="747"/>
    <w:uiPriority w:val="99"/>
    <w:qFormat/>
  </w:style>
  <w:style w:type="table" w:styleId="82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2" w:customStyle="1">
    <w:name w:val="脚注文本 字符"/>
    <w:link w:val="752"/>
    <w:uiPriority w:val="99"/>
    <w:qFormat/>
    <w:rPr>
      <w:sz w:val="18"/>
    </w:rPr>
  </w:style>
  <w:style w:type="character" w:styleId="953" w:customStyle="1">
    <w:name w:val="尾注文本 字符"/>
    <w:link w:val="746"/>
    <w:uiPriority w:val="99"/>
    <w:qFormat/>
    <w:rPr>
      <w:sz w:val="20"/>
    </w:rPr>
  </w:style>
  <w:style w:type="paragraph" w:styleId="954" w:customStyle="1">
    <w:name w:val="TOC 标题1"/>
    <w:uiPriority w:val="39"/>
    <w:unhideWhenUsed/>
    <w:qFormat/>
    <w:rPr>
      <w:rFonts w:hint="default" w:ascii="Times New Roman" w:hAnsi="Times New Roman" w:eastAsia="宋体" w:cs="Times New Roman"/>
      <w:lang w:val="en-US" w:eastAsia="zh-CN" w:bidi="ar-SA"/>
    </w:rPr>
  </w:style>
  <w:style w:type="paragraph" w:styleId="955" w:customStyle="1">
    <w:name w:val="标题 11"/>
    <w:basedOn w:val="723"/>
    <w:uiPriority w:val="9"/>
    <w:qFormat/>
    <w:pPr>
      <w:keepLines/>
      <w:keepNext/>
      <w:spacing w:before="340" w:after="330" w:line="578" w:lineRule="auto"/>
      <w:outlineLvl w:val="0"/>
    </w:pPr>
    <w:rPr>
      <w:b/>
      <w:bCs/>
      <w:sz w:val="44"/>
      <w:szCs w:val="44"/>
    </w:rPr>
  </w:style>
  <w:style w:type="paragraph" w:styleId="956" w:customStyle="1">
    <w:name w:val="标题 21"/>
    <w:basedOn w:val="72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7" w:customStyle="1">
    <w:name w:val="标题 31"/>
    <w:basedOn w:val="723"/>
    <w:uiPriority w:val="0"/>
    <w:qFormat/>
    <w:pPr>
      <w:keepLines/>
      <w:keepNext/>
      <w:spacing w:before="260" w:after="260" w:line="416" w:lineRule="auto"/>
      <w:outlineLvl w:val="2"/>
    </w:pPr>
    <w:rPr>
      <w:b/>
      <w:bCs/>
      <w:sz w:val="32"/>
      <w:szCs w:val="32"/>
    </w:rPr>
  </w:style>
  <w:style w:type="character" w:styleId="958" w:customStyle="1">
    <w:name w:val="默认段落字体1"/>
    <w:uiPriority w:val="1"/>
    <w:unhideWhenUsed/>
    <w:qFormat/>
  </w:style>
  <w:style w:type="table" w:styleId="959" w:customStyle="1">
    <w:name w:val="普通表格1"/>
    <w:uiPriority w:val="99"/>
    <w:unhideWhenUsed/>
    <w:qFormat/>
    <w:tblPr>
      <w:tblCellMar>
        <w:left w:w="0" w:type="dxa"/>
        <w:top w:w="0" w:type="dxa"/>
        <w:right w:w="0" w:type="dxa"/>
        <w:bottom w:w="0" w:type="dxa"/>
      </w:tblCellMar>
    </w:tblPr>
  </w:style>
  <w:style w:type="paragraph" w:styleId="960" w:customStyle="1">
    <w:name w:val="正文文本缩进1"/>
    <w:basedOn w:val="723"/>
    <w:uiPriority w:val="0"/>
    <w:qFormat/>
    <w:pPr>
      <w:ind w:left="420"/>
      <w:spacing w:after="120"/>
    </w:pPr>
    <w:rPr>
      <w:rFonts w:ascii="等线" w:hAnsi="等线" w:eastAsia="等线"/>
    </w:rPr>
  </w:style>
  <w:style w:type="paragraph" w:styleId="961" w:customStyle="1">
    <w:name w:val="寄信人地址1"/>
    <w:basedOn w:val="723"/>
    <w:uiPriority w:val="99"/>
    <w:unhideWhenUsed/>
    <w:qFormat/>
    <w:rPr>
      <w:rFonts w:ascii="Arial" w:hAnsi="Arial"/>
    </w:rPr>
  </w:style>
  <w:style w:type="paragraph" w:styleId="962" w:customStyle="1">
    <w:name w:val="正文缩进1"/>
    <w:basedOn w:val="723"/>
    <w:uiPriority w:val="0"/>
    <w:unhideWhenUsed/>
    <w:qFormat/>
    <w:pPr>
      <w:ind w:firstLine="420"/>
    </w:pPr>
  </w:style>
  <w:style w:type="paragraph" w:styleId="963" w:customStyle="1">
    <w:name w:val="批注文字1"/>
    <w:basedOn w:val="723"/>
    <w:link w:val="964"/>
    <w:uiPriority w:val="0"/>
    <w:qFormat/>
    <w:pPr>
      <w:jc w:val="left"/>
    </w:pPr>
  </w:style>
  <w:style w:type="character" w:styleId="964" w:customStyle="1">
    <w:name w:val="批注文字 Char"/>
    <w:link w:val="963"/>
    <w:uiPriority w:val="0"/>
    <w:qFormat/>
    <w:rPr>
      <w:rFonts w:ascii="Calibri" w:hAnsi="Calibri"/>
      <w:sz w:val="21"/>
      <w:szCs w:val="22"/>
    </w:rPr>
  </w:style>
  <w:style w:type="paragraph" w:styleId="965" w:customStyle="1">
    <w:name w:val="正文文本11"/>
    <w:basedOn w:val="723"/>
    <w:uiPriority w:val="0"/>
    <w:qFormat/>
    <w:rPr>
      <w:rFonts w:ascii="楷体_GB2312" w:hAnsi="Arial" w:eastAsia="楷体_GB2312"/>
      <w:sz w:val="28"/>
      <w:szCs w:val="28"/>
    </w:rPr>
  </w:style>
  <w:style w:type="paragraph" w:styleId="966" w:customStyle="1">
    <w:name w:val="标题1"/>
    <w:basedOn w:val="723"/>
    <w:uiPriority w:val="0"/>
    <w:qFormat/>
    <w:pPr>
      <w:jc w:val="center"/>
      <w:spacing w:before="240" w:after="60" w:line="360" w:lineRule="auto"/>
      <w:outlineLvl w:val="0"/>
    </w:pPr>
    <w:rPr>
      <w:rFonts w:ascii="宋体" w:hAnsi="宋体"/>
      <w:b/>
      <w:bCs/>
      <w:sz w:val="32"/>
      <w:szCs w:val="32"/>
    </w:rPr>
  </w:style>
  <w:style w:type="paragraph" w:styleId="967" w:customStyle="1">
    <w:name w:val="纯文本1"/>
    <w:basedOn w:val="723"/>
    <w:uiPriority w:val="99"/>
    <w:qFormat/>
    <w:rPr>
      <w:rFonts w:ascii="宋体" w:hAnsi="Courier New"/>
      <w:sz w:val="20"/>
      <w:szCs w:val="21"/>
    </w:rPr>
  </w:style>
  <w:style w:type="paragraph" w:styleId="968" w:customStyle="1">
    <w:name w:val="正文文本缩进 21"/>
    <w:basedOn w:val="723"/>
    <w:uiPriority w:val="0"/>
    <w:qFormat/>
    <w:pPr>
      <w:ind w:left="640"/>
      <w:spacing w:after="120" w:line="480" w:lineRule="auto"/>
    </w:pPr>
    <w:rPr>
      <w:rFonts w:eastAsia="仿宋_GB2312"/>
      <w:sz w:val="32"/>
      <w:szCs w:val="28"/>
    </w:rPr>
  </w:style>
  <w:style w:type="paragraph" w:styleId="969" w:customStyle="1">
    <w:name w:val="批注框文本1"/>
    <w:basedOn w:val="723"/>
    <w:link w:val="970"/>
    <w:uiPriority w:val="0"/>
    <w:qFormat/>
    <w:rPr>
      <w:sz w:val="18"/>
      <w:szCs w:val="18"/>
    </w:rPr>
  </w:style>
  <w:style w:type="character" w:styleId="970" w:customStyle="1">
    <w:name w:val="批注框文本 Char"/>
    <w:link w:val="969"/>
    <w:uiPriority w:val="0"/>
    <w:qFormat/>
    <w:rPr>
      <w:sz w:val="18"/>
      <w:szCs w:val="18"/>
    </w:rPr>
  </w:style>
  <w:style w:type="paragraph" w:styleId="971" w:customStyle="1">
    <w:name w:val="页脚1"/>
    <w:basedOn w:val="723"/>
    <w:uiPriority w:val="99"/>
    <w:unhideWhenUsed/>
    <w:qFormat/>
    <w:pPr>
      <w:jc w:val="left"/>
      <w:tabs>
        <w:tab w:val="center" w:pos="4153" w:leader="none"/>
        <w:tab w:val="right" w:pos="8306" w:leader="none"/>
      </w:tabs>
    </w:pPr>
    <w:rPr>
      <w:sz w:val="18"/>
      <w:szCs w:val="18"/>
    </w:rPr>
  </w:style>
  <w:style w:type="paragraph" w:styleId="972" w:customStyle="1">
    <w:name w:val="页眉1"/>
    <w:basedOn w:val="72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73" w:customStyle="1">
    <w:name w:val="目录 11"/>
    <w:basedOn w:val="723"/>
    <w:uiPriority w:val="39"/>
    <w:unhideWhenUsed/>
    <w:qFormat/>
  </w:style>
  <w:style w:type="paragraph" w:styleId="974" w:customStyle="1">
    <w:name w:val="目录 21"/>
    <w:basedOn w:val="723"/>
    <w:uiPriority w:val="0"/>
    <w:qFormat/>
    <w:pPr>
      <w:ind w:left="420"/>
    </w:pPr>
  </w:style>
  <w:style w:type="paragraph" w:styleId="975" w:customStyle="1">
    <w:name w:val="正文文本 21"/>
    <w:basedOn w:val="723"/>
    <w:uiPriority w:val="0"/>
    <w:qFormat/>
    <w:pPr>
      <w:spacing w:after="120" w:line="480" w:lineRule="auto"/>
    </w:pPr>
  </w:style>
  <w:style w:type="paragraph" w:styleId="976" w:customStyle="1">
    <w:name w:val="信息标题1"/>
    <w:basedOn w:val="723"/>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77" w:customStyle="1">
    <w:name w:val="普通(网站)1"/>
    <w:basedOn w:val="723"/>
    <w:uiPriority w:val="0"/>
    <w:qFormat/>
    <w:rPr>
      <w:rFonts w:ascii="Times New Roman" w:hAnsi="Times New Roman"/>
      <w:sz w:val="24"/>
    </w:rPr>
  </w:style>
  <w:style w:type="paragraph" w:styleId="978" w:customStyle="1">
    <w:name w:val="批注主题1"/>
    <w:basedOn w:val="963"/>
    <w:link w:val="979"/>
    <w:uiPriority w:val="0"/>
    <w:qFormat/>
    <w:rPr>
      <w:b/>
      <w:bCs/>
    </w:rPr>
  </w:style>
  <w:style w:type="character" w:styleId="979" w:customStyle="1">
    <w:name w:val="批注主题 Char"/>
    <w:link w:val="978"/>
    <w:uiPriority w:val="0"/>
    <w:qFormat/>
    <w:rPr>
      <w:rFonts w:ascii="Calibri" w:hAnsi="Calibri"/>
      <w:b/>
      <w:bCs/>
      <w:sz w:val="21"/>
      <w:szCs w:val="22"/>
    </w:rPr>
  </w:style>
  <w:style w:type="paragraph" w:styleId="980" w:customStyle="1">
    <w:name w:val="正文首行缩进 21"/>
    <w:basedOn w:val="960"/>
    <w:uiPriority w:val="0"/>
    <w:qFormat/>
    <w:pPr>
      <w:ind w:firstLine="420"/>
      <w:spacing w:before="100" w:beforeAutospacing="1"/>
    </w:pPr>
    <w:rPr>
      <w:rFonts w:ascii="Times New Roman" w:hAnsi="Times New Roman" w:eastAsia="宋体"/>
      <w:sz w:val="20"/>
      <w:szCs w:val="21"/>
    </w:rPr>
  </w:style>
  <w:style w:type="table" w:styleId="981" w:customStyle="1">
    <w:name w:val="网格型1"/>
    <w:basedOn w:val="959"/>
    <w:uiPriority w:val="0"/>
    <w:qFormat/>
    <w:pPr>
      <w:jc w:val="both"/>
      <w:widowControl w:val="off"/>
    </w:pPr>
    <w:tblPr/>
  </w:style>
  <w:style w:type="character" w:styleId="982" w:customStyle="1">
    <w:name w:val="要点1"/>
    <w:uiPriority w:val="0"/>
    <w:qFormat/>
    <w:rPr>
      <w:b/>
    </w:rPr>
  </w:style>
  <w:style w:type="character" w:styleId="983" w:customStyle="1">
    <w:name w:val="强调1"/>
    <w:uiPriority w:val="0"/>
    <w:qFormat/>
    <w:rPr>
      <w:i/>
    </w:rPr>
  </w:style>
  <w:style w:type="character" w:styleId="984" w:customStyle="1">
    <w:name w:val="超链接1"/>
    <w:uiPriority w:val="0"/>
    <w:qFormat/>
    <w:rPr>
      <w:color w:val="0000ff"/>
      <w:u w:val="single"/>
    </w:rPr>
  </w:style>
  <w:style w:type="character" w:styleId="985" w:customStyle="1">
    <w:name w:val="批注引用1"/>
    <w:uiPriority w:val="0"/>
    <w:qFormat/>
    <w:rPr>
      <w:sz w:val="21"/>
      <w:szCs w:val="21"/>
    </w:rPr>
  </w:style>
  <w:style w:type="paragraph" w:styleId="986" w:customStyle="1">
    <w:name w:val="正文（缩进）"/>
    <w:basedOn w:val="723"/>
    <w:uiPriority w:val="0"/>
    <w:qFormat/>
    <w:pPr>
      <w:ind w:firstLine="480"/>
      <w:spacing w:before="156" w:after="156"/>
    </w:pPr>
  </w:style>
  <w:style w:type="paragraph" w:styleId="987" w:customStyle="1">
    <w:name w:val="正文1"/>
    <w:basedOn w:val="723"/>
    <w:uiPriority w:val="0"/>
    <w:qFormat/>
    <w:pPr>
      <w:jc w:val="left"/>
      <w:spacing w:line="360" w:lineRule="atLeast"/>
    </w:pPr>
    <w:rPr>
      <w:rFonts w:ascii="宋体" w:cs="Arial"/>
      <w:sz w:val="24"/>
      <w:szCs w:val="20"/>
    </w:rPr>
  </w:style>
  <w:style w:type="paragraph" w:styleId="988" w:customStyle="1">
    <w:name w:val="正文文本1"/>
    <w:basedOn w:val="987"/>
    <w:uiPriority w:val="0"/>
    <w:qFormat/>
    <w:pPr>
      <w:spacing w:after="120"/>
    </w:pPr>
    <w:rPr>
      <w:lang w:eastAsia="en-US"/>
    </w:rPr>
  </w:style>
  <w:style w:type="paragraph" w:styleId="989" w:customStyle="1">
    <w:name w:val="一级条标题"/>
    <w:basedOn w:val="99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0" w:customStyle="1">
    <w:name w:val="章标题"/>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91" w:customStyle="1">
    <w:name w:val="段"/>
    <w:basedOn w:val="987"/>
    <w:uiPriority w:val="0"/>
    <w:qFormat/>
    <w:pPr>
      <w:ind w:firstLine="200"/>
      <w:widowControl/>
    </w:pPr>
    <w:rPr>
      <w:sz w:val="20"/>
    </w:rPr>
  </w:style>
  <w:style w:type="paragraph" w:styleId="992" w:customStyle="1">
    <w:name w:val="普通正文"/>
    <w:basedOn w:val="723"/>
    <w:uiPriority w:val="0"/>
    <w:qFormat/>
    <w:pPr>
      <w:ind w:firstLine="480"/>
      <w:jc w:val="left"/>
      <w:spacing w:before="120" w:after="120" w:line="360" w:lineRule="auto"/>
    </w:pPr>
    <w:rPr>
      <w:rFonts w:ascii="Arial" w:hAnsi="Arial"/>
      <w:sz w:val="24"/>
      <w:szCs w:val="24"/>
    </w:rPr>
  </w:style>
  <w:style w:type="paragraph" w:styleId="993" w:customStyle="1">
    <w:name w:val="Char"/>
    <w:basedOn w:val="723"/>
    <w:uiPriority w:val="0"/>
    <w:qFormat/>
    <w:pPr>
      <w:ind w:firstLine="200"/>
      <w:tabs>
        <w:tab w:val="left" w:pos="360" w:leader="none"/>
      </w:tabs>
    </w:pPr>
    <w:rPr>
      <w:rFonts w:ascii="Times New Roman" w:hAnsi="Times New Roman"/>
      <w:sz w:val="28"/>
      <w:szCs w:val="30"/>
    </w:rPr>
  </w:style>
  <w:style w:type="paragraph" w:styleId="994" w:customStyle="1">
    <w:name w:val="Table Paragraph"/>
    <w:basedOn w:val="723"/>
    <w:uiPriority w:val="1"/>
    <w:qFormat/>
    <w:rPr>
      <w:rFonts w:ascii="Noto Sans CJK JP Regular" w:hAnsi="Noto Sans CJK JP Regular" w:eastAsia="Noto Sans CJK JP Regular" w:cs="Noto Sans CJK JP Regular"/>
    </w:rPr>
  </w:style>
  <w:style w:type="paragraph" w:styleId="995" w:customStyle="1">
    <w:name w:val="正文（1）"/>
    <w:basedOn w:val="723"/>
    <w:uiPriority w:val="0"/>
    <w:qFormat/>
    <w:pPr>
      <w:numPr>
        <w:ilvl w:val="0"/>
        <w:numId w:val="1"/>
      </w:numPr>
      <w:ind w:firstLine="200"/>
    </w:pPr>
    <w:rPr>
      <w:szCs w:val="24"/>
    </w:rPr>
  </w:style>
  <w:style w:type="paragraph" w:styleId="996" w:customStyle="1">
    <w:name w:val="朱-正文"/>
    <w:basedOn w:val="723"/>
    <w:uiPriority w:val="0"/>
    <w:qFormat/>
    <w:pPr>
      <w:ind w:firstLine="200"/>
    </w:pPr>
    <w:rPr>
      <w:rFonts w:ascii="Times New Roman"/>
      <w:color w:val="000000"/>
      <w:szCs w:val="24"/>
      <w:lang w:val="en-GB"/>
    </w:rPr>
  </w:style>
  <w:style w:type="paragraph" w:styleId="997" w:customStyle="1">
    <w:name w:val="GP正文(首行缩进)"/>
    <w:basedOn w:val="723"/>
    <w:uiPriority w:val="0"/>
    <w:qFormat/>
    <w:pPr>
      <w:ind w:firstLine="480"/>
      <w:jc w:val="left"/>
    </w:pPr>
    <w:rPr>
      <w:rFonts w:ascii="Times New Roman" w:hAnsi="宋体"/>
      <w:sz w:val="24"/>
      <w:szCs w:val="24"/>
    </w:rPr>
  </w:style>
  <w:style w:type="character" w:styleId="998" w:customStyle="1">
    <w:name w:val="font71"/>
    <w:uiPriority w:val="0"/>
    <w:qFormat/>
    <w:rPr>
      <w:rFonts w:hint="eastAsia" w:ascii="宋体" w:hAnsi="宋体" w:eastAsia="宋体" w:cs="宋体"/>
      <w:color w:val="ff0000"/>
      <w:sz w:val="21"/>
      <w:szCs w:val="21"/>
      <w:u w:val="none"/>
    </w:rPr>
  </w:style>
  <w:style w:type="character" w:styleId="999" w:customStyle="1">
    <w:name w:val="font41"/>
    <w:uiPriority w:val="0"/>
    <w:qFormat/>
    <w:rPr>
      <w:rFonts w:hint="eastAsia" w:ascii="宋体" w:hAnsi="宋体" w:eastAsia="宋体" w:cs="宋体"/>
      <w:color w:val="000000"/>
      <w:sz w:val="21"/>
      <w:szCs w:val="21"/>
      <w:u w:val="none"/>
    </w:rPr>
  </w:style>
  <w:style w:type="paragraph" w:styleId="1000" w:customStyle="1">
    <w:name w:val="列出段落"/>
    <w:basedOn w:val="723"/>
    <w:uiPriority w:val="0"/>
    <w:qFormat/>
    <w:pPr>
      <w:ind w:firstLine="420"/>
    </w:pPr>
  </w:style>
  <w:style w:type="paragraph" w:styleId="1001" w:customStyle="1">
    <w:name w:val="列出段落2"/>
    <w:basedOn w:val="723"/>
    <w:uiPriority w:val="34"/>
    <w:qFormat/>
    <w:pPr>
      <w:ind w:firstLine="420"/>
    </w:pPr>
    <w:rPr>
      <w:rFonts w:ascii="宋体"/>
      <w:color w:val="404040"/>
    </w:rPr>
  </w:style>
  <w:style w:type="paragraph" w:styleId="1002" w:customStyle="1">
    <w:name w:val="列表段落1"/>
    <w:basedOn w:val="723"/>
    <w:uiPriority w:val="0"/>
    <w:qFormat/>
    <w:pPr>
      <w:ind w:firstLine="200"/>
    </w:pPr>
    <w:rPr>
      <w:rFonts w:cs="宋体"/>
    </w:rPr>
  </w:style>
  <w:style w:type="character" w:styleId="1003" w:customStyle="1">
    <w:name w:val="font51"/>
    <w:uiPriority w:val="0"/>
    <w:qFormat/>
    <w:rPr>
      <w:rFonts w:hint="eastAsia" w:ascii="宋体" w:hAnsi="宋体" w:eastAsia="宋体" w:cs="宋体"/>
      <w:color w:val="000000"/>
      <w:sz w:val="24"/>
      <w:szCs w:val="24"/>
      <w:u w:val="none"/>
      <w:vertAlign w:val="subscript"/>
    </w:rPr>
  </w:style>
  <w:style w:type="character" w:styleId="1004" w:customStyle="1">
    <w:name w:val="font61"/>
    <w:uiPriority w:val="0"/>
    <w:qFormat/>
    <w:rPr>
      <w:rFonts w:hint="eastAsia" w:ascii="宋体" w:hAnsi="宋体" w:eastAsia="宋体" w:cs="宋体"/>
      <w:color w:val="000000"/>
      <w:sz w:val="24"/>
      <w:szCs w:val="24"/>
      <w:u w:val="none"/>
    </w:rPr>
  </w:style>
  <w:style w:type="character" w:styleId="1005" w:customStyle="1">
    <w:name w:val="font01"/>
    <w:uiPriority w:val="0"/>
    <w:qFormat/>
    <w:rPr>
      <w:rFonts w:hint="eastAsia" w:ascii="宋体" w:hAnsi="宋体" w:eastAsia="宋体" w:cs="宋体"/>
      <w:color w:val="000000"/>
      <w:sz w:val="24"/>
      <w:szCs w:val="24"/>
      <w:u w:val="none"/>
    </w:rPr>
  </w:style>
  <w:style w:type="character" w:styleId="1006" w:customStyle="1">
    <w:name w:val="font81"/>
    <w:uiPriority w:val="0"/>
    <w:qFormat/>
    <w:rPr>
      <w:rFonts w:ascii="微软雅黑" w:hAnsi="微软雅黑" w:eastAsia="微软雅黑" w:cs="微软雅黑"/>
      <w:color w:val="000000"/>
      <w:sz w:val="24"/>
      <w:szCs w:val="24"/>
      <w:u w:val="none"/>
    </w:rPr>
  </w:style>
  <w:style w:type="character" w:styleId="1007" w:customStyle="1">
    <w:name w:val="font91"/>
    <w:uiPriority w:val="0"/>
    <w:qFormat/>
    <w:rPr>
      <w:rFonts w:ascii="Segoe UI Symbol" w:hAnsi="Segoe UI Symbol" w:eastAsia="Segoe UI Symbol" w:cs="Segoe UI Symbol"/>
      <w:color w:val="000000"/>
      <w:sz w:val="24"/>
      <w:szCs w:val="24"/>
      <w:u w:val="none"/>
    </w:rPr>
  </w:style>
  <w:style w:type="character" w:styleId="1008" w:customStyle="1">
    <w:name w:val="font101"/>
    <w:uiPriority w:val="0"/>
    <w:qFormat/>
    <w:rPr>
      <w:rFonts w:ascii="Calibri" w:hAnsi="Calibri" w:cs="Calibri"/>
      <w:color w:val="000000"/>
      <w:sz w:val="24"/>
      <w:szCs w:val="24"/>
      <w:u w:val="none"/>
    </w:rPr>
  </w:style>
  <w:style w:type="paragraph" w:styleId="1009"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010" w:customStyle="1">
    <w:name w:val="TableEmphasis"/>
    <w:basedOn w:val="723"/>
    <w:uiPriority w:val="0"/>
    <w:qFormat/>
    <w:rPr>
      <w:rFonts w:ascii="Times New Roman" w:hAnsi="Times New Roman" w:eastAsia="Times New Roman"/>
      <w:b/>
      <w:bCs/>
      <w:color w:val="3333ff"/>
      <w:sz w:val="16"/>
      <w:szCs w:val="18"/>
    </w:rPr>
  </w:style>
  <w:style w:type="paragraph" w:styleId="1011" w:customStyle="1">
    <w:name w:val="修订1"/>
    <w:uiPriority w:val="99"/>
    <w:unhideWhenUsed/>
    <w:qFormat/>
    <w:rPr>
      <w:rFonts w:hint="default" w:ascii="Calibri" w:hAnsi="Calibri" w:eastAsia="宋体" w:cs="Times New Roman"/>
      <w:sz w:val="21"/>
      <w:szCs w:val="22"/>
      <w:lang w:val="en-US" w:eastAsia="zh-CN" w:bidi="ar-SA"/>
    </w:rPr>
  </w:style>
  <w:style w:type="paragraph" w:styleId="1012" w:customStyle="1">
    <w:name w:val="修订2"/>
    <w:uiPriority w:val="99"/>
    <w:semiHidden/>
    <w:qFormat/>
    <w:rPr>
      <w:rFonts w:hint="default" w:ascii="Calibri" w:hAnsi="Calibri" w:eastAsia="宋体" w:cs="Times New Roman"/>
      <w:sz w:val="21"/>
      <w:szCs w:val="22"/>
      <w:lang w:val="en-US" w:eastAsia="zh-CN" w:bidi="ar-SA"/>
    </w:rPr>
  </w:style>
  <w:style w:type="character" w:styleId="1013" w:customStyle="1">
    <w:name w:val="font11"/>
    <w:uiPriority w:val="0"/>
    <w:qFormat/>
    <w:rPr>
      <w:rFonts w:hint="eastAsia" w:ascii="宋体" w:hAnsi="宋体" w:eastAsia="宋体" w:cs="宋体"/>
      <w:color w:val="000000"/>
      <w:sz w:val="24"/>
      <w:szCs w:val="24"/>
      <w:u w:val="none"/>
    </w:rPr>
  </w:style>
  <w:style w:type="character" w:styleId="1014" w:customStyle="1">
    <w:name w:val="font21"/>
    <w:uiPriority w:val="0"/>
    <w:qFormat/>
    <w:rPr>
      <w:rFonts w:ascii="Segoe UI Symbol" w:hAnsi="Segoe UI Symbol" w:eastAsia="Segoe UI Symbol" w:cs="Segoe UI Symbol"/>
      <w:color w:val="000000"/>
      <w:sz w:val="24"/>
      <w:szCs w:val="24"/>
      <w:u w:val="none"/>
    </w:rPr>
  </w:style>
  <w:style w:type="character" w:styleId="1015" w:customStyle="1">
    <w:name w:val="NormalCharacter1"/>
    <w:uiPriority w:val="0"/>
    <w:semiHidden/>
    <w:qFormat/>
  </w:style>
  <w:style w:type="character" w:styleId="1016" w:customStyle="1">
    <w:name w:val="font31"/>
    <w:uiPriority w:val="0"/>
    <w:qFormat/>
    <w:rPr>
      <w:rFonts w:hint="eastAsia" w:ascii="宋体" w:hAnsi="宋体" w:eastAsia="宋体" w:cs="宋体"/>
      <w:color w:val="000000"/>
      <w:sz w:val="21"/>
      <w:szCs w:val="21"/>
      <w:u w:val="none"/>
    </w:rPr>
  </w:style>
  <w:style w:type="paragraph" w:styleId="1017" w:customStyle="1">
    <w:name w:val="无间隔1"/>
    <w:uiPriority w:val="1"/>
    <w:qFormat/>
    <w:rPr>
      <w:rFonts w:hint="default" w:ascii="Times New Roman" w:hAnsi="Times New Roman" w:eastAsia="宋体" w:cs="Times New Roman"/>
      <w:lang w:val="en-US" w:eastAsia="zh-CN" w:bidi="ar-SA"/>
    </w:rPr>
  </w:style>
  <w:style w:type="paragraph" w:styleId="1018" w:customStyle="1">
    <w:name w:val="索引 41"/>
    <w:basedOn w:val="723"/>
    <w:uiPriority w:val="99"/>
    <w:unhideWhenUsed/>
    <w:qFormat/>
    <w:pPr>
      <w:ind w:left="600"/>
    </w:pPr>
    <w:rPr>
      <w:rFonts w:ascii="Verdana" w:hAnsi="Verdana" w:eastAsia="微软雅黑"/>
      <w:szCs w:val="20"/>
    </w:rPr>
  </w:style>
  <w:style w:type="paragraph" w:styleId="1019" w:customStyle="1">
    <w:name w:val="首行缩进"/>
    <w:basedOn w:val="723"/>
    <w:uiPriority w:val="0"/>
    <w:qFormat/>
    <w:pPr>
      <w:ind w:firstLine="420"/>
      <w:spacing w:line="360" w:lineRule="auto"/>
    </w:pPr>
  </w:style>
  <w:style w:type="paragraph" w:styleId="1020" w:customStyle="1">
    <w:name w:val="表格文字"/>
    <w:basedOn w:val="723"/>
    <w:uiPriority w:val="0"/>
    <w:qFormat/>
    <w:rPr>
      <w:rFonts w:cs="宋体"/>
      <w:spacing w:val="2"/>
      <w:szCs w:val="21"/>
      <w:lang w:eastAsia="en-US"/>
    </w:rPr>
  </w:style>
  <w:style w:type="paragraph" w:styleId="1021" w:customStyle="1">
    <w:name w:val="修订3"/>
    <w:uiPriority w:val="99"/>
    <w:unhideWhenUsed/>
    <w:qFormat/>
    <w:rPr>
      <w:rFonts w:hint="default" w:ascii="Calibri" w:hAnsi="Calibri" w:eastAsia="宋体" w:cs="Times New Roman"/>
      <w:sz w:val="21"/>
      <w:szCs w:val="22"/>
      <w:lang w:val="en-US" w:eastAsia="zh-CN" w:bidi="ar-SA"/>
    </w:rPr>
  </w:style>
  <w:style w:type="paragraph" w:styleId="1022" w:customStyle="1">
    <w:name w:val="修订4"/>
    <w:uiPriority w:val="99"/>
    <w:unhideWhenUsed/>
    <w:qFormat/>
    <w:rPr>
      <w:rFonts w:hint="default" w:ascii="Calibri" w:hAnsi="Calibri" w:eastAsia="宋体" w:cs="Times New Roman"/>
      <w:sz w:val="21"/>
      <w:szCs w:val="22"/>
      <w:lang w:val="en-US" w:eastAsia="zh-CN" w:bidi="ar-SA"/>
    </w:rPr>
  </w:style>
  <w:style w:type="paragraph" w:styleId="1023" w:customStyle="1">
    <w:name w:val="修订5"/>
    <w:uiPriority w:val="99"/>
    <w:unhideWhenUsed/>
    <w:qFormat/>
    <w:rPr>
      <w:rFonts w:hint="default" w:ascii="Calibri" w:hAnsi="Calibri" w:eastAsia="宋体" w:cs="Times New Roman"/>
      <w:sz w:val="21"/>
      <w:szCs w:val="22"/>
      <w:lang w:val="en-US" w:eastAsia="zh-CN" w:bidi="ar-SA"/>
    </w:rPr>
  </w:style>
  <w:style w:type="paragraph" w:styleId="1024" w:customStyle="1">
    <w:name w:val="修订6"/>
    <w:uiPriority w:val="99"/>
    <w:unhideWhenUsed/>
    <w:qFormat/>
    <w:rPr>
      <w:rFonts w:hint="default" w:ascii="Calibri" w:hAnsi="Calibri" w:eastAsia="宋体" w:cs="Times New Roman"/>
      <w:sz w:val="21"/>
      <w:szCs w:val="22"/>
      <w:lang w:val="en-US" w:eastAsia="zh-CN" w:bidi="ar-SA"/>
    </w:rPr>
  </w:style>
  <w:style w:type="character" w:styleId="1025" w:customStyle="1">
    <w:name w:val="批注文字 字符"/>
    <w:basedOn w:val="733"/>
    <w:link w:val="737"/>
    <w:uiPriority w:val="99"/>
    <w:qFormat/>
    <w:rPr>
      <w:rFonts w:ascii="Calibri" w:hAnsi="Calibri"/>
      <w:sz w:val="21"/>
      <w:szCs w:val="22"/>
    </w:rPr>
  </w:style>
  <w:style w:type="character" w:styleId="1026" w:customStyle="1">
    <w:name w:val="批注主题 字符"/>
    <w:basedOn w:val="1025"/>
    <w:link w:val="760"/>
    <w:uiPriority w:val="99"/>
    <w:semiHidden/>
    <w:qFormat/>
    <w:rPr>
      <w:rFonts w:ascii="Calibri" w:hAnsi="Calibri"/>
      <w:b/>
      <w:bCs/>
      <w:sz w:val="21"/>
      <w:szCs w:val="22"/>
    </w:rPr>
  </w:style>
  <w:style w:type="paragraph" w:styleId="1027" w:customStyle="1">
    <w:name w:val="Revision"/>
    <w:uiPriority w:val="99"/>
    <w:unhideWhenUsed/>
    <w:qFormat/>
    <w:rPr>
      <w:rFonts w:hint="default" w:ascii="Calibri" w:hAnsi="Calibri" w:eastAsia="宋体" w:cs="Times New Roman"/>
      <w:sz w:val="21"/>
      <w:szCs w:val="22"/>
      <w:lang w:val="en-US" w:eastAsia="zh-CN" w:bidi="ar-SA"/>
    </w:rPr>
  </w:style>
  <w:style w:type="table" w:styleId="1028" w:customStyle="1">
    <w:name w:val="table"/>
    <w:basedOn w:val="734"/>
    <w:uiPriority w:val="0"/>
    <w:qFormat/>
    <w:rPr>
      <w:rFonts w:eastAsiaTheme="minorEastAsia"/>
    </w:rPr>
    <w:tblPr/>
  </w:style>
  <w:style w:type="paragraph" w:styleId="1029" w:customStyle="1">
    <w:name w:val="p0"/>
    <w:basedOn w:val="723"/>
    <w:uiPriority w:val="0"/>
    <w:qFormat/>
    <w:pPr>
      <w:jc w:val="left"/>
      <w:spacing w:before="100" w:beforeAutospacing="1" w:after="100" w:afterAutospacing="1"/>
      <w:widowControl/>
    </w:pPr>
    <w:rPr>
      <w:rFonts w:ascii="Cambria" w:hAnsi="Cambria" w:cs="Cambria"/>
      <w:sz w:val="24"/>
      <w:szCs w:val="24"/>
    </w:rPr>
  </w:style>
  <w:style w:type="numbering" w:styleId="121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jpg"/><Relationship Id="rId17" Type="http://schemas.openxmlformats.org/officeDocument/2006/relationships/image" Target="media/image3.jpg"/><Relationship Id="rId18" Type="http://schemas.openxmlformats.org/officeDocument/2006/relationships/image" Target="media/image4.jp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jpg"/><Relationship Id="rId26" Type="http://schemas.openxmlformats.org/officeDocument/2006/relationships/image" Target="media/image12.png"/><Relationship Id="rId27"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atMod val="105000"/>
              <a:shade val="9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高鑫</cp:lastModifiedBy>
  <cp:revision>86</cp:revision>
  <dcterms:created xsi:type="dcterms:W3CDTF">2024-11-07T06:15:00Z</dcterms:created>
  <dcterms:modified xsi:type="dcterms:W3CDTF">2026-07-24T03:37:12Z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565681A5EB474C4894CBD82077CD80F6_13</vt:lpwstr>
  </property>
  <property fmtid="{D5CDD505-2E9C-101B-9397-08002B2CF9AE}" pid="4" name="KSOTemplateDocerSaveRecord">
    <vt:lpwstr>eyJoZGlkIjoiNzYzNmYzOGJiMjEzNGNjZTMzMjNlYjhhYzg0YjJlYjgiLCJ1c2VySWQiOiIxNzgwNTUzMyJ9</vt:lpwstr>
  </property>
</Properties>
</file>