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sz w:val="28"/>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sz w:val="36"/>
          <w:szCs w:val="36"/>
          <w:highlight w:val="none"/>
          <w:lang w:eastAsia="zh-CN"/>
        </w:rPr>
      </w:pPr>
      <w:r>
        <w:rPr>
          <w:rFonts w:hint="eastAsia" w:ascii="宋体" w:hAnsi="宋体" w:cs="宋体"/>
          <w:b/>
          <w:bCs/>
          <w:sz w:val="36"/>
          <w:szCs w:val="36"/>
          <w:highlight w:val="none"/>
        </w:rPr>
        <w:t xml:space="preserve">编号</w:t>
      </w:r>
      <w:r>
        <w:rPr>
          <w:rFonts w:hint="eastAsia" w:ascii="宋体" w:hAnsi="宋体" w:cs="宋体"/>
          <w:b/>
          <w:bCs/>
          <w:sz w:val="36"/>
          <w:szCs w:val="36"/>
          <w:highlight w:val="none"/>
        </w:rPr>
        <w:t xml:space="preserve">：</w:t>
      </w:r>
      <w:r>
        <w:rPr>
          <w:rFonts w:hint="eastAsia" w:ascii="宋体" w:hAnsi="宋体" w:cs="宋体"/>
          <w:b/>
          <w:bCs/>
          <w:sz w:val="36"/>
          <w:szCs w:val="36"/>
          <w:highlight w:val="none"/>
          <w:lang w:eastAsia="zh-CN"/>
        </w:rPr>
        <w:t xml:space="preserve">JSZC-321002-ZYCG-C2026-0013号</w:t>
      </w:r>
      <w:r/>
    </w:p>
    <w:p>
      <w:pPr>
        <w:jc w:val="center"/>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r>
      <w:r/>
    </w:p>
    <w:p>
      <w:pPr>
        <w:jc w:val="center"/>
        <w:spacing w:line="360" w:lineRule="auto"/>
        <w:rPr>
          <w:rFonts w:hint="eastAsia" w:ascii="宋体" w:hAnsi="宋体" w:eastAsia="宋体" w:cs="宋体"/>
          <w:b/>
          <w:bCs/>
          <w:sz w:val="40"/>
          <w:szCs w:val="40"/>
          <w:highlight w:val="none"/>
          <w:lang w:eastAsia="zh-CN"/>
        </w:rPr>
      </w:pPr>
      <w:r>
        <w:rPr>
          <w:rFonts w:hint="eastAsia" w:ascii="宋体" w:hAnsi="宋体" w:cs="宋体"/>
          <w:b/>
          <w:bCs/>
          <w:sz w:val="40"/>
          <w:szCs w:val="40"/>
          <w:highlight w:val="none"/>
          <w:lang w:eastAsia="zh-CN"/>
        </w:rPr>
        <w:t xml:space="preserve">扬州明清古城汶河路西侧、南门片区街区详细规划及广陵区特色产业空间布局规划编制项目</w:t>
      </w:r>
      <w:r/>
    </w:p>
    <w:p>
      <w:pPr>
        <w:jc w:val="center"/>
        <w:spacing w:line="360" w:lineRule="auto"/>
        <w:rPr>
          <w:rFonts w:hint="eastAsia" w:ascii="宋体" w:hAnsi="宋体" w:cs="宋体"/>
          <w:b/>
          <w:bCs/>
          <w:sz w:val="40"/>
          <w:szCs w:val="40"/>
          <w:highlight w:val="none"/>
        </w:rPr>
      </w:pPr>
      <w:r>
        <w:rPr>
          <w:rFonts w:hint="eastAsia" w:ascii="宋体" w:hAnsi="宋体" w:cs="宋体"/>
          <w:b/>
          <w:bCs/>
          <w:sz w:val="40"/>
          <w:szCs w:val="40"/>
          <w:highlight w:val="none"/>
        </w:rPr>
      </w:r>
      <w:r/>
    </w:p>
    <w:p>
      <w:pPr>
        <w:jc w:val="center"/>
        <w:spacing w:line="360" w:lineRule="auto"/>
        <w:rPr>
          <w:rFonts w:hint="eastAsia" w:ascii="宋体" w:hAnsi="宋体" w:cs="宋体"/>
          <w:b/>
          <w:bCs/>
          <w:sz w:val="44"/>
          <w:szCs w:val="44"/>
          <w:highlight w:val="none"/>
        </w:rPr>
      </w:pPr>
      <w:r>
        <w:rPr>
          <w:rFonts w:hint="eastAsia" w:ascii="宋体" w:hAnsi="宋体" w:cs="宋体"/>
          <w:b/>
          <w:bCs/>
          <w:sz w:val="44"/>
          <w:szCs w:val="44"/>
          <w:highlight w:val="none"/>
        </w:rPr>
        <w:t xml:space="preserve">竞争性磋商文件</w:t>
      </w:r>
      <w:r/>
    </w:p>
    <w:p>
      <w:pPr>
        <w:pStyle w:val="892"/>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pStyle w:val="1056"/>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sz w:val="36"/>
          <w:highlight w:val="none"/>
        </w:rPr>
      </w:pPr>
      <w:r>
        <w:rPr>
          <w:rFonts w:hint="eastAsia" w:ascii="宋体" w:hAnsi="宋体" w:cs="宋体"/>
          <w:sz w:val="36"/>
          <w:highlight w:val="none"/>
        </w:rPr>
      </w:r>
      <w:r/>
    </w:p>
    <w:p>
      <w:pP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36"/>
          <w:highlight w:val="none"/>
        </w:rPr>
      </w:pPr>
      <w:r>
        <w:rPr>
          <w:rFonts w:hint="eastAsia" w:ascii="宋体" w:hAnsi="宋体" w:cs="宋体"/>
          <w:sz w:val="36"/>
          <w:highlight w:val="none"/>
        </w:rPr>
      </w:r>
      <w:r/>
    </w:p>
    <w:p>
      <w:pPr>
        <w:jc w:val="center"/>
        <w:rPr>
          <w:rFonts w:hint="eastAsia" w:ascii="宋体" w:hAnsi="宋体" w:cs="宋体"/>
          <w:b/>
          <w:bCs/>
          <w:sz w:val="36"/>
          <w:szCs w:val="36"/>
          <w:highlight w:val="none"/>
        </w:rPr>
      </w:pPr>
      <w:r>
        <w:rPr>
          <w:rFonts w:hint="eastAsia" w:ascii="宋体" w:hAnsi="宋体" w:cs="宋体"/>
          <w:b/>
          <w:bCs/>
          <w:sz w:val="36"/>
          <w:szCs w:val="36"/>
          <w:highlight w:val="none"/>
        </w:rPr>
        <w:t xml:space="preserve">扬州筑苑工程招标咨询有限公司</w:t>
      </w:r>
      <w:r/>
    </w:p>
    <w:p>
      <w:pPr>
        <w:ind w:firstLine="2025"/>
        <w:rPr>
          <w:rFonts w:hint="eastAsia" w:ascii="宋体" w:hAnsi="宋体" w:cs="宋体"/>
          <w:b/>
          <w:bCs/>
          <w:sz w:val="32"/>
          <w:szCs w:val="32"/>
          <w:highlight w:val="none"/>
        </w:rPr>
      </w:pPr>
      <w:r/>
      <w:bookmarkStart w:id="3" w:name="EB59c3faf64f2a4bd092a206fb1d0c3c03"/>
      <w:r>
        <w:rPr>
          <w:rFonts w:hint="eastAsia" w:ascii="宋体" w:hAnsi="宋体" w:cs="宋体"/>
          <w:b/>
          <w:bCs/>
          <w:sz w:val="32"/>
          <w:szCs w:val="32"/>
          <w:highlight w:val="none"/>
        </w:rPr>
        <w:t xml:space="preserve"> </w:t>
      </w:r>
      <w:bookmarkEnd w:id="3"/>
      <w:r/>
      <w:r/>
    </w:p>
    <w:p>
      <w:pPr>
        <w:jc w:val="center"/>
        <w:rPr>
          <w:rFonts w:hint="eastAsia" w:ascii="宋体" w:hAnsi="宋体" w:eastAsia="宋体" w:cs="宋体"/>
          <w:highlight w:val="none"/>
          <w:lang w:eastAsia="zh-CN"/>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6"/>
          <w:szCs w:val="36"/>
          <w:highlight w:val="none"/>
          <w:lang w:eastAsia="zh-CN"/>
        </w:rPr>
        <w:t xml:space="preserve">2026年7月</w:t>
      </w:r>
      <w:r>
        <w:rPr>
          <w:rFonts w:hint="eastAsia" w:ascii="宋体" w:hAnsi="宋体" w:cs="宋体"/>
          <w:b/>
          <w:bCs/>
          <w:sz w:val="36"/>
          <w:szCs w:val="36"/>
          <w:highlight w:val="none"/>
          <w:lang w:val="en-US" w:eastAsia="zh-CN"/>
        </w:rPr>
        <w:t xml:space="preserve">23</w:t>
      </w:r>
      <w:r>
        <w:rPr>
          <w:rFonts w:hint="eastAsia" w:ascii="宋体" w:hAnsi="宋体" w:cs="宋体"/>
          <w:b/>
          <w:bCs/>
          <w:sz w:val="36"/>
          <w:szCs w:val="36"/>
          <w:highlight w:val="none"/>
          <w:lang w:eastAsia="zh-CN"/>
        </w:rPr>
        <w:t xml:space="preserve">日</w:t>
      </w:r>
      <w:r/>
    </w:p>
    <w:p>
      <w:pPr>
        <w:jc w:val="center"/>
        <w:spacing w:line="360" w:lineRule="auto"/>
        <w:rPr>
          <w:rFonts w:hint="eastAsia" w:ascii="宋体" w:hAnsi="宋体" w:cs="宋体"/>
          <w:sz w:val="32"/>
          <w:highlight w:val="none"/>
        </w:rPr>
      </w:pPr>
      <w:r>
        <w:rPr>
          <w:rFonts w:hint="eastAsia" w:ascii="宋体" w:hAnsi="宋体" w:cs="宋体"/>
          <w:sz w:val="32"/>
          <w:highlight w:val="none"/>
        </w:rPr>
        <w:t xml:space="preserve">目 录</w:t>
      </w:r>
      <w:r/>
    </w:p>
    <w:p>
      <w:pPr>
        <w:pStyle w:val="1074"/>
        <w:spacing w:line="480" w:lineRule="auto"/>
        <w:tabs>
          <w:tab w:val="right" w:pos="8296" w:leader="dot"/>
        </w:tabs>
        <w:rPr>
          <w:rFonts w:hint="eastAsia" w:ascii="宋体" w:hAnsi="宋体" w:cs="宋体"/>
          <w:highlight w:val="none"/>
        </w:rPr>
      </w:pPr>
      <w:r>
        <w:rPr>
          <w:rFonts w:hint="eastAsia" w:ascii="宋体" w:hAnsi="宋体" w:cs="宋体"/>
          <w:highlight w:val="none"/>
        </w:rPr>
        <w:fldChar w:fldCharType="begin"/>
      </w:r>
      <w:r>
        <w:rPr>
          <w:rFonts w:hint="eastAsia" w:ascii="宋体" w:hAnsi="宋体" w:cs="宋体"/>
          <w:highlight w:val="none"/>
        </w:rPr>
        <w:instrText xml:space="preserve"> TOC \o "1-3" \f </w:instrText>
      </w:r>
      <w:r>
        <w:rPr>
          <w:rFonts w:hint="eastAsia" w:ascii="宋体" w:hAnsi="宋体" w:cs="宋体"/>
          <w:highlight w:val="none"/>
        </w:rPr>
        <w:fldChar w:fldCharType="separate"/>
      </w:r>
      <w:r>
        <w:rPr>
          <w:rFonts w:hint="eastAsia" w:ascii="宋体" w:hAnsi="宋体" w:cs="宋体"/>
          <w:highlight w:val="none"/>
        </w:rPr>
        <w:t xml:space="preserve">第一章 竞争性磋商公告</w:t>
      </w:r>
      <w:r>
        <w:rPr>
          <w:rFonts w:hint="eastAsia" w:ascii="宋体" w:hAnsi="宋体" w:cs="宋体"/>
          <w:highlight w:val="none"/>
        </w:rPr>
        <w:tab/>
      </w:r>
      <w:r>
        <w:rPr>
          <w:rFonts w:hint="eastAsia" w:ascii="宋体" w:hAnsi="宋体" w:cs="宋体"/>
          <w:highlight w:val="none"/>
        </w:rPr>
        <w:t xml:space="preserve">1</w:t>
      </w:r>
      <w:r/>
    </w:p>
    <w:p>
      <w:pPr>
        <w:pStyle w:val="1074"/>
        <w:spacing w:line="480" w:lineRule="auto"/>
        <w:tabs>
          <w:tab w:val="right" w:pos="8296" w:leader="dot"/>
        </w:tabs>
        <w:rPr>
          <w:rFonts w:hint="eastAsia" w:ascii="宋体" w:hAnsi="宋体" w:cs="宋体"/>
          <w:highlight w:val="none"/>
        </w:rPr>
      </w:pPr>
      <w:r>
        <w:rPr>
          <w:rFonts w:hint="eastAsia" w:ascii="宋体" w:hAnsi="宋体" w:cs="宋体"/>
          <w:highlight w:val="none"/>
        </w:rPr>
        <w:t xml:space="preserve">第二章 磋商须知</w:t>
      </w:r>
      <w:r>
        <w:rPr>
          <w:rFonts w:hint="eastAsia" w:ascii="宋体" w:hAnsi="宋体" w:cs="宋体"/>
          <w:highlight w:val="none"/>
        </w:rPr>
        <w:tab/>
      </w:r>
      <w:r>
        <w:rPr>
          <w:rFonts w:hint="eastAsia" w:ascii="宋体" w:hAnsi="宋体" w:cs="宋体"/>
          <w:highlight w:val="none"/>
        </w:rPr>
        <w:t xml:space="preserve">5</w:t>
      </w:r>
      <w:r/>
    </w:p>
    <w:p>
      <w:pPr>
        <w:pStyle w:val="1074"/>
        <w:spacing w:line="480" w:lineRule="auto"/>
        <w:tabs>
          <w:tab w:val="right" w:pos="8296" w:leader="dot"/>
        </w:tabs>
        <w:rPr>
          <w:rFonts w:hint="eastAsia" w:ascii="宋体" w:hAnsi="宋体" w:cs="宋体"/>
          <w:highlight w:val="none"/>
        </w:rPr>
      </w:pPr>
      <w:r>
        <w:rPr>
          <w:rFonts w:hint="eastAsia" w:ascii="宋体" w:hAnsi="宋体" w:cs="宋体"/>
          <w:highlight w:val="none"/>
        </w:rPr>
        <w:t xml:space="preserve">第三章 合同条款及格式</w:t>
      </w:r>
      <w:r>
        <w:rPr>
          <w:rFonts w:hint="eastAsia" w:ascii="宋体" w:hAnsi="宋体" w:cs="宋体"/>
          <w:highlight w:val="none"/>
        </w:rPr>
        <w:tab/>
      </w:r>
      <w:r>
        <w:rPr>
          <w:rFonts w:hint="eastAsia" w:ascii="宋体" w:hAnsi="宋体" w:cs="宋体"/>
          <w:highlight w:val="none"/>
        </w:rPr>
        <w:t xml:space="preserve">15</w:t>
      </w:r>
      <w:r/>
    </w:p>
    <w:p>
      <w:pPr>
        <w:pStyle w:val="1074"/>
        <w:spacing w:line="480" w:lineRule="auto"/>
        <w:tabs>
          <w:tab w:val="right" w:pos="8296" w:leader="dot"/>
        </w:tabs>
        <w:rPr>
          <w:rFonts w:hint="eastAsia" w:ascii="宋体" w:hAnsi="宋体" w:eastAsia="宋体" w:cs="宋体"/>
          <w:highlight w:val="none"/>
          <w:lang w:eastAsia="zh-CN"/>
        </w:rPr>
      </w:pPr>
      <w:r>
        <w:rPr>
          <w:rFonts w:hint="eastAsia" w:ascii="宋体" w:hAnsi="宋体" w:cs="宋体"/>
          <w:highlight w:val="none"/>
        </w:rPr>
        <w:t xml:space="preserve">第四章 项目需求</w:t>
      </w:r>
      <w:r>
        <w:rPr>
          <w:rFonts w:hint="eastAsia" w:ascii="宋体" w:hAnsi="宋体" w:cs="宋体"/>
          <w:highlight w:val="none"/>
        </w:rPr>
        <w:tab/>
      </w:r>
      <w:r>
        <w:rPr>
          <w:rFonts w:hint="eastAsia" w:ascii="宋体" w:hAnsi="宋体" w:cs="宋体"/>
          <w:highlight w:val="none"/>
        </w:rPr>
        <w:t xml:space="preserve">1</w:t>
      </w:r>
      <w:r>
        <w:rPr>
          <w:rFonts w:hint="eastAsia" w:ascii="宋体" w:hAnsi="宋体" w:cs="宋体"/>
          <w:highlight w:val="none"/>
          <w:lang w:val="en-US" w:eastAsia="zh-CN"/>
        </w:rPr>
        <w:t xml:space="preserve">9</w:t>
      </w:r>
      <w:r/>
    </w:p>
    <w:p>
      <w:pPr>
        <w:pStyle w:val="1074"/>
        <w:spacing w:line="480" w:lineRule="auto"/>
        <w:tabs>
          <w:tab w:val="right" w:pos="8296" w:leader="dot"/>
        </w:tabs>
        <w:rPr>
          <w:rFonts w:hint="default" w:ascii="宋体" w:hAnsi="宋体" w:eastAsia="宋体" w:cs="宋体"/>
          <w:highlight w:val="none"/>
          <w:lang w:val="en-US" w:eastAsia="zh-CN"/>
        </w:rPr>
      </w:pPr>
      <w:r>
        <w:rPr>
          <w:rFonts w:hint="eastAsia" w:ascii="宋体" w:hAnsi="宋体" w:cs="宋体"/>
          <w:highlight w:val="none"/>
        </w:rPr>
        <w:t xml:space="preserve">第五章 评审方法及评审标准</w:t>
      </w:r>
      <w:r>
        <w:rPr>
          <w:rFonts w:hint="eastAsia" w:ascii="宋体" w:hAnsi="宋体" w:cs="宋体"/>
          <w:highlight w:val="none"/>
        </w:rPr>
        <w:tab/>
      </w:r>
      <w:r>
        <w:rPr>
          <w:rFonts w:hint="eastAsia" w:ascii="宋体" w:hAnsi="宋体" w:cs="宋体"/>
          <w:highlight w:val="none"/>
        </w:rPr>
        <w:t xml:space="preserve">2</w:t>
      </w:r>
      <w:r>
        <w:rPr>
          <w:rFonts w:hint="eastAsia" w:ascii="宋体" w:hAnsi="宋体" w:cs="宋体"/>
          <w:highlight w:val="none"/>
          <w:lang w:val="en-US" w:eastAsia="zh-CN"/>
        </w:rPr>
        <w:t xml:space="preserve">3</w:t>
      </w:r>
      <w:r/>
    </w:p>
    <w:p>
      <w:pPr>
        <w:pStyle w:val="1074"/>
        <w:spacing w:line="480" w:lineRule="auto"/>
        <w:tabs>
          <w:tab w:val="right" w:pos="8296" w:leader="dot"/>
        </w:tabs>
        <w:rPr>
          <w:rFonts w:hint="eastAsia" w:ascii="宋体" w:hAnsi="宋体" w:eastAsia="宋体" w:cs="宋体"/>
          <w:highlight w:val="none"/>
          <w:lang w:eastAsia="zh-CN"/>
        </w:rPr>
      </w:pPr>
      <w:r>
        <w:rPr>
          <w:rFonts w:hint="eastAsia" w:ascii="宋体" w:hAnsi="宋体" w:cs="宋体"/>
          <w:highlight w:val="none"/>
        </w:rPr>
        <w:t xml:space="preserve">第六章 竞争性磋商响应文件格式</w:t>
      </w:r>
      <w:r>
        <w:rPr>
          <w:rFonts w:hint="eastAsia" w:ascii="宋体" w:hAnsi="宋体" w:cs="宋体"/>
          <w:highlight w:val="none"/>
        </w:rPr>
        <w:tab/>
      </w:r>
      <w:r>
        <w:rPr>
          <w:rFonts w:hint="eastAsia" w:ascii="宋体" w:hAnsi="宋体" w:cs="宋体"/>
          <w:highlight w:val="none"/>
        </w:rPr>
        <w:t xml:space="preserve">2</w:t>
      </w:r>
      <w:r>
        <w:rPr>
          <w:rFonts w:hint="eastAsia" w:ascii="宋体" w:hAnsi="宋体" w:cs="宋体"/>
          <w:highlight w:val="none"/>
          <w:lang w:val="en-US" w:eastAsia="zh-CN"/>
        </w:rPr>
        <w:t xml:space="preserve">6</w:t>
      </w:r>
      <w:r/>
    </w:p>
    <w:p>
      <w:pPr>
        <w:pStyle w:val="1074"/>
        <w:spacing w:line="480" w:lineRule="auto"/>
        <w:tabs>
          <w:tab w:val="right" w:pos="8296" w:leader="dot"/>
        </w:tabs>
        <w:rPr>
          <w:rFonts w:hint="eastAsia" w:ascii="宋体" w:hAnsi="宋体" w:cs="宋体"/>
          <w:sz w:val="28"/>
          <w:highlight w:val="none"/>
        </w:rPr>
      </w:pPr>
      <w:r>
        <w:rPr>
          <w:rFonts w:hint="eastAsia" w:ascii="宋体" w:hAnsi="宋体" w:cs="宋体"/>
          <w:highlight w:val="none"/>
        </w:rPr>
        <w:fldChar w:fldCharType="end"/>
      </w:r>
      <w:r/>
    </w:p>
    <w:p>
      <w:pPr>
        <w:spacing w:line="360" w:lineRule="auto"/>
        <w:rPr>
          <w:rFonts w:hint="eastAsia" w:ascii="宋体" w:hAnsi="宋体" w:cs="宋体"/>
          <w:highlight w:val="none"/>
        </w:rPr>
      </w:pPr>
      <w:r>
        <w:rPr>
          <w:rFonts w:hint="eastAsia" w:ascii="宋体" w:hAnsi="宋体" w:cs="宋体"/>
          <w:highlight w:val="none"/>
        </w:rPr>
      </w:r>
      <w:r/>
    </w:p>
    <w:p>
      <w:pPr>
        <w:pStyle w:val="1050"/>
        <w:numPr>
          <w:ilvl w:val="0"/>
          <w:numId w:val="1"/>
        </w:numPr>
        <w:jc w:val="center"/>
        <w:spacing w:line="360" w:lineRule="auto"/>
        <w:rPr>
          <w:rFonts w:hint="eastAsia" w:ascii="宋体" w:hAnsi="宋体" w:cs="宋体"/>
          <w:sz w:val="36"/>
          <w:szCs w:val="36"/>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 w:name="_Toc109304962"/>
      <w:r/>
      <w:bookmarkStart w:id="5" w:name="_Toc109304965"/>
      <w:r/>
      <w:r/>
    </w:p>
    <w:p>
      <w:pPr>
        <w:pStyle w:val="1050"/>
        <w:numPr>
          <w:ilvl w:val="0"/>
          <w:numId w:val="1"/>
        </w:numPr>
        <w:jc w:val="center"/>
        <w:spacing w:line="360" w:lineRule="auto"/>
        <w:rPr>
          <w:rFonts w:hint="eastAsia" w:ascii="宋体" w:hAnsi="宋体" w:cs="宋体"/>
          <w:sz w:val="36"/>
          <w:szCs w:val="36"/>
          <w:highlight w:val="none"/>
        </w:rPr>
      </w:pPr>
      <w:r>
        <w:rPr>
          <w:rFonts w:hint="eastAsia" w:ascii="宋体" w:hAnsi="宋体" w:cs="宋体"/>
          <w:szCs w:val="36"/>
          <w:highlight w:val="none"/>
        </w:rPr>
        <w:t xml:space="preserve">竞争性磋商公告</w:t>
      </w:r>
      <w:bookmarkEnd w:id="4"/>
      <w:r/>
      <w:r/>
    </w:p>
    <w:p>
      <w:pPr>
        <w:ind w:firstLine="422"/>
        <w:spacing w:line="360" w:lineRule="auto"/>
        <w:rPr>
          <w:rFonts w:hint="eastAsia" w:ascii="宋体" w:hAnsi="宋体" w:cs="宋体"/>
          <w:b/>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highlight w:val="none"/>
        </w:rPr>
        <w:t xml:space="preserve">项目概况：</w:t>
      </w:r>
      <w:r/>
    </w:p>
    <w:p>
      <w:pPr>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lang w:eastAsia="zh-CN"/>
        </w:rPr>
        <w:t xml:space="preserve">扬州明清古城汶河路西侧、南门片区街区详细规划及广陵区特色产业空间布局规划编制项目</w:t>
      </w:r>
      <w:r>
        <w:rPr>
          <w:rFonts w:hint="eastAsia" w:ascii="宋体" w:hAnsi="宋体" w:cs="宋体"/>
          <w:szCs w:val="21"/>
          <w:highlight w:val="none"/>
          <w:u w:val="single"/>
          <w:lang w:eastAsia="zh-CN"/>
        </w:rPr>
        <w:t xml:space="preserve">JSZC-321002-ZYCG-C2026-0013号</w:t>
      </w:r>
      <w:r>
        <w:rPr>
          <w:rFonts w:hint="eastAsia" w:ascii="宋体" w:hAnsi="宋体" w:cs="宋体"/>
          <w:szCs w:val="21"/>
          <w:highlight w:val="none"/>
        </w:rPr>
        <w:t xml:space="preserve">招标项</w:t>
      </w:r>
      <w:r>
        <w:rPr>
          <w:rFonts w:hint="eastAsia" w:ascii="宋体" w:hAnsi="宋体" w:cs="宋体"/>
          <w:szCs w:val="21"/>
          <w:highlight w:val="none"/>
        </w:rPr>
        <w:t xml:space="preserve">目的潜在投标人应在</w:t>
      </w:r>
      <w:r>
        <w:rPr>
          <w:rFonts w:hint="eastAsia" w:ascii="宋体" w:hAnsi="宋体" w:cs="宋体"/>
          <w:szCs w:val="21"/>
          <w:highlight w:val="none"/>
          <w:u w:val="single"/>
          <w:lang w:eastAsia="zh-CN"/>
        </w:rPr>
        <w:t xml:space="preserve">“扬州市广陵区政府采购网”、“扬州市政府采购网”、“江苏省政府采购网”</w:t>
      </w:r>
      <w:r>
        <w:rPr>
          <w:rFonts w:hint="eastAsia" w:ascii="宋体" w:hAnsi="宋体" w:cs="宋体"/>
          <w:szCs w:val="21"/>
          <w:highlight w:val="none"/>
        </w:rPr>
        <w:t xml:space="preserve">获取采购文件，并于</w:t>
      </w:r>
      <w:bookmarkStart w:id="6" w:name="XMTBJSR_1"/>
      <w:r>
        <w:rPr>
          <w:rFonts w:hint="eastAsia" w:ascii="宋体" w:hAnsi="宋体" w:cs="宋体"/>
          <w:bCs/>
          <w:szCs w:val="21"/>
          <w:highlight w:val="none"/>
          <w:u w:val="single"/>
          <w:lang w:eastAsia="zh-CN"/>
        </w:rPr>
        <w:t xml:space="preserve">2026-08-03 14：30</w:t>
      </w:r>
      <w:r>
        <w:rPr>
          <w:rFonts w:hint="eastAsia" w:ascii="宋体" w:hAnsi="宋体" w:cs="宋体"/>
          <w:bCs/>
          <w:szCs w:val="21"/>
          <w:highlight w:val="none"/>
          <w:u w:val="single"/>
        </w:rPr>
        <w:t xml:space="preserve"> </w:t>
      </w:r>
      <w:bookmarkEnd w:id="6"/>
      <w:r>
        <w:rPr>
          <w:rFonts w:hint="eastAsia" w:ascii="宋体" w:hAnsi="宋体" w:cs="宋体"/>
          <w:bCs/>
          <w:szCs w:val="21"/>
          <w:highlight w:val="none"/>
        </w:rPr>
        <w:t xml:space="preserve">（北京时间）前递交响应文件</w:t>
      </w:r>
      <w:r>
        <w:rPr>
          <w:rFonts w:hint="eastAsia" w:ascii="宋体" w:hAnsi="宋体" w:cs="宋体"/>
          <w:szCs w:val="21"/>
          <w:highlight w:val="none"/>
        </w:rPr>
        <w:t xml:space="preserve">。</w:t>
      </w:r>
      <w:r/>
    </w:p>
    <w:p>
      <w:pPr>
        <w:pStyle w:val="1051"/>
        <w:spacing w:before="0" w:after="0" w:line="360" w:lineRule="auto"/>
        <w:rPr>
          <w:rFonts w:hint="eastAsia" w:ascii="宋体" w:hAnsi="宋体" w:cs="宋体"/>
          <w:bCs w:val="0"/>
          <w:sz w:val="21"/>
          <w:szCs w:val="21"/>
          <w:highlight w:val="none"/>
        </w:rPr>
      </w:pPr>
      <w:r/>
      <w:bookmarkStart w:id="7" w:name="_Toc109304963"/>
      <w:r>
        <w:rPr>
          <w:rFonts w:hint="eastAsia" w:ascii="宋体" w:hAnsi="宋体" w:cs="宋体"/>
          <w:bCs w:val="0"/>
          <w:sz w:val="21"/>
          <w:szCs w:val="21"/>
          <w:highlight w:val="none"/>
        </w:rPr>
        <w:t xml:space="preserve">一、项目基本情况</w:t>
      </w:r>
      <w:bookmarkEnd w:id="7"/>
      <w:r/>
      <w:r/>
    </w:p>
    <w:p>
      <w:pPr>
        <w:ind w:firstLine="420"/>
        <w:spacing w:line="360" w:lineRule="auto"/>
        <w:tabs>
          <w:tab w:val="left" w:pos="5880" w:leader="none"/>
        </w:tabs>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JSZC-321002-ZYCG-C2026-0013号</w:t>
      </w:r>
      <w:r>
        <w:rPr>
          <w:rFonts w:hint="eastAsia" w:ascii="宋体" w:hAnsi="宋体" w:cs="宋体"/>
          <w:szCs w:val="21"/>
          <w:highlight w:val="none"/>
        </w:rPr>
        <w:t xml:space="preserve">   </w:t>
      </w:r>
      <w:r>
        <w:rPr>
          <w:rFonts w:hint="eastAsia" w:ascii="宋体" w:hAnsi="宋体" w:cs="宋体"/>
          <w:szCs w:val="21"/>
          <w:highlight w:val="none"/>
        </w:rPr>
        <w:t xml:space="preserve">                       </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扬州明清古城汶河路西侧、南门片区街区详细规划及广陵区特色产业空间布局规划编制项目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预算金额：</w:t>
      </w:r>
      <w:r>
        <w:rPr>
          <w:rFonts w:hint="eastAsia" w:ascii="宋体" w:hAnsi="宋体" w:cs="宋体"/>
          <w:szCs w:val="21"/>
          <w:highlight w:val="none"/>
          <w:lang w:eastAsia="zh-CN"/>
        </w:rPr>
        <w:t xml:space="preserve">1</w:t>
      </w:r>
      <w:r>
        <w:rPr>
          <w:rFonts w:hint="eastAsia" w:ascii="宋体" w:hAnsi="宋体" w:cs="宋体"/>
          <w:szCs w:val="21"/>
          <w:highlight w:val="none"/>
          <w:lang w:val="en-US" w:eastAsia="zh-CN"/>
        </w:rPr>
        <w:t xml:space="preserve">50</w:t>
      </w:r>
      <w:r>
        <w:rPr>
          <w:rFonts w:hint="eastAsia" w:ascii="宋体" w:hAnsi="宋体" w:cs="宋体"/>
          <w:szCs w:val="21"/>
          <w:highlight w:val="none"/>
          <w:lang w:eastAsia="zh-CN"/>
        </w:rPr>
        <w:t xml:space="preserve">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最高限价：本项目设置最高限价，</w:t>
      </w:r>
      <w:r>
        <w:rPr>
          <w:rFonts w:hint="eastAsia" w:ascii="宋体" w:hAnsi="宋体" w:cs="宋体"/>
          <w:szCs w:val="21"/>
          <w:highlight w:val="none"/>
          <w:lang w:val="en-US" w:eastAsia="zh-CN"/>
        </w:rPr>
        <w:t xml:space="preserve">150</w:t>
      </w:r>
      <w:r>
        <w:rPr>
          <w:rFonts w:hint="eastAsia" w:ascii="宋体" w:hAnsi="宋体" w:cs="宋体"/>
          <w:szCs w:val="21"/>
          <w:highlight w:val="none"/>
          <w:lang w:eastAsia="zh-CN"/>
        </w:rPr>
        <w:t xml:space="preserve">万元</w:t>
      </w:r>
      <w:r>
        <w:rPr>
          <w:rFonts w:hint="eastAsia" w:ascii="宋体" w:hAnsi="宋体" w:cs="宋体"/>
          <w:szCs w:val="21"/>
          <w:highlight w:val="none"/>
        </w:rPr>
        <w:t xml:space="preserve">，报价超过最高限价的为无效报价，按照无效响应处理。</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采购需求：拟编制扬州明清古城汶河路以西及南门片区的街区层次详细规划，作为该区域城市规划管理的依据，并指导修建性详细规划的编制，同时响应市委市政府关于城市特色产业空间优化要求，拟编制广陵区特色产业空间布局规划</w:t>
      </w:r>
      <w:r>
        <w:rPr>
          <w:rFonts w:hint="eastAsia" w:ascii="宋体" w:hAnsi="宋体" w:cs="宋体"/>
          <w:szCs w:val="21"/>
          <w:highlight w:val="none"/>
          <w:lang w:eastAsia="zh-CN"/>
        </w:rPr>
        <w:t xml:space="preserve">。</w:t>
      </w:r>
      <w:r>
        <w:rPr>
          <w:rFonts w:hint="eastAsia" w:ascii="宋体" w:hAnsi="宋体" w:cs="宋体"/>
          <w:szCs w:val="21"/>
          <w:highlight w:val="none"/>
        </w:rPr>
        <w:t xml:space="preserve">见磋商文件第四章。</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合同履行期限：见磋商文件第四章。</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本项目（是/否）接受联合体投标：接受联合体</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联合体所有成员数量不得超过2名。</w:t>
      </w:r>
      <w:r/>
    </w:p>
    <w:p>
      <w:pPr>
        <w:pStyle w:val="1051"/>
        <w:spacing w:before="0" w:after="0" w:line="360" w:lineRule="auto"/>
        <w:rPr>
          <w:rFonts w:hint="eastAsia" w:ascii="宋体" w:hAnsi="宋体" w:cs="宋体"/>
          <w:bCs w:val="0"/>
          <w:sz w:val="21"/>
          <w:szCs w:val="21"/>
          <w:highlight w:val="none"/>
        </w:rPr>
      </w:pPr>
      <w:r/>
      <w:bookmarkStart w:id="8" w:name="_Toc109304964"/>
      <w:r>
        <w:rPr>
          <w:rFonts w:hint="eastAsia" w:ascii="宋体" w:hAnsi="宋体" w:cs="宋体"/>
          <w:bCs w:val="0"/>
          <w:sz w:val="21"/>
          <w:szCs w:val="21"/>
          <w:highlight w:val="none"/>
        </w:rPr>
        <w:t xml:space="preserve">二、申请人的资格要求：</w:t>
      </w:r>
      <w:bookmarkEnd w:id="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（一）满足《中华人民共和国政府采购法》第二十二条规定；</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1.法人或者其他组织的营业执照等证明文件，自然人的身份证明（身份证为正、反面）；</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2.</w:t>
      </w:r>
      <w:r>
        <w:rPr>
          <w:rFonts w:hint="eastAsia" w:ascii="宋体" w:hAnsi="宋体" w:cs="宋体"/>
          <w:i/>
          <w:iCs/>
          <w:szCs w:val="21"/>
          <w:highlight w:val="none"/>
          <w:u w:val="single"/>
          <w:lang w:eastAsia="zh-CN"/>
        </w:rPr>
        <w:t xml:space="preserve">2025年度的财务状况报告</w:t>
      </w:r>
      <w:r>
        <w:rPr>
          <w:rFonts w:hint="eastAsia" w:ascii="宋体" w:hAnsi="宋体" w:cs="宋体"/>
          <w:i/>
          <w:iCs/>
          <w:szCs w:val="21"/>
          <w:highlight w:val="none"/>
          <w:u w:val="single"/>
        </w:rPr>
        <w:t xml:space="preserve">（成立不满一年无需提供）；</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4.具备履行合同所必需的设备和专业技术能力的书面声明；</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5.参加政府采购活动前3年内在经营活动中没有重大违法记录的书面声明；</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6.供应商信用承诺函；</w:t>
      </w:r>
      <w:r/>
    </w:p>
    <w:p>
      <w:pPr>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宋体"/>
          <w:i/>
          <w:iCs/>
          <w:szCs w:val="21"/>
          <w:highlight w:val="none"/>
          <w:u w:val="single"/>
        </w:rPr>
      </w:pPr>
      <w:r>
        <w:rPr>
          <w:rFonts w:hint="eastAsia" w:ascii="宋体" w:hAnsi="宋体" w:cs="宋体"/>
          <w:szCs w:val="21"/>
          <w:highlight w:val="none"/>
        </w:rPr>
        <w:t xml:space="preserve">（二）落实政府采购政策需满足的资格要求：</w:t>
      </w:r>
      <w:r>
        <w:rPr>
          <w:rFonts w:hint="eastAsia" w:ascii="宋体" w:hAnsi="宋体" w:cs="宋体"/>
          <w:i/>
          <w:iCs/>
          <w:szCs w:val="21"/>
          <w:highlight w:val="none"/>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三</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本项目的特定资格要求：</w:t>
      </w:r>
      <w:r>
        <w:rPr>
          <w:rFonts w:hint="eastAsia" w:ascii="宋体" w:hAnsi="宋体" w:cs="宋体"/>
          <w:i/>
          <w:iCs/>
          <w:szCs w:val="21"/>
          <w:highlight w:val="none"/>
          <w:u w:val="single"/>
          <w:lang w:eastAsia="zh-CN"/>
        </w:rPr>
        <w:t xml:space="preserve">供应商须具有有效期内的城乡规划（国土空间规划）编制乙级及以上资质</w:t>
      </w:r>
      <w:r>
        <w:rPr>
          <w:rFonts w:hint="eastAsia" w:ascii="宋体" w:hAnsi="宋体" w:cs="宋体"/>
          <w:i/>
          <w:iCs/>
          <w:szCs w:val="21"/>
          <w:highlight w:val="none"/>
          <w:u w:val="single"/>
        </w:rPr>
        <w:t xml:space="preserve">。（原件扫描件上传）</w:t>
      </w:r>
      <w:r/>
    </w:p>
    <w:p>
      <w:pPr>
        <w:pStyle w:val="105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三、获取采购文件</w:t>
      </w:r>
      <w:bookmarkEnd w:id="5"/>
      <w:r/>
      <w:r/>
    </w:p>
    <w:p>
      <w:pPr>
        <w:ind w:firstLine="540"/>
        <w:spacing w:line="360" w:lineRule="auto"/>
        <w:rPr>
          <w:rFonts w:hint="eastAsia" w:ascii="宋体" w:hAnsi="宋体" w:cs="宋体"/>
          <w:szCs w:val="21"/>
          <w:highlight w:val="none"/>
        </w:rPr>
      </w:pPr>
      <w:r/>
      <w:bookmarkStart w:id="9" w:name="_Toc109304966"/>
      <w:r>
        <w:rPr>
          <w:rFonts w:hint="eastAsia" w:ascii="宋体" w:hAnsi="宋体" w:cs="宋体"/>
          <w:szCs w:val="21"/>
          <w:highlight w:val="none"/>
        </w:rPr>
        <w:t xml:space="preserve">时间：自磋商文件公告发布之日起5个工作日</w:t>
      </w:r>
      <w:r/>
    </w:p>
    <w:p>
      <w:pPr>
        <w:ind w:firstLine="54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地点：</w:t>
      </w:r>
      <w:r>
        <w:rPr>
          <w:rFonts w:hint="eastAsia" w:ascii="宋体" w:hAnsi="宋体" w:cs="宋体"/>
          <w:szCs w:val="21"/>
          <w:highlight w:val="none"/>
          <w:lang w:eastAsia="zh-CN"/>
        </w:rPr>
        <w:t xml:space="preserve">“扬州市广陵区政府采购网”、“扬州市政府采购网”、“江苏省政府采购网”</w:t>
      </w:r>
      <w:r/>
    </w:p>
    <w:p>
      <w:pPr>
        <w:ind w:firstLine="540"/>
        <w:spacing w:line="360" w:lineRule="auto"/>
        <w:rPr>
          <w:rFonts w:hint="eastAsia" w:ascii="宋体" w:hAnsi="宋体" w:cs="宋体"/>
          <w:szCs w:val="21"/>
          <w:highlight w:val="none"/>
        </w:rPr>
      </w:pPr>
      <w:r>
        <w:rPr>
          <w:rFonts w:hint="eastAsia" w:ascii="宋体" w:hAnsi="宋体" w:cs="宋体"/>
          <w:szCs w:val="21"/>
          <w:highlight w:val="none"/>
        </w:rPr>
        <w:t xml:space="preserve">方式：自行下载</w:t>
      </w:r>
      <w:r/>
    </w:p>
    <w:p>
      <w:pPr>
        <w:ind w:firstLine="540"/>
        <w:rPr>
          <w:rFonts w:hint="eastAsia" w:ascii="宋体" w:hAnsi="宋体" w:cs="宋体"/>
          <w:szCs w:val="21"/>
          <w:highlight w:val="none"/>
        </w:rPr>
      </w:pPr>
      <w:r>
        <w:rPr>
          <w:rFonts w:hint="eastAsia" w:ascii="宋体" w:hAnsi="宋体" w:cs="宋体"/>
          <w:szCs w:val="21"/>
          <w:highlight w:val="none"/>
        </w:rPr>
        <w:t xml:space="preserve">售价：0.00元</w:t>
      </w:r>
      <w:r/>
    </w:p>
    <w:p>
      <w:pPr>
        <w:pStyle w:val="105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四、响应文件提交</w:t>
      </w:r>
      <w:bookmarkEnd w:id="9"/>
      <w:r/>
      <w:r/>
    </w:p>
    <w:p>
      <w:pPr>
        <w:ind w:firstLine="420"/>
        <w:spacing w:line="360" w:lineRule="auto"/>
        <w:rPr>
          <w:rFonts w:hint="eastAsia" w:ascii="宋体" w:hAnsi="宋体" w:eastAsia="宋体" w:cs="宋体"/>
          <w:bCs/>
          <w:szCs w:val="21"/>
          <w:highlight w:val="none"/>
          <w:u w:val="single"/>
          <w:lang w:eastAsia="zh-CN"/>
        </w:rPr>
      </w:pPr>
      <w:r>
        <w:rPr>
          <w:rFonts w:hint="eastAsia" w:ascii="宋体" w:hAnsi="宋体" w:cs="宋体"/>
          <w:szCs w:val="21"/>
          <w:highlight w:val="none"/>
        </w:rPr>
        <w:t xml:space="preserve">截止时间：</w:t>
      </w:r>
      <w:r>
        <w:rPr>
          <w:rFonts w:hint="eastAsia" w:ascii="宋体" w:hAnsi="宋体" w:cs="宋体"/>
          <w:bCs/>
          <w:szCs w:val="21"/>
          <w:highlight w:val="none"/>
          <w:lang w:eastAsia="zh-CN"/>
        </w:rPr>
        <w:t xml:space="preserve">2026-08-03 14：30</w:t>
      </w:r>
      <w:r/>
    </w:p>
    <w:p>
      <w:pPr>
        <w:ind w:firstLine="422"/>
        <w:spacing w:line="360" w:lineRule="auto"/>
        <w:rPr>
          <w:rFonts w:hint="eastAsia" w:ascii="宋体" w:hAnsi="宋体" w:cs="宋体"/>
          <w:szCs w:val="21"/>
          <w:highlight w:val="none"/>
          <w:u w:val="single"/>
        </w:rPr>
      </w:pPr>
      <w:r/>
      <w:bookmarkStart w:id="10" w:name="_Toc109304967"/>
      <w:r>
        <w:rPr>
          <w:rFonts w:hint="eastAsia" w:ascii="宋体" w:hAnsi="宋体" w:cs="宋体"/>
          <w:szCs w:val="21"/>
          <w:highlight w:val="none"/>
        </w:rPr>
        <w:t xml:space="preserve">投标地点：“苏采云”系统</w:t>
      </w:r>
      <w:r/>
    </w:p>
    <w:p>
      <w:pPr>
        <w:pStyle w:val="105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五、开启</w:t>
      </w:r>
      <w:bookmarkEnd w:id="10"/>
      <w:r/>
      <w:r/>
    </w:p>
    <w:p>
      <w:pPr>
        <w:pStyle w:val="1052"/>
        <w:spacing w:line="360" w:lineRule="auto"/>
        <w:rPr>
          <w:rFonts w:hint="eastAsia" w:ascii="宋体" w:hAnsi="宋体" w:cs="宋体"/>
          <w:bCs/>
          <w:szCs w:val="21"/>
          <w:highlight w:val="none"/>
        </w:rPr>
      </w:pPr>
      <w:r>
        <w:rPr>
          <w:rFonts w:hint="eastAsia" w:ascii="宋体" w:hAnsi="宋体" w:cs="宋体"/>
          <w:szCs w:val="21"/>
          <w:highlight w:val="none"/>
        </w:rPr>
        <w:t xml:space="preserve">时间</w:t>
      </w:r>
      <w:bookmarkStart w:id="11" w:name="XMTBJSR_3"/>
      <w:r>
        <w:rPr>
          <w:rFonts w:hint="eastAsia" w:ascii="宋体" w:hAnsi="宋体" w:cs="宋体"/>
          <w:szCs w:val="21"/>
          <w:highlight w:val="none"/>
        </w:rPr>
        <w:t xml:space="preserve">：</w:t>
      </w:r>
      <w:bookmarkEnd w:id="11"/>
      <w:r>
        <w:rPr>
          <w:rFonts w:hint="eastAsia" w:ascii="宋体" w:hAnsi="宋体" w:cs="宋体"/>
          <w:bCs/>
          <w:szCs w:val="21"/>
          <w:highlight w:val="none"/>
          <w:lang w:eastAsia="zh-CN"/>
        </w:rPr>
        <w:t xml:space="preserve">2026-08-03 14：30</w:t>
      </w:r>
      <w:r>
        <w:rPr>
          <w:rFonts w:hint="eastAsia" w:ascii="宋体" w:hAnsi="宋体" w:cs="宋体"/>
          <w:bCs/>
          <w:szCs w:val="21"/>
          <w:highlight w:val="none"/>
        </w:rPr>
        <w:t xml:space="preserve">（北京时间）</w:t>
      </w:r>
      <w:r/>
    </w:p>
    <w:p>
      <w:pPr>
        <w:ind w:firstLine="422"/>
        <w:spacing w:line="360" w:lineRule="auto"/>
        <w:rPr>
          <w:rFonts w:hint="eastAsia" w:ascii="宋体" w:hAnsi="宋体" w:cs="宋体"/>
          <w:bCs/>
          <w:szCs w:val="21"/>
          <w:highlight w:val="none"/>
        </w:rPr>
      </w:pPr>
      <w:r/>
      <w:bookmarkStart w:id="12" w:name="_Toc109304968"/>
      <w:r>
        <w:rPr>
          <w:rFonts w:hint="eastAsia" w:ascii="宋体" w:hAnsi="宋体" w:cs="宋体"/>
          <w:bCs/>
          <w:szCs w:val="21"/>
          <w:highlight w:val="none"/>
        </w:rPr>
        <w:t xml:space="preserve">开标地点：“苏采云”系统“开标大厅”</w:t>
      </w:r>
      <w:r/>
    </w:p>
    <w:p>
      <w:pPr>
        <w:pStyle w:val="1051"/>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六、公告期限</w:t>
      </w:r>
      <w:bookmarkEnd w:id="12"/>
      <w:r/>
      <w:r/>
    </w:p>
    <w:p>
      <w:pPr>
        <w:ind w:firstLine="422"/>
        <w:jc w:val="left"/>
        <w:spacing w:line="360" w:lineRule="auto"/>
        <w:widowControl/>
        <w:rPr>
          <w:rFonts w:hint="eastAsia" w:ascii="宋体" w:hAnsi="宋体" w:cs="宋体"/>
          <w:szCs w:val="21"/>
          <w:highlight w:val="none"/>
        </w:rPr>
      </w:pPr>
      <w:r>
        <w:rPr>
          <w:rFonts w:hint="eastAsia" w:ascii="宋体" w:hAnsi="宋体" w:cs="宋体"/>
          <w:bCs/>
          <w:szCs w:val="21"/>
          <w:highlight w:val="none"/>
        </w:rPr>
        <w:t xml:space="preserve">自本公告发布之日起5个工作日。</w:t>
      </w:r>
      <w:r/>
    </w:p>
    <w:p>
      <w:pPr>
        <w:pStyle w:val="1051"/>
        <w:numPr>
          <w:ilvl w:val="0"/>
          <w:numId w:val="2"/>
        </w:numPr>
        <w:spacing w:before="0" w:after="0" w:line="360" w:lineRule="auto"/>
        <w:rPr>
          <w:rFonts w:hint="eastAsia" w:ascii="宋体" w:hAnsi="宋体" w:cs="宋体"/>
          <w:sz w:val="21"/>
          <w:szCs w:val="21"/>
          <w:highlight w:val="none"/>
        </w:rPr>
      </w:pPr>
      <w:r/>
      <w:bookmarkStart w:id="13" w:name="_Toc109304969"/>
      <w:r>
        <w:rPr>
          <w:rFonts w:hint="eastAsia" w:ascii="宋体" w:hAnsi="宋体" w:cs="宋体"/>
          <w:sz w:val="21"/>
          <w:szCs w:val="21"/>
          <w:highlight w:val="none"/>
        </w:rPr>
        <w:t xml:space="preserve">其他补充事宜</w:t>
      </w:r>
      <w:bookmarkEnd w:id="13"/>
      <w:r/>
      <w:r/>
    </w:p>
    <w:p>
      <w:pPr>
        <w:ind w:firstLine="540"/>
        <w:spacing w:line="360" w:lineRule="auto"/>
        <w:rPr>
          <w:rFonts w:ascii="宋体" w:hAnsi="宋体" w:cs="宋体"/>
          <w:szCs w:val="21"/>
          <w:highlight w:val="none"/>
        </w:rPr>
      </w:pPr>
      <w:r/>
      <w:bookmarkStart w:id="14" w:name="_Toc109304970"/>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.潜在供应商访问政府采购管理交易系统（苏采云）的网络地址和方法：</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（3）“CA数字证书”的办理材料以及供应商操作手册详见：</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http://zfcg.yangzhou.gov.cn/zfcg/xzzx/202309/4d7de1f7865f4a2894fc22bc452f94d8.shtml。</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（4）潜在供应商访问“苏采云”系统的网络地址和方法：“苏采云”系统的网址：https://jszfcg.jsczt.cn/。</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Cs/>
          <w:szCs w:val="21"/>
          <w:highlight w:val="none"/>
        </w:rPr>
      </w:pPr>
      <w:r>
        <w:rPr>
          <w:rFonts w:hint="eastAsia" w:ascii="宋体" w:hAnsi="宋体" w:cs="宋体"/>
          <w:szCs w:val="21"/>
          <w:highlight w:val="none"/>
        </w:rPr>
        <w:t xml:space="preserve">（7）苏采云系统使用谷歌浏览器参与不见面开标。</w:t>
      </w:r>
      <w:r/>
    </w:p>
    <w:p>
      <w:pPr>
        <w:ind w:firstLine="316"/>
        <w:spacing w:line="360" w:lineRule="auto"/>
        <w:rPr>
          <w:rFonts w:ascii="宋体" w:hAnsi="宋体"/>
          <w:bCs/>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2</w:t>
      </w:r>
      <w:r>
        <w:rPr>
          <w:rFonts w:hint="eastAsia" w:ascii="宋体" w:hAnsi="宋体"/>
          <w:bCs/>
          <w:szCs w:val="21"/>
          <w:highlight w:val="none"/>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360" w:lineRule="auto"/>
        <w:rPr>
          <w:rFonts w:ascii="宋体" w:hAnsi="宋体"/>
          <w:bCs/>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3</w:t>
      </w:r>
      <w:r>
        <w:rPr>
          <w:rFonts w:hint="eastAsia" w:ascii="宋体" w:hAnsi="宋体"/>
          <w:bCs/>
          <w:szCs w:val="21"/>
          <w:highlight w:val="none"/>
        </w:rPr>
        <w:t xml:space="preserve">.供应商如确定参加磋商，可自行下载采购文件及有关资料，按照《操作手册》进行注册，领取CA和办理电子签章，并按《操作手册》要求制作、上传电子投标文件，技术支持联系方式：13813140731。</w:t>
      </w:r>
      <w:r/>
    </w:p>
    <w:p>
      <w:pPr>
        <w:ind w:firstLine="316"/>
        <w:spacing w:line="360" w:lineRule="auto"/>
        <w:rPr>
          <w:rFonts w:ascii="宋体" w:hAnsi="宋体"/>
          <w:bCs/>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4</w:t>
      </w:r>
      <w:r>
        <w:rPr>
          <w:rFonts w:hint="eastAsia" w:ascii="宋体" w:hAnsi="宋体"/>
          <w:bCs/>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360" w:lineRule="auto"/>
        <w:rPr>
          <w:rFonts w:ascii="宋体" w:hAnsi="宋体"/>
          <w:bCs/>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5</w:t>
      </w:r>
      <w:r>
        <w:rPr>
          <w:rFonts w:hint="eastAsia" w:ascii="宋体" w:hAnsi="宋体"/>
          <w:bCs/>
          <w:szCs w:val="21"/>
          <w:highlight w:val="none"/>
        </w:rPr>
        <w:t xml:space="preserve">.潜在供应商对采购文件项目需求部分的询问、质疑请向采购人提出，由采购人负责答复。</w:t>
      </w:r>
      <w:r/>
    </w:p>
    <w:p>
      <w:pPr>
        <w:ind w:firstLine="315"/>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7.</w:t>
      </w:r>
      <w:r>
        <w:rPr>
          <w:rFonts w:hint="eastAsia" w:ascii="宋体" w:hAnsi="宋体" w:cs="Times New Roman"/>
          <w:bCs/>
          <w:szCs w:val="21"/>
          <w:highlight w:val="none"/>
          <w:lang w:val="en-US" w:eastAsia="zh-CN"/>
        </w:rPr>
        <w:t xml:space="preserve">6</w:t>
      </w:r>
      <w:r>
        <w:rPr>
          <w:rFonts w:hint="eastAsia" w:ascii="宋体" w:hAnsi="宋体" w:eastAsia="宋体" w:cs="Times New Roman"/>
          <w:bCs/>
          <w:szCs w:val="21"/>
          <w:highlight w:val="none"/>
        </w:rPr>
        <w:t xml:space="preserve">.本次采购不收取保证金。</w:t>
      </w:r>
      <w:r/>
    </w:p>
    <w:p>
      <w:pPr>
        <w:ind w:firstLine="315"/>
        <w:spacing w:line="360" w:lineRule="auto"/>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7.</w:t>
      </w:r>
      <w:r>
        <w:rPr>
          <w:rFonts w:hint="eastAsia" w:ascii="宋体" w:hAnsi="宋体" w:cs="Times New Roman"/>
          <w:bCs/>
          <w:szCs w:val="21"/>
          <w:highlight w:val="none"/>
          <w:lang w:val="en-US" w:eastAsia="zh-CN"/>
        </w:rPr>
        <w:t xml:space="preserve">7</w:t>
      </w:r>
      <w:r>
        <w:rPr>
          <w:rFonts w:hint="eastAsia" w:ascii="宋体" w:hAnsi="宋体" w:eastAsia="宋体" w:cs="Times New Roman"/>
          <w:bCs/>
          <w:szCs w:val="21"/>
          <w:highlight w:val="none"/>
          <w:lang w:val="en-US" w:eastAsia="zh-CN"/>
        </w:rPr>
        <w:t xml:space="preserve">.</w:t>
      </w:r>
      <w:r>
        <w:rPr>
          <w:rFonts w:hint="eastAsia" w:ascii="宋体" w:hAnsi="宋体" w:eastAsia="宋体" w:cs="Times New Roman"/>
          <w:bCs/>
          <w:szCs w:val="21"/>
          <w:highlight w:val="none"/>
        </w:rPr>
        <w:t xml:space="preserve">集中考察或召开答疑会：</w:t>
      </w:r>
      <w:r>
        <w:rPr>
          <w:rFonts w:hint="eastAsia" w:ascii="宋体" w:hAnsi="宋体"/>
          <w:bCs/>
          <w:szCs w:val="21"/>
          <w:highlight w:val="none"/>
        </w:rPr>
        <w:t xml:space="preserve">本项目不组织供应商集中考察。供应商如有需要，自行现场勘查。勘查时，请各供应商务必对项目现场和周围环境进行仔细认真查勘，在随后的采购中，对现场资料和数据所作出的推论、解释和结论及由此造成的后果由供应商自行负责。</w:t>
      </w:r>
      <w:r/>
    </w:p>
    <w:p>
      <w:pPr>
        <w:ind w:firstLine="315"/>
        <w:spacing w:line="360" w:lineRule="auto"/>
        <w:rPr>
          <w:rFonts w:ascii="宋体" w:hAnsi="宋体"/>
          <w:bCs/>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8.</w:t>
      </w:r>
      <w:r>
        <w:rPr>
          <w:rFonts w:hint="eastAsia" w:ascii="宋体" w:hAnsi="宋体"/>
          <w:bCs/>
          <w:szCs w:val="21"/>
          <w:highlight w:val="none"/>
        </w:rPr>
        <w:t xml:space="preserve">有关本次采购的事项若存在变动或修改，敬请及时关注</w:t>
      </w:r>
      <w:r>
        <w:rPr>
          <w:rFonts w:hint="eastAsia" w:ascii="宋体" w:hAnsi="宋体" w:cs="宋体"/>
          <w:szCs w:val="21"/>
          <w:highlight w:val="none"/>
          <w:lang w:eastAsia="zh-CN"/>
        </w:rPr>
        <w:t xml:space="preserve">“扬州市广陵区政府采购网”“扬州市政府采购网”、“江苏省政府采购网”</w:t>
      </w:r>
      <w:r>
        <w:rPr>
          <w:rFonts w:hint="eastAsia" w:ascii="宋体" w:hAnsi="宋体"/>
          <w:bCs/>
          <w:szCs w:val="21"/>
          <w:highlight w:val="none"/>
        </w:rPr>
        <w:t xml:space="preserve">发布的信息。</w:t>
      </w:r>
      <w:r/>
    </w:p>
    <w:p>
      <w:pPr>
        <w:ind w:firstLine="315"/>
        <w:spacing w:line="360" w:lineRule="auto"/>
        <w:rPr>
          <w:rFonts w:ascii="宋体" w:hAnsi="宋体" w:cs="Arial"/>
          <w:szCs w:val="21"/>
          <w:highlight w:val="none"/>
        </w:rPr>
      </w:pPr>
      <w:r>
        <w:rPr>
          <w:rFonts w:hint="eastAsia" w:ascii="宋体" w:hAnsi="宋体"/>
          <w:bCs/>
          <w:szCs w:val="21"/>
          <w:highlight w:val="none"/>
        </w:rPr>
        <w:t xml:space="preserve">7.</w:t>
      </w:r>
      <w:r>
        <w:rPr>
          <w:rFonts w:hint="eastAsia" w:ascii="宋体" w:hAnsi="宋体"/>
          <w:bCs/>
          <w:szCs w:val="21"/>
          <w:highlight w:val="none"/>
          <w:lang w:val="en-US" w:eastAsia="zh-CN"/>
        </w:rPr>
        <w:t xml:space="preserve">9.</w:t>
      </w:r>
      <w:r>
        <w:rPr>
          <w:rFonts w:hint="eastAsia" w:ascii="宋体" w:hAnsi="宋体"/>
          <w:bCs/>
          <w:i/>
          <w:iCs/>
          <w:szCs w:val="21"/>
          <w:highlight w:val="none"/>
          <w:u w:val="single"/>
        </w:rPr>
        <w:t xml:space="preserve">本磋商文件中斜体下划线部分为实质性响应条款，为必须遵守的条件，如不满足将作无效响应文件处理。</w:t>
      </w:r>
      <w:r/>
    </w:p>
    <w:p>
      <w:pPr>
        <w:pStyle w:val="1106"/>
        <w:ind w:firstLine="420"/>
        <w:spacing w:line="360" w:lineRule="auto"/>
        <w:rPr>
          <w:rFonts w:hAnsi="宋体" w:cs="宋体"/>
          <w:sz w:val="21"/>
          <w:szCs w:val="21"/>
          <w:highlight w:val="none"/>
        </w:rPr>
      </w:pPr>
      <w:r>
        <w:rPr>
          <w:rFonts w:hint="eastAsia" w:ascii="宋体" w:hAnsi="宋体" w:eastAsia="宋体" w:cs="Times New Roman"/>
          <w:bCs/>
          <w:sz w:val="21"/>
          <w:szCs w:val="21"/>
          <w:highlight w:val="none"/>
          <w:lang w:val="en-US" w:eastAsia="zh-CN" w:bidi="ar-SA"/>
        </w:rPr>
        <w:t xml:space="preserve">7.1</w:t>
      </w:r>
      <w:r>
        <w:rPr>
          <w:rFonts w:hint="eastAsia" w:hAnsi="宋体" w:cs="Times New Roman"/>
          <w:bCs/>
          <w:sz w:val="21"/>
          <w:szCs w:val="21"/>
          <w:highlight w:val="none"/>
          <w:lang w:val="en-US" w:eastAsia="zh-CN" w:bidi="ar-SA"/>
        </w:rPr>
        <w:t xml:space="preserve">0</w:t>
      </w:r>
      <w:r>
        <w:rPr>
          <w:rFonts w:hint="eastAsia" w:ascii="宋体" w:hAnsi="宋体" w:eastAsia="宋体" w:cs="Times New Roman"/>
          <w:bCs/>
          <w:sz w:val="21"/>
          <w:szCs w:val="21"/>
          <w:highlight w:val="none"/>
          <w:lang w:val="en-US" w:eastAsia="zh-CN" w:bidi="ar-SA"/>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w:t>
      </w:r>
      <w:r>
        <w:rPr>
          <w:rFonts w:hint="eastAsia" w:hAnsi="宋体" w:cs="宋体"/>
          <w:sz w:val="21"/>
          <w:szCs w:val="21"/>
          <w:highlight w:val="none"/>
        </w:rPr>
        <w:t xml:space="preserve">人民银行咨询，联系电话：0514-87936653。</w:t>
      </w:r>
      <w:r/>
    </w:p>
    <w:p>
      <w:pPr>
        <w:pStyle w:val="1106"/>
        <w:ind w:firstLine="422"/>
        <w:spacing w:line="360" w:lineRule="auto"/>
        <w:rPr>
          <w:rFonts w:hAnsi="宋体" w:cs="宋体"/>
          <w:sz w:val="21"/>
          <w:szCs w:val="21"/>
          <w:highlight w:val="none"/>
        </w:rPr>
      </w:pPr>
      <w:r>
        <w:rPr>
          <w:rFonts w:hint="eastAsia" w:hAnsi="宋体" w:cs="宋体"/>
          <w:sz w:val="21"/>
          <w:szCs w:val="21"/>
          <w:highlight w:val="none"/>
        </w:rPr>
        <w:t xml:space="preserve">7.1</w:t>
      </w:r>
      <w:r>
        <w:rPr>
          <w:rFonts w:hint="eastAsia" w:hAnsi="宋体" w:cs="宋体"/>
          <w:sz w:val="21"/>
          <w:szCs w:val="21"/>
          <w:highlight w:val="none"/>
          <w:lang w:val="en-US" w:eastAsia="zh-CN"/>
        </w:rPr>
        <w:t xml:space="preserve">1.</w:t>
      </w:r>
      <w:r>
        <w:rPr>
          <w:rFonts w:hint="eastAsia" w:hAnsi="宋体" w:cs="宋体"/>
          <w:sz w:val="21"/>
          <w:szCs w:val="21"/>
          <w:highlight w:val="none"/>
        </w:rPr>
        <w:t xml:space="preserve">落实好政府采购履约资金扶持政策。中标/成交供应商可凭政府采购合同办理融资贷款，详见江苏政府采购网“政采贷”专栏。</w:t>
      </w:r>
      <w:r/>
    </w:p>
    <w:p>
      <w:pPr>
        <w:pStyle w:val="1106"/>
        <w:ind w:firstLine="422"/>
        <w:spacing w:line="360" w:lineRule="auto"/>
        <w:rPr>
          <w:rFonts w:hAnsi="宋体" w:cs="宋体"/>
          <w:sz w:val="21"/>
          <w:szCs w:val="21"/>
          <w:highlight w:val="none"/>
        </w:rPr>
      </w:pPr>
      <w:r>
        <w:rPr>
          <w:rFonts w:hint="eastAsia" w:hAnsi="宋体" w:cs="宋体"/>
          <w:sz w:val="21"/>
          <w:szCs w:val="21"/>
          <w:highlight w:val="none"/>
        </w:rPr>
        <w:t xml:space="preserve">7.1</w:t>
      </w:r>
      <w:r>
        <w:rPr>
          <w:rFonts w:hint="eastAsia" w:hAnsi="宋体" w:cs="宋体"/>
          <w:sz w:val="21"/>
          <w:szCs w:val="21"/>
          <w:highlight w:val="none"/>
          <w:lang w:val="en-US" w:eastAsia="zh-CN"/>
        </w:rPr>
        <w:t xml:space="preserve">2.</w:t>
      </w:r>
      <w:r>
        <w:rPr>
          <w:rFonts w:hint="eastAsia" w:hAnsi="宋体" w:cs="宋体"/>
          <w:sz w:val="21"/>
          <w:szCs w:val="21"/>
          <w:highlight w:val="none"/>
        </w:rPr>
        <w:t xml:space="preserve">严格执行政府采购关于支持</w:t>
      </w:r>
      <w:r>
        <w:rPr>
          <w:rFonts w:hint="eastAsia" w:hAnsi="宋体" w:cs="宋体"/>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06"/>
        <w:ind w:firstLine="422"/>
        <w:spacing w:line="360" w:lineRule="auto"/>
        <w:rPr>
          <w:rFonts w:hAnsi="宋体" w:cs="宋体"/>
          <w:sz w:val="21"/>
          <w:szCs w:val="21"/>
          <w:highlight w:val="none"/>
        </w:rPr>
      </w:pPr>
      <w:r>
        <w:rPr>
          <w:rFonts w:hint="eastAsia" w:hAnsi="宋体" w:cs="宋体"/>
          <w:sz w:val="21"/>
          <w:szCs w:val="21"/>
          <w:highlight w:val="none"/>
        </w:rPr>
        <w:t xml:space="preserve">7.1</w:t>
      </w:r>
      <w:r>
        <w:rPr>
          <w:rFonts w:hint="eastAsia" w:hAnsi="宋体" w:cs="宋体"/>
          <w:sz w:val="21"/>
          <w:szCs w:val="21"/>
          <w:highlight w:val="none"/>
          <w:lang w:val="en-US" w:eastAsia="zh-CN"/>
        </w:rPr>
        <w:t xml:space="preserve">3.</w:t>
      </w:r>
      <w:r>
        <w:rPr>
          <w:rFonts w:hint="eastAsia" w:hAnsi="宋体" w:cs="宋体"/>
          <w:sz w:val="21"/>
          <w:szCs w:val="21"/>
          <w:highlight w:val="none"/>
        </w:rPr>
        <w:t xml:space="preserve">供应商对于投标产品的包装应按照“财办库〔2020〕123号《关于印发《商品包装政府采购需求标准（试行）》、《快递包装政府采购需求标准（试行）》的通知》”执行。</w:t>
      </w:r>
      <w:r/>
    </w:p>
    <w:p>
      <w:pPr>
        <w:pStyle w:val="847"/>
        <w:jc w:val="left"/>
        <w:keepLines w:val="0"/>
        <w:keepNext w:val="0"/>
        <w:shd w:val="clear" w:color="auto" w:fill="ffffff"/>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八、凡对本次采购提出询问，请按以下方式联系</w:t>
      </w:r>
      <w:bookmarkEnd w:id="1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单位名称：</w:t>
      </w:r>
      <w:r>
        <w:rPr>
          <w:rFonts w:hint="eastAsia" w:ascii="宋体" w:hAnsi="宋体" w:cs="宋体"/>
          <w:szCs w:val="21"/>
          <w:highlight w:val="none"/>
          <w:lang w:eastAsia="zh-CN"/>
        </w:rPr>
        <w:t xml:space="preserve">扬州市自然资源和规划局广陵分局</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单位地址：</w:t>
      </w:r>
      <w:r>
        <w:rPr>
          <w:rFonts w:ascii="SimSun" w:hAnsi="SimSun" w:eastAsia="SimSun" w:cs="SimSun"/>
          <w:color w:val="000000"/>
          <w:sz w:val="21"/>
        </w:rPr>
        <w:t xml:space="preserve">扬州市广陵区二里桥路40号</w:t>
      </w:r>
      <w:r>
        <w:rPr>
          <w:rFonts w:hint="eastAsia" w:ascii="宋体" w:hAnsi="宋体" w:cs="宋体"/>
          <w:szCs w:val="21"/>
          <w:highlight w:val="none"/>
          <w:lang w:eastAsia="zh-CN"/>
        </w:rPr>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联系人： </w:t>
      </w:r>
      <w:r>
        <w:rPr>
          <w:rFonts w:hint="eastAsia" w:ascii="Segoe UI" w:hAnsi="Segoe UI" w:eastAsia="宋体" w:cs="Segoe UI"/>
          <w:szCs w:val="21"/>
          <w:highlight w:val="none"/>
          <w:shd w:val="clear" w:color="auto" w:fill="ffffff"/>
          <w:lang w:val="en-US" w:eastAsia="zh-CN"/>
        </w:rPr>
        <w:t xml:space="preserve">李鹏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联系电话：0514-87324850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单位名称：扬州筑苑工程招标咨询有限公司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单位地址：扬州市邗江区润扬北路19号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联系人：薛梦宇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联系电话：0514-87116778</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项目联系人：薛梦宇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电话：0514-87116778</w:t>
      </w:r>
      <w:r/>
    </w:p>
    <w:p>
      <w:pPr>
        <w:pStyle w:val="1106"/>
        <w:ind w:firstLine="422"/>
        <w:spacing w:line="360" w:lineRule="auto"/>
        <w:rPr>
          <w:rFonts w:hint="eastAsia" w:hAnsi="宋体" w:cs="宋体"/>
          <w:sz w:val="21"/>
          <w:szCs w:val="21"/>
          <w:highlight w:val="none"/>
        </w:rPr>
      </w:pPr>
      <w:r>
        <w:rPr>
          <w:rFonts w:hint="eastAsia" w:hAnsi="宋体" w:cs="宋体"/>
          <w:sz w:val="21"/>
          <w:szCs w:val="21"/>
          <w:highlight w:val="none"/>
        </w:rPr>
      </w:r>
      <w:bookmarkEnd w:id="0"/>
      <w:r/>
      <w:r/>
    </w:p>
    <w:p>
      <w:pPr>
        <w:pStyle w:val="1050"/>
        <w:jc w:val="center"/>
        <w:spacing w:line="360" w:lineRule="auto"/>
        <w:rPr>
          <w:rFonts w:hint="eastAsia" w:ascii="宋体" w:hAnsi="宋体" w:cs="宋体"/>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5" w:name="_Toc109304972"/>
      <w:r/>
      <w:r/>
    </w:p>
    <w:p>
      <w:pPr>
        <w:pStyle w:val="1050"/>
        <w:jc w:val="center"/>
        <w:spacing w:line="360" w:lineRule="auto"/>
        <w:rPr>
          <w:rFonts w:hint="eastAsia" w:ascii="宋体" w:hAnsi="宋体" w:cs="宋体"/>
          <w:highlight w:val="none"/>
        </w:rPr>
      </w:pPr>
      <w:r>
        <w:rPr>
          <w:rFonts w:hint="eastAsia" w:ascii="宋体" w:hAnsi="宋体" w:cs="宋体"/>
          <w:highlight w:val="none"/>
        </w:rPr>
        <w:t xml:space="preserve">第二章 磋商须知</w:t>
      </w:r>
      <w:bookmarkEnd w:id="15"/>
      <w:r/>
      <w:r/>
    </w:p>
    <w:p>
      <w:pPr>
        <w:ind w:firstLine="420"/>
        <w:spacing w:line="360" w:lineRule="auto"/>
        <w:rPr>
          <w:rFonts w:hint="eastAsia" w:ascii="宋体" w:hAnsi="宋体" w:cs="宋体"/>
          <w:highlight w:val="none"/>
        </w:rPr>
      </w:pPr>
      <w:r>
        <w:rPr>
          <w:rFonts w:hint="eastAsia" w:ascii="宋体" w:hAnsi="宋体" w:cs="宋体"/>
          <w:highlight w:val="none"/>
        </w:rPr>
        <w:t xml:space="preserve">1、采购方式</w:t>
      </w:r>
      <w:r/>
    </w:p>
    <w:p>
      <w:pPr>
        <w:ind w:firstLine="420"/>
        <w:spacing w:line="360" w:lineRule="auto"/>
        <w:rPr>
          <w:rFonts w:hint="eastAsia" w:ascii="宋体" w:hAnsi="宋体" w:cs="宋体"/>
          <w:highlight w:val="none"/>
        </w:rPr>
      </w:pPr>
      <w:r>
        <w:rPr>
          <w:rFonts w:hint="eastAsia" w:ascii="宋体" w:hAnsi="宋体" w:cs="宋体"/>
          <w:highlight w:val="none"/>
        </w:rPr>
        <w:t xml:space="preserve">1.1 本次采购采取竞争性磋商方式，本采购文件仅适用于本项目。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w:t>
      </w:r>
      <w:r/>
    </w:p>
    <w:p>
      <w:pPr>
        <w:ind w:firstLine="422"/>
        <w:spacing w:line="360" w:lineRule="auto"/>
        <w:rPr>
          <w:rFonts w:hint="eastAsia" w:ascii="宋体" w:hAnsi="宋体" w:cs="宋体"/>
          <w:highlight w:val="none"/>
        </w:rPr>
      </w:pPr>
      <w:r>
        <w:rPr>
          <w:rFonts w:hint="eastAsia" w:ascii="宋体" w:hAnsi="宋体" w:cs="宋体"/>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highlight w:val="none"/>
        </w:rPr>
      </w:pPr>
      <w:r>
        <w:rPr>
          <w:rFonts w:hint="eastAsia" w:ascii="宋体" w:hAnsi="宋体" w:cs="宋体"/>
          <w:highlight w:val="none"/>
        </w:rPr>
        <w:t xml:space="preserve">2.2合格的供应商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2.2.1 满足采购公告中供应商的资格条件要求的规定。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2.2.2 满足本文件实质性条款的规定。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3、适用法律</w:t>
      </w:r>
      <w:r/>
    </w:p>
    <w:p>
      <w:pPr>
        <w:ind w:firstLine="422"/>
        <w:spacing w:line="360" w:lineRule="auto"/>
        <w:rPr>
          <w:rFonts w:hint="eastAsia" w:ascii="宋体" w:hAnsi="宋体" w:cs="宋体"/>
          <w:highlight w:val="none"/>
        </w:rPr>
      </w:pPr>
      <w:r>
        <w:rPr>
          <w:rFonts w:hint="eastAsia" w:ascii="宋体" w:hAnsi="宋体" w:cs="宋体"/>
          <w:highlight w:val="none"/>
        </w:rPr>
        <w:t xml:space="preserve">3.1 本次采购及由此产生的合同受中华人民共和国有关的法律法规制约和保护。</w:t>
      </w:r>
      <w:r/>
    </w:p>
    <w:p>
      <w:pPr>
        <w:ind w:firstLine="422"/>
        <w:spacing w:line="360" w:lineRule="auto"/>
        <w:rPr>
          <w:rFonts w:hint="eastAsia" w:ascii="宋体" w:hAnsi="宋体" w:cs="宋体"/>
          <w:highlight w:val="none"/>
        </w:rPr>
      </w:pPr>
      <w:r>
        <w:rPr>
          <w:rFonts w:hint="eastAsia" w:ascii="宋体" w:hAnsi="宋体" w:cs="宋体"/>
          <w:highlight w:val="none"/>
        </w:rPr>
        <w:t xml:space="preserve">4、参加磋商费用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4.1 供应商应自行承担所有与参加磋商有关的费用，无论磋商过程中的做法和结果如何，扬州筑苑工程招标咨询有限公司（以下简称代理机构）在任何情况下均无义务和责任承担这些费用。</w:t>
      </w:r>
      <w:r/>
    </w:p>
    <w:p>
      <w:pPr>
        <w:ind w:firstLine="420"/>
        <w:spacing w:line="360" w:lineRule="auto"/>
        <w:rPr>
          <w:rFonts w:hint="eastAsia" w:ascii="宋体" w:hAnsi="宋体" w:cs="宋体"/>
          <w:highlight w:val="none"/>
        </w:rPr>
      </w:pPr>
      <w:r>
        <w:rPr>
          <w:rFonts w:hint="eastAsia" w:ascii="宋体" w:hAnsi="宋体" w:cs="宋体"/>
          <w:highlight w:val="none"/>
        </w:rPr>
        <w:t xml:space="preserve">4.2</w:t>
      </w:r>
      <w:bookmarkStart w:id="16" w:name="_Hlk115095815"/>
      <w:r>
        <w:rPr>
          <w:rFonts w:hint="eastAsia" w:ascii="宋体" w:hAnsi="宋体" w:cs="宋体"/>
          <w:highlight w:val="none"/>
          <w:lang w:val="en-US" w:eastAsia="zh-CN"/>
        </w:rPr>
        <w:t xml:space="preserve">因本次采购预算中已包含代理服务费，故由成交人在领取成交通知书前</w:t>
      </w:r>
      <w:r>
        <w:rPr>
          <w:rFonts w:hint="eastAsia" w:ascii="宋体" w:hAnsi="宋体" w:cs="宋体"/>
          <w:highlight w:val="none"/>
        </w:rPr>
        <w:t xml:space="preserve">根据发改价格【2011】534号文件服务类标准向招标代理机构支付代理服务费。</w:t>
      </w:r>
      <w:r>
        <w:rPr>
          <w:rFonts w:hint="eastAsia" w:ascii="宋体" w:hAnsi="宋体" w:cs="宋体"/>
          <w:highlight w:val="none"/>
          <w:lang w:val="en-US" w:eastAsia="zh-CN"/>
        </w:rPr>
        <w:t xml:space="preserve">供应商的报价应当包含本项目代理服务费，采购人及招标代理机构不再另行支付。</w:t>
      </w:r>
      <w:r/>
    </w:p>
    <w:p>
      <w:pPr>
        <w:ind w:firstLine="420"/>
        <w:spacing w:line="360" w:lineRule="auto"/>
        <w:rPr>
          <w:rFonts w:hint="eastAsia" w:ascii="宋体" w:hAnsi="宋体" w:cs="宋体"/>
          <w:highlight w:val="none"/>
        </w:rPr>
      </w:pPr>
      <w:r>
        <w:rPr>
          <w:rFonts w:hint="eastAsia" w:ascii="宋体" w:hAnsi="宋体" w:cs="宋体"/>
          <w:highlight w:val="none"/>
        </w:rPr>
        <w:t xml:space="preserve">4.3专家评审费按扬财购【2020】40 号文《关于进一步规范扬州市政府采购专家评审费标准的通知》执行。</w:t>
      </w:r>
      <w:bookmarkEnd w:id="16"/>
      <w:r/>
      <w:r/>
    </w:p>
    <w:p>
      <w:pPr>
        <w:ind w:firstLine="420"/>
        <w:spacing w:line="360" w:lineRule="auto"/>
        <w:rPr>
          <w:rFonts w:hint="eastAsia"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5.1 供应商一旦参加本项目采购活动，即被认为接受了本采购文件的规定和约束。</w:t>
      </w:r>
      <w:r/>
    </w:p>
    <w:p>
      <w:pPr>
        <w:ind w:firstLine="420"/>
        <w:spacing w:line="360" w:lineRule="auto"/>
        <w:rPr>
          <w:rFonts w:hint="eastAsia"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6.1 采购文件有以下部分组成：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（1）采购公告</w:t>
      </w:r>
      <w:r/>
    </w:p>
    <w:p>
      <w:pPr>
        <w:ind w:firstLine="420"/>
        <w:spacing w:line="360" w:lineRule="auto"/>
        <w:rPr>
          <w:rFonts w:hint="eastAsia" w:ascii="宋体" w:hAnsi="宋体" w:cs="宋体"/>
          <w:highlight w:val="none"/>
        </w:rPr>
      </w:pPr>
      <w:r>
        <w:rPr>
          <w:rFonts w:hint="eastAsia" w:ascii="宋体" w:hAnsi="宋体" w:cs="宋体"/>
          <w:highlight w:val="none"/>
        </w:rPr>
        <w:t xml:space="preserve">（2）磋商须知</w:t>
      </w:r>
      <w:r>
        <w:rPr>
          <w:rFonts w:hint="eastAsia" w:ascii="宋体" w:hAnsi="宋体" w:cs="宋体"/>
          <w:highlight w:val="none"/>
        </w:rPr>
        <w:tab/>
      </w:r>
      <w:r/>
    </w:p>
    <w:p>
      <w:pPr>
        <w:ind w:firstLine="420"/>
        <w:spacing w:line="360" w:lineRule="auto"/>
        <w:rPr>
          <w:rFonts w:hint="eastAsia" w:ascii="宋体" w:hAnsi="宋体" w:cs="宋体"/>
          <w:highlight w:val="none"/>
        </w:rPr>
      </w:pPr>
      <w:r>
        <w:rPr>
          <w:rFonts w:hint="eastAsia" w:ascii="宋体" w:hAnsi="宋体" w:cs="宋体"/>
          <w:highlight w:val="none"/>
        </w:rPr>
        <w:t xml:space="preserve">（3）合同条款及格式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（4）项目需求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（5）评审方法与评审标准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（6）竞争性磋商响应文件格式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hint="eastAsia" w:ascii="宋体" w:hAnsi="宋体" w:cs="宋体"/>
          <w:highlight w:val="none"/>
        </w:rPr>
      </w:pPr>
      <w:r>
        <w:rPr>
          <w:rFonts w:hint="eastAsia" w:ascii="宋体" w:hAnsi="宋体" w:cs="宋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7</w:t>
      </w:r>
      <w:r>
        <w:rPr>
          <w:rFonts w:hint="eastAsia" w:ascii="宋体" w:hAnsi="宋体" w:cs="宋体"/>
          <w:b/>
          <w:bCs/>
          <w:highlight w:val="none"/>
        </w:rPr>
        <w:t xml:space="preserve">、</w:t>
      </w:r>
      <w:r>
        <w:rPr>
          <w:rFonts w:hint="eastAsia" w:ascii="宋体" w:hAnsi="宋体" w:cs="宋体"/>
          <w:highlight w:val="none"/>
        </w:rPr>
        <w:t xml:space="preserve">采购文件的澄清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8</w:t>
      </w:r>
      <w:r>
        <w:rPr>
          <w:rFonts w:hint="eastAsia" w:ascii="宋体" w:hAnsi="宋体" w:cs="宋体"/>
          <w:b/>
          <w:bCs/>
          <w:highlight w:val="none"/>
        </w:rPr>
        <w:t xml:space="preserve">、</w:t>
      </w:r>
      <w:r>
        <w:rPr>
          <w:rFonts w:hint="eastAsia" w:ascii="宋体" w:hAnsi="宋体" w:cs="宋体"/>
          <w:highlight w:val="none"/>
        </w:rPr>
        <w:t xml:space="preserve">采购文件的修改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8.2采购文件的修改将在</w:t>
      </w:r>
      <w:r>
        <w:rPr>
          <w:rFonts w:hint="eastAsia" w:ascii="宋体" w:hAnsi="宋体" w:cs="宋体"/>
          <w:highlight w:val="none"/>
          <w:lang w:eastAsia="zh-CN"/>
        </w:rPr>
        <w:t xml:space="preserve">“扬州市广陵区政府采购网”、“扬州市政府采购网”、“江苏省政府采购网”</w:t>
      </w:r>
      <w:r>
        <w:rPr>
          <w:rFonts w:hint="eastAsia" w:ascii="宋体" w:hAnsi="宋体" w:cs="宋体"/>
          <w:highlight w:val="none"/>
        </w:rPr>
        <w:t xml:space="preserve">公布，补充文件将作为采购文件的组成部分，并对供应商具有约束力。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hint="eastAsia"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（1）资格审查响应对照表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（2）符合性审查响应对照表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（3）非实质性响应对照表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（4）磋商响应报价表 </w:t>
      </w:r>
      <w:r/>
    </w:p>
    <w:p>
      <w:pPr>
        <w:ind w:firstLine="420"/>
        <w:spacing w:line="360" w:lineRule="auto"/>
        <w:rPr>
          <w:rFonts w:hint="eastAsia" w:ascii="宋体" w:hAnsi="宋体" w:cs="宋体"/>
          <w:highlight w:val="none"/>
        </w:rPr>
      </w:pPr>
      <w:r>
        <w:rPr>
          <w:rFonts w:hint="eastAsia" w:ascii="宋体" w:hAnsi="宋体" w:cs="宋体"/>
          <w:highlight w:val="none"/>
        </w:rPr>
        <w:t xml:space="preserve">（5）分项报价表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（6）技术参数响应及偏离表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（7）商务条款响应及偏离表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（8）其他（供应商认为有必要提供的声明和文件，如有自拟并自行添加。设计方案）</w:t>
      </w:r>
      <w:r/>
    </w:p>
    <w:p>
      <w:pPr>
        <w:ind w:firstLine="422"/>
        <w:spacing w:line="360" w:lineRule="auto"/>
        <w:rPr>
          <w:rFonts w:hint="eastAsia" w:ascii="宋体" w:hAnsi="宋体" w:cs="宋体"/>
          <w:highlight w:val="none"/>
        </w:rPr>
      </w:pPr>
      <w:r>
        <w:rPr>
          <w:rFonts w:hint="eastAsia" w:ascii="宋体" w:hAnsi="宋体" w:cs="宋体"/>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highlight w:val="none"/>
        </w:rPr>
      </w:pPr>
      <w:r>
        <w:rPr>
          <w:rFonts w:hint="eastAsia" w:ascii="宋体" w:hAnsi="宋体" w:cs="宋体"/>
          <w:highlight w:val="none"/>
        </w:rPr>
        <w:t xml:space="preserve">12.2 标的物</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采购人需求的服务供应、安装，调试及有关技术服务等。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hint="eastAsia" w:ascii="宋体" w:hAnsi="宋体" w:cs="宋体"/>
          <w:highlight w:val="none"/>
        </w:rPr>
      </w:pPr>
      <w:r>
        <w:rPr>
          <w:rFonts w:hint="eastAsia" w:ascii="宋体" w:hAnsi="宋体" w:cs="宋体"/>
          <w:highlight w:val="none"/>
        </w:rPr>
        <w:t xml:space="preserve">13、技术参数响应及偏离表、商务条款响应及偏离表及磋商服务说明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13.1 对采购文件中的技术与商务条款要求逐项作出响应或偏离，并说明原因；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13.2 提供参加本项目类似案例简介；</w:t>
      </w:r>
      <w:r/>
    </w:p>
    <w:p>
      <w:pPr>
        <w:ind w:firstLine="420"/>
        <w:spacing w:line="360" w:lineRule="auto"/>
        <w:rPr>
          <w:rFonts w:hint="eastAsia" w:ascii="宋体" w:hAnsi="宋体" w:cs="宋体"/>
          <w:highlight w:val="none"/>
        </w:rPr>
      </w:pPr>
      <w:r>
        <w:rPr>
          <w:rFonts w:hint="eastAsia" w:ascii="宋体" w:hAnsi="宋体" w:cs="宋体"/>
          <w:highlight w:val="none"/>
        </w:rPr>
        <w:t xml:space="preserve">13.3 详细阐述所投服务的主要组成部分、功能设计、实现思路及关键技术；</w:t>
      </w:r>
      <w:r/>
    </w:p>
    <w:p>
      <w:pPr>
        <w:ind w:firstLine="420"/>
        <w:spacing w:line="360" w:lineRule="auto"/>
        <w:rPr>
          <w:rFonts w:hint="eastAsia" w:ascii="宋体" w:hAnsi="宋体" w:cs="宋体"/>
          <w:highlight w:val="none"/>
        </w:rPr>
      </w:pPr>
      <w:r>
        <w:rPr>
          <w:rFonts w:hint="eastAsia" w:ascii="宋体" w:hAnsi="宋体" w:cs="宋体"/>
          <w:highlight w:val="none"/>
        </w:rPr>
        <w:t xml:space="preserve">13.4 供应商认为需要的其他技术文件或说明。</w:t>
      </w:r>
      <w:r/>
    </w:p>
    <w:p>
      <w:pPr>
        <w:ind w:firstLine="422"/>
        <w:spacing w:line="360" w:lineRule="auto"/>
        <w:rPr>
          <w:rFonts w:hint="eastAsia" w:ascii="宋体" w:hAnsi="宋体" w:cs="宋体"/>
          <w:highlight w:val="none"/>
        </w:rPr>
      </w:pPr>
      <w:r>
        <w:rPr>
          <w:rFonts w:hint="eastAsia" w:ascii="宋体" w:hAnsi="宋体" w:cs="宋体"/>
          <w:highlight w:val="none"/>
        </w:rPr>
        <w:t xml:space="preserve">14、服务承诺及售后服务机构、人员的情况介绍</w:t>
      </w:r>
      <w:r/>
    </w:p>
    <w:p>
      <w:pPr>
        <w:ind w:firstLine="420"/>
        <w:spacing w:line="360" w:lineRule="auto"/>
        <w:rPr>
          <w:rFonts w:hint="eastAsia"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15、磋商响应函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15.1 供应商应按照扬州市政府采购交易管理系统提供的格式完整、正确填写磋商响应函。</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16、磋商响应有效期</w:t>
      </w:r>
      <w:r/>
    </w:p>
    <w:p>
      <w:pPr>
        <w:ind w:firstLine="420"/>
        <w:spacing w:line="360" w:lineRule="auto"/>
        <w:rPr>
          <w:rFonts w:hint="eastAsia" w:ascii="宋体" w:hAnsi="宋体" w:cs="宋体"/>
          <w:highlight w:val="none"/>
        </w:rPr>
      </w:pPr>
      <w:r>
        <w:rPr>
          <w:rFonts w:hint="eastAsia" w:ascii="宋体" w:hAnsi="宋体" w:cs="宋体"/>
          <w:highlight w:val="none"/>
        </w:rPr>
        <w:t xml:space="preserve">16.1 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highlight w:val="none"/>
        </w:rPr>
      </w:pPr>
      <w:r/>
      <w:bookmarkStart w:id="17" w:name="_Toc16938541"/>
      <w:r/>
      <w:bookmarkStart w:id="18" w:name="_Toc20823297"/>
      <w:r>
        <w:rPr>
          <w:rFonts w:hint="eastAsia" w:ascii="宋体" w:hAnsi="宋体" w:cs="宋体"/>
          <w:highlight w:val="none"/>
        </w:rPr>
        <w:t xml:space="preserve">17、响应文件</w:t>
      </w:r>
      <w:bookmarkEnd w:id="17"/>
      <w:r/>
      <w:bookmarkEnd w:id="18"/>
      <w:r>
        <w:rPr>
          <w:rFonts w:hint="eastAsia" w:ascii="宋体" w:hAnsi="宋体" w:cs="宋体"/>
          <w:highlight w:val="none"/>
        </w:rPr>
        <w:t xml:space="preserve">的递交</w:t>
      </w:r>
      <w:r/>
    </w:p>
    <w:p>
      <w:pPr>
        <w:ind w:firstLine="420"/>
        <w:spacing w:line="360" w:lineRule="auto"/>
        <w:rPr>
          <w:rFonts w:hint="eastAsia" w:ascii="宋体" w:hAnsi="宋体" w:cs="宋体"/>
          <w:highlight w:val="none"/>
        </w:rPr>
      </w:pPr>
      <w:r>
        <w:rPr>
          <w:rFonts w:hint="eastAsia" w:ascii="宋体" w:hAnsi="宋体" w:cs="宋体"/>
          <w:highlight w:val="none"/>
        </w:rPr>
        <w:t xml:space="preserve">17.1 电子响应文件的递交供应商应当按照《操作手册》规定，在磋商响应截止时间前制作并上传电子响应文件。</w:t>
      </w:r>
      <w:bookmarkStart w:id="19" w:name="_Toc16938542"/>
      <w:r/>
      <w:bookmarkStart w:id="20" w:name="_Toc20823298"/>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17.2政府采购管理交易系统（苏采云）相关要求是本采购文件的组成部分。</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17.5</w:t>
      </w:r>
      <w:r>
        <w:rPr>
          <w:rFonts w:hint="eastAsia" w:ascii="宋体" w:hAnsi="宋体" w:cs="宋体"/>
          <w:bCs/>
          <w:highlight w:val="none"/>
        </w:rPr>
        <w:t xml:space="preserve">供应商</w:t>
      </w:r>
      <w:r>
        <w:rPr>
          <w:rFonts w:hint="eastAsia" w:ascii="宋体" w:hAnsi="宋体" w:cs="宋体"/>
          <w:bCs/>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cs="宋体"/>
          <w:bCs/>
          <w:highlight w:val="none"/>
        </w:rPr>
      </w:pPr>
      <w:r>
        <w:rPr>
          <w:rFonts w:hint="eastAsia" w:ascii="宋体" w:hAnsi="宋体" w:cs="宋体"/>
          <w:bCs/>
          <w:szCs w:val="21"/>
          <w:highlight w:val="none"/>
        </w:rPr>
        <w:t xml:space="preserve">17.6各</w:t>
      </w:r>
      <w:r>
        <w:rPr>
          <w:rFonts w:hint="eastAsia" w:ascii="宋体" w:hAnsi="宋体" w:cs="宋体"/>
          <w:bCs/>
          <w:highlight w:val="none"/>
        </w:rPr>
        <w:t xml:space="preserve">供应商</w:t>
      </w:r>
      <w:r>
        <w:rPr>
          <w:rFonts w:hint="eastAsia" w:ascii="宋体" w:hAnsi="宋体" w:cs="宋体"/>
          <w:bCs/>
          <w:szCs w:val="21"/>
          <w:highlight w:val="none"/>
        </w:rPr>
        <w:t xml:space="preserve">应在规定时间内凭CA证书进行网上解密。</w:t>
      </w:r>
      <w:r/>
    </w:p>
    <w:p>
      <w:pPr>
        <w:ind w:firstLine="422"/>
        <w:spacing w:line="360" w:lineRule="auto"/>
        <w:rPr>
          <w:rFonts w:hint="eastAsia" w:ascii="宋体" w:hAnsi="宋体" w:cs="宋体"/>
          <w:bCs/>
          <w:sz w:val="24"/>
          <w:highlight w:val="none"/>
        </w:rPr>
      </w:pPr>
      <w:r>
        <w:rPr>
          <w:rFonts w:hint="eastAsia" w:ascii="宋体" w:hAnsi="宋体" w:cs="宋体"/>
          <w:bCs/>
          <w:highlight w:val="none"/>
        </w:rPr>
        <w:t xml:space="preserve">18、磋商响应截止日期</w:t>
      </w:r>
      <w:bookmarkEnd w:id="19"/>
      <w:r/>
      <w:bookmarkEnd w:id="20"/>
      <w:r/>
      <w:r/>
    </w:p>
    <w:p>
      <w:pPr>
        <w:ind w:firstLine="420"/>
        <w:spacing w:line="360" w:lineRule="auto"/>
        <w:rPr>
          <w:rFonts w:hint="eastAsia" w:ascii="宋体" w:hAnsi="宋体" w:cs="宋体"/>
          <w:bCs/>
          <w:i/>
          <w:highlight w:val="none"/>
          <w:u w:val="single"/>
        </w:rPr>
      </w:pPr>
      <w:r>
        <w:rPr>
          <w:rFonts w:hint="eastAsia" w:ascii="宋体" w:hAnsi="宋体" w:cs="宋体"/>
          <w:i/>
          <w:highlight w:val="none"/>
          <w:u w:val="single"/>
        </w:rPr>
        <w:t xml:space="preserve">18.1</w:t>
      </w:r>
      <w:r>
        <w:rPr>
          <w:rFonts w:hint="eastAsia" w:ascii="宋体" w:hAnsi="宋体" w:cs="宋体"/>
          <w:bCs/>
          <w:i/>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highlight w:val="none"/>
        </w:rPr>
      </w:pPr>
      <w:r/>
      <w:bookmarkStart w:id="21" w:name="_Toc16938543"/>
      <w:r/>
      <w:bookmarkStart w:id="22" w:name="_Toc20823299"/>
      <w:r>
        <w:rPr>
          <w:rFonts w:hint="eastAsia" w:ascii="宋体" w:hAnsi="宋体" w:cs="宋体"/>
          <w:highlight w:val="none"/>
        </w:rPr>
        <w:t xml:space="preserve">19、响应文件</w:t>
      </w:r>
      <w:bookmarkEnd w:id="21"/>
      <w:r/>
      <w:bookmarkEnd w:id="22"/>
      <w:r>
        <w:rPr>
          <w:rFonts w:hint="eastAsia" w:ascii="宋体" w:hAnsi="宋体" w:cs="宋体"/>
          <w:highlight w:val="none"/>
        </w:rPr>
        <w:t xml:space="preserve">的拒收</w:t>
      </w:r>
      <w:r/>
    </w:p>
    <w:p>
      <w:pPr>
        <w:ind w:firstLine="420"/>
        <w:spacing w:line="360" w:lineRule="auto"/>
        <w:rPr>
          <w:rFonts w:hint="eastAsia"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hint="eastAsia" w:ascii="宋体" w:hAnsi="宋体" w:cs="宋体"/>
          <w:highlight w:val="none"/>
        </w:rPr>
      </w:pPr>
      <w:r/>
      <w:bookmarkStart w:id="23" w:name="_Toc20823300"/>
      <w:r/>
      <w:bookmarkStart w:id="24" w:name="_Toc16938544"/>
      <w:r>
        <w:rPr>
          <w:rFonts w:hint="eastAsia" w:ascii="宋体" w:hAnsi="宋体" w:cs="宋体"/>
          <w:highlight w:val="none"/>
        </w:rPr>
        <w:t xml:space="preserve">20、响应文件的撤回和修改</w:t>
      </w:r>
      <w:bookmarkEnd w:id="23"/>
      <w:r/>
      <w:bookmarkEnd w:id="24"/>
      <w:r/>
      <w:r/>
    </w:p>
    <w:p>
      <w:pPr>
        <w:ind w:firstLine="420"/>
        <w:spacing w:line="360" w:lineRule="auto"/>
        <w:rPr>
          <w:rFonts w:hint="eastAsia" w:ascii="宋体" w:hAnsi="宋体" w:cs="宋体"/>
          <w:highlight w:val="none"/>
        </w:rPr>
      </w:pPr>
      <w:r>
        <w:rPr>
          <w:rFonts w:hint="eastAsia" w:ascii="宋体" w:hAnsi="宋体" w:cs="宋体"/>
          <w:highlight w:val="none"/>
        </w:rPr>
        <w:t xml:space="preserve">20.1 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20.1.1 电子响应文件的撤回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20.1.2 供应商撤回电子响应文件，则认为其不再参与本项目磋商谈判。</w:t>
      </w:r>
      <w:r/>
    </w:p>
    <w:p>
      <w:pPr>
        <w:ind w:firstLine="420"/>
        <w:spacing w:line="360" w:lineRule="auto"/>
        <w:rPr>
          <w:rFonts w:hint="eastAsia" w:ascii="宋体" w:hAnsi="宋体" w:cs="宋体"/>
          <w:highlight w:val="none"/>
        </w:rPr>
      </w:pPr>
      <w:r>
        <w:rPr>
          <w:rFonts w:hint="eastAsia" w:ascii="宋体" w:hAnsi="宋体" w:cs="宋体"/>
          <w:highlight w:val="none"/>
        </w:rPr>
        <w:t xml:space="preserve">20.2 响应文件的修改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20.3 在磋商截止时间之后，供应商不得对其电子响应文件作任何修改。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21、磋商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22、磋商小组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22.1</w:t>
      </w:r>
      <w:r>
        <w:rPr>
          <w:rFonts w:hint="eastAsia" w:ascii="宋体" w:hAnsi="宋体" w:cs="宋体"/>
          <w:b/>
          <w:bCs/>
          <w:highlight w:val="none"/>
        </w:rPr>
        <w:t xml:space="preserve"> </w:t>
      </w:r>
      <w:r>
        <w:rPr>
          <w:rFonts w:hint="eastAsia" w:ascii="宋体" w:hAnsi="宋体" w:cs="宋体"/>
          <w:highlight w:val="none"/>
        </w:rPr>
        <w:t xml:space="preserve">磋商开始后，代理机构将立即组织磋商小组进行评审。</w:t>
      </w:r>
      <w:r/>
    </w:p>
    <w:p>
      <w:pPr>
        <w:ind w:firstLine="420"/>
        <w:spacing w:line="360" w:lineRule="auto"/>
        <w:rPr>
          <w:rFonts w:hint="eastAsia"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23、评审过程的保密与公正</w:t>
      </w:r>
      <w:r/>
    </w:p>
    <w:p>
      <w:pPr>
        <w:ind w:firstLine="420"/>
        <w:spacing w:line="360" w:lineRule="auto"/>
        <w:rPr>
          <w:rFonts w:hint="eastAsia"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23.3 在评审期间，代理机构将设专门工作人员与供应商联系。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24、磋商的澄清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24.2接到磋商小组澄清要求的供应商应按磋商小组规定的时间和格式在“政府采购管理交易系统（苏采云）”中做出澄清，澄清的内容作为响应文件的补充部分。具体操作方式见</w:t>
      </w:r>
      <w:r>
        <w:rPr>
          <w:rFonts w:hint="eastAsia" w:ascii="宋体" w:hAnsi="宋体" w:cs="宋体"/>
          <w:bCs/>
          <w:highlight w:val="none"/>
        </w:rPr>
        <w:t xml:space="preserve">《操作手册》</w:t>
      </w:r>
      <w:r>
        <w:rPr>
          <w:rFonts w:hint="eastAsia" w:ascii="宋体" w:hAnsi="宋体" w:cs="宋体"/>
          <w:highlight w:val="none"/>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25、对响应文件的初审</w:t>
      </w:r>
      <w:r/>
    </w:p>
    <w:p>
      <w:pPr>
        <w:ind w:firstLine="420"/>
        <w:spacing w:line="360" w:lineRule="auto"/>
        <w:rPr>
          <w:rFonts w:hint="eastAsia"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hint="eastAsia"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jc w:val="left"/>
        <w:spacing w:line="360" w:lineRule="auto"/>
        <w:rPr>
          <w:rFonts w:hint="eastAsia" w:ascii="宋体" w:hAnsi="宋体"/>
          <w:highlight w:val="none"/>
        </w:rPr>
      </w:pPr>
      <w:r>
        <w:rPr>
          <w:rFonts w:hint="eastAsia" w:ascii="宋体" w:hAnsi="宋体"/>
          <w:highlight w:val="none"/>
        </w:rP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jc w:val="left"/>
        <w:spacing w:line="360" w:lineRule="auto"/>
        <w:rPr>
          <w:rFonts w:hint="eastAsia" w:ascii="宋体" w:hAnsi="宋体" w:cs="宋体"/>
          <w:highlight w:val="none"/>
        </w:rPr>
      </w:pPr>
      <w:r>
        <w:rPr>
          <w:rFonts w:hint="eastAsia" w:ascii="宋体" w:hAnsi="宋体"/>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25.4 供应商在开、评标全过程中应保持通讯畅通，并安排专人与代理机构及磋商小组联系。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26、磋商程序及评审方法和标准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26.1磋商程序</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26.1.1 对于通过资格性和符合性审查的供应商，磋商小组所有成员将集中与单一供应商在“</w:t>
      </w:r>
      <w:r>
        <w:rPr>
          <w:rFonts w:hint="eastAsia" w:ascii="宋体" w:hAnsi="宋体" w:cs="宋体"/>
          <w:b/>
          <w:bCs/>
          <w:highlight w:val="none"/>
          <w:shd w:val="clear" w:color="ffffff" w:fill="ffffff"/>
        </w:rPr>
        <w:t xml:space="preserve">政府采购管理交易系统（苏采云）</w:t>
      </w:r>
      <w:r>
        <w:rPr>
          <w:rFonts w:hint="eastAsia" w:ascii="宋体" w:hAnsi="宋体" w:cs="宋体"/>
          <w:b/>
          <w:bCs/>
          <w:highlight w:val="none"/>
        </w:rPr>
        <w:t xml:space="preserve">”中分别进行磋商。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 评审方法和标准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26.2.2评审标准</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见本采购文件第五章规定。</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27、无效响应及采购活动终止的情况</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27.1无效响应条款</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27.1.1 供应商未按照采购文件要求上传电子磋商响应文件的。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27.1.2 供应商未成功解密电子磋商响应文件的。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27.1.3 供应商不具备采购文件中规定资格要求的。</w:t>
      </w:r>
      <w:r>
        <w:rPr>
          <w:rFonts w:hint="eastAsia" w:ascii="宋体" w:hAnsi="宋体" w:cs="宋体"/>
          <w:bCs/>
          <w:i/>
          <w:color w:val="ff0000"/>
          <w:sz w:val="21"/>
          <w:szCs w:val="22"/>
          <w:highlight w:val="none"/>
          <w:u w:val="single"/>
        </w:rPr>
        <w:t xml:space="preserve">（注：若以联合体形式参加本项目投标，资格材料联合体各方均需提供。）</w:t>
      </w:r>
      <w:r/>
    </w:p>
    <w:p>
      <w:pPr>
        <w:pStyle w:val="881"/>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27.1.4 以联合体投标的未提供联合体协议书</w:t>
      </w:r>
      <w:r/>
    </w:p>
    <w:p>
      <w:pPr>
        <w:pStyle w:val="881"/>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27.1.5未通过符合性审查的。</w:t>
      </w:r>
      <w:r/>
    </w:p>
    <w:p>
      <w:pPr>
        <w:pStyle w:val="881"/>
        <w:ind w:firstLine="420"/>
        <w:spacing w:line="380" w:lineRule="exact"/>
        <w:rPr>
          <w:rFonts w:hint="eastAsia" w:ascii="宋体" w:hAnsi="宋体" w:cs="宋体"/>
          <w:bCs/>
          <w:i/>
          <w:iCs/>
          <w:sz w:val="21"/>
          <w:szCs w:val="22"/>
          <w:highlight w:val="none"/>
          <w:u w:val="single"/>
        </w:rPr>
      </w:pPr>
      <w:r>
        <w:rPr>
          <w:rFonts w:hint="eastAsia" w:ascii="宋体" w:hAnsi="宋体" w:cs="宋体"/>
          <w:bCs/>
          <w:sz w:val="21"/>
          <w:szCs w:val="22"/>
          <w:highlight w:val="none"/>
        </w:rPr>
        <w:t xml:space="preserve">27.1.6不符合采购文件中规定的其他实质性要求和条件的</w:t>
      </w:r>
      <w:r>
        <w:rPr>
          <w:rFonts w:hint="eastAsia" w:ascii="宋体" w:hAnsi="宋体" w:cs="宋体"/>
          <w:bCs/>
          <w:i/>
          <w:iCs/>
          <w:sz w:val="21"/>
          <w:szCs w:val="22"/>
          <w:highlight w:val="none"/>
          <w:u w:val="single"/>
        </w:rPr>
        <w:t xml:space="preserve">（本采购文件中斜体且有下划线部分为实质性要求和条件）。</w:t>
      </w:r>
      <w:r/>
    </w:p>
    <w:p>
      <w:pPr>
        <w:pStyle w:val="881"/>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27.1.7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81"/>
        <w:ind w:firstLine="420"/>
        <w:spacing w:line="380" w:lineRule="exact"/>
        <w:rPr>
          <w:rFonts w:hint="eastAsia" w:ascii="宋体" w:hAnsi="宋体" w:cs="宋体"/>
          <w:bCs/>
          <w:sz w:val="21"/>
          <w:szCs w:val="22"/>
          <w:highlight w:val="none"/>
        </w:rPr>
      </w:pPr>
      <w:r>
        <w:rPr>
          <w:rFonts w:hint="eastAsia" w:ascii="宋体" w:hAnsi="宋体" w:cs="宋体"/>
          <w:bCs/>
          <w:sz w:val="21"/>
          <w:szCs w:val="22"/>
          <w:highlight w:val="none"/>
        </w:rPr>
        <w:t xml:space="preserve">27.1.8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27.1.9 其他法律、法规及本采购文件规定的属无效响应的情形。</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 异常低价投标（响应）</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27.1.10.1.投标（响应）报价低于全部通过符合性审查供应商投标（响应）报价平均值50%的，即投标（响应）报价&lt;全部通过符合性审查供应商投标（响应）报价平均值×50%；</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27.1.10.2.投标（响应）报价低于通过符合性审查的次低报价供应商投标（响应）报价50%的，即投标（响应）报价&lt;通过符合性审查的次低报价供应商投标（响应）报价×50%；</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27.1.10.3.投标（响应）报价低于采购项目最高限价45%的，即投标（响应）报价&lt;采购项目最高限价×45%；</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27.1.10.4.评审委员会基于专业判断，认为供应商报价过低，有可能影响产品质量或者不能诚信履约的其他情形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Cs/>
          <w:color w:val="ff0000"/>
          <w:sz w:val="21"/>
          <w:szCs w:val="21"/>
          <w:highlight w:val="none"/>
          <w:lang w:val="en-US" w:eastAsia="zh-CN"/>
        </w:rPr>
      </w:pPr>
      <w:r>
        <w:rPr>
          <w:rFonts w:hint="eastAsia" w:ascii="宋体" w:hAnsi="宋体" w:eastAsia="宋体" w:cs="宋体"/>
          <w:bCs/>
          <w:color w:val="ff0000"/>
          <w:sz w:val="21"/>
          <w:szCs w:val="21"/>
          <w:highlight w:val="none"/>
          <w:lang w:val="en-US" w:eastAsia="zh-CN"/>
        </w:rPr>
        <w:t xml:space="preserve">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 xml:space="preserve">采购活动终止的情况</w:t>
      </w:r>
      <w:r>
        <w:rPr>
          <w:rFonts w:hint="eastAsia" w:ascii="宋体" w:hAnsi="宋体" w:cs="宋体"/>
          <w:bCs/>
          <w:highlight w:val="none"/>
        </w:rPr>
        <w:t xml:space="preserve">：</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27.2.1 因情况变化，不再符合规定的竞争性磋商采购方式适用情形的；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27.2.2 出现影响采购公正的违法、违规行为的；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27.2.3 </w:t>
      </w:r>
      <w:r>
        <w:rPr>
          <w:rFonts w:hint="eastAsia" w:ascii="宋体" w:hAnsi="宋体" w:cs="宋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27.2.4 因重大变故，采购任务取消的。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28、确定成交单位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highlight w:val="none"/>
        </w:rPr>
      </w:pPr>
      <w:r>
        <w:rPr>
          <w:rFonts w:hint="eastAsia" w:ascii="宋体" w:hAnsi="宋体" w:cs="宋体"/>
          <w:highlight w:val="none"/>
        </w:rPr>
        <w:t xml:space="preserve">28.2 采购人应根据磋商推荐的成交候选人，按照排序由高到低的原件确定成交供应商。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28.3 代理机构将在</w:t>
      </w:r>
      <w:r>
        <w:rPr>
          <w:rFonts w:hint="eastAsia" w:ascii="宋体" w:hAnsi="宋体" w:cs="宋体"/>
          <w:highlight w:val="none"/>
          <w:lang w:eastAsia="zh-CN"/>
        </w:rPr>
        <w:t xml:space="preserve">“扬州市广陵区政府采购网”、“扬州市政府采购网”、“江苏省政府采购网”</w:t>
      </w:r>
      <w:r>
        <w:rPr>
          <w:rFonts w:hint="eastAsia" w:ascii="宋体" w:hAnsi="宋体" w:cs="宋体"/>
          <w:highlight w:val="none"/>
        </w:rPr>
        <w:t xml:space="preserve">发布成交公告，公告期限为1个工作日。</w:t>
      </w:r>
      <w:r/>
    </w:p>
    <w:p>
      <w:pPr>
        <w:ind w:firstLine="420"/>
        <w:spacing w:line="360" w:lineRule="auto"/>
        <w:rPr>
          <w:rFonts w:hint="eastAsia" w:ascii="宋体" w:hAnsi="宋体" w:cs="宋体"/>
          <w:highlight w:val="none"/>
        </w:rPr>
      </w:pPr>
      <w:r>
        <w:rPr>
          <w:rFonts w:hint="eastAsia" w:ascii="宋体" w:hAnsi="宋体" w:cs="宋体"/>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28.4.1 提供虚假材料谋取成交的；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28.4.2 向采购人、代理机构行贿或者提供其他不正当利益的；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28.4.3 恶意竞争，最终总报价明显低于其自身合理成本且又无法提供证明的；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28.4.4 属于本文件规定的无效条件，但在评审过程中又未被磋商小组发现的；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28.4.5 与采购人或者其他供应商恶意串通的；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28.4.6 采取不正当手段诋毁、排挤其他供应商的；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28.4.7 不符合法律、法规的规定的。</w:t>
      </w:r>
      <w:r/>
    </w:p>
    <w:p>
      <w:pPr>
        <w:ind w:firstLine="420"/>
        <w:spacing w:line="360" w:lineRule="auto"/>
        <w:rPr>
          <w:rFonts w:hint="eastAsia" w:ascii="宋体" w:hAnsi="宋体" w:cs="宋体"/>
          <w:highlight w:val="none"/>
        </w:rPr>
      </w:pPr>
      <w:r>
        <w:rPr>
          <w:rFonts w:hint="eastAsia" w:ascii="宋体" w:hAnsi="宋体" w:cs="宋体"/>
          <w:highlight w:val="none"/>
        </w:rPr>
        <w:t xml:space="preserve">29、质疑处理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    29.2.2对采购过程提出质疑的，为各采购程序环节结束之日起7个工作日内提出。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    29.2.3对成交结果提出质疑的，为成交结果公告期限届满之日起7个工作日内提出。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highlight w:val="none"/>
        </w:rPr>
      </w:pPr>
      <w:r>
        <w:rPr>
          <w:rFonts w:hint="eastAsia" w:ascii="宋体" w:hAnsi="宋体" w:cs="宋体"/>
          <w:highlight w:val="none"/>
        </w:rPr>
        <w:t xml:space="preserve">29.5 代理机构及采购人只接收以纸质原件形式送达的质疑。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hint="eastAsia" w:ascii="宋体" w:hAnsi="宋体" w:cs="宋体"/>
          <w:highlight w:val="none"/>
        </w:rPr>
      </w:pPr>
      <w:r>
        <w:rPr>
          <w:rFonts w:hint="eastAsia" w:ascii="宋体" w:hAnsi="宋体" w:cs="宋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hint="eastAsia" w:ascii="宋体" w:hAnsi="宋体" w:cs="宋体"/>
          <w:highlight w:val="none"/>
        </w:rPr>
      </w:pPr>
      <w:r>
        <w:rPr>
          <w:rFonts w:hint="eastAsia" w:ascii="宋体" w:hAnsi="宋体" w:cs="宋体"/>
          <w:highlight w:val="none"/>
        </w:rPr>
        <w:t xml:space="preserve">29.8 以下情形的质疑不予受理</w:t>
      </w:r>
      <w:r/>
    </w:p>
    <w:p>
      <w:pPr>
        <w:ind w:firstLine="420"/>
        <w:spacing w:line="360" w:lineRule="auto"/>
        <w:rPr>
          <w:rFonts w:hint="eastAsia" w:ascii="宋体" w:hAnsi="宋体" w:cs="宋体"/>
          <w:highlight w:val="none"/>
        </w:rPr>
      </w:pPr>
      <w:r>
        <w:rPr>
          <w:rFonts w:hint="eastAsia" w:ascii="宋体" w:hAnsi="宋体" w:cs="宋体"/>
          <w:highlight w:val="none"/>
        </w:rPr>
        <w:t xml:space="preserve">29.8.1 内容不符合《政府采购质疑和投诉办法》第十二条规定的质疑。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29.8.2 超出政府采购法定期限的质疑。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29.8.3 以传真、电子邮件等方式递交的非原件形式的质疑。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highlight w:val="none"/>
        </w:rPr>
      </w:pPr>
      <w:r>
        <w:rPr>
          <w:rFonts w:hint="eastAsia" w:ascii="宋体" w:hAnsi="宋体" w:cs="宋体"/>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30、成交通知书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30.l</w:t>
      </w:r>
      <w:r>
        <w:rPr>
          <w:rFonts w:hint="eastAsia" w:ascii="宋体" w:hAnsi="宋体" w:cs="宋体"/>
          <w:b/>
          <w:bCs/>
          <w:highlight w:val="none"/>
        </w:rPr>
        <w:t xml:space="preserve"> </w:t>
      </w:r>
      <w:r>
        <w:rPr>
          <w:rFonts w:hint="eastAsia" w:ascii="宋体" w:hAnsi="宋体" w:cs="宋体"/>
          <w:highlight w:val="none"/>
        </w:rPr>
        <w:t xml:space="preserve">成交结果确定后，代理机构将向成交供应商发出成通知书。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w:t>
      </w:r>
      <w:r>
        <w:rPr>
          <w:rFonts w:hint="eastAsia" w:ascii="宋体" w:hAnsi="宋体" w:cs="宋体"/>
          <w:b/>
          <w:bCs/>
          <w:highlight w:val="none"/>
        </w:rPr>
        <w:t xml:space="preserve"> </w:t>
      </w:r>
      <w:r>
        <w:rPr>
          <w:rFonts w:hint="eastAsia" w:ascii="宋体" w:hAnsi="宋体" w:cs="宋体"/>
          <w:highlight w:val="none"/>
        </w:rPr>
        <w:t xml:space="preserve">签订合同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31.2</w:t>
      </w:r>
      <w:r>
        <w:rPr>
          <w:rFonts w:hint="eastAsia" w:ascii="宋体" w:hAnsi="宋体" w:cs="宋体"/>
          <w:b/>
          <w:bCs/>
          <w:highlight w:val="none"/>
        </w:rPr>
        <w:t xml:space="preserve"> </w:t>
      </w:r>
      <w:r>
        <w:rPr>
          <w:rFonts w:hint="eastAsia" w:ascii="宋体" w:hAnsi="宋体" w:cs="宋体"/>
          <w:highlight w:val="none"/>
        </w:rPr>
        <w:t xml:space="preserve">采购文件、成交供应商的响应文件及磋商过程中有关澄清、承诺文件均应作为合同附件。</w:t>
      </w:r>
      <w:r/>
    </w:p>
    <w:p>
      <w:pPr>
        <w:ind w:firstLine="420"/>
        <w:spacing w:line="360" w:lineRule="auto"/>
        <w:rPr>
          <w:rFonts w:hint="eastAsia" w:ascii="宋体" w:hAnsi="宋体" w:cs="宋体"/>
          <w:highlight w:val="none"/>
        </w:rPr>
      </w:pPr>
      <w:r>
        <w:rPr>
          <w:rFonts w:hint="eastAsia" w:ascii="宋体" w:hAnsi="宋体" w:cs="宋体"/>
          <w:bCs/>
          <w:szCs w:val="21"/>
          <w:highlight w:val="none"/>
        </w:rPr>
        <w:t xml:space="preserve">31.3 合同在“政府采购管理交易系统（苏采云）”中签订，签订合同后，</w:t>
      </w:r>
      <w:r>
        <w:rPr>
          <w:rFonts w:hint="eastAsia" w:ascii="宋体" w:hAnsi="宋体" w:cs="宋体"/>
          <w:bCs/>
          <w:i/>
          <w:iCs/>
          <w:szCs w:val="21"/>
          <w:highlight w:val="none"/>
          <w:u w:val="single"/>
        </w:rPr>
        <w:t xml:space="preserve">成交供应商不得将货物或服务及其他服务进行转包</w:t>
      </w:r>
      <w:r>
        <w:rPr>
          <w:rFonts w:hint="eastAsia" w:ascii="宋体" w:hAnsi="宋体" w:cs="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32、其他</w:t>
      </w:r>
      <w:r/>
    </w:p>
    <w:p>
      <w:pPr>
        <w:ind w:firstLine="422"/>
        <w:spacing w:line="360" w:lineRule="auto"/>
        <w:rPr>
          <w:rFonts w:hint="eastAsia" w:ascii="宋体" w:hAnsi="宋体" w:cs="宋体"/>
          <w:highlight w:val="none"/>
        </w:rPr>
      </w:pPr>
      <w:r>
        <w:rPr>
          <w:rFonts w:hint="eastAsia" w:ascii="宋体" w:hAnsi="宋体" w:cs="宋体"/>
          <w:highlight w:val="none"/>
        </w:rPr>
        <w:t xml:space="preserve">    32.1 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highlight w:val="none"/>
        </w:rPr>
      </w:pPr>
      <w:r>
        <w:rPr>
          <w:rFonts w:hint="eastAsia" w:ascii="宋体" w:hAnsi="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79"/>
        <w:rPr>
          <w:rFonts w:hint="eastAsia" w:ascii="宋体" w:hAnsi="宋体" w:eastAsia="宋体" w:cs="宋体"/>
          <w:highlight w:val="none"/>
        </w:rPr>
      </w:pPr>
      <w:r>
        <w:rPr>
          <w:rFonts w:hint="eastAsia" w:ascii="宋体" w:hAnsi="宋体" w:eastAsia="宋体" w:cs="宋体"/>
          <w:highlight w:val="none"/>
        </w:rPr>
      </w:r>
      <w:r/>
    </w:p>
    <w:p>
      <w:pPr>
        <w:pStyle w:val="1050"/>
        <w:jc w:val="center"/>
        <w:spacing w:line="360" w:lineRule="auto"/>
        <w:rPr>
          <w:rFonts w:hint="eastAsia" w:ascii="宋体" w:hAnsi="宋体" w:cs="宋体"/>
          <w:highlight w:val="none"/>
        </w:rPr>
      </w:pPr>
      <w:r/>
      <w:bookmarkStart w:id="25" w:name="_Toc107582398"/>
      <w:r>
        <w:rPr>
          <w:rFonts w:hint="eastAsia" w:ascii="宋体" w:hAnsi="宋体" w:cs="宋体"/>
          <w:highlight w:val="none"/>
        </w:rPr>
        <w:t xml:space="preserve">第三章 合同条款及格式</w:t>
      </w:r>
      <w:bookmarkEnd w:id="25"/>
      <w:r/>
      <w:r/>
    </w:p>
    <w:p>
      <w:pPr>
        <w:ind w:firstLine="480"/>
        <w:spacing w:line="500" w:lineRule="exact"/>
        <w:rPr>
          <w:rFonts w:hint="eastAsia" w:ascii="宋体" w:hAnsi="宋体" w:cs="宋体"/>
          <w:bCs/>
          <w:szCs w:val="21"/>
          <w:highlight w:val="none"/>
        </w:rPr>
      </w:pPr>
      <w:r/>
      <w:bookmarkStart w:id="26" w:name="_Toc513029243"/>
      <w:r/>
      <w:bookmarkStart w:id="27" w:name="_Toc20823315"/>
      <w:r/>
      <w:bookmarkStart w:id="28" w:name="_Toc16938559"/>
      <w:r>
        <w:rPr>
          <w:rFonts w:hint="eastAsia" w:ascii="宋体" w:hAnsi="宋体" w:cs="宋体"/>
          <w:bCs/>
          <w:szCs w:val="21"/>
          <w:highlight w:val="none"/>
        </w:rPr>
        <w:t xml:space="preserve">以下为成交后签定本项目合同的通用条款，成交人不得提出实质性的修改。</w:t>
      </w:r>
      <w:r/>
    </w:p>
    <w:p>
      <w:pPr>
        <w:ind w:firstLine="640"/>
        <w:spacing w:line="500" w:lineRule="exact"/>
        <w:rPr>
          <w:rFonts w:hint="eastAsia" w:ascii="宋体" w:hAnsi="宋体" w:cs="宋体"/>
          <w:bCs/>
          <w:szCs w:val="21"/>
          <w:highlight w:val="none"/>
        </w:rPr>
      </w:pPr>
      <w:r>
        <w:rPr>
          <w:rFonts w:hint="eastAsia" w:ascii="宋体" w:hAnsi="宋体" w:cs="宋体"/>
          <w:bCs/>
          <w:szCs w:val="21"/>
          <w:highlight w:val="none"/>
        </w:rPr>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江苏省政府采购合同（服务）（合同编号）</w:t>
      </w:r>
      <w:r/>
    </w:p>
    <w:p>
      <w:pPr>
        <w:pStyle w:val="1088"/>
        <w:spacing w:before="120" w:after="120" w:line="360" w:lineRule="auto"/>
        <w:rPr>
          <w:rFonts w:hint="eastAsia" w:hAnsi="宋体" w:cs="宋体"/>
          <w:highlight w:val="none"/>
        </w:rPr>
      </w:pPr>
      <w:r>
        <w:rPr>
          <w:rFonts w:hint="eastAsia" w:hAnsi="宋体" w:cs="宋体"/>
          <w:highlight w:val="none"/>
        </w:rPr>
        <w:t xml:space="preserve">项目名称：</w:t>
      </w:r>
      <w:r>
        <w:rPr>
          <w:rFonts w:hint="eastAsia" w:hAnsi="宋体" w:cs="宋体"/>
          <w:highlight w:val="none"/>
          <w:lang w:eastAsia="zh-CN"/>
        </w:rPr>
        <w:t xml:space="preserve">扬州明清古城汶河路西侧、南门片区街区详细规划及广陵区特色产业空间布局规划编制项目</w:t>
      </w:r>
      <w:r>
        <w:rPr>
          <w:rFonts w:hint="eastAsia" w:hAnsi="宋体" w:cs="宋体"/>
          <w:highlight w:val="none"/>
        </w:rPr>
        <w:t xml:space="preserve">                                         </w:t>
      </w:r>
      <w:r/>
    </w:p>
    <w:p>
      <w:pPr>
        <w:pStyle w:val="1088"/>
        <w:spacing w:before="120" w:after="120" w:line="360" w:lineRule="auto"/>
        <w:rPr>
          <w:rFonts w:hint="eastAsia" w:hAnsi="宋体" w:eastAsia="宋体" w:cs="宋体"/>
          <w:highlight w:val="none"/>
          <w:lang w:eastAsia="zh-CN"/>
        </w:rPr>
      </w:pPr>
      <w:r>
        <w:rPr>
          <w:rFonts w:hint="eastAsia" w:hAnsi="宋体" w:cs="宋体"/>
          <w:highlight w:val="none"/>
        </w:rPr>
        <w:t xml:space="preserve">项目编号：</w:t>
      </w:r>
      <w:r>
        <w:rPr>
          <w:rFonts w:hint="eastAsia" w:hAnsi="宋体" w:cs="宋体"/>
          <w:highlight w:val="none"/>
          <w:lang w:eastAsia="zh-CN"/>
        </w:rPr>
        <w:t xml:space="preserve">JSZC-321002-ZYCG-C2026-0013号</w:t>
      </w:r>
      <w:r/>
    </w:p>
    <w:p>
      <w:pPr>
        <w:pStyle w:val="1088"/>
        <w:spacing w:before="120" w:after="120" w:line="360" w:lineRule="auto"/>
        <w:rPr>
          <w:rFonts w:hint="eastAsia" w:hAnsi="宋体" w:eastAsia="宋体" w:cs="宋体"/>
          <w:highlight w:val="none"/>
          <w:lang w:eastAsia="zh-CN"/>
        </w:rPr>
      </w:pPr>
      <w:r>
        <w:rPr>
          <w:rFonts w:hint="eastAsia" w:hAnsi="宋体" w:cs="宋体"/>
          <w:highlight w:val="none"/>
        </w:rPr>
        <w:t xml:space="preserve">甲方：（买方）</w:t>
      </w:r>
      <w:r>
        <w:rPr>
          <w:rFonts w:hint="eastAsia" w:hAnsi="宋体" w:cs="宋体"/>
          <w:highlight w:val="none"/>
          <w:lang w:eastAsia="zh-CN"/>
        </w:rPr>
        <w:t xml:space="preserve">扬州市自然资源和规划局广陵分局</w:t>
      </w:r>
      <w:r/>
    </w:p>
    <w:p>
      <w:pPr>
        <w:pStyle w:val="1088"/>
        <w:spacing w:before="120" w:after="120" w:line="360" w:lineRule="auto"/>
        <w:rPr>
          <w:rFonts w:hint="eastAsia" w:hAnsi="宋体" w:cs="宋体"/>
          <w:highlight w:val="none"/>
        </w:rPr>
      </w:pPr>
      <w:r>
        <w:rPr>
          <w:rFonts w:hint="eastAsia" w:hAnsi="宋体" w:cs="宋体"/>
          <w:highlight w:val="none"/>
        </w:rPr>
        <w:t xml:space="preserve">乙方：（卖方）_________</w:t>
      </w:r>
      <w:r/>
    </w:p>
    <w:p>
      <w:pPr>
        <w:pStyle w:val="1088"/>
        <w:spacing w:before="120" w:after="120" w:line="360" w:lineRule="auto"/>
        <w:rPr>
          <w:rFonts w:hint="eastAsia" w:hAnsi="宋体" w:cs="宋体"/>
          <w:highlight w:val="none"/>
        </w:rPr>
      </w:pPr>
      <w:r>
        <w:rPr>
          <w:rFonts w:hint="eastAsia" w:hAnsi="宋体" w:cs="宋体"/>
          <w:highlight w:val="none"/>
        </w:rPr>
        <w:t xml:space="preserve">甲、乙双方根据扬州筑苑工程招标咨询有限公司招标的结果，签署本合同。</w:t>
      </w:r>
      <w:r/>
    </w:p>
    <w:p>
      <w:pPr>
        <w:pStyle w:val="1088"/>
        <w:spacing w:before="120" w:after="120" w:line="360" w:lineRule="auto"/>
        <w:rPr>
          <w:rFonts w:hint="eastAsia" w:hAnsi="宋体" w:cs="宋体"/>
          <w:b/>
          <w:highlight w:val="none"/>
        </w:rPr>
      </w:pPr>
      <w:r>
        <w:rPr>
          <w:rFonts w:hint="eastAsia" w:hAnsi="宋体" w:cs="宋体"/>
          <w:b/>
          <w:highlight w:val="none"/>
        </w:rPr>
        <w:t xml:space="preserve">一、合同内容</w:t>
      </w:r>
      <w:r/>
    </w:p>
    <w:p>
      <w:pPr>
        <w:pStyle w:val="1088"/>
        <w:spacing w:before="120" w:after="120" w:line="360" w:lineRule="auto"/>
        <w:rPr>
          <w:rFonts w:hint="eastAsia" w:hAnsi="宋体" w:cs="宋体"/>
          <w:highlight w:val="none"/>
        </w:rPr>
      </w:pPr>
      <w:r>
        <w:rPr>
          <w:rFonts w:hint="eastAsia" w:hAnsi="宋体" w:cs="宋体"/>
          <w:highlight w:val="none"/>
        </w:rPr>
        <w:t xml:space="preserve">1.1 标的名称：</w:t>
      </w:r>
      <w:r/>
    </w:p>
    <w:p>
      <w:pPr>
        <w:pStyle w:val="1088"/>
        <w:spacing w:before="120" w:after="120" w:line="360" w:lineRule="auto"/>
        <w:rPr>
          <w:rFonts w:hint="eastAsia" w:hAnsi="宋体" w:cs="宋体"/>
          <w:highlight w:val="none"/>
        </w:rPr>
      </w:pPr>
      <w:r>
        <w:rPr>
          <w:rFonts w:hint="eastAsia" w:hAnsi="宋体" w:cs="宋体"/>
          <w:highlight w:val="none"/>
        </w:rPr>
        <w:t xml:space="preserve">1.2标的质量：</w:t>
      </w:r>
      <w:r/>
    </w:p>
    <w:p>
      <w:pPr>
        <w:pStyle w:val="1088"/>
        <w:spacing w:before="120" w:after="120" w:line="360" w:lineRule="auto"/>
        <w:rPr>
          <w:rFonts w:hint="eastAsia" w:hAnsi="宋体" w:cs="宋体"/>
          <w:highlight w:val="none"/>
        </w:rPr>
      </w:pPr>
      <w:r>
        <w:rPr>
          <w:rFonts w:hint="eastAsia" w:hAnsi="宋体" w:cs="宋体"/>
          <w:highlight w:val="none"/>
        </w:rPr>
        <w:t xml:space="preserve">1.3 标的数量（规模）：</w:t>
      </w:r>
      <w:r/>
    </w:p>
    <w:p>
      <w:pPr>
        <w:pStyle w:val="1088"/>
        <w:spacing w:before="120" w:after="120" w:line="360" w:lineRule="auto"/>
        <w:rPr>
          <w:rFonts w:hint="eastAsia" w:hAnsi="宋体" w:cs="宋体"/>
          <w:highlight w:val="none"/>
        </w:rPr>
      </w:pPr>
      <w:r>
        <w:rPr>
          <w:rFonts w:hint="eastAsia" w:hAnsi="宋体" w:cs="宋体"/>
          <w:highlight w:val="none"/>
        </w:rPr>
        <w:t xml:space="preserve">1.4 履行时间（期限）：</w:t>
      </w:r>
      <w:r/>
    </w:p>
    <w:p>
      <w:pPr>
        <w:pStyle w:val="1088"/>
        <w:spacing w:before="120" w:after="120" w:line="360" w:lineRule="auto"/>
        <w:rPr>
          <w:rFonts w:hint="eastAsia" w:hAnsi="宋体" w:cs="宋体"/>
          <w:highlight w:val="none"/>
        </w:rPr>
      </w:pPr>
      <w:r>
        <w:rPr>
          <w:rFonts w:hint="eastAsia" w:hAnsi="宋体" w:cs="宋体"/>
          <w:highlight w:val="none"/>
        </w:rPr>
        <w:t xml:space="preserve">1.5 履行地点：</w:t>
      </w:r>
      <w:r/>
    </w:p>
    <w:p>
      <w:pPr>
        <w:pStyle w:val="1088"/>
        <w:spacing w:before="120" w:after="120" w:line="360" w:lineRule="auto"/>
        <w:rPr>
          <w:rFonts w:hint="eastAsia" w:hAnsi="宋体" w:cs="宋体"/>
          <w:highlight w:val="none"/>
        </w:rPr>
      </w:pPr>
      <w:r>
        <w:rPr>
          <w:rFonts w:hint="eastAsia" w:hAnsi="宋体" w:cs="宋体"/>
          <w:highlight w:val="none"/>
        </w:rPr>
        <w:t xml:space="preserve">1.6履行方式：</w:t>
      </w:r>
      <w:r/>
    </w:p>
    <w:p>
      <w:pPr>
        <w:pStyle w:val="1088"/>
        <w:spacing w:before="120" w:after="120" w:line="360" w:lineRule="auto"/>
        <w:rPr>
          <w:rFonts w:hint="eastAsia" w:hAnsi="宋体" w:cs="宋体"/>
          <w:b/>
          <w:highlight w:val="none"/>
        </w:rPr>
      </w:pPr>
      <w:r>
        <w:rPr>
          <w:rFonts w:hint="eastAsia" w:hAnsi="宋体" w:cs="宋体"/>
          <w:b/>
          <w:highlight w:val="none"/>
        </w:rPr>
        <w:t xml:space="preserve">二、合同金额</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2.1 本合同金额为（大写）：___________圆（________元）人民币或其他币种。</w:t>
      </w:r>
      <w:r/>
    </w:p>
    <w:p>
      <w:pPr>
        <w:pStyle w:val="1088"/>
        <w:spacing w:before="120" w:after="120" w:line="360" w:lineRule="auto"/>
        <w:rPr>
          <w:rFonts w:hint="eastAsia" w:hAnsi="宋体" w:cs="宋体"/>
          <w:b/>
          <w:highlight w:val="none"/>
        </w:rPr>
      </w:pPr>
      <w:r>
        <w:rPr>
          <w:rFonts w:hint="eastAsia" w:hAnsi="宋体" w:cs="宋体"/>
          <w:b/>
          <w:highlight w:val="none"/>
        </w:rPr>
        <w:t xml:space="preserve">三、技术资料</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3.1乙方应按采购文件规定的时间向甲方提供服务（包含与服务相关的货物）的有关技术资料。</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8"/>
        <w:ind w:left="412" w:hanging="412"/>
        <w:spacing w:before="120" w:after="120" w:line="360" w:lineRule="auto"/>
        <w:rPr>
          <w:rFonts w:hint="eastAsia" w:hAnsi="宋体" w:cs="宋体"/>
          <w:b/>
          <w:highlight w:val="none"/>
        </w:rPr>
      </w:pPr>
      <w:r>
        <w:rPr>
          <w:rFonts w:hint="eastAsia" w:hAnsi="宋体" w:cs="宋体"/>
          <w:b/>
          <w:highlight w:val="none"/>
        </w:rPr>
        <w:t xml:space="preserve">四、知识产权</w:t>
      </w:r>
      <w:r/>
    </w:p>
    <w:p>
      <w:pPr>
        <w:pStyle w:val="1088"/>
        <w:ind w:left="408" w:hanging="408"/>
        <w:spacing w:before="120" w:after="120" w:line="360" w:lineRule="auto"/>
        <w:rPr>
          <w:rFonts w:hint="eastAsia" w:hAnsi="宋体" w:cs="宋体"/>
          <w:highlight w:val="none"/>
        </w:rPr>
      </w:pPr>
      <w:r>
        <w:rPr>
          <w:rFonts w:hint="eastAsia" w:hAnsi="宋体" w:cs="宋体"/>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88"/>
        <w:spacing w:before="120" w:after="120" w:line="360" w:lineRule="auto"/>
        <w:rPr>
          <w:rFonts w:hint="eastAsia" w:hAnsi="宋体" w:cs="宋体"/>
          <w:highlight w:val="none"/>
          <w:u w:val="single"/>
        </w:rPr>
      </w:pPr>
      <w:r>
        <w:rPr>
          <w:rFonts w:hint="eastAsia" w:hAnsi="宋体" w:cs="宋体"/>
          <w:b/>
          <w:highlight w:val="none"/>
        </w:rPr>
        <w:t xml:space="preserve">五、产权担保</w:t>
      </w:r>
      <w:r/>
    </w:p>
    <w:p>
      <w:pPr>
        <w:pStyle w:val="1088"/>
        <w:ind w:left="408" w:hanging="408"/>
        <w:spacing w:before="120" w:after="120" w:line="360" w:lineRule="auto"/>
        <w:rPr>
          <w:rFonts w:hint="eastAsia" w:hAnsi="宋体" w:cs="宋体"/>
          <w:highlight w:val="none"/>
          <w:u w:val="single"/>
        </w:rPr>
      </w:pPr>
      <w:r>
        <w:rPr>
          <w:rFonts w:hint="eastAsia" w:hAnsi="宋体" w:cs="宋体"/>
          <w:highlight w:val="none"/>
        </w:rPr>
        <w:t xml:space="preserve">5.1 乙方保证所交付的服务（包含与服务相关的货物）的所有权完全属于乙方且无任何抵押、查封等产权瑕疵。</w:t>
      </w:r>
      <w:r/>
    </w:p>
    <w:p>
      <w:pPr>
        <w:pStyle w:val="1088"/>
        <w:ind w:left="410" w:hanging="410"/>
        <w:spacing w:before="120" w:after="120" w:line="360" w:lineRule="auto"/>
        <w:rPr>
          <w:rFonts w:hint="eastAsia" w:hAnsi="宋体" w:cs="宋体"/>
          <w:b/>
          <w:color w:val="000000" w:themeColor="text1"/>
          <w:highlight w:val="none"/>
          <w14:textFill>
            <w14:solidFill>
              <w14:schemeClr w14:val="tx1"/>
            </w14:solidFill>
          </w14:textFill>
        </w:rPr>
      </w:pPr>
      <w:r>
        <w:rPr>
          <w:rFonts w:hint="eastAsia" w:hAnsi="宋体" w:cs="宋体"/>
          <w:b/>
          <w:highlight w:val="none"/>
        </w:rPr>
        <w:t xml:space="preserve">六、履</w:t>
      </w:r>
      <w:r>
        <w:rPr>
          <w:rFonts w:hint="eastAsia" w:hAnsi="宋体" w:cs="宋体"/>
          <w:b/>
          <w:color w:val="000000" w:themeColor="text1"/>
          <w:highlight w:val="none"/>
          <w14:textFill>
            <w14:solidFill>
              <w14:schemeClr w14:val="tx1"/>
            </w14:solidFill>
          </w14:textFill>
        </w:rPr>
        <w:t xml:space="preserve">约保证金</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6.1 乙方交纳人民币___</w:t>
      </w:r>
      <w:r>
        <w:rPr>
          <w:rFonts w:hint="eastAsia" w:hAnsi="宋体" w:cs="宋体"/>
          <w:color w:val="000000" w:themeColor="text1"/>
          <w:highlight w:val="none"/>
          <w:u w:val="single"/>
          <w14:textFill>
            <w14:solidFill>
              <w14:schemeClr w14:val="tx1"/>
            </w14:solidFill>
          </w14:textFill>
        </w:rPr>
        <w:t xml:space="preserve">零</w:t>
      </w:r>
      <w:r>
        <w:rPr>
          <w:rFonts w:hint="eastAsia" w:hAnsi="宋体" w:cs="宋体"/>
          <w:color w:val="000000" w:themeColor="text1"/>
          <w:highlight w:val="none"/>
          <w14:textFill>
            <w14:solidFill>
              <w14:schemeClr w14:val="tx1"/>
            </w14:solidFill>
          </w14:textFill>
        </w:rPr>
        <w:t xml:space="preserve">___元作为本合同的履约保证金。（不得超过合同金额的10%）</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6.2合同履行结束后，甲方应及时退还交纳的履约保证金。</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6.2.1履约保证金退还方式：无</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6.2.2履约保证金退还时间：无</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6.2.3履约保证金退还条件：无</w:t>
      </w:r>
      <w:r/>
    </w:p>
    <w:p>
      <w:pPr>
        <w:pStyle w:val="1088"/>
        <w:ind w:left="408" w:hanging="408"/>
        <w:spacing w:before="120" w:after="120"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6.2.4履约保证金不予退还的情形：无</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七、合同转包或分包</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7.1乙方不得将合同标的转包给他人履行。</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7.2乙方不得将合同标的分包给他人履行。</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7.3乙方如有转包或未经甲方同意的分包行为，甲方有权解除合同。</w:t>
      </w:r>
      <w:r/>
    </w:p>
    <w:p>
      <w:pPr>
        <w:pStyle w:val="1088"/>
        <w:spacing w:before="120" w:after="120" w:line="360" w:lineRule="auto"/>
        <w:rPr>
          <w:rFonts w:hint="eastAsia" w:hAnsi="宋体" w:cs="宋体"/>
          <w:b/>
          <w:highlight w:val="none"/>
        </w:rPr>
      </w:pPr>
      <w:r>
        <w:rPr>
          <w:rFonts w:hint="eastAsia" w:hAnsi="宋体" w:cs="宋体"/>
          <w:b/>
          <w:highlight w:val="none"/>
        </w:rPr>
        <w:t xml:space="preserve">八、合同款项支付</w:t>
      </w:r>
      <w:r/>
    </w:p>
    <w:p>
      <w:pPr>
        <w:spacing w:before="145" w:after="145"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合同签订后，甲方自收到发票之日起10个工作日内支付乙方合同总价30%的预付款；项目</w:t>
      </w:r>
      <w:r>
        <w:rPr>
          <w:rFonts w:hint="eastAsia" w:ascii="宋体" w:hAnsi="宋体" w:cs="宋体"/>
          <w:color w:val="000000"/>
          <w:szCs w:val="21"/>
          <w:highlight w:val="none"/>
          <w:lang w:val="en-US" w:eastAsia="zh-CN"/>
        </w:rPr>
        <w:t xml:space="preserve">提交</w:t>
      </w:r>
      <w:r>
        <w:rPr>
          <w:rFonts w:hint="eastAsia" w:ascii="宋体" w:hAnsi="宋体" w:cs="宋体"/>
          <w:color w:val="000000"/>
          <w:szCs w:val="21"/>
          <w:highlight w:val="none"/>
          <w:lang w:eastAsia="zh-CN"/>
        </w:rPr>
        <w:t xml:space="preserve">中期成果，收到</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lang w:eastAsia="zh-CN"/>
        </w:rPr>
        <w:t xml:space="preserve">发票10个工作日内甲方支付合同总价的40%；项目</w:t>
      </w:r>
      <w:r>
        <w:rPr>
          <w:rFonts w:hint="eastAsia" w:ascii="宋体" w:hAnsi="宋体" w:cs="宋体"/>
          <w:color w:val="000000"/>
          <w:szCs w:val="21"/>
          <w:highlight w:val="none"/>
          <w:lang w:val="en-US" w:eastAsia="zh-CN"/>
        </w:rPr>
        <w:t xml:space="preserve">提交最终得到甲方认可</w:t>
      </w:r>
      <w:r>
        <w:rPr>
          <w:rFonts w:hint="eastAsia" w:ascii="宋体" w:hAnsi="宋体" w:cs="宋体"/>
          <w:color w:val="000000"/>
          <w:szCs w:val="21"/>
          <w:highlight w:val="none"/>
          <w:lang w:eastAsia="zh-CN"/>
        </w:rPr>
        <w:t xml:space="preserve">后，收到</w:t>
      </w:r>
      <w:r>
        <w:rPr>
          <w:rFonts w:hint="eastAsia" w:ascii="宋体" w:hAnsi="宋体" w:cs="宋体"/>
          <w:color w:val="000000"/>
          <w:szCs w:val="21"/>
          <w:highlight w:val="none"/>
          <w:lang w:val="en-US" w:eastAsia="zh-CN"/>
        </w:rPr>
        <w:t xml:space="preserve">乙方</w:t>
      </w:r>
      <w:r>
        <w:rPr>
          <w:rFonts w:hint="eastAsia" w:ascii="宋体" w:hAnsi="宋体" w:cs="宋体"/>
          <w:color w:val="000000"/>
          <w:szCs w:val="21"/>
          <w:highlight w:val="none"/>
          <w:lang w:eastAsia="zh-CN"/>
        </w:rPr>
        <w:t xml:space="preserve">发票10个工作日内结清尾款。</w:t>
      </w:r>
      <w:r/>
    </w:p>
    <w:p>
      <w:pPr>
        <w:spacing w:before="145" w:after="145" w:line="360" w:lineRule="auto"/>
        <w:rPr>
          <w:rFonts w:hint="eastAsia" w:ascii="宋体" w:hAnsi="宋体" w:cs="宋体"/>
          <w:b/>
          <w:szCs w:val="21"/>
          <w:highlight w:val="none"/>
        </w:rPr>
      </w:pPr>
      <w:r>
        <w:rPr>
          <w:rFonts w:hint="eastAsia" w:ascii="宋体" w:hAnsi="宋体" w:cs="宋体"/>
          <w:b/>
          <w:szCs w:val="21"/>
          <w:highlight w:val="none"/>
        </w:rPr>
        <w:t xml:space="preserve">九、税费</w:t>
      </w:r>
      <w:r/>
    </w:p>
    <w:p>
      <w:pPr>
        <w:spacing w:before="145" w:after="145" w:line="360" w:lineRule="auto"/>
        <w:rPr>
          <w:rFonts w:hint="eastAsia" w:ascii="宋体" w:hAnsi="宋体" w:cs="宋体"/>
          <w:szCs w:val="21"/>
          <w:highlight w:val="none"/>
        </w:rPr>
      </w:pPr>
      <w:r>
        <w:rPr>
          <w:rFonts w:hint="eastAsia" w:ascii="宋体" w:hAnsi="宋体" w:cs="宋体"/>
          <w:szCs w:val="21"/>
          <w:highlight w:val="none"/>
        </w:rPr>
        <w:t xml:space="preserve">9.1本合同执行中相关的一切税费均由乙方负担。</w:t>
      </w:r>
      <w:r/>
    </w:p>
    <w:p>
      <w:pPr>
        <w:pStyle w:val="1088"/>
        <w:spacing w:before="120" w:after="120" w:line="360" w:lineRule="auto"/>
        <w:rPr>
          <w:rFonts w:hint="eastAsia" w:hAnsi="宋体" w:cs="宋体"/>
          <w:b/>
          <w:highlight w:val="none"/>
        </w:rPr>
      </w:pPr>
      <w:r>
        <w:rPr>
          <w:rFonts w:hint="eastAsia" w:hAnsi="宋体" w:cs="宋体"/>
          <w:b/>
          <w:highlight w:val="none"/>
        </w:rPr>
        <w:t xml:space="preserve">十、项目验收</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10.1 甲方依法组织履约验收工作。</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10.3 对于实际使用人和甲方分离的项目，甲方邀请实际使用人参与验收。</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10.4如有必要，甲方邀请参加本项目的其他供应商或第三方专业机构及专家参与验收，相关意见将作为验收书的参考资料。</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88"/>
        <w:spacing w:before="120" w:after="120" w:line="360" w:lineRule="auto"/>
        <w:rPr>
          <w:rFonts w:hint="eastAsia" w:hAnsi="宋体" w:cs="宋体"/>
          <w:b/>
          <w:highlight w:val="none"/>
        </w:rPr>
      </w:pPr>
      <w:r>
        <w:rPr>
          <w:rFonts w:hint="eastAsia" w:hAnsi="宋体" w:cs="宋体"/>
          <w:b/>
          <w:highlight w:val="none"/>
        </w:rPr>
        <w:t xml:space="preserve">十一、违约责任</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11.1 甲方无正当理由拒绝接受乙方提供服务的，甲方向乙方偿付拒绝接受服务合同价款总值的违约金。</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11.2 甲方无故逾期验收和办理合同款项支付手续的,甲方应按逾期付款总额每日向乙方支付违约金。</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1088"/>
        <w:ind w:left="410" w:hanging="410"/>
        <w:spacing w:before="120" w:after="120" w:line="360" w:lineRule="auto"/>
        <w:rPr>
          <w:rFonts w:hint="eastAsia" w:hAnsi="宋体" w:cs="宋体"/>
          <w:highlight w:val="none"/>
        </w:rPr>
      </w:pPr>
      <w:r>
        <w:rPr>
          <w:rFonts w:hint="eastAsia" w:hAnsi="宋体" w:cs="宋体"/>
          <w:highlight w:val="none"/>
        </w:rPr>
        <w:t xml:space="preserve">11.4 乙方所提供服务的标准不符合合同规定及采购文件规定标准的，甲方有权拒绝接受服务，并可单方面解除合同。</w:t>
      </w:r>
      <w:r/>
    </w:p>
    <w:p>
      <w:pPr>
        <w:pStyle w:val="1088"/>
        <w:spacing w:before="120" w:after="120" w:line="360" w:lineRule="auto"/>
        <w:rPr>
          <w:rFonts w:hint="eastAsia" w:hAnsi="宋体" w:cs="宋体"/>
          <w:b/>
          <w:highlight w:val="none"/>
        </w:rPr>
      </w:pPr>
      <w:r>
        <w:rPr>
          <w:rFonts w:hint="eastAsia" w:hAnsi="宋体" w:cs="宋体"/>
          <w:b/>
          <w:highlight w:val="none"/>
        </w:rPr>
        <w:t xml:space="preserve">十二、不可抗力事件处理</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12.1 在合同有效期内，任何一方因不可抗力事件导致不能履行合同，则合同履行期可延长，其延长期与不可抗力影响期相同。</w:t>
      </w:r>
      <w:r/>
    </w:p>
    <w:p>
      <w:pPr>
        <w:pStyle w:val="1088"/>
        <w:spacing w:before="120" w:after="120" w:line="360" w:lineRule="auto"/>
        <w:rPr>
          <w:rFonts w:hint="eastAsia" w:hAnsi="宋体" w:cs="宋体"/>
          <w:highlight w:val="none"/>
        </w:rPr>
      </w:pPr>
      <w:r>
        <w:rPr>
          <w:rFonts w:hint="eastAsia" w:hAnsi="宋体" w:cs="宋体"/>
          <w:highlight w:val="none"/>
        </w:rPr>
        <w:t xml:space="preserve">12.2 不可抗力事件发生后，应立即通知对方，并寄送有关权威机构出具的证明。</w:t>
      </w:r>
      <w:r/>
    </w:p>
    <w:p>
      <w:pPr>
        <w:pStyle w:val="1088"/>
        <w:spacing w:before="120" w:after="120" w:line="360" w:lineRule="auto"/>
        <w:rPr>
          <w:rFonts w:hint="eastAsia" w:hAnsi="宋体" w:cs="宋体"/>
          <w:highlight w:val="none"/>
        </w:rPr>
      </w:pPr>
      <w:r>
        <w:rPr>
          <w:rFonts w:hint="eastAsia" w:hAnsi="宋体" w:cs="宋体"/>
          <w:highlight w:val="none"/>
        </w:rPr>
        <w:t xml:space="preserve">12.3 不可抗力事件延续120天以上，双方应通过友好协商，确定是否继续履行合同。</w:t>
      </w:r>
      <w:r/>
    </w:p>
    <w:p>
      <w:pPr>
        <w:pStyle w:val="1088"/>
        <w:spacing w:before="120" w:after="120" w:line="360" w:lineRule="auto"/>
        <w:rPr>
          <w:rFonts w:hint="eastAsia" w:hAnsi="宋体" w:cs="宋体"/>
          <w:b/>
          <w:highlight w:val="none"/>
        </w:rPr>
      </w:pPr>
      <w:r>
        <w:rPr>
          <w:rFonts w:hint="eastAsia" w:hAnsi="宋体" w:cs="宋体"/>
          <w:b/>
          <w:highlight w:val="none"/>
        </w:rPr>
        <w:t xml:space="preserve">十三、解决争议的方法</w:t>
      </w:r>
      <w:r/>
    </w:p>
    <w:p>
      <w:pPr>
        <w:pStyle w:val="1088"/>
        <w:spacing w:before="120" w:after="120" w:line="360" w:lineRule="auto"/>
        <w:rPr>
          <w:rFonts w:hint="eastAsia" w:hAnsi="宋体" w:cs="宋体"/>
          <w:highlight w:val="none"/>
        </w:rPr>
      </w:pPr>
      <w:r>
        <w:rPr>
          <w:rFonts w:hint="eastAsia" w:hAnsi="宋体" w:cs="宋体"/>
          <w:highlight w:val="none"/>
        </w:rPr>
        <w:t xml:space="preserve">13.1双方在签订、履行合同中所发生的一切争议，应通过友好协商解决。如协商不成，由甲方住所地人民法院管辖。</w:t>
      </w:r>
      <w:r/>
    </w:p>
    <w:p>
      <w:pPr>
        <w:pStyle w:val="1088"/>
        <w:spacing w:before="120" w:after="120" w:line="360" w:lineRule="auto"/>
        <w:rPr>
          <w:rFonts w:hint="eastAsia" w:hAnsi="宋体" w:cs="宋体"/>
          <w:b/>
          <w:highlight w:val="none"/>
        </w:rPr>
      </w:pPr>
      <w:r>
        <w:rPr>
          <w:rFonts w:hint="eastAsia" w:hAnsi="宋体" w:cs="宋体"/>
          <w:b/>
          <w:highlight w:val="none"/>
        </w:rPr>
        <w:t xml:space="preserve">十四、合同生效及其它</w:t>
      </w:r>
      <w:r/>
    </w:p>
    <w:p>
      <w:pPr>
        <w:pStyle w:val="1088"/>
        <w:spacing w:before="120" w:after="120" w:line="360" w:lineRule="auto"/>
        <w:rPr>
          <w:rFonts w:hint="eastAsia" w:hAnsi="宋体" w:cs="宋体"/>
          <w:highlight w:val="none"/>
        </w:rPr>
      </w:pPr>
      <w:r>
        <w:rPr>
          <w:rFonts w:hint="eastAsia" w:hAnsi="宋体" w:cs="宋体"/>
          <w:highlight w:val="none"/>
        </w:rPr>
        <w:t xml:space="preserve">14.1 合同经双方法定代表人或授权委托代表人签字并加盖单位公章后生效。</w:t>
      </w:r>
      <w:r/>
    </w:p>
    <w:p>
      <w:pPr>
        <w:pStyle w:val="1088"/>
        <w:spacing w:before="120" w:after="120" w:line="360" w:lineRule="auto"/>
        <w:rPr>
          <w:rFonts w:hint="eastAsia" w:hAnsi="宋体" w:cs="宋体"/>
          <w:highlight w:val="none"/>
        </w:rPr>
      </w:pPr>
      <w:r>
        <w:rPr>
          <w:rFonts w:hint="eastAsia" w:hAnsi="宋体" w:cs="宋体"/>
          <w:highlight w:val="none"/>
        </w:rPr>
        <w:t xml:space="preserve">14.2本合同未尽事宜，遵照《中华人民共和国民法典》、《中华人民共和国政府采购法》有关条文执行。</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14.3 本合同正本一式</w:t>
      </w:r>
      <w:r>
        <w:rPr>
          <w:rFonts w:hint="eastAsia" w:hAnsi="宋体" w:cs="宋体"/>
          <w:highlight w:val="none"/>
          <w:lang w:val="en-US" w:eastAsia="zh-CN"/>
        </w:rPr>
        <w:t xml:space="preserve">四份</w:t>
      </w:r>
      <w:r>
        <w:rPr>
          <w:rFonts w:hint="eastAsia" w:hAnsi="宋体" w:cs="宋体"/>
          <w:highlight w:val="none"/>
        </w:rPr>
        <w:t xml:space="preserve">，具有同等法律效力，甲方乙方</w:t>
      </w:r>
      <w:r>
        <w:rPr>
          <w:rFonts w:hint="eastAsia" w:hAnsi="宋体" w:cs="宋体"/>
          <w:highlight w:val="none"/>
          <w:lang w:val="en-US" w:eastAsia="zh-CN"/>
        </w:rPr>
        <w:t xml:space="preserve">双方</w:t>
      </w:r>
      <w:r>
        <w:rPr>
          <w:rFonts w:hint="eastAsia" w:hAnsi="宋体" w:cs="宋体"/>
          <w:highlight w:val="none"/>
        </w:rPr>
        <w:t xml:space="preserve">各执</w:t>
      </w:r>
      <w:r>
        <w:rPr>
          <w:rFonts w:hint="eastAsia" w:hAnsi="宋体" w:cs="宋体"/>
          <w:highlight w:val="none"/>
          <w:lang w:val="en-US" w:eastAsia="zh-CN"/>
        </w:rPr>
        <w:t xml:space="preserve">两</w:t>
      </w:r>
      <w:r>
        <w:rPr>
          <w:rFonts w:hint="eastAsia" w:hAnsi="宋体" w:cs="宋体"/>
          <w:highlight w:val="none"/>
        </w:rPr>
        <w:t xml:space="preserve">份。</w:t>
      </w:r>
      <w:r/>
    </w:p>
    <w:p>
      <w:pPr>
        <w:pStyle w:val="1088"/>
        <w:ind w:left="480" w:hanging="480"/>
        <w:spacing w:before="120" w:after="120" w:line="360" w:lineRule="auto"/>
        <w:rPr>
          <w:rFonts w:hint="eastAsia" w:hAnsi="宋体" w:cs="宋体"/>
          <w:highlight w:val="none"/>
        </w:rPr>
      </w:pPr>
      <w:r>
        <w:rPr>
          <w:rFonts w:hint="eastAsia" w:hAnsi="宋体" w:cs="宋体"/>
          <w:highlight w:val="none"/>
        </w:rPr>
        <w:t xml:space="preserve">  甲方：                        乙方： </w:t>
      </w:r>
      <w:r/>
    </w:p>
    <w:p>
      <w:pPr>
        <w:pStyle w:val="1088"/>
        <w:spacing w:before="120" w:after="120" w:line="360" w:lineRule="auto"/>
        <w:rPr>
          <w:rFonts w:hint="eastAsia" w:hAnsi="宋体" w:cs="宋体"/>
          <w:highlight w:val="none"/>
        </w:rPr>
      </w:pPr>
      <w:r>
        <w:rPr>
          <w:rFonts w:hint="eastAsia" w:hAnsi="宋体" w:cs="宋体"/>
          <w:highlight w:val="none"/>
        </w:rPr>
        <w:t xml:space="preserve">  地址：                       地址： </w:t>
      </w:r>
      <w:r/>
    </w:p>
    <w:p>
      <w:pPr>
        <w:pStyle w:val="1088"/>
        <w:spacing w:before="120" w:after="120" w:line="360" w:lineRule="auto"/>
        <w:rPr>
          <w:rFonts w:hint="eastAsia" w:hAnsi="宋体" w:cs="宋体"/>
          <w:highlight w:val="none"/>
        </w:rPr>
      </w:pPr>
      <w:r>
        <w:rPr>
          <w:rFonts w:hint="eastAsia" w:hAnsi="宋体" w:cs="宋体"/>
          <w:highlight w:val="none"/>
        </w:rPr>
        <w:t xml:space="preserve">  法定代表人或授权代表：        法定代表人或授权代表：</w:t>
      </w:r>
      <w:r/>
    </w:p>
    <w:p>
      <w:pPr>
        <w:pStyle w:val="1088"/>
        <w:ind w:firstLine="240"/>
        <w:spacing w:before="120" w:after="120" w:line="360" w:lineRule="auto"/>
        <w:rPr>
          <w:rFonts w:hint="eastAsia" w:hAnsi="宋体" w:cs="宋体"/>
          <w:highlight w:val="none"/>
        </w:rPr>
      </w:pPr>
      <w:r>
        <w:rPr>
          <w:rFonts w:hint="eastAsia" w:hAnsi="宋体" w:cs="宋体"/>
          <w:highlight w:val="none"/>
        </w:rPr>
        <w:t xml:space="preserve">联系电话：                    联系电话：         </w:t>
      </w:r>
      <w:r/>
    </w:p>
    <w:p>
      <w:pPr>
        <w:pStyle w:val="1088"/>
        <w:ind w:firstLine="240"/>
        <w:spacing w:before="120" w:after="120" w:line="360" w:lineRule="auto"/>
        <w:rPr>
          <w:rFonts w:hint="eastAsia" w:hAnsi="宋体" w:cs="宋体"/>
          <w:highlight w:val="none"/>
        </w:rPr>
      </w:pPr>
      <w:r>
        <w:rPr>
          <w:rFonts w:hint="eastAsia" w:hAnsi="宋体" w:cs="宋体"/>
          <w:highlight w:val="none"/>
        </w:rPr>
        <w:t xml:space="preserve">签订日期：      年  月  日</w:t>
      </w:r>
      <w:bookmarkEnd w:id="26"/>
      <w:r/>
      <w:bookmarkEnd w:id="27"/>
      <w:r/>
      <w:bookmarkEnd w:id="28"/>
      <w:r/>
      <w:bookmarkStart w:id="29" w:name="_Hlt16619369"/>
      <w:r/>
      <w:bookmarkEnd w:id="29"/>
      <w:r>
        <w:rPr>
          <w:rFonts w:hint="eastAsia" w:hAnsi="宋体" w:cs="宋体"/>
          <w:highlight w:val="none"/>
        </w:rPr>
        <w:t xml:space="preserve">    签订日期：      年  月  日</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pStyle w:val="1050"/>
        <w:numPr>
          <w:ilvl w:val="0"/>
          <w:numId w:val="3"/>
        </w:numPr>
        <w:jc w:val="center"/>
        <w:spacing w:line="360" w:lineRule="auto"/>
        <w:rPr>
          <w:rFonts w:hint="eastAsia" w:ascii="宋体" w:hAnsi="宋体" w:cs="宋体"/>
          <w:highlight w:val="none"/>
        </w:rPr>
      </w:pPr>
      <w:r/>
      <w:bookmarkStart w:id="30" w:name="_Toc109304974"/>
      <w:r>
        <w:rPr>
          <w:rFonts w:hint="eastAsia" w:ascii="宋体" w:hAnsi="宋体" w:cs="宋体"/>
          <w:highlight w:val="none"/>
        </w:rPr>
        <w:t xml:space="preserve">项目需求</w:t>
      </w:r>
      <w:bookmarkEnd w:id="30"/>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rPr>
      </w:pPr>
      <w:r/>
      <w:bookmarkStart w:id="31" w:name="_Toc109304975"/>
      <w:r>
        <w:rPr>
          <w:rFonts w:hint="eastAsia" w:ascii="宋体" w:hAnsi="宋体" w:eastAsia="宋体" w:cs="宋体"/>
          <w:b/>
          <w:bCs/>
          <w:sz w:val="21"/>
          <w:szCs w:val="21"/>
          <w:highlight w:val="none"/>
        </w:rPr>
        <w:t xml:space="preserve">一、项目背景</w:t>
      </w:r>
      <w:r/>
    </w:p>
    <w:p>
      <w:pPr>
        <w:ind w:firstLine="420"/>
        <w:pageBreakBefore w:val="0"/>
        <w:spacing w:line="360" w:lineRule="auto"/>
        <w:widowControl w:val="off"/>
        <w:rPr>
          <w:rFonts w:hint="eastAsia" w:ascii="宋体" w:hAnsi="宋体" w:cs="宋体"/>
          <w:bCs/>
          <w:szCs w:val="21"/>
          <w:highlight w:val="none"/>
        </w:rPr>
      </w:pPr>
      <w:r>
        <w:rPr>
          <w:rFonts w:hint="eastAsia" w:ascii="宋体" w:hAnsi="宋体" w:cs="宋体"/>
          <w:bCs/>
          <w:szCs w:val="21"/>
          <w:highlight w:val="none"/>
        </w:rPr>
        <w:t xml:space="preserve">根据《江苏省城镇开发边界内详细规划编制指南(试行)》要求，详细规划分为单元和街区两个层次编制，目前，扬州已开展明清古城规划实施评估及详细规划（单元层次）编制工作，为构建全要素保护体系，有效落实单元层次详细规划管控要求，破解老城区空间管控难题，指导建设项目落地实施，统筹推进历史古城高质量发展，特开展明清古城范围内</w:t>
      </w:r>
      <w:r>
        <w:rPr>
          <w:rFonts w:ascii="宋体" w:hAnsi="宋体" w:cs="宋体"/>
          <w:bCs/>
          <w:szCs w:val="21"/>
          <w:highlight w:val="none"/>
        </w:rPr>
        <w:t xml:space="preserve">汶河路以西的2个街区</w:t>
      </w:r>
      <w:r>
        <w:rPr>
          <w:rFonts w:hint="eastAsia" w:ascii="宋体" w:hAnsi="宋体" w:cs="宋体"/>
          <w:bCs/>
          <w:szCs w:val="21"/>
          <w:highlight w:val="none"/>
        </w:rPr>
        <w:t xml:space="preserve">层次</w:t>
      </w:r>
      <w:r>
        <w:rPr>
          <w:rFonts w:ascii="宋体" w:hAnsi="宋体" w:cs="宋体"/>
          <w:bCs/>
          <w:szCs w:val="21"/>
          <w:highlight w:val="none"/>
        </w:rPr>
        <w:t xml:space="preserve">详细规划</w:t>
      </w:r>
      <w:r>
        <w:rPr>
          <w:rFonts w:hint="eastAsia" w:ascii="宋体" w:hAnsi="宋体" w:cs="宋体"/>
          <w:bCs/>
          <w:szCs w:val="21"/>
          <w:highlight w:val="none"/>
        </w:rPr>
        <w:t xml:space="preserve">编制工作。为</w:t>
      </w:r>
      <w:r>
        <w:rPr>
          <w:rFonts w:ascii="宋体" w:hAnsi="宋体" w:cs="宋体"/>
          <w:bCs/>
          <w:szCs w:val="21"/>
          <w:highlight w:val="none"/>
        </w:rPr>
        <w:t xml:space="preserve">响应市委市政府关于城市特色产业空间优化要求，</w:t>
      </w:r>
      <w:r>
        <w:rPr>
          <w:rFonts w:hint="eastAsia" w:ascii="宋体" w:hAnsi="宋体" w:cs="宋体"/>
          <w:bCs/>
          <w:szCs w:val="21"/>
          <w:highlight w:val="none"/>
        </w:rPr>
        <w:t xml:space="preserve">开展</w:t>
      </w:r>
      <w:bookmarkStart w:id="32" w:name="OLE_LINK7"/>
      <w:r>
        <w:rPr>
          <w:rFonts w:ascii="宋体" w:hAnsi="宋体" w:cs="宋体"/>
          <w:bCs/>
          <w:szCs w:val="21"/>
          <w:highlight w:val="none"/>
        </w:rPr>
        <w:t xml:space="preserve">广陵区特色产业空间布局规划</w:t>
      </w:r>
      <w:bookmarkEnd w:id="32"/>
      <w:r>
        <w:rPr>
          <w:rFonts w:ascii="宋体" w:hAnsi="宋体" w:cs="宋体"/>
          <w:bCs/>
          <w:szCs w:val="21"/>
          <w:highlight w:val="none"/>
        </w:rPr>
        <w:t xml:space="preserve">。</w:t>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二、规划范围</w:t>
      </w:r>
      <w:r/>
    </w:p>
    <w:p>
      <w:pPr>
        <w:ind w:firstLine="420"/>
        <w:pageBreakBefore w:val="0"/>
        <w:spacing w:line="360" w:lineRule="auto"/>
        <w:widowControl w:val="off"/>
        <w:rPr>
          <w:rFonts w:hint="eastAsia" w:ascii="宋体" w:hAnsi="宋体" w:cs="宋体"/>
          <w:bCs/>
          <w:szCs w:val="21"/>
          <w:highlight w:val="none"/>
        </w:rPr>
      </w:pPr>
      <w:r>
        <w:rPr>
          <w:rFonts w:hint="eastAsia" w:ascii="宋体" w:hAnsi="宋体" w:cs="宋体"/>
          <w:bCs/>
          <w:szCs w:val="21"/>
          <w:highlight w:val="none"/>
        </w:rPr>
        <w:t xml:space="preserve">依据明清古城单元层次详细规划的街区划分，规划范围包括01街区、10街区</w:t>
      </w:r>
      <w:r>
        <w:rPr>
          <w:rFonts w:hint="eastAsia" w:ascii="宋体" w:hAnsi="宋体" w:cs="宋体"/>
          <w:bCs/>
          <w:sz w:val="22"/>
          <w:highlight w:val="none"/>
        </w:rPr>
        <w:t xml:space="preserve">，</w:t>
      </w:r>
      <w:r>
        <w:rPr>
          <w:rFonts w:hint="eastAsia" w:ascii="宋体" w:hAnsi="宋体" w:cs="宋体"/>
          <w:bCs/>
          <w:szCs w:val="21"/>
          <w:highlight w:val="none"/>
        </w:rPr>
        <w:t xml:space="preserve">总面积约150.29公顷。各个街区的具体范围及规模如下：</w:t>
      </w:r>
      <w:r/>
    </w:p>
    <w:p>
      <w:pPr>
        <w:ind w:firstLine="420"/>
        <w:spacing w:line="360" w:lineRule="auto"/>
        <w:rPr>
          <w:rFonts w:hint="eastAsia" w:cs="宋体" w:asciiTheme="minorEastAsia" w:hAnsiTheme="minorEastAsia"/>
          <w:b w:val="0"/>
          <w:bCs/>
          <w:color w:val="auto"/>
          <w:szCs w:val="21"/>
          <w:highlight w:val="none"/>
        </w:rPr>
      </w:pPr>
      <w:r>
        <w:rPr>
          <w:rFonts w:hint="eastAsia" w:ascii="宋体" w:hAnsi="宋体" w:cs="宋体"/>
          <w:b w:val="0"/>
          <w:bCs/>
          <w:color w:val="auto"/>
          <w:szCs w:val="21"/>
          <w:highlight w:val="none"/>
        </w:rPr>
        <w:t xml:space="preserve">01街区：</w:t>
      </w:r>
      <w:r>
        <w:rPr>
          <w:rFonts w:hint="eastAsia" w:cs="宋体" w:asciiTheme="minorEastAsia" w:hAnsiTheme="minorEastAsia"/>
          <w:b w:val="0"/>
          <w:bCs/>
          <w:color w:val="auto"/>
          <w:szCs w:val="21"/>
          <w:highlight w:val="none"/>
        </w:rPr>
        <w:t xml:space="preserve">东至汶河路、</w:t>
      </w:r>
      <w:bookmarkStart w:id="33" w:name="OLE_LINK5"/>
      <w:r>
        <w:rPr>
          <w:rFonts w:hint="eastAsia" w:cs="宋体" w:asciiTheme="minorEastAsia" w:hAnsiTheme="minorEastAsia"/>
          <w:b w:val="0"/>
          <w:bCs/>
          <w:color w:val="auto"/>
          <w:szCs w:val="21"/>
          <w:highlight w:val="none"/>
        </w:rPr>
        <w:t xml:space="preserve">南至护城河</w:t>
      </w:r>
      <w:bookmarkEnd w:id="33"/>
      <w:r>
        <w:rPr>
          <w:rFonts w:hint="eastAsia" w:cs="宋体" w:asciiTheme="minorEastAsia" w:hAnsiTheme="minorEastAsia"/>
          <w:b w:val="0"/>
          <w:bCs/>
          <w:color w:val="auto"/>
          <w:szCs w:val="21"/>
          <w:highlight w:val="none"/>
        </w:rPr>
        <w:t xml:space="preserve">、西至二道河、北至北护城河，总面积112.03公顷；</w:t>
      </w:r>
      <w:r/>
    </w:p>
    <w:p>
      <w:pPr>
        <w:ind w:firstLine="420"/>
        <w:spacing w:line="360" w:lineRule="auto"/>
        <w:rPr>
          <w:rFonts w:cs="宋体" w:asciiTheme="minorEastAsia" w:hAnsiTheme="minorEastAsia"/>
          <w:bCs/>
          <w:szCs w:val="21"/>
          <w:highlight w:val="none"/>
        </w:rPr>
      </w:pPr>
      <w:r>
        <w:rPr>
          <w:rFonts w:hint="eastAsia" w:ascii="宋体" w:hAnsi="宋体" w:cs="宋体"/>
          <w:b w:val="0"/>
          <w:bCs/>
          <w:color w:val="auto"/>
          <w:szCs w:val="21"/>
          <w:highlight w:val="none"/>
        </w:rPr>
        <w:t xml:space="preserve">10街区：</w:t>
      </w:r>
      <w:r>
        <w:rPr>
          <w:rFonts w:hint="eastAsia" w:cs="宋体" w:asciiTheme="minorEastAsia" w:hAnsiTheme="minorEastAsia"/>
          <w:b w:val="0"/>
          <w:bCs/>
          <w:color w:val="auto"/>
          <w:szCs w:val="21"/>
          <w:highlight w:val="none"/>
        </w:rPr>
        <w:t xml:space="preserve">北至南</w:t>
      </w:r>
      <w:r>
        <w:rPr>
          <w:rFonts w:hint="eastAsia" w:cs="宋体" w:asciiTheme="minorEastAsia" w:hAnsiTheme="minorEastAsia"/>
          <w:bCs/>
          <w:szCs w:val="21"/>
          <w:highlight w:val="none"/>
        </w:rPr>
        <w:t xml:space="preserve">通西路-护城河一线，东至古运河-渡江路一线、南至城南快速路、西至安墩河，总面积38.26公顷；</w:t>
      </w:r>
      <w:r/>
    </w:p>
    <w:p>
      <w:pPr>
        <w:ind w:firstLine="420"/>
        <w:spacing w:line="360" w:lineRule="auto"/>
        <w:rPr>
          <w:rFonts w:hint="eastAsia" w:cs="宋体" w:asciiTheme="minorEastAsia" w:hAnsiTheme="minorEastAsia"/>
          <w:bCs/>
          <w:szCs w:val="21"/>
          <w:highlight w:val="none"/>
        </w:rPr>
      </w:pPr>
      <w:r>
        <w:rPr>
          <w:rFonts w:hint="eastAsia" w:ascii="宋体" w:hAnsi="宋体" w:cs="宋体"/>
          <w:bCs/>
          <w:szCs w:val="21"/>
          <w:highlight w:val="none"/>
        </w:rPr>
        <w:t xml:space="preserve">基于广陵区全区范围，研究产业空间总体布局，选择</w:t>
      </w:r>
      <w:bookmarkStart w:id="34" w:name="OLE_LINK9"/>
      <w:r>
        <w:rPr>
          <w:rFonts w:hint="eastAsia" w:ascii="宋体" w:hAnsi="宋体" w:cs="宋体"/>
          <w:bCs/>
          <w:szCs w:val="21"/>
          <w:highlight w:val="none"/>
        </w:rPr>
        <w:t xml:space="preserve">重点区域打造特色产业空间</w:t>
      </w:r>
      <w:bookmarkEnd w:id="34"/>
      <w:r>
        <w:rPr>
          <w:rFonts w:hint="eastAsia" w:ascii="宋体" w:hAnsi="宋体" w:cs="宋体"/>
          <w:bCs/>
          <w:szCs w:val="21"/>
          <w:highlight w:val="none"/>
        </w:rPr>
        <w:t xml:space="preserve">。</w:t>
      </w:r>
      <w:r/>
    </w:p>
    <w:p>
      <w:pPr>
        <w:ind w:firstLine="562"/>
        <w:jc w:val="center"/>
        <w:spacing w:line="360" w:lineRule="auto"/>
        <w:rPr>
          <w:rFonts w:hint="eastAsia" w:asciiTheme="majorEastAsia" w:hAnsiTheme="majorEastAsia" w:eastAsiaTheme="majorEastAsia"/>
          <w:b/>
          <w:sz w:val="28"/>
          <w:szCs w:val="28"/>
          <w:highlight w:val="none"/>
        </w:rPr>
      </w:pPr>
      <w:r>
        <w:rPr>
          <w:rFonts w:asciiTheme="majorEastAsia" w:hAnsiTheme="majorEastAsia" w:eastAsiaTheme="majorEastAsia"/>
          <w:b/>
          <w:sz w:val="28"/>
          <w:szCs w:val="28"/>
          <w:highlight w:val="none"/>
        </w:rPr>
        <mc:AlternateContent>
          <mc:Choice Requires="wpg">
            <w:drawing>
              <wp:inline xmlns:wp="http://schemas.openxmlformats.org/drawingml/2006/wordprocessingDrawing" distT="0" distB="0" distL="0" distR="0">
                <wp:extent cx="3855085" cy="3096895"/>
                <wp:effectExtent l="0" t="0" r="12065" b="825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215067" name="图片 1"/>
                        <pic:cNvPicPr>
                          <a:picLocks noChangeAspect="1"/>
                        </pic:cNvPicPr>
                        <pic:nvPr/>
                      </pic:nvPicPr>
                      <pic:blipFill>
                        <a:blip r:embed="rId17"/>
                        <a:stretch/>
                      </pic:blipFill>
                      <pic:spPr bwMode="auto">
                        <a:xfrm>
                          <a:off x="0" y="0"/>
                          <a:ext cx="3862075" cy="3102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3.6pt;height:243.8pt;mso-wrap-distance-left:0.0pt;mso-wrap-distance-top:0.0pt;mso-wrap-distance-right:0.0pt;mso-wrap-distance-bottom:0.0pt;" stroked="f">
                <v:path textboxrect="0,0,0,0"/>
                <v:imagedata r:id="rId17" o:title=""/>
              </v:shape>
            </w:pict>
          </mc:Fallback>
        </mc:AlternateContent>
      </w:r>
      <w:r/>
    </w:p>
    <w:p>
      <w:pPr>
        <w:jc w:val="center"/>
        <w:rPr>
          <w:rFonts w:hint="eastAsia"/>
          <w:highlight w:val="none"/>
        </w:rPr>
      </w:pPr>
      <w:r>
        <w:rPr>
          <w:rFonts w:hint="eastAsia"/>
          <w:highlight w:val="none"/>
        </w:rPr>
        <w:t xml:space="preserve">街区层次规划范围示意图</w:t>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三、研究重点</w:t>
      </w:r>
      <w:r/>
    </w:p>
    <w:p>
      <w:pPr>
        <w:ind w:firstLine="420"/>
        <w:jc w:val="left"/>
        <w:spacing w:line="360" w:lineRule="auto"/>
        <w:rPr>
          <w:b w:val="0"/>
          <w:bCs/>
          <w:highlight w:val="none"/>
        </w:rPr>
      </w:pPr>
      <w:r>
        <w:rPr>
          <w:rFonts w:hint="eastAsia"/>
          <w:b w:val="0"/>
          <w:bCs/>
          <w:highlight w:val="none"/>
        </w:rPr>
        <w:t xml:space="preserve">1、街区层次规划重点</w:t>
      </w:r>
      <w:r/>
    </w:p>
    <w:p>
      <w:pPr>
        <w:ind w:firstLine="420"/>
        <w:jc w:val="left"/>
        <w:spacing w:line="360" w:lineRule="auto"/>
        <w:rPr>
          <w:bCs/>
          <w:highlight w:val="none"/>
        </w:rPr>
      </w:pPr>
      <w:r>
        <w:rPr>
          <w:rFonts w:hint="eastAsia"/>
          <w:bCs/>
          <w:highlight w:val="none"/>
        </w:rPr>
        <w:t xml:space="preserve">（1）精准识别片区优势特征，找准空间治理短板</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以国土调查、地籍调查、不动产登记等法定数据为依据，结合单元层面规划实施评估及规划要求，通过资源条件、社会关系、权利人意愿、权属以及存量空间等精细化盘整，精准识别片区优势特征，找准空间治理问题短板，明确功能完善和空间优化的方向，切实提高详细规划的针对性和可实施性。</w:t>
      </w:r>
      <w:r/>
    </w:p>
    <w:p>
      <w:pPr>
        <w:ind w:firstLine="420"/>
        <w:jc w:val="left"/>
        <w:spacing w:line="360" w:lineRule="auto"/>
        <w:rPr>
          <w:bCs/>
          <w:highlight w:val="none"/>
        </w:rPr>
      </w:pPr>
      <w:r>
        <w:rPr>
          <w:rFonts w:hint="eastAsia"/>
          <w:bCs/>
          <w:highlight w:val="none"/>
        </w:rPr>
        <w:t xml:space="preserve">（2）注重要素保护及风貌控制，彰显片区特色风貌</w:t>
      </w:r>
      <w:r/>
    </w:p>
    <w:p>
      <w:pPr>
        <w:ind w:firstLine="420"/>
        <w:jc w:val="left"/>
        <w:spacing w:line="360" w:lineRule="auto"/>
        <w:rPr>
          <w:bCs/>
          <w:highlight w:val="none"/>
        </w:rPr>
      </w:pPr>
      <w:r>
        <w:rPr>
          <w:rFonts w:hint="eastAsia"/>
          <w:bCs/>
          <w:highlight w:val="none"/>
        </w:rPr>
        <w:t xml:space="preserve">在充分调研街区文化内涵，了解建筑年代、质量、高度、风貌、功能以及产权状况的基础上，凝练历史文化特色与价值，明确保护对象、保护及管控要求。充分考虑片区发展需求，确定建筑的保护、整治与更新模式。同时，运用城市设计手法妥善处理新旧空间关系，结合国、省、市城市更新相关政策要求，合理确定片区开发高度、强度以及立体开发利用等要求，重点加强历史文化街区、历史地段等建（构）筑物、雕塑小品、街区界面等建设引导管控，避免“千城一面、万楼一貌”，彰显片区特色风貌。</w:t>
      </w:r>
      <w:r/>
    </w:p>
    <w:p>
      <w:pPr>
        <w:ind w:firstLine="420"/>
        <w:jc w:val="left"/>
        <w:spacing w:line="360" w:lineRule="auto"/>
        <w:rPr>
          <w:bCs/>
          <w:highlight w:val="none"/>
        </w:rPr>
      </w:pPr>
      <w:r>
        <w:rPr>
          <w:rFonts w:hint="eastAsia"/>
          <w:bCs/>
          <w:highlight w:val="none"/>
        </w:rPr>
        <w:t xml:space="preserve">（3）刚弹结合进行用途管制，形成规划管控图则</w:t>
      </w:r>
      <w:r/>
    </w:p>
    <w:p>
      <w:pPr>
        <w:ind w:firstLine="420"/>
        <w:jc w:val="left"/>
        <w:spacing w:line="360" w:lineRule="auto"/>
        <w:rPr>
          <w:bCs/>
          <w:highlight w:val="none"/>
        </w:rPr>
      </w:pPr>
      <w:r>
        <w:rPr>
          <w:rFonts w:hint="eastAsia"/>
          <w:bCs/>
          <w:highlight w:val="none"/>
        </w:rPr>
        <w:t xml:space="preserve">结合实际空间治理难题，研究土地混合开发利用途径，明确土地主导用途，空间布局以及功能复合利用的比例关系，促进闲置低效资产的盘活利用和片区综合效益的提升，并形成规划管控图则，加强用途管控，注重刚弹结合，明确历史文化街区保护和更新中重点管控和差异化引导的内容，为规划管理以及各项建设工作提供指引。</w:t>
      </w:r>
      <w:r/>
    </w:p>
    <w:p>
      <w:pPr>
        <w:ind w:firstLine="420"/>
        <w:jc w:val="left"/>
        <w:spacing w:line="360" w:lineRule="auto"/>
        <w:rPr>
          <w:bCs/>
          <w:highlight w:val="none"/>
        </w:rPr>
      </w:pPr>
      <w:r>
        <w:rPr>
          <w:rFonts w:hint="eastAsia"/>
          <w:bCs/>
          <w:highlight w:val="none"/>
        </w:rPr>
        <w:t xml:space="preserve">（4）因地制宜细化设施布局，明确设施落地方式</w:t>
      </w:r>
      <w:r/>
    </w:p>
    <w:p>
      <w:pPr>
        <w:ind w:firstLine="420"/>
        <w:jc w:val="left"/>
        <w:spacing w:line="360" w:lineRule="auto"/>
        <w:rPr>
          <w:rFonts w:hint="eastAsia" w:ascii="宋体" w:hAnsi="宋体" w:cs="宋体"/>
          <w:bCs/>
          <w:sz w:val="24"/>
          <w:szCs w:val="24"/>
          <w:highlight w:val="none"/>
        </w:rPr>
      </w:pPr>
      <w:r>
        <w:rPr>
          <w:rFonts w:hint="eastAsia"/>
          <w:bCs/>
          <w:highlight w:val="none"/>
        </w:rPr>
        <w:t xml:space="preserve">综合考虑历史城区人口老龄化程度高、街区尺度小等特征，采用“绣花”、“织补”等微改造方式，重点对非独立占地的公共、公用设施进行优化布局及落地方式研究，确保服务半径有保障，用地空间可实施。加强交通设施控制、停车布局以及市政管网等深化研究，提出适应历史文化城区特点的可实施路径。</w:t>
      </w:r>
      <w:r/>
    </w:p>
    <w:p>
      <w:pPr>
        <w:ind w:firstLine="420"/>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2、</w:t>
      </w:r>
      <w:r>
        <w:rPr>
          <w:rFonts w:ascii="宋体" w:hAnsi="宋体" w:cs="宋体"/>
          <w:b w:val="0"/>
          <w:bCs/>
          <w:szCs w:val="21"/>
          <w:highlight w:val="none"/>
        </w:rPr>
        <w:t xml:space="preserve">广陵区特色产业空间布局规划</w:t>
      </w:r>
      <w:r>
        <w:rPr>
          <w:rFonts w:hint="eastAsia" w:ascii="宋体" w:hAnsi="宋体" w:cs="宋体"/>
          <w:b w:val="0"/>
          <w:bCs/>
          <w:szCs w:val="21"/>
          <w:highlight w:val="none"/>
        </w:rPr>
        <w:t xml:space="preserve">重点</w:t>
      </w:r>
      <w:r/>
    </w:p>
    <w:p>
      <w:pPr>
        <w:ind w:firstLine="420"/>
        <w:jc w:val="left"/>
        <w:spacing w:line="360" w:lineRule="auto"/>
        <w:rPr>
          <w:bCs/>
          <w:highlight w:val="none"/>
        </w:rPr>
      </w:pPr>
      <w:r>
        <w:rPr>
          <w:rFonts w:hint="eastAsia"/>
          <w:bCs/>
          <w:highlight w:val="none"/>
        </w:rPr>
        <w:t xml:space="preserve">（1）</w:t>
      </w:r>
      <w:r>
        <w:rPr>
          <w:bCs/>
          <w:highlight w:val="none"/>
        </w:rPr>
        <w:t xml:space="preserve">资源禀赋与发展特征的综合评估 </w:t>
      </w:r>
      <w:r/>
    </w:p>
    <w:p>
      <w:pPr>
        <w:ind w:firstLine="420"/>
        <w:jc w:val="left"/>
        <w:spacing w:line="360" w:lineRule="auto"/>
        <w:rPr>
          <w:rFonts w:hint="eastAsia"/>
          <w:bCs/>
          <w:highlight w:val="none"/>
        </w:rPr>
      </w:pPr>
      <w:r>
        <w:rPr>
          <w:bCs/>
          <w:highlight w:val="none"/>
        </w:rPr>
        <w:t xml:space="preserve">深入分析广陵区人口结构、产业发展现状与经济特征，全面梳理各功能板块的</w:t>
      </w:r>
      <w:r>
        <w:rPr>
          <w:rFonts w:hint="eastAsia"/>
          <w:bCs/>
          <w:highlight w:val="none"/>
        </w:rPr>
        <w:t xml:space="preserve">功能特征及</w:t>
      </w:r>
      <w:r>
        <w:rPr>
          <w:bCs/>
          <w:highlight w:val="none"/>
        </w:rPr>
        <w:t xml:space="preserve">特色产业资源，重点评估广陵区在商业商务、医疗康养、特色市场、文旅休闲等领域的资源禀赋优势与发展特征，为</w:t>
      </w:r>
      <w:r>
        <w:rPr>
          <w:rFonts w:hint="eastAsia"/>
          <w:bCs/>
          <w:highlight w:val="none"/>
        </w:rPr>
        <w:t xml:space="preserve">特色产业</w:t>
      </w:r>
      <w:r>
        <w:rPr>
          <w:bCs/>
          <w:highlight w:val="none"/>
        </w:rPr>
        <w:t xml:space="preserve">空间布局</w:t>
      </w:r>
      <w:r>
        <w:rPr>
          <w:rFonts w:hint="eastAsia"/>
          <w:bCs/>
          <w:highlight w:val="none"/>
        </w:rPr>
        <w:t xml:space="preserve">选择</w:t>
      </w:r>
      <w:r>
        <w:rPr>
          <w:bCs/>
          <w:highlight w:val="none"/>
        </w:rPr>
        <w:t xml:space="preserve">提供现实基础。</w:t>
      </w:r>
      <w:r/>
    </w:p>
    <w:p>
      <w:pPr>
        <w:ind w:firstLine="420"/>
        <w:jc w:val="left"/>
        <w:spacing w:line="360" w:lineRule="auto"/>
        <w:rPr>
          <w:bCs/>
          <w:highlight w:val="none"/>
        </w:rPr>
      </w:pPr>
      <w:r>
        <w:rPr>
          <w:rFonts w:hint="eastAsia"/>
          <w:bCs/>
          <w:highlight w:val="none"/>
        </w:rPr>
        <w:t xml:space="preserve">（2）</w:t>
      </w:r>
      <w:r>
        <w:rPr>
          <w:bCs/>
          <w:highlight w:val="none"/>
        </w:rPr>
        <w:t xml:space="preserve">明确特色产业空间总体结构</w:t>
      </w:r>
      <w:r/>
    </w:p>
    <w:p>
      <w:pPr>
        <w:ind w:firstLine="420"/>
        <w:jc w:val="left"/>
        <w:spacing w:line="360" w:lineRule="auto"/>
        <w:rPr>
          <w:rFonts w:hint="eastAsia"/>
          <w:bCs/>
          <w:highlight w:val="none"/>
        </w:rPr>
      </w:pPr>
      <w:r>
        <w:rPr>
          <w:bCs/>
          <w:highlight w:val="none"/>
        </w:rPr>
        <w:t xml:space="preserve">在充分研判各板块发展条件与未来需求的基础上，统筹优化全区特色产业空间布局，明确特色产业空间总体结构，构建功能清晰、错位协同的产业空间体系</w:t>
      </w:r>
      <w:r>
        <w:rPr>
          <w:rFonts w:hint="eastAsia"/>
          <w:bCs/>
          <w:highlight w:val="none"/>
        </w:rPr>
        <w:t xml:space="preserve">。</w:t>
      </w:r>
      <w:r/>
    </w:p>
    <w:p>
      <w:pPr>
        <w:ind w:firstLine="420"/>
        <w:jc w:val="left"/>
        <w:spacing w:line="360" w:lineRule="auto"/>
        <w:rPr>
          <w:rFonts w:hint="eastAsia"/>
          <w:bCs/>
          <w:highlight w:val="none"/>
        </w:rPr>
      </w:pPr>
      <w:r>
        <w:rPr>
          <w:rFonts w:hint="eastAsia"/>
          <w:bCs/>
          <w:highlight w:val="none"/>
        </w:rPr>
        <w:t xml:space="preserve">（3）</w:t>
      </w:r>
      <w:r>
        <w:rPr>
          <w:bCs/>
          <w:highlight w:val="none"/>
        </w:rPr>
        <w:t xml:space="preserve">深化各特色产业空间的规划研究</w:t>
      </w:r>
      <w:r/>
    </w:p>
    <w:p>
      <w:pPr>
        <w:ind w:firstLine="420"/>
        <w:jc w:val="left"/>
        <w:spacing w:line="360" w:lineRule="auto"/>
        <w:rPr>
          <w:bCs/>
          <w:highlight w:val="none"/>
        </w:rPr>
      </w:pPr>
      <w:r>
        <w:rPr>
          <w:rFonts w:hint="eastAsia"/>
          <w:bCs/>
          <w:highlight w:val="none"/>
        </w:rPr>
        <w:t xml:space="preserve">分析</w:t>
      </w:r>
      <w:r>
        <w:rPr>
          <w:bCs/>
          <w:highlight w:val="none"/>
        </w:rPr>
        <w:t xml:space="preserve">各特色产业空间的资源条件、产业链条、潜在客群、消费特征、空间需求等</w:t>
      </w:r>
      <w:r>
        <w:rPr>
          <w:rFonts w:hint="eastAsia"/>
          <w:bCs/>
          <w:highlight w:val="none"/>
        </w:rPr>
        <w:t xml:space="preserve">内容</w:t>
      </w:r>
      <w:r>
        <w:rPr>
          <w:bCs/>
          <w:highlight w:val="none"/>
        </w:rPr>
        <w:t xml:space="preserve">，明确各个特色产业空间的规划定位、业态引导方向、用地空间安排及交通支撑体系，确保规划方案具备科学性、针对性和可操作性。</w:t>
      </w:r>
      <w:r/>
    </w:p>
    <w:p>
      <w:pPr>
        <w:ind w:firstLine="420"/>
        <w:jc w:val="left"/>
        <w:spacing w:line="360" w:lineRule="auto"/>
        <w:rPr>
          <w:bCs/>
          <w:highlight w:val="none"/>
        </w:rPr>
      </w:pPr>
      <w:r>
        <w:rPr>
          <w:rFonts w:hint="eastAsia"/>
          <w:bCs/>
          <w:highlight w:val="none"/>
        </w:rPr>
        <w:t xml:space="preserve">（4）</w:t>
      </w:r>
      <w:r>
        <w:rPr>
          <w:bCs/>
          <w:highlight w:val="none"/>
        </w:rPr>
        <w:t xml:space="preserve">形成近期建设任务与项目清单</w:t>
      </w:r>
      <w:r/>
    </w:p>
    <w:p>
      <w:pPr>
        <w:ind w:firstLine="420"/>
        <w:jc w:val="left"/>
        <w:spacing w:line="360" w:lineRule="auto"/>
        <w:rPr>
          <w:bCs/>
          <w:highlight w:val="none"/>
        </w:rPr>
      </w:pPr>
      <w:r>
        <w:rPr>
          <w:bCs/>
          <w:highlight w:val="none"/>
        </w:rPr>
        <w:t xml:space="preserve"> 衔接各片区实际发展需求与建设时序，明确近期行动计划，梳理形成近期建设项目库，为规划落地实施提供有力支撑。</w:t>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四、时间要求</w:t>
      </w:r>
      <w:r/>
    </w:p>
    <w:p>
      <w:pPr>
        <w:ind w:firstLine="420"/>
        <w:jc w:val="left"/>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合同签订后，</w:t>
      </w:r>
      <w:r>
        <w:rPr>
          <w:rFonts w:ascii="宋体" w:hAnsi="宋体" w:cs="宋体"/>
          <w:b w:val="0"/>
          <w:bCs/>
          <w:szCs w:val="21"/>
          <w:highlight w:val="none"/>
        </w:rPr>
        <w:t xml:space="preserve">15</w:t>
      </w:r>
      <w:r>
        <w:rPr>
          <w:rFonts w:hint="eastAsia" w:ascii="宋体" w:hAnsi="宋体" w:cs="宋体"/>
          <w:b w:val="0"/>
          <w:bCs/>
          <w:szCs w:val="21"/>
          <w:highlight w:val="none"/>
        </w:rPr>
        <w:t xml:space="preserve">0天（日历天，下同）内完成成果提交甲方，具体安排如下：</w:t>
      </w:r>
      <w:r/>
    </w:p>
    <w:p>
      <w:pPr>
        <w:ind w:firstLine="420"/>
        <w:jc w:val="left"/>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（1）90天内，形成初步方案；</w:t>
      </w:r>
      <w:r/>
    </w:p>
    <w:p>
      <w:pPr>
        <w:ind w:firstLine="420"/>
        <w:jc w:val="left"/>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（2）</w:t>
      </w:r>
      <w:r>
        <w:rPr>
          <w:rFonts w:ascii="宋体" w:hAnsi="宋体" w:cs="宋体"/>
          <w:b w:val="0"/>
          <w:bCs/>
          <w:szCs w:val="21"/>
          <w:highlight w:val="none"/>
        </w:rPr>
        <w:t xml:space="preserve">30</w:t>
      </w:r>
      <w:r>
        <w:rPr>
          <w:rFonts w:hint="eastAsia" w:ascii="宋体" w:hAnsi="宋体" w:cs="宋体"/>
          <w:b w:val="0"/>
          <w:bCs/>
          <w:szCs w:val="21"/>
          <w:highlight w:val="none"/>
        </w:rPr>
        <w:t xml:space="preserve">天内，形成中期成果；</w:t>
      </w:r>
      <w:r/>
    </w:p>
    <w:p>
      <w:pPr>
        <w:ind w:firstLine="420"/>
        <w:jc w:val="left"/>
        <w:spacing w:line="360" w:lineRule="auto"/>
        <w:rPr>
          <w:rFonts w:hint="eastAsia" w:ascii="宋体" w:hAnsi="宋体" w:cs="宋体"/>
          <w:b w:val="0"/>
          <w:bCs/>
          <w:szCs w:val="21"/>
          <w:highlight w:val="none"/>
        </w:rPr>
      </w:pPr>
      <w:r>
        <w:rPr>
          <w:rFonts w:hint="eastAsia" w:ascii="宋体" w:hAnsi="宋体" w:cs="宋体"/>
          <w:b w:val="0"/>
          <w:bCs/>
          <w:szCs w:val="21"/>
          <w:highlight w:val="none"/>
        </w:rPr>
        <w:t xml:space="preserve">（3）</w:t>
      </w:r>
      <w:r>
        <w:rPr>
          <w:rFonts w:ascii="宋体" w:hAnsi="宋体" w:cs="宋体"/>
          <w:b w:val="0"/>
          <w:bCs/>
          <w:szCs w:val="21"/>
          <w:highlight w:val="none"/>
        </w:rPr>
        <w:t xml:space="preserve">30</w:t>
      </w:r>
      <w:r>
        <w:rPr>
          <w:rFonts w:hint="eastAsia" w:ascii="宋体" w:hAnsi="宋体" w:cs="宋体"/>
          <w:b w:val="0"/>
          <w:bCs/>
          <w:szCs w:val="21"/>
          <w:highlight w:val="none"/>
        </w:rPr>
        <w:t xml:space="preserve">天内，形成最终成果。</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规划研究总时长及汇报节点时间，在研究过程中，可根据招标人的实际要求，适当进行调整。</w:t>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五、成果要求</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规划设计成果的内容必须符合招标文件的有关要求和国家、省、市相关法规、上位规划以及技术规范标准。</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（1）成果构成</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街区层次规划成果包括文本、图件和数据库；特色产业空间布局规划成果包括</w:t>
      </w:r>
      <w:r>
        <w:rPr>
          <w:rFonts w:ascii="宋体" w:hAnsi="宋体" w:cs="宋体"/>
          <w:bCs/>
          <w:szCs w:val="21"/>
          <w:highlight w:val="none"/>
        </w:rPr>
        <w:t xml:space="preserve">文本、图纸等</w:t>
      </w:r>
      <w:r>
        <w:rPr>
          <w:rFonts w:hint="eastAsia" w:ascii="宋体" w:hAnsi="宋体" w:cs="宋体"/>
          <w:bCs/>
          <w:szCs w:val="21"/>
          <w:highlight w:val="none"/>
        </w:rPr>
        <w:t xml:space="preserve">。</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（2）成果提交形式</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最终提交成果包含完整成果纸质文件、汇报文件及相应的电子文件。</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设计单位应提供纸质文件6套，纸质文件应包括文本、图件和附件等。</w:t>
      </w:r>
      <w:r/>
    </w:p>
    <w:p>
      <w:pPr>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设计单位应提供参加方案讨论、评审、报批等程序时的汇报PPT，应及时汇报，满足甲方相关需求。</w:t>
      </w:r>
      <w:r/>
    </w:p>
    <w:p>
      <w:pPr>
        <w:ind w:firstLine="420"/>
        <w:jc w:val="left"/>
        <w:spacing w:line="360" w:lineRule="auto"/>
        <w:rPr>
          <w:rFonts w:hint="eastAsia" w:ascii="宋体" w:hAnsi="宋体" w:eastAsia="宋体" w:cs="宋体"/>
          <w:b/>
          <w:bCs/>
          <w:sz w:val="21"/>
          <w:szCs w:val="21"/>
          <w:highlight w:val="none"/>
        </w:rPr>
      </w:pPr>
      <w:r>
        <w:rPr>
          <w:rFonts w:hint="eastAsia" w:ascii="宋体" w:hAnsi="宋体" w:cs="宋体"/>
          <w:bCs/>
          <w:szCs w:val="21"/>
          <w:highlight w:val="none"/>
        </w:rPr>
        <w:t xml:space="preserve">设计单位应提供电子文件1套（光盘），其中文本（附件）为DOC、PDF、JPG等格式，图纸为CAD、PSD和JPG格式，数据库为GIS格式，汇报文件为PPT格式。</w:t>
      </w:r>
      <w:r/>
    </w:p>
    <w:p>
      <w:pPr>
        <w:pStyle w:val="846"/>
        <w:ind w:firstLine="422"/>
        <w:jc w:val="left"/>
        <w:pageBreakBefore w:val="0"/>
        <w:spacing w:before="0" w:after="0"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政府采购中实施本国产品标准及相关政策</w:t>
      </w:r>
      <w:r/>
    </w:p>
    <w:p>
      <w:pPr>
        <w:pStyle w:val="86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1、本项目对采购本国产品给予政策支持，具体内容见招标文件“第五章 评审方法</w:t>
      </w:r>
      <w:r>
        <w:rPr>
          <w:rFonts w:hint="eastAsia" w:hAnsi="宋体" w:cs="宋体"/>
          <w:sz w:val="21"/>
          <w:szCs w:val="21"/>
          <w:highlight w:val="none"/>
          <w:lang w:val="en-US" w:eastAsia="zh-CN"/>
        </w:rPr>
        <w:t xml:space="preserve">及</w:t>
      </w:r>
      <w:r>
        <w:rPr>
          <w:rFonts w:hint="eastAsia" w:ascii="宋体" w:hAnsi="宋体" w:eastAsia="宋体" w:cs="宋体"/>
          <w:sz w:val="21"/>
          <w:szCs w:val="21"/>
          <w:highlight w:val="none"/>
          <w:lang w:val="en-US" w:eastAsia="zh-CN"/>
        </w:rPr>
        <w:t xml:space="preserve">评审标准”。</w:t>
      </w:r>
      <w:r/>
    </w:p>
    <w:p>
      <w:pPr>
        <w:pStyle w:val="867"/>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7"/>
        <w:ind w:firstLine="420"/>
        <w:jc w:val="left"/>
        <w:keepLines w:val="0"/>
        <w:keepNext w:val="0"/>
        <w:pageBreakBefore w:val="0"/>
        <w:spacing w:line="360" w:lineRule="auto"/>
        <w:widowControl w:val="off"/>
        <w:rPr>
          <w:rFonts w:hint="eastAsia" w:ascii="宋体" w:hAnsi="宋体" w:cs="宋体"/>
          <w:color w:val="000000"/>
          <w:szCs w:val="21"/>
          <w:highlight w:val="none"/>
        </w:rPr>
        <w:outlineLvl w:val="9"/>
      </w:pPr>
      <w:r>
        <w:rPr>
          <w:rFonts w:hint="eastAsia" w:ascii="宋体" w:hAnsi="宋体" w:eastAsia="宋体" w:cs="宋体"/>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bookmarkStart w:id="58" w:name="_GoBack"/>
      <w:r/>
      <w:bookmarkEnd w:id="58"/>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left"/>
        <w:widowControl/>
        <w:rPr>
          <w:rFonts w:hint="eastAsia" w:ascii="宋体" w:hAnsi="宋体" w:cs="宋体"/>
          <w:highlight w:val="none"/>
        </w:rPr>
      </w:pPr>
      <w:r>
        <w:rPr>
          <w:rFonts w:hint="eastAsia" w:ascii="宋体" w:hAnsi="宋体" w:cs="宋体"/>
          <w:highlight w:val="none"/>
        </w:rPr>
        <w:br w:type="page" w:clear="all"/>
      </w:r>
      <w:r/>
    </w:p>
    <w:p>
      <w:pPr>
        <w:pStyle w:val="1050"/>
        <w:jc w:val="center"/>
        <w:spacing w:line="360" w:lineRule="auto"/>
        <w:rPr>
          <w:rFonts w:hint="eastAsia" w:ascii="宋体" w:hAnsi="宋体" w:cs="宋体"/>
          <w:highlight w:val="none"/>
        </w:rPr>
      </w:pPr>
      <w:r>
        <w:rPr>
          <w:rFonts w:hint="eastAsia" w:ascii="宋体" w:hAnsi="宋体" w:cs="宋体"/>
          <w:highlight w:val="none"/>
        </w:rPr>
        <w:t xml:space="preserve">第五章 评审方法及评审标准</w:t>
      </w:r>
      <w:bookmarkEnd w:id="1"/>
      <w:r/>
      <w:bookmarkEnd w:id="31"/>
      <w:r/>
      <w:r/>
    </w:p>
    <w:p>
      <w:pPr>
        <w:pStyle w:val="1096"/>
        <w:ind w:firstLine="422"/>
        <w:rPr>
          <w:rFonts w:hint="eastAsia" w:ascii="宋体" w:hAnsi="宋体" w:cs="宋体"/>
          <w:b/>
          <w:sz w:val="21"/>
          <w:szCs w:val="21"/>
          <w:highlight w:val="none"/>
        </w:rPr>
      </w:pPr>
      <w:r>
        <w:rPr>
          <w:rFonts w:hint="eastAsia" w:ascii="宋体" w:hAnsi="宋体" w:cs="宋体"/>
          <w:b/>
          <w:sz w:val="21"/>
          <w:szCs w:val="21"/>
          <w:highlight w:val="none"/>
        </w:rPr>
        <w:t xml:space="preserve">一、评审方法</w:t>
      </w:r>
      <w:r/>
    </w:p>
    <w:p>
      <w:pPr>
        <w:ind w:firstLine="420"/>
        <w:spacing w:line="360" w:lineRule="auto"/>
        <w:rPr>
          <w:rFonts w:hint="eastAsia" w:ascii="宋体" w:hAnsi="宋体" w:cs="宋体"/>
          <w:szCs w:val="21"/>
          <w:highlight w:val="none"/>
        </w:rPr>
      </w:pPr>
      <w:r/>
      <w:bookmarkStart w:id="35" w:name="_Toc449016388"/>
      <w:r/>
      <w:bookmarkStart w:id="36" w:name="_Toc449017024"/>
      <w:r>
        <w:rPr>
          <w:rFonts w:hint="eastAsia" w:ascii="宋体" w:hAnsi="宋体" w:cs="宋体"/>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szCs w:val="21"/>
          <w:highlight w:val="none"/>
        </w:rPr>
        <w:t xml:space="preserve">本项目推荐</w:t>
      </w:r>
      <w:r>
        <w:rPr>
          <w:rFonts w:hint="eastAsia" w:ascii="宋体" w:hAnsi="宋体"/>
          <w:szCs w:val="21"/>
          <w:highlight w:val="none"/>
          <w:lang w:val="en-US" w:eastAsia="zh-CN"/>
        </w:rPr>
        <w:t xml:space="preserve">成交</w:t>
      </w:r>
      <w:r>
        <w:rPr>
          <w:rFonts w:ascii="宋体" w:hAnsi="宋体"/>
          <w:szCs w:val="21"/>
          <w:highlight w:val="none"/>
        </w:rPr>
        <w:t xml:space="preserve">候选人3家。</w:t>
      </w:r>
      <w:r/>
    </w:p>
    <w:p>
      <w:pPr>
        <w:numPr>
          <w:ilvl w:val="0"/>
          <w:numId w:val="4"/>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政府采购政策功能落实</w:t>
      </w:r>
      <w:bookmarkEnd w:id="35"/>
      <w:r/>
      <w:bookmarkEnd w:id="3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本项目专门面向中小企业采购，对符合条件的小微型企业、监狱和戒毒企业价格或残疾人福利单位所制造生产的货物或提供的服务进行价格扣除，具体如下：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1、小微型企业价格扣除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（1）本项目对小型和微型企业产品给予</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%的扣除价格，用扣除后的价格参与评审。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（2）供应商需按照采购文件的要求提供相应的《企业声明函》。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%的价格扣除，用扣除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3、监狱和戒毒企业价格扣除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价格将不做相应扣除。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[2014]68号）。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4、残疾人福利单位、监狱企业属于小型、微型企业的，不重复享受政策。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5、大中型企业和其他自然人、法人或者其他组织并与小型、微型企业（残疾人福利单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%的价格扣除，用扣除后的价格参与评审。 </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联合体各方均为小型、微型企业（残疾人福利单位、监狱企业）的，联合体享受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%价格扣除，用扣除后的价格参与评审。</w:t>
      </w:r>
      <w:r/>
    </w:p>
    <w:p>
      <w:pPr>
        <w:pStyle w:val="1096"/>
        <w:numPr>
          <w:ilvl w:val="0"/>
          <w:numId w:val="0"/>
        </w:numPr>
        <w:ind w:firstLine="211"/>
        <w:rPr>
          <w:rFonts w:hint="eastAsia" w:ascii="宋体" w:hAnsi="宋体" w:cs="宋体"/>
          <w:b/>
          <w:sz w:val="21"/>
          <w:szCs w:val="21"/>
          <w:highlight w:val="none"/>
        </w:rPr>
      </w:pPr>
      <w:r>
        <w:rPr>
          <w:rFonts w:hint="eastAsia" w:ascii="宋体" w:hAnsi="宋体" w:cs="宋体"/>
          <w:b/>
          <w:sz w:val="21"/>
          <w:szCs w:val="21"/>
          <w:highlight w:val="none"/>
        </w:rPr>
        <w:t xml:space="preserve">三、评审标准</w:t>
      </w:r>
      <w:r/>
    </w:p>
    <w:tbl>
      <w:tblPr>
        <w:tblStyle w:val="856"/>
        <w:tblW w:w="5000"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7332"/>
      </w:tblGrid>
      <w:tr>
        <w:trPr>
          <w:trHeight w:val="638"/>
        </w:trPr>
        <w:tc>
          <w:tcPr>
            <w:tcW w:w="698" w:type="pct"/>
            <w:vAlign w:val="center"/>
            <w:textDirection w:val="lrTb"/>
            <w:noWrap w:val="false"/>
          </w:tcPr>
          <w:p>
            <w:pPr>
              <w:jc w:val="center"/>
              <w:rPr>
                <w:rFonts w:hint="eastAsia" w:ascii="宋体" w:hAnsi="宋体" w:eastAsia="宋体" w:cs="宋体"/>
                <w:sz w:val="21"/>
                <w:szCs w:val="21"/>
                <w:highlight w:val="none"/>
              </w:rPr>
            </w:pPr>
            <w:r/>
            <w:bookmarkStart w:id="37" w:name="_Toc14387"/>
            <w:r/>
            <w:bookmarkStart w:id="38" w:name="_Toc28623"/>
            <w:r>
              <w:rPr>
                <w:rFonts w:hint="eastAsia" w:ascii="宋体" w:hAnsi="宋体" w:eastAsia="宋体" w:cs="宋体"/>
                <w:sz w:val="21"/>
                <w:szCs w:val="21"/>
                <w:highlight w:val="none"/>
              </w:rPr>
              <w:t xml:space="preserve">项目</w:t>
            </w:r>
            <w:r/>
          </w:p>
        </w:tc>
        <w:tc>
          <w:tcPr>
            <w:tcW w:w="4301" w:type="pct"/>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评分标准</w:t>
            </w:r>
            <w:r/>
          </w:p>
        </w:tc>
      </w:tr>
      <w:tr>
        <w:trPr>
          <w:trHeight w:val="1088"/>
        </w:trPr>
        <w:tc>
          <w:tcPr>
            <w:tcW w:w="698"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w:t>
            </w:r>
            <w:r/>
          </w:p>
          <w:p>
            <w:pPr>
              <w:jc w:val="center"/>
              <w:spacing w:line="360" w:lineRule="auto"/>
              <w:rPr>
                <w:rFonts w:hint="eastAsia" w:ascii="宋体" w:hAnsi="宋体" w:eastAsia="宋体" w:cs="宋体"/>
                <w:color w:val="ff0000"/>
                <w:sz w:val="21"/>
                <w:szCs w:val="21"/>
                <w:highlight w:val="none"/>
              </w:rPr>
            </w:pPr>
            <w:r>
              <w:rPr>
                <w:rFonts w:hint="eastAsia" w:ascii="宋体" w:hAnsi="宋体" w:eastAsia="宋体" w:cs="宋体"/>
                <w:bCs/>
                <w:sz w:val="21"/>
                <w:szCs w:val="21"/>
                <w:highlight w:val="none"/>
              </w:rPr>
              <w:t xml:space="preserve">（10分）</w:t>
            </w:r>
            <w:r/>
          </w:p>
        </w:tc>
        <w:tc>
          <w:tcPr>
            <w:tcW w:w="4301" w:type="pct"/>
            <w:textDirection w:val="lrTb"/>
            <w:noWrap w:val="false"/>
          </w:tcPr>
          <w:p>
            <w:pPr>
              <w:spacing w:line="360" w:lineRule="auto"/>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以满足</w:t>
            </w:r>
            <w:r>
              <w:rPr>
                <w:rFonts w:hint="eastAsia" w:ascii="宋体" w:hAnsi="宋体" w:eastAsia="宋体" w:cs="宋体"/>
                <w:sz w:val="21"/>
                <w:szCs w:val="21"/>
                <w:highlight w:val="none"/>
                <w:lang w:val="en-US" w:eastAsia="zh-CN" w:bidi="ar-SA"/>
              </w:rPr>
              <w:t xml:space="preserve">采购文件</w:t>
            </w:r>
            <w:r>
              <w:rPr>
                <w:rFonts w:hint="eastAsia" w:ascii="宋体" w:hAnsi="宋体" w:eastAsia="宋体" w:cs="宋体"/>
                <w:sz w:val="21"/>
                <w:szCs w:val="21"/>
                <w:highlight w:val="none"/>
              </w:rPr>
              <w:t xml:space="preserve">要求的最低投标报价为评标基准价，得满分10分，其他投标报价=（评标基准价/其他投标报价）×10×100%（保留二位小数）</w:t>
            </w:r>
            <w:r/>
          </w:p>
        </w:tc>
      </w:tr>
      <w:tr>
        <w:trPr>
          <w:trHeight w:val="2019"/>
        </w:trPr>
        <w:tc>
          <w:tcPr>
            <w:tcW w:w="698"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企业荣誉</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tc>
        <w:tc>
          <w:tcPr>
            <w:tcW w:w="4301" w:type="pc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月1日以来承担的规划</w:t>
            </w:r>
            <w:r>
              <w:rPr>
                <w:rFonts w:hint="eastAsia" w:ascii="宋体" w:hAnsi="宋体" w:eastAsia="宋体" w:cs="宋体"/>
                <w:color w:val="000000"/>
                <w:sz w:val="21"/>
                <w:szCs w:val="21"/>
                <w:highlight w:val="none"/>
              </w:rPr>
              <w:t xml:space="preserve">类</w:t>
            </w:r>
            <w:r>
              <w:rPr>
                <w:rFonts w:hint="eastAsia" w:ascii="宋体" w:hAnsi="宋体" w:eastAsia="宋体" w:cs="宋体"/>
                <w:sz w:val="21"/>
                <w:szCs w:val="21"/>
                <w:highlight w:val="none"/>
              </w:rPr>
              <w:t xml:space="preserve">项目，获得省级</w:t>
            </w:r>
            <w:r>
              <w:rPr>
                <w:rFonts w:hint="eastAsia" w:ascii="宋体" w:hAnsi="宋体" w:eastAsia="宋体" w:cs="宋体"/>
                <w:sz w:val="21"/>
                <w:szCs w:val="21"/>
                <w:highlight w:val="none"/>
                <w:lang w:val="en-US" w:eastAsia="zh-CN"/>
              </w:rPr>
              <w:t xml:space="preserve">及以上</w:t>
            </w:r>
            <w:r>
              <w:rPr>
                <w:rFonts w:hint="eastAsia" w:ascii="宋体" w:hAnsi="宋体" w:eastAsia="宋体" w:cs="宋体"/>
                <w:sz w:val="21"/>
                <w:szCs w:val="21"/>
                <w:highlight w:val="none"/>
              </w:rPr>
              <w:t xml:space="preserve">奖项的每个得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分，获得地市级奖项的每个得0.5分。本项满分</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宋体"/>
                <w:color w:val="ff0000"/>
                <w:sz w:val="21"/>
                <w:szCs w:val="21"/>
                <w:highlight w:val="none"/>
              </w:rPr>
            </w:pPr>
            <w:r>
              <w:rPr>
                <w:rFonts w:hint="eastAsia" w:ascii="宋体" w:hAnsi="宋体" w:eastAsia="宋体" w:cs="宋体"/>
                <w:b/>
                <w:bCs/>
                <w:sz w:val="21"/>
                <w:szCs w:val="21"/>
                <w:highlight w:val="none"/>
              </w:rPr>
              <w:t xml:space="preserve">（以获奖证书颁发时间为准，由省级</w:t>
            </w:r>
            <w:r>
              <w:rPr>
                <w:rFonts w:hint="eastAsia" w:ascii="宋体" w:hAnsi="宋体" w:eastAsia="宋体" w:cs="宋体"/>
                <w:b/>
                <w:bCs/>
                <w:sz w:val="21"/>
                <w:szCs w:val="21"/>
                <w:highlight w:val="none"/>
                <w:lang w:val="en-US" w:eastAsia="zh-CN"/>
              </w:rPr>
              <w:t xml:space="preserve">及以上</w:t>
            </w:r>
            <w:r>
              <w:rPr>
                <w:rFonts w:hint="eastAsia" w:ascii="宋体" w:hAnsi="宋体" w:eastAsia="宋体" w:cs="宋体"/>
                <w:b/>
                <w:bCs/>
                <w:sz w:val="21"/>
                <w:szCs w:val="21"/>
                <w:highlight w:val="none"/>
              </w:rPr>
              <w:t xml:space="preserve">、地市级主管部门颁发的奖项均可计算，同一项目不重复计分）（须提供证书原件扫描上传）</w:t>
            </w:r>
            <w:r/>
          </w:p>
        </w:tc>
      </w:tr>
      <w:tr>
        <w:trPr>
          <w:trHeight w:val="4342"/>
        </w:trPr>
        <w:tc>
          <w:tcPr>
            <w:tcW w:w="698"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团队实力</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24</w:t>
            </w:r>
            <w:r>
              <w:rPr>
                <w:rFonts w:hint="eastAsia" w:ascii="宋体" w:hAnsi="宋体" w:eastAsia="宋体" w:cs="宋体"/>
                <w:bCs/>
                <w:sz w:val="21"/>
                <w:szCs w:val="21"/>
                <w:highlight w:val="none"/>
              </w:rPr>
              <w:t xml:space="preserve">分）</w:t>
            </w:r>
            <w:r/>
          </w:p>
        </w:tc>
        <w:tc>
          <w:tcPr>
            <w:tcW w:w="4301" w:type="pct"/>
            <w:textDirection w:val="lrTb"/>
            <w:noWrap w:val="false"/>
          </w:tcPr>
          <w:p>
            <w:pPr>
              <w:numPr>
                <w:ilvl w:val="0"/>
                <w:numId w:val="5"/>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项目负责人：具备副高级或以上职称的得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分，有中级职称的得1分；</w:t>
            </w:r>
            <w:r/>
          </w:p>
          <w:p>
            <w:pPr>
              <w:numPr>
                <w:ilvl w:val="0"/>
                <w:numId w:val="0"/>
              </w:num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有国家注册城乡规划师证书的得2分。本项满分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职称专业须为</w:t>
            </w:r>
            <w:r>
              <w:rPr>
                <w:rFonts w:hint="eastAsia" w:ascii="宋体" w:hAnsi="宋体" w:eastAsia="宋体" w:cs="宋体"/>
                <w:b/>
                <w:bCs/>
                <w:sz w:val="21"/>
                <w:szCs w:val="21"/>
                <w:highlight w:val="none"/>
              </w:rPr>
              <w:t xml:space="preserve">土地、交通、建筑、园林、市政、</w:t>
            </w:r>
            <w:r>
              <w:rPr>
                <w:rFonts w:hint="eastAsia" w:ascii="宋体" w:hAnsi="宋体" w:eastAsia="宋体" w:cs="宋体"/>
                <w:b/>
                <w:bCs/>
                <w:sz w:val="21"/>
                <w:szCs w:val="21"/>
                <w:highlight w:val="none"/>
                <w:lang w:val="en-US" w:eastAsia="zh-CN"/>
              </w:rPr>
              <w:t xml:space="preserve">规划</w:t>
            </w:r>
            <w:r>
              <w:rPr>
                <w:rFonts w:hint="eastAsia" w:ascii="宋体" w:hAnsi="宋体" w:eastAsia="宋体" w:cs="宋体"/>
                <w:b/>
                <w:bCs/>
                <w:sz w:val="21"/>
                <w:szCs w:val="21"/>
                <w:highlight w:val="none"/>
              </w:rPr>
              <w:t xml:space="preserve">相关专业</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专业以学历证书或职称证书上专业为准</w:t>
            </w:r>
            <w:r>
              <w:rPr>
                <w:rFonts w:hint="eastAsia" w:ascii="宋体" w:hAnsi="宋体" w:cs="宋体"/>
                <w:b/>
                <w:bCs/>
                <w:sz w:val="21"/>
                <w:szCs w:val="21"/>
                <w:highlight w:val="none"/>
                <w:lang w:eastAsia="zh-CN"/>
              </w:rPr>
              <w:t xml:space="preserve">）</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2、项目组成员（除项目负责人外）：</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（1）项目组成员：具备国家注册城乡规划师证书的，有1个得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分，最多</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（2）项目组成员配备有土地、交通、建筑、园林、市政、</w:t>
            </w:r>
            <w:r>
              <w:rPr>
                <w:rFonts w:hint="eastAsia" w:ascii="宋体" w:hAnsi="宋体" w:eastAsia="宋体" w:cs="宋体"/>
                <w:sz w:val="21"/>
                <w:szCs w:val="21"/>
                <w:highlight w:val="none"/>
                <w:lang w:val="en-US" w:eastAsia="zh-CN"/>
              </w:rPr>
              <w:t xml:space="preserve">规划</w:t>
            </w:r>
            <w:r>
              <w:rPr>
                <w:rFonts w:hint="eastAsia" w:ascii="宋体" w:hAnsi="宋体" w:eastAsia="宋体" w:cs="宋体"/>
                <w:sz w:val="21"/>
                <w:szCs w:val="21"/>
                <w:highlight w:val="none"/>
              </w:rPr>
              <w:t xml:space="preserve">相关专业副高级或以上职称的</w:t>
            </w:r>
            <w:r>
              <w:rPr>
                <w:rFonts w:hint="eastAsia" w:ascii="宋体" w:hAnsi="宋体" w:eastAsia="宋体" w:cs="宋体"/>
                <w:b/>
                <w:bCs/>
                <w:sz w:val="21"/>
                <w:szCs w:val="21"/>
                <w:highlight w:val="none"/>
              </w:rPr>
              <w:t xml:space="preserve">（专业以学历证书或职称证书上专业为准）</w:t>
            </w:r>
            <w:r>
              <w:rPr>
                <w:rFonts w:hint="eastAsia" w:ascii="宋体" w:hAnsi="宋体" w:eastAsia="宋体" w:cs="宋体"/>
                <w:sz w:val="21"/>
                <w:szCs w:val="21"/>
                <w:highlight w:val="none"/>
              </w:rPr>
              <w:t xml:space="preserve">，每一专业得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分。本项满分</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p>
          <w:p>
            <w:pPr>
              <w:spacing w:line="360" w:lineRule="auto"/>
              <w:rPr>
                <w:rFonts w:hint="eastAsia" w:ascii="宋体" w:hAnsi="宋体" w:eastAsia="宋体" w:cs="宋体"/>
                <w:color w:val="ff0000"/>
                <w:sz w:val="21"/>
                <w:szCs w:val="21"/>
                <w:highlight w:val="none"/>
              </w:rPr>
            </w:pPr>
            <w:r>
              <w:rPr>
                <w:rFonts w:hint="eastAsia" w:ascii="宋体" w:hAnsi="宋体" w:eastAsia="宋体" w:cs="宋体"/>
                <w:b/>
                <w:bCs/>
                <w:sz w:val="21"/>
                <w:szCs w:val="21"/>
                <w:highlight w:val="none"/>
              </w:rPr>
              <w:t xml:space="preserve">（以上须提供证书及投标人近3个月任意</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月为其缴纳社保的证明，原件扫描上传）</w:t>
            </w:r>
            <w:r/>
          </w:p>
        </w:tc>
      </w:tr>
      <w:tr>
        <w:trPr>
          <w:trHeight w:val="1034"/>
        </w:trPr>
        <w:tc>
          <w:tcPr>
            <w:tcW w:w="698" w:type="pct"/>
            <w:vAlign w:val="center"/>
            <w:textDirection w:val="lrTb"/>
            <w:noWrap w:val="false"/>
          </w:tcPr>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p>
          <w:p>
            <w:pPr>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分）</w:t>
            </w:r>
            <w:r/>
          </w:p>
        </w:tc>
        <w:tc>
          <w:tcPr>
            <w:tcW w:w="4301" w:type="pc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月1日以来承接过类似</w:t>
            </w:r>
            <w:r>
              <w:rPr>
                <w:rFonts w:hint="eastAsia" w:ascii="宋体" w:hAnsi="宋体" w:eastAsia="宋体" w:cs="宋体"/>
                <w:bCs/>
                <w:sz w:val="21"/>
                <w:szCs w:val="21"/>
                <w:highlight w:val="none"/>
              </w:rPr>
              <w:t xml:space="preserve">详细规划</w:t>
            </w:r>
            <w:r>
              <w:rPr>
                <w:rFonts w:hint="eastAsia" w:ascii="宋体" w:hAnsi="宋体" w:eastAsia="宋体" w:cs="宋体"/>
                <w:bCs/>
                <w:sz w:val="21"/>
                <w:szCs w:val="21"/>
                <w:highlight w:val="none"/>
                <w:lang w:val="en-US" w:eastAsia="zh-CN"/>
              </w:rPr>
              <w:t xml:space="preserve">或</w:t>
            </w:r>
            <w:r>
              <w:rPr>
                <w:rFonts w:hint="eastAsia" w:ascii="宋体" w:hAnsi="宋体" w:eastAsia="宋体" w:cs="宋体"/>
                <w:bCs/>
                <w:sz w:val="21"/>
                <w:szCs w:val="21"/>
                <w:highlight w:val="none"/>
              </w:rPr>
              <w:t xml:space="preserve">产业空间布局规划项目，每有1项得2分，本项满分</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分。</w:t>
            </w:r>
            <w:r/>
          </w:p>
          <w:p>
            <w:pPr>
              <w:spacing w:line="360" w:lineRule="auto"/>
              <w:rPr>
                <w:rFonts w:hint="eastAsia" w:ascii="宋体" w:hAnsi="宋体" w:eastAsia="宋体" w:cs="宋体"/>
                <w:color w:val="ff0000"/>
                <w:sz w:val="21"/>
                <w:szCs w:val="21"/>
                <w:highlight w:val="none"/>
              </w:rPr>
            </w:pPr>
            <w:r>
              <w:rPr>
                <w:rFonts w:hint="eastAsia" w:ascii="宋体" w:hAnsi="宋体" w:eastAsia="宋体" w:cs="宋体"/>
                <w:b/>
                <w:bCs/>
                <w:sz w:val="21"/>
                <w:szCs w:val="21"/>
                <w:highlight w:val="none"/>
              </w:rPr>
              <w:t xml:space="preserve">（以上业绩以合同签订时间为准，合同原件扫描上传）</w:t>
            </w:r>
            <w:r/>
          </w:p>
        </w:tc>
      </w:tr>
      <w:tr>
        <w:trPr>
          <w:trHeight w:val="928"/>
        </w:trPr>
        <w:tc>
          <w:tcPr>
            <w:tcW w:w="698" w:type="pct"/>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技术方案（50分）</w:t>
            </w:r>
            <w:r/>
          </w:p>
        </w:tc>
        <w:tc>
          <w:tcPr>
            <w:tcW w:w="4301" w:type="pct"/>
            <w:textDirection w:val="lrTb"/>
            <w:noWrap w:val="false"/>
          </w:tcPr>
          <w:p>
            <w:pPr>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1、项目理解与认知。重点对项目背景，相关政策要求，相关规划编制指南、导则等进行解读。解读准确全面的得10分；解读较为准确全面的得7分；解读不够准确全面的得4分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解读</w:t>
            </w:r>
            <w:r>
              <w:rPr>
                <w:rFonts w:hint="eastAsia" w:ascii="宋体" w:hAnsi="宋体" w:eastAsia="宋体" w:cs="宋体"/>
                <w:sz w:val="21"/>
                <w:szCs w:val="21"/>
                <w:highlight w:val="none"/>
                <w:lang w:val="en-US" w:eastAsia="zh-CN"/>
              </w:rPr>
              <w:t xml:space="preserve">片</w:t>
            </w:r>
            <w:r>
              <w:rPr>
                <w:rFonts w:hint="eastAsia" w:ascii="宋体" w:hAnsi="宋体" w:eastAsia="宋体" w:cs="宋体"/>
                <w:sz w:val="21"/>
                <w:szCs w:val="21"/>
                <w:highlight w:val="none"/>
              </w:rPr>
              <w:t xml:space="preserve">面、分析</w:t>
            </w:r>
            <w:r>
              <w:rPr>
                <w:rFonts w:hint="eastAsia" w:ascii="宋体" w:hAnsi="宋体" w:eastAsia="宋体" w:cs="宋体"/>
                <w:sz w:val="21"/>
                <w:szCs w:val="21"/>
                <w:highlight w:val="none"/>
                <w:lang w:val="en-US" w:eastAsia="zh-CN"/>
              </w:rPr>
              <w:t xml:space="preserve">差</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不提供不得分。</w:t>
            </w:r>
            <w:r/>
          </w:p>
        </w:tc>
      </w:tr>
      <w:tr>
        <w:trPr>
          <w:trHeight w:val="492"/>
        </w:trPr>
        <w:tc>
          <w:tcPr>
            <w:tcW w:w="698" w:type="pct"/>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301" w:type="pct"/>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2、相关规划解读。重点对上位规划、各类专项规划及其他相关规划进行解读分析。解读全面、分析到位的得10分；解读较为全面、分析较为到位的得7分；解读不够全面、分析不够到位的得4分；解读</w:t>
            </w:r>
            <w:r>
              <w:rPr>
                <w:rFonts w:hint="eastAsia" w:ascii="宋体" w:hAnsi="宋体" w:eastAsia="宋体" w:cs="宋体"/>
                <w:sz w:val="21"/>
                <w:szCs w:val="21"/>
                <w:highlight w:val="none"/>
                <w:lang w:val="en-US" w:eastAsia="zh-CN"/>
              </w:rPr>
              <w:t xml:space="preserve">片</w:t>
            </w:r>
            <w:r>
              <w:rPr>
                <w:rFonts w:hint="eastAsia" w:ascii="宋体" w:hAnsi="宋体" w:eastAsia="宋体" w:cs="宋体"/>
                <w:sz w:val="21"/>
                <w:szCs w:val="21"/>
                <w:highlight w:val="none"/>
              </w:rPr>
              <w:t xml:space="preserve">面、分析</w:t>
            </w:r>
            <w:r>
              <w:rPr>
                <w:rFonts w:hint="eastAsia" w:ascii="宋体" w:hAnsi="宋体" w:eastAsia="宋体" w:cs="宋体"/>
                <w:sz w:val="21"/>
                <w:szCs w:val="21"/>
                <w:highlight w:val="none"/>
                <w:lang w:val="en-US" w:eastAsia="zh-CN"/>
              </w:rPr>
              <w:t xml:space="preserve">差</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不提供不得分。</w:t>
            </w:r>
            <w:r/>
          </w:p>
        </w:tc>
      </w:tr>
      <w:tr>
        <w:trPr>
          <w:trHeight w:val="1029"/>
        </w:trPr>
        <w:tc>
          <w:tcPr>
            <w:tcW w:w="698" w:type="pct"/>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301" w:type="pct"/>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3、01街区规划。重点对现状分析、用地布局优化、配套设施、城市更新、道路交通、控制指标管控等内容进行分析。分析全面、合理的得8分；分析较全面、较合理的得5分；分析不够全面，不够合理的得3分。</w:t>
            </w:r>
            <w:r>
              <w:rPr>
                <w:rFonts w:hint="eastAsia" w:ascii="宋体" w:hAnsi="宋体" w:eastAsia="宋体" w:cs="宋体"/>
                <w:sz w:val="21"/>
                <w:szCs w:val="21"/>
                <w:highlight w:val="none"/>
                <w:lang w:val="en-US" w:eastAsia="zh-CN"/>
              </w:rPr>
              <w:t xml:space="preserve">不提供不得分。</w:t>
            </w:r>
            <w:r/>
          </w:p>
        </w:tc>
      </w:tr>
      <w:tr>
        <w:trPr>
          <w:trHeight w:val="1029"/>
        </w:trPr>
        <w:tc>
          <w:tcPr>
            <w:tcW w:w="698" w:type="pct"/>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301" w:type="pct"/>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4、10街区规划。重点对现状分析、用地布局优化、配套设施、城市更新、道路交通、控制指标管控等内容进行分析。分析全面、合理的得8分；分析较全面、较合理的得5分；分析不够全面，不够合理的得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不提供不得分。</w:t>
            </w:r>
            <w:r/>
          </w:p>
        </w:tc>
      </w:tr>
      <w:tr>
        <w:trPr>
          <w:trHeight w:val="1029"/>
        </w:trPr>
        <w:tc>
          <w:tcPr>
            <w:tcW w:w="698" w:type="pct"/>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301" w:type="pct"/>
            <w:textDirection w:val="lrTb"/>
            <w:noWrap w:val="false"/>
          </w:tcPr>
          <w:p>
            <w:pPr>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5、特色产业空间规划。重点对现状特征进行分析，研究特色产业空间总体布局、各特色产业空间规划等内容，现状分析全面、规划合理的得8分；</w:t>
            </w:r>
            <w:bookmarkStart w:id="39" w:name="OLE_LINK13"/>
            <w:r>
              <w:rPr>
                <w:rFonts w:hint="eastAsia" w:ascii="宋体" w:hAnsi="宋体" w:eastAsia="宋体" w:cs="宋体"/>
                <w:sz w:val="21"/>
                <w:szCs w:val="21"/>
                <w:highlight w:val="none"/>
              </w:rPr>
              <w:t xml:space="preserve">现状分析较全面、规划较合理</w:t>
            </w:r>
            <w:bookmarkEnd w:id="39"/>
            <w:r>
              <w:rPr>
                <w:rFonts w:hint="eastAsia" w:ascii="宋体" w:hAnsi="宋体" w:eastAsia="宋体" w:cs="宋体"/>
                <w:sz w:val="21"/>
                <w:szCs w:val="21"/>
                <w:highlight w:val="none"/>
              </w:rPr>
              <w:t xml:space="preserve">的得5分；现状分析不够全面、规划不够合理的得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不提供不得分。</w:t>
            </w:r>
            <w:r/>
          </w:p>
        </w:tc>
      </w:tr>
      <w:tr>
        <w:trPr>
          <w:trHeight w:val="1143"/>
        </w:trPr>
        <w:tc>
          <w:tcPr>
            <w:tcW w:w="698" w:type="pct"/>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301" w:type="pc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进度安排及项目组织。进度安排合理、可操作性强，组织机构及组织管理体系健全、人员配备合理齐全的，得6分；进度安排比较合理，组织机构及组织管理体系一般、人员配备一般的，得3分；进度安排不合理、可操作性不强，组织机构及组织管理体系不健全、人员配备不齐全的，得1分。</w:t>
            </w:r>
            <w:r>
              <w:rPr>
                <w:rFonts w:hint="eastAsia" w:ascii="宋体" w:hAnsi="宋体" w:eastAsia="宋体" w:cs="宋体"/>
                <w:sz w:val="21"/>
                <w:szCs w:val="21"/>
                <w:highlight w:val="none"/>
                <w:lang w:val="en-US" w:eastAsia="zh-CN"/>
              </w:rPr>
              <w:t xml:space="preserve">不提供不得分。</w:t>
            </w:r>
            <w:r/>
          </w:p>
        </w:tc>
      </w:tr>
    </w:tbl>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highlight w:val="none"/>
        </w:rPr>
      </w:pPr>
      <w:r>
        <w:rPr>
          <w:rFonts w:hint="eastAsia" w:ascii="宋体" w:hAnsi="宋体" w:cs="宋体"/>
          <w:b/>
          <w:highlight w:val="none"/>
        </w:rPr>
        <w:t xml:space="preserve">注：以上参与评分的相关证书、合同及其他证明材料，均需为有效的且清晰可辨。</w:t>
      </w:r>
      <w:bookmarkEnd w:id="37"/>
      <w:r/>
      <w:bookmarkEnd w:id="38"/>
      <w:r/>
      <w:r/>
    </w:p>
    <w:p>
      <w:pPr>
        <w:spacing w:line="360" w:lineRule="auto"/>
        <w:rPr>
          <w:rFonts w:hint="eastAsia" w:ascii="宋体" w:hAnsi="宋体" w:cs="宋体"/>
          <w:highlight w:val="none"/>
        </w:rPr>
      </w:pPr>
      <w:r>
        <w:rPr>
          <w:rFonts w:hint="eastAsia" w:ascii="宋体" w:hAnsi="宋体" w:cs="宋体"/>
          <w:highlight w:val="none"/>
        </w:rPr>
      </w:r>
      <w:r/>
    </w:p>
    <w:p>
      <w:pPr>
        <w:pStyle w:val="1050"/>
        <w:jc w:val="center"/>
        <w:spacing w:line="360" w:lineRule="auto"/>
        <w:rPr>
          <w:rFonts w:hint="eastAsia" w:ascii="宋体" w:hAnsi="宋体" w:cs="宋体"/>
          <w:highlight w:val="none"/>
        </w:rPr>
      </w:pPr>
      <w:r>
        <w:rPr>
          <w:rFonts w:hint="eastAsia" w:ascii="宋体" w:hAnsi="宋体" w:cs="宋体"/>
          <w:sz w:val="36"/>
          <w:highlight w:val="none"/>
        </w:rPr>
        <w:br w:type="page" w:clear="all"/>
      </w:r>
      <w:bookmarkStart w:id="40" w:name="_Toc109304976"/>
      <w:r/>
      <w:r/>
    </w:p>
    <w:p>
      <w:pPr>
        <w:pStyle w:val="1050"/>
        <w:jc w:val="center"/>
        <w:spacing w:line="360" w:lineRule="auto"/>
        <w:rPr>
          <w:rFonts w:hint="eastAsia" w:ascii="宋体" w:hAnsi="宋体" w:cs="宋体"/>
          <w:sz w:val="52"/>
          <w:highlight w:val="none"/>
        </w:rPr>
      </w:pPr>
      <w:r>
        <w:rPr>
          <w:rFonts w:hint="eastAsia" w:ascii="宋体" w:hAnsi="宋体" w:cs="宋体"/>
          <w:highlight w:val="none"/>
        </w:rPr>
        <w:t xml:space="preserve">第六章 竞争性磋商响应文件格式</w:t>
      </w:r>
      <w:bookmarkEnd w:id="2"/>
      <w:r/>
      <w:bookmarkEnd w:id="40"/>
      <w:r/>
      <w:r/>
    </w:p>
    <w:p>
      <w:pPr>
        <w:jc w:val="center"/>
        <w:spacing w:line="360" w:lineRule="auto"/>
        <w:rPr>
          <w:rFonts w:hint="eastAsia" w:ascii="宋体" w:hAnsi="宋体" w:cs="宋体"/>
          <w:b/>
          <w:sz w:val="22"/>
          <w:highlight w:val="none"/>
        </w:rPr>
      </w:pPr>
      <w:r>
        <w:rPr>
          <w:rFonts w:hint="eastAsia" w:ascii="宋体" w:hAnsi="宋体" w:cs="宋体"/>
          <w:b/>
          <w:sz w:val="22"/>
          <w:highlight w:val="none"/>
        </w:rPr>
      </w:r>
      <w:r/>
    </w:p>
    <w:p>
      <w:pPr>
        <w:jc w:val="center"/>
        <w:spacing w:line="360" w:lineRule="auto"/>
        <w:rPr>
          <w:rFonts w:hint="eastAsia" w:ascii="宋体" w:hAnsi="宋体" w:cs="宋体"/>
          <w:b/>
          <w:bCs/>
          <w:sz w:val="72"/>
          <w:szCs w:val="72"/>
          <w:highlight w:val="none"/>
        </w:rPr>
      </w:pPr>
      <w:r>
        <w:rPr>
          <w:rFonts w:hint="eastAsia" w:ascii="宋体" w:hAnsi="宋体" w:cs="宋体"/>
          <w:b/>
          <w:bCs/>
          <w:sz w:val="72"/>
          <w:szCs w:val="72"/>
          <w:highlight w:val="none"/>
        </w:rPr>
        <w:t xml:space="preserve">竞争性磋商响应文件</w:t>
      </w:r>
      <w:r/>
    </w:p>
    <w:p>
      <w:pPr>
        <w:jc w:val="center"/>
        <w:spacing w:line="360" w:lineRule="auto"/>
        <w:rPr>
          <w:rFonts w:hint="eastAsia" w:ascii="宋体" w:hAnsi="宋体" w:cs="宋体"/>
          <w:b/>
          <w:sz w:val="72"/>
          <w:szCs w:val="21"/>
          <w:highlight w:val="none"/>
        </w:rPr>
      </w:pPr>
      <w:r>
        <w:rPr>
          <w:rFonts w:hint="eastAsia" w:ascii="宋体" w:hAnsi="宋体" w:cs="宋体"/>
          <w:b/>
          <w:sz w:val="72"/>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szCs w:val="21"/>
          <w:highlight w:val="none"/>
        </w:rPr>
      </w:pPr>
      <w:r>
        <w:rPr>
          <w:rFonts w:hint="eastAsia" w:ascii="宋体" w:hAnsi="宋体" w:cs="宋体"/>
          <w:b/>
          <w:sz w:val="36"/>
          <w:szCs w:val="21"/>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center"/>
        <w:spacing w:line="360" w:lineRule="auto"/>
        <w:rPr>
          <w:rFonts w:hint="eastAsia" w:ascii="宋体" w:hAnsi="宋体" w:cs="宋体"/>
          <w:b/>
          <w:sz w:val="36"/>
          <w:highlight w:val="none"/>
        </w:rPr>
      </w:pPr>
      <w:r>
        <w:rPr>
          <w:rFonts w:hint="eastAsia" w:ascii="宋体" w:hAnsi="宋体" w:cs="宋体"/>
          <w:b/>
          <w:sz w:val="36"/>
          <w:highlight w:val="none"/>
        </w:rPr>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磋商供应商名称 ：</w:t>
      </w:r>
      <w:r>
        <w:rPr>
          <w:rFonts w:hint="eastAsia" w:ascii="宋体" w:hAnsi="宋体" w:cs="宋体"/>
          <w:b/>
          <w:sz w:val="36"/>
          <w:highlight w:val="none"/>
          <w:u w:val="single"/>
        </w:rPr>
        <w:t xml:space="preserve">               </w:t>
      </w:r>
      <w:r/>
    </w:p>
    <w:p>
      <w:pPr>
        <w:spacing w:line="360" w:lineRule="auto"/>
        <w:rPr>
          <w:rFonts w:hint="eastAsia" w:ascii="宋体" w:hAnsi="宋体" w:cs="宋体"/>
          <w:b/>
          <w:sz w:val="36"/>
          <w:highlight w:val="none"/>
          <w:u w:val="singl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ind w:firstLine="1084"/>
        <w:spacing w:line="360" w:lineRule="auto"/>
        <w:rPr>
          <w:rFonts w:hint="eastAsia" w:ascii="宋体" w:hAnsi="宋体" w:cs="宋体"/>
          <w:b/>
          <w:sz w:val="36"/>
          <w:highlight w:val="none"/>
        </w:rPr>
      </w:pPr>
      <w:r>
        <w:rPr>
          <w:rFonts w:hint="eastAsia" w:ascii="宋体" w:hAnsi="宋体" w:cs="宋体"/>
          <w:b/>
          <w:sz w:val="36"/>
          <w:highlight w:val="none"/>
        </w:rPr>
        <w:t xml:space="preserve">供  应  商：</w:t>
      </w:r>
      <w:r>
        <w:rPr>
          <w:rFonts w:hint="eastAsia" w:ascii="宋体" w:hAnsi="宋体" w:cs="宋体"/>
          <w:b/>
          <w:sz w:val="36"/>
          <w:highlight w:val="none"/>
          <w:u w:val="single"/>
        </w:rPr>
        <w:t xml:space="preserve">         </w:t>
      </w:r>
      <w:r>
        <w:rPr>
          <w:rFonts w:hint="eastAsia" w:ascii="宋体" w:hAnsi="宋体" w:cs="宋体"/>
          <w:b/>
          <w:sz w:val="36"/>
          <w:highlight w:val="none"/>
        </w:rPr>
        <w:t xml:space="preserve">（电子签章）</w:t>
      </w:r>
      <w:r/>
    </w:p>
    <w:p>
      <w:pPr>
        <w:jc w:val="center"/>
        <w:spacing w:line="360" w:lineRule="auto"/>
        <w:rPr>
          <w:rFonts w:hint="eastAsia" w:ascii="宋体" w:hAnsi="宋体" w:cs="宋体"/>
          <w:b/>
          <w:bCs/>
          <w:sz w:val="32"/>
          <w:szCs w:val="32"/>
          <w:highlight w:val="none"/>
        </w:rPr>
      </w:pPr>
      <w:r>
        <w:rPr>
          <w:rFonts w:hint="eastAsia" w:ascii="宋体" w:hAnsi="宋体" w:cs="宋体"/>
          <w:sz w:val="24"/>
          <w:highlight w:val="none"/>
        </w:rPr>
        <w:br w:type="page" w:clear="all"/>
      </w:r>
      <w:r>
        <w:rPr>
          <w:rFonts w:hint="eastAsia" w:ascii="宋体" w:hAnsi="宋体" w:cs="宋体"/>
          <w:b/>
          <w:bCs/>
          <w:sz w:val="32"/>
          <w:szCs w:val="32"/>
          <w:highlight w:val="none"/>
        </w:rPr>
        <w:t xml:space="preserve">磋商主要文件目录</w:t>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left="480"/>
        <w:rPr>
          <w:rFonts w:hint="eastAsia" w:ascii="宋体" w:hAnsi="宋体"/>
          <w:i/>
          <w:sz w:val="24"/>
          <w:highlight w:val="none"/>
          <w:u w:val="single"/>
        </w:rPr>
      </w:pPr>
      <w:r>
        <w:rPr>
          <w:rFonts w:hint="eastAsia" w:ascii="宋体" w:hAnsi="宋体"/>
          <w:i/>
          <w:sz w:val="24"/>
          <w:highlight w:val="none"/>
          <w:u w:val="single"/>
        </w:rPr>
        <w:t xml:space="preserve">一、法人或者其他组织的营业执照等证明文件，自然人的身份证明（身份证为正、反面）</w:t>
      </w:r>
      <w:r/>
    </w:p>
    <w:p>
      <w:pPr>
        <w:ind w:left="480"/>
        <w:rPr>
          <w:rFonts w:hint="eastAsia" w:ascii="宋体" w:hAnsi="宋体"/>
          <w:i/>
          <w:sz w:val="24"/>
          <w:highlight w:val="none"/>
          <w:u w:val="single"/>
        </w:rPr>
      </w:pPr>
      <w:r>
        <w:rPr>
          <w:rFonts w:hint="eastAsia" w:ascii="宋体" w:hAnsi="宋体"/>
          <w:i/>
          <w:sz w:val="24"/>
          <w:highlight w:val="none"/>
          <w:u w:val="single"/>
        </w:rPr>
        <w:t xml:space="preserve">二、</w:t>
      </w:r>
      <w:r>
        <w:rPr>
          <w:rFonts w:hint="eastAsia" w:ascii="宋体" w:hAnsi="宋体"/>
          <w:i/>
          <w:sz w:val="24"/>
          <w:highlight w:val="none"/>
          <w:u w:val="single"/>
          <w:lang w:eastAsia="zh-CN"/>
        </w:rPr>
        <w:t xml:space="preserve">2025年度的财务状况报告</w:t>
      </w:r>
      <w:r>
        <w:rPr>
          <w:rFonts w:hint="eastAsia" w:ascii="宋体" w:hAnsi="宋体"/>
          <w:i/>
          <w:sz w:val="24"/>
          <w:highlight w:val="none"/>
          <w:u w:val="single"/>
        </w:rPr>
        <w:t xml:space="preserve">（成立不满一年无需提供）</w:t>
      </w:r>
      <w:r/>
    </w:p>
    <w:p>
      <w:pPr>
        <w:ind w:left="480"/>
        <w:rPr>
          <w:rFonts w:hint="eastAsia" w:ascii="宋体" w:hAnsi="宋体"/>
          <w:i/>
          <w:sz w:val="24"/>
          <w:highlight w:val="none"/>
          <w:u w:val="single"/>
        </w:rPr>
      </w:pPr>
      <w:r>
        <w:rPr>
          <w:rFonts w:hint="eastAsia" w:ascii="宋体" w:hAnsi="宋体"/>
          <w:i/>
          <w:sz w:val="24"/>
          <w:highlight w:val="none"/>
          <w:u w:val="single"/>
        </w:rPr>
        <w:t xml:space="preserve">三、依法缴纳税收和社会保障资金的相关材料（提供提交响应文件截止时间前一年内任意一个月依法缴纳税收及缴纳社会保障资金的证明材料。供应商依法享受缓缴、免缴税收、社会保障资金的提供证明材料。）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480"/>
        <w:rPr>
          <w:rFonts w:hint="eastAsia" w:ascii="宋体" w:hAnsi="宋体"/>
          <w:i/>
          <w:sz w:val="24"/>
          <w:highlight w:val="none"/>
          <w:u w:val="single"/>
        </w:rPr>
      </w:pPr>
      <w:r>
        <w:rPr>
          <w:rFonts w:hint="eastAsia" w:ascii="宋体" w:hAnsi="宋体"/>
          <w:i/>
          <w:sz w:val="24"/>
          <w:highlight w:val="none"/>
          <w:u w:val="single"/>
        </w:rPr>
        <w:t xml:space="preserve">四、具备履行合同所必需的设备和专业技术能力的书面声明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五、参加政府采购活动前3年内在经营活动中没有重大违法记录的书面声明</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六、供应商信用承诺函</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七、特定资格要求的证明文件</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八、法人授权书</w:t>
      </w:r>
      <w:r/>
    </w:p>
    <w:p>
      <w:pPr>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九、磋商响应函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十、企业报价折扣证明（</w:t>
      </w:r>
      <w:r>
        <w:rPr>
          <w:rFonts w:hint="eastAsia" w:ascii="宋体" w:hAnsi="宋体"/>
          <w:i/>
          <w:iCs/>
          <w:sz w:val="24"/>
          <w:highlight w:val="none"/>
          <w:u w:val="single"/>
        </w:rPr>
        <w:t xml:space="preserve">中小企业声明函</w:t>
      </w:r>
      <w:r>
        <w:rPr>
          <w:rFonts w:hint="eastAsia" w:ascii="宋体" w:hAnsi="宋体"/>
          <w:sz w:val="24"/>
          <w:highlight w:val="none"/>
        </w:rPr>
        <w:t xml:space="preserve">、残疾人福利性单位声明函）</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十一、技术要求响应及偏离表</w:t>
      </w:r>
      <w:r/>
    </w:p>
    <w:p>
      <w:pPr>
        <w:ind w:firstLine="480"/>
        <w:spacing w:line="440" w:lineRule="exact"/>
        <w:rPr>
          <w:rFonts w:hint="eastAsia" w:ascii="宋体" w:hAnsi="宋体"/>
          <w:sz w:val="24"/>
          <w:highlight w:val="none"/>
        </w:rPr>
      </w:pPr>
      <w:r>
        <w:rPr>
          <w:rFonts w:hint="eastAsia" w:ascii="宋体" w:hAnsi="宋体"/>
          <w:sz w:val="24"/>
          <w:highlight w:val="none"/>
        </w:rPr>
        <w:t xml:space="preserve">十二、商务要求响应及偏离表</w:t>
      </w:r>
      <w:r/>
    </w:p>
    <w:p>
      <w:pPr>
        <w:ind w:firstLine="480"/>
        <w:spacing w:line="360" w:lineRule="auto"/>
        <w:rPr>
          <w:rFonts w:hint="eastAsia" w:ascii="宋体" w:hAnsi="宋体"/>
          <w:i/>
          <w:sz w:val="24"/>
          <w:highlight w:val="none"/>
          <w:u w:val="single"/>
        </w:rPr>
      </w:pPr>
      <w:r>
        <w:rPr>
          <w:rFonts w:hint="eastAsia" w:ascii="宋体" w:hAnsi="宋体"/>
          <w:i/>
          <w:sz w:val="24"/>
          <w:highlight w:val="none"/>
          <w:u w:val="single"/>
        </w:rPr>
        <w:t xml:space="preserve">十三、磋商响应报价表</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十四、主要标的信息</w:t>
      </w:r>
      <w:r/>
    </w:p>
    <w:p>
      <w:pPr>
        <w:ind w:firstLine="480"/>
        <w:spacing w:line="360" w:lineRule="auto"/>
        <w:rPr>
          <w:rFonts w:hint="eastAsia" w:ascii="宋体" w:hAnsi="宋体"/>
          <w:iCs/>
          <w:sz w:val="24"/>
          <w:highlight w:val="none"/>
        </w:rPr>
      </w:pPr>
      <w:r>
        <w:rPr>
          <w:rFonts w:hint="eastAsia" w:ascii="宋体" w:hAnsi="宋体"/>
          <w:iCs/>
          <w:sz w:val="24"/>
          <w:highlight w:val="none"/>
        </w:rPr>
        <w:t xml:space="preserve">十五、其他</w:t>
      </w:r>
      <w:r/>
    </w:p>
    <w:p>
      <w:pPr>
        <w:ind w:firstLine="480"/>
        <w:spacing w:line="360" w:lineRule="auto"/>
        <w:rPr>
          <w:rFonts w:hint="eastAsia" w:ascii="宋体" w:hAnsi="宋体" w:eastAsia="宋体" w:cs="Times New Roman"/>
          <w:iCs/>
          <w:sz w:val="24"/>
          <w:highlight w:val="none"/>
        </w:rPr>
      </w:pPr>
      <w:r>
        <w:rPr>
          <w:rFonts w:hint="eastAsia" w:ascii="宋体" w:hAnsi="宋体" w:eastAsia="宋体" w:cs="Times New Roman"/>
          <w:iCs/>
          <w:sz w:val="24"/>
          <w:highlight w:val="none"/>
          <w:lang w:val="en-US" w:eastAsia="zh-CN"/>
        </w:rPr>
        <w:t xml:space="preserve">十六、</w:t>
      </w:r>
      <w:r>
        <w:rPr>
          <w:rFonts w:hint="eastAsia" w:ascii="宋体" w:hAnsi="宋体" w:eastAsia="宋体" w:cs="Times New Roman"/>
          <w:iCs/>
          <w:sz w:val="24"/>
          <w:highlight w:val="none"/>
        </w:rPr>
        <w:t xml:space="preserve">关于符合本国产品标准的声明函</w:t>
      </w:r>
      <w:r/>
    </w:p>
    <w:p>
      <w:pPr>
        <w:pStyle w:val="848"/>
        <w:rPr>
          <w:rFonts w:hint="eastAsia"/>
          <w:highlight w:val="none"/>
        </w:rPr>
      </w:pPr>
      <w:r>
        <w:rPr>
          <w:rFonts w:hint="eastAsia"/>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一、法人或者其他组织的营业执照等证明文件，自然人的身份证明（身份证为正、反面）</w:t>
      </w:r>
      <w:r/>
    </w:p>
    <w:p>
      <w:pPr>
        <w:ind w:firstLine="480"/>
        <w:spacing w:line="440" w:lineRule="exact"/>
        <w:rPr>
          <w:rFonts w:hint="eastAsia" w:ascii="宋体" w:hAnsi="宋体"/>
          <w:sz w:val="24"/>
          <w:highlight w:val="none"/>
        </w:rPr>
      </w:pPr>
      <w:r>
        <w:rPr>
          <w:rFonts w:hint="eastAsia" w:ascii="宋体" w:hAnsi="宋体"/>
          <w:sz w:val="24"/>
          <w:highlight w:val="none"/>
        </w:rPr>
      </w:r>
      <w:r/>
    </w:p>
    <w:p>
      <w:pPr>
        <w:rPr>
          <w:rFonts w:hint="eastAsia" w:ascii="黑体" w:hAnsi="黑体" w:eastAsia="黑体"/>
          <w:i/>
          <w:sz w:val="32"/>
          <w:szCs w:val="32"/>
          <w:highlight w:val="none"/>
          <w:u w:val="single"/>
          <w:lang w:eastAsia="zh-CN"/>
        </w:rPr>
      </w:pPr>
      <w:r>
        <w:rPr>
          <w:rFonts w:hint="eastAsia" w:ascii="黑体" w:hAnsi="黑体" w:eastAsia="黑体"/>
          <w:i/>
          <w:sz w:val="32"/>
          <w:szCs w:val="32"/>
          <w:highlight w:val="none"/>
          <w:u w:val="single"/>
        </w:rPr>
        <w:t xml:space="preserve">二、</w:t>
      </w:r>
      <w:r>
        <w:rPr>
          <w:rFonts w:hint="eastAsia" w:ascii="黑体" w:hAnsi="黑体" w:eastAsia="黑体"/>
          <w:i/>
          <w:sz w:val="32"/>
          <w:szCs w:val="32"/>
          <w:highlight w:val="none"/>
          <w:u w:val="single"/>
          <w:lang w:eastAsia="zh-CN"/>
        </w:rPr>
        <w:t xml:space="preserve">2025年度的财务状况报告</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供应商成立不满一年不需提供</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三、依法缴纳税收和社会保障资金的相关材料</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提供提交响应文件截止时间前一年内任意一个月依法缴纳税收及缴纳社会保障资金的证明材料。供应商依法享受缓缴、免缴税收、社会保障资金的提供证明材料。</w:t>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主要设备有：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92"/>
        <w:spacing w:line="460" w:lineRule="exact"/>
        <w:rPr>
          <w:rFonts w:hint="eastAsia" w:ascii="宋体" w:hAnsi="宋体"/>
          <w:bCs/>
          <w:sz w:val="24"/>
          <w:highlight w:val="none"/>
        </w:rPr>
      </w:pPr>
      <w:r>
        <w:rPr>
          <w:rFonts w:hint="eastAsia" w:ascii="宋体" w:hAnsi="宋体"/>
          <w:bCs/>
          <w:sz w:val="24"/>
          <w:highlight w:val="none"/>
        </w:rPr>
        <w:t xml:space="preserve">主要专业技术能力有：</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spacing w:line="460" w:lineRule="exact"/>
        <w:rPr>
          <w:rFonts w:hint="eastAsia" w:ascii="宋体" w:hAnsi="宋体"/>
          <w:bCs/>
          <w:sz w:val="24"/>
          <w:highlight w:val="none"/>
        </w:rPr>
      </w:pPr>
      <w:r>
        <w:rPr>
          <w:rFonts w:hint="eastAsia" w:ascii="宋体" w:hAnsi="宋体"/>
          <w:bCs/>
          <w:sz w:val="24"/>
          <w:highlight w:val="none"/>
        </w:rPr>
        <w:t xml:space="preserve">                                     </w:t>
      </w:r>
      <w:r/>
    </w:p>
    <w:p>
      <w:pPr>
        <w:pStyle w:val="1052"/>
        <w:ind w:firstLine="0"/>
        <w:rPr>
          <w:highlight w:val="none"/>
        </w:rPr>
      </w:pPr>
      <w:r>
        <w:rPr>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b/>
          <w:bCs/>
          <w:sz w:val="44"/>
          <w:szCs w:val="44"/>
          <w:highlight w:val="none"/>
        </w:rPr>
      </w:pPr>
      <w:r>
        <w:rPr>
          <w:rFonts w:hint="eastAsia" w:ascii="宋体" w:hAnsi="宋体"/>
          <w:b/>
          <w:bCs/>
          <w:sz w:val="44"/>
          <w:szCs w:val="44"/>
          <w:highlight w:val="none"/>
        </w:rPr>
        <w:t xml:space="preserve">                 声  明</w:t>
      </w:r>
      <w:r/>
    </w:p>
    <w:p>
      <w:pPr>
        <w:spacing w:line="460" w:lineRule="exact"/>
        <w:rPr>
          <w:rFonts w:hint="eastAsia" w:ascii="宋体" w:hAnsi="宋体"/>
          <w:bCs/>
          <w:sz w:val="24"/>
          <w:highlight w:val="none"/>
        </w:rPr>
      </w:pPr>
      <w:r>
        <w:rPr>
          <w:rFonts w:hint="eastAsia" w:ascii="宋体" w:hAnsi="宋体"/>
          <w:b/>
          <w:bCs/>
          <w:sz w:val="24"/>
          <w:highlight w:val="none"/>
        </w:rPr>
        <w:t xml:space="preserve">    </w:t>
      </w:r>
      <w:r>
        <w:rPr>
          <w:rFonts w:hint="eastAsia"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6"/>
        </w:num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供应商信用承诺函</w:t>
      </w:r>
      <w:r/>
    </w:p>
    <w:p>
      <w:pPr>
        <w:jc w:val="center"/>
        <w:spacing w:line="500" w:lineRule="exact"/>
        <w:rPr>
          <w:rFonts w:hint="eastAsia" w:ascii="宋体" w:hAnsi="宋体" w:eastAsia="等线"/>
          <w:b/>
          <w:sz w:val="24"/>
          <w:szCs w:val="24"/>
          <w:highlight w:val="none"/>
        </w:rPr>
      </w:pPr>
      <w:r>
        <w:rPr>
          <w:rFonts w:hint="eastAsia" w:ascii="宋体" w:hAnsi="宋体" w:eastAsia="等线"/>
          <w:b/>
          <w:sz w:val="24"/>
          <w:szCs w:val="24"/>
          <w:highlight w:val="none"/>
        </w:rPr>
        <w:t xml:space="preserve">供应商信用承诺函</w:t>
      </w:r>
      <w:r/>
    </w:p>
    <w:p>
      <w:pPr>
        <w:spacing w:line="560" w:lineRule="exact"/>
        <w:rPr>
          <w:rFonts w:hint="eastAsia" w:ascii="宋体" w:hAnsi="宋体" w:cs="宋体"/>
          <w:sz w:val="22"/>
          <w:highlight w:val="none"/>
        </w:rPr>
      </w:pPr>
      <w:r>
        <w:rPr>
          <w:rFonts w:hint="eastAsia" w:ascii="宋体" w:hAnsi="宋体" w:cs="宋体"/>
          <w:sz w:val="22"/>
          <w:highlight w:val="none"/>
        </w:rPr>
        <w:t xml:space="preserve">承诺主体名称：</w:t>
      </w:r>
      <w:r/>
    </w:p>
    <w:p>
      <w:pPr>
        <w:spacing w:line="560" w:lineRule="exact"/>
        <w:rPr>
          <w:rFonts w:hint="eastAsia" w:ascii="宋体" w:hAnsi="宋体" w:cs="宋体"/>
          <w:sz w:val="22"/>
          <w:highlight w:val="none"/>
        </w:rPr>
      </w:pPr>
      <w:r>
        <w:rPr>
          <w:rFonts w:hint="eastAsia" w:ascii="宋体" w:hAnsi="宋体" w:cs="宋体"/>
          <w:sz w:val="22"/>
          <w:highlight w:val="none"/>
        </w:rPr>
        <w:t xml:space="preserve">统一社会信用代码：</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四、自觉接受行政管理部门、行业组织、社会公众、新闻舆论的监督；</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七、严格遵守信用信息公示相关规定，向社会公示信用信息；</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八、在“信用中国”和“中国政府采购网”网站中无违法违规、较重或严重失信记录；</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十、本承诺书自签订之日起生效。</w:t>
      </w:r>
      <w:r/>
    </w:p>
    <w:p>
      <w:pPr>
        <w:ind w:firstLine="420"/>
        <w:spacing w:line="560" w:lineRule="exact"/>
        <w:rPr>
          <w:rFonts w:hint="eastAsia" w:ascii="宋体" w:hAnsi="宋体" w:cs="宋体"/>
          <w:sz w:val="22"/>
          <w:highlight w:val="none"/>
        </w:rPr>
      </w:pPr>
      <w:r>
        <w:rPr>
          <w:rFonts w:hint="eastAsia" w:ascii="宋体" w:hAnsi="宋体" w:cs="宋体"/>
          <w:sz w:val="22"/>
          <w:highlight w:val="none"/>
        </w:rPr>
        <w:t xml:space="preserve"> （注：法定代表人或负责人、主体名称发生变更的应当重新做出承诺。）</w:t>
      </w:r>
      <w:r/>
    </w:p>
    <w:p>
      <w:pPr>
        <w:spacing w:line="560" w:lineRule="exact"/>
        <w:rPr>
          <w:rFonts w:hint="eastAsia" w:ascii="宋体" w:hAnsi="宋体" w:cs="宋体"/>
          <w:sz w:val="24"/>
          <w:szCs w:val="24"/>
          <w:highlight w:val="none"/>
        </w:rPr>
      </w:pPr>
      <w:r>
        <w:rPr>
          <w:rFonts w:hint="eastAsia" w:ascii="宋体" w:hAnsi="宋体" w:cs="宋体"/>
          <w:sz w:val="24"/>
          <w:szCs w:val="24"/>
          <w:highlight w:val="none"/>
        </w:rPr>
      </w:r>
      <w:r/>
    </w:p>
    <w:p>
      <w:pPr>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　　　　　　　　　　承诺单位（加盖CA电子公章）：           </w:t>
      </w:r>
      <w:r/>
    </w:p>
    <w:p>
      <w:pPr>
        <w:jc w:val="center"/>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年    月    日</w:t>
      </w:r>
      <w:r/>
    </w:p>
    <w:p>
      <w:pPr>
        <w:pStyle w:val="1079"/>
        <w:rPr>
          <w:rFonts w:hint="eastAsia" w:ascii="宋体" w:hAnsi="宋体"/>
          <w:b/>
          <w:bCs/>
          <w:highlight w:val="none"/>
        </w:rPr>
      </w:pPr>
      <w:r>
        <w:rPr>
          <w:rFonts w:hint="eastAsia" w:ascii="宋体" w:hAnsi="宋体"/>
          <w:b/>
          <w:bCs/>
          <w:highlight w:val="none"/>
        </w:rPr>
      </w:r>
      <w:r/>
    </w:p>
    <w:p>
      <w:pPr>
        <w:pStyle w:val="1079"/>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七、特定资格要求的证明文件</w:t>
      </w:r>
      <w:r/>
    </w:p>
    <w:p>
      <w:pPr>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p>
    <w:p>
      <w:pPr>
        <w:pStyle w:val="1079"/>
        <w:rPr>
          <w:rFonts w:hint="eastAsia" w:ascii="宋体" w:hAnsi="宋体"/>
          <w:b/>
          <w:bCs/>
          <w:highlight w:val="none"/>
        </w:rPr>
      </w:pPr>
      <w:r>
        <w:rPr>
          <w:rFonts w:hint="eastAsia" w:ascii="宋体" w:hAnsi="宋体"/>
          <w:b/>
          <w:bCs/>
          <w:highlight w:val="none"/>
        </w:rPr>
      </w:r>
      <w:r/>
    </w:p>
    <w:p>
      <w:pPr>
        <w:pStyle w:val="1079"/>
        <w:rPr>
          <w:rFonts w:hint="eastAsia" w:ascii="宋体" w:hAnsi="宋体"/>
          <w:b/>
          <w:bCs/>
          <w:highlight w:val="none"/>
        </w:rPr>
      </w:pPr>
      <w:r>
        <w:rPr>
          <w:rFonts w:hint="eastAsia" w:ascii="宋体" w:hAnsi="宋体"/>
          <w:b/>
          <w:bCs/>
          <w:highlight w:val="none"/>
        </w:rPr>
      </w:r>
      <w:r/>
    </w:p>
    <w:p>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八、法人授权书</w:t>
      </w:r>
      <w:r/>
    </w:p>
    <w:p>
      <w:pPr>
        <w:pStyle w:val="1098"/>
        <w:ind w:firstLine="480"/>
        <w:rPr>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p>
    <w:p>
      <w:pPr>
        <w:pStyle w:val="1098"/>
        <w:ind w:firstLine="480"/>
        <w:rPr>
          <w:sz w:val="24"/>
          <w:szCs w:val="24"/>
          <w:highlight w:val="none"/>
        </w:rPr>
      </w:pPr>
      <w:r>
        <w:rPr>
          <w:rFonts w:hint="eastAsia"/>
          <w:sz w:val="24"/>
          <w:szCs w:val="24"/>
          <w:highlight w:val="none"/>
        </w:rPr>
        <w:t xml:space="preserve">本授权书于___</w:t>
      </w:r>
      <w:r>
        <w:rPr>
          <w:rFonts w:hint="eastAsia"/>
          <w:sz w:val="24"/>
          <w:szCs w:val="24"/>
          <w:highlight w:val="none"/>
          <w:u w:val="single"/>
        </w:rPr>
        <w:t xml:space="preserve"> </w:t>
      </w:r>
      <w:r>
        <w:rPr>
          <w:rFonts w:hint="eastAsia"/>
          <w:sz w:val="24"/>
          <w:szCs w:val="24"/>
          <w:highlight w:val="none"/>
        </w:rPr>
        <w:t xml:space="preserve">_年____月____日起生效，特此声明。</w:t>
      </w:r>
      <w:r/>
    </w:p>
    <w:p>
      <w:pPr>
        <w:pStyle w:val="1098"/>
        <w:ind w:firstLine="0"/>
        <w:rPr>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p>
    <w:p>
      <w:pPr>
        <w:pStyle w:val="1098"/>
        <w:ind w:firstLine="0"/>
        <w:rPr>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p>
    <w:p>
      <w:pPr>
        <w:pStyle w:val="1098"/>
        <w:ind w:firstLine="1200"/>
        <w:rPr>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       </w:t>
      </w:r>
      <w:r/>
    </w:p>
    <w:p>
      <w:pPr>
        <w:pStyle w:val="1098"/>
        <w:ind w:firstLine="480"/>
        <w:rPr>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p>
    <w:p>
      <w:pPr>
        <w:pStyle w:val="1098"/>
        <w:ind w:firstLine="480"/>
        <w:rPr>
          <w:sz w:val="24"/>
          <w:szCs w:val="24"/>
          <w:highlight w:val="none"/>
        </w:rPr>
      </w:pPr>
      <w:r>
        <w:rPr>
          <w:rFonts w:hint="eastAsia"/>
          <w:sz w:val="24"/>
          <w:szCs w:val="24"/>
          <w:highlight w:val="none"/>
        </w:rPr>
        <w:t xml:space="preserve">      日期：</w:t>
      </w:r>
      <w:bookmarkStart w:id="41" w:name="_格式3__银行出具的资信证明"/>
      <w:r/>
      <w:bookmarkEnd w:id="41"/>
      <w:r/>
      <w:bookmarkStart w:id="42" w:name="_Hlt26671380"/>
      <w:r/>
      <w:bookmarkEnd w:id="42"/>
      <w:r/>
      <w:bookmarkStart w:id="43" w:name="_Hlt26955070"/>
      <w:r/>
      <w:bookmarkEnd w:id="43"/>
      <w:r>
        <w:rPr>
          <w:rFonts w:hint="eastAsia"/>
          <w:sz w:val="24"/>
          <w:szCs w:val="24"/>
          <w:highlight w:val="none"/>
          <w:u w:val="single"/>
        </w:rPr>
        <w:t xml:space="preserve">                                             </w:t>
      </w:r>
      <w:r/>
    </w:p>
    <w:p>
      <w:pPr>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九、磋商响应函</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致：（扬州筑苑工程招标咨询有限公司）</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1098"/>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地          址：</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邮          编：</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电          话：</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传          真：</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投标人开户行：</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账          号： </w:t>
      </w:r>
      <w:r/>
    </w:p>
    <w:p>
      <w:pPr>
        <w:pStyle w:val="1096"/>
        <w:ind w:left="420"/>
        <w:spacing w:before="0" w:after="0" w:line="420" w:lineRule="exact"/>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jc w:val="center"/>
        <w:spacing w:before="312" w:after="312" w:line="360" w:lineRule="auto"/>
        <w:rPr>
          <w:rFonts w:hint="eastAsia" w:ascii="黑体" w:hAnsi="黑体" w:eastAsia="黑体"/>
          <w:i/>
          <w:sz w:val="32"/>
          <w:szCs w:val="32"/>
          <w:highlight w:val="none"/>
          <w:u w:val="single"/>
        </w:rPr>
      </w:pPr>
      <w:r>
        <w:rPr>
          <w:rFonts w:ascii="宋体" w:hAnsi="宋体"/>
          <w:b/>
          <w:szCs w:val="21"/>
          <w:highlight w:val="none"/>
        </w:rPr>
        <w:br w:type="page" w:clear="all"/>
      </w:r>
      <w:r>
        <w:rPr>
          <w:rFonts w:hint="eastAsia" w:ascii="黑体" w:hAnsi="黑体" w:eastAsia="黑体"/>
          <w:i/>
          <w:sz w:val="32"/>
          <w:szCs w:val="32"/>
          <w:highlight w:val="none"/>
          <w:u w:val="single"/>
        </w:rPr>
        <w:t xml:space="preserve">十、中小企业声明函（工程、服务）</w:t>
      </w:r>
      <w:r/>
    </w:p>
    <w:p>
      <w:pPr>
        <w:ind w:firstLine="420"/>
        <w:jc w:val="left"/>
        <w:spacing w:line="420" w:lineRule="exact"/>
        <w:rPr>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ascii="宋体" w:hAnsi="宋体" w:cs="宋体"/>
          <w:highlight w:val="none"/>
          <w:u w:val="single"/>
        </w:rPr>
        <w:t xml:space="preserve">  </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spacing w:line="420" w:lineRule="exact"/>
        <w:rPr>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其他未列明行业（该行业类别不可修改）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rPr>
        <w:fldChar w:fldCharType="begin"/>
      </w:r>
      <w:r>
        <w:rPr>
          <w:highlight w:val="none"/>
        </w:rPr>
        <w:instrText xml:space="preserve"> HYPERLINK \l "br1" </w:instrText>
      </w:r>
      <w:r>
        <w:rPr>
          <w:highlight w:val="none"/>
        </w:rPr>
        <w:fldChar w:fldCharType="separate"/>
      </w:r>
      <w:r>
        <w:rPr>
          <w:rFonts w:ascii="仿宋" w:eastAsia="Times New Roman"/>
          <w:spacing w:val="-1"/>
          <w:highlight w:val="none"/>
          <w:vertAlign w:val="superscript"/>
        </w:rPr>
        <w:t xml:space="preserve">1</w:t>
      </w:r>
      <w:r>
        <w:rPr>
          <w:rFonts w:ascii="仿宋" w:eastAsia="Times New Roman"/>
          <w:spacing w:val="-1"/>
          <w:highlight w:val="none"/>
          <w:vertAlign w:val="superscript"/>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20" w:lineRule="exact"/>
        <w:rPr>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420" w:lineRule="exact"/>
        <w:rPr>
          <w:highlight w:val="none"/>
        </w:rPr>
      </w:pPr>
      <w:r>
        <w:rPr>
          <w:rFonts w:hint="eastAsia"/>
          <w:highlight w:val="none"/>
        </w:rPr>
        <w:t xml:space="preserve">……</w:t>
      </w:r>
      <w:r/>
    </w:p>
    <w:p>
      <w:pPr>
        <w:ind w:firstLine="420"/>
        <w:jc w:val="left"/>
        <w:spacing w:line="420" w:lineRule="exact"/>
        <w:rPr>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20" w:lineRule="exact"/>
        <w:rPr>
          <w:highlight w:val="none"/>
        </w:rPr>
      </w:pPr>
      <w:r>
        <w:rPr>
          <w:rFonts w:hint="eastAsia"/>
          <w:highlight w:val="none"/>
        </w:rPr>
        <w:t xml:space="preserve">本企业对上述声明内容的真实性负责。如有虚假，将依法承担相应责任。</w:t>
      </w:r>
      <w:r/>
    </w:p>
    <w:p>
      <w:pPr>
        <w:spacing w:line="420" w:lineRule="exact"/>
        <w:rPr>
          <w:rFonts w:hint="eastAsia"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620"/>
        <w:jc w:val="left"/>
        <w:spacing w:line="420" w:lineRule="exact"/>
        <w:rPr>
          <w:highlight w:val="none"/>
        </w:rPr>
      </w:pPr>
      <w:r>
        <w:rPr>
          <w:rFonts w:hint="eastAsia"/>
          <w:highlight w:val="none"/>
        </w:rPr>
        <w:t xml:space="preserve">企业名称（加盖CA电子公章）：</w:t>
      </w:r>
      <w:r/>
    </w:p>
    <w:p>
      <w:pPr>
        <w:ind w:firstLine="4620"/>
        <w:jc w:val="left"/>
        <w:spacing w:line="420" w:lineRule="exact"/>
        <w:rPr>
          <w:highlight w:val="none"/>
        </w:rPr>
      </w:pPr>
      <w:r>
        <w:rPr>
          <w:rFonts w:hint="eastAsia"/>
          <w:highlight w:val="none"/>
        </w:rPr>
        <w:t xml:space="preserve">日 期：</w:t>
      </w:r>
      <w:r/>
    </w:p>
    <w:p>
      <w:pPr>
        <w:pStyle w:val="1051"/>
        <w:jc w:val="center"/>
        <w:spacing w:before="300" w:after="300" w:line="360" w:lineRule="auto"/>
        <w:widowControl/>
        <w:rPr>
          <w:rFonts w:hint="eastAsia" w:ascii="宋体" w:hAnsi="宋体" w:cs="微软雅黑"/>
          <w:bCs w:val="0"/>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44" w:name="_Toc109304977"/>
      <w:r/>
      <w:r/>
    </w:p>
    <w:p>
      <w:pPr>
        <w:pStyle w:val="1051"/>
        <w:jc w:val="center"/>
        <w:spacing w:before="300" w:after="300" w:line="360" w:lineRule="auto"/>
        <w:widowControl/>
        <w:rPr>
          <w:rFonts w:hint="eastAsia" w:ascii="宋体" w:hAnsi="宋体"/>
          <w:sz w:val="21"/>
          <w:szCs w:val="21"/>
          <w:highlight w:val="none"/>
        </w:rPr>
      </w:pPr>
      <w:r>
        <w:rPr>
          <w:rFonts w:hint="eastAsia" w:ascii="宋体" w:hAnsi="宋体" w:cs="微软雅黑"/>
          <w:bCs w:val="0"/>
          <w:sz w:val="21"/>
          <w:szCs w:val="21"/>
          <w:highlight w:val="none"/>
        </w:rPr>
        <w:t xml:space="preserve">中小微企业划型标准</w:t>
      </w:r>
      <w:bookmarkEnd w:id="44"/>
      <w:r>
        <w:rPr>
          <w:rFonts w:hint="eastAsia" w:ascii="宋体" w:hAnsi="宋体" w:cs="微软雅黑"/>
          <w:bCs w:val="0"/>
          <w:sz w:val="21"/>
          <w:szCs w:val="21"/>
          <w:highlight w:val="none"/>
        </w:rPr>
        <w:t xml:space="preserve"> </w:t>
      </w:r>
      <w:r/>
    </w:p>
    <w:p>
      <w:pPr>
        <w:pStyle w:val="1076"/>
        <w:ind w:firstLine="420"/>
        <w:spacing w:before="300" w:after="452" w:line="360" w:lineRule="auto"/>
        <w:widowControl/>
        <w:rPr>
          <w:rStyle w:val="1077"/>
          <w:rFonts w:hint="eastAsia" w:ascii="宋体" w:hAnsi="宋体" w:cs="仿宋"/>
          <w:sz w:val="21"/>
          <w:szCs w:val="21"/>
          <w:highlight w:val="none"/>
        </w:rPr>
      </w:pPr>
      <w:r>
        <w:rPr>
          <w:rStyle w:val="1077"/>
          <w:rFonts w:hint="eastAsia" w:ascii="宋体" w:hAnsi="宋体" w:cs="仿宋"/>
          <w:sz w:val="21"/>
          <w:szCs w:val="21"/>
          <w:highlight w:val="none"/>
        </w:rPr>
        <w:t xml:space="preserve">中小微企业划型标准如下：</w:t>
      </w:r>
      <w:r/>
    </w:p>
    <w:tbl>
      <w:tblPr>
        <w:tblStyle w:val="856"/>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6"/>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76"/>
              <w:ind w:firstLine="420"/>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szCs w:val="21"/>
                <w:highlight w:val="none"/>
              </w:rPr>
            </w:pPr>
            <w:r>
              <w:rPr>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Times New Roman" w:hAnsi="Times New Roman"/>
                <w:sz w:val="21"/>
                <w:szCs w:val="21"/>
                <w:highlight w:val="none"/>
              </w:rPr>
            </w:pPr>
            <w:r>
              <w:rPr>
                <w:rStyle w:val="1077"/>
                <w:rFonts w:hint="eastAsia" w:ascii="Times New Roman" w:hAnsi="Times New Roman" w:cs="仿宋"/>
                <w:sz w:val="21"/>
                <w:szCs w:val="21"/>
                <w:highlight w:val="none"/>
              </w:rPr>
              <w:t xml:space="preserve">X＜10</w:t>
            </w:r>
            <w:r/>
          </w:p>
        </w:tc>
      </w:tr>
    </w:tbl>
    <w:p>
      <w:pPr>
        <w:pStyle w:val="1076"/>
        <w:ind w:firstLine="420"/>
        <w:spacing w:before="300" w:after="452" w:line="360" w:lineRule="auto"/>
        <w:widowControl/>
        <w:rPr>
          <w:rStyle w:val="1077"/>
          <w:rFonts w:hint="eastAsia" w:ascii="宋体" w:hAnsi="宋体" w:cs="仿宋"/>
          <w:sz w:val="21"/>
          <w:szCs w:val="21"/>
          <w:highlight w:val="none"/>
        </w:rPr>
      </w:pPr>
      <w:r>
        <w:rPr>
          <w:rFonts w:hint="eastAsia" w:ascii="宋体" w:hAnsi="宋体" w:cs="仿宋"/>
          <w:sz w:val="21"/>
          <w:szCs w:val="21"/>
          <w:highlight w:val="none"/>
        </w:rPr>
      </w:r>
      <w:r/>
    </w:p>
    <w:p>
      <w:pPr>
        <w:pStyle w:val="1076"/>
        <w:ind w:firstLine="420"/>
        <w:spacing w:before="300" w:after="452" w:line="360" w:lineRule="auto"/>
        <w:widowControl/>
        <w:rPr>
          <w:rStyle w:val="1077"/>
          <w:rFonts w:hint="eastAsia" w:ascii="宋体" w:hAnsi="宋体" w:cs="仿宋"/>
          <w:sz w:val="21"/>
          <w:szCs w:val="21"/>
          <w:highlight w:val="none"/>
        </w:rPr>
      </w:pPr>
      <w:r>
        <w:rPr>
          <w:rStyle w:val="1077"/>
          <w:rFonts w:hint="eastAsia" w:ascii="宋体" w:hAnsi="宋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黑体" w:hAnsi="黑体" w:eastAsia="黑体"/>
          <w:iCs/>
          <w:sz w:val="32"/>
          <w:szCs w:val="32"/>
          <w:highlight w:val="none"/>
        </w:rPr>
      </w:pPr>
      <w:r>
        <w:rPr>
          <w:rStyle w:val="1077"/>
          <w:rFonts w:ascii="宋体" w:hAnsi="宋体" w:cs="仿宋"/>
          <w:szCs w:val="21"/>
          <w:highlight w:val="none"/>
        </w:rPr>
        <w:br w:type="page" w:clear="all"/>
      </w:r>
      <w:r>
        <w:rPr>
          <w:rFonts w:hint="eastAsia" w:ascii="黑体" w:hAnsi="黑体" w:eastAsia="黑体"/>
          <w:iCs/>
          <w:sz w:val="32"/>
          <w:szCs w:val="32"/>
          <w:highlight w:val="none"/>
        </w:rPr>
        <w:t xml:space="preserve">残疾人福利性单位声明函</w:t>
      </w:r>
      <w:r/>
    </w:p>
    <w:p>
      <w:pPr>
        <w:ind w:firstLine="624"/>
        <w:spacing w:line="360" w:lineRule="auto"/>
        <w:rPr>
          <w:rFonts w:ascii="仿宋_GB2312" w:eastAsia="仿宋_GB2312"/>
          <w:spacing w:val="6"/>
          <w:sz w:val="30"/>
          <w:szCs w:val="30"/>
          <w:highlight w:val="none"/>
        </w:rPr>
      </w:pPr>
      <w:r>
        <w:rPr>
          <w:rFonts w:ascii="仿宋_GB2312" w:eastAsia="仿宋_GB2312"/>
          <w:spacing w:val="6"/>
          <w:sz w:val="30"/>
          <w:szCs w:val="30"/>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hint="eastAsia"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供应商全称（加盖CA电子公章）：</w:t>
      </w:r>
      <w:r/>
    </w:p>
    <w:p>
      <w:pPr>
        <w:ind w:right="1560" w:firstLine="420"/>
        <w:jc w:val="center"/>
        <w:spacing w:line="360" w:lineRule="auto"/>
        <w:tabs>
          <w:tab w:val="left" w:pos="4860" w:leader="none"/>
        </w:tabs>
        <w:rPr>
          <w:rFonts w:hint="eastAsia" w:ascii="宋体" w:hAnsi="宋体"/>
          <w:szCs w:val="21"/>
          <w:highlight w:val="none"/>
        </w:rPr>
      </w:pPr>
      <w:r>
        <w:rPr>
          <w:rFonts w:hint="eastAsia" w:ascii="宋体" w:hAnsi="宋体"/>
          <w:szCs w:val="21"/>
          <w:highlight w:val="none"/>
        </w:rPr>
        <w:t xml:space="preserve">       日  期：</w:t>
      </w:r>
      <w:r/>
    </w:p>
    <w:p>
      <w:pPr>
        <w:spacing w:line="360" w:lineRule="auto"/>
        <w:rPr>
          <w:rFonts w:hint="eastAsia" w:ascii="宋体" w:hAnsi="宋体"/>
          <w:b/>
          <w:bCs/>
          <w:sz w:val="32"/>
          <w:szCs w:val="32"/>
          <w:highlight w:val="none"/>
        </w:rPr>
      </w:pPr>
      <w:r/>
      <w:bookmarkStart w:id="45" w:name="_Toc109304978"/>
      <w:r/>
      <w:r/>
    </w:p>
    <w:p>
      <w:pPr>
        <w:pStyle w:val="892"/>
        <w:spacing w:line="360" w:lineRule="auto"/>
        <w:rPr>
          <w:highlight w:val="none"/>
        </w:rPr>
      </w:pPr>
      <w:r>
        <w:rPr>
          <w:highlight w:val="none"/>
        </w:rPr>
      </w:r>
      <w:r/>
    </w:p>
    <w:p>
      <w:pPr>
        <w:spacing w:line="360" w:lineRule="auto"/>
        <w:rPr>
          <w:highlight w:val="none"/>
        </w:rPr>
      </w:pPr>
      <w:r>
        <w:rPr>
          <w:highlight w:val="none"/>
        </w:rPr>
      </w:r>
      <w:r/>
    </w:p>
    <w:p>
      <w:pPr>
        <w:pStyle w:val="892"/>
        <w:spacing w:line="360" w:lineRule="auto"/>
        <w:rPr>
          <w:highlight w:val="none"/>
        </w:rPr>
      </w:pPr>
      <w:r>
        <w:rPr>
          <w:highlight w:val="none"/>
        </w:rPr>
      </w:r>
      <w:r/>
    </w:p>
    <w:p>
      <w:pPr>
        <w:pStyle w:val="892"/>
        <w:spacing w:line="360" w:lineRule="auto"/>
        <w:rPr>
          <w:highlight w:val="none"/>
        </w:rPr>
      </w:pPr>
      <w:r>
        <w:rPr>
          <w:highlight w:val="none"/>
        </w:rPr>
      </w:r>
      <w:r/>
    </w:p>
    <w:p>
      <w:pPr>
        <w:pStyle w:val="892"/>
        <w:spacing w:line="360" w:lineRule="auto"/>
        <w:rPr>
          <w:highlight w:val="none"/>
        </w:rPr>
      </w:pPr>
      <w:r>
        <w:rPr>
          <w:highlight w:val="none"/>
        </w:rPr>
      </w:r>
      <w:r/>
    </w:p>
    <w:p>
      <w:pPr>
        <w:rPr>
          <w:highlight w:val="none"/>
        </w:rPr>
      </w:pPr>
      <w:r>
        <w:rPr>
          <w:highlight w:val="none"/>
        </w:rPr>
      </w:r>
      <w:r/>
    </w:p>
    <w:p>
      <w:pPr>
        <w:pStyle w:val="1079"/>
        <w:rPr>
          <w:highlight w:val="none"/>
        </w:rPr>
      </w:pPr>
      <w:r>
        <w:rPr>
          <w:highlight w:val="none"/>
        </w:rPr>
      </w:r>
      <w:r/>
    </w:p>
    <w:p>
      <w:pPr>
        <w:spacing w:line="360" w:lineRule="auto"/>
        <w:rPr>
          <w:highlight w:val="none"/>
        </w:rPr>
      </w:pPr>
      <w:r>
        <w:rPr>
          <w:highlight w:val="none"/>
        </w:rPr>
      </w:r>
      <w:r/>
    </w:p>
    <w:p>
      <w:pPr>
        <w:jc w:val="center"/>
        <w:spacing w:line="360" w:lineRule="auto"/>
        <w:rPr>
          <w:rFonts w:hint="eastAsia" w:ascii="宋体" w:hAnsi="宋体"/>
          <w:b/>
          <w:bCs/>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sz w:val="32"/>
          <w:szCs w:val="32"/>
          <w:highlight w:val="none"/>
        </w:rPr>
      </w:r>
      <w:r/>
    </w:p>
    <w:p>
      <w:pPr>
        <w:ind w:firstLine="211"/>
        <w:jc w:val="center"/>
        <w:spacing w:line="360" w:lineRule="auto"/>
        <w:rPr>
          <w:rFonts w:hint="eastAsia" w:ascii="宋体" w:hAnsi="宋体"/>
          <w:b/>
          <w:highlight w:val="none"/>
        </w:rPr>
      </w:pPr>
      <w:r>
        <w:rPr>
          <w:rFonts w:hint="eastAsia" w:ascii="宋体" w:hAnsi="宋体"/>
          <w:b/>
          <w:highlight w:val="none"/>
        </w:rPr>
        <w:t xml:space="preserve">联合体协议（如有）</w:t>
      </w:r>
      <w:r/>
    </w:p>
    <w:p>
      <w:pPr>
        <w:ind w:firstLine="211"/>
        <w:jc w:val="center"/>
        <w:spacing w:line="360" w:lineRule="auto"/>
        <w:rPr>
          <w:rFonts w:hint="eastAsia" w:ascii="宋体" w:hAnsi="宋体"/>
          <w:b/>
          <w:highlight w:val="none"/>
        </w:rPr>
      </w:pPr>
      <w:r>
        <w:rPr>
          <w:rFonts w:hint="eastAsia" w:ascii="宋体" w:hAnsi="宋体"/>
          <w:b/>
          <w:highlight w:val="none"/>
        </w:rPr>
      </w:r>
      <w:r/>
    </w:p>
    <w:p>
      <w:pPr>
        <w:spacing w:line="360" w:lineRule="auto"/>
        <w:rPr>
          <w:rFonts w:hint="eastAsia" w:ascii="宋体" w:hAnsi="宋体"/>
          <w:highlight w:val="none"/>
        </w:rPr>
      </w:pPr>
      <w:r>
        <w:rPr>
          <w:rFonts w:hint="eastAsia" w:ascii="宋体" w:hAnsi="宋体"/>
          <w:highlight w:val="none"/>
        </w:rPr>
        <w:t xml:space="preserve">（联合体中各供应商全称）在此达成以下协议：</w:t>
      </w:r>
      <w:r/>
    </w:p>
    <w:p>
      <w:pPr>
        <w:ind w:firstLine="645"/>
        <w:spacing w:line="360" w:lineRule="auto"/>
        <w:rPr>
          <w:rFonts w:hint="eastAsia" w:ascii="宋体" w:hAnsi="宋体"/>
          <w:highlight w:val="none"/>
        </w:rPr>
      </w:pPr>
      <w:r>
        <w:rPr>
          <w:rFonts w:hint="eastAsia" w:ascii="宋体" w:hAnsi="宋体"/>
          <w:highlight w:val="none"/>
        </w:rPr>
        <w:t xml:space="preserve">1、我们自愿组成联合体，参加（代理公司）组织的采购编号为（项目编号）（项目全称）的政府采购活动。</w:t>
      </w:r>
      <w:r/>
    </w:p>
    <w:p>
      <w:pPr>
        <w:ind w:firstLine="645"/>
        <w:spacing w:line="360" w:lineRule="auto"/>
        <w:rPr>
          <w:rFonts w:hint="eastAsia" w:ascii="宋体" w:hAnsi="宋体"/>
          <w:highlight w:val="none"/>
        </w:rPr>
      </w:pPr>
      <w:r>
        <w:rPr>
          <w:rFonts w:hint="eastAsia" w:ascii="宋体" w:hAnsi="宋体"/>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highlight w:val="none"/>
        </w:rPr>
      </w:pPr>
      <w:r>
        <w:rPr>
          <w:rFonts w:hint="eastAsia" w:ascii="宋体" w:hAnsi="宋体"/>
          <w:highlight w:val="none"/>
        </w:rPr>
      </w:r>
      <w:r/>
    </w:p>
    <w:p>
      <w:pPr>
        <w:ind w:firstLine="4620"/>
        <w:spacing w:line="360" w:lineRule="auto"/>
        <w:rPr>
          <w:rFonts w:hint="eastAsia" w:ascii="宋体" w:hAnsi="宋体"/>
          <w:highlight w:val="none"/>
        </w:rPr>
      </w:pPr>
      <w:r>
        <w:rPr>
          <w:rFonts w:hint="eastAsia" w:ascii="宋体" w:hAnsi="宋体"/>
          <w:highlight w:val="none"/>
        </w:rPr>
        <w:t xml:space="preserve">所有供应商全称：</w:t>
      </w:r>
      <w:r/>
    </w:p>
    <w:p>
      <w:pPr>
        <w:ind w:firstLine="645"/>
        <w:spacing w:line="360" w:lineRule="auto"/>
        <w:rPr>
          <w:rFonts w:hint="eastAsia" w:ascii="宋体" w:hAnsi="宋体"/>
          <w:highlight w:val="none"/>
        </w:rPr>
      </w:pPr>
      <w:r>
        <w:rPr>
          <w:rFonts w:hint="eastAsia" w:ascii="宋体" w:hAnsi="宋体"/>
          <w:highlight w:val="none"/>
        </w:rPr>
        <w:t xml:space="preserve">                                      法定代表人：  </w:t>
      </w:r>
      <w:r/>
    </w:p>
    <w:p>
      <w:pPr>
        <w:ind w:firstLine="4620"/>
        <w:spacing w:line="360" w:lineRule="auto"/>
        <w:rPr>
          <w:rFonts w:hint="eastAsia" w:ascii="黑体" w:hAnsi="黑体" w:eastAsia="黑体"/>
          <w:b w:val="0"/>
          <w:bCs w:val="0"/>
          <w:i/>
          <w:highlight w:val="none"/>
          <w:u w:val="single"/>
        </w:rPr>
      </w:pPr>
      <w:r>
        <w:rPr>
          <w:rFonts w:hint="eastAsia" w:ascii="宋体" w:hAnsi="宋体"/>
          <w:highlight w:val="none"/>
        </w:rPr>
        <w:t xml:space="preserve">日期：</w:t>
      </w:r>
      <w:r/>
    </w:p>
    <w:p>
      <w:pPr>
        <w:pStyle w:val="1051"/>
        <w:jc w:val="both"/>
        <w:spacing w:line="360" w:lineRule="auto"/>
        <w:rPr>
          <w:rFonts w:hint="eastAsia" w:ascii="黑体" w:hAnsi="黑体" w:eastAsia="黑体"/>
          <w:b w:val="0"/>
          <w:bCs w:val="0"/>
          <w:i/>
          <w:highlight w:val="none"/>
          <w:u w:val="single"/>
        </w:rPr>
      </w:pPr>
      <w:r>
        <w:rPr>
          <w:rFonts w:hint="eastAsia" w:ascii="黑体" w:hAnsi="黑体" w:eastAsia="黑体"/>
          <w:b w:val="0"/>
          <w:bCs w:val="0"/>
          <w:i/>
          <w:highlight w:val="none"/>
          <w:u w:val="single"/>
        </w:rPr>
        <w:t xml:space="preserve">十一、</w:t>
      </w:r>
      <w:bookmarkEnd w:id="45"/>
      <w:r>
        <w:rPr>
          <w:rFonts w:hint="eastAsia" w:ascii="黑体" w:hAnsi="黑体" w:eastAsia="黑体"/>
          <w:b w:val="0"/>
          <w:bCs w:val="0"/>
          <w:i/>
          <w:highlight w:val="none"/>
          <w:u w:val="single"/>
        </w:rPr>
        <w:t xml:space="preserve">技术要求响应及偏离表</w:t>
      </w:r>
      <w:r/>
    </w:p>
    <w:tbl>
      <w:tblPr>
        <w:tblStyle w:val="85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1555"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71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639"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536"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55"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713"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639" w:type="dxa"/>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pStyle w:val="1051"/>
        <w:jc w:val="center"/>
        <w:spacing w:line="360" w:lineRule="auto"/>
        <w:rPr>
          <w:rFonts w:hint="eastAsia" w:ascii="黑体" w:hAnsi="黑体" w:eastAsia="黑体"/>
          <w:b w:val="0"/>
          <w:bCs w:val="0"/>
          <w:i/>
          <w:highlight w:val="none"/>
          <w:u w:val="single"/>
        </w:rPr>
      </w:pPr>
      <w:r/>
      <w:bookmarkStart w:id="46" w:name="_Hlt26955054"/>
      <w:r/>
      <w:bookmarkEnd w:id="46"/>
      <w:r/>
      <w:bookmarkStart w:id="47" w:name="_Toc109304979"/>
      <w:r>
        <w:rPr>
          <w:rFonts w:ascii="宋体" w:hAnsi="宋体"/>
          <w:bCs w:val="0"/>
          <w:highlight w:val="none"/>
        </w:rPr>
        <w:br w:type="page" w:clear="all"/>
      </w:r>
      <w:r>
        <w:rPr>
          <w:rFonts w:hint="eastAsia" w:ascii="黑体" w:hAnsi="黑体" w:eastAsia="黑体"/>
          <w:b w:val="0"/>
          <w:bCs w:val="0"/>
          <w:i/>
          <w:highlight w:val="none"/>
          <w:u w:val="single"/>
        </w:rPr>
        <w:t xml:space="preserve">十二、</w:t>
      </w:r>
      <w:bookmarkEnd w:id="47"/>
      <w:r>
        <w:rPr>
          <w:rFonts w:hint="eastAsia" w:ascii="黑体" w:hAnsi="黑体" w:eastAsia="黑体"/>
          <w:b w:val="0"/>
          <w:bCs w:val="0"/>
          <w:i/>
          <w:highlight w:val="none"/>
          <w:u w:val="single"/>
        </w:rPr>
        <w:t xml:space="preserve">商务要求响应及偏离表</w:t>
      </w:r>
      <w:r/>
    </w:p>
    <w:p>
      <w:pPr>
        <w:jc w:val="left"/>
        <w:spacing w:line="360" w:lineRule="auto"/>
        <w:widowControl/>
        <w:rPr>
          <w:rFonts w:hint="eastAsia" w:ascii="宋体" w:hAnsi="宋体"/>
          <w:b/>
          <w:highlight w:val="none"/>
        </w:rPr>
      </w:pPr>
      <w:r/>
      <w:bookmarkStart w:id="48" w:name="_Hlt26671343"/>
      <w:r/>
      <w:bookmarkEnd w:id="48"/>
      <w:r/>
      <w:bookmarkStart w:id="49" w:name="_Hlt24879081"/>
      <w:r/>
      <w:bookmarkEnd w:id="49"/>
      <w:r/>
      <w:bookmarkStart w:id="50" w:name="_Hlt26580838"/>
      <w:r/>
      <w:bookmarkEnd w:id="50"/>
      <w:r/>
      <w:bookmarkStart w:id="51" w:name="_Hlt26782999"/>
      <w:r/>
      <w:bookmarkEnd w:id="51"/>
      <w:r/>
      <w:bookmarkStart w:id="52" w:name="_Hlt26609391"/>
      <w:r/>
      <w:bookmarkEnd w:id="52"/>
      <w:r/>
      <w:bookmarkStart w:id="53" w:name="_Hlt26955056"/>
      <w:r/>
      <w:bookmarkEnd w:id="53"/>
      <w:r/>
      <w:bookmarkStart w:id="54" w:name="_Hlt26955064"/>
      <w:r/>
      <w:bookmarkEnd w:id="54"/>
      <w:r/>
      <w:bookmarkStart w:id="55" w:name="_Hlt26671372"/>
      <w:r/>
      <w:bookmarkEnd w:id="55"/>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序号</w:t>
            </w:r>
            <w:r/>
          </w:p>
        </w:tc>
        <w:tc>
          <w:tcPr>
            <w:tcW w:w="2688"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招标文件要求</w:t>
            </w:r>
            <w:r/>
          </w:p>
        </w:tc>
        <w:tc>
          <w:tcPr>
            <w:tcW w:w="288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130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证明</w:t>
            </w:r>
            <w:r/>
          </w:p>
          <w:p>
            <w:pPr>
              <w:jc w:val="center"/>
              <w:rPr>
                <w:rFonts w:hint="eastAsia"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68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688"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2883"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302"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W w:w="1614" w:type="dxa"/>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r>
    </w:tbl>
    <w:p>
      <w:pPr>
        <w:pStyle w:val="1079"/>
        <w:rPr>
          <w:rFonts w:hint="eastAsia" w:ascii="宋体" w:hAnsi="宋体"/>
          <w:b/>
          <w:highlight w:val="none"/>
        </w:rPr>
      </w:pPr>
      <w:r>
        <w:rPr>
          <w:rFonts w:hint="eastAsia" w:ascii="宋体" w:hAnsi="宋体"/>
          <w:sz w:val="24"/>
          <w:szCs w:val="24"/>
          <w:highlight w:val="none"/>
        </w:rPr>
        <w:t xml:space="preserve">注： 行数不够，可自行添加。</w:t>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bCs/>
          <w:highlight w:val="none"/>
        </w:rPr>
      </w:pPr>
      <w:r>
        <w:rPr>
          <w:rFonts w:hint="eastAsia" w:ascii="宋体" w:hAnsi="宋体"/>
          <w:b/>
          <w:bCs/>
          <w:highlight w:val="none"/>
        </w:rPr>
      </w:r>
      <w:r/>
    </w:p>
    <w:p>
      <w:pPr>
        <w:pStyle w:val="1079"/>
        <w:rPr>
          <w:rFonts w:hint="eastAsia" w:ascii="宋体" w:hAnsi="宋体"/>
          <w:b/>
          <w:bCs/>
          <w:highlight w:val="none"/>
        </w:rPr>
      </w:pPr>
      <w:r>
        <w:rPr>
          <w:rFonts w:hint="eastAsia" w:ascii="宋体" w:hAnsi="宋体"/>
          <w:b/>
          <w:bCs/>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十三、磋商响应报价表</w:t>
      </w:r>
      <w:r/>
    </w:p>
    <w:p>
      <w:pPr>
        <w:spacing w:line="360" w:lineRule="auto"/>
        <w:rPr>
          <w:rFonts w:hint="eastAsia" w:ascii="宋体" w:hAnsi="宋体"/>
          <w:highlight w:val="none"/>
        </w:rPr>
      </w:pPr>
      <w:r>
        <w:rPr>
          <w:rFonts w:hint="eastAsia" w:ascii="宋体" w:hAnsi="宋体"/>
          <w:highlight w:val="none"/>
        </w:rPr>
        <w:t xml:space="preserve">    </w:t>
      </w:r>
      <w:r/>
    </w:p>
    <w:p>
      <w:pPr>
        <w:ind w:firstLine="480"/>
        <w:rPr>
          <w:rFonts w:hint="eastAsia" w:ascii="宋体" w:hAnsi="宋体"/>
          <w:sz w:val="24"/>
          <w:szCs w:val="24"/>
          <w:highlight w:val="none"/>
        </w:rPr>
      </w:pPr>
      <w:r>
        <w:rPr>
          <w:rFonts w:hint="eastAsia" w:ascii="宋体" w:hAnsi="宋体"/>
          <w:sz w:val="24"/>
          <w:szCs w:val="24"/>
          <w:highlight w:val="none"/>
        </w:rPr>
        <w:t xml:space="preserve">供应商全称（加盖CA电子签章）：</w:t>
      </w:r>
      <w:r/>
    </w:p>
    <w:p>
      <w:pPr>
        <w:ind w:firstLine="480"/>
        <w:rPr>
          <w:sz w:val="24"/>
          <w:szCs w:val="24"/>
          <w:highlight w:val="none"/>
        </w:rPr>
      </w:pPr>
      <w:r>
        <w:rPr>
          <w:rFonts w:hint="eastAsia" w:ascii="宋体" w:hAnsi="宋体"/>
          <w:sz w:val="24"/>
          <w:szCs w:val="24"/>
          <w:highlight w:val="none"/>
        </w:rPr>
        <w:t xml:space="preserve">项目名称：</w:t>
      </w:r>
      <w:r/>
    </w:p>
    <w:p>
      <w:pPr>
        <w:ind w:firstLine="480"/>
        <w:rPr>
          <w:rFonts w:hint="eastAsia" w:ascii="宋体" w:hAnsi="宋体"/>
          <w:sz w:val="24"/>
          <w:szCs w:val="24"/>
          <w:highlight w:val="none"/>
        </w:rPr>
      </w:pPr>
      <w:r>
        <w:rPr>
          <w:rFonts w:hint="eastAsia" w:ascii="宋体" w:hAnsi="宋体"/>
          <w:sz w:val="24"/>
          <w:szCs w:val="24"/>
          <w:highlight w:val="none"/>
        </w:rPr>
        <w:t xml:space="preserve">招标编号：                                  </w:t>
      </w:r>
      <w:r/>
    </w:p>
    <w:p>
      <w:pPr>
        <w:spacing w:line="360" w:lineRule="auto"/>
        <w:rPr>
          <w:rFonts w:hint="eastAsia" w:ascii="宋体" w:hAnsi="宋体"/>
          <w:szCs w:val="21"/>
          <w:highlight w:val="none"/>
        </w:rPr>
      </w:pPr>
      <w:r>
        <w:rPr>
          <w:rFonts w:hint="eastAsia" w:ascii="宋体" w:hAnsi="宋体"/>
          <w:highlight w:val="none"/>
        </w:rPr>
        <w:t xml:space="preserve">                                                   </w:t>
      </w:r>
      <w:r/>
    </w:p>
    <w:tbl>
      <w:tblPr>
        <w:tblStyle w:val="8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pStyle w:val="1063"/>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服务名称</w:t>
            </w:r>
            <w:r/>
          </w:p>
        </w:tc>
        <w:tc>
          <w:tcPr>
            <w:tcW w:w="4618" w:type="dxa"/>
            <w:vAlign w:val="center"/>
            <w:textDirection w:val="lrTb"/>
            <w:noWrap w:val="false"/>
          </w:tcPr>
          <w:p>
            <w:pPr>
              <w:jc w:val="center"/>
              <w:spacing w:after="200" w:line="220" w:lineRule="atLeast"/>
              <w:rPr>
                <w:rFonts w:hint="eastAsia" w:ascii="宋体" w:hAnsi="宋体"/>
                <w:szCs w:val="21"/>
                <w:highlight w:val="none"/>
              </w:rPr>
            </w:pPr>
            <w:r>
              <w:rPr>
                <w:rFonts w:hint="eastAsia" w:ascii="宋体" w:hAnsi="宋体"/>
                <w:szCs w:val="21"/>
                <w:highlight w:val="none"/>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szCs w:val="21"/>
                <w:highlight w:val="none"/>
              </w:rPr>
            </w:pPr>
            <w:r>
              <w:rPr>
                <w:rFonts w:hint="eastAsia" w:ascii="宋体" w:hAnsi="宋体" w:cs="宋体"/>
                <w:szCs w:val="21"/>
                <w:highlight w:val="none"/>
              </w:rPr>
              <w:t xml:space="preserve">是否为中小企业</w:t>
            </w:r>
            <w:r/>
          </w:p>
        </w:tc>
      </w:tr>
      <w:tr>
        <w:trPr>
          <w:cantSplit/>
          <w:jc w:val="center"/>
          <w:trHeight w:val="1964"/>
        </w:trPr>
        <w:tc>
          <w:tcPr>
            <w:tcW w:w="1210" w:type="dxa"/>
            <w:vAlign w:val="center"/>
            <w:textDirection w:val="lrTb"/>
            <w:noWrap w:val="false"/>
          </w:tcPr>
          <w:p>
            <w:pPr>
              <w:pStyle w:val="1063"/>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18" w:type="dxa"/>
            <w:vAlign w:val="center"/>
            <w:textDirection w:val="lrTb"/>
            <w:noWrap w:val="false"/>
          </w:tcPr>
          <w:p>
            <w:pPr>
              <w:pStyle w:val="1063"/>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大写：                     （人民币：元）</w:t>
            </w:r>
            <w:r/>
          </w:p>
          <w:p>
            <w:pPr>
              <w:pStyle w:val="1096"/>
              <w:ind w:firstLine="0"/>
              <w:spacing w:before="0" w:after="0" w:line="500" w:lineRule="exact"/>
              <w:rPr>
                <w:rFonts w:hint="eastAsia" w:ascii="宋体" w:hAnsi="宋体"/>
                <w:sz w:val="21"/>
                <w:szCs w:val="21"/>
                <w:highlight w:val="none"/>
              </w:rPr>
            </w:pPr>
            <w:r>
              <w:rPr>
                <w:rFonts w:hint="eastAsia" w:ascii="宋体" w:hAnsi="宋体" w:cs="宋体"/>
                <w:sz w:val="21"/>
                <w:szCs w:val="21"/>
                <w:highlight w:val="none"/>
              </w:rPr>
              <w:t xml:space="preserve">小写：                     （人民币：圆）</w:t>
            </w:r>
            <w:r/>
          </w:p>
        </w:tc>
        <w:tc>
          <w:tcPr>
            <w:tcW w:w="2691" w:type="dxa"/>
            <w:vAlign w:val="center"/>
            <w:textDirection w:val="lrTb"/>
            <w:noWrap w:val="false"/>
          </w:tcPr>
          <w:p>
            <w:pPr>
              <w:pStyle w:val="1096"/>
              <w:ind w:firstLine="0"/>
              <w:spacing w:before="0" w:after="0" w:line="500" w:lineRule="exact"/>
              <w:rPr>
                <w:rFonts w:hint="eastAsia" w:ascii="宋体" w:hAnsi="宋体" w:cs="宋体"/>
                <w:sz w:val="21"/>
                <w:szCs w:val="21"/>
                <w:highlight w:val="none"/>
              </w:rPr>
            </w:pPr>
            <w:r>
              <w:rPr>
                <w:rFonts w:hint="eastAsia" w:ascii="宋体" w:hAnsi="宋体" w:cs="宋体"/>
                <w:sz w:val="21"/>
                <w:szCs w:val="21"/>
                <w:highlight w:val="none"/>
              </w:rPr>
            </w:r>
            <w:r/>
          </w:p>
        </w:tc>
      </w:tr>
      <w:tr>
        <w:trPr>
          <w:cantSplit/>
          <w:jc w:val="center"/>
          <w:trHeight w:val="1362"/>
        </w:trPr>
        <w:tc>
          <w:tcPr>
            <w:tcW w:w="1210" w:type="dxa"/>
            <w:vAlign w:val="center"/>
            <w:textDirection w:val="lrTb"/>
            <w:noWrap w:val="false"/>
          </w:tcPr>
          <w:p>
            <w:pPr>
              <w:pStyle w:val="1063"/>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gridSpan w:val="2"/>
            <w:tcW w:w="7309" w:type="dxa"/>
            <w:vAlign w:val="center"/>
            <w:textDirection w:val="lrTb"/>
            <w:noWrap w:val="false"/>
          </w:tcPr>
          <w:p>
            <w:pPr>
              <w:pStyle w:val="1063"/>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line="360" w:lineRule="auto"/>
        <w:rPr>
          <w:rFonts w:hint="eastAsia" w:ascii="宋体" w:hAnsi="宋体"/>
          <w:highlight w:val="none"/>
        </w:rPr>
      </w:pPr>
      <w:r>
        <w:rPr>
          <w:rFonts w:hint="eastAsia" w:ascii="宋体" w:hAnsi="宋体"/>
          <w:highlight w:val="none"/>
        </w:rPr>
        <w:t xml:space="preserve">                                               </w:t>
      </w:r>
      <w:r/>
    </w:p>
    <w:p>
      <w:pPr>
        <w:jc w:val="right"/>
        <w:spacing w:line="360" w:lineRule="auto"/>
        <w:rPr>
          <w:rFonts w:hint="eastAsia" w:ascii="宋体" w:hAnsi="宋体"/>
          <w:highlight w:val="none"/>
        </w:rPr>
      </w:pPr>
      <w:r>
        <w:rPr>
          <w:rFonts w:hint="eastAsia" w:ascii="宋体" w:hAnsi="宋体"/>
          <w:highlight w:val="none"/>
        </w:rPr>
        <w:t xml:space="preserve">日期：    年   月    日</w:t>
      </w:r>
      <w:r/>
    </w:p>
    <w:p>
      <w:pPr>
        <w:pStyle w:val="1079"/>
        <w:rPr>
          <w:rFonts w:hint="eastAsia" w:ascii="宋体" w:hAnsi="宋体"/>
          <w:b/>
          <w:bCs/>
          <w:highlight w:val="none"/>
        </w:rPr>
      </w:pPr>
      <w:r>
        <w:rPr>
          <w:rFonts w:hint="eastAsia" w:ascii="宋体" w:hAnsi="宋体"/>
          <w:b/>
          <w:bCs/>
          <w:highlight w:val="none"/>
        </w:rPr>
      </w:r>
      <w:r/>
    </w:p>
    <w:p>
      <w:pPr>
        <w:pStyle w:val="1079"/>
        <w:rPr>
          <w:rFonts w:hint="eastAsia" w:ascii="宋体" w:hAnsi="宋体"/>
          <w:b/>
          <w:bCs/>
          <w:highlight w:val="none"/>
        </w:rPr>
      </w:pPr>
      <w:r>
        <w:rPr>
          <w:rFonts w:hint="eastAsia" w:ascii="宋体" w:hAnsi="宋体"/>
          <w:b/>
          <w:bCs/>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pStyle w:val="1079"/>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spacing w:before="312" w:line="360" w:lineRule="auto"/>
        <w:rPr>
          <w:rFonts w:hint="eastAsia" w:ascii="宋体" w:hAnsi="宋体"/>
          <w:b/>
          <w:highlight w:val="none"/>
        </w:rPr>
      </w:pPr>
      <w:r>
        <w:rPr>
          <w:rFonts w:hint="eastAsia" w:ascii="宋体" w:hAnsi="宋体"/>
          <w:b/>
          <w:highlight w:val="none"/>
        </w:rPr>
      </w:r>
      <w:r/>
    </w:p>
    <w:p>
      <w:pPr>
        <w:pStyle w:val="1097"/>
        <w:rPr>
          <w:rFonts w:hint="eastAsia"/>
          <w:highlight w:val="none"/>
        </w:rPr>
      </w:pPr>
      <w:r>
        <w:rPr>
          <w:rFonts w:hint="eastAsia"/>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磋商响应报价明细表</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十四、主要标的信息（成交后将公示）</w:t>
      </w:r>
      <w:r/>
    </w:p>
    <w:p>
      <w:pPr>
        <w:spacing w:after="312" w:line="360" w:lineRule="auto"/>
        <w:rPr>
          <w:rFonts w:hint="eastAsia" w:ascii="宋体" w:hAnsi="宋体" w:cs="宋体"/>
          <w:b/>
          <w:highlight w:val="none"/>
        </w:rPr>
      </w:pPr>
      <w:r>
        <w:rPr>
          <w:rFonts w:hint="eastAsia" w:ascii="宋体" w:hAnsi="宋体" w:cs="宋体"/>
          <w:highlight w:val="none"/>
        </w:rPr>
        <w:t xml:space="preserve">供应商全称：</w:t>
      </w:r>
      <w:r/>
    </w:p>
    <w:tbl>
      <w:tblPr>
        <w:tblStyle w:val="856"/>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0"/>
      </w:tblGrid>
      <w:tr>
        <w:trPr/>
        <w:tc>
          <w:tcPr>
            <w:tcW w:w="9090" w:type="dxa"/>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服务类</w:t>
            </w:r>
            <w:r/>
          </w:p>
        </w:tc>
      </w:tr>
      <w:tr>
        <w:trPr>
          <w:trHeight w:val="3810"/>
        </w:trPr>
        <w:tc>
          <w:tcPr>
            <w:tcW w:w="9090" w:type="dxa"/>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名称：</w:t>
            </w:r>
            <w:r/>
          </w:p>
          <w:p>
            <w:pPr>
              <w:spacing w:line="360" w:lineRule="auto"/>
              <w:rPr>
                <w:rFonts w:hint="eastAsia" w:ascii="宋体" w:hAnsi="宋体" w:cs="宋体"/>
                <w:highlight w:val="none"/>
              </w:rPr>
            </w:pPr>
            <w:r>
              <w:rPr>
                <w:rFonts w:hint="eastAsia" w:ascii="宋体" w:hAnsi="宋体" w:cs="宋体"/>
                <w:highlight w:val="none"/>
              </w:rPr>
              <w:t xml:space="preserve">服务范围：</w:t>
            </w:r>
            <w:r/>
          </w:p>
          <w:p>
            <w:pPr>
              <w:spacing w:line="360" w:lineRule="auto"/>
              <w:rPr>
                <w:rFonts w:hint="eastAsia" w:ascii="宋体" w:hAnsi="宋体" w:cs="宋体"/>
                <w:highlight w:val="none"/>
                <w:u w:val="single"/>
              </w:rPr>
            </w:pPr>
            <w:r>
              <w:rPr>
                <w:rFonts w:hint="eastAsia" w:ascii="宋体" w:hAnsi="宋体" w:cs="宋体"/>
                <w:highlight w:val="none"/>
              </w:rPr>
              <w:t xml:space="preserve">服务要求：</w:t>
            </w:r>
            <w:r/>
          </w:p>
          <w:p>
            <w:pPr>
              <w:spacing w:line="360" w:lineRule="auto"/>
              <w:rPr>
                <w:rFonts w:hint="eastAsia" w:ascii="宋体" w:hAnsi="宋体" w:cs="宋体"/>
                <w:highlight w:val="none"/>
                <w:u w:val="single"/>
              </w:rPr>
            </w:pPr>
            <w:r>
              <w:rPr>
                <w:rFonts w:hint="eastAsia" w:ascii="宋体" w:hAnsi="宋体" w:cs="宋体"/>
                <w:highlight w:val="none"/>
              </w:rPr>
              <w:t xml:space="preserve">服务时间：</w:t>
            </w:r>
            <w:r/>
          </w:p>
          <w:p>
            <w:pPr>
              <w:spacing w:line="360" w:lineRule="auto"/>
              <w:rPr>
                <w:rFonts w:hint="eastAsia" w:ascii="宋体" w:hAnsi="宋体" w:cs="宋体"/>
                <w:highlight w:val="none"/>
              </w:rPr>
            </w:pPr>
            <w:r>
              <w:rPr>
                <w:rFonts w:hint="eastAsia" w:ascii="宋体" w:hAnsi="宋体" w:cs="宋体"/>
                <w:highlight w:val="none"/>
              </w:rPr>
              <w:t xml:space="preserve">服务标准：</w:t>
            </w:r>
            <w:r/>
          </w:p>
        </w:tc>
      </w:tr>
    </w:tbl>
    <w:p>
      <w:pPr>
        <w:jc w:val="left"/>
        <w:spacing w:line="360" w:lineRule="auto"/>
        <w:widowControl/>
        <w:rPr>
          <w:highlight w:val="none"/>
        </w:rPr>
      </w:pPr>
      <w:r>
        <w:rPr>
          <w:rFonts w:hint="eastAsia" w:ascii="宋体" w:hAnsi="宋体" w:cs="宋体"/>
          <w:sz w:val="24"/>
          <w:szCs w:val="24"/>
          <w:highlight w:val="none"/>
        </w:rPr>
        <w:br w:type="page" w:clear="all"/>
      </w:r>
      <w:r/>
    </w:p>
    <w:p>
      <w:pPr>
        <w:pStyle w:val="864"/>
        <w:rPr>
          <w:highlight w:val="none"/>
        </w:rPr>
      </w:pPr>
      <w:r>
        <w:rPr>
          <w:highlight w:val="none"/>
        </w:rPr>
      </w:r>
      <w:r/>
    </w:p>
    <w:p>
      <w:pPr>
        <w:pStyle w:val="864"/>
        <w:rPr>
          <w:highlight w:val="none"/>
        </w:rPr>
      </w:pPr>
      <w:r>
        <w:rPr>
          <w:highlight w:val="none"/>
        </w:rPr>
      </w:r>
      <w:r/>
    </w:p>
    <w:p>
      <w:pPr>
        <w:jc w:val="center"/>
        <w:spacing w:line="360" w:lineRule="auto"/>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十五、其他</w:t>
      </w:r>
      <w:r/>
    </w:p>
    <w:p>
      <w:pPr>
        <w:jc w:val="center"/>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ascii="宋体" w:hAnsi="宋体"/>
          <w:b/>
          <w:sz w:val="24"/>
          <w:szCs w:val="24"/>
          <w:highlight w:val="none"/>
        </w:rPr>
      </w:pPr>
      <w:r>
        <w:rPr>
          <w:rFonts w:hint="eastAsia" w:ascii="宋体" w:hAnsi="宋体"/>
          <w:b/>
          <w:sz w:val="24"/>
          <w:szCs w:val="24"/>
          <w:highlight w:val="none"/>
        </w:rPr>
      </w:r>
      <w:r/>
    </w:p>
    <w:p>
      <w:pPr>
        <w:rPr>
          <w:rFonts w:hint="eastAsia" w:ascii="宋体" w:hAnsi="宋体"/>
          <w:b/>
          <w:sz w:val="24"/>
          <w:szCs w:val="24"/>
          <w:highlight w:val="none"/>
        </w:rPr>
      </w:pPr>
      <w:r>
        <w:rPr>
          <w:rFonts w:hint="eastAsia" w:ascii="宋体" w:hAnsi="宋体"/>
          <w:b/>
          <w:sz w:val="24"/>
          <w:szCs w:val="24"/>
          <w:highlight w:val="none"/>
        </w:rPr>
      </w:r>
      <w:r/>
    </w:p>
    <w:p>
      <w:pPr>
        <w:pStyle w:val="848"/>
        <w:rPr>
          <w:rFonts w:hint="eastAsia"/>
          <w:highlight w:val="none"/>
        </w:rPr>
      </w:pPr>
      <w:r>
        <w:rPr>
          <w:rFonts w:hint="eastAsia"/>
          <w:highlight w:val="none"/>
        </w:rPr>
      </w:r>
      <w:r/>
    </w:p>
    <w:p>
      <w:pPr>
        <w:pStyle w:val="1079"/>
        <w:rPr>
          <w:rFonts w:hint="eastAsia" w:ascii="宋体" w:hAnsi="宋体"/>
          <w:highlight w:val="none"/>
        </w:rPr>
      </w:pPr>
      <w:r>
        <w:rPr>
          <w:rFonts w:hint="eastAsia" w:ascii="宋体" w:hAnsi="宋体"/>
          <w:highlight w:val="none"/>
        </w:rPr>
      </w:r>
      <w:r/>
    </w:p>
    <w:p>
      <w:pPr>
        <w:jc w:val="center"/>
        <w:spacing w:line="360" w:lineRule="auto"/>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lang w:val="en-US" w:eastAsia="zh-CN"/>
        </w:rPr>
        <w:t xml:space="preserve">十六、</w:t>
      </w:r>
      <w:r>
        <w:rPr>
          <w:rFonts w:hint="eastAsia" w:ascii="黑体" w:hAnsi="黑体" w:eastAsia="黑体" w:cs="Times New Roman"/>
          <w:i/>
          <w:sz w:val="32"/>
          <w:szCs w:val="32"/>
          <w:highlight w:val="none"/>
          <w:u w:val="single"/>
        </w:rPr>
        <w:t xml:space="preserve">关于符合本国产品标准的声明函</w:t>
      </w:r>
      <w:r/>
    </w:p>
    <w:p>
      <w:pPr>
        <w:pStyle w:val="88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887"/>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887"/>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887"/>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887"/>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887"/>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87"/>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8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8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81"/>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81"/>
        <w:ind w:left="0" w:right="0" w:firstLine="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88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1079"/>
        <w:rPr>
          <w:rFonts w:hint="eastAsia" w:ascii="宋体" w:hAnsi="宋体" w:eastAsia="宋体" w:cs="宋体"/>
          <w:highlight w:val="none"/>
        </w:rPr>
      </w:pPr>
      <w:r>
        <w:rPr>
          <w:rFonts w:hint="eastAsia" w:ascii="宋体" w:hAnsi="宋体" w:eastAsia="宋体" w:cs="宋体"/>
          <w:highlight w:val="none"/>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szCs w:val="22"/>
      </w:rPr>
      <w:pBdr>
        <w:bottom w:val="none" w:color="auto" w:sz="0" w:space="1"/>
      </w:pBdr>
    </w:pPr>
    <w:r/>
    <w:bookmarkStart w:id="56" w:name="_Hlk69393956"/>
    <w:r/>
    <w:bookmarkStart w:id="57" w:name="_Hlk69393955"/>
    <w:r>
      <w:t xml:space="preserve">     </w:t>
    </w:r>
    <w:bookmarkEnd w:id="56"/>
    <w:r/>
    <w:bookmarkEnd w:id="57"/>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855"/>
    <w:link w:val="846"/>
    <w:uiPriority w:val="9"/>
    <w:rPr>
      <w:rFonts w:ascii="Arial" w:hAnsi="Arial" w:eastAsia="Arial" w:cs="Arial"/>
      <w:sz w:val="40"/>
      <w:szCs w:val="40"/>
    </w:rPr>
  </w:style>
  <w:style w:type="character" w:styleId="809">
    <w:name w:val="Heading 2 Char"/>
    <w:basedOn w:val="855"/>
    <w:link w:val="847"/>
    <w:uiPriority w:val="9"/>
    <w:rPr>
      <w:rFonts w:ascii="Arial" w:hAnsi="Arial" w:eastAsia="Arial" w:cs="Arial"/>
      <w:sz w:val="34"/>
    </w:rPr>
  </w:style>
  <w:style w:type="character" w:styleId="810">
    <w:name w:val="Heading 3 Char"/>
    <w:basedOn w:val="855"/>
    <w:link w:val="848"/>
    <w:uiPriority w:val="9"/>
    <w:rPr>
      <w:rFonts w:ascii="Arial" w:hAnsi="Arial" w:eastAsia="Arial" w:cs="Arial"/>
      <w:sz w:val="30"/>
      <w:szCs w:val="30"/>
    </w:rPr>
  </w:style>
  <w:style w:type="character" w:styleId="811">
    <w:name w:val="Heading 4 Char"/>
    <w:basedOn w:val="855"/>
    <w:link w:val="849"/>
    <w:uiPriority w:val="9"/>
    <w:rPr>
      <w:rFonts w:ascii="Arial" w:hAnsi="Arial" w:eastAsia="Arial" w:cs="Arial"/>
      <w:b/>
      <w:bCs/>
      <w:sz w:val="26"/>
      <w:szCs w:val="26"/>
    </w:rPr>
  </w:style>
  <w:style w:type="character" w:styleId="812">
    <w:name w:val="Heading 5 Char"/>
    <w:basedOn w:val="855"/>
    <w:link w:val="850"/>
    <w:uiPriority w:val="9"/>
    <w:rPr>
      <w:rFonts w:ascii="Arial" w:hAnsi="Arial" w:eastAsia="Arial" w:cs="Arial"/>
      <w:b/>
      <w:bCs/>
      <w:sz w:val="24"/>
      <w:szCs w:val="24"/>
    </w:rPr>
  </w:style>
  <w:style w:type="character" w:styleId="813">
    <w:name w:val="Heading 6 Char"/>
    <w:basedOn w:val="855"/>
    <w:link w:val="851"/>
    <w:uiPriority w:val="9"/>
    <w:rPr>
      <w:rFonts w:ascii="Arial" w:hAnsi="Arial" w:eastAsia="Arial" w:cs="Arial"/>
      <w:b/>
      <w:bCs/>
      <w:sz w:val="22"/>
      <w:szCs w:val="22"/>
    </w:rPr>
  </w:style>
  <w:style w:type="character" w:styleId="814">
    <w:name w:val="Heading 7 Char"/>
    <w:basedOn w:val="855"/>
    <w:link w:val="852"/>
    <w:uiPriority w:val="9"/>
    <w:rPr>
      <w:rFonts w:ascii="Arial" w:hAnsi="Arial" w:eastAsia="Arial" w:cs="Arial"/>
      <w:b/>
      <w:bCs/>
      <w:i/>
      <w:iCs/>
      <w:sz w:val="22"/>
      <w:szCs w:val="22"/>
    </w:rPr>
  </w:style>
  <w:style w:type="character" w:styleId="815">
    <w:name w:val="Heading 8 Char"/>
    <w:basedOn w:val="855"/>
    <w:link w:val="853"/>
    <w:uiPriority w:val="9"/>
    <w:rPr>
      <w:rFonts w:ascii="Arial" w:hAnsi="Arial" w:eastAsia="Arial" w:cs="Arial"/>
      <w:i/>
      <w:iCs/>
      <w:sz w:val="22"/>
      <w:szCs w:val="22"/>
    </w:rPr>
  </w:style>
  <w:style w:type="character" w:styleId="816">
    <w:name w:val="Heading 9 Char"/>
    <w:basedOn w:val="855"/>
    <w:link w:val="854"/>
    <w:uiPriority w:val="9"/>
    <w:rPr>
      <w:rFonts w:ascii="Arial" w:hAnsi="Arial" w:eastAsia="Arial" w:cs="Arial"/>
      <w:i/>
      <w:iCs/>
      <w:sz w:val="21"/>
      <w:szCs w:val="21"/>
    </w:rPr>
  </w:style>
  <w:style w:type="character" w:styleId="817">
    <w:name w:val="Title Char"/>
    <w:basedOn w:val="855"/>
    <w:link w:val="882"/>
    <w:uiPriority w:val="10"/>
    <w:rPr>
      <w:sz w:val="48"/>
      <w:szCs w:val="48"/>
    </w:rPr>
  </w:style>
  <w:style w:type="character" w:styleId="818">
    <w:name w:val="Subtitle Char"/>
    <w:basedOn w:val="855"/>
    <w:link w:val="874"/>
    <w:uiPriority w:val="11"/>
    <w:rPr>
      <w:sz w:val="24"/>
      <w:szCs w:val="24"/>
    </w:rPr>
  </w:style>
  <w:style w:type="character" w:styleId="819">
    <w:name w:val="Quote Char"/>
    <w:link w:val="915"/>
    <w:uiPriority w:val="29"/>
    <w:rPr>
      <w:i/>
    </w:rPr>
  </w:style>
  <w:style w:type="character" w:styleId="820">
    <w:name w:val="Intense Quote Char"/>
    <w:link w:val="917"/>
    <w:uiPriority w:val="30"/>
    <w:rPr>
      <w:i/>
    </w:rPr>
  </w:style>
  <w:style w:type="character" w:styleId="821">
    <w:name w:val="Header Char"/>
    <w:basedOn w:val="855"/>
    <w:link w:val="871"/>
    <w:uiPriority w:val="99"/>
  </w:style>
  <w:style w:type="character" w:styleId="822">
    <w:name w:val="Caption Char"/>
    <w:basedOn w:val="859"/>
    <w:link w:val="870"/>
    <w:uiPriority w:val="99"/>
  </w:style>
  <w:style w:type="table" w:styleId="823">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2">
    <w:name w:val="Footnote Text Char"/>
    <w:link w:val="875"/>
    <w:uiPriority w:val="99"/>
    <w:rPr>
      <w:sz w:val="18"/>
    </w:rPr>
  </w:style>
  <w:style w:type="character" w:styleId="843">
    <w:name w:val="Endnote Text Char"/>
    <w:link w:val="869"/>
    <w:uiPriority w:val="99"/>
    <w:rPr>
      <w:sz w:val="20"/>
    </w:rPr>
  </w:style>
  <w:style w:type="paragraph" w:styleId="844">
    <w:name w:val="TOC Heading"/>
    <w:uiPriority w:val="39"/>
    <w:unhideWhenUsed/>
  </w:style>
  <w:style w:type="paragraph" w:styleId="84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902"/>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03"/>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04"/>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0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06"/>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907"/>
    <w:uiPriority w:val="9"/>
    <w:unhideWhenUsed/>
    <w:qFormat/>
    <w:pPr>
      <w:keepLines/>
      <w:keepNext/>
      <w:spacing w:before="320" w:after="200"/>
      <w:outlineLvl w:val="5"/>
    </w:pPr>
    <w:rPr>
      <w:rFonts w:ascii="Arial" w:hAnsi="Arial" w:eastAsia="Arial" w:cs="Arial"/>
      <w:b/>
      <w:bCs/>
      <w:sz w:val="22"/>
    </w:rPr>
  </w:style>
  <w:style w:type="paragraph" w:styleId="852">
    <w:name w:val="Heading 7"/>
    <w:basedOn w:val="845"/>
    <w:next w:val="845"/>
    <w:link w:val="908"/>
    <w:uiPriority w:val="9"/>
    <w:unhideWhenUsed/>
    <w:qFormat/>
    <w:pPr>
      <w:keepLines/>
      <w:keepNext/>
      <w:spacing w:before="320" w:after="200"/>
      <w:outlineLvl w:val="6"/>
    </w:pPr>
    <w:rPr>
      <w:rFonts w:ascii="Arial" w:hAnsi="Arial" w:eastAsia="Arial" w:cs="Arial"/>
      <w:b/>
      <w:bCs/>
      <w:i/>
      <w:iCs/>
      <w:sz w:val="22"/>
    </w:rPr>
  </w:style>
  <w:style w:type="paragraph" w:styleId="853">
    <w:name w:val="Heading 8"/>
    <w:basedOn w:val="845"/>
    <w:next w:val="845"/>
    <w:link w:val="909"/>
    <w:uiPriority w:val="9"/>
    <w:unhideWhenUsed/>
    <w:qFormat/>
    <w:pPr>
      <w:keepLines/>
      <w:keepNext/>
      <w:spacing w:before="320" w:after="200"/>
      <w:outlineLvl w:val="7"/>
    </w:pPr>
    <w:rPr>
      <w:rFonts w:ascii="Arial" w:hAnsi="Arial" w:eastAsia="Arial" w:cs="Arial"/>
      <w:i/>
      <w:iCs/>
      <w:sz w:val="22"/>
    </w:rPr>
  </w:style>
  <w:style w:type="paragraph" w:styleId="854">
    <w:name w:val="Heading 9"/>
    <w:basedOn w:val="845"/>
    <w:next w:val="845"/>
    <w:link w:val="910"/>
    <w:uiPriority w:val="9"/>
    <w:unhideWhenUsed/>
    <w:qFormat/>
    <w:pPr>
      <w:keepLines/>
      <w:keepNext/>
      <w:spacing w:before="320" w:after="200"/>
      <w:outlineLvl w:val="8"/>
    </w:pPr>
    <w:rPr>
      <w:rFonts w:ascii="Arial" w:hAnsi="Arial" w:eastAsia="Arial" w:cs="Arial"/>
      <w:i/>
      <w:iCs/>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spacing w:after="57"/>
    </w:pPr>
  </w:style>
  <w:style w:type="paragraph" w:styleId="858">
    <w:name w:val="Normal Indent"/>
    <w:basedOn w:val="845"/>
    <w:uiPriority w:val="0"/>
    <w:qFormat/>
    <w:pPr>
      <w:ind w:firstLine="420"/>
      <w:jc w:val="left"/>
      <w:widowControl/>
    </w:pPr>
    <w:rPr>
      <w:rFonts w:asciiTheme="minorHAnsi" w:hAnsiTheme="minorHAnsi" w:eastAsiaTheme="minorEastAsia" w:cstheme="minorBidi"/>
    </w:r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toa heading"/>
    <w:basedOn w:val="845"/>
    <w:next w:val="845"/>
    <w:uiPriority w:val="0"/>
    <w:qFormat/>
    <w:pPr>
      <w:spacing w:before="120"/>
    </w:pPr>
    <w:rPr>
      <w:rFonts w:ascii="Arial" w:hAnsi="Arial" w:cs="Arial"/>
      <w:sz w:val="24"/>
    </w:rPr>
  </w:style>
  <w:style w:type="paragraph" w:styleId="861">
    <w:name w:val="annotation text"/>
    <w:basedOn w:val="845"/>
    <w:link w:val="1111"/>
    <w:uiPriority w:val="99"/>
    <w:unhideWhenUsed/>
    <w:qFormat/>
    <w:pPr>
      <w:jc w:val="left"/>
    </w:pPr>
  </w:style>
  <w:style w:type="paragraph" w:styleId="862">
    <w:name w:val="Body Text"/>
    <w:basedOn w:val="845"/>
    <w:uiPriority w:val="0"/>
    <w:semiHidden/>
    <w:qFormat/>
    <w:rPr>
      <w:rFonts w:ascii="宋体" w:hAnsi="宋体" w:cs="宋体"/>
      <w:sz w:val="31"/>
      <w:szCs w:val="31"/>
      <w:lang w:eastAsia="en-US"/>
    </w:rPr>
  </w:style>
  <w:style w:type="paragraph" w:styleId="863">
    <w:name w:val="Body Text Indent"/>
    <w:basedOn w:val="845"/>
    <w:next w:val="864"/>
    <w:uiPriority w:val="0"/>
    <w:qFormat/>
    <w:pPr>
      <w:ind w:firstLine="645"/>
    </w:pPr>
    <w:rPr>
      <w:rFonts w:ascii="楷体_GB2312" w:eastAsia="楷体_GB2312"/>
      <w:sz w:val="32"/>
      <w:szCs w:val="20"/>
    </w:rPr>
  </w:style>
  <w:style w:type="paragraph" w:styleId="864">
    <w:name w:val="envelope return"/>
    <w:basedOn w:val="845"/>
    <w:uiPriority w:val="0"/>
    <w:qFormat/>
    <w:rPr>
      <w:rFonts w:ascii="Arial" w:hAnsi="Arial"/>
    </w:rPr>
  </w:style>
  <w:style w:type="paragraph" w:styleId="865">
    <w:name w:val="toc 5"/>
    <w:basedOn w:val="845"/>
    <w:next w:val="845"/>
    <w:uiPriority w:val="39"/>
    <w:unhideWhenUsed/>
    <w:qFormat/>
    <w:pPr>
      <w:ind w:left="1134"/>
      <w:spacing w:after="57"/>
    </w:pPr>
  </w:style>
  <w:style w:type="paragraph" w:styleId="866">
    <w:name w:val="toc 3"/>
    <w:basedOn w:val="845"/>
    <w:next w:val="845"/>
    <w:uiPriority w:val="39"/>
    <w:unhideWhenUsed/>
    <w:qFormat/>
    <w:pPr>
      <w:ind w:left="567"/>
      <w:spacing w:after="57"/>
    </w:pPr>
  </w:style>
  <w:style w:type="paragraph" w:styleId="867">
    <w:name w:val="Plain Text"/>
    <w:basedOn w:val="845"/>
    <w:uiPriority w:val="99"/>
    <w:unhideWhenUsed/>
    <w:qFormat/>
    <w:rPr>
      <w:rFonts w:ascii="宋体" w:hAnsi="Courier New"/>
      <w:sz w:val="20"/>
      <w:szCs w:val="20"/>
    </w:rPr>
  </w:style>
  <w:style w:type="paragraph" w:styleId="868">
    <w:name w:val="toc 8"/>
    <w:basedOn w:val="845"/>
    <w:next w:val="845"/>
    <w:uiPriority w:val="39"/>
    <w:unhideWhenUsed/>
    <w:qFormat/>
    <w:pPr>
      <w:ind w:left="1984"/>
      <w:spacing w:after="57"/>
    </w:pPr>
  </w:style>
  <w:style w:type="paragraph" w:styleId="869">
    <w:name w:val="endnote text"/>
    <w:basedOn w:val="845"/>
    <w:link w:val="1048"/>
    <w:uiPriority w:val="99"/>
    <w:semiHidden/>
    <w:unhideWhenUsed/>
    <w:qFormat/>
    <w:rPr>
      <w:sz w:val="20"/>
    </w:rPr>
  </w:style>
  <w:style w:type="paragraph" w:styleId="870">
    <w:name w:val="Footer"/>
    <w:basedOn w:val="845"/>
    <w:link w:val="921"/>
    <w:uiPriority w:val="99"/>
    <w:unhideWhenUsed/>
    <w:qFormat/>
    <w:pPr>
      <w:tabs>
        <w:tab w:val="center" w:pos="7143" w:leader="none"/>
        <w:tab w:val="right" w:pos="14287" w:leader="none"/>
      </w:tabs>
    </w:pPr>
  </w:style>
  <w:style w:type="paragraph" w:styleId="871">
    <w:name w:val="Header"/>
    <w:basedOn w:val="845"/>
    <w:link w:val="919"/>
    <w:uiPriority w:val="99"/>
    <w:unhideWhenUsed/>
    <w:qFormat/>
    <w:pPr>
      <w:tabs>
        <w:tab w:val="center" w:pos="7143" w:leader="none"/>
        <w:tab w:val="right" w:pos="14287" w:leader="none"/>
      </w:tabs>
    </w:pPr>
  </w:style>
  <w:style w:type="paragraph" w:styleId="872">
    <w:name w:val="toc 1"/>
    <w:basedOn w:val="845"/>
    <w:next w:val="845"/>
    <w:uiPriority w:val="39"/>
    <w:unhideWhenUsed/>
    <w:qFormat/>
    <w:pPr>
      <w:spacing w:after="57"/>
    </w:pPr>
  </w:style>
  <w:style w:type="paragraph" w:styleId="873">
    <w:name w:val="toc 4"/>
    <w:basedOn w:val="845"/>
    <w:next w:val="845"/>
    <w:uiPriority w:val="39"/>
    <w:unhideWhenUsed/>
    <w:qFormat/>
    <w:pPr>
      <w:ind w:left="850"/>
      <w:spacing w:after="57"/>
    </w:pPr>
  </w:style>
  <w:style w:type="paragraph" w:styleId="874">
    <w:name w:val="Subtitle"/>
    <w:basedOn w:val="845"/>
    <w:next w:val="845"/>
    <w:link w:val="914"/>
    <w:uiPriority w:val="11"/>
    <w:qFormat/>
    <w:pPr>
      <w:spacing w:before="200" w:after="200"/>
    </w:pPr>
    <w:rPr>
      <w:sz w:val="24"/>
      <w:szCs w:val="24"/>
    </w:rPr>
  </w:style>
  <w:style w:type="paragraph" w:styleId="875">
    <w:name w:val="footnote text"/>
    <w:basedOn w:val="845"/>
    <w:link w:val="1047"/>
    <w:uiPriority w:val="99"/>
    <w:semiHidden/>
    <w:unhideWhenUsed/>
    <w:qFormat/>
    <w:pPr>
      <w:spacing w:after="40"/>
    </w:pPr>
    <w:rPr>
      <w:sz w:val="18"/>
    </w:rPr>
  </w:style>
  <w:style w:type="paragraph" w:styleId="876">
    <w:name w:val="toc 6"/>
    <w:basedOn w:val="845"/>
    <w:next w:val="845"/>
    <w:uiPriority w:val="39"/>
    <w:unhideWhenUsed/>
    <w:qFormat/>
    <w:pPr>
      <w:ind w:left="1417"/>
      <w:spacing w:after="57"/>
    </w:pPr>
  </w:style>
  <w:style w:type="paragraph" w:styleId="877">
    <w:name w:val="table of figures"/>
    <w:basedOn w:val="845"/>
    <w:next w:val="845"/>
    <w:uiPriority w:val="99"/>
    <w:unhideWhenUsed/>
    <w:qFormat/>
  </w:style>
  <w:style w:type="paragraph" w:styleId="878">
    <w:name w:val="toc 2"/>
    <w:basedOn w:val="845"/>
    <w:next w:val="845"/>
    <w:uiPriority w:val="39"/>
    <w:unhideWhenUsed/>
    <w:qFormat/>
    <w:pPr>
      <w:ind w:left="283"/>
      <w:spacing w:after="57"/>
    </w:pPr>
  </w:style>
  <w:style w:type="paragraph" w:styleId="879">
    <w:name w:val="toc 9"/>
    <w:basedOn w:val="845"/>
    <w:next w:val="845"/>
    <w:uiPriority w:val="39"/>
    <w:unhideWhenUsed/>
    <w:qFormat/>
    <w:pPr>
      <w:ind w:left="2268"/>
      <w:spacing w:after="57"/>
    </w:pPr>
  </w:style>
  <w:style w:type="paragraph" w:styleId="880">
    <w:name w:val="Body Text 2"/>
    <w:basedOn w:val="845"/>
    <w:uiPriority w:val="0"/>
    <w:qFormat/>
    <w:pPr>
      <w:spacing w:after="120" w:line="480" w:lineRule="auto"/>
    </w:pPr>
  </w:style>
  <w:style w:type="paragraph" w:styleId="881">
    <w:name w:val="Normal (Web)"/>
    <w:basedOn w:val="845"/>
    <w:uiPriority w:val="0"/>
    <w:unhideWhenUsed/>
    <w:qFormat/>
    <w:pPr>
      <w:jc w:val="left"/>
    </w:pPr>
    <w:rPr>
      <w:sz w:val="24"/>
      <w:szCs w:val="24"/>
    </w:rPr>
  </w:style>
  <w:style w:type="paragraph" w:styleId="882">
    <w:name w:val="Title"/>
    <w:basedOn w:val="845"/>
    <w:next w:val="845"/>
    <w:link w:val="913"/>
    <w:uiPriority w:val="10"/>
    <w:qFormat/>
    <w:pPr>
      <w:contextualSpacing/>
      <w:spacing w:before="300" w:after="200"/>
    </w:pPr>
    <w:rPr>
      <w:sz w:val="48"/>
      <w:szCs w:val="48"/>
    </w:rPr>
  </w:style>
  <w:style w:type="paragraph" w:styleId="883">
    <w:name w:val="annotation subject"/>
    <w:basedOn w:val="861"/>
    <w:next w:val="861"/>
    <w:link w:val="1112"/>
    <w:uiPriority w:val="99"/>
    <w:semiHidden/>
    <w:unhideWhenUsed/>
    <w:qFormat/>
    <w:rPr>
      <w:b/>
      <w:bCs/>
    </w:rPr>
  </w:style>
  <w:style w:type="paragraph" w:styleId="884">
    <w:name w:val="Body Text First Indent"/>
    <w:basedOn w:val="862"/>
    <w:uiPriority w:val="99"/>
    <w:unhideWhenUsed/>
    <w:qFormat/>
    <w:pPr>
      <w:ind w:firstLine="420"/>
    </w:pPr>
  </w:style>
  <w:style w:type="table" w:styleId="8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Emphasis"/>
    <w:basedOn w:val="855"/>
    <w:uiPriority w:val="20"/>
    <w:qFormat/>
    <w:rPr>
      <w:i/>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annotation reference"/>
    <w:basedOn w:val="855"/>
    <w:uiPriority w:val="99"/>
    <w:semiHidden/>
    <w:unhideWhenUsed/>
    <w:qFormat/>
    <w:rPr>
      <w:sz w:val="21"/>
      <w:szCs w:val="21"/>
    </w:rPr>
  </w:style>
  <w:style w:type="character" w:styleId="890">
    <w:name w:val="footnote reference"/>
    <w:uiPriority w:val="99"/>
    <w:unhideWhenUsed/>
    <w:qFormat/>
    <w:rPr>
      <w:vertAlign w:val="superscript"/>
    </w:rPr>
  </w:style>
  <w:style w:type="character" w:styleId="891" w:customStyle="1">
    <w:name w:val="标题 3 Char"/>
    <w:link w:val="892"/>
    <w:uiPriority w:val="0"/>
    <w:qFormat/>
    <w:rPr>
      <w:rFonts w:ascii="Calibri" w:hAnsi="Calibri" w:eastAsia="宋体" w:cs="Times New Roman"/>
      <w:b/>
      <w:bCs/>
      <w:sz w:val="32"/>
      <w:szCs w:val="32"/>
    </w:rPr>
  </w:style>
  <w:style w:type="paragraph" w:styleId="892" w:customStyle="1">
    <w:name w:val="标题 311"/>
    <w:basedOn w:val="845"/>
    <w:next w:val="845"/>
    <w:link w:val="891"/>
    <w:uiPriority w:val="0"/>
    <w:qFormat/>
    <w:pPr>
      <w:keepLines/>
      <w:keepNext/>
      <w:spacing w:before="260" w:after="260" w:line="416" w:lineRule="auto"/>
      <w:outlineLvl w:val="2"/>
    </w:pPr>
    <w:rPr>
      <w:rFonts w:ascii="Calibri" w:hAnsi="Calibri"/>
      <w:b/>
      <w:bCs/>
      <w:sz w:val="32"/>
      <w:szCs w:val="32"/>
    </w:rPr>
  </w:style>
  <w:style w:type="paragraph" w:styleId="893" w:customStyle="1">
    <w:name w:val="正文（缩进）"/>
    <w:basedOn w:val="845"/>
    <w:next w:val="845"/>
    <w:uiPriority w:val="0"/>
    <w:qFormat/>
    <w:pPr>
      <w:ind w:firstLine="480"/>
    </w:pPr>
    <w:rPr>
      <w:rFonts w:ascii="Calibri" w:hAnsi="Calibri"/>
      <w:szCs w:val="24"/>
    </w:rPr>
  </w:style>
  <w:style w:type="paragraph" w:styleId="894" w:customStyle="1">
    <w:name w:val="正文1"/>
    <w:basedOn w:val="845"/>
    <w:next w:val="895"/>
    <w:uiPriority w:val="0"/>
    <w:qFormat/>
    <w:pPr>
      <w:jc w:val="left"/>
      <w:spacing w:line="360" w:lineRule="atLeast"/>
    </w:pPr>
    <w:rPr>
      <w:rFonts w:ascii="宋体" w:hAnsi="Calibri"/>
      <w:sz w:val="24"/>
      <w:szCs w:val="20"/>
    </w:rPr>
  </w:style>
  <w:style w:type="paragraph" w:styleId="895" w:customStyle="1">
    <w:name w:val="正文文本1"/>
    <w:basedOn w:val="894"/>
    <w:next w:val="896"/>
    <w:uiPriority w:val="0"/>
    <w:qFormat/>
    <w:pPr>
      <w:spacing w:after="120"/>
    </w:pPr>
    <w:rPr>
      <w:lang w:eastAsia="en-US"/>
    </w:rPr>
  </w:style>
  <w:style w:type="paragraph" w:styleId="896" w:customStyle="1">
    <w:name w:val="一级条标题"/>
    <w:basedOn w:val="897"/>
    <w:next w:val="8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7" w:customStyle="1">
    <w:name w:val="章标题"/>
    <w:next w:val="84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8" w:customStyle="1">
    <w:name w:val="段"/>
    <w:basedOn w:val="894"/>
    <w:next w:val="845"/>
    <w:uiPriority w:val="0"/>
    <w:qFormat/>
    <w:pPr>
      <w:ind w:firstLine="200"/>
      <w:widowControl/>
    </w:pPr>
    <w:rPr>
      <w:sz w:val="20"/>
    </w:rPr>
  </w:style>
  <w:style w:type="paragraph" w:styleId="899" w:customStyle="1">
    <w:name w:val="正文首行缩进 21"/>
    <w:basedOn w:val="900"/>
    <w:next w:val="845"/>
    <w:uiPriority w:val="0"/>
    <w:qFormat/>
    <w:pPr>
      <w:ind w:firstLine="420"/>
      <w:spacing w:before="100" w:beforeAutospacing="1"/>
    </w:pPr>
    <w:rPr>
      <w:sz w:val="20"/>
      <w:szCs w:val="21"/>
    </w:rPr>
  </w:style>
  <w:style w:type="paragraph" w:styleId="900" w:customStyle="1">
    <w:name w:val="正文文本缩进1"/>
    <w:basedOn w:val="845"/>
    <w:next w:val="901"/>
    <w:uiPriority w:val="99"/>
    <w:unhideWhenUsed/>
    <w:qFormat/>
    <w:pPr>
      <w:ind w:firstLine="540"/>
      <w:spacing w:line="400" w:lineRule="exact"/>
    </w:pPr>
    <w:rPr>
      <w:sz w:val="24"/>
    </w:rPr>
  </w:style>
  <w:style w:type="paragraph" w:styleId="901" w:customStyle="1">
    <w:name w:val="寄信人地址1"/>
    <w:basedOn w:val="845"/>
    <w:uiPriority w:val="99"/>
    <w:unhideWhenUsed/>
    <w:qFormat/>
    <w:rPr>
      <w:rFonts w:ascii="Arial" w:hAnsi="Arial"/>
    </w:rPr>
  </w:style>
  <w:style w:type="character" w:styleId="902" w:customStyle="1">
    <w:name w:val="标题 1 字符"/>
    <w:link w:val="846"/>
    <w:uiPriority w:val="9"/>
    <w:qFormat/>
    <w:rPr>
      <w:rFonts w:ascii="Arial" w:hAnsi="Arial" w:eastAsia="Arial" w:cs="Arial"/>
      <w:sz w:val="40"/>
      <w:szCs w:val="40"/>
    </w:rPr>
  </w:style>
  <w:style w:type="character" w:styleId="903" w:customStyle="1">
    <w:name w:val="标题 2 字符"/>
    <w:link w:val="847"/>
    <w:uiPriority w:val="9"/>
    <w:qFormat/>
    <w:rPr>
      <w:rFonts w:ascii="Arial" w:hAnsi="Arial" w:eastAsia="Arial" w:cs="Arial"/>
      <w:sz w:val="34"/>
    </w:rPr>
  </w:style>
  <w:style w:type="character" w:styleId="904" w:customStyle="1">
    <w:name w:val="标题 3 字符"/>
    <w:link w:val="848"/>
    <w:uiPriority w:val="9"/>
    <w:qFormat/>
    <w:rPr>
      <w:rFonts w:ascii="Arial" w:hAnsi="Arial" w:eastAsia="Arial" w:cs="Arial"/>
      <w:sz w:val="30"/>
      <w:szCs w:val="30"/>
    </w:rPr>
  </w:style>
  <w:style w:type="character" w:styleId="905" w:customStyle="1">
    <w:name w:val="标题 4 字符"/>
    <w:link w:val="849"/>
    <w:uiPriority w:val="9"/>
    <w:qFormat/>
    <w:rPr>
      <w:rFonts w:ascii="Arial" w:hAnsi="Arial" w:eastAsia="Arial" w:cs="Arial"/>
      <w:b/>
      <w:bCs/>
      <w:sz w:val="26"/>
      <w:szCs w:val="26"/>
    </w:rPr>
  </w:style>
  <w:style w:type="character" w:styleId="906" w:customStyle="1">
    <w:name w:val="标题 5 字符"/>
    <w:link w:val="850"/>
    <w:uiPriority w:val="9"/>
    <w:qFormat/>
    <w:rPr>
      <w:rFonts w:ascii="Arial" w:hAnsi="Arial" w:eastAsia="Arial" w:cs="Arial"/>
      <w:b/>
      <w:bCs/>
      <w:sz w:val="24"/>
      <w:szCs w:val="24"/>
    </w:rPr>
  </w:style>
  <w:style w:type="character" w:styleId="907" w:customStyle="1">
    <w:name w:val="标题 6 字符"/>
    <w:link w:val="851"/>
    <w:uiPriority w:val="9"/>
    <w:qFormat/>
    <w:rPr>
      <w:rFonts w:ascii="Arial" w:hAnsi="Arial" w:eastAsia="Arial" w:cs="Arial"/>
      <w:b/>
      <w:bCs/>
      <w:sz w:val="22"/>
      <w:szCs w:val="22"/>
    </w:rPr>
  </w:style>
  <w:style w:type="character" w:styleId="908" w:customStyle="1">
    <w:name w:val="标题 7 字符"/>
    <w:link w:val="852"/>
    <w:uiPriority w:val="9"/>
    <w:qFormat/>
    <w:rPr>
      <w:rFonts w:ascii="Arial" w:hAnsi="Arial" w:eastAsia="Arial" w:cs="Arial"/>
      <w:b/>
      <w:bCs/>
      <w:i/>
      <w:iCs/>
      <w:sz w:val="22"/>
      <w:szCs w:val="22"/>
    </w:rPr>
  </w:style>
  <w:style w:type="character" w:styleId="909" w:customStyle="1">
    <w:name w:val="标题 8 字符"/>
    <w:link w:val="853"/>
    <w:uiPriority w:val="9"/>
    <w:qFormat/>
    <w:rPr>
      <w:rFonts w:ascii="Arial" w:hAnsi="Arial" w:eastAsia="Arial" w:cs="Arial"/>
      <w:i/>
      <w:iCs/>
      <w:sz w:val="22"/>
      <w:szCs w:val="22"/>
    </w:rPr>
  </w:style>
  <w:style w:type="character" w:styleId="910" w:customStyle="1">
    <w:name w:val="标题 9 字符"/>
    <w:link w:val="854"/>
    <w:uiPriority w:val="9"/>
    <w:qFormat/>
    <w:rPr>
      <w:rFonts w:ascii="Arial" w:hAnsi="Arial" w:eastAsia="Arial" w:cs="Arial"/>
      <w:i/>
      <w:iCs/>
      <w:sz w:val="21"/>
      <w:szCs w:val="21"/>
    </w:rPr>
  </w:style>
  <w:style w:type="paragraph" w:styleId="911">
    <w:name w:val="List Paragraph"/>
    <w:basedOn w:val="845"/>
    <w:uiPriority w:val="34"/>
    <w:qFormat/>
    <w:pPr>
      <w:contextualSpacing/>
      <w:ind w:left="720"/>
    </w:pPr>
  </w:style>
  <w:style w:type="paragraph" w:styleId="912">
    <w:name w:val="No Spacing"/>
    <w:uiPriority w:val="1"/>
    <w:qFormat/>
    <w:rPr>
      <w:rFonts w:ascii="Times New Roman" w:hAnsi="Times New Roman" w:eastAsia="宋体" w:cs="Times New Roman"/>
      <w:lang w:val="en-US" w:eastAsia="zh-CN" w:bidi="ar-SA"/>
    </w:rPr>
  </w:style>
  <w:style w:type="character" w:styleId="913" w:customStyle="1">
    <w:name w:val="标题 字符"/>
    <w:link w:val="882"/>
    <w:uiPriority w:val="10"/>
    <w:qFormat/>
    <w:rPr>
      <w:sz w:val="48"/>
      <w:szCs w:val="48"/>
    </w:rPr>
  </w:style>
  <w:style w:type="character" w:styleId="914" w:customStyle="1">
    <w:name w:val="副标题 字符"/>
    <w:link w:val="874"/>
    <w:uiPriority w:val="11"/>
    <w:qFormat/>
    <w:rPr>
      <w:sz w:val="24"/>
      <w:szCs w:val="24"/>
    </w:rPr>
  </w:style>
  <w:style w:type="paragraph" w:styleId="915">
    <w:name w:val="Quote"/>
    <w:basedOn w:val="845"/>
    <w:next w:val="845"/>
    <w:link w:val="916"/>
    <w:uiPriority w:val="29"/>
    <w:qFormat/>
    <w:pPr>
      <w:ind w:left="720" w:right="720"/>
    </w:pPr>
    <w:rPr>
      <w:i/>
    </w:rPr>
  </w:style>
  <w:style w:type="character" w:styleId="916" w:customStyle="1">
    <w:name w:val="引用 字符"/>
    <w:link w:val="915"/>
    <w:uiPriority w:val="29"/>
    <w:qFormat/>
    <w:rPr>
      <w:i/>
    </w:rPr>
  </w:style>
  <w:style w:type="paragraph" w:styleId="917">
    <w:name w:val="Intense Quote"/>
    <w:basedOn w:val="845"/>
    <w:next w:val="845"/>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字符"/>
    <w:link w:val="917"/>
    <w:uiPriority w:val="30"/>
    <w:qFormat/>
    <w:rPr>
      <w:i/>
    </w:rPr>
  </w:style>
  <w:style w:type="character" w:styleId="919" w:customStyle="1">
    <w:name w:val="页眉 字符"/>
    <w:link w:val="871"/>
    <w:uiPriority w:val="99"/>
    <w:qFormat/>
  </w:style>
  <w:style w:type="character" w:styleId="920" w:customStyle="1">
    <w:name w:val="Footer Char"/>
    <w:uiPriority w:val="99"/>
    <w:qFormat/>
  </w:style>
  <w:style w:type="character" w:styleId="921" w:customStyle="1">
    <w:name w:val="页脚 字符"/>
    <w:link w:val="870"/>
    <w:uiPriority w:val="99"/>
    <w:qFormat/>
  </w:style>
  <w:style w:type="table" w:styleId="9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脚注文本 字符"/>
    <w:link w:val="875"/>
    <w:uiPriority w:val="99"/>
    <w:qFormat/>
    <w:rPr>
      <w:sz w:val="18"/>
    </w:rPr>
  </w:style>
  <w:style w:type="character" w:styleId="1048" w:customStyle="1">
    <w:name w:val="尾注文本 字符"/>
    <w:link w:val="869"/>
    <w:uiPriority w:val="99"/>
    <w:qFormat/>
    <w:rPr>
      <w:sz w:val="20"/>
    </w:rPr>
  </w:style>
  <w:style w:type="paragraph" w:styleId="1049" w:customStyle="1">
    <w:name w:val="TOC 标题1"/>
    <w:uiPriority w:val="39"/>
    <w:unhideWhenUsed/>
    <w:qFormat/>
    <w:rPr>
      <w:rFonts w:ascii="Times New Roman" w:hAnsi="Times New Roman" w:eastAsia="宋体" w:cs="Times New Roman"/>
      <w:lang w:val="en-US" w:eastAsia="zh-CN" w:bidi="ar-SA"/>
    </w:rPr>
  </w:style>
  <w:style w:type="paragraph" w:styleId="1050" w:customStyle="1">
    <w:name w:val="标题 11"/>
    <w:basedOn w:val="845"/>
    <w:next w:val="845"/>
    <w:link w:val="1057"/>
    <w:uiPriority w:val="99"/>
    <w:qFormat/>
    <w:pPr>
      <w:keepLines/>
      <w:keepNext/>
      <w:spacing w:before="340" w:after="330" w:line="578" w:lineRule="auto"/>
      <w:outlineLvl w:val="0"/>
    </w:pPr>
    <w:rPr>
      <w:rFonts w:ascii="Calibri" w:hAnsi="Calibri"/>
      <w:b/>
      <w:bCs/>
      <w:sz w:val="44"/>
      <w:szCs w:val="44"/>
    </w:rPr>
  </w:style>
  <w:style w:type="paragraph" w:styleId="1051" w:customStyle="1">
    <w:name w:val="标题 21"/>
    <w:basedOn w:val="845"/>
    <w:next w:val="1052"/>
    <w:link w:val="1058"/>
    <w:uiPriority w:val="9"/>
    <w:qFormat/>
    <w:pPr>
      <w:keepLines/>
      <w:keepNext/>
      <w:spacing w:before="260" w:after="260" w:line="416" w:lineRule="auto"/>
      <w:outlineLvl w:val="1"/>
    </w:pPr>
    <w:rPr>
      <w:rFonts w:ascii="Cambria" w:hAnsi="Cambria"/>
      <w:b/>
      <w:bCs/>
      <w:sz w:val="32"/>
      <w:szCs w:val="32"/>
    </w:rPr>
  </w:style>
  <w:style w:type="paragraph" w:styleId="1052" w:customStyle="1">
    <w:name w:val="正文缩进1"/>
    <w:basedOn w:val="845"/>
    <w:uiPriority w:val="0"/>
    <w:unhideWhenUsed/>
    <w:qFormat/>
    <w:pPr>
      <w:ind w:firstLine="420"/>
    </w:pPr>
    <w:rPr>
      <w:rFonts w:ascii="Calibri" w:hAnsi="Calibri"/>
    </w:rPr>
  </w:style>
  <w:style w:type="paragraph" w:styleId="1053" w:customStyle="1">
    <w:name w:val="标题 41"/>
    <w:basedOn w:val="845"/>
    <w:next w:val="1052"/>
    <w:link w:val="1059"/>
    <w:uiPriority w:val="0"/>
    <w:qFormat/>
    <w:pPr>
      <w:spacing w:before="280" w:after="290" w:line="377" w:lineRule="auto"/>
      <w:outlineLvl w:val="3"/>
    </w:pPr>
    <w:rPr>
      <w:rFonts w:ascii="Arial" w:hAnsi="Arial" w:eastAsia="黑体"/>
      <w:b/>
      <w:bCs/>
      <w:sz w:val="28"/>
      <w:szCs w:val="28"/>
    </w:rPr>
  </w:style>
  <w:style w:type="character" w:styleId="1054" w:customStyle="1">
    <w:name w:val="默认段落字体1"/>
    <w:uiPriority w:val="1"/>
    <w:unhideWhenUsed/>
    <w:qFormat/>
  </w:style>
  <w:style w:type="table" w:styleId="1055" w:customStyle="1">
    <w:name w:val="普通表格1"/>
    <w:uiPriority w:val="99"/>
    <w:unhideWhenUsed/>
    <w:qFormat/>
    <w:tblPr>
      <w:tblCellMar>
        <w:left w:w="0" w:type="dxa"/>
        <w:top w:w="0" w:type="dxa"/>
        <w:right w:w="0" w:type="dxa"/>
        <w:bottom w:w="0" w:type="dxa"/>
      </w:tblCellMar>
    </w:tblPr>
  </w:style>
  <w:style w:type="paragraph" w:styleId="1056" w:customStyle="1">
    <w:name w:val="标题 31"/>
    <w:basedOn w:val="845"/>
    <w:next w:val="845"/>
    <w:uiPriority w:val="9"/>
    <w:qFormat/>
    <w:pPr>
      <w:keepLines/>
      <w:keepNext/>
      <w:spacing w:before="260" w:after="260" w:line="416" w:lineRule="auto"/>
      <w:outlineLvl w:val="2"/>
    </w:pPr>
    <w:rPr>
      <w:rFonts w:ascii="Calibri" w:hAnsi="Calibri"/>
      <w:b/>
      <w:bCs/>
      <w:sz w:val="32"/>
      <w:szCs w:val="32"/>
    </w:rPr>
  </w:style>
  <w:style w:type="character" w:styleId="1057" w:customStyle="1">
    <w:name w:val="标题 1 Char"/>
    <w:link w:val="1050"/>
    <w:uiPriority w:val="99"/>
    <w:qFormat/>
    <w:rPr>
      <w:rFonts w:ascii="Calibri" w:hAnsi="Calibri" w:eastAsia="宋体" w:cs="Times New Roman"/>
      <w:b/>
      <w:bCs/>
      <w:sz w:val="44"/>
      <w:szCs w:val="44"/>
    </w:rPr>
  </w:style>
  <w:style w:type="character" w:styleId="1058" w:customStyle="1">
    <w:name w:val="标题 2 Char"/>
    <w:link w:val="1051"/>
    <w:uiPriority w:val="9"/>
    <w:qFormat/>
    <w:rPr>
      <w:rFonts w:ascii="Cambria" w:hAnsi="Cambria" w:eastAsia="宋体" w:cs="Times New Roman"/>
      <w:b/>
      <w:bCs/>
      <w:sz w:val="32"/>
      <w:szCs w:val="32"/>
    </w:rPr>
  </w:style>
  <w:style w:type="character" w:styleId="1059" w:customStyle="1">
    <w:name w:val="标题 4 Char"/>
    <w:link w:val="1053"/>
    <w:uiPriority w:val="0"/>
    <w:qFormat/>
    <w:rPr>
      <w:rFonts w:ascii="Arial" w:hAnsi="Arial" w:eastAsia="黑体" w:cs="Times New Roman"/>
      <w:b/>
      <w:bCs/>
      <w:sz w:val="28"/>
      <w:szCs w:val="28"/>
    </w:rPr>
  </w:style>
  <w:style w:type="paragraph" w:styleId="1060" w:customStyle="1">
    <w:name w:val="文档结构图1"/>
    <w:basedOn w:val="845"/>
    <w:link w:val="1061"/>
    <w:uiPriority w:val="99"/>
    <w:unhideWhenUsed/>
    <w:qFormat/>
    <w:rPr>
      <w:rFonts w:ascii="宋体"/>
      <w:sz w:val="18"/>
      <w:szCs w:val="18"/>
    </w:rPr>
  </w:style>
  <w:style w:type="character" w:styleId="1061" w:customStyle="1">
    <w:name w:val="文档结构图 Char"/>
    <w:link w:val="1060"/>
    <w:uiPriority w:val="99"/>
    <w:semiHidden/>
    <w:qFormat/>
    <w:rPr>
      <w:rFonts w:ascii="宋体"/>
      <w:sz w:val="18"/>
      <w:szCs w:val="18"/>
    </w:rPr>
  </w:style>
  <w:style w:type="paragraph" w:styleId="1062" w:customStyle="1">
    <w:name w:val="引文目录标题1"/>
    <w:basedOn w:val="845"/>
    <w:next w:val="845"/>
    <w:uiPriority w:val="99"/>
    <w:unhideWhenUsed/>
    <w:qFormat/>
    <w:pPr>
      <w:spacing w:before="120"/>
    </w:pPr>
    <w:rPr>
      <w:rFonts w:ascii="Cambria" w:hAnsi="Cambria"/>
      <w:sz w:val="24"/>
    </w:rPr>
  </w:style>
  <w:style w:type="paragraph" w:styleId="1063" w:customStyle="1">
    <w:name w:val="正文文本111"/>
    <w:basedOn w:val="845"/>
    <w:next w:val="845"/>
    <w:uiPriority w:val="0"/>
    <w:qFormat/>
    <w:rPr>
      <w:rFonts w:ascii="楷体_GB2312" w:hAnsi="Arial" w:eastAsia="楷体_GB2312"/>
      <w:sz w:val="28"/>
      <w:szCs w:val="28"/>
    </w:rPr>
  </w:style>
  <w:style w:type="paragraph" w:styleId="1064" w:customStyle="1">
    <w:name w:val="文本块11"/>
    <w:basedOn w:val="845"/>
    <w:uiPriority w:val="99"/>
    <w:unhideWhenUsed/>
    <w:qFormat/>
    <w:pPr>
      <w:ind w:left="567" w:right="454" w:firstLine="498"/>
      <w:jc w:val="left"/>
    </w:pPr>
    <w:rPr>
      <w:rFonts w:ascii="仿宋_GB2312" w:eastAsia="仿宋_GB2312"/>
      <w:sz w:val="30"/>
      <w:szCs w:val="20"/>
    </w:rPr>
  </w:style>
  <w:style w:type="paragraph" w:styleId="1065" w:customStyle="1">
    <w:name w:val="纯文本111"/>
    <w:basedOn w:val="845"/>
    <w:link w:val="1066"/>
    <w:uiPriority w:val="99"/>
    <w:unhideWhenUsed/>
    <w:qFormat/>
    <w:rPr>
      <w:rFonts w:ascii="宋体" w:hAnsi="Courier New"/>
      <w:sz w:val="20"/>
      <w:szCs w:val="20"/>
    </w:rPr>
  </w:style>
  <w:style w:type="character" w:styleId="1066" w:customStyle="1">
    <w:name w:val="纯文本 Char"/>
    <w:link w:val="1065"/>
    <w:uiPriority w:val="99"/>
    <w:qFormat/>
    <w:rPr>
      <w:rFonts w:ascii="宋体" w:hAnsi="Courier New"/>
    </w:rPr>
  </w:style>
  <w:style w:type="paragraph" w:styleId="1067" w:customStyle="1">
    <w:name w:val="日期1"/>
    <w:basedOn w:val="845"/>
    <w:next w:val="845"/>
    <w:link w:val="1068"/>
    <w:uiPriority w:val="0"/>
    <w:qFormat/>
    <w:rPr>
      <w:sz w:val="24"/>
      <w:szCs w:val="20"/>
    </w:rPr>
  </w:style>
  <w:style w:type="character" w:styleId="1068" w:customStyle="1">
    <w:name w:val="日期 Char"/>
    <w:link w:val="1067"/>
    <w:uiPriority w:val="0"/>
    <w:qFormat/>
    <w:rPr>
      <w:rFonts w:ascii="Times New Roman" w:hAnsi="Times New Roman"/>
      <w:sz w:val="24"/>
    </w:rPr>
  </w:style>
  <w:style w:type="paragraph" w:styleId="1069" w:customStyle="1">
    <w:name w:val="正文文本缩进 21"/>
    <w:basedOn w:val="845"/>
    <w:uiPriority w:val="99"/>
    <w:unhideWhenUsed/>
    <w:qFormat/>
    <w:pPr>
      <w:ind w:firstLine="562"/>
      <w:spacing w:line="480" w:lineRule="exact"/>
    </w:pPr>
    <w:rPr>
      <w:b/>
      <w:bCs/>
      <w:sz w:val="28"/>
      <w:szCs w:val="28"/>
    </w:rPr>
  </w:style>
  <w:style w:type="paragraph" w:styleId="1070" w:customStyle="1">
    <w:name w:val="页脚11"/>
    <w:basedOn w:val="845"/>
    <w:link w:val="1071"/>
    <w:uiPriority w:val="99"/>
    <w:unhideWhenUsed/>
    <w:qFormat/>
    <w:pPr>
      <w:jc w:val="left"/>
      <w:tabs>
        <w:tab w:val="center" w:pos="4153" w:leader="none"/>
        <w:tab w:val="right" w:pos="8306" w:leader="none"/>
      </w:tabs>
    </w:pPr>
    <w:rPr>
      <w:sz w:val="18"/>
      <w:szCs w:val="18"/>
    </w:rPr>
  </w:style>
  <w:style w:type="character" w:styleId="1071" w:customStyle="1">
    <w:name w:val="页脚 Char"/>
    <w:link w:val="1070"/>
    <w:uiPriority w:val="99"/>
    <w:qFormat/>
    <w:rPr>
      <w:sz w:val="18"/>
      <w:szCs w:val="18"/>
    </w:rPr>
  </w:style>
  <w:style w:type="paragraph" w:styleId="1072" w:customStyle="1">
    <w:name w:val="页眉11"/>
    <w:basedOn w:val="845"/>
    <w:link w:val="107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73" w:customStyle="1">
    <w:name w:val="页眉 Char"/>
    <w:link w:val="1072"/>
    <w:uiPriority w:val="99"/>
    <w:qFormat/>
    <w:rPr>
      <w:sz w:val="18"/>
      <w:szCs w:val="18"/>
    </w:rPr>
  </w:style>
  <w:style w:type="paragraph" w:styleId="1074" w:customStyle="1">
    <w:name w:val="目录 11"/>
    <w:basedOn w:val="845"/>
    <w:next w:val="845"/>
    <w:uiPriority w:val="39"/>
    <w:unhideWhenUsed/>
    <w:qFormat/>
    <w:rPr>
      <w:rFonts w:ascii="Calibri" w:hAnsi="Calibri"/>
    </w:rPr>
  </w:style>
  <w:style w:type="paragraph" w:styleId="1075" w:customStyle="1">
    <w:name w:val="目录 21"/>
    <w:basedOn w:val="845"/>
    <w:next w:val="845"/>
    <w:uiPriority w:val="39"/>
    <w:unhideWhenUsed/>
    <w:qFormat/>
    <w:pPr>
      <w:ind w:left="420"/>
    </w:pPr>
  </w:style>
  <w:style w:type="paragraph" w:styleId="1076" w:customStyle="1">
    <w:name w:val="普通(网站)1"/>
    <w:basedOn w:val="845"/>
    <w:uiPriority w:val="0"/>
    <w:unhideWhenUsed/>
    <w:qFormat/>
    <w:pPr>
      <w:jc w:val="left"/>
    </w:pPr>
    <w:rPr>
      <w:rFonts w:ascii="Calibri" w:hAnsi="Calibri"/>
      <w:sz w:val="24"/>
      <w:szCs w:val="24"/>
    </w:rPr>
  </w:style>
  <w:style w:type="character" w:styleId="1077" w:customStyle="1">
    <w:name w:val="要点1"/>
    <w:uiPriority w:val="0"/>
    <w:qFormat/>
    <w:rPr>
      <w:b/>
    </w:rPr>
  </w:style>
  <w:style w:type="character" w:styleId="1078" w:customStyle="1">
    <w:name w:val="超链接1"/>
    <w:basedOn w:val="1054"/>
    <w:uiPriority w:val="0"/>
    <w:qFormat/>
    <w:rPr>
      <w:rFonts w:ascii="Times New Roman" w:hAnsi="Times New Roman" w:eastAsia="宋体" w:cs="Times New Roman"/>
      <w:color w:val="333333"/>
      <w:u w:val="none"/>
    </w:rPr>
  </w:style>
  <w:style w:type="paragraph" w:styleId="1079" w:customStyle="1">
    <w:name w:val="BodyText1"/>
    <w:basedOn w:val="845"/>
    <w:uiPriority w:val="0"/>
    <w:qFormat/>
    <w:rPr>
      <w:rFonts w:ascii="楷体_GB2312" w:hAnsi="Arial" w:eastAsia="楷体_GB2312"/>
      <w:sz w:val="28"/>
      <w:szCs w:val="28"/>
    </w:rPr>
  </w:style>
  <w:style w:type="character" w:styleId="1080" w:customStyle="1">
    <w:name w:val="htd0"/>
    <w:uiPriority w:val="0"/>
    <w:qFormat/>
  </w:style>
  <w:style w:type="character" w:styleId="1081" w:customStyle="1">
    <w:name w:val="页脚 Char1"/>
    <w:uiPriority w:val="99"/>
    <w:semiHidden/>
    <w:qFormat/>
    <w:rPr>
      <w:sz w:val="18"/>
      <w:szCs w:val="18"/>
    </w:rPr>
  </w:style>
  <w:style w:type="character" w:styleId="1082" w:customStyle="1">
    <w:name w:val="纯文本 Char1"/>
    <w:uiPriority w:val="99"/>
    <w:semiHidden/>
    <w:qFormat/>
    <w:rPr>
      <w:rFonts w:ascii="宋体" w:hAnsi="Courier New" w:eastAsia="宋体" w:cs="Courier New"/>
      <w:szCs w:val="21"/>
    </w:rPr>
  </w:style>
  <w:style w:type="character" w:styleId="1083" w:customStyle="1">
    <w:name w:val="批注引用1"/>
    <w:link w:val="1084"/>
    <w:uiPriority w:val="0"/>
    <w:qFormat/>
    <w:rPr>
      <w:rFonts w:ascii="Calibri" w:hAnsi="Calibri"/>
      <w:sz w:val="21"/>
      <w:szCs w:val="24"/>
      <w:lang w:val="en-US" w:eastAsia="zh-CN" w:bidi="ar-SA"/>
    </w:rPr>
  </w:style>
  <w:style w:type="paragraph" w:styleId="1084" w:customStyle="1">
    <w:name w:val="正文111"/>
    <w:next w:val="1085"/>
    <w:link w:val="1083"/>
    <w:uiPriority w:val="0"/>
    <w:qFormat/>
    <w:pPr>
      <w:jc w:val="both"/>
      <w:widowControl w:val="off"/>
    </w:pPr>
    <w:rPr>
      <w:rFonts w:ascii="Calibri" w:hAnsi="Calibri" w:eastAsia="宋体" w:cs="Times New Roman"/>
      <w:sz w:val="21"/>
      <w:szCs w:val="24"/>
      <w:lang w:val="en-US" w:eastAsia="zh-CN" w:bidi="ar-SA"/>
    </w:rPr>
  </w:style>
  <w:style w:type="paragraph" w:styleId="1085" w:customStyle="1">
    <w:name w:val="文本块1"/>
    <w:basedOn w:val="1084"/>
    <w:uiPriority w:val="0"/>
    <w:qFormat/>
    <w:pPr>
      <w:ind w:left="567" w:right="454" w:firstLine="498"/>
      <w:jc w:val="left"/>
      <w:widowControl/>
    </w:pPr>
    <w:rPr>
      <w:rFonts w:ascii="仿宋_GB2312" w:eastAsia="仿宋_GB2312"/>
      <w:sz w:val="30"/>
      <w:szCs w:val="20"/>
    </w:rPr>
  </w:style>
  <w:style w:type="character" w:styleId="1086" w:customStyle="1">
    <w:name w:val="页眉 Char1"/>
    <w:uiPriority w:val="99"/>
    <w:semiHidden/>
    <w:qFormat/>
    <w:rPr>
      <w:sz w:val="18"/>
      <w:szCs w:val="18"/>
    </w:rPr>
  </w:style>
  <w:style w:type="character" w:styleId="1087" w:customStyle="1">
    <w:name w:val="日期 Char1"/>
    <w:uiPriority w:val="99"/>
    <w:semiHidden/>
    <w:qFormat/>
  </w:style>
  <w:style w:type="paragraph" w:styleId="1088" w:customStyle="1">
    <w:name w:val="纯文本1"/>
    <w:basedOn w:val="1084"/>
    <w:uiPriority w:val="0"/>
    <w:qFormat/>
    <w:rPr>
      <w:rFonts w:ascii="宋体" w:hAnsi="Courier New"/>
      <w:szCs w:val="21"/>
    </w:rPr>
  </w:style>
  <w:style w:type="paragraph" w:styleId="1089" w:customStyle="1">
    <w:name w:val="Char Char Char Char Char Char Char Char Char"/>
    <w:basedOn w:val="845"/>
    <w:next w:val="1090"/>
    <w:uiPriority w:val="99"/>
    <w:qFormat/>
    <w:pPr>
      <w:ind w:left="360" w:firstLine="5784"/>
    </w:pPr>
  </w:style>
  <w:style w:type="paragraph" w:styleId="1090" w:customStyle="1">
    <w:name w:val="正文文本 21"/>
    <w:basedOn w:val="845"/>
    <w:next w:val="1091"/>
    <w:uiPriority w:val="99"/>
    <w:qFormat/>
    <w:pPr>
      <w:ind w:left="720" w:firstLine="5680"/>
      <w:widowControl/>
    </w:pPr>
  </w:style>
  <w:style w:type="paragraph" w:styleId="1091" w:customStyle="1">
    <w:name w:val="默认段落字体 Para Char Char Char Char Char Char Char"/>
    <w:basedOn w:val="845"/>
    <w:next w:val="1092"/>
    <w:uiPriority w:val="99"/>
    <w:qFormat/>
    <w:pPr>
      <w:ind w:firstLine="200"/>
    </w:pPr>
    <w:rPr>
      <w:rFonts w:ascii="Calibri" w:hAnsi="Calibri" w:cs="Arial"/>
      <w:szCs w:val="24"/>
    </w:rPr>
  </w:style>
  <w:style w:type="paragraph" w:styleId="1092" w:customStyle="1">
    <w:name w:val="样式 首行缩进:  2 字符"/>
    <w:basedOn w:val="845"/>
    <w:next w:val="1093"/>
    <w:uiPriority w:val="99"/>
    <w:qFormat/>
    <w:pPr>
      <w:ind w:left="480" w:firstLine="5856"/>
      <w:spacing w:line="360" w:lineRule="auto"/>
    </w:pPr>
  </w:style>
  <w:style w:type="paragraph" w:styleId="1093" w:customStyle="1">
    <w:name w:val="样式 段后: 0.25 行"/>
    <w:basedOn w:val="845"/>
    <w:next w:val="1094"/>
    <w:uiPriority w:val="99"/>
    <w:qFormat/>
    <w:pPr>
      <w:ind w:left="420" w:firstLine="5796"/>
      <w:spacing w:line="300" w:lineRule="auto"/>
      <w:widowControl/>
    </w:pPr>
  </w:style>
  <w:style w:type="paragraph" w:styleId="1094" w:customStyle="1">
    <w:name w:val="正文 New New New New New New New New New New New New New New"/>
    <w:next w:val="879"/>
    <w:uiPriority w:val="99"/>
    <w:qFormat/>
    <w:pPr>
      <w:ind w:firstLine="2048"/>
      <w:jc w:val="both"/>
      <w:widowControl w:val="off"/>
    </w:pPr>
    <w:rPr>
      <w:rFonts w:ascii="Calibri" w:hAnsi="Calibri" w:eastAsia="宋体" w:cs="Times New Roman"/>
      <w:lang w:val="en-US" w:eastAsia="zh-CN" w:bidi="ar-SA"/>
    </w:rPr>
  </w:style>
  <w:style w:type="paragraph" w:styleId="1095" w:customStyle="1">
    <w:name w:val="页眉1"/>
    <w:basedOn w:val="1084"/>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1097" w:customStyle="1">
    <w:name w:val="Default"/>
    <w:next w:val="845"/>
    <w:uiPriority w:val="0"/>
    <w:qFormat/>
    <w:pPr>
      <w:widowControl w:val="off"/>
    </w:pPr>
    <w:rPr>
      <w:rFonts w:ascii="宋体" w:hAnsi="宋体" w:eastAsia="宋体" w:cs="Times New Roman"/>
      <w:color w:val="000000"/>
      <w:sz w:val="24"/>
      <w:szCs w:val="22"/>
      <w:lang w:val="en-US" w:eastAsia="zh-CN" w:bidi="ar-SA"/>
    </w:rPr>
  </w:style>
  <w:style w:type="paragraph" w:styleId="1098" w:customStyle="1">
    <w:name w:val="Char"/>
    <w:basedOn w:val="845"/>
    <w:uiPriority w:val="0"/>
    <w:qFormat/>
    <w:pPr>
      <w:ind w:firstLine="200"/>
      <w:tabs>
        <w:tab w:val="left" w:pos="360" w:leader="none"/>
      </w:tabs>
    </w:pPr>
    <w:rPr>
      <w:sz w:val="28"/>
      <w:szCs w:val="30"/>
    </w:rPr>
  </w:style>
  <w:style w:type="paragraph" w:styleId="109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页脚1"/>
    <w:basedOn w:val="1084"/>
    <w:uiPriority w:val="0"/>
    <w:qFormat/>
    <w:pPr>
      <w:jc w:val="left"/>
      <w:tabs>
        <w:tab w:val="center" w:pos="4153" w:leader="none"/>
        <w:tab w:val="right" w:pos="8306" w:leader="none"/>
      </w:tabs>
    </w:pPr>
    <w:rPr>
      <w:sz w:val="18"/>
      <w:szCs w:val="18"/>
    </w:rPr>
  </w:style>
  <w:style w:type="paragraph" w:styleId="1103" w:customStyle="1">
    <w:name w:val="正文文本11"/>
    <w:basedOn w:val="845"/>
    <w:next w:val="845"/>
    <w:uiPriority w:val="0"/>
    <w:qFormat/>
    <w:rPr>
      <w:rFonts w:ascii="楷体_GB2312" w:hAnsi="Arial" w:eastAsia="楷体_GB2312"/>
      <w:sz w:val="28"/>
      <w:szCs w:val="28"/>
    </w:rPr>
  </w:style>
  <w:style w:type="paragraph" w:styleId="1104" w:customStyle="1">
    <w:name w:val="正文_2"/>
    <w:uiPriority w:val="0"/>
    <w:qFormat/>
    <w:rPr>
      <w:rFonts w:ascii="Calibri" w:hAnsi="Calibri" w:eastAsia="宋体" w:cs="Times New Roman"/>
      <w:lang w:val="en-US" w:eastAsia="zh-CN" w:bidi="ar-SA"/>
    </w:rPr>
  </w:style>
  <w:style w:type="paragraph" w:styleId="1105" w:customStyle="1">
    <w:name w:val="Normal1"/>
    <w:uiPriority w:val="0"/>
    <w:qFormat/>
    <w:rPr>
      <w:rFonts w:ascii="Calibri" w:hAnsi="Calibri" w:eastAsia="宋体" w:cs="Times New Roman"/>
      <w:sz w:val="24"/>
      <w:szCs w:val="24"/>
      <w:lang w:val="en-US" w:eastAsia="zh-CN" w:bidi="ar-SA"/>
    </w:rPr>
  </w:style>
  <w:style w:type="paragraph" w:styleId="1106" w:customStyle="1">
    <w:name w:val="纯文本11"/>
    <w:basedOn w:val="845"/>
    <w:uiPriority w:val="0"/>
    <w:unhideWhenUsed/>
    <w:qFormat/>
    <w:rPr>
      <w:rFonts w:ascii="宋体" w:hAnsi="Courier New"/>
      <w:sz w:val="20"/>
      <w:szCs w:val="20"/>
    </w:rPr>
  </w:style>
  <w:style w:type="character" w:styleId="1107" w:customStyle="1">
    <w:name w:val="批注文字 Char Char"/>
    <w:uiPriority w:val="99"/>
    <w:qFormat/>
    <w:rPr>
      <w:rFonts w:ascii="宋体" w:hAnsi="Times New Roman" w:eastAsia="宋体"/>
      <w:sz w:val="20"/>
    </w:rPr>
  </w:style>
  <w:style w:type="paragraph" w:styleId="1108" w:customStyle="1">
    <w:name w:val="179"/>
    <w:basedOn w:val="845"/>
    <w:next w:val="845"/>
    <w:uiPriority w:val="0"/>
    <w:qFormat/>
    <w:pPr>
      <w:ind w:firstLine="420"/>
    </w:pPr>
  </w:style>
  <w:style w:type="paragraph" w:styleId="1109" w:customStyle="1">
    <w:name w:val="Table Text"/>
    <w:basedOn w:val="845"/>
    <w:uiPriority w:val="0"/>
    <w:semiHidden/>
    <w:qFormat/>
    <w:rPr>
      <w:rFonts w:ascii="宋体" w:hAnsi="宋体" w:cs="宋体"/>
      <w:szCs w:val="21"/>
      <w:lang w:eastAsia="en-US"/>
    </w:rPr>
  </w:style>
  <w:style w:type="table" w:styleId="1110" w:customStyle="1">
    <w:name w:val="Table Normal"/>
    <w:uiPriority w:val="0"/>
    <w:semiHidden/>
    <w:unhideWhenUsed/>
    <w:qFormat/>
    <w:tblPr>
      <w:tblCellMar>
        <w:left w:w="0" w:type="dxa"/>
        <w:top w:w="0" w:type="dxa"/>
        <w:right w:w="0" w:type="dxa"/>
        <w:bottom w:w="0" w:type="dxa"/>
      </w:tblCellMar>
    </w:tblPr>
  </w:style>
  <w:style w:type="character" w:styleId="1111" w:customStyle="1">
    <w:name w:val="批注文字 字符"/>
    <w:basedOn w:val="855"/>
    <w:link w:val="861"/>
    <w:uiPriority w:val="99"/>
    <w:qFormat/>
    <w:rPr>
      <w:sz w:val="21"/>
      <w:szCs w:val="22"/>
    </w:rPr>
  </w:style>
  <w:style w:type="character" w:styleId="1112" w:customStyle="1">
    <w:name w:val="批注主题 字符"/>
    <w:basedOn w:val="1111"/>
    <w:link w:val="883"/>
    <w:uiPriority w:val="99"/>
    <w:semiHidden/>
    <w:qFormat/>
    <w:rPr>
      <w:b/>
      <w:bCs/>
      <w:sz w:val="21"/>
      <w:szCs w:val="22"/>
    </w:rPr>
  </w:style>
  <w:style w:type="paragraph" w:styleId="1113" w:customStyle="1">
    <w:name w:val="1"/>
    <w:basedOn w:val="845"/>
    <w:next w:val="867"/>
    <w:uiPriority w:val="0"/>
    <w:qFormat/>
    <w:rPr>
      <w:rFonts w:ascii="宋体" w:hAnsi="Courier New"/>
      <w:sz w:val="21"/>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薛梦宇</cp:lastModifiedBy>
  <cp:revision>11</cp:revision>
  <dcterms:created xsi:type="dcterms:W3CDTF">2022-07-21T08:33:00Z</dcterms:created>
  <dcterms:modified xsi:type="dcterms:W3CDTF">2026-07-22T02:13:11Z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1F5B097760DB4C7DB6817CC0E0BE5B9B_13</vt:lpwstr>
  </property>
  <property fmtid="{D5CDD505-2E9C-101B-9397-08002B2CF9AE}" pid="4" name="KSOTemplateDocerSaveRecord">
    <vt:lpwstr>eyJoZGlkIjoiNTlhYWE2Y2M0MjE2ZGRlYWJlNDcyNmIwYzRmNTQ2ZjQiLCJ1c2VySWQiOiIyMzM5MTk5NTMifQ==</vt:lpwstr>
  </property>
</Properties>
</file>