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1606" w:right="0" w:hanging="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项目名称：扬州市蜀岗-瘦西湖风景名胜区管理委员会“雪亮工程”六期建设项目</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项目编号：JSZC-321000-JZCG-G2026-0084</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08</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合同文本……………………………………16</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采购需求……………………………………35</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评标方法与评标标准………………………75</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投标文件格式………………………………83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1005"/>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受扬州市蜀冈-瘦西湖风景名胜区管理委员会的委托，扬州市公共资源交易中心就扬州市蜀岗-瘦西湖风景名胜区管理委员会“雪亮工程”六期建设项目(项目编号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JSZC-321000-JZCG-G2026-0084)项目进行公开招标采购，欢迎符合条件的供应商投标。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扬州市蜀岗-瘦西湖风景名胜区管理委员会“雪亮工程”六期建设</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1.项目编号：JSZC-321000-JZCG-G2026-0084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2.项目名称：扬州市蜀岗-瘦西湖风景名胜区管理委员会“雪亮工程”六期建设项目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18"/>
        <w:tblW w:w="817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63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340万元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210万元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18"/>
        <w:tblW w:w="818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2325"/>
        <w:gridCol w:w="47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6"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340万元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6"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210万元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10万元</w:t>
            </w:r>
            <w:r>
              <w:rPr>
                <w:rFonts w:ascii="宋体" w:hAnsi="宋体" w:eastAsia="宋体" w:cs="宋体"/>
                <w:color w:val="000000"/>
                <w:sz w:val="24"/>
              </w:rPr>
              <w:t xml:space="preserve"> </w:t>
            </w:r>
            <w:r/>
          </w:p>
        </w:tc>
      </w:tr>
    </w:tbl>
    <w:p>
      <w:pPr>
        <w:ind w:firstLine="480"/>
        <w:spacing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szCs w:val="24"/>
        </w:rPr>
        <w:t xml:space="preserve">蜀冈-瘦西湖风景名胜区所辖瘦西湖街道、梅岭街道、城北街道、平山乡。 </w:t>
      </w:r>
      <w:r/>
    </w:p>
    <w:p>
      <w:pPr>
        <w:ind w:firstLine="480"/>
        <w:spacing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（1）本次项目新增社会面监控点</w:t>
      </w: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套高清摄像机、</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套卡口车辆采集单元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81套</w:t>
      </w:r>
      <w:r>
        <w:rPr>
          <w:rFonts w:hint="eastAsia" w:ascii="宋体" w:hAnsi="宋体" w:eastAsia="宋体" w:cs="宋体"/>
          <w:color w:val="000000"/>
          <w:sz w:val="24"/>
          <w:szCs w:val="24"/>
        </w:rPr>
        <w:t xml:space="preserve">人脸识别点位的安装调试。包含设备采购、设备安装、管道敷设、杆件、基础、绿化恢复、电源接驳、网络传输、质保、培训及售后服务等内容。</w:t>
      </w:r>
      <w:r/>
    </w:p>
    <w:p>
      <w:pPr>
        <w:ind w:firstLine="480"/>
        <w:spacing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（2）新增配套扩容中心云存储、监控接入平台、人像大数据平台接入授权软件等相关应用系统的部署调试。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共3个分包，分包一：后端建设及存储扩容，分包二：社会面各类感知点位的建设，分包三：监理服务。3个分包可兼投不可兼中，开标、评标顺序为分包一、分包二、分包三。（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szCs w:val="24"/>
          <w:lang w:val="en-US" w:eastAsia="zh-CN"/>
        </w:rPr>
        <w:t xml:space="preserve">分包一、分包二：</w:t>
      </w:r>
      <w:r>
        <w:rPr>
          <w:rFonts w:hint="eastAsia" w:ascii="宋体" w:hAnsi="宋体" w:cs="宋体"/>
          <w:color w:val="000000"/>
          <w:sz w:val="24"/>
          <w:szCs w:val="24"/>
          <w:highlight w:val="none"/>
          <w:lang w:val="en-US" w:eastAsia="zh-CN"/>
        </w:rPr>
        <w:t xml:space="preserve">自合同签订之日起</w:t>
      </w:r>
      <w:r>
        <w:rPr>
          <w:rFonts w:hint="eastAsia" w:ascii="宋体" w:hAnsi="宋体" w:eastAsia="宋体" w:cs="宋体"/>
          <w:color w:val="000000"/>
          <w:sz w:val="24"/>
          <w:szCs w:val="24"/>
          <w:lang w:val="en-US" w:eastAsia="zh-CN"/>
        </w:rPr>
        <w:t xml:space="preserve">120</w:t>
      </w:r>
      <w:r>
        <w:rPr>
          <w:rFonts w:hint="eastAsia" w:ascii="宋体" w:hAnsi="宋体" w:eastAsia="宋体" w:cs="宋体"/>
          <w:color w:val="000000"/>
          <w:sz w:val="24"/>
          <w:szCs w:val="24"/>
        </w:rPr>
        <w:t xml:space="preserve">天内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分包三：</w:t>
      </w:r>
      <w:r>
        <w:rPr>
          <w:rFonts w:hint="eastAsia" w:ascii="宋体" w:hAnsi="宋体" w:eastAsia="宋体" w:cs="宋体"/>
          <w:color w:val="000000" w:themeColor="text1"/>
          <w:sz w:val="24"/>
          <w:szCs w:val="24"/>
          <w14:textFill>
            <w14:solidFill>
              <w14:schemeClr w14:val="tx1"/>
            </w14:solidFill>
          </w14:textFill>
        </w:rPr>
        <w:t xml:space="preserve">签订监理合同之日起，直到所监理项目终验合格</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w:t>
      </w:r>
      <w:r>
        <w:rPr>
          <w:rFonts w:hint="eastAsia" w:ascii="宋体" w:hAnsi="宋体" w:cs="宋体"/>
          <w:color w:val="000000" w:themeColor="text1"/>
          <w:sz w:val="24"/>
          <w:lang w:val="en-US" w:eastAsia="zh-CN"/>
          <w14:textFill>
            <w14:solidFill>
              <w14:schemeClr w14:val="tx1"/>
            </w14:solidFill>
          </w14:textFill>
        </w:rPr>
        <w:t xml:space="preserve">分包三</w:t>
      </w:r>
      <w:r>
        <w:rPr>
          <w:rFonts w:ascii="宋体" w:hAnsi="宋体" w:cs="宋体"/>
          <w:color w:val="000000" w:themeColor="text1"/>
          <w:sz w:val="24"/>
          <w14:textFill>
            <w14:solidFill>
              <w14:schemeClr w14:val="tx1"/>
            </w14:solidFill>
          </w14:textFill>
        </w:rPr>
        <w:t xml:space="preserve">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818"/>
        <w:tblW w:w="804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2775"/>
        <w:gridCol w:w="41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right="0" w:firstLine="16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16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18"/>
        <w:tblW w:w="800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818"/>
        <w:tblW w:w="7957"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4"/>
        <w:gridCol w:w="6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 </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2026年</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480"/>
        <w:spacing w:line="400" w:lineRule="atLeast"/>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扬州市蜀冈—瘦西湖风景名胜区管理委员会</w:t>
      </w:r>
      <w:r/>
    </w:p>
    <w:p>
      <w:pPr>
        <w:ind w:firstLine="480"/>
        <w:spacing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扬州市邗江区长春路7号</w:t>
      </w:r>
      <w:r/>
    </w:p>
    <w:p>
      <w:pPr>
        <w:ind w:firstLine="480"/>
        <w:spacing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苏恒琦</w:t>
      </w:r>
      <w:r/>
    </w:p>
    <w:p>
      <w:pPr>
        <w:ind w:firstLine="480"/>
        <w:spacing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0514-87985175</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480"/>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1005"/>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none"/>
          <w:lang w:val="en-US" w:eastAsia="zh-CN"/>
        </w:rPr>
        <w:t xml:space="preserve">50</w:t>
      </w:r>
      <w:r>
        <w:rPr>
          <w:rFonts w:ascii="宋体" w:hAnsi="宋体" w:eastAsia="宋体" w:cs="宋体"/>
          <w:color w:val="383838"/>
          <w:sz w:val="24"/>
          <w:highlight w:val="none"/>
        </w:rPr>
        <w:t xml:space="preserve">%的，即投标（响应）报价&lt;全部通过符合性审查供应商投标（响应）报价平均值×</w:t>
      </w:r>
      <w:r>
        <w:rPr>
          <w:rFonts w:hint="eastAsia" w:ascii="宋体" w:hAnsi="宋体" w:cs="宋体"/>
          <w:color w:val="383838"/>
          <w:sz w:val="24"/>
          <w:highlight w:val="none"/>
          <w:lang w:val="en-US" w:eastAsia="zh-CN"/>
        </w:rPr>
        <w:t xml:space="preserve">50</w:t>
      </w:r>
      <w:r>
        <w:rPr>
          <w:rFonts w:ascii="宋体" w:hAnsi="宋体" w:eastAsia="宋体" w:cs="宋体"/>
          <w:color w:val="383838"/>
          <w:sz w:val="24"/>
          <w:highlight w:val="none"/>
        </w:rPr>
        <w:t xml:space="preserve">%</w:t>
      </w:r>
      <w:r>
        <w:rPr>
          <w:rFonts w:ascii="宋体" w:hAnsi="宋体" w:eastAsia="宋体" w:cs="宋体"/>
          <w:color w:val="383838"/>
          <w:sz w:val="24"/>
          <w:highlight w:val="white"/>
        </w:rPr>
        <w:t xml:space="preserve">；</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14:textFill>
            <w14:solidFill>
              <w14:schemeClr w14:val="tx1"/>
            </w14:solidFill>
          </w14:textFill>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w:t>
      </w:r>
      <w:r>
        <w:rPr>
          <w:rFonts w:hint="eastAsia" w:ascii="宋体" w:hAnsi="宋体" w:cs="宋体"/>
          <w:color w:val="000000"/>
          <w:sz w:val="24"/>
          <w:lang w:val="en-US" w:eastAsia="zh-CN"/>
        </w:rPr>
        <w:t xml:space="preserve">分包一</w:t>
      </w:r>
      <w:r>
        <w:rPr>
          <w:rFonts w:ascii="宋体" w:hAnsi="宋体" w:eastAsia="宋体" w:cs="宋体"/>
          <w:color w:val="000000"/>
          <w:sz w:val="24"/>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分包二、分包三</w:t>
      </w:r>
      <w:r>
        <w:rPr>
          <w:rFonts w:ascii="宋体" w:hAnsi="宋体" w:eastAsia="宋体" w:cs="宋体"/>
          <w:color w:val="000000"/>
          <w:sz w:val="24"/>
        </w:rPr>
        <w:t xml:space="preserve">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center"/>
        <w:spacing w:before="0" w:after="0"/>
        <w:pBdr>
          <w:top w:val="none" w:color="000000" w:sz="0" w:space="0"/>
          <w:left w:val="none" w:color="000000" w:sz="0" w:space="0"/>
          <w:bottom w:val="none" w:color="000000" w:sz="0" w:space="0"/>
          <w:right w:val="none" w:color="000000" w:sz="0" w:space="0"/>
        </w:pBdr>
      </w:pPr>
      <w:r>
        <w:rPr>
          <w:rStyle w:val="1059"/>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rPr>
          <w:rFonts w:ascii="宋体" w:hAnsi="宋体" w:eastAsia="宋体" w:cs="宋体"/>
          <w:b/>
          <w:color w:val="000000"/>
          <w:spacing w:val="-2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32"/>
          <w:lang w:val="en-US" w:eastAsia="zh-CN"/>
        </w:rPr>
        <w:t xml:space="preserve">分包一、分包二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8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8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9"/>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rPr>
          <w:rFonts w:hint="eastAsia" w:ascii="宋体" w:hAnsi="宋体" w:eastAsia="宋体" w:cs="宋体"/>
          <w:color w:val="000000"/>
          <w:sz w:val="21"/>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eastAsia="宋体" w:cs="宋体"/>
          <w:color w:val="000000"/>
          <w:sz w:val="21"/>
          <w:u w:val="single"/>
        </w:rPr>
        <w:t xml:space="preserve">合同签订，甲方收到发票</w:t>
      </w:r>
      <w:r>
        <w:rPr>
          <w:rFonts w:hint="eastAsia" w:ascii="宋体" w:hAnsi="宋体" w:eastAsia="宋体" w:cs="宋体"/>
          <w:color w:val="000000"/>
          <w:sz w:val="21"/>
          <w:u w:val="single"/>
          <w:lang w:val="en-US" w:eastAsia="zh-CN"/>
        </w:rPr>
        <w:t xml:space="preserve">后</w:t>
      </w:r>
      <w:r>
        <w:rPr>
          <w:rFonts w:hint="eastAsia" w:ascii="宋体" w:hAnsi="宋体" w:eastAsia="宋体" w:cs="宋体"/>
          <w:color w:val="000000"/>
          <w:sz w:val="21"/>
          <w:u w:val="single"/>
        </w:rPr>
        <w:t xml:space="preserve">10个工作日内支付乙方合同</w:t>
      </w:r>
      <w:r>
        <w:rPr>
          <w:rFonts w:hint="eastAsia" w:ascii="宋体" w:hAnsi="宋体" w:eastAsia="宋体" w:cs="宋体"/>
          <w:color w:val="000000"/>
          <w:sz w:val="21"/>
          <w:u w:val="single"/>
          <w:lang w:val="en-US" w:eastAsia="zh-CN"/>
        </w:rPr>
        <w:t xml:space="preserve">总价</w:t>
      </w:r>
      <w:r>
        <w:rPr>
          <w:rFonts w:hint="eastAsia" w:ascii="宋体" w:hAnsi="宋体" w:eastAsia="宋体" w:cs="宋体"/>
          <w:color w:val="000000"/>
          <w:sz w:val="21"/>
          <w:u w:val="single"/>
        </w:rPr>
        <w:t xml:space="preserve">30%的预付款；项目建设完毕，实现所有数据与市级相关平台级联互通后，甲方收到发票</w:t>
      </w:r>
      <w:r>
        <w:rPr>
          <w:rFonts w:hint="eastAsia" w:ascii="宋体" w:hAnsi="宋体" w:eastAsia="宋体" w:cs="宋体"/>
          <w:color w:val="000000"/>
          <w:sz w:val="21"/>
          <w:u w:val="single"/>
          <w:lang w:val="en-US" w:eastAsia="zh-CN"/>
        </w:rPr>
        <w:t xml:space="preserve">后</w:t>
      </w:r>
      <w:r>
        <w:rPr>
          <w:rFonts w:hint="eastAsia" w:ascii="宋体" w:hAnsi="宋体" w:eastAsia="宋体" w:cs="宋体"/>
          <w:color w:val="000000"/>
          <w:sz w:val="21"/>
          <w:u w:val="single"/>
        </w:rPr>
        <w:t xml:space="preserve">10个工作日内支付乙方合同</w:t>
      </w:r>
      <w:r>
        <w:rPr>
          <w:rFonts w:hint="eastAsia" w:ascii="宋体" w:hAnsi="宋体" w:eastAsia="宋体" w:cs="宋体"/>
          <w:color w:val="000000"/>
          <w:sz w:val="21"/>
          <w:u w:val="single"/>
          <w:lang w:val="en-US" w:eastAsia="zh-CN"/>
        </w:rPr>
        <w:t xml:space="preserve">总价</w:t>
      </w:r>
      <w:r>
        <w:rPr>
          <w:rFonts w:hint="eastAsia" w:ascii="宋体" w:hAnsi="宋体" w:eastAsia="宋体" w:cs="宋体"/>
          <w:color w:val="000000"/>
          <w:sz w:val="21"/>
          <w:u w:val="single"/>
        </w:rPr>
        <w:t xml:space="preserve">的20%；项目试运行三个月，验收合格</w:t>
      </w:r>
      <w:r>
        <w:rPr>
          <w:rFonts w:hint="eastAsia" w:ascii="宋体" w:hAnsi="宋体" w:eastAsia="宋体" w:cs="宋体"/>
          <w:color w:val="000000"/>
          <w:sz w:val="21"/>
          <w:u w:val="single"/>
          <w:lang w:val="en-US" w:eastAsia="zh-CN"/>
        </w:rPr>
        <w:t xml:space="preserve">，</w:t>
      </w:r>
      <w:r>
        <w:rPr>
          <w:rFonts w:hint="eastAsia" w:ascii="宋体" w:hAnsi="宋体" w:eastAsia="宋体" w:cs="宋体"/>
          <w:color w:val="000000"/>
          <w:sz w:val="21"/>
          <w:u w:val="single"/>
        </w:rPr>
        <w:t xml:space="preserve">甲方收到发票</w:t>
      </w:r>
      <w:r>
        <w:rPr>
          <w:rFonts w:hint="eastAsia" w:ascii="宋体" w:hAnsi="宋体" w:eastAsia="宋体" w:cs="宋体"/>
          <w:color w:val="000000"/>
          <w:sz w:val="21"/>
          <w:u w:val="single"/>
          <w:lang w:val="en-US" w:eastAsia="zh-CN"/>
        </w:rPr>
        <w:t xml:space="preserve">后</w:t>
      </w:r>
      <w:r>
        <w:rPr>
          <w:rFonts w:hint="eastAsia" w:ascii="宋体" w:hAnsi="宋体" w:eastAsia="宋体" w:cs="宋体"/>
          <w:color w:val="000000"/>
          <w:sz w:val="21"/>
          <w:u w:val="single"/>
        </w:rPr>
        <w:t xml:space="preserve">10</w:t>
      </w:r>
      <w:r>
        <w:rPr>
          <w:rFonts w:hint="eastAsia" w:ascii="宋体" w:hAnsi="宋体" w:eastAsia="宋体" w:cs="宋体"/>
          <w:color w:val="000000"/>
          <w:sz w:val="21"/>
          <w:u w:val="single"/>
          <w:lang w:val="en-US" w:eastAsia="zh-CN"/>
        </w:rPr>
        <w:t xml:space="preserve">个工作</w:t>
      </w:r>
      <w:r>
        <w:rPr>
          <w:rFonts w:hint="eastAsia" w:ascii="宋体" w:hAnsi="宋体" w:eastAsia="宋体" w:cs="宋体"/>
          <w:color w:val="000000"/>
          <w:sz w:val="21"/>
          <w:u w:val="single"/>
        </w:rPr>
        <w:t xml:space="preserve">日内支付</w:t>
      </w:r>
      <w:r>
        <w:rPr>
          <w:rFonts w:hint="eastAsia" w:ascii="宋体" w:hAnsi="宋体" w:eastAsia="宋体" w:cs="宋体"/>
          <w:color w:val="000000"/>
          <w:sz w:val="21"/>
          <w:u w:val="single"/>
          <w:lang w:val="en-US" w:eastAsia="zh-CN"/>
        </w:rPr>
        <w:t xml:space="preserve">余款</w:t>
      </w:r>
      <w:r>
        <w:rPr>
          <w:rFonts w:hint="eastAsia" w:ascii="宋体" w:hAnsi="宋体" w:eastAsia="宋体" w:cs="宋体"/>
          <w:color w:val="000000"/>
          <w:sz w:val="21"/>
          <w:u w:val="single"/>
        </w:rPr>
        <w:t xml:space="preserve"> 。</w:t>
      </w:r>
      <w:r>
        <w:rPr>
          <w:rFonts w:ascii="宋体" w:hAnsi="宋体" w:eastAsia="宋体" w:cs="宋体"/>
          <w:color w:val="000000"/>
          <w:sz w:val="21"/>
        </w:rPr>
        <w:t xml:space="preserve">其中涉及预付款的：</w:t>
      </w:r>
      <w:r>
        <w:rPr>
          <w:rFonts w:hint="eastAsia" w:ascii="宋体" w:hAnsi="宋体" w:eastAsia="宋体" w:cs="宋体"/>
          <w:color w:val="000000"/>
          <w:sz w:val="21"/>
          <w:u w:val="single"/>
        </w:rPr>
        <w:t xml:space="preserve">合同签订，甲方收到发票</w:t>
      </w:r>
      <w:r>
        <w:rPr>
          <w:rFonts w:hint="eastAsia" w:ascii="宋体" w:hAnsi="宋体" w:eastAsia="宋体" w:cs="宋体"/>
          <w:color w:val="000000"/>
          <w:sz w:val="21"/>
          <w:u w:val="single"/>
          <w:lang w:val="en-US" w:eastAsia="zh-CN"/>
        </w:rPr>
        <w:t xml:space="preserve">后</w:t>
      </w:r>
      <w:r>
        <w:rPr>
          <w:rFonts w:hint="eastAsia" w:ascii="宋体" w:hAnsi="宋体" w:eastAsia="宋体" w:cs="宋体"/>
          <w:color w:val="000000"/>
          <w:sz w:val="21"/>
          <w:u w:val="single"/>
        </w:rPr>
        <w:t xml:space="preserve">10个工作日内支付乙方合同</w:t>
      </w:r>
      <w:r>
        <w:rPr>
          <w:rFonts w:hint="eastAsia" w:ascii="宋体" w:hAnsi="宋体" w:eastAsia="宋体" w:cs="宋体"/>
          <w:color w:val="000000"/>
          <w:sz w:val="21"/>
          <w:u w:val="single"/>
          <w:lang w:val="en-US" w:eastAsia="zh-CN"/>
        </w:rPr>
        <w:t xml:space="preserve">总价</w:t>
      </w:r>
      <w:r>
        <w:rPr>
          <w:rFonts w:hint="eastAsia" w:ascii="宋体" w:hAnsi="宋体" w:eastAsia="宋体" w:cs="宋体"/>
          <w:color w:val="000000"/>
          <w:sz w:val="21"/>
          <w:u w:val="single"/>
        </w:rPr>
        <w:t xml:space="preserve">30%的预付款</w:t>
      </w:r>
      <w:r>
        <w:rPr>
          <w:rFonts w:hint="eastAsia" w:ascii="宋体" w:hAnsi="宋体" w:eastAsia="宋体" w:cs="宋体"/>
          <w:color w:val="000000"/>
          <w:sz w:val="21"/>
          <w:u w:val="single"/>
          <w:lang w:eastAsia="zh-CN"/>
        </w:rPr>
        <w:t xml:space="preserve">。</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hint="eastAsia" w:ascii="宋体" w:hAnsi="宋体" w:eastAsia="宋体" w:cs="宋体"/>
          <w:color w:val="000000"/>
          <w:spacing w:val="1"/>
          <w:sz w:val="24"/>
          <w:szCs w:val="24"/>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8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818"/>
        <w:tblW w:w="875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7"/>
        <w:gridCol w:w="1843"/>
        <w:gridCol w:w="2989"/>
        <w:gridCol w:w="2132"/>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7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84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1"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82"/>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82"/>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4"/>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82"/>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818"/>
        <w:tblW w:w="836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2111"/>
        <w:gridCol w:w="4500"/>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75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32"/>
          <w:lang w:val="en-US" w:eastAsia="zh-CN"/>
        </w:rPr>
        <w:t xml:space="preserve">分包三</w:t>
      </w:r>
      <w:r>
        <w:rPr>
          <w:rFonts w:ascii="楷体" w:hAnsi="楷体" w:eastAsia="楷体" w:cs="楷体"/>
          <w:b/>
          <w:color w:val="000000"/>
          <w:spacing w:val="-20"/>
          <w:sz w:val="48"/>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w:t>
      </w:r>
      <w:r>
        <w:rPr>
          <w:rFonts w:ascii="宋体" w:hAnsi="宋体" w:eastAsia="宋体" w:cs="宋体"/>
          <w:color w:val="000000" w:themeColor="text1"/>
          <w:sz w:val="24"/>
          <w14:textFill>
            <w14:solidFill>
              <w14:schemeClr w14:val="tx1"/>
            </w14:solidFill>
          </w14:textFill>
        </w:rPr>
        <w:t xml:space="preserve">币___</w:t>
      </w:r>
      <w:r>
        <w:rPr>
          <w:rFonts w:ascii="宋体" w:hAnsi="宋体" w:eastAsia="宋体" w:cs="宋体"/>
          <w:color w:val="000000" w:themeColor="text1"/>
          <w:sz w:val="24"/>
          <w:u w:val="single"/>
          <w14:textFill>
            <w14:solidFill>
              <w14:schemeClr w14:val="tx1"/>
            </w14:solidFill>
          </w14:textFill>
        </w:rPr>
        <w:t xml:space="preserve">零</w:t>
      </w:r>
      <w:r>
        <w:rPr>
          <w:rFonts w:ascii="宋体" w:hAnsi="宋体" w:eastAsia="宋体" w:cs="宋体"/>
          <w:color w:val="000000" w:themeColor="text1"/>
          <w:sz w:val="24"/>
          <w14:textFill>
            <w14:solidFill>
              <w14:schemeClr w14:val="tx1"/>
            </w14:solidFill>
          </w14:textFill>
        </w:rPr>
        <w:t xml:space="preserve">______元作为本合同的履约保证金。（不得超过合同金额的10%）</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6.2合同履行结束后，甲方应及时退还交纳的履约保证金。</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6.2.1履约保证金退还方式：无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6.2.2履约保证金退还时间：无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6.2.3履约保证金退还条件：无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6.2.4履约保证金不予退还的情形：无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480"/>
        <w:jc w:val="both"/>
        <w:spacing w:before="145" w:after="145"/>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合同签订，甲方收到发票</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rPr>
        <w:t xml:space="preserve">10个工作日内支付乙方合同</w:t>
      </w: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rPr>
        <w:t xml:space="preserve">30%的预付款；项目建设完毕，实现所有数据与市级相关平台级联互通后，甲方收到发票</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rPr>
        <w:t xml:space="preserve">10个工作日内支付乙方合同</w:t>
      </w: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rPr>
        <w:t xml:space="preserve">的20%；项目试运行三个月，验收合格，甲方收到发票</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rPr>
        <w:t xml:space="preserve">10个工作日内支付余款。</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18"/>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r>
      <w:r>
        <w:rPr>
          <w:rFonts w:ascii="黑体" w:hAnsi="黑体" w:eastAsia="黑体" w:cs="黑体"/>
          <w:color w:val="000000"/>
          <w:sz w:val="44"/>
          <w:highlight w:val="none"/>
        </w:rPr>
      </w:r>
    </w:p>
    <w:p>
      <w:pPr>
        <w:ind w:left="0" w:right="0" w:firstLine="0"/>
        <w:jc w:val="center"/>
        <w:spacing w:before="120" w:after="12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r>
      <w:r>
        <w:rPr>
          <w:rFonts w:ascii="黑体" w:hAnsi="黑体" w:eastAsia="黑体" w:cs="黑体"/>
          <w:color w:val="000000"/>
          <w:sz w:val="44"/>
          <w:highlight w:val="none"/>
        </w:rPr>
      </w:r>
    </w:p>
    <w:p>
      <w:pPr>
        <w:ind w:left="0" w:right="0" w:firstLine="0"/>
        <w:jc w:val="center"/>
        <w:spacing w:before="120" w:after="12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005"/>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w:t>
      </w:r>
      <w:r>
        <w:rPr>
          <w:rFonts w:hint="eastAsia" w:ascii="宋体" w:hAnsi="宋体" w:cs="宋体"/>
          <w:b/>
          <w:color w:val="000000"/>
          <w:sz w:val="24"/>
          <w:lang w:val="en-US" w:eastAsia="zh-CN"/>
        </w:rPr>
        <w:t xml:space="preserve">分包一、分包二：</w:t>
      </w:r>
      <w:r>
        <w:rPr>
          <w:rFonts w:ascii="宋体" w:hAnsi="宋体" w:eastAsia="宋体" w:cs="宋体"/>
          <w:b/>
          <w:color w:val="000000"/>
          <w:sz w:val="24"/>
        </w:rPr>
        <w:t xml:space="preserve">货物类项目</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分包三：服务类项目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818"/>
        <w:tblW w:w="82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386"/>
        <w:gridCol w:w="36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14:textFill>
                  <w14:solidFill>
                    <w14:schemeClr w14:val="tx1"/>
                  </w14:solidFill>
                </w14:textFill>
              </w:rPr>
              <w:t xml:space="preserve">后端建设及存储扩容</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themeColor="text1"/>
                <w:sz w:val="24"/>
                <w:szCs w:val="24"/>
                <w14:textFill>
                  <w14:solidFill>
                    <w14:schemeClr w14:val="tx1"/>
                  </w14:solidFill>
                </w14:textFill>
              </w:rPr>
              <w:t xml:space="preserve">社会面各类感知点位的建设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工业</w:t>
            </w:r>
            <w:r>
              <w:rPr>
                <w:rFonts w:ascii="宋体" w:hAnsi="宋体" w:eastAsia="宋体" w:cs="宋体"/>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14:textFill>
                  <w14:solidFill>
                    <w14:schemeClr w14:val="tx1"/>
                  </w14:solidFill>
                </w14:textFill>
              </w:rPr>
              <w:t xml:space="preserve">监理服务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65" w:type="dxa"/>
            <w:vAlign w:val="center"/>
            <w:textDirection w:val="lrTb"/>
            <w:noWrap w:val="false"/>
          </w:tcPr>
          <w:p>
            <w:pPr>
              <w:jc w:val="center"/>
              <w:spacing w:before="0" w:after="0" w:line="57" w:lineRule="atLeast"/>
            </w:pPr>
            <w:r>
              <w:rPr>
                <w:rFonts w:hint="eastAsia" w:ascii="宋体" w:hAnsi="宋体" w:eastAsia="宋体" w:cs="宋体"/>
                <w:color w:val="000000"/>
                <w:sz w:val="24"/>
                <w:szCs w:val="24"/>
              </w:rPr>
              <w:t xml:space="preserve">软件和信息技术服务业</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818"/>
        <w:tblW w:w="747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9"/>
        <w:gridCol w:w="5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6"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6"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存储节点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6"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双目人脸抓拍摄像机</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w:t>
      </w:r>
      <w:r>
        <w:rPr>
          <w:rFonts w:hint="eastAsia" w:ascii="宋体" w:hAnsi="宋体" w:eastAsia="宋体" w:cs="宋体"/>
          <w:bCs/>
          <w:color w:val="auto"/>
          <w:sz w:val="24"/>
          <w:szCs w:val="24"/>
          <w:highlight w:val="none"/>
          <w:lang w:val="en-US" w:eastAsia="zh-CN"/>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firstLine="480"/>
        <w:rPr>
          <w:rFonts w:hint="eastAsia"/>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lang w:eastAsia="zh-CN"/>
        </w:rPr>
        <w:t xml:space="preserve">、</w:t>
      </w:r>
      <w:r>
        <w:rPr>
          <w:rFonts w:hint="eastAsia"/>
          <w:b w:val="0"/>
          <w:bCs w:val="0"/>
          <w:color w:val="000000"/>
          <w:sz w:val="24"/>
          <w:szCs w:val="24"/>
        </w:rPr>
        <w:t xml:space="preserve">采购需求中</w:t>
      </w:r>
      <w:r>
        <w:rPr>
          <w:rFonts w:hint="eastAsia"/>
          <w:b w:val="0"/>
          <w:bCs w:val="0"/>
          <w:i/>
          <w:color w:val="000000"/>
          <w:sz w:val="24"/>
          <w:szCs w:val="24"/>
          <w:u w:val="single"/>
        </w:rPr>
        <w:t xml:space="preserve">斜体且有下划线部分</w:t>
      </w:r>
      <w:r>
        <w:rPr>
          <w:rFonts w:hint="eastAsia"/>
          <w:b w:val="0"/>
          <w:bCs w:val="0"/>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b w:val="0"/>
          <w:bCs w:val="0"/>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rFonts w:hint="eastAsia"/>
          <w:bCs/>
          <w:iCs/>
          <w:sz w:val="24"/>
          <w:szCs w:val="24"/>
          <w:lang w:val="en-US" w:eastAsia="zh-CN"/>
        </w:rPr>
        <w:t xml:space="preserve">2</w:t>
      </w:r>
      <w:r>
        <w:rPr>
          <w:rFonts w:hint="eastAsia"/>
          <w:bCs/>
          <w:iCs/>
          <w:sz w:val="24"/>
          <w:szCs w:val="24"/>
          <w:lang w:eastAsia="zh-CN"/>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rFonts w:hint="eastAsia"/>
          <w:bCs/>
          <w:iCs/>
          <w:sz w:val="24"/>
          <w:szCs w:val="24"/>
          <w:lang w:val="en-US" w:eastAsia="zh-CN"/>
        </w:rPr>
        <w:t xml:space="preserve">3</w:t>
      </w:r>
      <w:r>
        <w:rPr>
          <w:rFonts w:hint="eastAsia"/>
          <w:bCs/>
          <w:iCs/>
          <w:sz w:val="24"/>
          <w:szCs w:val="24"/>
          <w:lang w:eastAsia="zh-CN"/>
        </w:rPr>
        <w:t xml:space="preserve">、</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 </w:t>
      </w:r>
      <w:r>
        <w:rPr>
          <w:rFonts w:hint="eastAsia" w:ascii="宋体" w:hAnsi="宋体" w:eastAsia="宋体" w:cs="宋体"/>
          <w:b/>
          <w:color w:val="000000"/>
          <w:sz w:val="24"/>
          <w:szCs w:val="24"/>
          <w:lang w:val="en-US" w:eastAsia="zh-CN"/>
        </w:rPr>
        <w:t xml:space="preserve">分</w:t>
      </w:r>
      <w:r>
        <w:rPr>
          <w:rFonts w:hint="eastAsia" w:ascii="宋体" w:hAnsi="宋体" w:eastAsia="宋体" w:cs="宋体"/>
          <w:b/>
          <w:color w:val="000000"/>
          <w:sz w:val="24"/>
          <w:szCs w:val="24"/>
        </w:rPr>
        <w:t xml:space="preserve">包一：技术及服务要求</w:t>
      </w:r>
      <w:r/>
    </w:p>
    <w:p>
      <w:pPr>
        <w:pStyle w:val="866"/>
        <w:numPr>
          <w:ilvl w:val="0"/>
          <w:numId w:val="15"/>
        </w:numPr>
        <w:contextualSpacing w:val="0"/>
        <w:rPr>
          <w:rFonts w:hint="eastAsia" w:ascii="宋体" w:hAnsi="宋体" w:eastAsia="宋体" w:cs="宋体"/>
          <w:b/>
          <w:color w:val="000000" w:themeColor="text1"/>
          <w:sz w:val="24"/>
          <w:szCs w:val="24"/>
          <w14:textFill>
            <w14:solidFill>
              <w14:schemeClr w14:val="tx1"/>
            </w14:solidFill>
          </w14:textFill>
        </w:rPr>
        <w:outlineLvl w:val="3"/>
      </w:pPr>
      <w:r>
        <w:rPr>
          <w:rFonts w:hint="eastAsia" w:ascii="宋体" w:hAnsi="宋体" w:eastAsia="宋体" w:cs="宋体"/>
          <w:b/>
          <w:color w:val="000000" w:themeColor="text1"/>
          <w:sz w:val="24"/>
          <w:szCs w:val="24"/>
          <w14:textFill>
            <w14:solidFill>
              <w14:schemeClr w14:val="tx1"/>
            </w14:solidFill>
          </w14:textFill>
        </w:rPr>
        <w:t xml:space="preserve">建设内容及要求</w:t>
      </w:r>
      <w:r/>
    </w:p>
    <w:p>
      <w:pPr>
        <w:pStyle w:val="819"/>
        <w:rPr>
          <w:rFonts w:hint="eastAsia" w:ascii="宋体" w:hAnsi="宋体" w:eastAsia="宋体" w:cs="宋体"/>
          <w:b/>
          <w:sz w:val="24"/>
          <w:szCs w:val="24"/>
        </w:rPr>
      </w:pPr>
      <w:r>
        <w:rPr>
          <w:rFonts w:hint="eastAsia" w:ascii="宋体" w:hAnsi="宋体" w:eastAsia="宋体" w:cs="宋体"/>
          <w:b/>
          <w:sz w:val="24"/>
          <w:szCs w:val="24"/>
        </w:rPr>
      </w:r>
      <w:r/>
    </w:p>
    <w:p>
      <w:pPr>
        <w:ind w:firstLine="44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景区公安局已建成视频联网平台，本次项目由于前端设备增加，相应对平台的接入服务算力进行升级，并且进行相应的存储扩容。</w:t>
      </w:r>
      <w:r/>
    </w:p>
    <w:p>
      <w:pPr>
        <w:pStyle w:val="866"/>
        <w:numPr>
          <w:ilvl w:val="1"/>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4"/>
      </w:pPr>
      <w:r>
        <w:rPr>
          <w:rFonts w:hint="eastAsia" w:ascii="宋体" w:hAnsi="宋体" w:eastAsia="宋体" w:cs="宋体"/>
          <w:b/>
          <w:color w:val="000000" w:themeColor="text1"/>
          <w:sz w:val="24"/>
          <w:szCs w:val="24"/>
          <w14:textFill>
            <w14:solidFill>
              <w14:schemeClr w14:val="tx1"/>
            </w14:solidFill>
          </w14:textFill>
        </w:rPr>
        <w:t xml:space="preserve">系统设计的总体要求</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1、系统建设充分考虑采用先进而成熟的技术（如数据库技术、数据融合技术、网络技术、多媒体技术等）、先进的体系结构、先进的软硬件选型，既保证实用成熟，又能够适未来的业务发展和技术的更新要求。</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2、系统具备良好的可扩充性、可移植性和兼容性，充分考虑到系统的发展因素，系统设计方案充分利用现有的信息化建设成果和路口资源，并预留扩展接口。</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3、系统采用开放性设计，可配置多种数据传输接口，对外提供标准的接口，以满足更多用户共享信息和其他系统协同工作的要求。</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4、系统功能全面、完善、安全、稳定且可靠。确保系统设备和信息传输链路24小时不间断用。不受天气变化的影响（包括台风、暴雨和打雷等）。</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5、有抵抗恶性攻击、抵抗任何侵入系统的企图和抵抗企图从系统中获取敏感数据和信息的能力，具有一定的防暴力破坏和防窃取信息的能力。保证数据和照片的安全性、保密性、完整性、一致性和相容性。</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6、系统易于掌握，人机界面友好，容易操作、管理和维护，具备完善的网管功能,有效实现系统巡检及发现故障。</w:t>
      </w:r>
      <w:r/>
    </w:p>
    <w:p>
      <w:pPr>
        <w:ind w:firstLine="495"/>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设计标准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江苏省公安厅《关于加强全省社会治安监控系统联网调度和资源整合建设工作的规划指导意见》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江苏省公安厅《社会治安监控系统布建指导意见》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《信息技术 软件生存周期过程》（GB/T 8566-2007）</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《安全防范工程程序与要求》 (GA/T75-94)</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《电子政务标准化指南 第3部分:网络建设》（GB/T 30850.3-2014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2423.1  电工电子产品环境试验 第2部分：试验方法 试验A：低温</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2423.2  电工电子产品环境试验 第2部分：试验方法 试验B：高温</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2423.3  电工电子产品环境试验 第2部分：试验方法 试验Cab：恒定湿热试验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2423.5  电工电子产品环境试验 第2部分：试验方法 试验Ea和导则：冲击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2423.10 电工电子产品环境试验 第2部分：试验方法 试验Fc：振动（正弦）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17626.2 电磁兼容 试验和测量技术 静电放电抗扰度试验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17626.4 电磁兼容 试验和测量技术 电快速瞬变脉冲群抗扰度试验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17626.5 电磁兼容 试验和测量技术 浪涌（冲击）抗扰度试验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GB/T 17626.11电磁兼容 试验和测量技术 电压暂降、短时中断和电压变化的抗扰度试验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安全设备必须符合“公安部300系列安全标准”的要求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本次设计满足所有硬件产品均符合国产化要求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上述规范以外，遵循国家现行规范。</w:t>
      </w:r>
      <w:r/>
    </w:p>
    <w:p>
      <w:pPr>
        <w:pStyle w:val="866"/>
        <w:numPr>
          <w:ilvl w:val="1"/>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4"/>
      </w:pPr>
      <w:r>
        <w:rPr>
          <w:rFonts w:hint="eastAsia" w:ascii="宋体" w:hAnsi="宋体" w:eastAsia="宋体" w:cs="宋体"/>
          <w:b/>
          <w:color w:val="000000" w:themeColor="text1"/>
          <w:sz w:val="24"/>
          <w:szCs w:val="24"/>
          <w14:textFill>
            <w14:solidFill>
              <w14:schemeClr w14:val="tx1"/>
            </w14:solidFill>
          </w14:textFill>
        </w:rPr>
        <w:t xml:space="preserve">建设原则</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建设时应遵循技术先进、功能齐全、性能稳定、节约成本的原则。综合考虑后期维护及操作等因素，并为今后的发展、扩建、改造等留有扩充的余地。本系统建设内容是系统的、完整的、全面的；方案具有科学性、合理性、可操作性。其具备以下原则：</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兼容性：可无缝接入景区公安分局现有管理系统，硬件设备和软件综合平台必须可接入现有或后续安装的产品。</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安全性：前端对系统采取必要的安全保护措施，防止病毒感染、黑客攻击、非法访问，防雷击、过载、断电和人为破坏等，具有高度的安全性和保密性。</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规模性：控制协议、编解码协议、接口协议、视频文件格式、传输协议等应符合相关国家标准、行业标准和技术规范。</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可靠性：系统基于可靠的网络通信技术，能确保系统级别的高稳定性和可靠性，满足 7×24 小时、全年 365 天的全天候长期稳定运行。</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可管理性：系统的所有用户具有权限设置管理功能，各用户在其权限范围内查看相应视频。视频接入系统集中于监控中心统一控制管理，实现对所有远端设备的控制和设置。保证系统的高效、有序、可靠的发挥其应用管理职能。</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r/>
    </w:p>
    <w:p>
      <w:pPr>
        <w:pStyle w:val="866"/>
        <w:numPr>
          <w:ilvl w:val="1"/>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4"/>
      </w:pPr>
      <w:r>
        <w:rPr>
          <w:rFonts w:hint="eastAsia" w:ascii="宋体" w:hAnsi="宋体" w:eastAsia="宋体" w:cs="宋体"/>
          <w:b/>
          <w:color w:val="000000" w:themeColor="text1"/>
          <w:sz w:val="24"/>
          <w:szCs w:val="24"/>
          <w14:textFill>
            <w14:solidFill>
              <w14:schemeClr w14:val="tx1"/>
            </w14:solidFill>
          </w14:textFill>
        </w:rPr>
        <w:t xml:space="preserve">项目实施要求</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根据要求提供项目的组织保证措施、</w:t>
      </w:r>
      <w:r>
        <w:rPr>
          <w:rFonts w:hint="eastAsia" w:ascii="宋体" w:hAnsi="宋体" w:cs="宋体"/>
          <w:color w:val="000000"/>
          <w:sz w:val="24"/>
          <w:szCs w:val="24"/>
          <w:highlight w:val="none"/>
          <w:lang w:val="en-US" w:eastAsia="zh-CN"/>
        </w:rPr>
        <w:t xml:space="preserve">进度</w:t>
      </w:r>
      <w:r>
        <w:rPr>
          <w:rFonts w:hint="eastAsia" w:ascii="宋体" w:hAnsi="宋体" w:eastAsia="宋体" w:cs="宋体"/>
          <w:color w:val="000000"/>
          <w:sz w:val="24"/>
          <w:szCs w:val="24"/>
        </w:rPr>
        <w:t xml:space="preserve">保证措施、质量保证措施、安全保证措施等方案。负责对项目建设进行总体管理，完成本项目所有设备安装调试、总体联调工作。负责安排专人负责对相关设备、点位等信息按照省厅、市公安局“一机一档”建设要求进行配置、联调、对接、系统录入等工作。该项目要求与景区公安现有监控平台系统无缝对接，实现资源统一管理、应用整合共享。中标人提供的货物安装前必须经采购人确认系统对接无问题后方可进场，如因对接问题造成的一切误工损失均由中标人负责。</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(1)组织保证措施</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投标人应编制针对性组织保证措施方案，制定契合本项目实施需求的人员投入方案。搭建完整清晰的项目组织架构，投入项目团队人员至少配置项目经理、项目技术负责人，根据项目实施需要配套配置专业实施、质量管控、安全管理、资料协调等相关岗位人员。全面明确所有进场人员岗位职责、工作范围、履职标准；建立人员在岗管控、人员变更审批机制，未经</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人书面同意，不得随意调换项目核心管理人员，同步落实后备人员储备方案。建立健全内部管理、沟通协调、过程管控相关制度，统筹调配各类资源，强化项目全过程统筹管理，及时协调解决项目实施过程中的各类问题，全方位保障项目高效、有序、按期、保质顺利实施。</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实施团队要求：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1.拟投入项目</w:t>
      </w:r>
      <w:r>
        <w:rPr>
          <w:rFonts w:hint="eastAsia" w:ascii="宋体" w:hAnsi="宋体" w:eastAsia="宋体" w:cs="宋体"/>
          <w:color w:val="000000" w:themeColor="text1"/>
          <w:sz w:val="24"/>
          <w:szCs w:val="24"/>
          <w:lang w:val="en-US" w:eastAsia="zh-CN"/>
          <w14:textFill>
            <w14:solidFill>
              <w14:schemeClr w14:val="tx1"/>
            </w14:solidFill>
          </w14:textFill>
        </w:rPr>
        <w:t xml:space="preserve">负责人</w:t>
      </w:r>
      <w:r>
        <w:rPr>
          <w:rFonts w:hint="eastAsia" w:ascii="宋体" w:hAnsi="宋体" w:eastAsia="宋体" w:cs="宋体"/>
          <w:color w:val="000000" w:themeColor="text1"/>
          <w:sz w:val="24"/>
          <w:szCs w:val="24"/>
          <w14:textFill>
            <w14:solidFill>
              <w14:schemeClr w14:val="tx1"/>
            </w14:solidFill>
          </w14:textFill>
        </w:rPr>
        <w:t xml:space="preserve">1名（具有信息系统项目管理师（高级）、IT服务项目经理、系统规划与管理师（高级））。</w:t>
      </w:r>
      <w:r/>
    </w:p>
    <w:p>
      <w:pPr>
        <w:numPr>
          <w:ilvl w:val="0"/>
          <w:numId w:val="0"/>
        </w:numPr>
        <w:ind w:firstLine="48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拟投入项目技术负责人1名（具有信息系统项目管理师（高级）、信息安全工程师）</w:t>
      </w:r>
      <w:r/>
    </w:p>
    <w:p>
      <w:pPr>
        <w:numPr>
          <w:ilvl w:val="0"/>
          <w:numId w:val="0"/>
        </w:numPr>
        <w:ind w:firstLine="240"/>
        <w:spacing w:line="36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进度保证要求</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本项目要求工期时间为</w:t>
      </w:r>
      <w:r>
        <w:rPr>
          <w:rFonts w:hint="eastAsia" w:ascii="宋体" w:hAnsi="宋体" w:eastAsia="宋体" w:cs="宋体"/>
          <w:color w:val="000000"/>
          <w:sz w:val="24"/>
          <w:szCs w:val="24"/>
          <w:highlight w:val="none"/>
          <w:lang w:val="en-US" w:eastAsia="zh-CN"/>
        </w:rPr>
        <w:t xml:space="preserve">120天</w:t>
      </w:r>
      <w:r>
        <w:rPr>
          <w:rFonts w:hint="eastAsia" w:ascii="宋体" w:hAnsi="宋体" w:eastAsia="宋体" w:cs="宋体"/>
          <w:color w:val="000000"/>
          <w:sz w:val="24"/>
          <w:szCs w:val="24"/>
          <w:highlight w:val="none"/>
        </w:rPr>
        <w:t xml:space="preserve">内，投标人应编制工期保证措施方案，方案工期要求不得低于招标文件的规定。</w:t>
      </w:r>
      <w:r/>
    </w:p>
    <w:p>
      <w:pPr>
        <w:ind w:firstLine="21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）质量保证</w:t>
      </w:r>
      <w:r>
        <w:rPr>
          <w:rFonts w:hint="eastAsia" w:ascii="宋体" w:hAnsi="宋体" w:cs="宋体"/>
          <w:color w:val="000000"/>
          <w:sz w:val="24"/>
          <w:szCs w:val="24"/>
          <w:highlight w:val="none"/>
          <w:lang w:val="en-US" w:eastAsia="zh-CN"/>
        </w:rPr>
        <w:t xml:space="preserve">要求</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编制质量保证措施方案，提出质量管理目标（建立完善的质量管理体系、设立专职质量管理部门和人员、制定质量管理规章制度）、质量保证措施、质量控制点（材料质量控制要求、施工过程质量控制要求、质量检验和验收要求）、质量问题处理要求等。</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设备及材料必须按照采购人对设备、材料等的功能要求进行，所购产品须提供正规发票或来源渠道证明、产品制造商名单和联系方式、保修卡等。供货为制造商原装出厂的、全新的、包装完好的产品，各项技术指标完全符合国家有关质量检测、环保标准及产品出厂标准。如发现使用假冒伪劣产品、三无产品，将来货封存，并交由质量监督部门处理，按其处罚意见，处以罚款。</w:t>
      </w:r>
      <w:r/>
    </w:p>
    <w:p>
      <w:pPr>
        <w:rPr>
          <w:rFonts w:hint="eastAsia" w:ascii="宋体" w:hAnsi="宋体" w:eastAsia="宋体" w:cs="宋体"/>
          <w:sz w:val="24"/>
          <w:szCs w:val="24"/>
        </w:rPr>
      </w:pPr>
      <w:r>
        <w:rPr>
          <w:rFonts w:hint="eastAsia" w:ascii="宋体" w:hAnsi="宋体" w:eastAsia="宋体" w:cs="宋体"/>
          <w:sz w:val="24"/>
          <w:szCs w:val="24"/>
        </w:rPr>
      </w:r>
      <w:r/>
    </w:p>
    <w:p>
      <w:pPr>
        <w:pStyle w:val="866"/>
        <w:numPr>
          <w:ilvl w:val="1"/>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4"/>
      </w:pPr>
      <w:r>
        <w:rPr>
          <w:rFonts w:hint="eastAsia" w:ascii="宋体" w:hAnsi="宋体" w:eastAsia="宋体" w:cs="宋体"/>
          <w:b/>
          <w:color w:val="000000" w:themeColor="text1"/>
          <w:sz w:val="24"/>
          <w:szCs w:val="24"/>
          <w14:textFill>
            <w14:solidFill>
              <w14:schemeClr w14:val="tx1"/>
            </w14:solidFill>
          </w14:textFill>
        </w:rPr>
        <w:t xml:space="preserve">售后服务要求</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投标人应编制售后服务方案，方案中体现完善的售后服务体系、售后服务保证措施、售后服务团队等。 应根据采购人的要求对设备使用提供技术培训和指导。投标人的培训方案包含：培训计划、培训对象、培训人员等。培训应对针对采购人的管理需要对培训对象分层次进行，各层次不少于2次。投标人</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在投标文件中体现以下服务要求：</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1、本项目售后</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期5年，自交货验收合格之日起计，本次采购相关设备及相关服务。</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系统安装验收交付使用之日起，免费提供五年的7*24小时技术支持、备品备件及维保服务，确保设备使用正常，并对所有中标产品实行终身保修，系统应用软件终身免费升级，并保证系统长期正常工作所需的备品备件供应。</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3、质保期满后，应采购人要求，供应商应参考届时的市场价格，优惠向采购人提供必须的零配件。</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4、中标人应提供每年不少于三次免费巡检、保养服务。</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中标后，如因部件停产等原因致使前端设备无法正常供货的，应提供不低于原部件性能、功能的产品进行替代并经采购人同意后继续供货，质保期内免费，质保期满后售价不得高于中标价格以及市场价格。</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无论在质保期内还是质保期满后，一旦设备发生故障，采购人无法自行排除时，在接到通知后，中标人应保证尽快派人上门服务，6小时内到达现场处理，若24小时内无法排除故障，须提供备用机器，不得影响使用。</w:t>
      </w:r>
      <w:r/>
    </w:p>
    <w:p>
      <w:pPr>
        <w:ind w:firstLine="42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售后服务团队要求：</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1.拟投入售后服务经理1名（具有IT服务项目经理证书）。</w:t>
      </w:r>
      <w:r/>
    </w:p>
    <w:p>
      <w:pPr>
        <w:ind w:firstLine="42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2.拟投入售后服务人员不少于2名（具有IT服务工程师证书）。</w:t>
      </w:r>
      <w:r/>
    </w:p>
    <w:p>
      <w:pPr>
        <w:rPr>
          <w:rFonts w:hint="eastAsia" w:ascii="宋体" w:hAnsi="宋体" w:eastAsia="宋体" w:cs="宋体"/>
          <w:sz w:val="24"/>
          <w:szCs w:val="24"/>
        </w:rPr>
      </w:pPr>
      <w:r>
        <w:rPr>
          <w:rFonts w:hint="eastAsia" w:ascii="宋体" w:hAnsi="宋体" w:eastAsia="宋体" w:cs="宋体"/>
          <w:sz w:val="24"/>
          <w:szCs w:val="24"/>
        </w:rPr>
      </w:r>
      <w:r/>
    </w:p>
    <w:p>
      <w:pPr>
        <w:pStyle w:val="866"/>
        <w:numPr>
          <w:ilvl w:val="0"/>
          <w:numId w:val="15"/>
        </w:numPr>
        <w:contextualSpacing w:val="0"/>
        <w:rPr>
          <w:rFonts w:hint="eastAsia" w:ascii="宋体" w:hAnsi="宋体" w:eastAsia="宋体" w:cs="宋体"/>
          <w:b/>
          <w:color w:val="000000" w:themeColor="text1"/>
          <w:sz w:val="24"/>
          <w:szCs w:val="24"/>
          <w14:textFill>
            <w14:solidFill>
              <w14:schemeClr w14:val="tx1"/>
            </w14:solidFill>
          </w14:textFill>
        </w:rPr>
        <w:outlineLvl w:val="3"/>
      </w:pPr>
      <w:r>
        <w:rPr>
          <w:rFonts w:hint="eastAsia" w:ascii="宋体" w:hAnsi="宋体" w:eastAsia="宋体" w:cs="宋体"/>
          <w:b/>
          <w:color w:val="000000" w:themeColor="text1"/>
          <w:sz w:val="24"/>
          <w:szCs w:val="24"/>
          <w14:textFill>
            <w14:solidFill>
              <w14:schemeClr w14:val="tx1"/>
            </w14:solidFill>
          </w14:textFill>
        </w:rPr>
        <w:t xml:space="preserve">货物清单及技术规范</w:t>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ind w:firstLine="482"/>
        <w:spacing w:line="360" w:lineRule="auto"/>
        <w:rPr>
          <w:rFonts w:hint="eastAsia" w:ascii="宋体" w:hAnsi="宋体" w:eastAsia="宋体" w:cs="宋体"/>
          <w:b/>
          <w:i/>
          <w:color w:val="000000" w:themeColor="text1"/>
          <w:sz w:val="24"/>
          <w:szCs w:val="24"/>
          <w:highlight w:val="none"/>
          <w:u w:val="single"/>
          <w14:textFill>
            <w14:solidFill>
              <w14:schemeClr w14:val="tx1"/>
            </w14:solidFill>
          </w14:textFill>
        </w:rPr>
      </w:pPr>
      <w:r>
        <w:rPr>
          <w:rFonts w:hint="eastAsia" w:ascii="宋体" w:hAnsi="宋体" w:eastAsia="宋体" w:cs="宋体"/>
          <w:b/>
          <w:i/>
          <w:color w:val="000000" w:themeColor="text1"/>
          <w:sz w:val="24"/>
          <w:szCs w:val="24"/>
          <w:u w:val="single"/>
          <w14:textFill>
            <w14:solidFill>
              <w14:schemeClr w14:val="tx1"/>
            </w14:solidFill>
          </w14:textFill>
        </w:rPr>
        <w:t xml:space="preserve">设备接入服务器、计算服务器、AI服务器</w:t>
      </w:r>
      <w:r>
        <w:rPr>
          <w:rFonts w:hint="eastAsia" w:ascii="宋体" w:hAnsi="宋体" w:cs="宋体"/>
          <w:b/>
          <w:i/>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i/>
          <w:color w:val="000000" w:themeColor="text1"/>
          <w:sz w:val="24"/>
          <w:szCs w:val="24"/>
          <w:u w:val="single"/>
          <w14:textFill>
            <w14:solidFill>
              <w14:schemeClr w14:val="tx1"/>
            </w14:solidFill>
          </w14:textFill>
        </w:rPr>
        <w:t xml:space="preserve">存储节点必须满足《绿色数据中心政府采购需求标准（试行）》（财库[2023]7号）</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关于服务器</w:t>
      </w:r>
      <w:r>
        <w:rPr>
          <w:rFonts w:hint="eastAsia" w:ascii="宋体" w:hAnsi="宋体" w:cs="宋体"/>
          <w:b/>
          <w:i/>
          <w:color w:val="000000" w:themeColor="text1"/>
          <w:sz w:val="24"/>
          <w:szCs w:val="24"/>
          <w:highlight w:val="none"/>
          <w:u w:val="single"/>
          <w:lang w:val="en-US" w:eastAsia="zh-CN"/>
          <w14:textFill>
            <w14:solidFill>
              <w14:schemeClr w14:val="tx1"/>
            </w14:solidFill>
          </w14:textFill>
        </w:rPr>
        <w:t xml:space="preserve">及</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存储</w:t>
      </w:r>
      <w:r>
        <w:rPr>
          <w:rFonts w:hint="eastAsia" w:ascii="宋体" w:hAnsi="宋体" w:cs="宋体"/>
          <w:b/>
          <w:i/>
          <w:color w:val="000000" w:themeColor="text1"/>
          <w:sz w:val="24"/>
          <w:szCs w:val="24"/>
          <w:highlight w:val="none"/>
          <w:u w:val="single"/>
          <w:lang w:val="en-US" w:eastAsia="zh-CN"/>
          <w14:textFill>
            <w14:solidFill>
              <w14:schemeClr w14:val="tx1"/>
            </w14:solidFill>
          </w14:textFill>
        </w:rPr>
        <w:t xml:space="preserve">设备技术指标要求</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w:t>
      </w:r>
      <w:r/>
    </w:p>
    <w:p>
      <w:pPr>
        <w:pStyle w:val="819"/>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rPr>
          <w:rFonts w:hint="eastAsia" w:ascii="宋体" w:hAnsi="宋体" w:eastAsia="宋体" w:cs="宋体"/>
          <w:b/>
          <w:bCs/>
          <w:iCs/>
          <w:color w:val="000000" w:themeColor="text1"/>
          <w:sz w:val="24"/>
          <w:szCs w:val="24"/>
          <w:highlight w:val="none"/>
          <w14:textFill>
            <w14:solidFill>
              <w14:schemeClr w14:val="tx1"/>
            </w14:solidFill>
          </w14:textFill>
        </w:rPr>
      </w:pPr>
      <w:r>
        <w:rPr>
          <w:rFonts w:hint="eastAsia" w:ascii="宋体" w:hAnsi="宋体" w:eastAsia="宋体" w:cs="宋体"/>
          <w:b/>
          <w:iCs/>
          <w:color w:val="000000" w:themeColor="text1"/>
          <w:sz w:val="24"/>
          <w:szCs w:val="24"/>
          <w:highlight w:val="none"/>
          <w:lang w:val="en-US" w:eastAsia="zh-CN"/>
          <w14:textFill>
            <w14:solidFill>
              <w14:schemeClr w14:val="tx1"/>
            </w14:solidFill>
          </w14:textFill>
        </w:rPr>
        <w:t xml:space="preserve">服务器</w:t>
      </w:r>
      <w:r>
        <w:rPr>
          <w:rFonts w:hint="eastAsia" w:ascii="宋体" w:hAnsi="宋体" w:cs="宋体"/>
          <w:b/>
          <w:iCs/>
          <w:color w:val="000000" w:themeColor="text1"/>
          <w:sz w:val="24"/>
          <w:szCs w:val="24"/>
          <w:highlight w:val="none"/>
          <w:lang w:val="en-US" w:eastAsia="zh-CN"/>
          <w14:textFill>
            <w14:solidFill>
              <w14:schemeClr w14:val="tx1"/>
            </w14:solidFill>
          </w14:textFill>
        </w:rPr>
        <w:t xml:space="preserve">及存储设备技术指标要求</w:t>
      </w:r>
      <w:r>
        <w:rPr>
          <w:rFonts w:hint="eastAsia" w:ascii="宋体" w:hAnsi="宋体" w:eastAsia="宋体" w:cs="宋体"/>
          <w:b/>
          <w:bCs/>
          <w:iCs/>
          <w:color w:val="000000" w:themeColor="text1"/>
          <w:sz w:val="24"/>
          <w:szCs w:val="24"/>
          <w:highlight w:val="none"/>
          <w14:textFill>
            <w14:solidFill>
              <w14:schemeClr w14:val="tx1"/>
            </w14:solidFill>
          </w14:textFill>
        </w:rPr>
        <w:t xml:space="preserve">：</w:t>
      </w:r>
      <w:r/>
    </w:p>
    <w:tbl>
      <w:tblPr>
        <w:tblStyle w:val="791"/>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587"/>
        <w:gridCol w:w="1098"/>
        <w:gridCol w:w="1490"/>
        <w:gridCol w:w="2207"/>
        <w:gridCol w:w="1850"/>
      </w:tblGrid>
      <w:tr>
        <w:trPr>
          <w:trHeight w:val="327"/>
        </w:trPr>
        <w:tc>
          <w:tcPr>
            <w:shd w:val="clear" w:color="auto" w:fill="d8d8d8" w:themeFill="background1" w:themeFillShade="D9"/>
            <w:tcW w:w="933" w:type="dxa"/>
            <w:vAlign w:val="center"/>
            <w:textDirection w:val="lrTb"/>
            <w:noWrap w:val="false"/>
          </w:tcPr>
          <w:p>
            <w:pPr>
              <w:jc w:val="center"/>
              <w:spacing w:line="276"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shd w:val="clear" w:color="auto" w:fill="d8d8d8" w:themeFill="background1" w:themeFillShade="D9"/>
            <w:tcW w:w="1587" w:type="dxa"/>
            <w:vAlign w:val="center"/>
            <w:textDirection w:val="lrTb"/>
            <w:noWrap w:val="false"/>
          </w:tcPr>
          <w:p>
            <w:pPr>
              <w:jc w:val="center"/>
              <w:spacing w:line="276"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设备类型</w:t>
            </w:r>
            <w:r/>
          </w:p>
        </w:tc>
        <w:tc>
          <w:tcPr>
            <w:gridSpan w:val="3"/>
            <w:shd w:val="clear" w:color="auto" w:fill="d8d8d8" w:themeFill="background1" w:themeFillShade="D9"/>
            <w:tcW w:w="4795" w:type="dxa"/>
            <w:vAlign w:val="center"/>
            <w:textDirection w:val="lrTb"/>
            <w:noWrap w:val="false"/>
          </w:tcPr>
          <w:p>
            <w:pPr>
              <w:jc w:val="center"/>
              <w:spacing w:line="276"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w:t>
            </w:r>
            <w:r/>
          </w:p>
        </w:tc>
        <w:tc>
          <w:tcPr>
            <w:shd w:val="clear" w:color="auto" w:fill="d8d8d8" w:themeFill="background1" w:themeFillShade="D9"/>
            <w:tcW w:w="1850" w:type="dxa"/>
            <w:vAlign w:val="center"/>
            <w:textDirection w:val="lrTb"/>
            <w:noWrap w:val="false"/>
          </w:tcPr>
          <w:p>
            <w:pPr>
              <w:jc w:val="center"/>
              <w:spacing w:line="276"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招标要求</w:t>
            </w:r>
            <w:r/>
          </w:p>
        </w:tc>
      </w:tr>
      <w:tr>
        <w:trPr>
          <w:trHeight w:val="570"/>
        </w:trPr>
        <w:tc>
          <w:tcPr>
            <w:shd w:val="clear" w:color="auto" w:fill="auto"/>
            <w:tcW w:w="933"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587" w:type="dxa"/>
            <w:vAlign w:val="center"/>
            <w:vMerge w:val="restart"/>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设备接入服务器、计算服务器</w:t>
            </w:r>
            <w:r>
              <w:rPr>
                <w:rFonts w:hint="eastAsia" w:ascii="宋体" w:hAnsi="宋体" w:eastAsia="宋体" w:cs="宋体"/>
                <w:color w:val="000000" w:themeColor="text1"/>
                <w:sz w:val="24"/>
                <w:szCs w:val="24"/>
                <w:lang w:eastAsia="zh-CN"/>
                <w14:textFill>
                  <w14:solidFill>
                    <w14:schemeClr w14:val="tx1"/>
                  </w14:solidFill>
                </w14:textFill>
              </w:rPr>
              <w:t xml:space="preserve">、AI服务器</w:t>
            </w:r>
            <w:r>
              <w:rPr>
                <w:rFonts w:hint="eastAsia" w:ascii="宋体" w:hAnsi="宋体" w:eastAsia="宋体" w:cs="宋体"/>
                <w:color w:val="000000" w:themeColor="text1"/>
                <w:sz w:val="24"/>
                <w:szCs w:val="24"/>
                <w14:textFill>
                  <w14:solidFill>
                    <w14:schemeClr w14:val="tx1"/>
                  </w14:solidFill>
                </w14:textFill>
              </w:rPr>
              <w:t xml:space="preserve">、存储节点</w:t>
            </w:r>
            <w:r/>
          </w:p>
        </w:tc>
        <w:tc>
          <w:tcPr>
            <w:gridSpan w:val="3"/>
            <w:shd w:val="clear" w:color="auto" w:fill="auto"/>
            <w:tcW w:w="4795"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产品可再生利用率</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≥80%</w:t>
            </w:r>
            <w:r/>
          </w:p>
        </w:tc>
      </w:tr>
      <w:tr>
        <w:trPr>
          <w:trHeight w:val="78"/>
        </w:trPr>
        <w:tc>
          <w:tcPr>
            <w:shd w:val="clear" w:color="auto" w:fill="auto"/>
            <w:tcW w:w="933" w:type="dxa"/>
            <w:vAlign w:val="center"/>
            <w:vMerge w:val="restart"/>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587"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098" w:type="dxa"/>
            <w:vAlign w:val="center"/>
            <w:vMerge w:val="restart"/>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供电模块效率</w:t>
            </w:r>
            <w:r/>
          </w:p>
        </w:tc>
        <w:tc>
          <w:tcPr>
            <w:shd w:val="clear" w:color="auto" w:fill="auto"/>
            <w:tcW w:w="1490" w:type="dxa"/>
            <w:vAlign w:val="center"/>
            <w:vMerge w:val="restart"/>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20%负载率</w:t>
            </w:r>
            <w:r/>
          </w:p>
        </w:tc>
        <w:tc>
          <w:tcPr>
            <w:shd w:val="clear" w:color="auto" w:fill="auto"/>
            <w:tcW w:w="2207"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电源效率</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≥90%</w:t>
            </w:r>
            <w:r/>
          </w:p>
        </w:tc>
      </w:tr>
      <w:tr>
        <w:trPr>
          <w:trHeight w:val="78"/>
        </w:trPr>
        <w:tc>
          <w:tcPr>
            <w:shd w:val="clear" w:color="auto" w:fill="auto"/>
            <w:tcW w:w="933"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87"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098"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490"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2207"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功率因数（PF）</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≥0.95</w:t>
            </w:r>
            <w:r/>
          </w:p>
        </w:tc>
      </w:tr>
      <w:tr>
        <w:trPr>
          <w:trHeight w:val="78"/>
        </w:trPr>
        <w:tc>
          <w:tcPr>
            <w:shd w:val="clear" w:color="auto" w:fill="auto"/>
            <w:tcW w:w="933"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87"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098"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490" w:type="dxa"/>
            <w:vAlign w:val="center"/>
            <w:vMerge w:val="restart"/>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50%负载率</w:t>
            </w:r>
            <w:r/>
          </w:p>
        </w:tc>
        <w:tc>
          <w:tcPr>
            <w:shd w:val="clear" w:color="auto" w:fill="auto"/>
            <w:tcW w:w="2207"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电源效率</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≥94%</w:t>
            </w:r>
            <w:r/>
          </w:p>
        </w:tc>
      </w:tr>
      <w:tr>
        <w:trPr>
          <w:trHeight w:val="78"/>
        </w:trPr>
        <w:tc>
          <w:tcPr>
            <w:shd w:val="clear" w:color="auto" w:fill="auto"/>
            <w:tcW w:w="933"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87"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098"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490"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2207"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功率因数（PF）</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≥0.95</w:t>
            </w:r>
            <w:r/>
          </w:p>
        </w:tc>
      </w:tr>
      <w:tr>
        <w:trPr>
          <w:trHeight w:val="78"/>
        </w:trPr>
        <w:tc>
          <w:tcPr>
            <w:shd w:val="clear" w:color="auto" w:fill="auto"/>
            <w:tcW w:w="933"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87"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098"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490" w:type="dxa"/>
            <w:vAlign w:val="center"/>
            <w:vMerge w:val="restart"/>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100%负载率</w:t>
            </w:r>
            <w:r/>
          </w:p>
        </w:tc>
        <w:tc>
          <w:tcPr>
            <w:shd w:val="clear" w:color="auto" w:fill="auto"/>
            <w:tcW w:w="2207"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电源效率</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w:t>
            </w:r>
            <w:r/>
          </w:p>
        </w:tc>
      </w:tr>
      <w:tr>
        <w:trPr>
          <w:trHeight w:val="78"/>
        </w:trPr>
        <w:tc>
          <w:tcPr>
            <w:shd w:val="clear" w:color="auto" w:fill="auto"/>
            <w:tcW w:w="933"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87"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098"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490" w:type="dxa"/>
            <w:vAlign w:val="center"/>
            <w:vMerge w:val="continue"/>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2207" w:type="dxa"/>
            <w:vAlign w:val="center"/>
            <w:textDirection w:val="lrTb"/>
            <w:noWrap w:val="false"/>
          </w:tcPr>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功率因数（PF）</w:t>
            </w:r>
            <w:r/>
          </w:p>
        </w:tc>
        <w:tc>
          <w:tcPr>
            <w:shd w:val="clear" w:color="auto" w:fill="auto"/>
            <w:tcW w:w="1850" w:type="dxa"/>
            <w:vAlign w:val="center"/>
            <w:textDirection w:val="lrTb"/>
            <w:noWrap w:val="false"/>
          </w:tcPr>
          <w:p>
            <w:pPr>
              <w:jc w:val="cente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≥0.95</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66"/>
        <w:numPr>
          <w:ilvl w:val="1"/>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4"/>
      </w:pPr>
      <w:r>
        <w:rPr>
          <w:rFonts w:hint="eastAsia" w:ascii="宋体" w:hAnsi="宋体" w:eastAsia="宋体" w:cs="宋体"/>
          <w:b/>
          <w:color w:val="000000" w:themeColor="text1"/>
          <w:sz w:val="24"/>
          <w:szCs w:val="24"/>
          <w14:textFill>
            <w14:solidFill>
              <w14:schemeClr w14:val="tx1"/>
            </w14:solidFill>
          </w14:textFill>
        </w:rPr>
        <w:t xml:space="preserve">设备清单</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bl>
      <w:tblPr>
        <w:tblStyle w:val="791"/>
        <w:tblW w:w="91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397"/>
        <w:gridCol w:w="5171"/>
        <w:gridCol w:w="504"/>
        <w:gridCol w:w="697"/>
        <w:gridCol w:w="697"/>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一、平台系统建设</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1.平台扩容子系统</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视频通道扩容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按通道数收费</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车道通道扩容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车辆实时解析需要建立虚拟卡口，故按配置车辆实时解析的监控点数，按点位数收费</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设备接入服务器</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2.云存储系统扩容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存储节点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节点设备数扩容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原云存储系统云存储节点接入授权增加</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缓存加速服务</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原云存储系统缓存加速服务扩容</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云存储容量扩容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原云存储系统虚拟机化存储空间授权增加</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768</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TB</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3.结构化授权扩容</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图片结构化授权</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视频流结构化授权</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计算服务器</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b/>
                <w:bCs/>
                <w:i w:val="0"/>
                <w:iCs/>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AI服务器</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rPr>
                <w:rFonts w:hint="eastAsia" w:ascii="宋体" w:hAnsi="宋体" w:eastAsia="宋体" w:cs="宋体"/>
                <w:b/>
                <w:bCs/>
                <w:i w:val="0"/>
                <w:iCs/>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二、运维安全</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堡垒机</w:t>
            </w:r>
            <w:r/>
          </w:p>
        </w:tc>
        <w:tc>
          <w:tcPr>
            <w:shd w:val="clear" w:color="auto" w:fill="ffffff"/>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具体详见技术参数</w:t>
            </w:r>
            <w:r>
              <w:rPr>
                <w:rFonts w:hint="eastAsia" w:ascii="宋体" w:hAnsi="宋体" w:cs="宋体"/>
                <w:b/>
                <w:bCs/>
                <w:i w:val="0"/>
                <w:iCs w:val="0"/>
                <w:color w:val="000000"/>
                <w:sz w:val="24"/>
                <w:szCs w:val="24"/>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66"/>
        <w:numPr>
          <w:ilvl w:val="1"/>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4"/>
      </w:pPr>
      <w:r>
        <w:rPr>
          <w:rFonts w:hint="eastAsia" w:ascii="宋体" w:hAnsi="宋体" w:eastAsia="宋体" w:cs="宋体"/>
          <w:b/>
          <w:color w:val="000000" w:themeColor="text1"/>
          <w:sz w:val="24"/>
          <w:szCs w:val="24"/>
          <w14:textFill>
            <w14:solidFill>
              <w14:schemeClr w14:val="tx1"/>
            </w14:solidFill>
          </w14:textFill>
        </w:rPr>
        <w:t xml:space="preserve">技术参数要求</w:t>
      </w:r>
      <w:r/>
    </w:p>
    <w:p>
      <w:pPr>
        <w:rPr>
          <w:rFonts w:hint="eastAsia" w:ascii="宋体" w:hAnsi="宋体" w:eastAsia="宋体" w:cs="宋体"/>
          <w:sz w:val="24"/>
          <w:szCs w:val="24"/>
        </w:rPr>
      </w:pPr>
      <w:r>
        <w:rPr>
          <w:rFonts w:hint="eastAsia" w:ascii="宋体" w:hAnsi="宋体" w:eastAsia="宋体" w:cs="宋体"/>
          <w:sz w:val="24"/>
          <w:szCs w:val="24"/>
        </w:rPr>
      </w:r>
      <w:r/>
    </w:p>
    <w:p>
      <w:pPr>
        <w:pStyle w:val="866"/>
        <w:numPr>
          <w:ilvl w:val="2"/>
          <w:numId w:val="15"/>
        </w:numPr>
        <w:contextualSpacing w:val="0"/>
        <w:ind w:left="454" w:hanging="454"/>
        <w:rPr>
          <w:rFonts w:hint="eastAsia" w:ascii="宋体" w:hAnsi="宋体" w:eastAsia="宋体" w:cs="宋体"/>
          <w:b/>
          <w:color w:val="000000" w:themeColor="text1"/>
          <w:sz w:val="24"/>
          <w:szCs w:val="24"/>
          <w14:textFill>
            <w14:solidFill>
              <w14:schemeClr w14:val="tx1"/>
            </w14:solidFill>
          </w14:textFill>
        </w:rPr>
        <w:outlineLvl w:val="5"/>
      </w:pPr>
      <w:r>
        <w:rPr>
          <w:rFonts w:hint="eastAsia" w:ascii="宋体" w:hAnsi="宋体" w:eastAsia="宋体" w:cs="宋体"/>
          <w:b/>
          <w:color w:val="000000" w:themeColor="text1"/>
          <w:sz w:val="24"/>
          <w:szCs w:val="24"/>
          <w14:textFill>
            <w14:solidFill>
              <w14:schemeClr w14:val="tx1"/>
            </w14:solidFill>
          </w14:textFill>
        </w:rPr>
        <w:t xml:space="preserve">存储节点</w:t>
      </w:r>
      <w:r/>
    </w:p>
    <w:p>
      <w:pPr>
        <w:numPr>
          <w:ilvl w:val="0"/>
          <w:numId w:val="16"/>
        </w:numPr>
        <w:ind w:left="0" w:firstLine="425"/>
        <w:spacing w:line="360" w:lineRule="auto"/>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服务器配置：≥2颗64位多核处理器，≥16GB内存，内存支持扩展到≥256GB，内置SSD固态硬盘（可以扩展到4个SSD作为缓存盘），配置≥6个风扇，支持风扇热插拔冗余温控调速风扇；支持热插拔1+1AC220V </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★可接入2T/3T/4T/6T/8T/10T/12T/14T/16T/18T/20T/25T/26T SATA/SAS硬盘；支持NL-SAS 硬盘、HDD硬盘、SSD硬盘、氦气硬盘、空气硬盘；支持 CMR或SMR硬盘；支持硬盘交错/分时启动，节省功耗。</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★具有48块硬盘热插拔插槽；支持硬盘热插拔设备在读写数据时，热插拔设备内的任意块硬盘，设备正常运行不宕机，硬盘不损坏，数据不丢失，业务不中断。</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★系统以流直存模式进行录像、图片数据存储。系统中的实时视频流、抓拍图片无需经过任何转发服务器/虚拟机即可实现数据流直存，视频与图片数据直存后可即存即取</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★支持延迟踢盘，防止误拔硬盘导致数据破坏</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★存储节点具有防偶发死机的措施（如硬件或软件SNMP、或定时自动起启动等），死机后的自愈恢复时间应≤3min</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★支持集群管理功能，包括集群单元弹性扩容、负载均衡、故障迁移等；支持集群节点生命周期管理，支持集群节点服务组建、扩展、删除</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★负载均衡：1.节点离线、磁盘离线、节点过载、扩容存储节点，自动调整录像、图片、对象业务，实现集群均衡负载；2.域内节点部分带缓存加速盘，部分不带缓存加速盘，图片数据可自动路由存储缓存加速盘</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★支持硬盘热插拔设备在读写数据时，热插拔设备内的任意块硬盘，设备正常运行不宕机，硬盘不损坏，数据不丢失，业务不中断</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★支持底层数据块Erasure Code技术容错，数据恢复以数据块为单位，无需全硬盘恢复；具备数据自愈功能。当硬盘损坏后，系统自动进行数据恢复，保证数据不丢失，业务不中断</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★支持按照接入任务数实现自动负载均衡，支持前端设备自动分配到存储节点。各节点间读写任务数差距±1；</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7"/>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宋体" w:hAnsi="宋体" w:eastAsia="宋体" w:cs="宋体"/>
          <w:color w:val="000000"/>
          <w:sz w:val="24"/>
          <w:szCs w:val="24"/>
          <w:highlight w:val="none"/>
        </w:rPr>
        <w:t xml:space="preserve">（需提供公安部或第三方机构出具的检测报告原件扫描上传）</w:t>
      </w:r>
      <w:r/>
    </w:p>
    <w:p>
      <w:pPr>
        <w:pStyle w:val="866"/>
        <w:numPr>
          <w:ilvl w:val="2"/>
          <w:numId w:val="15"/>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堡垒机</w:t>
      </w:r>
      <w:r/>
    </w:p>
    <w:p>
      <w:pPr>
        <w:numPr>
          <w:ilvl w:val="0"/>
          <w:numId w:val="18"/>
        </w:numPr>
        <w:ind w:left="425" w:hanging="425"/>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标准2U机架机箱，≥</w:t>
      </w: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颗</w:t>
      </w:r>
      <w:r>
        <w:rPr>
          <w:rFonts w:hint="eastAsia" w:ascii="宋体" w:hAnsi="宋体" w:eastAsia="宋体" w:cs="宋体"/>
          <w:i/>
          <w:iCs/>
          <w:sz w:val="24"/>
          <w:szCs w:val="24"/>
          <w:highlight w:val="none"/>
          <w:u w:val="single"/>
          <w:lang w:val="en-US" w:eastAsia="zh-CN"/>
        </w:rPr>
        <w:t xml:space="preserve">8</w:t>
      </w:r>
      <w:r>
        <w:rPr>
          <w:rFonts w:hint="eastAsia" w:ascii="宋体" w:hAnsi="宋体" w:eastAsia="宋体" w:cs="宋体"/>
          <w:i/>
          <w:iCs/>
          <w:sz w:val="24"/>
          <w:szCs w:val="24"/>
          <w:highlight w:val="none"/>
          <w:u w:val="single"/>
        </w:rPr>
        <w:t xml:space="preserve">位多核处理器，</w:t>
      </w:r>
      <w:r>
        <w:rPr>
          <w:rFonts w:hint="eastAsia" w:ascii="宋体" w:hAnsi="宋体" w:eastAsia="宋体" w:cs="宋体"/>
          <w:i/>
          <w:iCs/>
          <w:sz w:val="24"/>
          <w:szCs w:val="24"/>
          <w:highlight w:val="none"/>
          <w:u w:val="single"/>
          <w:lang w:val="en-US" w:eastAsia="zh-CN"/>
        </w:rPr>
        <w:t xml:space="preserve">国产化</w:t>
      </w:r>
      <w:r>
        <w:rPr>
          <w:rFonts w:hint="eastAsia" w:ascii="宋体" w:hAnsi="宋体" w:eastAsia="宋体" w:cs="宋体"/>
          <w:i/>
          <w:iCs/>
          <w:sz w:val="24"/>
          <w:szCs w:val="24"/>
          <w:highlight w:val="none"/>
          <w:u w:val="single"/>
        </w:rPr>
        <w:t xml:space="preserve">操作系统，≥8G内存，≥4TB硬盘，网卡:≥6个千兆电口，≥4个千兆光口，≥2个扩展插槽单电源。≥100个授权许可，用户数不限，图形并发≥100，字符并发≥500。</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★支持资源的登录及改密驱动的自定义扩展，可以按照资源类型选择对应驱动，减少被管资源由于版本不同导致单点登录失败的情况。</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★支持基于资源组的扩展属性自定义，根据自定义的扩展属性字段，添加资源相关属性。以便基于扩展属性进行资源筛选和授权。</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★实现数据库命令级审计，支持的数据库类型包括：Oracle、SQL Server、IBM DB2、Sybase、IBM Informix、MySQL、PostgreSQL、Tbase，不需采用数据镜像方式实现，以免增加部署的复杂性和网络负担。支持通过应用发布实现数据库操作的命令级审计和图形审计的双重审计效果，并支持通过按照SQL语句进行图形录像的定位回访功能。</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★支持自定义角色。将系统功能模块按需分配给角色，角色可按照组节点进行定义，从而实现分层分级分权的管理模式。</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★RDP审计策略支持关键帧，帧间隔，录像文件压缩比等设置，以缩小录像文件大小。</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★支持通过应用发布实现数据库操作的命令级审计和图形审计的双重审计效果，并支持通过按照SQL语句进行图形录像的定位回访功能。</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numPr>
          <w:ilvl w:val="0"/>
          <w:numId w:val="18"/>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★产品具备升级包合法校验功能，只有通过厂家合法途径获得的升级包和升级包和摘要签名，才能够完成系统升级，避免升级包被篡改或者非法上传。</w:t>
      </w:r>
      <w:r>
        <w:rPr>
          <w:rFonts w:hint="eastAsia" w:ascii="宋体" w:hAnsi="宋体" w:eastAsia="宋体" w:cs="宋体"/>
          <w:color w:val="000000"/>
          <w:sz w:val="24"/>
          <w:szCs w:val="24"/>
          <w:highlight w:val="none"/>
        </w:rPr>
        <w:t xml:space="preserve">（需提供公安部或第三方机构出具的检测报告原件</w:t>
      </w:r>
      <w:r>
        <w:rPr>
          <w:rFonts w:hint="eastAsia" w:ascii="宋体" w:hAnsi="宋体" w:eastAsia="宋体" w:cs="宋体"/>
          <w:color w:val="000000"/>
          <w:sz w:val="24"/>
          <w:szCs w:val="24"/>
          <w:highlight w:val="none"/>
          <w:lang w:val="en-US" w:eastAsia="zh-CN"/>
        </w:rPr>
        <w:t xml:space="preserve">或截图</w:t>
      </w:r>
      <w:r>
        <w:rPr>
          <w:rFonts w:hint="eastAsia" w:ascii="宋体" w:hAnsi="宋体" w:eastAsia="宋体" w:cs="宋体"/>
          <w:color w:val="000000"/>
          <w:sz w:val="24"/>
          <w:szCs w:val="24"/>
          <w:highlight w:val="none"/>
        </w:rPr>
        <w:t xml:space="preserve">扫描上传）</w:t>
      </w:r>
      <w:r/>
    </w:p>
    <w:p>
      <w:pPr>
        <w:pStyle w:val="866"/>
        <w:numPr>
          <w:ilvl w:val="2"/>
          <w:numId w:val="15"/>
        </w:numPr>
        <w:contextualSpacing w:val="0"/>
        <w:ind w:left="454" w:hanging="454"/>
        <w:rPr>
          <w:rFonts w:hint="eastAsia" w:ascii="宋体" w:hAnsi="宋体" w:eastAsia="宋体" w:cs="宋体"/>
          <w:b/>
          <w:color w:val="000000" w:themeColor="text1"/>
          <w:sz w:val="24"/>
          <w:szCs w:val="24"/>
          <w:highlight w:val="none"/>
          <w:lang w:val="en-US" w:eastAsia="zh-CN"/>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图片结构化授权</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图片流结构化解析授权，在现有平台上进行无缝扩容；</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★布控任务具备摄像机与布控库多对多关联功能，布控任务分为长期布控和临时布控，临时布控可设置布控时长。</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路人库具备以图搜图功能，可设置时间和区域进行搜索，搜索结果具备导出功能。</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★在人脸被遮挡不大于 1/2（遮挡方式为戴口罩）的情况下，采用人脸抓拍图片进行测试，人脸检出率≥99%。</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开启戴口罩报警后，支持对人脸戴口罩进行报警。采用视频进行测试，人脸戴口罩报警准确率≥99.5%。</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 万监视名单容量下，采用人脸抓拍图片进行布控报警测试，相似度阈值设置为 90 时，监视名单漏报率≤0.1%，监视名单人脸报警准确率≥99.9%，非监视名单误报率≤0.04%。</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★10亿人脸库（由委托方提供）下，以脸搜脸首位命中率不低于 99%。</w:t>
      </w:r>
      <w:r>
        <w:rPr>
          <w:rFonts w:hint="eastAsia" w:ascii="宋体" w:hAnsi="宋体" w:eastAsia="宋体" w:cs="宋体"/>
          <w:color w:val="000000"/>
          <w:sz w:val="24"/>
          <w:szCs w:val="24"/>
          <w:highlight w:val="none"/>
        </w:rPr>
        <w:t xml:space="preserve">（需提供公安部或第三方机构出具的检测报告原件扫描上传）</w:t>
      </w:r>
      <w:r/>
    </w:p>
    <w:p>
      <w:pPr>
        <w:numPr>
          <w:ilvl w:val="0"/>
          <w:numId w:val="19"/>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★支持对图片中 15 像素×15 像素～ 12000 像素×14448 像素的人脸图片进行检出和抓拍。</w:t>
      </w:r>
      <w:r>
        <w:rPr>
          <w:rFonts w:hint="eastAsia" w:ascii="宋体" w:hAnsi="宋体" w:eastAsia="宋体" w:cs="宋体"/>
          <w:color w:val="000000"/>
          <w:sz w:val="24"/>
          <w:szCs w:val="24"/>
          <w:highlight w:val="none"/>
        </w:rPr>
        <w:t xml:space="preserve">（需提供公安部或第三方机构出具的检测报告原件扫描上传）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6"/>
        <w:numPr>
          <w:ilvl w:val="2"/>
          <w:numId w:val="15"/>
        </w:numPr>
        <w:contextualSpacing w:val="0"/>
        <w:ind w:left="454" w:hanging="454"/>
        <w:rPr>
          <w:rFonts w:hint="eastAsia" w:ascii="宋体" w:hAnsi="宋体" w:eastAsia="宋体" w:cs="宋体"/>
          <w:b/>
          <w:color w:val="000000" w:themeColor="text1"/>
          <w:sz w:val="24"/>
          <w:szCs w:val="24"/>
          <w:highlight w:val="none"/>
          <w:lang w:val="en-US" w:eastAsia="zh-CN"/>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视频结构化授权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20"/>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视频流结构化解析授权，在现有平台上进行无缝扩容；</w:t>
      </w:r>
      <w:r/>
    </w:p>
    <w:p>
      <w:pPr>
        <w:numPr>
          <w:ilvl w:val="0"/>
          <w:numId w:val="20"/>
        </w:numPr>
        <w:ind w:left="425" w:hanging="42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★支持对视频中水平转动角度不超过±80°、俯仰角不超过±45°、倾斜角不超过±45°的人脸进行检出和抓拍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（需提供公安部或第三方机构出具的检测报告原件扫描上传）</w:t>
      </w:r>
      <w:r/>
    </w:p>
    <w:p>
      <w:pPr>
        <w:pStyle w:val="866"/>
        <w:numPr>
          <w:ilvl w:val="2"/>
          <w:numId w:val="15"/>
        </w:numPr>
        <w:contextualSpacing w:val="0"/>
        <w:ind w:left="454" w:hanging="454"/>
        <w:rPr>
          <w:rFonts w:hint="eastAsia" w:ascii="宋体" w:hAnsi="宋体" w:eastAsia="宋体" w:cs="宋体"/>
          <w:b/>
          <w:color w:val="000000" w:themeColor="text1"/>
          <w:sz w:val="24"/>
          <w:szCs w:val="24"/>
          <w:highlight w:val="none"/>
          <w:lang w:val="en-US" w:eastAsia="zh-CN"/>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设备接入服务器</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设备接入服务器应符合</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财政部 工业和信息化部关于印发</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《通用服务器政府采购需求标准（2023年版）》</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的通知</w:t>
      </w:r>
      <w:r>
        <w:rPr>
          <w:rFonts w:hint="eastAsia" w:ascii="宋体" w:hAnsi="宋体" w:cs="宋体"/>
          <w:b/>
          <w:i w:val="0"/>
          <w:i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财库〔2023〕33号</w:t>
      </w:r>
      <w:r>
        <w:rPr>
          <w:rFonts w:hint="eastAsia" w:ascii="宋体" w:hAnsi="宋体" w:cs="宋体"/>
          <w:b/>
          <w:i w:val="0"/>
          <w:i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中的通用服务器政府采购需求标准</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w:t>
      </w:r>
      <w:r/>
    </w:p>
    <w:tbl>
      <w:tblPr>
        <w:tblStyle w:val="791"/>
        <w:tblW w:w="92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1130"/>
        <w:gridCol w:w="1692"/>
        <w:gridCol w:w="601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指标要求</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CPU信息</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CPU信息：配置≥2颗CPU，基频≥2.5GHz；每CPU核心≥16核</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内存数量</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内存数量：≥4，内存≥64GB</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主板规格</w:t>
            </w:r>
            <w:r/>
          </w:p>
        </w:tc>
        <w:tc>
          <w:tcPr>
            <w:shd w:val="clear" w:color="auto" w:fill="auto"/>
            <w:tcBorders>
              <w:top w:val="single" w:color="000000" w:sz="4" w:space="0"/>
              <w:left w:val="single" w:color="000000" w:sz="4" w:space="0"/>
              <w:bottom w:val="single" w:color="auto"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主板支持的 CPU和内存情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主板支持的 CPU 和内存情况：至少支持2颗处理器，内存配置容量不低于64GB</w:t>
            </w:r>
            <w:r/>
          </w:p>
        </w:tc>
      </w:tr>
      <w:tr>
        <w:trPr>
          <w:trHeight w:val="1516"/>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存储设备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硬盘实配数量</w:t>
            </w:r>
            <w:r/>
          </w:p>
        </w:tc>
        <w:tc>
          <w:tcPr>
            <w:shd w:val="clear" w:color="auto" w:fill="auto"/>
            <w:tcBorders>
              <w:top w:val="single" w:color="000000" w:sz="4" w:space="0"/>
              <w:left w:val="single" w:color="auto"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≥2块SSD 960G固态硬盘</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auto" w:sz="4" w:space="0"/>
              <w:left w:val="single" w:color="000000" w:sz="4" w:space="0"/>
              <w:bottom w:val="single" w:color="000000"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网口速率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和数量</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网口速率和数量：配备网口数量不少于2个，且网口速率不少于1GE。本次配置双口千兆电口，双口万兆光口（含万兆多模光模块）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电源规格</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电源模块数量</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电源模块数量：≥1+1冗余</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电源功率</w:t>
            </w:r>
            <w:r/>
          </w:p>
        </w:tc>
        <w:tc>
          <w:tcPr>
            <w:shd w:val="clear" w:color="auto" w:fill="auto"/>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电源功率：≥550W，电源模块功率应有一定冗余，满足处理器满载时的需求</w:t>
            </w:r>
            <w:r/>
          </w:p>
        </w:tc>
      </w:tr>
      <w:tr>
        <w:trPr>
          <w:trHeight w:val="810"/>
        </w:trPr>
        <w:tc>
          <w:tcPr>
            <w:gridSpan w:val="4"/>
            <w:shd w:val="clear" w:color="auto" w:fill="auto"/>
            <w:tcBorders>
              <w:top w:val="single" w:color="000000" w:sz="4" w:space="0"/>
              <w:left w:val="single" w:color="000000" w:sz="4" w:space="0"/>
              <w:bottom w:val="single" w:color="000000" w:sz="4" w:space="0"/>
              <w:right w:val="single" w:color="000000" w:sz="4" w:space="0"/>
            </w:tcBorders>
            <w:tcW w:w="9268" w:type="dxa"/>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Cs/>
                <w:i/>
                <w:iCs w:val="0"/>
                <w:sz w:val="24"/>
                <w:szCs w:val="24"/>
                <w:highlight w:val="none"/>
                <w:u w:val="single"/>
              </w:rPr>
              <w:t xml:space="preserve">其他未列明参数必须满足【财库〔2023〕</w:t>
            </w:r>
            <w:r>
              <w:rPr>
                <w:rFonts w:hint="eastAsia" w:ascii="宋体" w:hAnsi="宋体" w:eastAsia="宋体" w:cs="宋体"/>
                <w:bCs/>
                <w:i/>
                <w:iCs w:val="0"/>
                <w:sz w:val="24"/>
                <w:szCs w:val="24"/>
                <w:highlight w:val="none"/>
                <w:u w:val="single"/>
                <w:lang w:val="en-US" w:eastAsia="zh-CN"/>
              </w:rPr>
              <w:t xml:space="preserve">33</w:t>
            </w:r>
            <w:r>
              <w:rPr>
                <w:rFonts w:hint="eastAsia" w:ascii="宋体" w:hAnsi="宋体" w:eastAsia="宋体" w:cs="宋体"/>
                <w:bCs/>
                <w:i/>
                <w:iCs w:val="0"/>
                <w:sz w:val="24"/>
                <w:szCs w:val="24"/>
                <w:highlight w:val="none"/>
                <w:u w:val="single"/>
              </w:rPr>
              <w:t xml:space="preserve">号】要求。</w:t>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66"/>
        <w:numPr>
          <w:ilvl w:val="2"/>
          <w:numId w:val="15"/>
        </w:numPr>
        <w:contextualSpacing w:val="0"/>
        <w:ind w:left="454" w:hanging="454"/>
        <w:rPr>
          <w:rFonts w:hint="eastAsia" w:ascii="宋体" w:hAnsi="宋体" w:eastAsia="宋体" w:cs="宋体"/>
          <w:b/>
          <w:color w:val="000000" w:themeColor="text1"/>
          <w:sz w:val="24"/>
          <w:szCs w:val="24"/>
          <w:highlight w:val="none"/>
          <w:lang w:val="en-US" w:eastAsia="zh-CN"/>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计算服务器</w:t>
      </w:r>
      <w:r/>
    </w:p>
    <w:p>
      <w:pPr>
        <w:ind w:firstLine="482"/>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计算</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服务器应符合</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财政部 工业和信息化部关于印发</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《通用服务器政府采购需求标准（2023年版）》</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的通知</w:t>
      </w:r>
      <w:r>
        <w:rPr>
          <w:rFonts w:hint="eastAsia" w:ascii="宋体" w:hAnsi="宋体" w:cs="宋体"/>
          <w:b/>
          <w:i w:val="0"/>
          <w:i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财库〔2023〕33号</w:t>
      </w:r>
      <w:r>
        <w:rPr>
          <w:rFonts w:hint="eastAsia" w:ascii="宋体" w:hAnsi="宋体" w:cs="宋体"/>
          <w:b/>
          <w:i w:val="0"/>
          <w:i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中的通用服务器政府采购需求标准</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w:t>
      </w:r>
      <w:r/>
    </w:p>
    <w:tbl>
      <w:tblPr>
        <w:tblStyle w:val="791"/>
        <w:tblW w:w="92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988"/>
        <w:gridCol w:w="988"/>
        <w:gridCol w:w="632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指标要求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CPU信息</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CPU信息：配置≥2颗CPU，基频≥2.6GHz；每CPU核心≥32核</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内存数量</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内存数量：≥4，内存≥256GB</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主板支持的 CPU和内存情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主板支持的 CPU 和内存情况：至少支持2颗处理器，内存配置容量不低于256GB</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主板内存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槽数量</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主板内存槽数量：非板载内存的可扩展插槽数量应不少于16个</w:t>
            </w:r>
            <w:r/>
          </w:p>
        </w:tc>
      </w:tr>
      <w:tr>
        <w:trPr>
          <w:trHeight w:val="1756"/>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存储设备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right w:val="single" w:color="000000" w:sz="4"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硬磁盘实配容量</w:t>
            </w:r>
            <w:r>
              <w:rPr>
                <w:rFonts w:hint="eastAsia" w:ascii="宋体" w:hAnsi="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rPr>
              <w:t xml:space="preserve">集成SATA硬盘控制器；整机配置固态盘≥2块SATA SSD 2.5寸480G，≥2块SATA SSD 2.5寸480G，≥4块SATA SSD 2.5寸 1.92TB</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auto"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网口速率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和数量</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网口速率和数量：网口速率和数量：配备网口数量不少于2个，且网口速率不少于1GE。本次配置双口万兆光口（含万兆多模光模块）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 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算单</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元规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 计算单</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配置≥4块GPU卡，单张GPU卡不低于140TOPS INT8算力,显存不低于48GB</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电源模块数量</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电源模块数量：≥1+1冗余</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电源功率</w:t>
            </w:r>
            <w:r/>
          </w:p>
        </w:tc>
        <w:tc>
          <w:tcPr>
            <w:shd w:val="clear" w:color="auto" w:fill="auto"/>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电源功率：≥900W。电源符合GB/T 9813.3的有关规定 </w:t>
            </w:r>
            <w:r/>
          </w:p>
        </w:tc>
      </w:tr>
      <w:tr>
        <w:trPr>
          <w:trHeight w:val="810"/>
        </w:trPr>
        <w:tc>
          <w:tcPr>
            <w:gridSpan w:val="4"/>
            <w:shd w:val="clear" w:color="auto" w:fill="auto"/>
            <w:tcBorders>
              <w:top w:val="single" w:color="000000" w:sz="4" w:space="0"/>
              <w:left w:val="single" w:color="000000" w:sz="4" w:space="0"/>
              <w:bottom w:val="single" w:color="000000" w:sz="4" w:space="0"/>
              <w:right w:val="single" w:color="000000" w:sz="4" w:space="0"/>
            </w:tcBorders>
            <w:tcW w:w="9268" w:type="dxa"/>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Cs/>
                <w:i/>
                <w:iCs w:val="0"/>
                <w:sz w:val="24"/>
                <w:szCs w:val="24"/>
                <w:highlight w:val="none"/>
                <w:u w:val="single"/>
              </w:rPr>
              <w:t xml:space="preserve">其他未列明参数必须满足【财库〔2023〕</w:t>
            </w:r>
            <w:r>
              <w:rPr>
                <w:rFonts w:hint="eastAsia" w:ascii="宋体" w:hAnsi="宋体" w:eastAsia="宋体" w:cs="宋体"/>
                <w:bCs/>
                <w:i/>
                <w:iCs w:val="0"/>
                <w:sz w:val="24"/>
                <w:szCs w:val="24"/>
                <w:highlight w:val="none"/>
                <w:u w:val="single"/>
                <w:lang w:val="en-US" w:eastAsia="zh-CN"/>
              </w:rPr>
              <w:t xml:space="preserve">33</w:t>
            </w:r>
            <w:r>
              <w:rPr>
                <w:rFonts w:hint="eastAsia" w:ascii="宋体" w:hAnsi="宋体" w:eastAsia="宋体" w:cs="宋体"/>
                <w:bCs/>
                <w:i/>
                <w:iCs w:val="0"/>
                <w:sz w:val="24"/>
                <w:szCs w:val="24"/>
                <w:highlight w:val="none"/>
                <w:u w:val="single"/>
              </w:rPr>
              <w:t xml:space="preserve">号】要求。</w:t>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66"/>
        <w:numPr>
          <w:ilvl w:val="2"/>
          <w:numId w:val="15"/>
        </w:numPr>
        <w:contextualSpacing w:val="0"/>
        <w:ind w:left="454" w:hanging="454"/>
        <w:rPr>
          <w:rFonts w:hint="eastAsia" w:ascii="宋体" w:hAnsi="宋体" w:eastAsia="宋体" w:cs="宋体"/>
          <w:b/>
          <w:color w:val="000000" w:themeColor="text1"/>
          <w:sz w:val="24"/>
          <w:szCs w:val="24"/>
          <w:highlight w:val="none"/>
          <w:lang w:val="en-US" w:eastAsia="zh-CN"/>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AI服务器</w:t>
      </w:r>
      <w:r/>
    </w:p>
    <w:p>
      <w:pPr>
        <w:ind w:firstLine="482"/>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AI</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服务器应符合</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财政部 工业和信息化部关于印发</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《通用服务器政府采购需求标准（2023年版）》</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的通知</w:t>
      </w:r>
      <w:r>
        <w:rPr>
          <w:rFonts w:hint="eastAsia" w:ascii="宋体" w:hAnsi="宋体" w:cs="宋体"/>
          <w:b/>
          <w:i w:val="0"/>
          <w:i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财库〔2023〕33号</w:t>
      </w:r>
      <w:r>
        <w:rPr>
          <w:rFonts w:hint="eastAsia" w:ascii="宋体" w:hAnsi="宋体" w:cs="宋体"/>
          <w:b/>
          <w:i w:val="0"/>
          <w:i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中的通用服务器政府采购需求标准</w:t>
      </w:r>
      <w:r>
        <w:rPr>
          <w:rFonts w:hint="eastAsia" w:ascii="宋体" w:hAnsi="宋体" w:eastAsia="宋体" w:cs="宋体"/>
          <w:b/>
          <w:i w:val="0"/>
          <w:iCs/>
          <w:color w:val="000000" w:themeColor="text1"/>
          <w:sz w:val="24"/>
          <w:szCs w:val="24"/>
          <w:highlight w:val="none"/>
          <w:u w:val="none"/>
          <w14:textFill>
            <w14:solidFill>
              <w14:schemeClr w14:val="tx1"/>
            </w14:solidFill>
          </w14:textFill>
        </w:rPr>
        <w:t xml:space="preserve">。</w:t>
      </w:r>
      <w:r/>
    </w:p>
    <w:tbl>
      <w:tblPr>
        <w:tblStyle w:val="791"/>
        <w:tblW w:w="92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988"/>
        <w:gridCol w:w="988"/>
        <w:gridCol w:w="633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指标要求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CPU信息</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CPU信息：配置≥4颗CPU，基频≥2.6GHz；每CPU核心≥48核</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内存数量</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内存数量：≥4，内存≥1024GB</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主板支持的 CPU和内存情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主板支持的 CPU 和内存情况：至少支持2颗处理器，内存配置容量不低于1024GB</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主板内存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槽数量</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主板内存槽数量：非板载内存的可扩展插槽数量应不少于16个</w:t>
            </w:r>
            <w:r/>
          </w:p>
        </w:tc>
      </w:tr>
      <w:tr>
        <w:trPr>
          <w:trHeight w:val="1622"/>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存储设备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right w:val="single" w:color="000000" w:sz="4"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硬磁盘实配容量</w:t>
            </w:r>
            <w:r>
              <w:rPr>
                <w:rFonts w:hint="eastAsia" w:ascii="宋体" w:hAnsi="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rPr>
              <w:t xml:space="preserve">集成SATA硬盘控制器；整机配置固态盘≥2块SATA SSD 2.5寸480G，≥2块SATA SSD 2.5寸480G，≥4块SATA SSD 2.5寸 1.92TB</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网口速率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和数量</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网口速率和数量：网口速率和数量：配备网口数量不少于2个，且网口速率不少于1GE。本次配置4个25GE光口（含万兆多模光模块），8个200GE光口（含万兆多模光模块）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 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算单</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元规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 计算单</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GPU：配置8块国产AI处理器，单个AI处理器支持≥280TFLOPS@FP16 算力或 75TFLOPS@FP32 算力。支持≥64GB HBM 高带宽内存。单台 AI 训练服务器内部 AI 处理器互联带宽≥392GB/s；</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电源模块数量</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电源模块数量：≥2+2冗余</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电源功率</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电源功率：≥2600W。电源符合GB/T 9813.3的有关规定</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整机规格</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外观和结</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构</w:t>
            </w:r>
            <w:r/>
          </w:p>
        </w:tc>
        <w:tc>
          <w:tcPr>
            <w:shd w:val="clear" w:color="auto" w:fill="auto"/>
            <w:tcBorders>
              <w:top w:val="single" w:color="000000" w:sz="4" w:space="0"/>
              <w:left w:val="single" w:color="000000" w:sz="4" w:space="0"/>
              <w:bottom w:val="single" w:color="000000" w:sz="4" w:space="0"/>
              <w:right w:val="single" w:color="000000" w:sz="4" w:space="0"/>
            </w:tcBorders>
            <w:tcW w:w="6339" w:type="dxa"/>
            <w:vAlign w:val="center"/>
            <w:textDirection w:val="lrTb"/>
            <w:noWrap w:val="false"/>
          </w:tcPr>
          <w:p>
            <w:pPr>
              <w:jc w:val="center"/>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themeColor="text1"/>
                <w:sz w:val="24"/>
                <w:szCs w:val="24"/>
                <w:highlight w:val="none"/>
                <w:u w:val="single"/>
                <w:lang w:val="en-US" w:eastAsia="zh-CN" w:bidi="ar"/>
                <w14:textFill>
                  <w14:solidFill>
                    <w14:schemeClr w14:val="tx1"/>
                  </w14:solidFill>
                </w14:textFill>
              </w:rPr>
              <w:t xml:space="preserve">尺寸（长×宽×高）：不大于【729.8mm(长)×448mm(宽)×87.8mm(高)】：设计应遵循标准化、系列化的要求；机箱的内部结构符合通用部件的安装需要。</w:t>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9283" w:type="dxa"/>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Cs/>
                <w:i/>
                <w:iCs w:val="0"/>
                <w:sz w:val="24"/>
                <w:szCs w:val="24"/>
                <w:highlight w:val="none"/>
                <w:u w:val="single"/>
              </w:rPr>
              <w:t xml:space="preserve">其他未列明参数必须满足【财库〔2023〕</w:t>
            </w:r>
            <w:r>
              <w:rPr>
                <w:rFonts w:hint="eastAsia" w:ascii="宋体" w:hAnsi="宋体" w:eastAsia="宋体" w:cs="宋体"/>
                <w:bCs/>
                <w:i/>
                <w:iCs w:val="0"/>
                <w:sz w:val="24"/>
                <w:szCs w:val="24"/>
                <w:highlight w:val="none"/>
                <w:u w:val="single"/>
                <w:lang w:val="en-US" w:eastAsia="zh-CN"/>
              </w:rPr>
              <w:t xml:space="preserve">33</w:t>
            </w:r>
            <w:r>
              <w:rPr>
                <w:rFonts w:hint="eastAsia" w:ascii="宋体" w:hAnsi="宋体" w:eastAsia="宋体" w:cs="宋体"/>
                <w:bCs/>
                <w:i/>
                <w:iCs w:val="0"/>
                <w:sz w:val="24"/>
                <w:szCs w:val="24"/>
                <w:highlight w:val="none"/>
                <w:u w:val="single"/>
              </w:rPr>
              <w:t xml:space="preserve">号】要求。</w:t>
            </w:r>
            <w:r/>
          </w:p>
        </w:tc>
      </w:tr>
    </w:tbl>
    <w:p>
      <w:pPr>
        <w:pStyle w:val="112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rPr>
        <w:t xml:space="preserve">包二：技术及服务要求</w:t>
      </w:r>
      <w:r/>
    </w:p>
    <w:p>
      <w:pPr>
        <w:pStyle w:val="866"/>
        <w:numPr>
          <w:ilvl w:val="0"/>
          <w:numId w:val="21"/>
        </w:numPr>
        <w:contextualSpacing w:val="0"/>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建设内容及要求</w:t>
      </w:r>
      <w:r/>
    </w:p>
    <w:p>
      <w:pPr>
        <w:pStyle w:val="866"/>
        <w:numPr>
          <w:ilvl w:val="1"/>
          <w:numId w:val="22"/>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建设原则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建设时应遵循技术先进、功能齐全、性能稳定、节约成本的原则。综合考虑后期维护及操作等因素，并为今后的发展、扩建、改造等留有扩充的余地。本系统建设内容是系统的、完整的、全面的；方案具有科学性、合理性、可操作性。其具备以下原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兼容性：系统摄像头可无缝接入景区公安分局现有管理系统，硬件设备和软件综合平台必须可接入现有或后续安装的产品。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安全性：前端对系统采取必要的安全保护措施，防止病毒感染、黑客攻击、非法访问，防雷击、过载、断电和人为破坏等，具有高度的安全性和保密性。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规模性：控制协议、编解码协议、接口协议、视频文件格式、传输协议等应符合相关国家标准、行业标准和技术规范。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可靠性：系统基于可靠的网络通信技术，能确保系统级别的高稳定性和可靠性，满足7×24 小时、全年 365 天的全天候长期稳定运行。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管理性：系统的所有用户具有权限设置管理功能，各用户在其权限范围内查看相应视频。视频接入系统集中于监控中心统一控制管理，实现对所有远端设备的控制和设置。保证系统的高效、有序、可靠的发挥其应用管理职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r/>
    </w:p>
    <w:p>
      <w:pPr>
        <w:pStyle w:val="866"/>
        <w:numPr>
          <w:ilvl w:val="1"/>
          <w:numId w:val="22"/>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项目实施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根据要求提供项目的组织保证措施、</w:t>
      </w:r>
      <w:r>
        <w:rPr>
          <w:rFonts w:hint="eastAsia" w:ascii="宋体" w:hAnsi="宋体" w:cs="宋体"/>
          <w:sz w:val="24"/>
          <w:szCs w:val="24"/>
          <w:highlight w:val="none"/>
          <w:lang w:val="en-US" w:eastAsia="zh-CN"/>
        </w:rPr>
        <w:t xml:space="preserve">进度</w:t>
      </w:r>
      <w:r>
        <w:rPr>
          <w:rFonts w:hint="eastAsia" w:ascii="宋体" w:hAnsi="宋体" w:eastAsia="宋体" w:cs="宋体"/>
          <w:sz w:val="24"/>
          <w:szCs w:val="24"/>
          <w:highlight w:val="none"/>
        </w:rPr>
        <w:t xml:space="preserve">保证措施、质量</w:t>
      </w:r>
      <w:r>
        <w:rPr>
          <w:rFonts w:hint="eastAsia" w:ascii="宋体" w:hAnsi="宋体" w:eastAsia="宋体" w:cs="宋体"/>
          <w:sz w:val="24"/>
          <w:szCs w:val="24"/>
          <w:highlight w:val="none"/>
        </w:rPr>
        <w:t xml:space="preserve">保证措施、安全保证措施等方案。负责对项目建设进行总体管理，完成本项目所有设备安装调试、外场立杆施工、总体联调工作。负责完成本项目的所有市政配套工程建设，包括市政有关手续的办理，绿化，路面等市政设施损坏的补偿等。负责安排专人负责对相关设备、点位等信息按照省厅、市公安局“一机一档”建设要求进行配置、联调、对接、系统录入等工作。该项目要求与景区公安现有监控平台系统无缝对接，实现资源统一管理、应用整合共享。中标人提供的货物安装前必须经采购人确认系统对接无问题后方可进场，如因对接问题造成的一切误工损失均由中标人负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（1）组织保证措施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投标人应编制针对性组织保证措施方案，制定契合本项目实施需求的人员投入方案。搭建完整清晰的项目组织架构，投入项目团队人员至少配置项目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总负责人</w:t>
      </w:r>
      <w:r>
        <w:rPr>
          <w:rFonts w:hint="eastAsia" w:ascii="宋体" w:hAnsi="宋体" w:eastAsia="宋体" w:cs="宋体"/>
          <w:color w:val="000000" w:themeColor="text1"/>
          <w:sz w:val="24"/>
          <w:szCs w:val="24"/>
          <w:highlight w:val="none"/>
          <w14:textFill>
            <w14:solidFill>
              <w14:schemeClr w14:val="tx1"/>
            </w14:solidFill>
          </w14:textFill>
        </w:rPr>
        <w:t xml:space="preserve">、项目技术负责人，根据项目实施需要配套配置专业实施、质量管控、安全管理、资料协调等相关岗位人员。全面明确所有进场人员岗位职责、工作范围、履职标准；建立人员在岗管控、人员变更审批机制，未经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人书面同意，不得随意调换项目核心管理人员，同步落实后备人员储备方案。建立健全内部管理、沟通协调、过程管控相关制度，统筹调配各类资源，强化项目全过程统筹管理，及时协调解决项目实施过程中的各类问题，全方位保障项目高效、有序、按期、保质顺利实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实施团队要求：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1.拟投入项目总负责人（具有注册信息安全专业人员证书（CISP）、二级及以上建造师（通信与广电工程或机电工程）证书）。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2.拟投入项目技术负责人（具有信息系统项目管理师、注册信息安全专业人员）。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3.拟投入项目实施人员不少于2名具有电工作业证书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4.拟投入项目实施人员不少于2名具有高空作业证书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5.拟投入项目实施设备要求：投标人自有或租赁高空作业车、光纤熔接机、线缆测试仪。</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进度</w:t>
      </w:r>
      <w:r>
        <w:rPr>
          <w:rFonts w:hint="eastAsia" w:ascii="宋体" w:hAnsi="宋体" w:eastAsia="宋体" w:cs="宋体"/>
          <w:color w:val="000000" w:themeColor="text1"/>
          <w:sz w:val="24"/>
          <w:szCs w:val="24"/>
          <w:highlight w:val="none"/>
          <w14:textFill>
            <w14:solidFill>
              <w14:schemeClr w14:val="tx1"/>
            </w14:solidFill>
          </w14:textFill>
        </w:rPr>
        <w:t xml:space="preserve">保证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本项目要求工期时间为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14:textFill>
            <w14:solidFill>
              <w14:schemeClr w14:val="tx1"/>
            </w14:solidFill>
          </w14:textFill>
        </w:rPr>
        <w:t xml:space="preserve">历日内，投标人应编制工期保证措施方案，方案工期要求不得低于招标文件的规定。</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（3）质量保证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编制质量保证措施方案，提出质量管理目标（建立完善的质量管理体系、设立专职质量管理部门和人员、制定质量管理规章制度）、质量保证措施、质量控制点（材料质量控制要求、施工过程质量控制要求、质量检验和验收要求）、质量问题处理要求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设备要求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及材料必须满足采购人对设备、材料等的功能要求进行，所购产品须提供正规发票或来源渠道证明、产品提供商名单和联系方式、保修卡等。供货为制造商原装出厂的、全新的、包装完好的产品，各项技术指标完全符合国家有关质量检测、环保标准及产品出厂标准。如发现使用假冒伪劣产品、三无产品，将来货封存，并交由质量监督部门处理，按其处罚意见，处以罚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设备安装技术要求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安装位置：前端视频设备在外场指定点位。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安装要求：安装前需要对设备开箱查验，设备安装规范、布线整齐，设备正常工作。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设备安装所需的技术资料、安装规程、必要的仪器和专用工具、设备及工程作业车等均由中标人提供。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现场设备、控制箱等产品构件应安装牢固端正、结构稳定、位置正确、部件齐全、出线管与箱体连接密封良好。各种固定螺栓紧固。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机箱等室外设备需作喷塑等防锈处理，并充分考虑防水防尘等问题。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设备安装完成后应无划伤裂痕。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立杆安装在绿化带、花砖处，不得树立在道路、广场、景观带等妨碍车辆及人员出行、娱乐休闲的位置，并考虑与路面环境相协调。立杆必须垂直安装，并印有统一标志，并配有统一、牢固的专用锁。所有线路不得外挂，全部穿入立杆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所有线路及管道、接电、绿化修复由中标人自行解决，采购人不承担任何费用。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破坏主路面，如需破坏人行道路面时，应采用立即开挖、立即修复方式，开挖与修复应在同一天进行，并保证线路敷设深度到达车辆通行标准，路面应采用SC32过路管敷设。破土时尽量选择绿化少、城市建设管道少的位置开挖，开挖后应及时回填。</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部分线路需要架空时，架空高度不得低于6米，部分特殊地段按现场特殊要求。架空线路必须采用架空钢丝绳，采用挂钩将线缆挂于空中。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杆件及机箱要求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立杆：1、根据实际安装位置及现场情况定制横臂等，高需在3.5米以上；2、500*500*800（mm），地脚法兰；3、采用20以上圆钢；4、基础砼：采用C25商用混凝土，底部进行美化加工，与周围环境相协调。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机箱：防水、防撬、内含网络信号防雷、空开、插座，高500mm×长400mm×深300mm，侧面张贴带点位编号的提示牌、正面张贴报修电话。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④竣工资料要求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项目完成后，中标人需根据实际实施情况准备好最终图纸，包含点位图，布线图等 ；整理好相关资料，包括施工记录、图纸、网络IP清单、设备清单、项目自检报告、技术资料、系统技术说明书、使用说明书、维护手册、实施总结等及招标人要求提供的其他相关文件资料；中标人自检后向采购人申请验收，验收中相关纸质文档必须签字盖章，汇总后交采购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（4）网络传输要求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投标人必须为本项目建设独立的视频专网（与其他网络物理隔离），链路方式须采用裸光纤或PON无源光纤网络传输，所有前端监控点全部接入扬州市公安局蜀冈-瘦西湖风景名胜区分局控制中心。网络传输线路以前端设备集中点为单位，单条传输线路带宽能够充分保</w:t>
      </w:r>
      <w:r>
        <w:rPr>
          <w:rFonts w:hint="eastAsia" w:ascii="宋体" w:hAnsi="宋体" w:eastAsia="宋体" w:cs="宋体"/>
          <w:color w:val="000000" w:themeColor="text1"/>
          <w:sz w:val="24"/>
          <w:szCs w:val="24"/>
          <w:highlight w:val="none"/>
          <w14:textFill>
            <w14:solidFill>
              <w14:schemeClr w14:val="tx1"/>
            </w14:solidFill>
          </w14:textFill>
        </w:rPr>
        <w:t xml:space="preserve">证不低于5路400万像素高清摄像机同时以最高码流传输数据的需要，确保网络稳定：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（1）要求网络具有较强的稳定性、高效性和时效性，通路可用率平均达到99%（不可抗力除外）。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（2）满足监控前端到监控中心的网络传输质量。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（3）与互联网或其他任何网络完全物理隔离，有可靠的安全机制保证数据的保密性和完整性、安全性。</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3、平台系统维护要求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（1）维护范围：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本次平台新增的社会面监控点71台高清摄像机、5台高清球机、1台高空球机、22台卡口车辆采集单元、73台双目人脸抓拍采集单位以及对应的的存储授权。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（2）‌设备维护‌：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定期巡检：对监控设备进行定期巡检，确保设备正常运行。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故障处理：及时排查和处理出现的故障，确保故障设备尽快恢复正常。</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定期更新：根据设备使用情况和需求，定期更新软件和固件，确保系统安全性。</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数据备份：定期对监控数据进行备份，以防数据丢失或损坏。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‌系统更新与补丁管理‌：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系统补丁升级：因应用系统软件改版或功能扩充等原因进行系统升级。</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巡检服务：提供系统运行性能诊断及设备检修保养服务，减少故障发生率及延长使用周期。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‌安全保障‌：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系统安全管理：进行系统安全管理、数据管理，根据问题性质决定解决问题的方法并跟踪其执行。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定期诊断测试：对系统进行诊断测试，查看错误信息、性能调优、功能完善等，并提供巡检报告。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（5）‌数据管理‌：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历史数据存储：平台应能够长期保存历史监控数据，供运维人员随时查询和分析。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报表生成：支持自动生成各类监控报表，如日报、周报、月报等，帮助运维团队全面了解系统的运行状况。</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6"/>
        <w:numPr>
          <w:ilvl w:val="1"/>
          <w:numId w:val="22"/>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售后服务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1、售后服务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本项目免费质保期5年，自交货验收合格之日起计，包含所有监控系统线路、本次采购相关设备及相关服务。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在投标时明确承诺提供本项目5年免费质保服务。包括：投标人向采购人提供7*24小时故障报修受理服务机构的联系方式；投标人接到报修通知后，4小时维修人员达到现场，一般故障排除最长时间不超过8小时；特殊故障排除最长时间不超过24小时。一般故障指前端设备发生故障，特殊故障指系统软硬件疑难故障。除不可抗力原因如24小时仍无法修复故障，每延迟一天采购人核实后按照100元/天从当年需支付款项中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因各种原因（包括不可抗力）造成的移杆、损坏等，中标人应当在接到采购人报修通知后，15个工作日内完成恢复。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对采购人提出的合理售后服务要求，中标人须即时通过电话、邮件或远程网络等方式给予支持，并在4小时内到场服务。如有紧急情况不及时到场，采购人有权自行处理，相关费用由中标人负责。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在质保期内，同一设备、同一质量问题连续两次维修仍无法正常使用的，须更换同品牌、同型号新设备或性能优于故障设备的新产品。在质保期外，提供设备的更换、维修只收取成本费用，不收取人工技术费用。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内相关软件免费升级，版本与市场最新版本一致。在质保期内，中标人应无偿并迅速更换由于元件缺陷及制造工艺等问题而发生故障的产品。在设备的设计使用寿命期内，投标人应能保证更换到制造商正宗的零部件，确保设备的正常使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投标人应编制售后服务方案，方案中体现完善的售后服务体系、售后服务保证措施等。 应根据采购人的要求对设备使用提供技术培训和指导。投标人</w:t>
      </w:r>
      <w:r>
        <w:rPr>
          <w:rFonts w:hint="eastAsia" w:ascii="宋体" w:hAnsi="宋体" w:eastAsia="宋体" w:cs="宋体"/>
          <w:sz w:val="24"/>
          <w:szCs w:val="24"/>
          <w:highlight w:val="none"/>
          <w:lang w:val="en-US" w:eastAsia="zh-CN"/>
        </w:rPr>
        <w:t xml:space="preserve">提供的</w:t>
      </w:r>
      <w:r>
        <w:rPr>
          <w:rFonts w:hint="eastAsia" w:ascii="宋体" w:hAnsi="宋体" w:eastAsia="宋体" w:cs="宋体"/>
          <w:sz w:val="24"/>
          <w:szCs w:val="24"/>
          <w:highlight w:val="none"/>
        </w:rPr>
        <w:t xml:space="preserve">培训方案包含：培训计划、培训对象、培训人员等。培训应对针对采购人的管理需要对培训对象分层次进行，各层次不少于2次。</w:t>
      </w:r>
      <w:r/>
    </w:p>
    <w:p>
      <w:pPr>
        <w:pStyle w:val="110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各类符合要求的备品备件。包含但不限于摄像机、交换机、光纤收发器等主要设备。确保在故障出现能够及时替换维修。提供的有设备参数、性能需要等于或优于原产品。建立备品备件库，地点需在扬州市区范围内。委派专职人员进行管理，登记台账等。</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14:textFill>
            <w14:solidFill>
              <w14:schemeClr w14:val="tx1"/>
            </w14:solidFill>
          </w14:textFill>
        </w:rPr>
        <w:t xml:space="preserve">售后服务团队要求</w:t>
      </w:r>
      <w:r/>
    </w:p>
    <w:p>
      <w:pPr>
        <w:pStyle w:val="110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立售后服务组织架构，组员包含但不限于售后服务经理、售后服务人员等。相关人员应具有专业知识和技能。并结合建设点位的覆盖范围，配置维修小组。明确各类人员的工作职责及范围。保障维修小组能够在规定的时间内完成故障点位的修复。</w:t>
      </w:r>
      <w:r/>
    </w:p>
    <w:p>
      <w:pPr>
        <w:numPr>
          <w:ilvl w:val="0"/>
          <w:numId w:val="23"/>
        </w:num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投入售后服务经理1名，具有信息系统项目管理师和网络工程师。</w:t>
      </w:r>
      <w:r/>
    </w:p>
    <w:p>
      <w:pPr>
        <w:numPr>
          <w:ilvl w:val="0"/>
          <w:numId w:val="23"/>
        </w:num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投标人拟投入售后服务人员不少于1名具有IT服务工程师（或IT服务项目经理）证书。</w:t>
      </w:r>
      <w:r/>
    </w:p>
    <w:p>
      <w:pPr>
        <w:pStyle w:val="866"/>
        <w:numPr>
          <w:ilvl w:val="0"/>
          <w:numId w:val="0"/>
        </w:numPr>
        <w:contextualSpacing w:val="0"/>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color w:val="000000" w:themeColor="text1"/>
          <w:sz w:val="24"/>
          <w:szCs w:val="24"/>
          <w:highlight w:val="none"/>
          <w14:textFill>
            <w14:solidFill>
              <w14:schemeClr w14:val="tx1"/>
            </w14:solidFill>
          </w14:textFill>
        </w:rPr>
        <w:t xml:space="preserve">建设点位清单</w:t>
      </w:r>
      <w:r/>
    </w:p>
    <w:p>
      <w:pPr>
        <w:ind w:firstLine="480"/>
        <w:jc w:val="left"/>
        <w:spacing w:line="560" w:lineRule="exact"/>
        <w:tabs>
          <w:tab w:val="left" w:pos="6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一、区级层面集中建设任务</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1、视频数据云存储扩容建设：按照本次新增的75路高清监控、73路感知识别、22路车辆卡口情况，进行相应视频数据云存储扩容建设。</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2、结构化解析扩容建设：按照新增感知前端情况，进行相应能力提升和解析授权，持续优化平台功能模块。</w:t>
      </w:r>
      <w:r/>
    </w:p>
    <w:p>
      <w:pPr>
        <w:ind w:firstLine="480"/>
        <w:jc w:val="left"/>
        <w:spacing w:line="560" w:lineRule="exact"/>
        <w:tabs>
          <w:tab w:val="left" w:pos="6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二、区级层面统一建设、各乡街配合实施的任务</w:t>
      </w:r>
      <w:r/>
    </w:p>
    <w:p>
      <w:pPr>
        <w:ind w:firstLine="480"/>
        <w:jc w:val="left"/>
        <w:spacing w:line="560" w:lineRule="exact"/>
        <w:tabs>
          <w:tab w:val="left" w:pos="6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1、高清监控补盲建设：结合区内道路新建改造、重点部位防控、案件图侦补盲等因素需求，需新增视频监控点位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53台</w:t>
      </w:r>
      <w:r>
        <w:rPr>
          <w:rFonts w:hint="eastAsia" w:ascii="宋体" w:hAnsi="宋体" w:eastAsia="宋体" w:cs="宋体"/>
          <w:color w:val="auto"/>
          <w:sz w:val="24"/>
          <w:szCs w:val="24"/>
          <w:highlight w:val="none"/>
          <w:lang w:val="en-US" w:eastAsia="zh-CN"/>
        </w:rPr>
        <w:t xml:space="preserve">（高清摄像机45台、球型摄像机5台、高空球型摄像机3台）</w:t>
      </w:r>
      <w:r>
        <w:rPr>
          <w:rFonts w:hint="eastAsia" w:ascii="宋体" w:hAnsi="宋体" w:eastAsia="宋体" w:cs="宋体"/>
          <w:color w:val="000000" w:themeColor="text1"/>
          <w:sz w:val="24"/>
          <w:szCs w:val="24"/>
          <w:highlight w:val="none"/>
          <w14:textFill>
            <w14:solidFill>
              <w14:schemeClr w14:val="tx1"/>
            </w14:solidFill>
          </w14:textFill>
        </w:rPr>
        <w:t xml:space="preserve">，通过公安分局机房接入公安视频网和市局视频平台，普通、重点部位视频监控录像储存分别不少于1个月、3个月，具体如下：</w:t>
      </w:r>
      <w:r/>
    </w:p>
    <w:tbl>
      <w:tblPr>
        <w:tblStyle w:val="791"/>
        <w:tblW w:w="9169" w:type="dxa"/>
        <w:tblInd w:w="-74" w:type="dxa"/>
        <w:tblLayout w:type="fixed"/>
        <w:tblCellMar>
          <w:left w:w="108" w:type="dxa"/>
          <w:top w:w="0" w:type="dxa"/>
          <w:right w:w="108" w:type="dxa"/>
          <w:bottom w:w="0" w:type="dxa"/>
        </w:tblCellMar>
        <w:tblLook w:val="04A0" w:firstRow="1" w:lastRow="0" w:firstColumn="1" w:lastColumn="0" w:noHBand="0" w:noVBand="1"/>
      </w:tblPr>
      <w:tblGrid>
        <w:gridCol w:w="704"/>
        <w:gridCol w:w="868"/>
        <w:gridCol w:w="2751"/>
        <w:gridCol w:w="1222"/>
        <w:gridCol w:w="1228"/>
        <w:gridCol w:w="807"/>
        <w:gridCol w:w="832"/>
        <w:gridCol w:w="757"/>
      </w:tblGrid>
      <w:tr>
        <w:trPr>
          <w:trHeight w:val="285"/>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区域</w:t>
            </w:r>
            <w:r/>
          </w:p>
        </w:tc>
        <w:tc>
          <w:tcPr>
            <w:tcBorders>
              <w:top w:val="single" w:color="auto"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点位名称</w:t>
            </w:r>
            <w:r/>
          </w:p>
        </w:tc>
        <w:tc>
          <w:tcPr>
            <w:tcBorders>
              <w:top w:val="single" w:color="auto"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经度</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纬度</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杆件</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光纤</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监控数量</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唐子城东南隅荷花塘门</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119.4305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32.4261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综合村委会东侧小巷中段</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119.4295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32.4363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观音山山脚下对着商铺</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119.4108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32.4213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东南隅老派出所停车场东北角</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119.4321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32.4303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大明寺钟楼</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119.4142</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32.4195</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大明寺鼓楼</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119.4137</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32.4195</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大明寺鉴真纪念堂</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119.4128</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32.4203</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重宁寺门口</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119.4323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32.4050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包装厂宿舍（老虎山路23号）</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119.4354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32.4181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马太西巷44号，46号</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119.4432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32.4108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马太巷22号</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119.4442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32.4106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马太巷24号</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119.4442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32.4106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马太巷34号</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119.4433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32.4114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马太巷17号</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119.4435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32.4105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迎恩桥</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119.4289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32.4127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安庄新村南门</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119.4354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32.4201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玉人路中段</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119.4464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32.4229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W3167鸿福路与鸿福三村南门</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119.4482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32.4252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嘉境邻里公园儿童游乐场</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119.4562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32.4294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梅岭小学花都汇校区西门</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119.4406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32.4294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栖湖云庭公园篮球场(北城路与黄金坝路西北角)</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119.4466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32.4314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春辰路与纵一路四岔口</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119.4467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32.4365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北城路与安宜路四岔口</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119.4618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32.4309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栖湖云庭公园西首</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119.4437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32.4312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梦幻之城门口</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119.4294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32.4680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槐子路中间段三岔口</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119.4148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32.4507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金福源浴室门口</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119.4107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32.4471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槐子村部向南500米三岔口4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119.4247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32.4532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学士西路与侨城路岔口向西</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119.4300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32.4529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瘦西湖</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宋夹城南门城墙</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119.4233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32.4137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瘦西湖</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宋夹城东门城墙</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119.4242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32.4175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瘦西湖</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宋夹城西门城墙</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119.4217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32.4217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瘦西湖</w:t>
            </w:r>
            <w:r/>
          </w:p>
        </w:tc>
        <w:tc>
          <w:tcPr>
            <w:tcBorders>
              <w:top w:val="none" w:color="000000" w:sz="4" w:space="0"/>
              <w:left w:val="none" w:color="000000"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宋夹城北门城墙</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119.4198 </w:t>
            </w:r>
            <w:r/>
          </w:p>
        </w:tc>
        <w:tc>
          <w:tcPr>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32.4229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24"/>
              </w:numPr>
              <w:ind w:left="425" w:hanging="42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三湾</w:t>
            </w:r>
            <w:r/>
          </w:p>
        </w:tc>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P4停车场</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119.4291 </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32.3623 </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25"/>
        </w:numPr>
        <w:ind w:firstLine="480"/>
        <w:jc w:val="left"/>
        <w:spacing w:line="560" w:lineRule="exact"/>
        <w:tabs>
          <w:tab w:val="left" w:pos="6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人脸识别前端建设：立足感知设备综合应用、形成中心区域信息比对轨迹闭环的考量，新增感知前端</w:t>
      </w:r>
      <w:r>
        <w:rPr>
          <w:rFonts w:hint="eastAsia" w:ascii="宋体" w:hAnsi="宋体" w:eastAsia="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套（</w:t>
      </w:r>
      <w:r>
        <w:rPr>
          <w:rFonts w:hint="eastAsia" w:ascii="宋体" w:hAnsi="宋体" w:eastAsia="宋体" w:cs="宋体"/>
          <w:color w:val="auto"/>
          <w:sz w:val="24"/>
          <w:szCs w:val="24"/>
          <w:highlight w:val="none"/>
          <w:lang w:val="en-US" w:eastAsia="zh-CN"/>
        </w:rPr>
        <w:t xml:space="preserve">单目</w:t>
      </w:r>
      <w:r>
        <w:rPr>
          <w:rFonts w:hint="eastAsia" w:ascii="宋体" w:hAnsi="宋体" w:eastAsia="宋体" w:cs="宋体"/>
          <w:color w:val="auto"/>
          <w:sz w:val="24"/>
          <w:szCs w:val="24"/>
          <w:highlight w:val="none"/>
        </w:rPr>
        <w:t xml:space="preserve">抓拍设备</w:t>
      </w:r>
      <w:r>
        <w:rPr>
          <w:rFonts w:hint="eastAsia" w:ascii="宋体" w:hAnsi="宋体" w:eastAsia="宋体" w:cs="宋体"/>
          <w:color w:val="auto"/>
          <w:sz w:val="24"/>
          <w:szCs w:val="24"/>
          <w:highlight w:val="none"/>
          <w:lang w:val="en-US" w:eastAsia="zh-CN"/>
        </w:rPr>
        <w:t xml:space="preserve">50台、</w:t>
      </w:r>
      <w:r>
        <w:rPr>
          <w:rFonts w:hint="eastAsia" w:ascii="宋体" w:hAnsi="宋体" w:eastAsia="宋体" w:cs="宋体"/>
          <w:color w:val="auto"/>
          <w:sz w:val="24"/>
          <w:szCs w:val="24"/>
          <w:highlight w:val="none"/>
        </w:rPr>
        <w:t xml:space="preserve">双目抓拍设备</w:t>
      </w:r>
      <w:r>
        <w:rPr>
          <w:rFonts w:hint="eastAsia" w:ascii="宋体" w:hAnsi="宋体" w:eastAsia="宋体" w:cs="宋体"/>
          <w:color w:val="auto"/>
          <w:sz w:val="24"/>
          <w:szCs w:val="24"/>
          <w:highlight w:val="none"/>
          <w:lang w:val="en-US" w:eastAsia="zh-CN"/>
        </w:rPr>
        <w:t xml:space="preserve">31台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，均通过公安分局机房接入公安视频网和感知解析比对平台，全量场景、重点区域抓拍、人脸图片存储分别不少于6个月、1年、1年，具体如下：</w:t>
      </w:r>
      <w:r/>
    </w:p>
    <w:tbl>
      <w:tblPr>
        <w:tblStyle w:val="791"/>
        <w:tblW w:w="9169" w:type="dxa"/>
        <w:tblInd w:w="-74" w:type="dxa"/>
        <w:tblLayout w:type="fixed"/>
        <w:tblCellMar>
          <w:left w:w="108" w:type="dxa"/>
          <w:top w:w="0" w:type="dxa"/>
          <w:right w:w="108" w:type="dxa"/>
          <w:bottom w:w="0" w:type="dxa"/>
        </w:tblCellMar>
        <w:tblLook w:val="04A0" w:firstRow="1" w:lastRow="0" w:firstColumn="1" w:lastColumn="0" w:noHBand="0" w:noVBand="1"/>
      </w:tblPr>
      <w:tblGrid>
        <w:gridCol w:w="648"/>
        <w:gridCol w:w="854"/>
        <w:gridCol w:w="2460"/>
        <w:gridCol w:w="1418"/>
        <w:gridCol w:w="1393"/>
        <w:gridCol w:w="807"/>
        <w:gridCol w:w="832"/>
        <w:gridCol w:w="757"/>
      </w:tblGrid>
      <w:tr>
        <w:trPr>
          <w:trHeight w:val="285"/>
          <w:tblHeader/>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区域</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点位名称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经度</w:t>
            </w:r>
            <w:r/>
          </w:p>
        </w:tc>
        <w:tc>
          <w:tcPr>
            <w:tcBorders>
              <w:top w:val="single" w:color="auto"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纬度</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杆件</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光纤</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监控数量</w:t>
            </w:r>
            <w:r/>
          </w:p>
        </w:tc>
      </w:tr>
      <w:tr>
        <w:trPr>
          <w:trHeight w:val="9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唐子城东南隅荷花塘门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119.4305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32.4261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唐子城东南隅铁佛寺门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119.4087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32.4264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唐子城东南隅汉墓门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119.4255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32.4257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唐子城东南隅西北门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119.4323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32.4303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唐子城东南隅西南门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119.4322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32.4307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堡城路唐城水韵路口</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119.4164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32.4295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蜀冈</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综合村委会一组东侧丁字路</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119.4311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32.4385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育才实验小学北校区大门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119.4297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32.4066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扬大一幼大门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119.4264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32.4040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梅岭小学马太路校区大门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119.4419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32.4118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史可法路4号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119.4351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32.4047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新增</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新增</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工人二村151号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119.4401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32.4042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新增</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新增</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长征路2号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119.4339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32.4046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漕河坊</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119.4334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32.4135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御景园</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119.4326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32.4144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英伦小镇</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119.4422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32.4146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教工宿舍（史可法路4号）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119.4350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32.4047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绿扬人家</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119.4355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32.4053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天星花园</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119.4369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32.4089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未名园</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119.4380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32.4035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邗医宿舍（玉器街2号）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119.4380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32.4035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马太巷30号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119.4433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32.4114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马太西巷50号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119.4432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32.4108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马太巷15号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119.4442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32.4106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马太巷40号</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119.4442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32.4106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江平路与黄金坝路四岔口</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119.4438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32.4405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江平路与江都北路</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119.4497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32.4398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佳家花园西门南门出口</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119.4441</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119.4474</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32.4374</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32.4362</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忠恕亲水湾</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119.4551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32.4553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卜扬马庄加油站</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119.4408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32.4172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唐城加油站</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119.4353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32.4190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食品站楼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119.4377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32.4556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中石化槐泗加油站</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119.4337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32.4571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平山社区医院</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119.4406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32.4545 </w:t>
            </w:r>
            <w:r/>
          </w:p>
        </w:tc>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r>
        <w:trPr>
          <w:trHeight w:val="30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numPr>
                <w:ilvl w:val="0"/>
                <w:numId w:val="26"/>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三湾</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三湾迎宾馆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119.4206 </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32.3559 </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25"/>
        </w:numPr>
        <w:ind w:left="0"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车辆卡口前端建设：立足感知设备综合应用、形成中心区域信息比对轨迹闭环的考量，新增车辆卡口</w:t>
      </w:r>
      <w:r>
        <w:rPr>
          <w:rFonts w:hint="eastAsia" w:ascii="宋体" w:hAnsi="宋体" w:eastAsia="宋体" w:cs="宋体"/>
          <w:color w:val="auto"/>
          <w:sz w:val="24"/>
          <w:szCs w:val="24"/>
          <w:highlight w:val="none"/>
          <w:lang w:val="en-US" w:eastAsia="zh-CN"/>
        </w:rPr>
        <w:t xml:space="preserve">10台及</w:t>
      </w:r>
      <w:r>
        <w:rPr>
          <w:rFonts w:hint="eastAsia" w:ascii="宋体" w:hAnsi="宋体" w:eastAsia="宋体" w:cs="宋体"/>
          <w:color w:val="auto"/>
          <w:sz w:val="24"/>
          <w:szCs w:val="24"/>
          <w:highlight w:val="none"/>
        </w:rPr>
        <w:t xml:space="preserve">配套设施</w:t>
      </w:r>
      <w:r>
        <w:rPr>
          <w:rFonts w:hint="eastAsia" w:ascii="宋体" w:hAnsi="宋体" w:eastAsia="宋体" w:cs="宋体"/>
          <w:color w:val="000000" w:themeColor="text1"/>
          <w:sz w:val="24"/>
          <w:szCs w:val="24"/>
          <w:highlight w:val="none"/>
          <w14:textFill>
            <w14:solidFill>
              <w14:schemeClr w14:val="tx1"/>
            </w14:solidFill>
          </w14:textFill>
        </w:rPr>
        <w:t xml:space="preserve">，均通过公安分局机房接入公安视频网和市局视频平台，全量场景、重点区域抓拍、车牌图片存储分别不少于6个月、1年、1年，具体如下：</w:t>
      </w:r>
      <w:r/>
    </w:p>
    <w:tbl>
      <w:tblPr>
        <w:tblStyle w:val="791"/>
        <w:tblW w:w="9169" w:type="dxa"/>
        <w:tblInd w:w="-74" w:type="dxa"/>
        <w:tblLayout w:type="fixed"/>
        <w:tblCellMar>
          <w:left w:w="108" w:type="dxa"/>
          <w:top w:w="0" w:type="dxa"/>
          <w:right w:w="108" w:type="dxa"/>
          <w:bottom w:w="0" w:type="dxa"/>
        </w:tblCellMar>
        <w:tblLook w:val="04A0" w:firstRow="1" w:lastRow="0" w:firstColumn="1" w:lastColumn="0" w:noHBand="0" w:noVBand="1"/>
      </w:tblPr>
      <w:tblGrid>
        <w:gridCol w:w="648"/>
        <w:gridCol w:w="854"/>
        <w:gridCol w:w="2460"/>
        <w:gridCol w:w="1418"/>
        <w:gridCol w:w="1393"/>
        <w:gridCol w:w="807"/>
        <w:gridCol w:w="832"/>
        <w:gridCol w:w="757"/>
      </w:tblGrid>
      <w:tr>
        <w:trPr>
          <w:trHeight w:val="285"/>
          <w:tblHeader/>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区域</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点位名称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经度</w:t>
            </w:r>
            <w:r/>
          </w:p>
        </w:tc>
        <w:tc>
          <w:tcPr>
            <w:tcBorders>
              <w:top w:val="single" w:color="auto"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纬度</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杆件</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光纤</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监控数量</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玉器街与史可法东路</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119.4389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32.4069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梅岭</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玉器街与梅岭东路</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119.4388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32.4090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玉人路与鸿福路</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119.4460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32.4273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卜扬马庄加油站</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119.4409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32.4171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城北</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唐城加油站</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119.4353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32.4190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平山</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中石化槐泗加油站</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119.4337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32.4571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新建</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trHeight w:val="30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numPr>
                <w:ilvl w:val="0"/>
                <w:numId w:val="27"/>
              </w:numPr>
              <w:ind w:left="425" w:hanging="42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三湾</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开发路东北门入口</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119.4287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32.3644 </w:t>
            </w:r>
            <w:r/>
          </w:p>
        </w:tc>
        <w:tc>
          <w:tcPr>
            <w:tcBorders>
              <w:top w:val="none" w:color="000000" w:sz="4" w:space="0"/>
              <w:left w:val="none" w:color="000000" w:sz="4" w:space="0"/>
              <w:bottom w:val="single" w:color="auto" w:sz="4" w:space="0"/>
              <w:right w:val="single" w:color="auto" w:sz="4" w:space="0"/>
            </w:tcBorders>
            <w:tcW w:w="80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利旧</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pStyle w:val="866"/>
        <w:numPr>
          <w:ilvl w:val="0"/>
          <w:numId w:val="21"/>
        </w:numPr>
        <w:contextualSpacing w:val="0"/>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货物清单及技术规范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6"/>
        <w:numPr>
          <w:ilvl w:val="1"/>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设备清单</w:t>
      </w:r>
      <w:r/>
    </w:p>
    <w:tbl>
      <w:tblPr>
        <w:tblStyle w:val="791"/>
        <w:tblW w:w="91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8"/>
        <w:gridCol w:w="2106"/>
        <w:gridCol w:w="3996"/>
        <w:gridCol w:w="701"/>
        <w:gridCol w:w="726"/>
        <w:gridCol w:w="726"/>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规格/参数/要求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一、前端采集系统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1.监控补盲子系统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高清摄像机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具体详见技术参数</w:t>
            </w:r>
            <w:r>
              <w:rPr>
                <w:rFonts w:hint="eastAsia" w:ascii="宋体" w:hAnsi="宋体" w:cs="宋体"/>
                <w:b/>
                <w:bCs/>
                <w:i w:val="0"/>
                <w:iCs w:val="0"/>
                <w:color w:val="000000"/>
                <w:sz w:val="24"/>
                <w:szCs w:val="24"/>
                <w:highlight w:val="none"/>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具体详见技术参数</w:t>
            </w:r>
            <w:r>
              <w:rPr>
                <w:rFonts w:hint="eastAsia" w:ascii="宋体" w:hAnsi="宋体" w:cs="宋体"/>
                <w:b/>
                <w:bCs/>
                <w:i w:val="0"/>
                <w:iCs w:val="0"/>
                <w:color w:val="000000"/>
                <w:sz w:val="24"/>
                <w:szCs w:val="24"/>
                <w:highlight w:val="none"/>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具体详见技术参数</w:t>
            </w:r>
            <w:r>
              <w:rPr>
                <w:rFonts w:hint="eastAsia" w:ascii="宋体" w:hAnsi="宋体" w:cs="宋体"/>
                <w:b/>
                <w:bCs/>
                <w:i w:val="0"/>
                <w:iCs w:val="0"/>
                <w:color w:val="000000"/>
                <w:sz w:val="24"/>
                <w:szCs w:val="24"/>
                <w:highlight w:val="none"/>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配套电源12V</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支架</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配套支架</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万向节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配套支架</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主杆102*2.5厚*4米、法兰12*240*240、地笼，接地</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横杆76*2.0厚*1米-2米（具体视现场）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室外挂杆箱</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不锈钢，箱体尺寸高500mmX长400mmX深300mm，含网络防雷器、空气开关、插座等</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8口千兆工业交换机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8口千兆工业交换机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RVV3*1.5</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室外防水超五类网线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4对8芯</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联网租赁费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含传输设备及线路费用，5年</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设备接电及电费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设备接电及设备5年电费</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挖基坑土方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土壤类别：一、二类土，挖土深度：4m以内</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土方垃圾清运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C25无筋混凝土 </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辅助管道</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尼龙管PE32含管道开挖回填</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配套辅材</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2.人脸抓拍子系统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单目</w:t>
            </w:r>
            <w:r>
              <w:rPr>
                <w:rFonts w:hint="eastAsia" w:ascii="宋体" w:hAnsi="宋体" w:eastAsia="宋体" w:cs="宋体"/>
                <w:i w:val="0"/>
                <w:iCs w:val="0"/>
                <w:color w:val="000000"/>
                <w:sz w:val="24"/>
                <w:szCs w:val="24"/>
                <w:highlight w:val="none"/>
                <w:u w:val="none"/>
                <w:lang w:val="en-US" w:eastAsia="zh-CN" w:bidi="ar"/>
              </w:rPr>
              <w:t xml:space="preserve">人脸抓拍摄像机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具体详见技术参数</w:t>
            </w:r>
            <w:r>
              <w:rPr>
                <w:rFonts w:hint="eastAsia" w:ascii="宋体" w:hAnsi="宋体" w:cs="宋体"/>
                <w:b/>
                <w:bCs/>
                <w:i w:val="0"/>
                <w:iCs w:val="0"/>
                <w:color w:val="000000"/>
                <w:sz w:val="24"/>
                <w:szCs w:val="24"/>
                <w:highlight w:val="none"/>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双目人脸抓拍摄像机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具体详见技术参数</w:t>
            </w:r>
            <w:r>
              <w:rPr>
                <w:rFonts w:hint="eastAsia" w:ascii="宋体" w:hAnsi="宋体" w:cs="宋体"/>
                <w:b/>
                <w:bCs/>
                <w:i w:val="0"/>
                <w:iCs w:val="0"/>
                <w:color w:val="000000"/>
                <w:sz w:val="24"/>
                <w:szCs w:val="24"/>
                <w:highlight w:val="none"/>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配套电源12V</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万向节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配套万向节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主杆102*2.5厚*4米、法兰12*240*240、地笼，接地</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0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法兰横臂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横杆76*2.0厚*1米（具体视现场）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抱箍横臂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横杆76*2.0厚*1米（具体视现场）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室外挂杆箱</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不锈钢，箱体尺寸高500mmX长400mmX深300mm，含网络防雷器、空气开关、插座等</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8口千兆工业交换机</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8口千兆工业交换机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5"/>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RVV3*1.5</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室外防水超五类网线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4对8芯</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联网租赁费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含传输设备及线路费用，5年</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设备接电及电费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设备接电及设备5年电费</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挖基坑土方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土壤类别：一、二类土，挖土深度：4m以内</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土方垃圾清运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C25无筋混凝土 </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辅助管道</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尼龙管PE32含管道开挖回填</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配套辅材</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gridSpan w:val="2"/>
            <w:shd w:val="clear" w:color="auto" w:fill="ffffff"/>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3.道路卡口子系统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具体详见技术参数</w:t>
            </w:r>
            <w:r>
              <w:rPr>
                <w:rFonts w:hint="eastAsia" w:ascii="宋体" w:hAnsi="宋体" w:cs="宋体"/>
                <w:b/>
                <w:bCs/>
                <w:i w:val="0"/>
                <w:iCs w:val="0"/>
                <w:color w:val="000000"/>
                <w:sz w:val="24"/>
                <w:szCs w:val="24"/>
                <w:highlight w:val="none"/>
                <w:u w:val="none"/>
                <w:lang w:val="en-US" w:eastAsia="zh-CN"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镜头</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万向节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配套万向节</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生态补光灯</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 支持LED常亮、LED频闪、LED爆闪、白光气体爆闪以及红外气体爆闪五种补光方式，可通过远程控制切换；</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 支持环境感光功能，感光0~15级可调；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 支持LED亮度等级0~99级可调；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 支持具备符合GB/T 37958-2019《视频监控系统主动照明部件光辐射安全要求》的检测报告，LED频闪模式不超过0类危险，气体脉冲模式不超过3类危险，气体脉冲红外模式不超过3类危险；</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 支持频闪方式或脉冲方式补光装置应能与交通技术监控设备同步；</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 支持通过光敏进行红外和白光切换；</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 支持具备符合GA/T1202-2022《交通技术监控成像补光装置通用技术条件》的检测报告（LED光源1级频闪，气体放电光源1级脉冲和红外光源）；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 支持通过RS485接口对补光灯亮度进行调节，可设置为1~255级；</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 支持通过RS485进行远程升级；</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 支持补光灯温度检测；</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 支持软件版本升级；</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 支持串口通信功能，可通过串口调试终端实现亮度调节、感光阈值调节、误触发保护等级设置，并可查看气体放电闪光次数、工作温度、气体放电闪光持续时间；</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 支持具有1路RS485接口，1路爆闪输入接口，1路频闪输入接口，1路白光气体爆闪与红外气体爆闪光源切换接口；</w:t>
            </w:r>
            <w:r/>
          </w:p>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 支持外壳防护等级：IP67；</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6米*3米杆件主杆140*3.5厚*6米，法兰16*300*300，连接法兰10*200圆</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横臂</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横杆76*3.0厚*3米-5米（具体视现场）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室外挂杆箱</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不锈钢，箱体尺寸高500mmX长400mmX深300mm，含网络防雷器、空气开关、插座等</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8口千兆工业交换机（抱杆箱）</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8口千兆工业交换机</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RVV3*1.5</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二芯屏蔽线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RVVP2*1.0</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室外防水超五类网线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4对8芯</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联网租赁费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含传输设备及线路费用，5年</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设备接电及电费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设备接电及设备5年电费</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挖基坑土方</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土壤类别：一、二类土，挖土深度：4m以内</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土方垃圾清运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C25无筋混凝土 </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辅助管道</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尼龙管PE32含管道开挖</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配套辅材</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p>
        </w:tc>
        <w:tc>
          <w:tcPr>
            <w:shd w:val="clear" w:color="auto"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66"/>
        <w:numPr>
          <w:ilvl w:val="1"/>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技术参数要求</w:t>
      </w:r>
      <w:r/>
    </w:p>
    <w:p>
      <w:pPr>
        <w:pStyle w:val="866"/>
        <w:numPr>
          <w:ilvl w:val="2"/>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5"/>
      </w:pPr>
      <w:r>
        <w:rPr>
          <w:rFonts w:hint="eastAsia" w:ascii="宋体" w:hAnsi="宋体" w:eastAsia="宋体" w:cs="宋体"/>
          <w:b/>
          <w:color w:val="000000" w:themeColor="text1"/>
          <w:sz w:val="24"/>
          <w:szCs w:val="24"/>
          <w:highlight w:val="none"/>
          <w14:textFill>
            <w14:solidFill>
              <w14:schemeClr w14:val="tx1"/>
            </w14:solidFill>
          </w14:textFill>
        </w:rPr>
        <w:t xml:space="preserve">高清摄像机</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传感器类型：1/2.7英寸CMOS；</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像素：</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不低于</w:t>
      </w:r>
      <w:r>
        <w:rPr>
          <w:rFonts w:hint="eastAsia" w:ascii="宋体" w:hAnsi="宋体" w:eastAsia="宋体" w:cs="宋体"/>
          <w:i/>
          <w:iCs/>
          <w:sz w:val="24"/>
          <w:szCs w:val="24"/>
          <w:highlight w:val="none"/>
          <w:u w:val="single"/>
        </w:rPr>
        <w:t xml:space="preserve">400万；</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最大分辨率：</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不低于</w:t>
      </w:r>
      <w:r>
        <w:rPr>
          <w:rFonts w:hint="eastAsia" w:ascii="宋体" w:hAnsi="宋体" w:eastAsia="宋体" w:cs="宋体"/>
          <w:i/>
          <w:iCs/>
          <w:sz w:val="24"/>
          <w:szCs w:val="24"/>
          <w:highlight w:val="none"/>
          <w:u w:val="single"/>
        </w:rPr>
        <w:t xml:space="preserve">2688×1520；</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最低照度：</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不低于</w:t>
      </w:r>
      <w:r>
        <w:rPr>
          <w:rFonts w:hint="eastAsia" w:ascii="宋体" w:hAnsi="宋体" w:eastAsia="宋体" w:cs="宋体"/>
          <w:i/>
          <w:iCs/>
          <w:sz w:val="24"/>
          <w:szCs w:val="24"/>
          <w:highlight w:val="none"/>
          <w:u w:val="single"/>
        </w:rPr>
        <w:t xml:space="preserve">0.002lux（彩色模式）；0.0002lux（黑白模式）；0lux（补光灯开启）；</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最大补光距离：</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不低于</w:t>
      </w:r>
      <w:r>
        <w:rPr>
          <w:rFonts w:hint="eastAsia" w:ascii="宋体" w:hAnsi="宋体" w:eastAsia="宋体" w:cs="宋体"/>
          <w:i/>
          <w:iCs/>
          <w:sz w:val="24"/>
          <w:szCs w:val="24"/>
          <w:highlight w:val="none"/>
          <w:u w:val="single"/>
        </w:rPr>
        <w:t xml:space="preserve">50m（红外）；</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补光灯：</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不少于</w:t>
      </w:r>
      <w:r>
        <w:rPr>
          <w:rFonts w:hint="eastAsia" w:ascii="宋体" w:hAnsi="宋体" w:eastAsia="宋体" w:cs="宋体"/>
          <w:i/>
          <w:iCs/>
          <w:sz w:val="24"/>
          <w:szCs w:val="24"/>
          <w:highlight w:val="none"/>
          <w:u w:val="single"/>
        </w:rPr>
        <w:t xml:space="preserve">2颗（红外灯）；</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镜头类型：电动变焦；</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镜头焦距：2.7mm～13.5mm；</w:t>
      </w:r>
      <w:r/>
    </w:p>
    <w:p>
      <w:pPr>
        <w:numPr>
          <w:ilvl w:val="0"/>
          <w:numId w:val="28"/>
        </w:numPr>
        <w:ind w:left="0" w:firstLine="480"/>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镜头光圈：F1.6；</w:t>
      </w:r>
      <w:r/>
    </w:p>
    <w:p>
      <w:pPr>
        <w:numPr>
          <w:ilvl w:val="0"/>
          <w:numId w:val="0"/>
        </w:numPr>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szCs w:val="24"/>
          <w:highlight w:val="none"/>
          <w:u w:val="none"/>
          <w:lang w:val="en-US" w:eastAsia="zh-CN"/>
        </w:rPr>
        <w:t xml:space="preserve">   10.</w:t>
      </w:r>
      <w:r>
        <w:rPr>
          <w:rFonts w:hint="eastAsia" w:ascii="宋体" w:hAnsi="宋体" w:eastAsia="宋体" w:cs="宋体"/>
          <w:i/>
          <w:iCs/>
          <w:sz w:val="24"/>
          <w:szCs w:val="24"/>
          <w:highlight w:val="none"/>
          <w:u w:val="single"/>
        </w:rPr>
        <w:t xml:space="preserve">视场角：水平：92.6°～30°；垂直：51.2°～17°；对角：112.8°～36.5°；</w:t>
      </w:r>
      <w:r/>
    </w:p>
    <w:p>
      <w:pPr>
        <w:numPr>
          <w:ilvl w:val="0"/>
          <w:numId w:val="0"/>
        </w:numPr>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szCs w:val="24"/>
          <w:highlight w:val="none"/>
          <w:u w:val="none"/>
          <w:lang w:val="en-US" w:eastAsia="zh-CN"/>
        </w:rPr>
        <w:t xml:space="preserve">   11</w:t>
      </w:r>
      <w:r>
        <w:rPr>
          <w:rFonts w:hint="eastAsia" w:ascii="宋体" w:hAnsi="宋体" w:cs="宋体"/>
          <w:i/>
          <w:iCs/>
          <w:sz w:val="24"/>
          <w:szCs w:val="24"/>
          <w:highlight w:val="none"/>
          <w:u w:val="single"/>
          <w:lang w:val="en-US" w:eastAsia="zh-CN"/>
        </w:rPr>
        <w:t xml:space="preserve">.</w:t>
      </w:r>
      <w:r>
        <w:rPr>
          <w:rFonts w:hint="eastAsia" w:ascii="宋体" w:hAnsi="宋体" w:eastAsia="宋体" w:cs="宋体"/>
          <w:i/>
          <w:iCs/>
          <w:sz w:val="24"/>
          <w:szCs w:val="24"/>
          <w:highlight w:val="none"/>
          <w:u w:val="single"/>
        </w:rPr>
        <w:t xml:space="preserve">通用行为分析：物品遗留；物品搬移；</w:t>
      </w:r>
      <w:r/>
    </w:p>
    <w:p>
      <w:pPr>
        <w:numPr>
          <w:ilvl w:val="0"/>
          <w:numId w:val="0"/>
        </w:numPr>
        <w:keepLines w:val="0"/>
        <w:keepNext w:val="0"/>
        <w:pageBreakBefore w:val="0"/>
        <w:spacing w:line="360" w:lineRule="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szCs w:val="24"/>
          <w:highlight w:val="none"/>
          <w:u w:val="none"/>
          <w:lang w:val="en-US" w:eastAsia="zh-CN"/>
        </w:rPr>
        <w:t xml:space="preserve">   12.</w:t>
      </w:r>
      <w:r>
        <w:rPr>
          <w:rFonts w:hint="eastAsia" w:ascii="宋体" w:hAnsi="宋体" w:eastAsia="宋体" w:cs="宋体"/>
          <w:i/>
          <w:iCs/>
          <w:sz w:val="24"/>
          <w:szCs w:val="24"/>
          <w:highlight w:val="none"/>
          <w:u w:val="single"/>
        </w:rPr>
        <w:t xml:space="preserve">热度图：支持；</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13.</w:t>
      </w:r>
      <w:r>
        <w:rPr>
          <w:rFonts w:hint="eastAsia" w:ascii="宋体" w:hAnsi="宋体" w:eastAsia="宋体" w:cs="宋体"/>
          <w:i w:val="0"/>
          <w:iCs w:val="0"/>
          <w:sz w:val="24"/>
          <w:szCs w:val="24"/>
          <w:highlight w:val="none"/>
          <w:u w:val="none"/>
        </w:rPr>
        <w:t xml:space="preserve">周界防范：绊线入侵；区域入侵；徘徊检测；人员聚集；</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14.</w:t>
      </w:r>
      <w:r>
        <w:rPr>
          <w:rFonts w:hint="eastAsia" w:ascii="宋体" w:hAnsi="宋体" w:eastAsia="宋体" w:cs="宋体"/>
          <w:i w:val="0"/>
          <w:iCs w:val="0"/>
          <w:sz w:val="24"/>
          <w:szCs w:val="24"/>
          <w:highlight w:val="none"/>
          <w:u w:val="none"/>
        </w:rPr>
        <w:t xml:space="preserve">人脸检测：支持人脸检测；支持跟踪；支持优选；支持抓拍；支持上报最优的</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highlight w:val="none"/>
          <w:u w:val="none"/>
        </w:rPr>
        <w:t xml:space="preserve">人脸抓图；支持人脸曝光；支持人脸属性提取，支持6种属性8种表情：性别，年龄，眼镜，表情（愤怒，平静，高兴，悲伤，厌恶，惊讶，困惑，害怕），口罩，胡子；支持人脸抠图区域可设：人脸， 单寸照，自定义；支持实时抓拍、优选抓拍、质量优先三种抓拍策略；支持人脸角度过滤功能；支持优选时长可设；</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15.</w:t>
      </w:r>
      <w:r>
        <w:rPr>
          <w:rFonts w:hint="eastAsia" w:ascii="宋体" w:hAnsi="宋体" w:eastAsia="宋体" w:cs="宋体"/>
          <w:i w:val="0"/>
          <w:iCs w:val="0"/>
          <w:sz w:val="24"/>
          <w:szCs w:val="24"/>
          <w:highlight w:val="none"/>
          <w:u w:val="none"/>
        </w:rPr>
        <w:t xml:space="preserve">智能编码：H.264：支持；H.265：支持；</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16.</w:t>
      </w:r>
      <w:r>
        <w:rPr>
          <w:rFonts w:hint="eastAsia" w:ascii="宋体" w:hAnsi="宋体" w:eastAsia="宋体" w:cs="宋体"/>
          <w:i w:val="0"/>
          <w:iCs w:val="0"/>
          <w:sz w:val="24"/>
          <w:szCs w:val="24"/>
          <w:highlight w:val="none"/>
          <w:u w:val="none"/>
        </w:rPr>
        <w:t xml:space="preserve">AI编码：H.264：支持（压缩率≥25%）；H.265：支持（压缩率≥25%）；</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17.</w:t>
      </w:r>
      <w:r>
        <w:rPr>
          <w:rFonts w:hint="eastAsia" w:ascii="宋体" w:hAnsi="宋体" w:eastAsia="宋体" w:cs="宋体"/>
          <w:i w:val="0"/>
          <w:iCs w:val="0"/>
          <w:sz w:val="24"/>
          <w:szCs w:val="24"/>
          <w:highlight w:val="none"/>
          <w:u w:val="none"/>
        </w:rPr>
        <w:t xml:space="preserve">宽动态：120dB；</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18.</w:t>
      </w:r>
      <w:r>
        <w:rPr>
          <w:rFonts w:hint="eastAsia" w:ascii="宋体" w:hAnsi="宋体" w:eastAsia="宋体" w:cs="宋体"/>
          <w:i w:val="0"/>
          <w:iCs w:val="0"/>
          <w:sz w:val="24"/>
          <w:szCs w:val="24"/>
          <w:highlight w:val="none"/>
          <w:u w:val="none"/>
        </w:rPr>
        <w:t xml:space="preserve">内置麦克风：支持，内置1个麦克风；</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19.</w:t>
      </w:r>
      <w:r>
        <w:rPr>
          <w:rFonts w:hint="eastAsia" w:ascii="宋体" w:hAnsi="宋体" w:eastAsia="宋体" w:cs="宋体"/>
          <w:i w:val="0"/>
          <w:iCs w:val="0"/>
          <w:sz w:val="24"/>
          <w:szCs w:val="24"/>
          <w:highlight w:val="none"/>
          <w:u w:val="none"/>
        </w:rPr>
        <w:t xml:space="preserve">报警事件：无SD卡；SD卡空间不足；SD卡出错；网络断开；IP冲突；非法</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highlight w:val="none"/>
          <w:u w:val="none"/>
        </w:rPr>
        <w:t xml:space="preserve">访问；动态检测；视频遮挡；绊线入侵；区域入侵；徘徊检测；人员聚集；音频异常侦测；电压检测；外部报警；SMD；安全异常；人脸检测；物品遗留；物品搬移；虚焦侦测；</w:t>
      </w:r>
      <w:r/>
    </w:p>
    <w:p>
      <w:pPr>
        <w:numPr>
          <w:ilvl w:val="0"/>
          <w:numId w:val="0"/>
        </w:numPr>
        <w:ind w:firstLine="0"/>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20.</w:t>
      </w:r>
      <w:r>
        <w:rPr>
          <w:rFonts w:hint="eastAsia" w:ascii="宋体" w:hAnsi="宋体" w:eastAsia="宋体" w:cs="宋体"/>
          <w:i w:val="0"/>
          <w:iCs w:val="0"/>
          <w:sz w:val="24"/>
          <w:szCs w:val="24"/>
          <w:highlight w:val="none"/>
          <w:u w:val="none"/>
        </w:rPr>
        <w:t xml:space="preserve">接入标准：ONVIF（Profile S &amp; Profile G &amp; Profile T）；CGI；</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highlight w:val="none"/>
          <w:u w:val="none"/>
        </w:rPr>
        <w:t xml:space="preserve">GB/T28181-2022（双国标）；GA/T1400；</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21.</w:t>
      </w:r>
      <w:r>
        <w:rPr>
          <w:rFonts w:hint="eastAsia" w:ascii="宋体" w:hAnsi="宋体" w:eastAsia="宋体" w:cs="宋体"/>
          <w:i w:val="0"/>
          <w:iCs w:val="0"/>
          <w:sz w:val="24"/>
          <w:szCs w:val="24"/>
          <w:highlight w:val="none"/>
          <w:u w:val="none"/>
        </w:rPr>
        <w:t xml:space="preserve">预览最大用户数：20个（总带宽：48M）；</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22.</w:t>
      </w:r>
      <w:r>
        <w:rPr>
          <w:rFonts w:hint="eastAsia" w:ascii="宋体" w:hAnsi="宋体" w:eastAsia="宋体" w:cs="宋体"/>
          <w:i w:val="0"/>
          <w:iCs w:val="0"/>
          <w:sz w:val="24"/>
          <w:szCs w:val="24"/>
          <w:highlight w:val="none"/>
          <w:u w:val="none"/>
        </w:rPr>
        <w:t xml:space="preserve">最大Micro SD卡：256GB；</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23.</w:t>
      </w:r>
      <w:r>
        <w:rPr>
          <w:rFonts w:hint="eastAsia" w:ascii="宋体" w:hAnsi="宋体" w:eastAsia="宋体" w:cs="宋体"/>
          <w:i w:val="0"/>
          <w:iCs w:val="0"/>
          <w:sz w:val="24"/>
          <w:szCs w:val="24"/>
          <w:highlight w:val="none"/>
          <w:u w:val="none"/>
        </w:rPr>
        <w:t xml:space="preserve">音频输入：1路（RCA头）；</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24.</w:t>
      </w:r>
      <w:r>
        <w:rPr>
          <w:rFonts w:hint="eastAsia" w:ascii="宋体" w:hAnsi="宋体" w:eastAsia="宋体" w:cs="宋体"/>
          <w:i w:val="0"/>
          <w:iCs w:val="0"/>
          <w:sz w:val="24"/>
          <w:szCs w:val="24"/>
          <w:highlight w:val="none"/>
          <w:u w:val="none"/>
        </w:rPr>
        <w:t xml:space="preserve">音频输出：1路（RCA头）；</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25.</w:t>
      </w:r>
      <w:r>
        <w:rPr>
          <w:rFonts w:hint="eastAsia" w:ascii="宋体" w:hAnsi="宋体" w:eastAsia="宋体" w:cs="宋体"/>
          <w:i w:val="0"/>
          <w:iCs w:val="0"/>
          <w:sz w:val="24"/>
          <w:szCs w:val="24"/>
          <w:highlight w:val="none"/>
          <w:u w:val="none"/>
        </w:rPr>
        <w:t xml:space="preserve">报警输入：1路（支持对接湿接点报警输出（直流3～5V电位，最大5mA电</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highlight w:val="none"/>
          <w:u w:val="none"/>
        </w:rPr>
        <w:t xml:space="preserve">流）；支持对接干接点报警输出）；</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26.</w:t>
      </w:r>
      <w:r>
        <w:rPr>
          <w:rFonts w:hint="eastAsia" w:ascii="宋体" w:hAnsi="宋体" w:eastAsia="宋体" w:cs="宋体"/>
          <w:i w:val="0"/>
          <w:iCs w:val="0"/>
          <w:sz w:val="24"/>
          <w:szCs w:val="24"/>
          <w:highlight w:val="none"/>
          <w:u w:val="none"/>
        </w:rPr>
        <w:t xml:space="preserve">报警输出：1路（湿接点，支持直流最大12V电位，0.3A电流）；</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27.</w:t>
      </w:r>
      <w:r>
        <w:rPr>
          <w:rFonts w:hint="eastAsia" w:ascii="宋体" w:hAnsi="宋体" w:eastAsia="宋体" w:cs="宋体"/>
          <w:i w:val="0"/>
          <w:iCs w:val="0"/>
          <w:sz w:val="24"/>
          <w:szCs w:val="24"/>
          <w:highlight w:val="none"/>
          <w:u w:val="none"/>
        </w:rPr>
        <w:t xml:space="preserve">供电方式：DC12V/PoE；</w:t>
      </w:r>
      <w:r/>
    </w:p>
    <w:p>
      <w:pPr>
        <w:numPr>
          <w:ilvl w:val="0"/>
          <w:numId w:val="0"/>
        </w:numPr>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u w:val="none"/>
          <w:lang w:val="en-US" w:eastAsia="zh-CN"/>
        </w:rPr>
        <w:t xml:space="preserve">   28.</w:t>
      </w:r>
      <w:r>
        <w:rPr>
          <w:rFonts w:hint="eastAsia" w:ascii="宋体" w:hAnsi="宋体" w:eastAsia="宋体" w:cs="宋体"/>
          <w:i w:val="0"/>
          <w:iCs w:val="0"/>
          <w:sz w:val="24"/>
          <w:szCs w:val="24"/>
          <w:highlight w:val="none"/>
          <w:u w:val="none"/>
        </w:rPr>
        <w:t xml:space="preserve">防护等级：IP67；</w:t>
      </w:r>
      <w:r/>
    </w:p>
    <w:p>
      <w:pPr>
        <w:pStyle w:val="866"/>
        <w:numPr>
          <w:ilvl w:val="2"/>
          <w:numId w:val="21"/>
        </w:numPr>
        <w:contextualSpacing w:val="0"/>
        <w:ind w:left="454" w:hanging="454"/>
        <w:rPr>
          <w:rFonts w:hint="eastAsia" w:ascii="宋体" w:hAnsi="宋体" w:eastAsia="宋体" w:cs="宋体"/>
          <w:b/>
          <w:bCs/>
          <w:color w:val="000000" w:themeColor="text1"/>
          <w:sz w:val="24"/>
          <w:szCs w:val="24"/>
          <w:highlight w:val="none"/>
          <w14:textFill>
            <w14:solidFill>
              <w14:schemeClr w14:val="tx1"/>
            </w14:solidFill>
          </w14:textFill>
        </w:rPr>
        <w:outlineLvl w:val="5"/>
      </w:pPr>
      <w:r>
        <w:rPr>
          <w:rFonts w:hint="eastAsia" w:ascii="宋体" w:hAnsi="宋体" w:eastAsia="宋体" w:cs="宋体"/>
          <w:b/>
          <w:bCs/>
          <w:i w:val="0"/>
          <w:iCs w:val="0"/>
          <w:color w:val="000000"/>
          <w:sz w:val="24"/>
          <w:szCs w:val="24"/>
          <w:highlight w:val="none"/>
          <w:u w:val="none"/>
          <w:lang w:val="en-US" w:eastAsia="zh-CN" w:bidi="ar"/>
        </w:rPr>
        <w:t xml:space="preserve">球型摄像机</w:t>
      </w:r>
      <w:r/>
    </w:p>
    <w:p>
      <w:pPr>
        <w:numPr>
          <w:ilvl w:val="0"/>
          <w:numId w:val="29"/>
        </w:numPr>
        <w:ind w:left="0" w:firstLine="480"/>
        <w:keepLines w:val="0"/>
        <w:keepNext w:val="0"/>
        <w:pageBreakBefore w:val="0"/>
        <w:spacing w:line="360" w:lineRule="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highlight w:val="none"/>
          <w:u w:val="none"/>
        </w:rPr>
        <w:t xml:space="preserve">支持采用不低于1/2.8英寸CMOS 传感器；</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支持内置GPU芯片；</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支持内置不低于6颗补光灯，白光补光距离不低于30米，红外补光距离不低于150米；</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★支持最低照度要求，彩色：0.0002lx能基本分辨被摄目标的轮廓特征和色彩，黑白：0.0001lx能基本分辨被摄目标的轮廓特征；（需提供公安部或第三方机构出具的检测报告原件扫描上传）</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支持不低于32倍光学变倍，16倍数字变倍；</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支持云台功能，支持水平垂直旋转范围0°~360°连续旋转，垂直20°~90°自动翻转；</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支持具有3D定位联动功能,可通过IE浏览器框选预览画面中的任意区域,在旋转角度范围允许的条件下,摄像机可将该区域处于屏幕中心位置,同时对该区域进行放大或缩小；</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支持云台定位准确度小于等于0.1°；</w:t>
      </w:r>
      <w:r/>
    </w:p>
    <w:p>
      <w:pPr>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★支持在分辨率</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2592×1520,码率为4Mbps,帧率为25fps,RJ45输出情况下水平中心分辨力检验不小于1600TVL；（需提供公安部或第三方机构出具的检测报告原件扫描上传）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支持人脸检测功能,可对经过设定区域的行人进行人脸检测和人脸跟踪,当检测到人脸后,可抓拍人脸图片、联动聚焦、目标跟踪、报警上传、发送邮件、联动录像、辅助输出等,抓拍图片数量可设；</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持人脸检测、支持优选、支持抓拍、支持上报最优的人脸抓图、支持人脸增强、支持人脸属性提取（6种属性8种表情）；</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支持绊线入侵、区域入侵、穿越围栏、徘徊、物品遗留、物品搬移、快速移动、停车、人员聚集检测，支持人车分类报警，支持联动跟踪；</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★支持具有智能风控加热除雾功能,可自动去除内部水状和雾状附着物；（需提供公安部或第三方机构出具的检测报告原件扫描上传）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★支持软件版本在线升级，在升级过程中，如发生掉电、掉线等异常情况、当异常情况恢复后，应不影响球机再次升级；（需提供公安部或第三方机构出具的检测报告原件扫描上传）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支持在温度-40℃~+70℃，湿度≤95%环境下正常工作；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支持IP66防护等级；</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支持DC24V±25%宽电压输入；</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GB/35114A</w:t>
      </w:r>
      <w:r>
        <w:rPr>
          <w:rFonts w:hint="eastAsia" w:ascii="宋体" w:hAnsi="宋体" w:eastAsia="宋体" w:cs="宋体"/>
          <w:color w:val="000000"/>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6"/>
        <w:numPr>
          <w:ilvl w:val="2"/>
          <w:numId w:val="21"/>
        </w:numPr>
        <w:contextualSpacing w:val="0"/>
        <w:ind w:left="454" w:hanging="454"/>
        <w:rPr>
          <w:rFonts w:hint="eastAsia" w:ascii="宋体" w:hAnsi="宋体" w:eastAsia="宋体" w:cs="宋体"/>
          <w:b/>
          <w:bCs/>
          <w:color w:val="000000" w:themeColor="text1"/>
          <w:sz w:val="24"/>
          <w:szCs w:val="24"/>
          <w:highlight w:val="none"/>
          <w14:textFill>
            <w14:solidFill>
              <w14:schemeClr w14:val="tx1"/>
            </w14:solidFill>
          </w14:textFill>
        </w:rPr>
        <w:outlineLvl w:val="5"/>
      </w:pPr>
      <w:r>
        <w:rPr>
          <w:rFonts w:hint="eastAsia" w:ascii="宋体" w:hAnsi="宋体" w:eastAsia="宋体" w:cs="宋体"/>
          <w:b/>
          <w:bCs/>
          <w:i w:val="0"/>
          <w:iCs w:val="0"/>
          <w:color w:val="000000"/>
          <w:sz w:val="24"/>
          <w:szCs w:val="24"/>
          <w:highlight w:val="none"/>
          <w:u w:val="none"/>
          <w:lang w:val="en-US" w:eastAsia="zh-CN" w:bidi="ar"/>
        </w:rPr>
        <w:t xml:space="preserve">高空球型摄像机</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highlight w:val="none"/>
          <w:u w:val="none"/>
        </w:rPr>
        <w:t xml:space="preserve">支持内置CPU/GPU/NPU一体化芯片；</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★支持自动拼接功能,可将任意连续的2~8个图像传感器输出的监视画面进行无缝拼接显示；（需提供公安部或第三方机构出具的检测报告原件扫描上传）</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★支持主视频图像拼接后:最大水平视场角不低于360°，最大垂直视场角不低于110°；（需提供公安部或第三方机构出具的检测报告原件扫描上传）</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支持内置2颗GPU芯片，支持深度学习算法，有效提升检测准确率；</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全景支持绊线入侵，区域入侵，支持人车分类、支持人群分布图、车辆密度灯智能功能，细节支持通用行为分析、视频结构化、人脸检测等智能功能；</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全景支持采用不低于8个高性能200万像素1/2.8英寸CMOS图像传感器，</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全景支持可输出1600万(8192×1800)@25fps视频图像；</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★细节支持采用1个高性能400万像素1/1.8英寸CMOS图像传感器， 最大可输出400万(2560×1440)@25fps视频图像；（需提供公安部或第三方机构出具的检测报告原件扫描上传）</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支持球机内置不低于4颗高效红外补光灯，最大红外监控距离不低于100米；</w:t>
      </w:r>
      <w:r/>
    </w:p>
    <w:p>
      <w:pPr>
        <w:numPr>
          <w:ilvl w:val="0"/>
          <w:numId w:val="3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支持宽动态、3D降噪、强光抑制、背光补偿；</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★支持可通过IE浏览器设置流光检测功能开启/关闭,在环境亮度低于501x时,开启流光功能后,可提高静态物体和运动速度较慢目标的清晰度；（需提供公安部或第三方机构出具的检测报告原件扫描上传）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支持全景画面检测到目标后,触发报警并自动联动球机对报警目标进行跟踪,在跟踪过程中球机可不依赖全景画面对跟踪目标进行识别跟踪,并保持检测目标始终位于画面中心;当全景画面上检测目标消失,球机画面未消失时,球机可继续跟踪；</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支持可通过IE浏览器进行各智能方案配置切换,切换过程中无需重启摄像机；</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支持场景自适应功能，可根据监控场景自动调节人脸及人体区域的亮度；</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★支持内置拾音器,具有回声抵消功能,可抵消语音对讲时的回声影响；（需提供公安部或第三方机构出具的检测报告原件扫描上传）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★支持摄像机自带防水透气膜,内部水汽可通过防水透气膜排出,外部的水汽无法进入；（需提供公安部或第三方机构出具的检测报告原件扫描上传）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★支持内置水平仪,当检测到水平仪内水珠位于水平仪中心位置处时,安装不倾斜；（需提供公安部或第三方机构出具的检测报告原件扫描上传）</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支持当用户通过WEB方式或客户端软件方式执行添加用户、修改用户密码、获取/修改SMTP/FTP等带有密码的信息配置操作时,用户账户密码不能以明文方式在网络中传输；</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支持在温度-40℃～+60℃，湿度≤95%环境下正常工作；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支持DC36V±50%供电方式；</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支持IP67防护等级；</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GB/35114A</w:t>
      </w:r>
      <w:r>
        <w:rPr>
          <w:rFonts w:hint="eastAsia" w:ascii="宋体" w:hAnsi="宋体" w:eastAsia="宋体" w:cs="宋体"/>
          <w:color w:val="000000"/>
          <w:sz w:val="24"/>
          <w:szCs w:val="24"/>
          <w:highlight w:val="none"/>
          <w:lang w:eastAsia="zh-CN"/>
        </w:rPr>
        <w:t xml:space="preserve">；</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6"/>
        <w:numPr>
          <w:ilvl w:val="2"/>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5"/>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单</w:t>
      </w:r>
      <w:r>
        <w:rPr>
          <w:rFonts w:hint="eastAsia" w:ascii="宋体" w:hAnsi="宋体" w:eastAsia="宋体" w:cs="宋体"/>
          <w:b/>
          <w:color w:val="000000" w:themeColor="text1"/>
          <w:sz w:val="24"/>
          <w:szCs w:val="24"/>
          <w:highlight w:val="none"/>
          <w14:textFill>
            <w14:solidFill>
              <w14:schemeClr w14:val="tx1"/>
            </w14:solidFill>
          </w14:textFill>
        </w:rPr>
        <w:t xml:space="preserve">目人脸抓拍摄像机</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1.采用单个电动变焦镜头一体化设计，枪型外观，自带补光灯</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2.采用不低于800万像素1/1.8英寸CMOS图像传感器</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3.内置GPU芯片，支持深度学习算法，有效提升检测准确率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4.支持8mm~32mm镜头焦距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5.支持设备自带6颗混光（红外+白光）灯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6.支持六种智能资源切换：通用行为分析、人脸检测、人脸识别、视频结构化、人数统计、道路监控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7.★相同照度场景下，速度不同的运动目标，同时经过监控画面时，相机可自适应控制2套快门曝光时间，来适配不同速度目标，以保证抓拍目标图片效果。</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8.★支持变焦镜头全焦段图像畸变校正功能，相机从短焦到长焦变倍全过程均可同步自动进行画面畸变校正，画面几何失真全焦段≤3%</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9.设备具有抓拍功能，在低照度环境下抓拍功能可自动开启，在混合场景下，可同时分别抓拍清晰的车牌、车辆及人脸。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10.★可对镜头前盖玻璃进行加热，去除玻璃上的冰状和水状附着物</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11.★设备支持场景大模型算法， 开启环境自适应功能后， 可自动识别不同环境光的监控场景并切换图像配置， 包括宽动态、曝光、增益等参数</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12.支持走廊模式，强光抑制，背光补偿，3D降噪，畸变矫正，数字水印，适用不同监控环境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13.开启均值码流后，对比开启固定码流(码率设置为3840Kb/s)，录制0.5h、dav格式的录像，录像画面在清晰、图像无噪点、无拖影、无明显马赛克、无呼吸效应、无锯齿现象的情况下、录像占用存储容量应降低≥50%</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当人脸、人体、车身、车牌目标在画面中横向运动时，因速度过快或环境亮度动态范围过大，导致画面出现拖影与重影现象时，开启清影功能，可消除人脸、人体、车身、车牌目标横向拖影与重影现象，并自动调节画面亮度、锐度</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15.环境照度不高于0.51x，开启超感光功能后，可自动调节画面中人脸、人体目标以及环境景物的亮度、色彩饱和度、对比度、锐度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17.支持不少于报警3进2出，音频2进1出，485，BNC，支持不小于512GMicroSD卡，内置双麦克风，内置扬声器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18.支持ROI，AI编码，平均码流控制，适用不同带宽和存储环境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19.支持DC12V供电方式，支持12V电源返送，最大电流165mA，峰值电流700mA，,方便工程安装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20.支持IP67防护等级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21.支持在不超过-30℃～+60℃，湿度不超过≤95%的环境下正常工作；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22.支持GB 35114A标准</w:t>
      </w:r>
      <w:r/>
    </w:p>
    <w:p>
      <w:pPr>
        <w:pStyle w:val="866"/>
        <w:numPr>
          <w:ilvl w:val="2"/>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5"/>
      </w:pPr>
      <w:r>
        <w:rPr>
          <w:rFonts w:hint="eastAsia" w:ascii="宋体" w:hAnsi="宋体" w:eastAsia="宋体" w:cs="宋体"/>
          <w:b/>
          <w:color w:val="000000" w:themeColor="text1"/>
          <w:sz w:val="24"/>
          <w:szCs w:val="24"/>
          <w:highlight w:val="none"/>
          <w14:textFill>
            <w14:solidFill>
              <w14:schemeClr w14:val="tx1"/>
            </w14:solidFill>
          </w14:textFill>
        </w:rPr>
        <w:t xml:space="preserve">双目人脸抓拍摄像机</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通道1主码流不小于3840×2160，通道2主码流不小于2688×1520</w:t>
      </w:r>
      <w:r/>
    </w:p>
    <w:p>
      <w:pPr>
        <w:numPr>
          <w:ilvl w:val="0"/>
          <w:numId w:val="31"/>
        </w:numPr>
        <w:ind w:lef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摄像机内置双镜头，2颗靶面尺寸不小于1/1.8英寸的CMOS图像传感器</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具有6颗鳞镜式补光灯，补光灯开启后正面不可见补光灯灯珠，灯光亮度均匀，无波纹状、圆环状、麻点状、条纹状及不规则亮斑（需提供公安部或第三方机构出具的检测报告原件扫描上传）</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摄像机采用基于transformer架构的大模型算法，内置算力不小于8TOPS（需提供公安部或第三方机构出具的检测报告原件扫描上传）</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大模型结构化混行目标检测功能，支持混行目标（行人、人脸、车辆、非机动车）检测、抓拍及结构化属性分析。可关联显示人脸/人体图片和车牌/车辆图片，并可将抓拍结果上传平台，上传延时不超过1S（需提供公安部或第三方机构出具的检测报告原件扫描上传）</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★支持大模型人脸比对功能，对监控画面中出现的人脸与设备人脸库中的人脸图片进行比对，比对准确率不低于95%（需提供公安部或第三方机构出具的检测报告原件扫描上传）</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★支持大模型人脸成像增强功能，开启后可提升低照度、雨、雾等环境下的人脸抓拍图片的成像效果（需提供公安部或第三方机构出具的检测报告原件扫描上传）</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支持开启、关闭智能文搜功能，功能开启后，设备可上传目标场景图片及目标信息，目标信息包括出现的时间、目标类别、在视场中的位置（需提供公安部或第三方机构出具的检测报告原件扫描上传）</w:t>
      </w:r>
      <w:r/>
    </w:p>
    <w:p>
      <w:pPr>
        <w:numPr>
          <w:ilvl w:val="0"/>
          <w:numId w:val="31"/>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具有AI-ISP图像质量提升功能，在低照度环境下，可自动调节预览场景视频画面中人脸、人体、车辆等目标及预览场景视频画面的区域曝光、亮度、色彩饱和度、对比度、锐度等（公安部检验报告证明）</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外壳防护等级不低于IP67（公安部检验报告证明）</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具有2个音频输入接口、1个音频输出接口、3个报警输入接口、2个报警输出接口，内置2个麦克风、1个扬声器（公安部检验报告证明）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6"/>
        <w:numPr>
          <w:ilvl w:val="2"/>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5"/>
      </w:pPr>
      <w:r>
        <w:rPr>
          <w:rFonts w:hint="eastAsia" w:ascii="宋体" w:hAnsi="宋体" w:eastAsia="宋体" w:cs="宋体"/>
          <w:b/>
          <w:color w:val="000000" w:themeColor="text1"/>
          <w:sz w:val="24"/>
          <w:szCs w:val="24"/>
          <w:highlight w:val="none"/>
          <w14:textFill>
            <w14:solidFill>
              <w14:schemeClr w14:val="tx1"/>
            </w14:solidFill>
          </w14:textFill>
        </w:rPr>
        <w:t xml:space="preserve">生态卡口抓拍单元</w:t>
      </w:r>
      <w:r/>
    </w:p>
    <w:p>
      <w:pPr>
        <w:ind w:firstLine="480"/>
        <w:keepLines w:val="0"/>
        <w:keepNext w:val="0"/>
        <w:pageBreakBefore w:val="0"/>
        <w:spacing w:line="360" w:lineRule="auto"/>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rPr>
        <w:tab/>
      </w:r>
      <w:r>
        <w:rPr>
          <w:rFonts w:hint="eastAsia" w:ascii="宋体" w:hAnsi="宋体" w:eastAsia="宋体" w:cs="宋体"/>
          <w:i w:val="0"/>
          <w:iCs w:val="0"/>
          <w:sz w:val="24"/>
          <w:szCs w:val="24"/>
          <w:highlight w:val="none"/>
          <w:u w:val="none"/>
        </w:rPr>
        <w:t xml:space="preserve">支持采用传感器GS-CMOS不低于1.1英寸，视频分辨率不低于4096×2336，抓图分辨率不低于4096×2336；</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支持图像分辨率不低于4096×2336，像素不低于900万；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★支持采用先进的图像融合技术，夜间不使用白光爆闪灯或外加频闪灯；</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支持配合外接补光灯控制使用，支持闪光灯和频闪灯同步补光；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★支持设置视频3D降噪功能，包括视频空域3D降噪及视频时域3D降噪，降噪等级0~100可分别设置，可通过菜单启用或关闭；</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支持自动采集车道、车流量、平均速度、车辆类型、占有率、平均车头时距、平均排队长度、时间段等交通信息数据并进行统计，支持自动上传采集的交通信息数据，上传时间间隔可设置；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★支持车牌识别功能：白天识别准确率不低于99%；晚上识别准确率不低于99%；</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支持车辆违章变道检测抓拍功能， 白天捕获率不低于99%； 晚上捕获率不低于99%；</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支持对车牌宽度范围从80*25到1200*380像素、水平倾斜范围最大40°车牌进行识别；</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10.支持普通卡口/人员卡口模式切换；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11.支持车辆逆行检测抓拍功能， 白天捕获率不低于99%； 晚上捕获率不低于99%；</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12.★支持单帧多区域曝光功能，可对图片和视频进行多个区域的曝光值设置：在抓拍图片和实时视频中对同一个画面的不同区域展示不同亮度场景，曝光区域可调，曝光亮度可调；</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13.★支持通过视频触发进行车辆抓拍，支持车牌识别、车身颜色识别、车型识别，通行车辆信息捕获和违章检测功能；</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14.支持设置卡口抓拍高速应用模式；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15.支持对驾驶员行车时是否有打电话动作的检测。白天识别准确率不低于99%；晚上识别准确率不低于99%；</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16.★支持检测并跟踪指定区域内不少于220个目标，目标包括机动车、非机动车以及行人等；</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17.支持特写图抓拍配置，支持在抓拍合成图的第一张、第二张或第三张中选择特写抓拍；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18.支持货车右转必停识别功能检测；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19.支持对监控场景内出现的两眼瞳距不小于12像素的人脸进行检测并叠加目标提示框；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支持识别通过画面中的机动车车牌号码，包括大型汽车号牌、挂车号牌、大型新能源汽车号牌、小型汽车号牌、小型新能源汽车号牌、武警车牌、军牌、部队牌、港澳入出境车号牌、领馆车牌、使馆汽车号牌、教练汽车号牌、民航车牌、拖拉机号牌；</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21.支持车灯去红光设置选项，开启后可去除车灯附近产生的红光；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22.★支持对30米处的行人进行人脸抓拍，并可生成分辨率不小于110像素×120像素的人脸图片，图片中人脸两眼瞳距应不低于40像素；</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23.★支持机动车、非机动车及行人检测，支持车型，车身颜色，安全带，人脸抠图，遮阳板等车辆特征识别；支持结构化信息上传；</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24.★支持视频结构化功能，支持对机动车、非机动车、人进行抓拍；高像素状态下，抓拍人脸像素不低于150×150；</w:t>
      </w:r>
      <w:r>
        <w:rPr>
          <w:rFonts w:hint="eastAsia" w:ascii="宋体" w:hAnsi="宋体" w:eastAsia="宋体" w:cs="宋体"/>
          <w:color w:val="000000"/>
          <w:sz w:val="24"/>
          <w:szCs w:val="24"/>
          <w:highlight w:val="none"/>
        </w:rPr>
        <w:t xml:space="preserve">（需提供公安部或第三方机构出具的检测报告原件扫描上传）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25.支持透明串口传输功能，开启摄像机透明串口服务功能后，在补光灯串口只连接本摄像机的情况下，可直接采用外部补光灯调试软件对补光灯进行参数读取和调试；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26.支持485接口自动分配地址功能，在同一个485接口连接不同外部设备的情况下，支持通过485协议给每个外部设备分配不同地址编号，可独立配置各设备参数；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27.支持在温度-40℃~+65℃，湿度不大于90%环境下正常工作；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28.支持供电方式100–240VAC（50Hz），电源返送DC12V±10%电压输出，≤1.5A电流输出；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29.支持IP66防护等级；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30.支持GB/35114A；</w:t>
      </w:r>
      <w:r/>
    </w:p>
    <w:p>
      <w:pPr>
        <w:pStyle w:val="866"/>
        <w:numPr>
          <w:ilvl w:val="2"/>
          <w:numId w:val="21"/>
        </w:numPr>
        <w:contextualSpacing w:val="0"/>
        <w:ind w:left="454" w:hanging="454"/>
        <w:rPr>
          <w:rFonts w:hint="eastAsia" w:ascii="宋体" w:hAnsi="宋体" w:eastAsia="宋体" w:cs="宋体"/>
          <w:b/>
          <w:color w:val="000000" w:themeColor="text1"/>
          <w:sz w:val="24"/>
          <w:szCs w:val="24"/>
          <w:highlight w:val="none"/>
          <w14:textFill>
            <w14:solidFill>
              <w14:schemeClr w14:val="tx1"/>
            </w14:solidFill>
          </w14:textFill>
        </w:rPr>
        <w:outlineLvl w:val="5"/>
      </w:pPr>
      <w:r>
        <w:rPr>
          <w:rFonts w:hint="eastAsia" w:ascii="宋体" w:hAnsi="宋体" w:eastAsia="宋体" w:cs="宋体"/>
          <w:b/>
          <w:color w:val="000000" w:themeColor="text1"/>
          <w:sz w:val="24"/>
          <w:szCs w:val="24"/>
          <w:highlight w:val="none"/>
          <w14:textFill>
            <w14:solidFill>
              <w14:schemeClr w14:val="tx1"/>
            </w14:solidFill>
          </w14:textFill>
        </w:rPr>
        <w:t xml:space="preserve">8口千兆工业交换机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整机提供千兆电口≥8个，交换容量≥20Gbps，标配电源DC12~55V；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★能够适应严苛的工作环境，工作温度：-40℃-75℃，存储温度：-40℃-85℃，（需提供公安部或第三方机构出具的检测报告原件扫描上传）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★为保证设备在受到外界机械碰撞时能够正常运行，要求所投交换机IK防护测试级别至少达到IK05，（需提供公安部或第三方机构出具的检测报告原件扫描上传）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★防护等级达到IP40，（需提供公安部或第三方机构出具的检测报告原件扫描上传）</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无风扇，卡轨式安装； </w:t>
      </w:r>
      <w:r/>
    </w:p>
    <w:p>
      <w:pPr>
        <w:ind w:firstLine="48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防雷等级≥6KV；（需提供公安部或第三方机构出具的检测报告原件扫描上传）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rPr>
        <w:t xml:space="preserve">包三：技术及服务要求</w:t>
      </w:r>
      <w:r/>
    </w:p>
    <w:p>
      <w:pPr>
        <w:pStyle w:val="866"/>
        <w:numPr>
          <w:ilvl w:val="0"/>
          <w:numId w:val="32"/>
        </w:numPr>
        <w:contextualSpacing w:val="0"/>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服务内容及要求</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监理总体要求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鉴于扬州市蜀岗-瘦西湖风景名胜区管理委员会“雪亮工程”六期建设项目建设应用面广，复杂程度很高。为此，要求监理单位按照项目目标和要求，遵循国家、省、市信息系统建设和监理的标准和规范，依据项目合同和采购需求，采用先进、科学、合理的适合本项目特点的项目管理技巧和手段，对项目的各个层面进行全方位的管理、控制和协调。对项目的设备和系统购置、安装调试、验收测试（原则不超过两次）、技术培训等方面的质量、进度和投资等进行全面控制。对项目合同的执行、项目文件资料等进行管理。从而使本项目“按期、保质、高效、节约”地完成。</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监理服务范围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本监理项目服务范围包括但不限于以下内容：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扬州市蜀冈—瘦西湖风景名胜区管理委员会“雪亮工程”六期项目提供全过程监理。具体包括：参与项目合同管理、项目调研、总体设计方案、总体实施方案、设备购置、系统集成调试、验收测试（原则不超过两次）、项目培训、系统试运行和验收，做好系统移交及相关文档的起草和管理等工作，确保项目质量、进度和投资计划的顺利实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单位在项目中受采购人委托，代表采购人的利益，保护投资、控制质量、确保进度，依据合同及设计方案对项目的全过程进行监督管理，针对项目建设情况，向采购人提出合理化的改进改良建议，并站在第三方的立场上，公正地对待中标人，协调采购人和中标人的关系，最终圆满完成项目建设。</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监理服务依据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1）国家工业和信息化部和我省、我市有关信息系统项目建设和监理管理规范；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2）采购人与项目中标人签订的合同；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3）采购人与监理单位签订的监理合同；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4）有关国家、省、市技术规范和标准。</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监理服务准则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遵照国家信息产业部的规定，以“守法、诚信、公正、科学”的准则执业，维护采购人与中标人的合法权益。具体应做到：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（1）执行有关项目的法律、法规、规范、标准和制度，履行监理合同规定的义务和职责。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（2）不收受被监理单位的任何礼金。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（3）不泄漏所监理项目各方认为需要保密的事项。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（4）遵守国家的法律和政府的有关条例、规定和办法等。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（5）坚持公正的立场，独立、公正地处理有关各方的争议。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（6）坚持科学的态度和实事求是的原则。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（7）在坚持按监理合同的规定向采购人提供技术服务的同时，帮助被监理者完成项目任务。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（8）不泄漏所监理的项目需保密的事项。</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监理方案要求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（1）质量控制目标、方法和措施：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1）系统集成质量的控制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系统集成实施方案和实施计划的审核和确认；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审核项目计算资源需求方案的合理性；</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对提供的设备、存储、网络等进行检验、测试和验收；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对系统软件和应用软件的安装调试进行验收；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对实施过程中出现的问题和质量事故审核确认，提出监理意见；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布线部分实施现场监督；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对系统集成进行总体验收。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2）设备到货质量的控制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根据设备采购合同确认验收计划；</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根据设备采购合同的采购产品清单制定验收清单；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根据验收清单对到货设备进行清点验收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所有设备需出具出厂合格证等。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3）设备安装质量的控制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设备安装的阶段性计划的审核和确认；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在对项目建设详细了解的基础上，协助项目设计单位、系统集成单位和采购人，对各个点位设备的安装调试进行把关；</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对中标人的安装质量进行审核；</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对基础规格、杆件壁厚、吊装资质进行把关；</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对设备上线率、抓拍率进行审核。</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（2）进度控制目标、方法和措施：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1）审核中标人的进度分解计划，确认分解计划可以保证总体计划目标；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2）对项目实施进度进行实时跟踪，并要求中标人对进度计划进行动态调整，以确保项目的阶段和总体进度目标的实现；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3）当工期目标严重偏离时，应及时指出，并提出对策建议，同时督促中标人尽快采取措施。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（3）投资控制目标、方法和措施：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1）通过对项目实施中的方案及设计的优化，确保投资控制在合理、性价比高的范围内；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2）协助采购人做好项目支付预算的现金流量表，将付款进度与项目质量、项目进度结合起来。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（4）变更控制目标、方法和措施：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制定项目变更流程，严格按规程执行项目变更事项确认流程；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2）参与对变更原因的审核确认，并对变更产生的费用、进度、质量等情况进行评估，给出监理审核意见。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（5）安全管理的目标、方法和措施：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1）负责项目实施过程中所涉及的政府内部重要敏感数据和资料的保护，保证不被非授权使用；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2）审核中标人安全管理体系、安全专项方案；负责项目过程中安全控制，确保不出现安全事故；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（3）经采购人委托，负责协调本项目所涉及的各中标人之间的工作关系，并协调解决项目建设过程中的各类纠纷。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（6）合同管理的目标、方法和措施：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1）跟踪检查合同的执行情况，确保中标人按时履约；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2）对合同工期的延误和延期进行审核确认；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3）对合同变更、索赔等事宜进行审核确认；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4）根据合同约定，审核中标人提交的支付申请，签发付款凭证。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（7）信息管理的目标、方法和措施：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1）做好监理日记及项目大事记；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2）做好合同批复等各类往来文件的批复和存档；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3）做好项目协调会、技术专题会的会议纪要；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4）管理好实施期间的各类技术文档；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5）项目周报；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6）监理建议书；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7）监理通知；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8）各种会议纪要；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9）阶段性项目总结；</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10）各中标人提交的技术文档。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（8）协调各方关系的措施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监理方应该通过必要的会议制度来实施协调工作，主要包括：</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1）现场会；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2）监理交底会；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3）周例会；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4）监理协调会；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5）专题讨论会；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6）专家论证会；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7）阶段工作总结会；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8）问题通报会；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9）阶段及最终验收会。</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投标人要求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（1）项目监理服务周期从签订监理合同之日起，直到所监理项目终验合格。</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（2）根据监理要求编制相应的项目监理方案。</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（1）监理单位要求：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监理单位须严格按照国家、省市有关信息化监理规定，代表采购人对本项目进行全过程、全方位的监理；监理单位与设计单位、施工单位无经营性的隶属关系和雇佣关系，业绩和履约信誉好，管理水平高、管理设备先进、监理技术班子力量强、报价合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质量和工期有保证。不允许转包、分包。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监理从项目方案评审开始，至项目验收通过为止，如果出现项目因特殊原因，未能完成招标的，监理公司不得收取任何费用；监理公司不得同时参与同一项目的项目监理和预算审计工作。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（2）监理项目组要求：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针对本监理项目专门成立监理工作组，监理工作组应包括总监理工程师1名，具有丰富的信息化行业经验，负责按照本项目的有关内容提供各类监理服务，包括必要的组织与协调工作。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总监理工程师代表1名，具有丰富的信息化行业经验，代表总监理工程师行使其部分职责和权力，负责项目现场监理组织和协调工作。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技术负责人1名，具有较强的信息化行业经验，负责现场监理组织和协调工作。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监理工程师1名，具有信息化行业经验，负责具体的监理工作。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监理工作中，如发现监理人员不能很好的履行监理职责，采购人有权终止合同责令其退场，并由监理单位赔偿由此引起的经济损失。监理合同执行期间，采购人对不称职的监理人员有权提出更换，中标人不得拒绝或拖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如经采购人及第三方查实，监理单位及监理人员与被监理单位发生非正常经济往来及其他徇私舞弊情况，采购人有权要求更换监理人员或更换全体监理项目班子，情况严重的，采购人有权终止合同。</w:t>
      </w:r>
      <w:r/>
    </w:p>
    <w:p>
      <w:pPr>
        <w:numPr>
          <w:ilvl w:val="1"/>
          <w:numId w:val="33"/>
        </w:numPr>
        <w:ind w:left="363" w:hanging="363"/>
        <w:rPr>
          <w:rFonts w:hint="eastAsia" w:ascii="宋体" w:hAnsi="宋体" w:eastAsia="宋体" w:cs="宋体"/>
          <w:b/>
          <w:color w:val="000000" w:themeColor="text1"/>
          <w:sz w:val="24"/>
          <w:szCs w:val="24"/>
          <w:highlight w:val="none"/>
          <w14:textFill>
            <w14:solidFill>
              <w14:schemeClr w14:val="tx1"/>
            </w14:solidFill>
          </w14:textFill>
        </w:rPr>
        <w:outlineLvl w:val="4"/>
      </w:pPr>
      <w:r>
        <w:rPr>
          <w:rFonts w:hint="eastAsia" w:ascii="宋体" w:hAnsi="宋体" w:eastAsia="宋体" w:cs="宋体"/>
          <w:b/>
          <w:color w:val="000000" w:themeColor="text1"/>
          <w:sz w:val="24"/>
          <w:szCs w:val="24"/>
          <w:highlight w:val="none"/>
          <w14:textFill>
            <w14:solidFill>
              <w14:schemeClr w14:val="tx1"/>
            </w14:solidFill>
          </w14:textFill>
        </w:rPr>
        <w:t xml:space="preserve">监理成果</w:t>
      </w:r>
      <w:r/>
    </w:p>
    <w:tbl>
      <w:tblPr>
        <w:tblStyle w:val="791"/>
        <w:tblW w:w="75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1846"/>
        <w:gridCol w:w="4592"/>
      </w:tblGrid>
      <w:tr>
        <w:trPr>
          <w:jc w:val="center"/>
          <w:trHeight w:val="20"/>
        </w:trPr>
        <w:tc>
          <w:tcPr>
            <w:gridSpan w:val="3"/>
            <w:tcBorders>
              <w:top w:val="single" w:color="auto" w:sz="4" w:space="0"/>
              <w:left w:val="single" w:color="auto" w:sz="4" w:space="0"/>
              <w:bottom w:val="single" w:color="auto" w:sz="4" w:space="0"/>
              <w:right w:val="single" w:color="auto" w:sz="4" w:space="0"/>
            </w:tcBorders>
            <w:tcW w:w="753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监理文档清单</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846"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项目阶段</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文档名称</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846" w:type="dxa"/>
            <w:vAlign w:val="center"/>
            <w:vMerge w:val="restart"/>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项目启动</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《项目管理制度》</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《项目组成员通讯录》</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《项目技术方案》</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《工程质量保证计划》</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《开工报审单》</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《开工令》</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846" w:type="dxa"/>
            <w:vAlign w:val="center"/>
            <w:vMerge w:val="restart"/>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需求调研</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《需求规格说明书》</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《项目技术方案》</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《项目进度计划》</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846" w:type="dxa"/>
            <w:vAlign w:val="center"/>
            <w:vMerge w:val="restart"/>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系统设计</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《数据库设计说明书》</w:t>
            </w:r>
            <w:r/>
          </w:p>
        </w:tc>
      </w:tr>
      <w:tr>
        <w:trPr>
          <w:jc w:val="center"/>
          <w:trHeight w:val="20"/>
        </w:trPr>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846"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《概要设计说明书》</w:t>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Style w:val="1059"/>
          <w:rFonts w:ascii="黑体" w:hAnsi="黑体" w:eastAsia="黑体" w:cs="黑体"/>
          <w:highlight w:val="none"/>
        </w:rPr>
        <w:t xml:space="preserve">第五章评标方法与评标标准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采用综合评分法的，评标结果按评审后得分由高到低顺序排列。得分相同的，按投标报价由低到高顺序排列。得分且投标报价相同的并列。</w:t>
      </w:r>
      <w:r/>
    </w:p>
    <w:tbl>
      <w:tblPr>
        <w:tblStyle w:val="818"/>
        <w:tblW w:w="82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6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5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  3</w:t>
            </w: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满足招标文件全部实质性要求，且按照评审因素的量化指标评审得分最高的投标人为中标候选人。 </w:t>
            </w:r>
            <w:r/>
          </w:p>
        </w:tc>
      </w:tr>
    </w:tbl>
    <w:p>
      <w:pPr>
        <w:ind w:right="0"/>
        <w:jc w:val="both"/>
        <w:spacing w:before="120" w:after="12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439"/>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政府采购政策功能落实</w:t>
      </w:r>
      <w:r/>
    </w:p>
    <w:p>
      <w:pPr>
        <w:ind w:left="0" w:right="0" w:firstLine="439"/>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本项目专门面向中小企业：是/否</w:t>
      </w:r>
      <w:r/>
    </w:p>
    <w:tbl>
      <w:tblPr>
        <w:tblStyle w:val="818"/>
        <w:tblW w:w="817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67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是</w:t>
            </w:r>
            <w:r/>
          </w:p>
        </w:tc>
      </w:tr>
    </w:tbl>
    <w:p>
      <w:pPr>
        <w:ind w:left="0" w:right="0" w:firstLine="439"/>
        <w:jc w:val="both"/>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p>
    <w:p>
      <w:pPr>
        <w:ind w:left="0" w:right="0" w:firstLine="360"/>
        <w:jc w:val="both"/>
        <w:spacing w:before="120" w:after="12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cs="宋体"/>
          <w:color w:val="000000"/>
          <w:sz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包一和</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包二：20%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包三：/</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包一和</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包二：20%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包三：/</w:t>
      </w:r>
      <w:r>
        <w:rPr>
          <w:rFonts w:ascii="宋体" w:hAnsi="宋体" w:eastAsia="宋体" w:cs="宋体"/>
          <w:color w:val="000000"/>
          <w:sz w:val="24"/>
          <w:highlight w:val="none"/>
        </w:rPr>
        <w:t xml:space="preserve">的价格扣除，用扣除后的价格参与评审。</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包一和</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包二：20%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包三：/</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包一和</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包二：</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包三：/</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包一和</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包二：20%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分</w:t>
      </w:r>
      <w:r>
        <w:rPr>
          <w:rFonts w:hint="eastAsia" w:ascii="宋体" w:hAnsi="宋体" w:eastAsia="宋体" w:cs="宋体"/>
          <w:color w:val="000000"/>
          <w:sz w:val="24"/>
          <w:szCs w:val="24"/>
          <w:highlight w:val="none"/>
          <w:u w:val="single"/>
        </w:rPr>
        <w:t xml:space="preserve">包三：/</w:t>
      </w:r>
      <w:r>
        <w:rPr>
          <w:rFonts w:ascii="宋体" w:hAnsi="宋体" w:eastAsia="宋体" w:cs="宋体"/>
          <w:color w:val="000000"/>
          <w:sz w:val="24"/>
          <w:highlight w:val="none"/>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7.4 供应商需在《声明函》中逐一、准确填写产品名称、厂名、生产厂址三项信息</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《声明函》中标注“  /  ”的地方无需填写</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s="宋体"/>
          <w:color w:val="000000"/>
          <w:sz w:val="24"/>
          <w:szCs w:val="24"/>
          <w:highlight w:val="none"/>
        </w:rPr>
        <w:t xml:space="preserve">，三项信息中任意一项未填写的视为该项产品不符合本国产品标准，不享受本国产品价格评审优惠。</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评标方法与评标标准</w:t>
      </w:r>
      <w:r/>
    </w:p>
    <w:p>
      <w:pPr>
        <w:pStyle w:val="866"/>
        <w:ind w:left="0" w:firstLine="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ascii="宋体" w:hAnsi="宋体" w:eastAsia="宋体" w:cs="宋体"/>
          <w:color w:val="000000"/>
          <w:sz w:val="21"/>
          <w:highlight w:val="none"/>
        </w:rPr>
        <w:t xml:space="preserve">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14:textFill>
            <w14:solidFill>
              <w14:schemeClr w14:val="tx1"/>
            </w14:solidFill>
          </w14:textFill>
        </w:rPr>
        <w:t xml:space="preserve">包一</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bl>
      <w:tblPr>
        <w:tblStyle w:val="791"/>
        <w:tblW w:w="9276" w:type="dxa"/>
        <w:jc w:val="center"/>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2005"/>
        <w:gridCol w:w="7271"/>
      </w:tblGrid>
      <w:tr>
        <w:trPr>
          <w:cantSplit/>
          <w:jc w:val="center"/>
          <w:trHeight w:val="425"/>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评分标准</w:t>
            </w:r>
            <w:r/>
          </w:p>
        </w:tc>
      </w:tr>
      <w:tr>
        <w:trPr>
          <w:cantSplit/>
          <w:jc w:val="center"/>
          <w:trHeight w:val="90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以满足招标文件要求的最低投标报价为评标基准价，得满分30分，其他投标报价得分=（评标基准价/其他投标报价）×30×100%。</w:t>
            </w:r>
            <w:r/>
          </w:p>
        </w:tc>
      </w:tr>
      <w:tr>
        <w:trPr>
          <w:cantSplit/>
          <w:jc w:val="center"/>
          <w:trHeight w:val="99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技术性能</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根据投标人所投产品技术参数完全满足招标文件技术参数要求得33分。带“★”项为重要指标，按照招标文件要求提供证明资料，每有一项不满足扣1分。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建设方案（1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投标人应根据建设内容分项施工的重点难点编制实施方案。</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进度</w:t>
            </w:r>
            <w:r>
              <w:rPr>
                <w:rFonts w:hint="eastAsia" w:ascii="宋体" w:hAnsi="宋体" w:eastAsia="宋体" w:cs="宋体"/>
                <w:sz w:val="24"/>
                <w:szCs w:val="24"/>
                <w:highlight w:val="none"/>
              </w:rPr>
              <w:t xml:space="preserve">保证</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优于招标文件要求的得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分，符合招标文件要求的得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分、不符合招标文件要求</w:t>
            </w:r>
            <w:r>
              <w:rPr>
                <w:rFonts w:hint="eastAsia" w:ascii="宋体" w:hAnsi="宋体" w:eastAsia="宋体" w:cs="宋体"/>
                <w:sz w:val="24"/>
                <w:szCs w:val="24"/>
                <w:highlight w:val="none"/>
                <w:lang w:val="en-US" w:eastAsia="zh-CN"/>
              </w:rPr>
              <w:t xml:space="preserve">或未提供</w:t>
            </w:r>
            <w:r>
              <w:rPr>
                <w:rFonts w:hint="eastAsia" w:ascii="宋体" w:hAnsi="宋体" w:eastAsia="宋体" w:cs="宋体"/>
                <w:sz w:val="24"/>
                <w:szCs w:val="24"/>
                <w:highlight w:val="none"/>
              </w:rPr>
              <w:t xml:space="preserve">的不得分。</w:t>
            </w:r>
            <w:r/>
          </w:p>
          <w:p>
            <w:pPr>
              <w:spacing w:line="320" w:lineRule="exact"/>
              <w:rPr>
                <w:rFonts w:hint="eastAsia" w:ascii="宋体" w:hAnsi="宋体" w:eastAsia="宋体" w:cs="宋体"/>
                <w:b/>
                <w:sz w:val="24"/>
                <w:szCs w:val="24"/>
                <w:highlight w:val="none"/>
                <w:lang w:val="zh-CN"/>
              </w:rPr>
            </w:pPr>
            <w:r>
              <w:rPr>
                <w:rFonts w:hint="eastAsia" w:ascii="宋体" w:hAnsi="宋体" w:eastAsia="宋体" w:cs="宋体"/>
                <w:sz w:val="24"/>
                <w:szCs w:val="24"/>
                <w:highlight w:val="none"/>
              </w:rPr>
              <w:t xml:space="preserve"> (2)质量保证</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优于招标文件要求的得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分，符合招标文件要求的得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分、不符合招标文件要求</w:t>
            </w:r>
            <w:r>
              <w:rPr>
                <w:rFonts w:hint="eastAsia" w:ascii="宋体" w:hAnsi="宋体" w:eastAsia="宋体" w:cs="宋体"/>
                <w:sz w:val="24"/>
                <w:szCs w:val="24"/>
                <w:highlight w:val="none"/>
                <w:lang w:val="en-US" w:eastAsia="zh-CN"/>
              </w:rPr>
              <w:t xml:space="preserve">或未提供</w:t>
            </w:r>
            <w:r>
              <w:rPr>
                <w:rFonts w:hint="eastAsia" w:ascii="宋体" w:hAnsi="宋体" w:eastAsia="宋体" w:cs="宋体"/>
                <w:sz w:val="24"/>
                <w:szCs w:val="24"/>
                <w:highlight w:val="none"/>
              </w:rPr>
              <w:t xml:space="preserve">的不得分。</w:t>
            </w:r>
            <w:r/>
          </w:p>
        </w:tc>
      </w:tr>
      <w:tr>
        <w:trPr>
          <w:jc w:val="center"/>
          <w:trHeight w:val="58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人员证书（5分）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3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.项目负责人具有信息系统项目管理师（高级）、IT服务项目经理、系统规划与管理师（高级），每有一个得1分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满分3分</w:t>
            </w:r>
            <w:r>
              <w:rPr>
                <w:rFonts w:hint="eastAsia" w:ascii="宋体" w:hAnsi="宋体" w:eastAsia="宋体" w:cs="宋体"/>
                <w:sz w:val="24"/>
                <w:szCs w:val="24"/>
                <w:highlight w:val="none"/>
                <w:lang w:eastAsia="zh-CN"/>
              </w:rPr>
              <w:t xml:space="preserve">。</w:t>
            </w:r>
            <w:r/>
          </w:p>
          <w:p>
            <w:pPr>
              <w:spacing w:line="3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.项目技术负责人具有信息系统项目管理师（高级）、信息安全工程师，每有一个得1分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满分2分。</w:t>
            </w:r>
            <w:r/>
          </w:p>
          <w:p>
            <w:pPr>
              <w:jc w:val="left"/>
              <w:widowControl/>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以上</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lang w:val="zh-CN"/>
              </w:rPr>
              <w:t xml:space="preserve">提供投标人近</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lang w:val="zh-CN"/>
              </w:rPr>
              <w:t xml:space="preserve">个月内任意</w:t>
            </w:r>
            <w:r>
              <w:rPr>
                <w:rFonts w:hint="eastAsia" w:ascii="宋体" w:hAnsi="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个月为其缴纳社保的证明和相关资质证书，扫描上传，与售后服务人员不可重复。</w:t>
            </w:r>
            <w:r/>
          </w:p>
        </w:tc>
      </w:tr>
      <w:tr>
        <w:trPr>
          <w:jc w:val="center"/>
          <w:trHeight w:val="58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1.投标人具有信息安全服务资质认证CCRC（安全运维服务）二级及以上得3分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不满足不得分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满分3分</w:t>
            </w:r>
            <w:r>
              <w:rPr>
                <w:rFonts w:hint="eastAsia" w:ascii="宋体" w:hAnsi="宋体" w:eastAsia="宋体" w:cs="宋体"/>
                <w:sz w:val="24"/>
                <w:szCs w:val="24"/>
                <w:highlight w:val="none"/>
                <w:lang w:eastAsia="zh-CN"/>
              </w:rPr>
              <w:t xml:space="preserve">。</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售后服务方案：优于招标文件要求的得2分、符合招标文件要求的得1分、不符合招标文件要求或未提供的不得分,满分2分。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3.拟投入售后服务团队要求：</w:t>
            </w:r>
            <w:r/>
          </w:p>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（1）投标人拟投入售后服务经理1名：具有IT服务项目经理证书得1分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满分1分</w:t>
            </w:r>
            <w:r>
              <w:rPr>
                <w:rFonts w:hint="eastAsia" w:ascii="宋体" w:hAnsi="宋体" w:eastAsia="宋体" w:cs="宋体"/>
                <w:sz w:val="24"/>
                <w:szCs w:val="24"/>
                <w:highlight w:val="none"/>
                <w:lang w:eastAsia="zh-CN"/>
              </w:rPr>
              <w:t xml:space="preserve">。</w:t>
            </w:r>
            <w:r/>
          </w:p>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（2）投标人拟投入售后服务人员不少于2名具有IT服务工程师证书，每1人得1分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满分2分</w:t>
            </w:r>
            <w:r>
              <w:rPr>
                <w:rFonts w:hint="eastAsia" w:ascii="宋体" w:hAnsi="宋体" w:eastAsia="宋体" w:cs="宋体"/>
                <w:sz w:val="24"/>
                <w:szCs w:val="24"/>
                <w:highlight w:val="none"/>
                <w:lang w:eastAsia="zh-CN"/>
              </w:rPr>
              <w:t xml:space="preserve">。</w:t>
            </w:r>
            <w:r/>
          </w:p>
          <w:p>
            <w:pPr>
              <w:jc w:val="left"/>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第</w:t>
            </w:r>
            <w:r>
              <w:rPr>
                <w:rFonts w:hint="eastAsia" w:ascii="宋体" w:hAnsi="宋体" w:eastAsia="宋体" w:cs="宋体"/>
                <w:b/>
                <w:sz w:val="24"/>
                <w:szCs w:val="24"/>
                <w:highlight w:val="none"/>
              </w:rPr>
              <w:t xml:space="preserve">1项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提供证书原件扫描上传。</w:t>
            </w:r>
            <w:r/>
          </w:p>
          <w:p>
            <w:pPr>
              <w:jc w:val="left"/>
              <w:widowControl/>
              <w:rPr>
                <w:rFonts w:hint="eastAsia" w:ascii="宋体" w:hAnsi="宋体" w:eastAsia="宋体" w:cs="宋体"/>
                <w:sz w:val="24"/>
                <w:szCs w:val="24"/>
                <w:highlight w:val="none"/>
              </w:rPr>
            </w:pPr>
            <w:r>
              <w:rPr>
                <w:rFonts w:hint="eastAsia" w:ascii="宋体" w:hAnsi="宋体" w:cs="宋体"/>
                <w:b/>
                <w:sz w:val="24"/>
                <w:szCs w:val="24"/>
                <w:highlight w:val="none"/>
                <w:lang w:val="en-US" w:eastAsia="zh-CN"/>
              </w:rPr>
              <w:t xml:space="preserve">第</w:t>
            </w:r>
            <w:r>
              <w:rPr>
                <w:rFonts w:hint="eastAsia" w:ascii="宋体" w:hAnsi="宋体" w:eastAsia="宋体" w:cs="宋体"/>
                <w:b/>
                <w:sz w:val="24"/>
                <w:szCs w:val="24"/>
                <w:highlight w:val="none"/>
              </w:rPr>
              <w:t xml:space="preserve">3项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提供投标人近</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个月内任意</w:t>
            </w:r>
            <w:r>
              <w:rPr>
                <w:rFonts w:hint="eastAsia" w:ascii="宋体" w:hAnsi="宋体" w:cs="宋体"/>
                <w:b/>
                <w:sz w:val="24"/>
                <w:szCs w:val="24"/>
                <w:highlight w:val="none"/>
                <w:lang w:val="en-US" w:eastAsia="zh-CN"/>
              </w:rPr>
              <w:t xml:space="preserve">1</w:t>
            </w:r>
            <w:r>
              <w:rPr>
                <w:rFonts w:hint="eastAsia" w:ascii="宋体" w:hAnsi="宋体" w:eastAsia="宋体" w:cs="宋体"/>
                <w:b/>
                <w:sz w:val="24"/>
                <w:szCs w:val="24"/>
                <w:highlight w:val="none"/>
              </w:rPr>
              <w:t xml:space="preserve">个月为其缴纳社保的证明和资质证书。售后服务团队人员不可重复。</w:t>
            </w:r>
            <w:r/>
          </w:p>
        </w:tc>
      </w:tr>
      <w:tr>
        <w:trPr>
          <w:jc w:val="center"/>
          <w:trHeight w:val="41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业绩（4分）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年1月1日至今类似项目业绩，提供1个得1分，满分4分。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备注：以合同签订时间为准，投标人提供的合同</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是与最终用户直接签订的（分包合同不予认可），提供合同和付款发票或验收证明，原件扫描上传。</w:t>
            </w:r>
            <w:r/>
          </w:p>
        </w:tc>
      </w:tr>
      <w:tr>
        <w:trPr>
          <w:jc w:val="center"/>
          <w:trHeight w:val="41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综合能力</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1.投标人具有数据管理能力成熟度三级及以上等级证书得3分，三级以下得1分，没有不得分。(满分3分)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投标人具有信息系统业务安全服务资质证书的（CCIA），一级得3分，二级</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2分，三级得1分；其余不得分。（满分3分）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3.投标人具有有效期内的ISO27032网络空间安全管理体系认证、ISO27701隐私信息管理体系认证证书，有一项得1分。（满分2分）</w:t>
            </w:r>
            <w:r/>
          </w:p>
          <w:p>
            <w:pP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备注: 1-3项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提供证书原件扫描上传。</w:t>
            </w:r>
            <w:r/>
          </w:p>
        </w:tc>
      </w:tr>
      <w:tr>
        <w:trPr>
          <w:jc w:val="center"/>
          <w:trHeight w:val="41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节能环保（2分）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110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66"/>
        <w:ind w:left="0" w:firstLine="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14:textFill>
            <w14:solidFill>
              <w14:schemeClr w14:val="tx1"/>
            </w14:solidFill>
          </w14:textFill>
        </w:rPr>
        <w:t xml:space="preserve">包二</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bl>
      <w:tblPr>
        <w:tblStyle w:val="791"/>
        <w:tblW w:w="9276" w:type="dxa"/>
        <w:jc w:val="center"/>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2005"/>
        <w:gridCol w:w="7271"/>
      </w:tblGrid>
      <w:tr>
        <w:trPr>
          <w:cantSplit/>
          <w:jc w:val="center"/>
          <w:trHeight w:val="425"/>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评分标准</w:t>
            </w:r>
            <w:r/>
          </w:p>
        </w:tc>
      </w:tr>
      <w:tr>
        <w:trPr>
          <w:cantSplit/>
          <w:jc w:val="center"/>
          <w:trHeight w:val="90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以满足招标文件要求的最低投标报价为评标基准价，得满分30分，其他投标报价得分=（评标基准价/其他投标报价）×30×100%。</w:t>
            </w:r>
            <w:r/>
          </w:p>
        </w:tc>
      </w:tr>
      <w:tr>
        <w:trPr>
          <w:cantSplit/>
          <w:jc w:val="center"/>
          <w:trHeight w:val="99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技术性能</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根据投标人所投产品技术参数完全满足招标文件技术参数要求得33分。带“★”项为重要指标，按照招标文件要求提供证明资料，每有一项不满足扣1分。</w:t>
            </w:r>
            <w:r/>
          </w:p>
        </w:tc>
      </w:tr>
      <w:tr>
        <w:trPr>
          <w:cantSplit/>
          <w:jc w:val="center"/>
          <w:trHeight w:val="74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建设方案（</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投标人根据招标文件提供建设、点位信息，自行组织现场查勘，依据查勘方案评分。</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（1）提供新建</w:t>
            </w:r>
            <w:r>
              <w:rPr>
                <w:rFonts w:hint="eastAsia" w:ascii="宋体" w:hAnsi="宋体" w:eastAsia="宋体" w:cs="宋体"/>
                <w:sz w:val="24"/>
                <w:szCs w:val="24"/>
                <w:highlight w:val="none"/>
                <w:lang w:val="en-US" w:eastAsia="zh-CN"/>
              </w:rPr>
              <w:t xml:space="preserve">144</w:t>
            </w:r>
            <w:r>
              <w:rPr>
                <w:rFonts w:hint="eastAsia" w:ascii="宋体" w:hAnsi="宋体" w:eastAsia="宋体" w:cs="宋体"/>
                <w:sz w:val="24"/>
                <w:szCs w:val="24"/>
                <w:highlight w:val="none"/>
              </w:rPr>
              <w:t xml:space="preserve">点位水印相机拍摄的现场实际照片（水印必须包含点位名称和经纬度）进行评分，全部按照要求提供得3分，缺失或不提供不得分。</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（2）提供新建</w:t>
            </w:r>
            <w:r>
              <w:rPr>
                <w:rFonts w:hint="eastAsia" w:ascii="宋体" w:hAnsi="宋体" w:eastAsia="宋体" w:cs="宋体"/>
                <w:sz w:val="24"/>
                <w:szCs w:val="24"/>
                <w:highlight w:val="none"/>
                <w:lang w:val="en-US" w:eastAsia="zh-CN"/>
              </w:rPr>
              <w:t xml:space="preserve">144</w:t>
            </w:r>
            <w:r>
              <w:rPr>
                <w:rFonts w:hint="eastAsia" w:ascii="宋体" w:hAnsi="宋体" w:eastAsia="宋体" w:cs="宋体"/>
                <w:sz w:val="24"/>
                <w:szCs w:val="24"/>
                <w:highlight w:val="none"/>
              </w:rPr>
              <w:t xml:space="preserve">点位的图纸（包含安装位置、接电、接网等情况）。全部按照要求提供得3分，缺失或不提供不得分，未按要求提供现场实际照片但提供图纸的视为未提供图纸不得分。</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2.投标人应根据建设内容分项施工的重点难点编制实施方案。</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进度</w:t>
            </w:r>
            <w:r>
              <w:rPr>
                <w:rFonts w:hint="eastAsia" w:ascii="宋体" w:hAnsi="宋体" w:eastAsia="宋体" w:cs="宋体"/>
                <w:sz w:val="24"/>
                <w:szCs w:val="24"/>
                <w:highlight w:val="none"/>
              </w:rPr>
              <w:t xml:space="preserve">保证</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优于招标文件要求的得3分，符合招标文件要求的得1分、不符合</w:t>
            </w:r>
            <w:r>
              <w:rPr>
                <w:rFonts w:hint="eastAsia" w:ascii="宋体" w:hAnsi="宋体" w:eastAsia="宋体" w:cs="宋体"/>
                <w:sz w:val="24"/>
                <w:szCs w:val="24"/>
                <w:highlight w:val="none"/>
                <w:lang w:val="en-US" w:eastAsia="zh-CN"/>
              </w:rPr>
              <w:t xml:space="preserve">招标文</w:t>
            </w:r>
            <w:r>
              <w:rPr>
                <w:rFonts w:hint="eastAsia" w:ascii="宋体" w:hAnsi="宋体" w:eastAsia="宋体" w:cs="宋体"/>
                <w:sz w:val="24"/>
                <w:szCs w:val="24"/>
                <w:highlight w:val="none"/>
              </w:rPr>
              <w:t xml:space="preserve">件要求</w:t>
            </w:r>
            <w:r>
              <w:rPr>
                <w:rFonts w:hint="eastAsia" w:ascii="宋体" w:hAnsi="宋体" w:eastAsia="宋体" w:cs="宋体"/>
                <w:sz w:val="24"/>
                <w:szCs w:val="24"/>
                <w:highlight w:val="none"/>
                <w:lang w:val="en-US" w:eastAsia="zh-CN"/>
              </w:rPr>
              <w:t xml:space="preserve">或未提供</w:t>
            </w:r>
            <w:r>
              <w:rPr>
                <w:rFonts w:hint="eastAsia" w:ascii="宋体" w:hAnsi="宋体" w:eastAsia="宋体" w:cs="宋体"/>
                <w:sz w:val="24"/>
                <w:szCs w:val="24"/>
                <w:highlight w:val="none"/>
              </w:rPr>
              <w:t xml:space="preserve">的不得分。</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(2)质量保证</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优于招标文件要求的得3分，符合招标文件要求的得1分、不符合</w:t>
            </w: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lang w:val="en-US" w:eastAsia="zh-CN"/>
              </w:rPr>
              <w:t xml:space="preserve">或未提供</w:t>
            </w:r>
            <w:r>
              <w:rPr>
                <w:rFonts w:hint="eastAsia" w:ascii="宋体" w:hAnsi="宋体" w:eastAsia="宋体" w:cs="宋体"/>
                <w:sz w:val="24"/>
                <w:szCs w:val="24"/>
                <w:highlight w:val="none"/>
              </w:rPr>
              <w:t xml:space="preserve">的不得分。</w:t>
            </w:r>
            <w:r/>
          </w:p>
          <w:p>
            <w:pPr>
              <w:spacing w:line="32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tc>
      </w:tr>
      <w:tr>
        <w:trPr>
          <w:jc w:val="center"/>
          <w:trHeight w:val="58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人员证书（9分）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3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.拟投入项目总负责人具有注册信息安全专业人员证书（CISP）、二级及以上建造师（通信与广电工程或机电工程）证书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有一个得1分，满分2分。</w:t>
            </w:r>
            <w:r/>
          </w:p>
          <w:p>
            <w:pPr>
              <w:spacing w:line="3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.项目技术负责人具有信息系统项目管理师、注册信息安全专业人员，有一个得1分，满分2分。</w:t>
            </w:r>
            <w:r/>
          </w:p>
          <w:p>
            <w:pPr>
              <w:spacing w:line="3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.实施团队：</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①投标人拟投入项目实施人员不少于2名具有电工作业证书，每1人得0.5分。（满分1分）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②投标人拟投入项目实施人员不少于2名具有高空作业证书，每1人得0.5分。（满分1分）</w:t>
            </w:r>
            <w:r/>
          </w:p>
          <w:p>
            <w:pPr>
              <w:jc w:val="left"/>
              <w:rPr>
                <w:rFonts w:hint="eastAsia" w:ascii="宋体" w:hAnsi="宋体" w:eastAsia="宋体" w:cs="宋体"/>
                <w:b/>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.拟投入项目实施设备要求：投标人自有或租赁高空作业车得1分、光纤熔接机得1分、线缆测试仪得1分，没有不得分。（满分3分）。</w:t>
            </w:r>
            <w:r>
              <w:rPr>
                <w:rFonts w:hint="eastAsia" w:ascii="宋体" w:hAnsi="宋体" w:eastAsia="宋体" w:cs="宋体"/>
                <w:b/>
                <w:sz w:val="24"/>
                <w:szCs w:val="24"/>
                <w:highlight w:val="none"/>
              </w:rPr>
              <w:t xml:space="preserve">自有需提供证明材料，如租赁需提供意向租赁合同。</w:t>
            </w:r>
            <w:r/>
          </w:p>
          <w:p>
            <w:pPr>
              <w:jc w:val="left"/>
              <w:widowControl/>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第1-3</w:t>
            </w:r>
            <w:r>
              <w:rPr>
                <w:rFonts w:hint="eastAsia" w:ascii="宋体" w:hAnsi="宋体" w:eastAsia="宋体" w:cs="宋体"/>
                <w:b/>
                <w:sz w:val="24"/>
                <w:szCs w:val="24"/>
                <w:highlight w:val="none"/>
                <w:lang w:val="zh-CN"/>
              </w:rPr>
              <w:t xml:space="preserve">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lang w:val="zh-CN"/>
              </w:rPr>
              <w:t xml:space="preserve">提供投标人近</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lang w:val="zh-CN"/>
              </w:rPr>
              <w:t xml:space="preserve">个月内任意</w:t>
            </w:r>
            <w:r>
              <w:rPr>
                <w:rFonts w:hint="eastAsia" w:ascii="宋体" w:hAnsi="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个月为其缴纳社保的证明和相关资质证书，扫描上传，与售后服务人员不可重复。</w:t>
            </w:r>
            <w:r/>
          </w:p>
        </w:tc>
      </w:tr>
      <w:tr>
        <w:trPr>
          <w:jc w:val="center"/>
          <w:trHeight w:val="587"/>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1.投标人具有信息安全服务资质认证CCRC（安全运维服务）二级及以上得3分，不满足不得分。（满分3分）。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售后服务、培训方案：优于招标文件要求的得2分、符合招标文件要求的得1分、不符合招标文件要求或未提供的不得分。（满分2分）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3.拟投入售后服务团队要求：</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（1）投标人拟投入售后服务经理1名：具有信息系统项目管理师和网络工程师得1分。（满分1分）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（2）投标人拟投入售后服务人员不少于1名具有IT服务工程师（或IT服务项目经理）证书，每1人得1分。（满分1分）</w:t>
            </w:r>
            <w:r/>
          </w:p>
          <w:p>
            <w:pPr>
              <w:jc w:val="left"/>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第</w:t>
            </w:r>
            <w:r>
              <w:rPr>
                <w:rFonts w:hint="eastAsia" w:ascii="宋体" w:hAnsi="宋体" w:eastAsia="宋体" w:cs="宋体"/>
                <w:b/>
                <w:sz w:val="24"/>
                <w:szCs w:val="24"/>
                <w:highlight w:val="none"/>
              </w:rPr>
              <w:t xml:space="preserve">1项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提供证书原件扫描上传。</w:t>
            </w:r>
            <w:r/>
          </w:p>
          <w:p>
            <w:pPr>
              <w:jc w:val="left"/>
              <w:widowControl/>
              <w:rPr>
                <w:rFonts w:hint="eastAsia" w:ascii="宋体" w:hAnsi="宋体" w:eastAsia="宋体" w:cs="宋体"/>
                <w:sz w:val="24"/>
                <w:szCs w:val="24"/>
                <w:highlight w:val="none"/>
              </w:rPr>
            </w:pPr>
            <w:r>
              <w:rPr>
                <w:rFonts w:hint="eastAsia" w:ascii="宋体" w:hAnsi="宋体" w:cs="宋体"/>
                <w:b/>
                <w:sz w:val="24"/>
                <w:szCs w:val="24"/>
                <w:highlight w:val="none"/>
                <w:lang w:val="en-US" w:eastAsia="zh-CN"/>
              </w:rPr>
              <w:t xml:space="preserve">第</w:t>
            </w:r>
            <w:r>
              <w:rPr>
                <w:rFonts w:hint="eastAsia" w:ascii="宋体" w:hAnsi="宋体" w:eastAsia="宋体" w:cs="宋体"/>
                <w:b/>
                <w:sz w:val="24"/>
                <w:szCs w:val="24"/>
                <w:highlight w:val="none"/>
              </w:rPr>
              <w:t xml:space="preserve">3项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提供投标人近</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个月内任意</w:t>
            </w:r>
            <w:r>
              <w:rPr>
                <w:rFonts w:hint="eastAsia" w:ascii="宋体" w:hAnsi="宋体" w:cs="宋体"/>
                <w:b/>
                <w:sz w:val="24"/>
                <w:szCs w:val="24"/>
                <w:highlight w:val="none"/>
                <w:lang w:val="en-US" w:eastAsia="zh-CN"/>
              </w:rPr>
              <w:t xml:space="preserve">1</w:t>
            </w:r>
            <w:r>
              <w:rPr>
                <w:rFonts w:hint="eastAsia" w:ascii="宋体" w:hAnsi="宋体" w:eastAsia="宋体" w:cs="宋体"/>
                <w:b/>
                <w:sz w:val="24"/>
                <w:szCs w:val="24"/>
                <w:highlight w:val="none"/>
              </w:rPr>
              <w:t xml:space="preserve">个月为其缴纳社保的证明和资质证书。售后服务团队人员不可重复。</w:t>
            </w:r>
            <w:r/>
          </w:p>
        </w:tc>
      </w:tr>
      <w:tr>
        <w:trPr>
          <w:jc w:val="center"/>
          <w:trHeight w:val="41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业绩（3分）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年1月1日至今类似项目业绩，提供1个得1分，满分3分。</w:t>
            </w:r>
            <w:r/>
          </w:p>
          <w:p>
            <w:pP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备注：以合同签订时间为准，投标人提供的合同</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是与最终用户直接签订的（分包合同不予认可），提供合同和付款发票或验收证明，原件扫描上传。若刚签订的合同未到付款时间,则需提供业绩证明单位盖章的情况说明。</w:t>
            </w:r>
            <w:r/>
          </w:p>
        </w:tc>
      </w:tr>
      <w:tr>
        <w:trPr>
          <w:jc w:val="center"/>
          <w:trHeight w:val="41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综合能力</w:t>
            </w:r>
            <w:r/>
          </w:p>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1.投标人具有信息系统建设和服务能力等级证书（CS），CS5级得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分，CS4级及以下得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分，没有不得分。(满分2分)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2.投标人具有ISO27001信息安全管理体系认证、ISO27701隐私信息管理体系认证证书，有一项得1分。（满分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cs="宋体"/>
                <w:b/>
                <w:sz w:val="24"/>
                <w:szCs w:val="24"/>
                <w:highlight w:val="none"/>
                <w:lang w:val="en-US" w:eastAsia="zh-CN"/>
              </w:rPr>
              <w:t xml:space="preserve">第</w:t>
            </w:r>
            <w:r>
              <w:rPr>
                <w:rFonts w:hint="eastAsia" w:ascii="宋体" w:hAnsi="宋体" w:eastAsia="宋体" w:cs="宋体"/>
                <w:b/>
                <w:sz w:val="24"/>
                <w:szCs w:val="24"/>
                <w:highlight w:val="none"/>
              </w:rPr>
              <w:t xml:space="preserve">1-2项</w:t>
            </w:r>
            <w:r>
              <w:rPr>
                <w:rFonts w:hint="eastAsia" w:ascii="宋体" w:hAnsi="宋体" w:eastAsia="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提供证书原件扫描上传。</w:t>
            </w:r>
            <w:r/>
          </w:p>
        </w:tc>
      </w:tr>
      <w:tr>
        <w:trPr>
          <w:jc w:val="center"/>
          <w:trHeight w:val="416"/>
        </w:trPr>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节能环保（2分）</w:t>
            </w:r>
            <w:r/>
          </w:p>
        </w:tc>
        <w:tc>
          <w:tcPr>
            <w:tcBorders>
              <w:top w:val="single" w:color="auto" w:sz="4" w:space="0"/>
              <w:left w:val="single" w:color="auto" w:sz="4" w:space="0"/>
              <w:bottom w:val="single" w:color="auto" w:sz="4" w:space="0"/>
              <w:right w:val="single" w:color="auto" w:sz="4" w:space="0"/>
            </w:tcBorders>
            <w:tcW w:w="7271" w:type="dxa"/>
            <w:vAlign w:val="center"/>
            <w:textDirection w:val="lrTb"/>
            <w:noWrap w:val="false"/>
          </w:tcPr>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66"/>
        <w:ind w:left="0" w:firstLine="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14:textFill>
            <w14:solidFill>
              <w14:schemeClr w14:val="tx1"/>
            </w14:solidFill>
          </w14:textFill>
        </w:rPr>
        <w:t xml:space="preserve">包三</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vanish/>
          <w:color w:val="000000" w:themeColor="text1"/>
          <w:sz w:val="24"/>
          <w:szCs w:val="24"/>
          <w:highlight w:val="none"/>
          <w14:textFill>
            <w14:solidFill>
              <w14:schemeClr w14:val="tx1"/>
            </w14:solidFill>
          </w14:textFill>
        </w:rPr>
      </w:pPr>
      <w:r>
        <w:rPr>
          <w:rFonts w:hint="eastAsia" w:ascii="宋体" w:hAnsi="宋体" w:eastAsia="宋体" w:cs="宋体"/>
          <w:vanish/>
          <w:color w:val="000000" w:themeColor="text1"/>
          <w:sz w:val="24"/>
          <w:szCs w:val="24"/>
          <w:highlight w:val="none"/>
          <w14:textFill>
            <w14:solidFill>
              <w14:schemeClr w14:val="tx1"/>
            </w14:solidFill>
          </w14:textFill>
        </w:rPr>
      </w:r>
      <w:r/>
    </w:p>
    <w:tbl>
      <w:tblPr>
        <w:tblStyle w:val="791"/>
        <w:tblW w:w="88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4"/>
        <w:gridCol w:w="6911"/>
      </w:tblGrid>
      <w:tr>
        <w:trPr>
          <w:jc w:val="center"/>
          <w:trHeight w:val="594"/>
        </w:trPr>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691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p>
        </w:tc>
      </w:tr>
      <w:tr>
        <w:trPr>
          <w:jc w:val="center"/>
          <w:trHeight w:val="20"/>
        </w:trPr>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firstLine="5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p>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6911" w:type="dxa"/>
            <w:vAlign w:val="bottom"/>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以满足招标文件要求的最低投标报价为评标基准价，得满分10分，其他投标报价得分=（评标基准价/其他投标报价）×10×100%。</w:t>
            </w:r>
            <w:r/>
          </w:p>
        </w:tc>
      </w:tr>
      <w:tr>
        <w:trPr>
          <w:jc w:val="center"/>
          <w:trHeight w:val="20"/>
        </w:trPr>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监理方案</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6911" w:type="dxa"/>
            <w:vAlign w:val="bottom"/>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1、投标人应根据招标文件要求提供质量控制目标、方法和措施方案，优于招标文件要求的得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分；符合招标文件要求的得4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2、投标人应根据招标文件要求提供进度控制目标、方法和措施方案，优于招标文件要求的得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分；符合招标文件要求的得4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3、投标人应根据招标文件要求提供投资控制目标、方法和措施方案，优于招标文件要求的得5分；符合招标文件要求的得3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4、投标人应根据招标文件要求提供变更控制目标、方法和措施方案，优于招标文件要求的得5分；符合招标文件要求的得3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5、投标人应根据招标文件要求提供安全管理的目标、方法和措施方案，优于招标文件要求的得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分；符合招标文件要求的得4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6、投标人应根据招标文件要求提供合同管理的目标、方法和措施方案，优于招标文件要求的得5分；符合招标文件要求的得3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7、投标人应根据招标文件要求提供信息管理的目标、方法和措施方案，优于招标文件要求的得5分；符合招标文件要求的得3 分；不符合招标文件要求或未提供的不得分。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8、投标人应根据招标文件要求提供协调各方关系的措施方案，优于招标文件要求的得5分；符合招标文件要求的得3分；不符合招标文件要求或未提供的不得分。</w:t>
            </w:r>
            <w:r/>
          </w:p>
        </w:tc>
      </w:tr>
      <w:tr>
        <w:trPr>
          <w:jc w:val="center"/>
          <w:trHeight w:val="964"/>
        </w:trPr>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6911" w:type="dxa"/>
            <w:vAlign w:val="bottom"/>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投标人提供自2023年1月1日至今承担的类似项目业绩，每提供1项得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分，满分</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分。（以合同签订时间为准，</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提供合同，扫描上传）</w:t>
            </w:r>
            <w:r/>
          </w:p>
        </w:tc>
      </w:tr>
      <w:tr>
        <w:trPr>
          <w:jc w:val="center"/>
          <w:trHeight w:val="493"/>
        </w:trPr>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6911" w:type="dxa"/>
            <w:vAlign w:val="bottom"/>
            <w:textDirection w:val="lrTb"/>
            <w:noWrap w:val="false"/>
          </w:tcPr>
          <w:p>
            <w:pPr>
              <w:jc w:val="left"/>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1、拟任本项目的总监理工程师具有</w:t>
            </w:r>
            <w:bookmarkStart w:id="2" w:name="OLE_LINK6"/>
            <w:r/>
            <w:bookmarkStart w:id="3" w:name="OLE_LINK7"/>
            <w:r>
              <w:rPr>
                <w:rFonts w:hint="eastAsia" w:ascii="宋体" w:hAnsi="宋体"/>
                <w:color w:val="000000"/>
                <w:sz w:val="24"/>
                <w:szCs w:val="24"/>
                <w:highlight w:val="none"/>
              </w:rPr>
              <w:t xml:space="preserve">信息系统监理师</w:t>
            </w:r>
            <w:bookmarkEnd w:id="2"/>
            <w:r/>
            <w:bookmarkEnd w:id="3"/>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的基础上</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如有</w:t>
            </w:r>
            <w:r>
              <w:rPr>
                <w:rFonts w:hint="eastAsia" w:ascii="宋体" w:hAnsi="宋体"/>
                <w:color w:val="000000"/>
                <w:sz w:val="24"/>
                <w:szCs w:val="24"/>
                <w:highlight w:val="none"/>
              </w:rPr>
              <w:t xml:space="preserve">：</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①信息系统管理工程师证书；</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②数据库系统工程师证书；</w:t>
            </w:r>
            <w:bookmarkStart w:id="4" w:name="OLE_LINK3"/>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③通信工程师-互联网技术；</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④通信工程师-设备环境</w:t>
            </w:r>
            <w:bookmarkEnd w:id="4"/>
            <w:r>
              <w:rPr>
                <w:rFonts w:hint="eastAsia" w:ascii="宋体" w:hAnsi="宋体" w:cs="宋体"/>
                <w:color w:val="000000"/>
                <w:sz w:val="24"/>
                <w:szCs w:val="24"/>
                <w:highlight w:val="none"/>
              </w:rPr>
              <w:t xml:space="preserve">；</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⑤网络工程师；</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ascii="宋体" w:hAnsi="宋体" w:cs="宋体"/>
                <w:color w:val="000000"/>
                <w:sz w:val="24"/>
                <w:szCs w:val="24"/>
                <w:highlight w:val="none"/>
              </w:rPr>
              <w:t xml:space="preserve">信息安全工程师</w:t>
            </w:r>
            <w:r>
              <w:rPr>
                <w:rFonts w:hint="eastAsia" w:ascii="宋体" w:hAnsi="宋体" w:cs="宋体"/>
                <w:color w:val="000000"/>
                <w:sz w:val="24"/>
                <w:szCs w:val="24"/>
                <w:highlight w:val="none"/>
              </w:rPr>
              <w:t xml:space="preserve">；</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以上证书每有一项得 3分，满分 </w:t>
            </w: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2、拟任本项目的总监理工程师代表具有</w:t>
            </w:r>
            <w:r>
              <w:rPr>
                <w:rFonts w:hint="eastAsia" w:ascii="宋体" w:hAnsi="宋体"/>
                <w:color w:val="000000"/>
                <w:sz w:val="24"/>
                <w:szCs w:val="24"/>
                <w:highlight w:val="none"/>
              </w:rPr>
              <w:t xml:space="preserve">信息系统监理师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的基础上</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如有</w:t>
            </w:r>
            <w:r>
              <w:rPr>
                <w:rFonts w:hint="eastAsia" w:ascii="宋体" w:hAnsi="宋体" w:cs="宋体"/>
                <w:color w:val="000000"/>
                <w:sz w:val="24"/>
                <w:szCs w:val="24"/>
                <w:highlight w:val="none"/>
              </w:rPr>
              <w:t xml:space="preserve">：信息系统项目管理师证书</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得3 分，满分</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jc w:val="left"/>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3、拟任本项目的技术负责人具有</w:t>
            </w:r>
            <w:r>
              <w:rPr>
                <w:rFonts w:hint="eastAsia" w:ascii="宋体" w:hAnsi="宋体"/>
                <w:color w:val="000000"/>
                <w:sz w:val="24"/>
                <w:szCs w:val="24"/>
                <w:highlight w:val="none"/>
              </w:rPr>
              <w:t xml:space="preserve">信息系统监理师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的基础上</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如有</w:t>
            </w:r>
            <w:r>
              <w:rPr>
                <w:rFonts w:hint="eastAsia" w:ascii="宋体" w:hAnsi="宋体"/>
                <w:color w:val="000000"/>
                <w:sz w:val="24"/>
                <w:szCs w:val="24"/>
                <w:highlight w:val="none"/>
              </w:rPr>
              <w:t xml:space="preserve">：</w:t>
            </w:r>
            <w:r/>
          </w:p>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①系统集成项目管理</w:t>
            </w:r>
            <w:r>
              <w:rPr>
                <w:rFonts w:hint="eastAsia" w:ascii="宋体" w:hAnsi="宋体" w:cs="宋体"/>
                <w:color w:val="000000"/>
                <w:sz w:val="24"/>
                <w:szCs w:val="24"/>
                <w:highlight w:val="none"/>
                <w:lang w:val="en-US" w:eastAsia="zh-CN"/>
              </w:rPr>
              <w:t xml:space="preserve">工程</w:t>
            </w:r>
            <w:r>
              <w:rPr>
                <w:rFonts w:hint="eastAsia" w:ascii="宋体" w:hAnsi="宋体" w:cs="宋体"/>
                <w:color w:val="000000"/>
                <w:sz w:val="24"/>
                <w:szCs w:val="24"/>
                <w:highlight w:val="none"/>
              </w:rPr>
              <w:t xml:space="preserve">师证书；</w:t>
            </w:r>
            <w:r/>
          </w:p>
          <w:p>
            <w:pPr>
              <w:jc w:val="left"/>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②网络工程师。</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以上证书每有一项得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分，满分</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4、拟任本项目的监理成员（除总监、总代和技术负责人以外）具有信息系统监理师</w:t>
            </w:r>
            <w:r>
              <w:rPr>
                <w:rFonts w:hint="eastAsia" w:ascii="宋体" w:hAnsi="宋体"/>
                <w:color w:val="000000"/>
                <w:sz w:val="24"/>
                <w:szCs w:val="24"/>
                <w:highlight w:val="none"/>
                <w:lang w:val="en-US" w:eastAsia="zh-CN"/>
              </w:rPr>
              <w:t xml:space="preserve">证书</w:t>
            </w:r>
            <w:r>
              <w:rPr>
                <w:rFonts w:hint="eastAsia" w:ascii="宋体" w:hAnsi="宋体" w:cs="宋体"/>
                <w:color w:val="000000"/>
                <w:sz w:val="24"/>
                <w:szCs w:val="24"/>
                <w:highlight w:val="none"/>
              </w:rPr>
              <w:t xml:space="preserve">的基础上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如有：</w:t>
            </w:r>
            <w:r>
              <w:rPr>
                <w:rFonts w:hint="eastAsia" w:ascii="宋体" w:hAnsi="宋体" w:cs="宋体"/>
                <w:color w:val="000000"/>
                <w:sz w:val="24"/>
                <w:szCs w:val="24"/>
                <w:highlight w:val="none"/>
              </w:rPr>
              <w:t xml:space="preserve">系统集成项目管理</w:t>
            </w:r>
            <w:r>
              <w:rPr>
                <w:rFonts w:hint="eastAsia" w:ascii="宋体" w:hAnsi="宋体" w:cs="宋体"/>
                <w:color w:val="000000"/>
                <w:sz w:val="24"/>
                <w:szCs w:val="24"/>
                <w:highlight w:val="none"/>
                <w:lang w:val="en-US" w:eastAsia="zh-CN"/>
              </w:rPr>
              <w:t xml:space="preserve">工程</w:t>
            </w:r>
            <w:r>
              <w:rPr>
                <w:rFonts w:hint="eastAsia" w:ascii="宋体" w:hAnsi="宋体" w:cs="宋体"/>
                <w:color w:val="000000"/>
                <w:sz w:val="24"/>
                <w:szCs w:val="24"/>
                <w:highlight w:val="none"/>
              </w:rPr>
              <w:t xml:space="preserve">师证书的得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分，满分</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上述内容均</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highlight w:val="none"/>
              </w:rPr>
              <w:t xml:space="preserve">提供人员证书原件扫描上传，</w:t>
            </w:r>
            <w:r>
              <w:rPr>
                <w:rFonts w:ascii="宋体" w:hAnsi="宋体" w:cs="宋体"/>
                <w:color w:val="000000"/>
                <w:sz w:val="24"/>
                <w:szCs w:val="24"/>
                <w:highlight w:val="none"/>
              </w:rPr>
              <w:t xml:space="preserve">所有证书均</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highlight w:val="none"/>
              </w:rPr>
              <w:t xml:space="preserve">由</w:t>
            </w:r>
            <w:r>
              <w:rPr>
                <w:rFonts w:ascii="宋体" w:hAnsi="宋体" w:cs="宋体"/>
                <w:color w:val="000000"/>
                <w:sz w:val="24"/>
                <w:szCs w:val="24"/>
                <w:highlight w:val="none"/>
              </w:rPr>
              <w:t xml:space="preserve">相关主管部门颁发</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并提供投标人近</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个月内任意</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个月为其缴纳社保的证明，</w:t>
            </w:r>
            <w:r>
              <w:rPr>
                <w:rFonts w:hint="eastAsia" w:ascii="宋体" w:hAnsi="宋体" w:cs="宋体"/>
                <w:color w:val="000000"/>
                <w:sz w:val="24"/>
                <w:szCs w:val="24"/>
                <w:highlight w:val="none"/>
              </w:rPr>
              <w:t xml:space="preserve">人员无有效社保缴纳证明不得分。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认证体系</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6911" w:type="dxa"/>
            <w:vAlign w:val="bottom"/>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、具有信息技术服务管理体系认证证书的得1分。</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、具有信息安全管理体系认证证书的得1分。</w:t>
            </w:r>
            <w:r/>
          </w:p>
          <w:p>
            <w:pPr>
              <w:rPr>
                <w:rFonts w:hint="eastAsia" w:ascii="宋体" w:hAnsi="宋体" w:eastAsia="宋体" w:cs="宋体"/>
                <w:color w:val="000000"/>
                <w:sz w:val="24"/>
                <w:szCs w:val="24"/>
                <w:highlight w:val="none"/>
              </w:rPr>
            </w:pPr>
            <w:r/>
            <w:bookmarkStart w:id="5" w:name="OLE_LINK2"/>
            <w:r>
              <w:rPr>
                <w:rFonts w:hint="eastAsia" w:ascii="宋体" w:hAnsi="宋体" w:eastAsia="宋体" w:cs="宋体"/>
                <w:color w:val="000000"/>
                <w:sz w:val="24"/>
                <w:szCs w:val="24"/>
                <w:highlight w:val="none"/>
              </w:rPr>
              <w:t xml:space="preserve">（以上证书</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在有效期内，且认证范围</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包含信息化监理服务，原件扫描上传）</w:t>
            </w:r>
            <w:bookmarkEnd w:id="5"/>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1005"/>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分包一、分包二</w:t>
      </w:r>
      <w:r>
        <w:rPr>
          <w:rFonts w:hint="eastAsia" w:ascii="宋体" w:hAnsi="宋体" w:cs="宋体"/>
          <w:b/>
          <w:color w:val="000000"/>
          <w:sz w:val="24"/>
          <w:lang w:eastAsia="zh-CN"/>
        </w:rPr>
        <w:t xml:space="preserve">）</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818"/>
        <w:tblW w:w="854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6667"/>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开标一览表</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分包三</w:t>
      </w:r>
      <w:r>
        <w:rPr>
          <w:rFonts w:hint="eastAsia" w:ascii="宋体" w:hAnsi="宋体" w:cs="宋体"/>
          <w:b/>
          <w:color w:val="000000"/>
          <w:sz w:val="24"/>
          <w:lang w:eastAsia="zh-CN"/>
        </w:rPr>
        <w:t xml:space="preserve">）</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18"/>
        <w:tblW w:w="854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w:t>
      </w:r>
      <w:r>
        <w:rPr>
          <w:rFonts w:hint="eastAsia" w:ascii="宋体" w:hAnsi="宋体" w:cs="宋体"/>
          <w:b/>
          <w:color w:val="000000"/>
          <w:sz w:val="24"/>
          <w:lang w:val="en-US" w:eastAsia="zh-CN"/>
        </w:rPr>
        <w:t xml:space="preserve">分包一、分包二</w:t>
      </w:r>
      <w:r>
        <w:rPr>
          <w:rFonts w:ascii="宋体" w:hAnsi="宋体" w:eastAsia="宋体" w:cs="宋体"/>
          <w:b/>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18"/>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sz w:val="24"/>
          <w:szCs w:val="24"/>
          <w:highlight w:val="none"/>
          <w:lang w:val="en-US" w:eastAsia="zh-CN"/>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投标分项报价表（</w:t>
      </w:r>
      <w:r>
        <w:rPr>
          <w:rFonts w:hint="eastAsia" w:ascii="宋体" w:hAnsi="宋体" w:cs="宋体"/>
          <w:b/>
          <w:color w:val="000000"/>
          <w:sz w:val="24"/>
          <w:lang w:val="en-US" w:eastAsia="zh-CN"/>
        </w:rPr>
        <w:t xml:space="preserve">分包三</w:t>
      </w:r>
      <w:r>
        <w:rPr>
          <w:rFonts w:ascii="宋体" w:hAnsi="宋体" w:eastAsia="宋体" w:cs="宋体"/>
          <w:b/>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91"/>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cantSplit/>
          <w:trHeight w:val="294"/>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21"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分项服务名称/</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名称</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交付期</w:t>
            </w:r>
            <w:r>
              <w:rPr>
                <w:rFonts w:hint="eastAsia" w:ascii="宋体" w:hAnsi="宋体" w:eastAsia="宋体" w:cs="宋体"/>
                <w:color w:val="auto"/>
                <w:sz w:val="24"/>
                <w:szCs w:val="24"/>
                <w:highlight w:val="none"/>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34"/>
        </w:trPr>
        <w:tc>
          <w:tcPr>
            <w:gridSpan w:val="10"/>
            <w:tcW w:w="9324" w:type="dxa"/>
            <w:vAlign w:val="top"/>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投标总报价（人民币：元）</w:t>
            </w:r>
            <w:r>
              <w:rPr>
                <w:rFonts w:hint="eastAsia" w:ascii="宋体" w:hAnsi="宋体" w:eastAsia="宋体" w:cs="宋体"/>
                <w:color w:val="auto"/>
                <w:sz w:val="24"/>
                <w:szCs w:val="24"/>
                <w:highlight w:val="none"/>
                <w:u w:val="single"/>
                <w:lang w:val="en-US" w:eastAsia="zh-CN"/>
              </w:rPr>
              <w:t xml:space="preserve">                             </w:t>
            </w:r>
            <w:r/>
          </w:p>
        </w:tc>
      </w:tr>
      <w:tr>
        <w:trPr>
          <w:cantSplit/>
          <w:trHeight w:val="757"/>
        </w:trPr>
        <w:tc>
          <w:tcPr>
            <w:gridSpan w:val="10"/>
            <w:tcW w:w="9324" w:type="dxa"/>
            <w:vAlign w:val="top"/>
            <w:textDirection w:val="lrTb"/>
            <w:noWrap w:val="false"/>
          </w:tcPr>
          <w:p>
            <w:pPr>
              <w:pStyle w:val="812"/>
              <w:ind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w:t>
            </w:r>
            <w:r>
              <w:rPr>
                <w:rFonts w:hint="eastAsia" w:ascii="宋体" w:hAnsi="宋体" w:eastAsia="宋体" w:cs="宋体"/>
                <w:i w:val="0"/>
                <w:iCs w:val="0"/>
                <w:caps w:val="0"/>
                <w:color w:val="auto"/>
                <w:spacing w:val="0"/>
                <w:sz w:val="24"/>
                <w:szCs w:val="24"/>
                <w:highlight w:val="none"/>
                <w:lang w:eastAsia="zh-CN"/>
              </w:rPr>
              <w:t xml:space="preserve">货物</w:t>
            </w:r>
            <w:r>
              <w:rPr>
                <w:rFonts w:hint="eastAsia" w:ascii="宋体" w:hAnsi="宋体" w:eastAsia="宋体" w:cs="宋体"/>
                <w:i w:val="0"/>
                <w:iCs w:val="0"/>
                <w:caps w:val="0"/>
                <w:color w:val="auto"/>
                <w:spacing w:val="0"/>
                <w:sz w:val="24"/>
                <w:szCs w:val="24"/>
                <w:highlight w:val="none"/>
              </w:rPr>
              <w:t xml:space="preserve">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strike w:val="0"/>
                <w:color w:val="auto"/>
                <w:spacing w:val="0"/>
                <w:sz w:val="24"/>
                <w:szCs w:val="24"/>
                <w:highlight w:val="none"/>
                <w:lang w:eastAsia="zh-CN"/>
              </w:rPr>
              <w:t xml:space="preserve">全部</w:t>
            </w:r>
            <w:r>
              <w:rPr>
                <w:rFonts w:hint="eastAsia" w:ascii="宋体" w:hAnsi="宋体" w:eastAsia="宋体" w:cs="宋体"/>
                <w:i w:val="0"/>
                <w:iCs w:val="0"/>
                <w:caps w:val="0"/>
                <w:color w:val="auto"/>
                <w:spacing w:val="0"/>
                <w:sz w:val="24"/>
                <w:szCs w:val="24"/>
                <w:highlight w:val="none"/>
              </w:rPr>
              <w:t xml:space="preserve">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pStyle w:val="81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812"/>
        <w:jc w:val="both"/>
        <w:keepLines w:val="0"/>
        <w:keepNext w:val="0"/>
        <w:pageBreakBefore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812"/>
        <w:jc w:val="both"/>
        <w:keepLines w:val="0"/>
        <w:keepNext w:val="0"/>
        <w:pageBreakBefore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none"/>
          <w:lang w:val="en-US" w:eastAsia="zh-CN"/>
        </w:rPr>
        <w:t xml:space="preserve">投标总报价”数额为各“分项总价”之和。</w:t>
      </w:r>
      <w:r/>
    </w:p>
    <w:p>
      <w:pPr>
        <w:pStyle w:val="81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2.“投标分项报价表”中“投标总报价”数额应当与“开标一览表”中“投标总报价”数额一致。</w:t>
      </w:r>
      <w:r/>
    </w:p>
    <w:p>
      <w:pPr>
        <w:keepLines w:val="0"/>
        <w:keepNext w:val="0"/>
        <w:pageBreakBefore w:val="0"/>
        <w:spacing w:line="400" w:lineRule="exact"/>
        <w:widowControl w:val="off"/>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t xml:space="preserve">3.分项服务不需填写品牌、规格型号、制造商、产地。</w:t>
      </w:r>
      <w:r/>
    </w:p>
    <w:p>
      <w:pPr>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bidi="ar"/>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1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 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pStyle w:val="792"/>
      </w:pPr>
      <w:r/>
      <w:r/>
    </w:p>
    <w:p>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18"/>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792"/>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pStyle w:val="792"/>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pStyle w:val="792"/>
      </w:pPr>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18"/>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92"/>
        <w:rPr>
          <w:rFonts w:ascii="宋体" w:hAnsi="宋体" w:eastAsia="宋体" w:cs="宋体"/>
          <w:b/>
          <w:color w:val="000000"/>
          <w:sz w:val="24"/>
        </w:rPr>
      </w:pPr>
      <w:r>
        <w:rPr>
          <w:rFonts w:ascii="宋体" w:hAnsi="宋体" w:eastAsia="宋体" w:cs="宋体"/>
          <w:b/>
          <w:color w:val="000000"/>
          <w:sz w:val="24"/>
        </w:rPr>
      </w:r>
      <w:r/>
    </w:p>
    <w:p>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18"/>
        <w:tblW w:w="84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1"/>
        <w:gridCol w:w="38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2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858"/>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rPr>
          <w:rFonts w:hint="eastAsia" w:ascii="宋体" w:hAnsi="宋体" w:cs="宋体"/>
          <w:color w:val="ff0000"/>
          <w:sz w:val="24"/>
          <w:lang w:val="en-US" w:eastAsia="zh-CN"/>
        </w:rPr>
        <w:t xml:space="preserve">               </w:t>
      </w:r>
      <w:r>
        <w:rPr>
          <w:rFonts w:ascii="宋体" w:hAnsi="宋体" w:eastAsia="宋体" w:cs="宋体"/>
          <w:b/>
          <w:color w:val="000000"/>
          <w:sz w:val="24"/>
        </w:rPr>
        <w:t xml:space="preserve">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Theme="minorEastAsia" w:hAnsiTheme="minorEastAsia" w:eastAsiaTheme="minorEastAsia" w:cstheme="minorEastAsia"/>
          <w:bCs/>
          <w:iCs/>
          <w:color w:val="ff0000"/>
          <w:sz w:val="24"/>
          <w:szCs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18"/>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hint="eastAsia" w:ascii="宋体" w:hAnsi="宋体" w:cs="宋体"/>
          <w:b/>
          <w:color w:val="000000"/>
          <w:sz w:val="24"/>
          <w:lang w:val="en-US" w:eastAsia="zh-CN"/>
        </w:rPr>
        <w:t xml:space="preserve">      </w:t>
      </w:r>
      <w:r/>
    </w:p>
    <w:p>
      <w:pPr>
        <w:ind w:left="0" w:right="0" w:firstLine="16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w:t>
      </w:r>
      <w:r>
        <w:rPr>
          <w:rFonts w:hint="eastAsia" w:ascii="宋体" w:hAnsi="宋体" w:cs="宋体"/>
          <w:b/>
          <w:bCs/>
          <w:color w:val="000000"/>
          <w:sz w:val="24"/>
          <w:szCs w:val="24"/>
          <w:lang w:val="en-US" w:eastAsia="zh-CN"/>
        </w:rPr>
        <w:t xml:space="preserve">        </w:t>
      </w:r>
      <w:r>
        <w:rPr>
          <w:rFonts w:ascii="宋体" w:hAnsi="宋体" w:eastAsia="宋体" w:cs="宋体"/>
          <w:b/>
          <w:bCs/>
          <w:color w:val="000000"/>
          <w:sz w:val="24"/>
          <w:szCs w:val="24"/>
        </w:rPr>
        <w:t xml:space="preserve">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pStyle w:val="812"/>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2"/>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1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1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12"/>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pStyle w:val="812"/>
        <w:ind w:firstLine="4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r/>
      <w:r/>
    </w:p>
    <w:p>
      <w:r/>
      <w:r/>
    </w:p>
    <w:p>
      <w:r/>
      <w:r/>
    </w:p>
    <w:p>
      <w:r/>
      <w:r/>
    </w:p>
    <w:p>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92"/>
        <w:rPr>
          <w:rFonts w:ascii="宋体" w:hAnsi="宋体" w:eastAsia="宋体" w:cs="宋体"/>
          <w:b/>
          <w:color w:val="000000"/>
          <w:sz w:val="24"/>
        </w:rPr>
      </w:pPr>
      <w:r>
        <w:rPr>
          <w:rFonts w:ascii="宋体" w:hAnsi="宋体" w:eastAsia="宋体" w:cs="宋体"/>
          <w:b/>
          <w:color w:val="000000"/>
          <w:sz w:val="24"/>
        </w:rPr>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9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9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818"/>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9638" cy="153339"/>
              <wp:effectExtent l="3175" t="3175" r="3175" b="3175"/>
              <wp:wrapNone/>
              <wp:docPr id="1" name="文本框 15"/>
              <wp:cNvGraphicFramePr/>
              <a:graphic xmlns:a="http://schemas.openxmlformats.org/drawingml/2006/main">
                <a:graphicData uri="http://schemas.microsoft.com/office/word/2010/wordprocessingShape">
                  <wps:wsp>
                    <wps:cNvPr id="0" name=""/>
                    <wps:cNvSpPr txBox="1"/>
                    <wps:spPr bwMode="auto">
                      <a:xfrm flipH="0" flipV="0">
                        <a:off x="0" y="0"/>
                        <a:ext cx="20963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5pt;height:12.1pt;mso-wrap-distance-left:9.0pt;mso-wrap-distance-top:0.0pt;mso-wrap-distance-right:9.0pt;mso-wrap-distance-bottom:0.0pt;v-text-anchor:top;visibility:visible;" filled="f" stroked="f" strokeweight="0.50pt">
              <v:textbox inset="0,0,0,0">
                <w:txbxContent>
                  <w:p>
                    <w:pPr>
                      <w:pStyle w:val="8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1"/>
      <w:isLgl w:val="false"/>
      <w:suff w:val="nothing"/>
      <w:lvlText w:val=""/>
      <w:lvlJc w:val="left"/>
      <w:pPr>
        <w:ind w:left="0" w:firstLine="0"/>
      </w:pPr>
      <w:rPr>
        <w:rFonts w:hint="eastAsia"/>
      </w:rPr>
    </w:lvl>
    <w:lvl w:ilvl="6">
      <w:start w:val="1"/>
      <w:numFmt w:val="decimal"/>
      <w:pStyle w:val="1012"/>
      <w:isLgl w:val="false"/>
      <w:suff w:val="nothing"/>
      <w:lvlText w:val=""/>
      <w:lvlJc w:val="left"/>
      <w:pPr>
        <w:ind w:left="0" w:firstLine="0"/>
      </w:pPr>
      <w:rPr>
        <w:rFonts w:hint="eastAsia"/>
      </w:rPr>
    </w:lvl>
    <w:lvl w:ilvl="7">
      <w:start w:val="1"/>
      <w:numFmt w:val="decimal"/>
      <w:pStyle w:val="1013"/>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7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2">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26"/>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25"/>
  </w:num>
  <w:num w:numId="4">
    <w:abstractNumId w:val="6"/>
  </w:num>
  <w:num w:numId="5">
    <w:abstractNumId w:val="21"/>
  </w:num>
  <w:num w:numId="6">
    <w:abstractNumId w:val="4"/>
  </w:num>
  <w:num w:numId="7">
    <w:abstractNumId w:val="12"/>
  </w:num>
  <w:num w:numId="8">
    <w:abstractNumId w:val="17"/>
  </w:num>
  <w:num w:numId="9">
    <w:abstractNumId w:val="29"/>
  </w:num>
  <w:num w:numId="10">
    <w:abstractNumId w:val="11"/>
  </w:num>
  <w:num w:numId="11">
    <w:abstractNumId w:val="1"/>
  </w:num>
  <w:num w:numId="12">
    <w:abstractNumId w:val="18"/>
  </w:num>
  <w:num w:numId="13">
    <w:abstractNumId w:val="26"/>
  </w:num>
  <w:num w:numId="14">
    <w:abstractNumId w:val="7"/>
  </w:num>
  <w:num w:numId="15">
    <w:abstractNumId w:val="16"/>
  </w:num>
  <w:num w:numId="16">
    <w:abstractNumId w:val="2"/>
  </w:num>
  <w:num w:numId="17">
    <w:abstractNumId w:val="15"/>
  </w:num>
  <w:num w:numId="18">
    <w:abstractNumId w:val="20"/>
  </w:num>
  <w:num w:numId="19">
    <w:abstractNumId w:val="24"/>
  </w:num>
  <w:num w:numId="20">
    <w:abstractNumId w:val="28"/>
  </w:num>
  <w:num w:numId="21">
    <w:abstractNumId w:val="14"/>
  </w:num>
  <w:num w:numId="22">
    <w:abstractNumId w:val="22"/>
  </w:num>
  <w:num w:numId="23">
    <w:abstractNumId w:val="3"/>
  </w:num>
  <w:num w:numId="24">
    <w:abstractNumId w:val="27"/>
  </w:num>
  <w:num w:numId="25">
    <w:abstractNumId w:val="32"/>
  </w:num>
  <w:num w:numId="26">
    <w:abstractNumId w:val="9"/>
  </w:num>
  <w:num w:numId="27">
    <w:abstractNumId w:val="30"/>
  </w:num>
  <w:num w:numId="28">
    <w:abstractNumId w:val="31"/>
  </w:num>
  <w:num w:numId="29">
    <w:abstractNumId w:val="19"/>
  </w:num>
  <w:num w:numId="30">
    <w:abstractNumId w:val="5"/>
  </w:num>
  <w:num w:numId="31">
    <w:abstractNumId w:val="13"/>
  </w:num>
  <w:num w:numId="32">
    <w:abstractNumId w:val="0"/>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1">
    <w:name w:val="Heading 1"/>
    <w:basedOn w:val="780"/>
    <w:next w:val="780"/>
    <w:link w:val="857"/>
    <w:uiPriority w:val="9"/>
    <w:qFormat/>
    <w:pPr>
      <w:keepLines/>
      <w:keepNext/>
      <w:spacing w:before="480" w:after="200"/>
      <w:outlineLvl w:val="0"/>
    </w:pPr>
    <w:rPr>
      <w:rFonts w:ascii="Arial" w:hAnsi="Arial" w:eastAsia="黑体" w:cs="Arial"/>
      <w:sz w:val="44"/>
      <w:szCs w:val="40"/>
    </w:rPr>
  </w:style>
  <w:style w:type="paragraph" w:styleId="782">
    <w:name w:val="Heading 2"/>
    <w:basedOn w:val="780"/>
    <w:next w:val="793"/>
    <w:link w:val="858"/>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59"/>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6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61"/>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62"/>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64"/>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65"/>
    <w:uiPriority w:val="9"/>
    <w:unhideWhenUsed/>
    <w:qFormat/>
    <w:pPr>
      <w:keepLines/>
      <w:keepNext/>
      <w:spacing w:before="320" w:after="200"/>
      <w:outlineLvl w:val="8"/>
    </w:pPr>
    <w:rPr>
      <w:rFonts w:ascii="Arial" w:hAnsi="Arial" w:eastAsia="Arial" w:cs="Arial"/>
      <w:i/>
      <w:iCs/>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Layout w:type="fixed"/>
      <w:tblCellMar>
        <w:left w:w="108" w:type="dxa"/>
        <w:top w:w="0" w:type="dxa"/>
        <w:right w:w="108" w:type="dxa"/>
        <w:bottom w:w="0" w:type="dxa"/>
      </w:tblCellMar>
    </w:tblPr>
  </w:style>
  <w:style w:type="paragraph" w:styleId="792">
    <w:name w:val="toc 2"/>
    <w:basedOn w:val="780"/>
    <w:next w:val="780"/>
    <w:uiPriority w:val="39"/>
    <w:unhideWhenUsed/>
    <w:qFormat/>
    <w:pPr>
      <w:ind w:left="283"/>
      <w:spacing w:after="57"/>
    </w:pPr>
  </w:style>
  <w:style w:type="paragraph" w:styleId="793">
    <w:name w:val="Normal Indent"/>
    <w:basedOn w:val="780"/>
    <w:uiPriority w:val="0"/>
    <w:unhideWhenUsed/>
    <w:qFormat/>
    <w:pPr>
      <w:ind w:firstLine="420"/>
    </w:pPr>
    <w:rPr>
      <w:rFonts w:ascii="Times New Roman" w:hAnsi="Times New Roman"/>
    </w:rPr>
  </w:style>
  <w:style w:type="paragraph" w:styleId="794">
    <w:name w:val="toc 7"/>
    <w:basedOn w:val="780"/>
    <w:next w:val="780"/>
    <w:uiPriority w:val="39"/>
    <w:unhideWhenUsed/>
    <w:qFormat/>
    <w:pPr>
      <w:ind w:left="1701"/>
      <w:spacing w:after="57"/>
    </w:pPr>
  </w:style>
  <w:style w:type="paragraph" w:styleId="795">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Body Text"/>
    <w:basedOn w:val="780"/>
    <w:uiPriority w:val="0"/>
    <w:qFormat/>
    <w:rPr>
      <w:rFonts w:ascii="楷体_GB2312" w:hAnsi="Arial" w:eastAsia="楷体_GB2312"/>
      <w:sz w:val="28"/>
      <w:szCs w:val="28"/>
    </w:rPr>
  </w:style>
  <w:style w:type="paragraph" w:styleId="797">
    <w:name w:val="List Bullet 2"/>
    <w:basedOn w:val="780"/>
    <w:uiPriority w:val="99"/>
    <w:semiHidden/>
    <w:unhideWhenUsed/>
    <w:qFormat/>
    <w:pPr>
      <w:numPr>
        <w:ilvl w:val="0"/>
        <w:numId w:val="1"/>
      </w:numPr>
    </w:pPr>
  </w:style>
  <w:style w:type="paragraph" w:styleId="798">
    <w:name w:val="index 4"/>
    <w:basedOn w:val="780"/>
    <w:next w:val="780"/>
    <w:uiPriority w:val="0"/>
    <w:qFormat/>
    <w:pPr>
      <w:ind w:left="600" w:firstLine="200"/>
      <w:spacing w:line="360" w:lineRule="auto"/>
    </w:pPr>
    <w:rPr>
      <w:rFonts w:ascii="等线" w:hAnsi="等线" w:eastAsia="等线"/>
      <w:sz w:val="24"/>
      <w:szCs w:val="24"/>
    </w:rPr>
  </w:style>
  <w:style w:type="paragraph" w:styleId="799">
    <w:name w:val="toc 5"/>
    <w:basedOn w:val="780"/>
    <w:next w:val="780"/>
    <w:uiPriority w:val="39"/>
    <w:unhideWhenUsed/>
    <w:qFormat/>
    <w:pPr>
      <w:ind w:left="1134"/>
      <w:spacing w:after="57"/>
    </w:pPr>
  </w:style>
  <w:style w:type="paragraph" w:styleId="800">
    <w:name w:val="toc 3"/>
    <w:basedOn w:val="780"/>
    <w:next w:val="780"/>
    <w:uiPriority w:val="39"/>
    <w:unhideWhenUsed/>
    <w:qFormat/>
    <w:pPr>
      <w:ind w:left="567"/>
      <w:spacing w:after="57"/>
    </w:pPr>
  </w:style>
  <w:style w:type="paragraph" w:styleId="801">
    <w:name w:val="toc 8"/>
    <w:basedOn w:val="780"/>
    <w:next w:val="780"/>
    <w:uiPriority w:val="39"/>
    <w:unhideWhenUsed/>
    <w:qFormat/>
    <w:pPr>
      <w:ind w:left="1984"/>
      <w:spacing w:after="57"/>
    </w:pPr>
  </w:style>
  <w:style w:type="paragraph" w:styleId="802">
    <w:name w:val="endnote text"/>
    <w:basedOn w:val="780"/>
    <w:link w:val="1003"/>
    <w:uiPriority w:val="99"/>
    <w:semiHidden/>
    <w:unhideWhenUsed/>
    <w:qFormat/>
    <w:rPr>
      <w:sz w:val="20"/>
    </w:rPr>
  </w:style>
  <w:style w:type="paragraph" w:styleId="803">
    <w:name w:val="Footer"/>
    <w:basedOn w:val="780"/>
    <w:link w:val="876"/>
    <w:uiPriority w:val="99"/>
    <w:unhideWhenUsed/>
    <w:qFormat/>
    <w:pPr>
      <w:tabs>
        <w:tab w:val="center" w:pos="7143" w:leader="none"/>
        <w:tab w:val="right" w:pos="14287" w:leader="none"/>
      </w:tabs>
    </w:pPr>
  </w:style>
  <w:style w:type="paragraph" w:styleId="804">
    <w:name w:val="Header"/>
    <w:basedOn w:val="780"/>
    <w:link w:val="874"/>
    <w:uiPriority w:val="99"/>
    <w:unhideWhenUsed/>
    <w:qFormat/>
    <w:pPr>
      <w:tabs>
        <w:tab w:val="center" w:pos="7143" w:leader="none"/>
        <w:tab w:val="right" w:pos="14287" w:leader="none"/>
      </w:tabs>
    </w:pPr>
  </w:style>
  <w:style w:type="paragraph" w:styleId="805">
    <w:name w:val="toc 1"/>
    <w:basedOn w:val="780"/>
    <w:next w:val="780"/>
    <w:uiPriority w:val="39"/>
    <w:unhideWhenUsed/>
    <w:qFormat/>
    <w:pPr>
      <w:spacing w:after="57"/>
    </w:pPr>
  </w:style>
  <w:style w:type="paragraph" w:styleId="806">
    <w:name w:val="toc 4"/>
    <w:basedOn w:val="780"/>
    <w:next w:val="780"/>
    <w:uiPriority w:val="39"/>
    <w:unhideWhenUsed/>
    <w:qFormat/>
    <w:pPr>
      <w:ind w:left="850"/>
      <w:spacing w:after="57"/>
    </w:pPr>
  </w:style>
  <w:style w:type="paragraph" w:styleId="807">
    <w:name w:val="Subtitle"/>
    <w:basedOn w:val="780"/>
    <w:next w:val="780"/>
    <w:link w:val="869"/>
    <w:uiPriority w:val="11"/>
    <w:qFormat/>
    <w:pPr>
      <w:spacing w:before="200" w:after="200"/>
    </w:pPr>
    <w:rPr>
      <w:sz w:val="24"/>
      <w:szCs w:val="24"/>
    </w:rPr>
  </w:style>
  <w:style w:type="paragraph" w:styleId="808">
    <w:name w:val="footnote text"/>
    <w:basedOn w:val="780"/>
    <w:link w:val="1002"/>
    <w:uiPriority w:val="99"/>
    <w:semiHidden/>
    <w:unhideWhenUsed/>
    <w:qFormat/>
    <w:pPr>
      <w:spacing w:after="40"/>
    </w:pPr>
    <w:rPr>
      <w:sz w:val="18"/>
    </w:rPr>
  </w:style>
  <w:style w:type="paragraph" w:styleId="809">
    <w:name w:val="toc 6"/>
    <w:basedOn w:val="780"/>
    <w:next w:val="780"/>
    <w:uiPriority w:val="39"/>
    <w:unhideWhenUsed/>
    <w:qFormat/>
    <w:pPr>
      <w:ind w:left="1417"/>
      <w:spacing w:after="57"/>
    </w:pPr>
  </w:style>
  <w:style w:type="paragraph" w:styleId="810">
    <w:name w:val="table of figures"/>
    <w:basedOn w:val="780"/>
    <w:next w:val="780"/>
    <w:uiPriority w:val="99"/>
    <w:unhideWhenUsed/>
    <w:qFormat/>
  </w:style>
  <w:style w:type="paragraph" w:styleId="811">
    <w:name w:val="toc 9"/>
    <w:basedOn w:val="780"/>
    <w:next w:val="780"/>
    <w:uiPriority w:val="39"/>
    <w:unhideWhenUsed/>
    <w:qFormat/>
    <w:pPr>
      <w:ind w:left="2268"/>
      <w:spacing w:after="57"/>
    </w:pPr>
  </w:style>
  <w:style w:type="paragraph" w:styleId="812">
    <w:name w:val="Normal (Web)"/>
    <w:basedOn w:val="780"/>
    <w:uiPriority w:val="0"/>
    <w:qFormat/>
    <w:rPr>
      <w:sz w:val="24"/>
    </w:rPr>
  </w:style>
  <w:style w:type="paragraph" w:styleId="813">
    <w:name w:val="Title"/>
    <w:basedOn w:val="780"/>
    <w:next w:val="780"/>
    <w:link w:val="868"/>
    <w:uiPriority w:val="10"/>
    <w:qFormat/>
    <w:pPr>
      <w:contextualSpacing/>
      <w:spacing w:before="300" w:after="200"/>
    </w:pPr>
    <w:rPr>
      <w:sz w:val="48"/>
      <w:szCs w:val="48"/>
    </w:rPr>
  </w:style>
  <w:style w:type="character" w:styleId="814">
    <w:name w:val="endnote reference"/>
    <w:uiPriority w:val="99"/>
    <w:semiHidden/>
    <w:unhideWhenUsed/>
    <w:qFormat/>
    <w:rPr>
      <w:vertAlign w:val="superscript"/>
    </w:rPr>
  </w:style>
  <w:style w:type="character" w:styleId="815">
    <w:name w:val="Emphasis"/>
    <w:uiPriority w:val="0"/>
    <w:qFormat/>
    <w:rPr>
      <w:i/>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19" w:customStyle="1">
    <w:name w:val="Default"/>
    <w:next w:val="780"/>
    <w:uiPriority w:val="0"/>
    <w:qFormat/>
    <w:pPr>
      <w:widowControl w:val="off"/>
    </w:pPr>
    <w:rPr>
      <w:rFonts w:hint="default" w:ascii="宋体" w:hAnsi="Times New Roman" w:eastAsia="宋体" w:cs="宋体"/>
      <w:color w:val="000000"/>
      <w:sz w:val="24"/>
      <w:szCs w:val="24"/>
      <w:lang w:val="en-US" w:eastAsia="zh-CN" w:bidi="ar-SA"/>
    </w:rPr>
  </w:style>
  <w:style w:type="character" w:styleId="820" w:customStyle="1">
    <w:name w:val="Heading 1 Char"/>
    <w:basedOn w:val="790"/>
    <w:uiPriority w:val="9"/>
    <w:qFormat/>
    <w:rPr>
      <w:rFonts w:ascii="Arial" w:hAnsi="Arial" w:eastAsia="Arial" w:cs="Arial"/>
      <w:sz w:val="40"/>
      <w:szCs w:val="40"/>
    </w:rPr>
  </w:style>
  <w:style w:type="character" w:styleId="821" w:customStyle="1">
    <w:name w:val="Heading 2 Char"/>
    <w:basedOn w:val="790"/>
    <w:uiPriority w:val="9"/>
    <w:qFormat/>
    <w:rPr>
      <w:rFonts w:ascii="Arial" w:hAnsi="Arial" w:eastAsia="Arial" w:cs="Arial"/>
      <w:sz w:val="34"/>
    </w:rPr>
  </w:style>
  <w:style w:type="character" w:styleId="822" w:customStyle="1">
    <w:name w:val="Heading 3 Char"/>
    <w:basedOn w:val="790"/>
    <w:uiPriority w:val="9"/>
    <w:qFormat/>
    <w:rPr>
      <w:rFonts w:ascii="Arial" w:hAnsi="Arial" w:eastAsia="Arial" w:cs="Arial"/>
      <w:sz w:val="30"/>
      <w:szCs w:val="30"/>
    </w:rPr>
  </w:style>
  <w:style w:type="character" w:styleId="823" w:customStyle="1">
    <w:name w:val="Heading 4 Char"/>
    <w:basedOn w:val="790"/>
    <w:uiPriority w:val="9"/>
    <w:qFormat/>
    <w:rPr>
      <w:rFonts w:ascii="Arial" w:hAnsi="Arial" w:eastAsia="Arial" w:cs="Arial"/>
      <w:b/>
      <w:bCs/>
      <w:sz w:val="26"/>
      <w:szCs w:val="26"/>
    </w:rPr>
  </w:style>
  <w:style w:type="character" w:styleId="824" w:customStyle="1">
    <w:name w:val="Heading 5 Char"/>
    <w:basedOn w:val="790"/>
    <w:uiPriority w:val="9"/>
    <w:qFormat/>
    <w:rPr>
      <w:rFonts w:ascii="Arial" w:hAnsi="Arial" w:eastAsia="Arial" w:cs="Arial"/>
      <w:b/>
      <w:bCs/>
      <w:sz w:val="24"/>
      <w:szCs w:val="24"/>
    </w:rPr>
  </w:style>
  <w:style w:type="character" w:styleId="825" w:customStyle="1">
    <w:name w:val="Heading 6 Char"/>
    <w:basedOn w:val="790"/>
    <w:uiPriority w:val="9"/>
    <w:qFormat/>
    <w:rPr>
      <w:rFonts w:ascii="Arial" w:hAnsi="Arial" w:eastAsia="Arial" w:cs="Arial"/>
      <w:b/>
      <w:bCs/>
      <w:sz w:val="22"/>
      <w:szCs w:val="22"/>
    </w:rPr>
  </w:style>
  <w:style w:type="character" w:styleId="826" w:customStyle="1">
    <w:name w:val="Heading 7 Char"/>
    <w:basedOn w:val="790"/>
    <w:uiPriority w:val="9"/>
    <w:qFormat/>
    <w:rPr>
      <w:rFonts w:ascii="Arial" w:hAnsi="Arial" w:eastAsia="Arial" w:cs="Arial"/>
      <w:b/>
      <w:bCs/>
      <w:i/>
      <w:iCs/>
      <w:sz w:val="22"/>
      <w:szCs w:val="22"/>
    </w:rPr>
  </w:style>
  <w:style w:type="character" w:styleId="827" w:customStyle="1">
    <w:name w:val="Heading 8 Char"/>
    <w:basedOn w:val="790"/>
    <w:uiPriority w:val="9"/>
    <w:qFormat/>
    <w:rPr>
      <w:rFonts w:ascii="Arial" w:hAnsi="Arial" w:eastAsia="Arial" w:cs="Arial"/>
      <w:i/>
      <w:iCs/>
      <w:sz w:val="22"/>
      <w:szCs w:val="22"/>
    </w:rPr>
  </w:style>
  <w:style w:type="character" w:styleId="828" w:customStyle="1">
    <w:name w:val="Heading 9 Char"/>
    <w:basedOn w:val="790"/>
    <w:uiPriority w:val="9"/>
    <w:qFormat/>
    <w:rPr>
      <w:rFonts w:ascii="Arial" w:hAnsi="Arial" w:eastAsia="Arial" w:cs="Arial"/>
      <w:i/>
      <w:iCs/>
      <w:sz w:val="21"/>
      <w:szCs w:val="21"/>
    </w:rPr>
  </w:style>
  <w:style w:type="character" w:styleId="829" w:customStyle="1">
    <w:name w:val="Title Char"/>
    <w:basedOn w:val="790"/>
    <w:uiPriority w:val="10"/>
    <w:qFormat/>
    <w:rPr>
      <w:sz w:val="48"/>
      <w:szCs w:val="48"/>
    </w:rPr>
  </w:style>
  <w:style w:type="character" w:styleId="830" w:customStyle="1">
    <w:name w:val="Subtitle Char"/>
    <w:basedOn w:val="790"/>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Header Char"/>
    <w:basedOn w:val="790"/>
    <w:uiPriority w:val="99"/>
    <w:qFormat/>
  </w:style>
  <w:style w:type="character" w:styleId="834" w:customStyle="1">
    <w:name w:val="Caption Char"/>
    <w:uiPriority w:val="99"/>
    <w:qFormat/>
  </w:style>
  <w:style w:type="table" w:styleId="835"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9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9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9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791"/>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7 Colorful"/>
    <w:basedOn w:val="79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标题 1 字符"/>
    <w:link w:val="781"/>
    <w:uiPriority w:val="9"/>
    <w:qFormat/>
    <w:rPr>
      <w:rFonts w:ascii="Arial" w:hAnsi="Arial" w:eastAsia="黑体" w:cs="Arial"/>
      <w:sz w:val="44"/>
      <w:szCs w:val="40"/>
    </w:rPr>
  </w:style>
  <w:style w:type="character" w:styleId="858" w:customStyle="1">
    <w:name w:val="标题 2 字符"/>
    <w:link w:val="782"/>
    <w:uiPriority w:val="9"/>
    <w:qFormat/>
    <w:rPr>
      <w:rFonts w:ascii="Arial" w:hAnsi="Arial" w:eastAsia="Arial" w:cs="Arial"/>
      <w:sz w:val="34"/>
    </w:rPr>
  </w:style>
  <w:style w:type="character" w:styleId="859" w:customStyle="1">
    <w:name w:val="标题 3 字符"/>
    <w:link w:val="783"/>
    <w:uiPriority w:val="9"/>
    <w:qFormat/>
    <w:rPr>
      <w:rFonts w:ascii="Arial" w:hAnsi="Arial" w:eastAsia="Arial" w:cs="Arial"/>
      <w:sz w:val="30"/>
      <w:szCs w:val="30"/>
    </w:rPr>
  </w:style>
  <w:style w:type="character" w:styleId="860" w:customStyle="1">
    <w:name w:val="标题 4 字符"/>
    <w:link w:val="784"/>
    <w:uiPriority w:val="9"/>
    <w:qFormat/>
    <w:rPr>
      <w:rFonts w:ascii="Arial" w:hAnsi="Arial" w:eastAsia="Arial" w:cs="Arial"/>
      <w:b/>
      <w:bCs/>
      <w:sz w:val="26"/>
      <w:szCs w:val="26"/>
    </w:rPr>
  </w:style>
  <w:style w:type="character" w:styleId="861" w:customStyle="1">
    <w:name w:val="标题 5 字符"/>
    <w:link w:val="785"/>
    <w:uiPriority w:val="9"/>
    <w:qFormat/>
    <w:rPr>
      <w:rFonts w:ascii="Arial" w:hAnsi="Arial" w:eastAsia="Arial" w:cs="Arial"/>
      <w:b/>
      <w:bCs/>
      <w:sz w:val="24"/>
      <w:szCs w:val="24"/>
    </w:rPr>
  </w:style>
  <w:style w:type="character" w:styleId="862" w:customStyle="1">
    <w:name w:val="标题 6 字符"/>
    <w:link w:val="786"/>
    <w:uiPriority w:val="9"/>
    <w:qFormat/>
    <w:rPr>
      <w:rFonts w:ascii="Arial" w:hAnsi="Arial" w:eastAsia="Arial" w:cs="Arial"/>
      <w:b/>
      <w:bCs/>
      <w:sz w:val="22"/>
      <w:szCs w:val="22"/>
    </w:rPr>
  </w:style>
  <w:style w:type="character" w:styleId="863" w:customStyle="1">
    <w:name w:val="标题 7 字符"/>
    <w:link w:val="787"/>
    <w:uiPriority w:val="9"/>
    <w:qFormat/>
    <w:rPr>
      <w:rFonts w:ascii="Arial" w:hAnsi="Arial" w:eastAsia="Arial" w:cs="Arial"/>
      <w:b/>
      <w:bCs/>
      <w:i/>
      <w:iCs/>
      <w:sz w:val="22"/>
      <w:szCs w:val="22"/>
    </w:rPr>
  </w:style>
  <w:style w:type="character" w:styleId="864" w:customStyle="1">
    <w:name w:val="标题 8 字符"/>
    <w:link w:val="788"/>
    <w:uiPriority w:val="9"/>
    <w:qFormat/>
    <w:rPr>
      <w:rFonts w:ascii="Arial" w:hAnsi="Arial" w:eastAsia="Arial" w:cs="Arial"/>
      <w:i/>
      <w:iCs/>
      <w:sz w:val="22"/>
      <w:szCs w:val="22"/>
    </w:rPr>
  </w:style>
  <w:style w:type="character" w:styleId="865" w:customStyle="1">
    <w:name w:val="标题 9 字符"/>
    <w:link w:val="789"/>
    <w:uiPriority w:val="9"/>
    <w:qFormat/>
    <w:rPr>
      <w:rFonts w:ascii="Arial" w:hAnsi="Arial" w:eastAsia="Arial" w:cs="Arial"/>
      <w:i/>
      <w:iCs/>
      <w:sz w:val="21"/>
      <w:szCs w:val="21"/>
    </w:rPr>
  </w:style>
  <w:style w:type="paragraph" w:styleId="866">
    <w:name w:val="List Paragraph"/>
    <w:basedOn w:val="780"/>
    <w:uiPriority w:val="34"/>
    <w:qFormat/>
    <w:pPr>
      <w:contextualSpacing/>
      <w:ind w:left="720"/>
    </w:pPr>
  </w:style>
  <w:style w:type="paragraph" w:styleId="867">
    <w:name w:val="No Spacing"/>
    <w:uiPriority w:val="1"/>
    <w:qFormat/>
    <w:rPr>
      <w:rFonts w:hint="default" w:ascii="Calibri" w:hAnsi="Calibri" w:eastAsia="宋体" w:cs="Times New Roman"/>
      <w:lang w:val="en-US" w:eastAsia="zh-CN" w:bidi="ar-SA"/>
    </w:rPr>
  </w:style>
  <w:style w:type="character" w:styleId="868" w:customStyle="1">
    <w:name w:val="标题 字符"/>
    <w:link w:val="813"/>
    <w:uiPriority w:val="10"/>
    <w:qFormat/>
    <w:rPr>
      <w:sz w:val="48"/>
      <w:szCs w:val="48"/>
    </w:rPr>
  </w:style>
  <w:style w:type="character" w:styleId="869" w:customStyle="1">
    <w:name w:val="副标题 字符"/>
    <w:link w:val="807"/>
    <w:uiPriority w:val="11"/>
    <w:qFormat/>
    <w:rPr>
      <w:sz w:val="24"/>
      <w:szCs w:val="24"/>
    </w:rPr>
  </w:style>
  <w:style w:type="paragraph" w:styleId="870">
    <w:name w:val="Quote"/>
    <w:basedOn w:val="780"/>
    <w:next w:val="780"/>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780"/>
    <w:next w:val="780"/>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页眉 字符"/>
    <w:link w:val="804"/>
    <w:uiPriority w:val="99"/>
    <w:qFormat/>
  </w:style>
  <w:style w:type="character" w:styleId="875" w:customStyle="1">
    <w:name w:val="Footer Char"/>
    <w:uiPriority w:val="99"/>
    <w:qFormat/>
  </w:style>
  <w:style w:type="character" w:styleId="876" w:customStyle="1">
    <w:name w:val="页脚 字符"/>
    <w:link w:val="803"/>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808"/>
    <w:uiPriority w:val="99"/>
    <w:qFormat/>
    <w:rPr>
      <w:sz w:val="18"/>
    </w:rPr>
  </w:style>
  <w:style w:type="character" w:styleId="1003" w:customStyle="1">
    <w:name w:val="尾注文本 字符"/>
    <w:link w:val="802"/>
    <w:uiPriority w:val="99"/>
    <w:qFormat/>
    <w:rPr>
      <w:sz w:val="20"/>
    </w:rPr>
  </w:style>
  <w:style w:type="paragraph" w:styleId="1004" w:customStyle="1">
    <w:name w:val="TOC 标题1"/>
    <w:uiPriority w:val="39"/>
    <w:unhideWhenUsed/>
    <w:qFormat/>
    <w:rPr>
      <w:rFonts w:hint="default" w:ascii="Calibri" w:hAnsi="Calibri" w:eastAsia="宋体" w:cs="Times New Roman"/>
      <w:lang w:val="en-US" w:eastAsia="zh-CN" w:bidi="ar-SA"/>
    </w:rPr>
  </w:style>
  <w:style w:type="paragraph" w:styleId="1005" w:customStyle="1">
    <w:name w:val="标题 11"/>
    <w:basedOn w:val="780"/>
    <w:next w:val="780"/>
    <w:link w:val="1059"/>
    <w:uiPriority w:val="0"/>
    <w:qFormat/>
    <w:pPr>
      <w:jc w:val="center"/>
      <w:keepNext/>
      <w:outlineLvl w:val="0"/>
    </w:pPr>
    <w:rPr>
      <w:rFonts w:ascii="楷体_GB2312" w:hAnsi="楷体_GB2312" w:eastAsia="黑体"/>
      <w:sz w:val="44"/>
      <w:szCs w:val="28"/>
    </w:rPr>
  </w:style>
  <w:style w:type="paragraph" w:styleId="1006" w:customStyle="1">
    <w:name w:val="标题 21"/>
    <w:basedOn w:val="780"/>
    <w:next w:val="780"/>
    <w:link w:val="10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7" w:customStyle="1">
    <w:name w:val="标题 31"/>
    <w:basedOn w:val="780"/>
    <w:next w:val="780"/>
    <w:link w:val="1041"/>
    <w:uiPriority w:val="0"/>
    <w:qFormat/>
    <w:pPr>
      <w:keepLines/>
      <w:keepNext/>
      <w:spacing w:before="260" w:after="260" w:line="416" w:lineRule="auto"/>
      <w:outlineLvl w:val="2"/>
    </w:pPr>
    <w:rPr>
      <w:b/>
      <w:bCs/>
      <w:sz w:val="32"/>
      <w:szCs w:val="32"/>
    </w:rPr>
  </w:style>
  <w:style w:type="paragraph" w:styleId="1008" w:customStyle="1">
    <w:name w:val="标题 41"/>
    <w:basedOn w:val="780"/>
    <w:next w:val="1009"/>
    <w:link w:val="1032"/>
    <w:uiPriority w:val="0"/>
    <w:qFormat/>
    <w:pPr>
      <w:keepLines/>
      <w:keepNext/>
      <w:spacing w:before="280" w:after="290" w:line="376" w:lineRule="auto"/>
      <w:outlineLvl w:val="3"/>
    </w:pPr>
    <w:rPr>
      <w:rFonts w:ascii="Arial" w:hAnsi="Arial" w:eastAsia="黑体" w:cs="Arial"/>
      <w:b/>
      <w:bCs/>
      <w:sz w:val="28"/>
      <w:szCs w:val="28"/>
    </w:rPr>
  </w:style>
  <w:style w:type="paragraph" w:styleId="1009" w:customStyle="1">
    <w:name w:val="正文缩进1"/>
    <w:basedOn w:val="780"/>
    <w:next w:val="780"/>
    <w:link w:val="1044"/>
    <w:uiPriority w:val="0"/>
    <w:qFormat/>
    <w:pPr>
      <w:ind w:firstLine="420"/>
    </w:pPr>
  </w:style>
  <w:style w:type="paragraph" w:styleId="1010" w:customStyle="1">
    <w:name w:val="标题 51"/>
    <w:basedOn w:val="780"/>
    <w:next w:val="1009"/>
    <w:link w:val="1051"/>
    <w:uiPriority w:val="0"/>
    <w:qFormat/>
    <w:pPr>
      <w:keepNext/>
      <w:outlineLvl w:val="4"/>
    </w:pPr>
    <w:rPr>
      <w:rFonts w:ascii="宋体"/>
      <w:color w:val="000000"/>
      <w:sz w:val="28"/>
      <w:szCs w:val="28"/>
    </w:rPr>
  </w:style>
  <w:style w:type="paragraph" w:styleId="1011" w:customStyle="1">
    <w:name w:val="标题 61"/>
    <w:basedOn w:val="780"/>
    <w:next w:val="780"/>
    <w:link w:val="1030"/>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12" w:customStyle="1">
    <w:name w:val="标题 71"/>
    <w:basedOn w:val="780"/>
    <w:next w:val="780"/>
    <w:link w:val="1025"/>
    <w:uiPriority w:val="0"/>
    <w:qFormat/>
    <w:pPr>
      <w:numPr>
        <w:ilvl w:val="6"/>
        <w:numId w:val="2"/>
      </w:numPr>
      <w:keepLines/>
      <w:keepNext/>
      <w:spacing w:before="240" w:after="64" w:line="320" w:lineRule="auto"/>
      <w:outlineLvl w:val="6"/>
    </w:pPr>
    <w:rPr>
      <w:b/>
      <w:bCs/>
      <w:sz w:val="24"/>
      <w:szCs w:val="24"/>
    </w:rPr>
  </w:style>
  <w:style w:type="paragraph" w:styleId="1013" w:customStyle="1">
    <w:name w:val="标题 81"/>
    <w:basedOn w:val="780"/>
    <w:next w:val="780"/>
    <w:link w:val="102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14" w:customStyle="1">
    <w:name w:val="标题 91"/>
    <w:basedOn w:val="780"/>
    <w:next w:val="780"/>
    <w:link w:val="1061"/>
    <w:uiPriority w:val="0"/>
    <w:qFormat/>
    <w:pPr>
      <w:numPr>
        <w:ilvl w:val="8"/>
        <w:numId w:val="2"/>
      </w:numPr>
      <w:keepLines/>
      <w:keepNext/>
      <w:spacing w:before="240" w:after="64" w:line="320" w:lineRule="auto"/>
      <w:outlineLvl w:val="8"/>
    </w:pPr>
    <w:rPr>
      <w:rFonts w:ascii="Arial" w:hAnsi="Arial" w:eastAsia="黑体"/>
    </w:rPr>
  </w:style>
  <w:style w:type="character" w:styleId="1015" w:customStyle="1">
    <w:name w:val="默认段落字体1"/>
    <w:uiPriority w:val="1"/>
    <w:unhideWhenUsed/>
    <w:qFormat/>
  </w:style>
  <w:style w:type="table" w:styleId="1016" w:customStyle="1">
    <w:name w:val="普通表格1"/>
    <w:uiPriority w:val="99"/>
    <w:unhideWhenUsed/>
    <w:qFormat/>
    <w:tblPr>
      <w:tblLayout w:type="fixed"/>
      <w:tblCellMar>
        <w:left w:w="0" w:type="dxa"/>
        <w:top w:w="0" w:type="dxa"/>
        <w:right w:w="0" w:type="dxa"/>
        <w:bottom w:w="0" w:type="dxa"/>
      </w:tblCellMar>
    </w:tblPr>
  </w:style>
  <w:style w:type="character" w:styleId="1017" w:customStyle="1">
    <w:name w:val="批注框文本 Char"/>
    <w:link w:val="1018"/>
    <w:uiPriority w:val="0"/>
    <w:semiHidden/>
    <w:qFormat/>
    <w:rPr>
      <w:rFonts w:ascii="Times New Roman" w:hAnsi="Times New Roman" w:eastAsia="宋体" w:cs="Times New Roman"/>
      <w:sz w:val="18"/>
      <w:szCs w:val="18"/>
    </w:rPr>
  </w:style>
  <w:style w:type="paragraph" w:styleId="1018" w:customStyle="1">
    <w:name w:val="批注框文本1"/>
    <w:basedOn w:val="780"/>
    <w:link w:val="1017"/>
    <w:uiPriority w:val="0"/>
    <w:semiHidden/>
    <w:qFormat/>
    <w:rPr>
      <w:sz w:val="18"/>
      <w:szCs w:val="18"/>
    </w:rPr>
  </w:style>
  <w:style w:type="character" w:styleId="1019" w:customStyle="1">
    <w:name w:val="列出段落 Char"/>
    <w:link w:val="1020"/>
    <w:uiPriority w:val="0"/>
    <w:qFormat/>
    <w:rPr>
      <w:rFonts w:ascii="Calibri" w:hAnsi="Calibri"/>
      <w:sz w:val="24"/>
      <w:szCs w:val="24"/>
      <w:lang w:eastAsia="en-US" w:bidi="en-US"/>
    </w:rPr>
  </w:style>
  <w:style w:type="paragraph" w:styleId="1020" w:customStyle="1">
    <w:name w:val="列出段落1"/>
    <w:basedOn w:val="780"/>
    <w:link w:val="1019"/>
    <w:uiPriority w:val="0"/>
    <w:qFormat/>
    <w:pPr>
      <w:contextualSpacing/>
      <w:ind w:left="720"/>
      <w:jc w:val="left"/>
      <w:widowControl/>
    </w:pPr>
    <w:rPr>
      <w:rFonts w:ascii="Calibri" w:hAnsi="Calibri"/>
      <w:sz w:val="24"/>
      <w:szCs w:val="24"/>
      <w:lang w:eastAsia="en-US" w:bidi="en-US"/>
    </w:rPr>
  </w:style>
  <w:style w:type="character" w:styleId="1021" w:customStyle="1">
    <w:name w:val="正文文本 Char"/>
    <w:link w:val="1022"/>
    <w:uiPriority w:val="0"/>
    <w:qFormat/>
    <w:rPr>
      <w:rFonts w:ascii="楷体_GB2312" w:hAnsi="Arial" w:eastAsia="楷体_GB2312" w:cs="Times New Roman"/>
      <w:sz w:val="28"/>
      <w:szCs w:val="28"/>
    </w:rPr>
  </w:style>
  <w:style w:type="paragraph" w:styleId="1022" w:customStyle="1">
    <w:name w:val="正文文本1"/>
    <w:basedOn w:val="1023"/>
    <w:next w:val="1009"/>
    <w:link w:val="1021"/>
    <w:uiPriority w:val="0"/>
    <w:qFormat/>
    <w:rPr>
      <w:rFonts w:ascii="楷体_GB2312" w:hAnsi="Arial" w:eastAsia="楷体_GB2312"/>
      <w:sz w:val="28"/>
      <w:szCs w:val="28"/>
    </w:rPr>
  </w:style>
  <w:style w:type="paragraph" w:styleId="1023" w:customStyle="1">
    <w:name w:val="正文1"/>
    <w:basedOn w:val="780"/>
    <w:next w:val="1022"/>
    <w:uiPriority w:val="99"/>
    <w:qFormat/>
    <w:pPr>
      <w:ind w:firstLine="480"/>
      <w:spacing w:line="440" w:lineRule="exact"/>
    </w:pPr>
    <w:rPr>
      <w:rFonts w:ascii="微软雅黑" w:hAnsi="微软雅黑" w:eastAsia="微软雅黑"/>
      <w:sz w:val="24"/>
      <w:szCs w:val="20"/>
    </w:rPr>
  </w:style>
  <w:style w:type="character" w:styleId="1024" w:customStyle="1">
    <w:name w:val="标题 8 Char"/>
    <w:link w:val="1013"/>
    <w:uiPriority w:val="0"/>
    <w:qFormat/>
    <w:rPr>
      <w:rFonts w:ascii="Arial" w:hAnsi="Arial" w:eastAsia="黑体" w:cs="Times New Roman"/>
      <w:sz w:val="24"/>
      <w:szCs w:val="24"/>
    </w:rPr>
  </w:style>
  <w:style w:type="character" w:styleId="1025" w:customStyle="1">
    <w:name w:val="标题 7 Char"/>
    <w:link w:val="1012"/>
    <w:uiPriority w:val="0"/>
    <w:qFormat/>
    <w:rPr>
      <w:rFonts w:ascii="Times New Roman" w:hAnsi="Times New Roman" w:eastAsia="宋体" w:cs="Times New Roman"/>
      <w:b/>
      <w:bCs/>
      <w:sz w:val="24"/>
      <w:szCs w:val="24"/>
    </w:rPr>
  </w:style>
  <w:style w:type="character" w:styleId="1026" w:customStyle="1">
    <w:name w:val="超链接1"/>
    <w:uiPriority w:val="0"/>
    <w:qFormat/>
    <w:rPr>
      <w:color w:val="0000ff"/>
      <w:u w:val="single"/>
    </w:rPr>
  </w:style>
  <w:style w:type="character" w:styleId="1027" w:customStyle="1">
    <w:name w:val="正文文本 3 Char"/>
    <w:link w:val="1028"/>
    <w:uiPriority w:val="0"/>
    <w:qFormat/>
    <w:rPr>
      <w:rFonts w:ascii="仿宋_GB2312" w:hAnsi="Arial" w:eastAsia="仿宋_GB2312" w:cs="Times New Roman"/>
      <w:sz w:val="32"/>
      <w:szCs w:val="32"/>
    </w:rPr>
  </w:style>
  <w:style w:type="paragraph" w:styleId="1028" w:customStyle="1">
    <w:name w:val="正文文本 31"/>
    <w:basedOn w:val="780"/>
    <w:link w:val="1027"/>
    <w:uiPriority w:val="0"/>
    <w:qFormat/>
    <w:rPr>
      <w:rFonts w:ascii="仿宋_GB2312" w:hAnsi="Arial" w:eastAsia="仿宋_GB2312"/>
      <w:sz w:val="32"/>
      <w:szCs w:val="32"/>
    </w:rPr>
  </w:style>
  <w:style w:type="character" w:styleId="1029" w:customStyle="1">
    <w:name w:val="font5 Char"/>
    <w:uiPriority w:val="0"/>
    <w:qFormat/>
    <w:rPr>
      <w:rFonts w:ascii="宋体" w:hAnsi="宋体" w:eastAsia="宋体"/>
      <w:sz w:val="28"/>
      <w:szCs w:val="28"/>
      <w:lang w:val="en-US" w:eastAsia="zh-CN" w:bidi="ar-SA"/>
    </w:rPr>
  </w:style>
  <w:style w:type="character" w:styleId="1030" w:customStyle="1">
    <w:name w:val="标题 6 Char"/>
    <w:link w:val="1011"/>
    <w:uiPriority w:val="0"/>
    <w:qFormat/>
    <w:rPr>
      <w:rFonts w:ascii="Arial" w:hAnsi="Arial" w:eastAsia="黑体" w:cs="Times New Roman"/>
      <w:b/>
      <w:bCs/>
      <w:sz w:val="24"/>
      <w:szCs w:val="24"/>
    </w:rPr>
  </w:style>
  <w:style w:type="character" w:styleId="1031" w:customStyle="1">
    <w:name w:val="已访问的超链接1"/>
    <w:uiPriority w:val="0"/>
    <w:qFormat/>
    <w:rPr>
      <w:color w:val="800080"/>
      <w:u w:val="single"/>
    </w:rPr>
  </w:style>
  <w:style w:type="character" w:styleId="1032" w:customStyle="1">
    <w:name w:val="标题 4 Char"/>
    <w:link w:val="1008"/>
    <w:uiPriority w:val="0"/>
    <w:qFormat/>
    <w:rPr>
      <w:rFonts w:ascii="Arial" w:hAnsi="Arial" w:eastAsia="黑体" w:cs="Arial"/>
      <w:b/>
      <w:bCs/>
      <w:sz w:val="28"/>
      <w:szCs w:val="28"/>
    </w:rPr>
  </w:style>
  <w:style w:type="character" w:styleId="1033" w:customStyle="1">
    <w:name w:val="二级目录 Char"/>
    <w:link w:val="1034"/>
    <w:uiPriority w:val="0"/>
    <w:qFormat/>
    <w:rPr>
      <w:b/>
      <w:sz w:val="30"/>
      <w:szCs w:val="28"/>
    </w:rPr>
  </w:style>
  <w:style w:type="paragraph" w:styleId="1034" w:customStyle="1">
    <w:name w:val="二级目录"/>
    <w:next w:val="780"/>
    <w:link w:val="103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页眉 Char"/>
    <w:link w:val="1036"/>
    <w:uiPriority w:val="0"/>
    <w:qFormat/>
    <w:rPr>
      <w:rFonts w:ascii="Times New Roman" w:hAnsi="Times New Roman" w:eastAsia="宋体" w:cs="Times New Roman"/>
      <w:sz w:val="18"/>
      <w:szCs w:val="18"/>
    </w:rPr>
  </w:style>
  <w:style w:type="paragraph" w:styleId="1036" w:customStyle="1">
    <w:name w:val="页眉1"/>
    <w:basedOn w:val="780"/>
    <w:link w:val="1035"/>
    <w:uiPriority w:val="0"/>
    <w:qFormat/>
    <w:pPr>
      <w:jc w:val="center"/>
      <w:tabs>
        <w:tab w:val="center" w:pos="4153" w:leader="none"/>
        <w:tab w:val="right" w:pos="8306" w:leader="none"/>
      </w:tabs>
      <w:pBdr>
        <w:bottom w:val="single" w:color="000000" w:sz="6" w:space="1"/>
      </w:pBdr>
    </w:pPr>
    <w:rPr>
      <w:sz w:val="18"/>
      <w:szCs w:val="18"/>
    </w:rPr>
  </w:style>
  <w:style w:type="character" w:styleId="1037" w:customStyle="1">
    <w:name w:val="页码1"/>
    <w:uiPriority w:val="0"/>
    <w:qFormat/>
  </w:style>
  <w:style w:type="character" w:styleId="1038" w:customStyle="1">
    <w:name w:val="正文首行缩进 2 Char"/>
    <w:link w:val="1039"/>
    <w:uiPriority w:val="0"/>
    <w:qFormat/>
    <w:rPr>
      <w:rFonts w:ascii="宋体" w:hAnsi="宋体" w:eastAsia="宋体" w:cs="Times New Roman"/>
      <w:sz w:val="32"/>
      <w:szCs w:val="20"/>
    </w:rPr>
  </w:style>
  <w:style w:type="paragraph" w:styleId="1039" w:customStyle="1">
    <w:name w:val="正文首行缩进 21"/>
    <w:basedOn w:val="1040"/>
    <w:link w:val="1038"/>
    <w:uiPriority w:val="0"/>
    <w:qFormat/>
    <w:pPr>
      <w:ind w:firstLine="420"/>
      <w:spacing w:line="360" w:lineRule="auto"/>
    </w:pPr>
    <w:rPr>
      <w:rFonts w:ascii="宋体" w:hAnsi="宋体" w:eastAsia="宋体"/>
      <w:sz w:val="21"/>
      <w:szCs w:val="20"/>
    </w:rPr>
  </w:style>
  <w:style w:type="paragraph" w:styleId="1040" w:customStyle="1">
    <w:name w:val="正文文本缩进1"/>
    <w:basedOn w:val="780"/>
    <w:link w:val="1056"/>
    <w:uiPriority w:val="0"/>
    <w:qFormat/>
    <w:pPr>
      <w:ind w:firstLine="645"/>
    </w:pPr>
    <w:rPr>
      <w:rFonts w:ascii="楷体_GB2312" w:eastAsia="楷体_GB2312"/>
      <w:sz w:val="32"/>
      <w:szCs w:val="32"/>
    </w:rPr>
  </w:style>
  <w:style w:type="character" w:styleId="1041" w:customStyle="1">
    <w:name w:val="标题 3 Char"/>
    <w:link w:val="1007"/>
    <w:uiPriority w:val="0"/>
    <w:qFormat/>
    <w:rPr>
      <w:rFonts w:ascii="Times New Roman" w:hAnsi="Times New Roman" w:eastAsia="宋体" w:cs="Times New Roman"/>
      <w:b/>
      <w:bCs/>
      <w:sz w:val="32"/>
      <w:szCs w:val="32"/>
    </w:rPr>
  </w:style>
  <w:style w:type="character" w:styleId="1042" w:customStyle="1">
    <w:name w:val="批注文字 Char"/>
    <w:link w:val="1043"/>
    <w:uiPriority w:val="0"/>
    <w:semiHidden/>
    <w:qFormat/>
    <w:rPr>
      <w:rFonts w:ascii="Times New Roman" w:hAnsi="Times New Roman" w:eastAsia="宋体" w:cs="Times New Roman"/>
      <w:szCs w:val="21"/>
    </w:rPr>
  </w:style>
  <w:style w:type="paragraph" w:styleId="1043" w:customStyle="1">
    <w:name w:val="批注文字1"/>
    <w:basedOn w:val="780"/>
    <w:link w:val="1042"/>
    <w:uiPriority w:val="0"/>
    <w:semiHidden/>
    <w:qFormat/>
    <w:pPr>
      <w:jc w:val="left"/>
    </w:pPr>
  </w:style>
  <w:style w:type="character" w:styleId="1044" w:customStyle="1">
    <w:name w:val="正文缩进 Char"/>
    <w:link w:val="1009"/>
    <w:uiPriority w:val="0"/>
    <w:qFormat/>
    <w:rPr>
      <w:rFonts w:ascii="Times New Roman" w:hAnsi="Times New Roman" w:eastAsia="宋体" w:cs="Times New Roman"/>
      <w:szCs w:val="21"/>
    </w:rPr>
  </w:style>
  <w:style w:type="character" w:styleId="1045" w:customStyle="1">
    <w:name w:val="日期 Char"/>
    <w:link w:val="1046"/>
    <w:uiPriority w:val="0"/>
    <w:qFormat/>
    <w:rPr>
      <w:rFonts w:ascii="Times New Roman" w:hAnsi="Times New Roman" w:eastAsia="宋体" w:cs="Times New Roman"/>
      <w:sz w:val="24"/>
      <w:szCs w:val="24"/>
    </w:rPr>
  </w:style>
  <w:style w:type="paragraph" w:styleId="1046" w:customStyle="1">
    <w:name w:val="日期1"/>
    <w:basedOn w:val="780"/>
    <w:next w:val="780"/>
    <w:link w:val="1045"/>
    <w:uiPriority w:val="0"/>
    <w:qFormat/>
    <w:rPr>
      <w:sz w:val="24"/>
      <w:szCs w:val="24"/>
    </w:rPr>
  </w:style>
  <w:style w:type="character" w:styleId="1047" w:customStyle="1">
    <w:name w:val="要点1"/>
    <w:uiPriority w:val="0"/>
    <w:qFormat/>
    <w:rPr>
      <w:b/>
      <w:bCs/>
    </w:rPr>
  </w:style>
  <w:style w:type="character" w:styleId="1048" w:customStyle="1">
    <w:name w:val="页脚 Char"/>
    <w:link w:val="1049"/>
    <w:uiPriority w:val="0"/>
    <w:qFormat/>
    <w:rPr>
      <w:rFonts w:ascii="Times New Roman" w:hAnsi="Times New Roman" w:eastAsia="宋体" w:cs="Times New Roman"/>
      <w:sz w:val="18"/>
      <w:szCs w:val="18"/>
    </w:rPr>
  </w:style>
  <w:style w:type="paragraph" w:styleId="1049" w:customStyle="1">
    <w:name w:val="页脚1"/>
    <w:basedOn w:val="780"/>
    <w:link w:val="1048"/>
    <w:uiPriority w:val="0"/>
    <w:qFormat/>
    <w:pPr>
      <w:jc w:val="left"/>
      <w:tabs>
        <w:tab w:val="center" w:pos="4153" w:leader="none"/>
        <w:tab w:val="right" w:pos="8306" w:leader="none"/>
      </w:tabs>
    </w:pPr>
    <w:rPr>
      <w:sz w:val="18"/>
      <w:szCs w:val="18"/>
    </w:rPr>
  </w:style>
  <w:style w:type="character" w:styleId="1050" w:customStyle="1">
    <w:name w:val="批注引用1"/>
    <w:uiPriority w:val="0"/>
    <w:semiHidden/>
    <w:qFormat/>
    <w:rPr>
      <w:sz w:val="21"/>
      <w:szCs w:val="21"/>
    </w:rPr>
  </w:style>
  <w:style w:type="character" w:styleId="1051" w:customStyle="1">
    <w:name w:val="标题 5 Char"/>
    <w:link w:val="1010"/>
    <w:uiPriority w:val="0"/>
    <w:qFormat/>
    <w:rPr>
      <w:rFonts w:ascii="宋体" w:hAnsi="Times New Roman" w:eastAsia="宋体" w:cs="Times New Roman"/>
      <w:color w:val="000000"/>
      <w:sz w:val="28"/>
      <w:szCs w:val="28"/>
    </w:rPr>
  </w:style>
  <w:style w:type="character" w:styleId="1052" w:customStyle="1">
    <w:name w:val="文档结构图 Char"/>
    <w:link w:val="1053"/>
    <w:uiPriority w:val="0"/>
    <w:semiHidden/>
    <w:qFormat/>
    <w:rPr>
      <w:rFonts w:ascii="Times New Roman" w:hAnsi="Times New Roman" w:eastAsia="宋体" w:cs="Times New Roman"/>
      <w:szCs w:val="21"/>
      <w:shd w:val="clear" w:color="auto" w:fill="000080"/>
    </w:rPr>
  </w:style>
  <w:style w:type="paragraph" w:styleId="1053" w:customStyle="1">
    <w:name w:val="文档结构图1"/>
    <w:basedOn w:val="780"/>
    <w:link w:val="1052"/>
    <w:uiPriority w:val="0"/>
    <w:semiHidden/>
    <w:qFormat/>
    <w:pPr>
      <w:shd w:val="clear" w:color="auto" w:fill="000080"/>
    </w:pPr>
  </w:style>
  <w:style w:type="character" w:styleId="1054" w:customStyle="1">
    <w:name w:val="正文文本缩进 3 Char"/>
    <w:link w:val="1055"/>
    <w:uiPriority w:val="0"/>
    <w:qFormat/>
    <w:rPr>
      <w:rFonts w:ascii="Arial" w:hAnsi="Arial" w:eastAsia="仿宋_GB2312" w:cs="Arial"/>
      <w:color w:val="ffff00"/>
      <w:sz w:val="32"/>
      <w:szCs w:val="32"/>
    </w:rPr>
  </w:style>
  <w:style w:type="paragraph" w:styleId="1055" w:customStyle="1">
    <w:name w:val="正文文本缩进 31"/>
    <w:basedOn w:val="780"/>
    <w:link w:val="1054"/>
    <w:uiPriority w:val="0"/>
    <w:qFormat/>
    <w:pPr>
      <w:ind w:left="645" w:firstLine="645"/>
    </w:pPr>
    <w:rPr>
      <w:rFonts w:ascii="Arial" w:hAnsi="Arial" w:eastAsia="仿宋_GB2312" w:cs="Arial"/>
      <w:color w:val="ffff00"/>
      <w:sz w:val="32"/>
      <w:szCs w:val="32"/>
    </w:rPr>
  </w:style>
  <w:style w:type="character" w:styleId="1056" w:customStyle="1">
    <w:name w:val="正文文本缩进 Char"/>
    <w:link w:val="1040"/>
    <w:uiPriority w:val="0"/>
    <w:qFormat/>
    <w:rPr>
      <w:rFonts w:ascii="楷体_GB2312" w:hAnsi="Times New Roman" w:eastAsia="楷体_GB2312" w:cs="Times New Roman"/>
      <w:sz w:val="32"/>
      <w:szCs w:val="32"/>
    </w:rPr>
  </w:style>
  <w:style w:type="character" w:styleId="1057" w:customStyle="1">
    <w:name w:val="纯文本 Char"/>
    <w:link w:val="1058"/>
    <w:uiPriority w:val="0"/>
    <w:qFormat/>
    <w:rPr>
      <w:rFonts w:ascii="宋体" w:hAnsi="Courier New" w:eastAsia="宋体" w:cs="Courier New"/>
      <w:szCs w:val="21"/>
    </w:rPr>
  </w:style>
  <w:style w:type="paragraph" w:styleId="1058" w:customStyle="1">
    <w:name w:val="纯文本1"/>
    <w:basedOn w:val="780"/>
    <w:link w:val="1057"/>
    <w:uiPriority w:val="0"/>
    <w:qFormat/>
    <w:rPr>
      <w:rFonts w:ascii="宋体" w:hAnsi="Courier New" w:cs="Courier New"/>
    </w:rPr>
  </w:style>
  <w:style w:type="character" w:styleId="1059" w:customStyle="1">
    <w:name w:val="标题 1 Char"/>
    <w:link w:val="1005"/>
    <w:uiPriority w:val="0"/>
    <w:qFormat/>
    <w:rPr>
      <w:rFonts w:ascii="楷体_GB2312" w:hAnsi="楷体_GB2312" w:eastAsia="黑体" w:cs="Times New Roman"/>
      <w:sz w:val="44"/>
      <w:szCs w:val="28"/>
    </w:rPr>
  </w:style>
  <w:style w:type="character" w:styleId="1060" w:customStyle="1">
    <w:name w:val="标题 2 Char"/>
    <w:link w:val="1006"/>
    <w:uiPriority w:val="0"/>
    <w:qFormat/>
    <w:rPr>
      <w:rFonts w:ascii="Arial" w:hAnsi="Arial" w:eastAsia="幼圆" w:cs="Arial"/>
      <w:b/>
      <w:bCs/>
      <w:sz w:val="44"/>
      <w:szCs w:val="44"/>
    </w:rPr>
  </w:style>
  <w:style w:type="character" w:styleId="1061" w:customStyle="1">
    <w:name w:val="标题 9 Char"/>
    <w:link w:val="1014"/>
    <w:uiPriority w:val="0"/>
    <w:qFormat/>
    <w:rPr>
      <w:rFonts w:ascii="Arial" w:hAnsi="Arial" w:eastAsia="黑体" w:cs="Times New Roman"/>
      <w:szCs w:val="21"/>
    </w:rPr>
  </w:style>
  <w:style w:type="character" w:styleId="1062" w:customStyle="1">
    <w:name w:val="正文文本缩进 2 Char"/>
    <w:link w:val="1063"/>
    <w:uiPriority w:val="0"/>
    <w:qFormat/>
    <w:rPr>
      <w:rFonts w:ascii="Arial" w:hAnsi="Arial" w:eastAsia="仿宋_GB2312" w:cs="Arial"/>
      <w:sz w:val="32"/>
      <w:szCs w:val="32"/>
    </w:rPr>
  </w:style>
  <w:style w:type="paragraph" w:styleId="1063" w:customStyle="1">
    <w:name w:val="正文文本缩进 21"/>
    <w:basedOn w:val="780"/>
    <w:link w:val="1062"/>
    <w:uiPriority w:val="0"/>
    <w:qFormat/>
    <w:pPr>
      <w:ind w:left="630" w:firstLine="645"/>
    </w:pPr>
    <w:rPr>
      <w:rFonts w:ascii="Arial" w:hAnsi="Arial" w:eastAsia="仿宋_GB2312" w:cs="Arial"/>
      <w:sz w:val="32"/>
      <w:szCs w:val="32"/>
    </w:rPr>
  </w:style>
  <w:style w:type="character" w:styleId="1064" w:customStyle="1">
    <w:name w:val="正文文本 2 Char"/>
    <w:link w:val="1065"/>
    <w:uiPriority w:val="0"/>
    <w:qFormat/>
    <w:rPr>
      <w:rFonts w:ascii="楷体_GB2312" w:hAnsi="Times New Roman" w:eastAsia="楷体_GB2312" w:cs="Times New Roman"/>
      <w:sz w:val="28"/>
      <w:szCs w:val="28"/>
    </w:rPr>
  </w:style>
  <w:style w:type="paragraph" w:styleId="1065" w:customStyle="1">
    <w:name w:val="正文文本 21"/>
    <w:basedOn w:val="780"/>
    <w:link w:val="1064"/>
    <w:uiPriority w:val="0"/>
    <w:qFormat/>
    <w:pPr>
      <w:jc w:val="center"/>
      <w:widowControl/>
    </w:pPr>
    <w:rPr>
      <w:rFonts w:ascii="楷体_GB2312" w:eastAsia="楷体_GB2312"/>
      <w:sz w:val="28"/>
      <w:szCs w:val="28"/>
    </w:rPr>
  </w:style>
  <w:style w:type="character" w:styleId="1066" w:customStyle="1">
    <w:name w:val="批注主题 Char"/>
    <w:link w:val="1067"/>
    <w:uiPriority w:val="0"/>
    <w:semiHidden/>
    <w:qFormat/>
    <w:rPr>
      <w:rFonts w:ascii="Times New Roman" w:hAnsi="Times New Roman" w:eastAsia="宋体" w:cs="Times New Roman"/>
      <w:b/>
      <w:bCs/>
      <w:szCs w:val="21"/>
    </w:rPr>
  </w:style>
  <w:style w:type="paragraph" w:styleId="1067" w:customStyle="1">
    <w:name w:val="批注主题1"/>
    <w:basedOn w:val="1043"/>
    <w:next w:val="1043"/>
    <w:link w:val="1066"/>
    <w:uiPriority w:val="0"/>
    <w:semiHidden/>
    <w:qFormat/>
    <w:rPr>
      <w:b/>
      <w:bCs/>
    </w:rPr>
  </w:style>
  <w:style w:type="character" w:styleId="1068" w:customStyle="1">
    <w:name w:val="正文首行缩进 Char"/>
    <w:link w:val="1069"/>
    <w:uiPriority w:val="0"/>
    <w:qFormat/>
    <w:rPr>
      <w:rFonts w:ascii="仿宋_GB2312" w:hAnsi="Times New Roman" w:eastAsia="仿宋_GB2312" w:cs="Times New Roman"/>
      <w:sz w:val="30"/>
      <w:szCs w:val="30"/>
    </w:rPr>
  </w:style>
  <w:style w:type="paragraph" w:styleId="1069" w:customStyle="1">
    <w:name w:val="正文首行缩进1"/>
    <w:basedOn w:val="780"/>
    <w:link w:val="1068"/>
    <w:uiPriority w:val="0"/>
    <w:qFormat/>
    <w:pPr>
      <w:ind w:firstLine="200"/>
      <w:spacing w:line="360" w:lineRule="auto"/>
    </w:pPr>
    <w:rPr>
      <w:rFonts w:ascii="仿宋_GB2312" w:eastAsia="仿宋_GB2312"/>
      <w:sz w:val="30"/>
      <w:szCs w:val="30"/>
    </w:rPr>
  </w:style>
  <w:style w:type="paragraph" w:styleId="1070" w:customStyle="1">
    <w:name w:val="table_lines"/>
    <w:basedOn w:val="780"/>
    <w:uiPriority w:val="0"/>
    <w:qFormat/>
    <w:pPr>
      <w:jc w:val="left"/>
      <w:widowControl/>
    </w:pPr>
    <w:rPr>
      <w:sz w:val="20"/>
      <w:szCs w:val="20"/>
      <w:lang w:val="de-DE" w:eastAsia="de-DE"/>
    </w:rPr>
  </w:style>
  <w:style w:type="paragraph" w:styleId="1071" w:customStyle="1">
    <w:name w:val="Char"/>
    <w:basedOn w:val="1053"/>
    <w:uiPriority w:val="0"/>
    <w:qFormat/>
    <w:rPr>
      <w:rFonts w:ascii="Tahoma" w:hAnsi="Tahoma"/>
      <w:sz w:val="24"/>
      <w:szCs w:val="24"/>
    </w:rPr>
  </w:style>
  <w:style w:type="paragraph" w:styleId="1072" w:customStyle="1">
    <w:name w:val="索引 11"/>
    <w:basedOn w:val="780"/>
    <w:next w:val="780"/>
    <w:uiPriority w:val="0"/>
    <w:semiHidden/>
    <w:qFormat/>
    <w:pPr>
      <w:spacing w:line="240" w:lineRule="atLeast"/>
    </w:pPr>
    <w:rPr>
      <w:b/>
      <w:bCs/>
    </w:rPr>
  </w:style>
  <w:style w:type="paragraph" w:styleId="1073" w:customStyle="1">
    <w:name w:val="目录 51"/>
    <w:basedOn w:val="780"/>
    <w:next w:val="780"/>
    <w:uiPriority w:val="0"/>
    <w:semiHidden/>
    <w:qFormat/>
    <w:pPr>
      <w:ind w:left="840"/>
      <w:jc w:val="left"/>
    </w:pPr>
  </w:style>
  <w:style w:type="paragraph" w:styleId="1074" w:customStyle="1">
    <w:name w:val="Char Char Char Char"/>
    <w:basedOn w:val="1053"/>
    <w:uiPriority w:val="0"/>
    <w:qFormat/>
    <w:pPr>
      <w:spacing w:line="360" w:lineRule="auto"/>
    </w:pPr>
    <w:rPr>
      <w:rFonts w:ascii="Tahoma" w:hAnsi="Tahoma"/>
      <w:sz w:val="24"/>
      <w:szCs w:val="24"/>
    </w:rPr>
  </w:style>
  <w:style w:type="paragraph" w:styleId="1075" w:customStyle="1">
    <w:name w:val="列出段落2"/>
    <w:basedOn w:val="780"/>
    <w:uiPriority w:val="0"/>
    <w:qFormat/>
    <w:pPr>
      <w:contextualSpacing/>
      <w:ind w:left="720"/>
      <w:jc w:val="left"/>
      <w:widowControl/>
    </w:pPr>
    <w:rPr>
      <w:rFonts w:ascii="Calibri" w:hAnsi="Calibri"/>
      <w:sz w:val="24"/>
      <w:szCs w:val="24"/>
      <w:lang w:eastAsia="en-US" w:bidi="en-US"/>
    </w:rPr>
  </w:style>
  <w:style w:type="paragraph" w:styleId="1076" w:customStyle="1">
    <w:name w:val="普通(网站)1"/>
    <w:basedOn w:val="780"/>
    <w:uiPriority w:val="99"/>
    <w:qFormat/>
    <w:pPr>
      <w:jc w:val="left"/>
      <w:spacing w:before="100" w:beforeAutospacing="1" w:after="100" w:afterAutospacing="1"/>
      <w:widowControl/>
    </w:pPr>
    <w:rPr>
      <w:rFonts w:ascii="宋体" w:hAnsi="宋体" w:cs="宋体"/>
      <w:sz w:val="24"/>
      <w:szCs w:val="24"/>
    </w:rPr>
  </w:style>
  <w:style w:type="paragraph" w:styleId="107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079"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目录 81"/>
    <w:basedOn w:val="780"/>
    <w:next w:val="780"/>
    <w:uiPriority w:val="0"/>
    <w:semiHidden/>
    <w:qFormat/>
    <w:pPr>
      <w:ind w:left="1470"/>
      <w:jc w:val="left"/>
    </w:pPr>
  </w:style>
  <w:style w:type="paragraph" w:styleId="1081" w:customStyle="1">
    <w:name w:val="目录 91"/>
    <w:basedOn w:val="780"/>
    <w:next w:val="780"/>
    <w:uiPriority w:val="0"/>
    <w:semiHidden/>
    <w:qFormat/>
    <w:pPr>
      <w:ind w:left="1680"/>
      <w:jc w:val="left"/>
    </w:pPr>
  </w:style>
  <w:style w:type="paragraph" w:styleId="1082" w:customStyle="1">
    <w:name w:val="Char1"/>
    <w:basedOn w:val="780"/>
    <w:uiPriority w:val="0"/>
    <w:qFormat/>
    <w:pPr>
      <w:ind w:firstLine="200"/>
      <w:tabs>
        <w:tab w:val="left" w:pos="360" w:leader="none"/>
      </w:tabs>
    </w:pPr>
    <w:rPr>
      <w:sz w:val="28"/>
      <w:szCs w:val="30"/>
    </w:rPr>
  </w:style>
  <w:style w:type="paragraph" w:styleId="1083"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84"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Char Char Char Char Char Char Char Char Char Char"/>
    <w:basedOn w:val="780"/>
    <w:uiPriority w:val="0"/>
    <w:qFormat/>
    <w:pPr>
      <w:spacing w:line="360" w:lineRule="auto"/>
    </w:pPr>
    <w:rPr>
      <w:sz w:val="24"/>
      <w:szCs w:val="20"/>
    </w:rPr>
  </w:style>
  <w:style w:type="paragraph" w:styleId="1086"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7" w:customStyle="1">
    <w:name w:val="table_1stline"/>
    <w:basedOn w:val="780"/>
    <w:uiPriority w:val="0"/>
    <w:qFormat/>
    <w:pPr>
      <w:jc w:val="left"/>
      <w:spacing w:before="120"/>
      <w:widowControl/>
    </w:pPr>
    <w:rPr>
      <w:bCs/>
      <w:sz w:val="20"/>
      <w:szCs w:val="20"/>
      <w:lang w:val="de-DE" w:eastAsia="de-DE"/>
    </w:rPr>
  </w:style>
  <w:style w:type="paragraph" w:styleId="1088"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9" w:customStyle="1">
    <w:name w:val="目录 31"/>
    <w:basedOn w:val="780"/>
    <w:next w:val="780"/>
    <w:uiPriority w:val="0"/>
    <w:semiHidden/>
    <w:qFormat/>
    <w:pPr>
      <w:ind w:left="420"/>
      <w:jc w:val="left"/>
    </w:pPr>
    <w:rPr>
      <w:i/>
      <w:iCs/>
      <w:szCs w:val="24"/>
    </w:rPr>
  </w:style>
  <w:style w:type="paragraph" w:styleId="1090" w:customStyle="1">
    <w:name w:val="目录 61"/>
    <w:basedOn w:val="780"/>
    <w:next w:val="780"/>
    <w:uiPriority w:val="0"/>
    <w:semiHidden/>
    <w:qFormat/>
    <w:pPr>
      <w:ind w:left="1050"/>
      <w:jc w:val="left"/>
    </w:pPr>
  </w:style>
  <w:style w:type="paragraph" w:styleId="1091" w:customStyle="1">
    <w:name w:val="目录 71"/>
    <w:basedOn w:val="780"/>
    <w:next w:val="780"/>
    <w:uiPriority w:val="0"/>
    <w:semiHidden/>
    <w:qFormat/>
    <w:pPr>
      <w:ind w:left="1260"/>
      <w:jc w:val="left"/>
    </w:pPr>
  </w:style>
  <w:style w:type="paragraph" w:styleId="109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93" w:customStyle="1">
    <w:name w:val="标题3"/>
    <w:basedOn w:val="780"/>
    <w:next w:val="780"/>
    <w:uiPriority w:val="0"/>
    <w:qFormat/>
    <w:pPr>
      <w:ind w:firstLine="624"/>
      <w:spacing w:line="590" w:lineRule="atLeast"/>
    </w:pPr>
    <w:rPr>
      <w:rFonts w:ascii="方正黑体_GBK" w:eastAsia="方正黑体_GBK"/>
      <w:sz w:val="32"/>
      <w:szCs w:val="32"/>
    </w:rPr>
  </w:style>
  <w:style w:type="paragraph" w:styleId="1094" w:customStyle="1">
    <w:name w:val="列表 31"/>
    <w:basedOn w:val="780"/>
    <w:uiPriority w:val="0"/>
    <w:qFormat/>
    <w:pPr>
      <w:ind w:left="100" w:hanging="200"/>
    </w:pPr>
  </w:style>
  <w:style w:type="paragraph" w:styleId="1095" w:customStyle="1">
    <w:name w:val="目录 11"/>
    <w:basedOn w:val="780"/>
    <w:next w:val="780"/>
    <w:uiPriority w:val="0"/>
    <w:semiHidden/>
    <w:qFormat/>
    <w:pPr>
      <w:jc w:val="left"/>
      <w:spacing w:before="120" w:after="120" w:line="400" w:lineRule="exact"/>
      <w:tabs>
        <w:tab w:val="right" w:pos="8720" w:leader="dot"/>
      </w:tabs>
    </w:pPr>
    <w:rPr>
      <w:rFonts w:ascii="宋体" w:hAnsi="宋体"/>
      <w:caps/>
      <w:sz w:val="24"/>
      <w:szCs w:val="24"/>
    </w:rPr>
  </w:style>
  <w:style w:type="paragraph" w:styleId="1096"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97" w:customStyle="1">
    <w:name w:val="目录 41"/>
    <w:basedOn w:val="780"/>
    <w:next w:val="780"/>
    <w:uiPriority w:val="0"/>
    <w:semiHidden/>
    <w:qFormat/>
    <w:pPr>
      <w:ind w:left="630"/>
      <w:jc w:val="left"/>
    </w:pPr>
  </w:style>
  <w:style w:type="paragraph" w:styleId="1098" w:customStyle="1">
    <w:name w:val="4"/>
    <w:basedOn w:val="780"/>
    <w:next w:val="1055"/>
    <w:uiPriority w:val="0"/>
    <w:qFormat/>
    <w:pPr>
      <w:ind w:firstLine="420"/>
      <w:spacing w:line="360" w:lineRule="auto"/>
    </w:pPr>
    <w:rPr>
      <w:color w:val="ff0000"/>
      <w:sz w:val="24"/>
      <w:szCs w:val="24"/>
    </w:rPr>
  </w:style>
  <w:style w:type="paragraph" w:styleId="1099" w:customStyle="1">
    <w:name w:val="列表 21"/>
    <w:basedOn w:val="780"/>
    <w:uiPriority w:val="0"/>
    <w:qFormat/>
    <w:pPr>
      <w:ind w:left="100" w:hanging="200"/>
    </w:pPr>
  </w:style>
  <w:style w:type="paragraph" w:styleId="1100" w:customStyle="1">
    <w:name w:val="目录 21"/>
    <w:basedOn w:val="780"/>
    <w:next w:val="780"/>
    <w:uiPriority w:val="0"/>
    <w:semiHidden/>
    <w:qFormat/>
    <w:pPr>
      <w:ind w:left="210"/>
      <w:jc w:val="left"/>
    </w:pPr>
    <w:rPr>
      <w:smallCaps/>
      <w:szCs w:val="24"/>
    </w:rPr>
  </w:style>
  <w:style w:type="paragraph" w:styleId="1101" w:customStyle="1">
    <w:name w:val="Char Char Char Char1"/>
    <w:basedOn w:val="1053"/>
    <w:uiPriority w:val="0"/>
    <w:qFormat/>
    <w:pPr>
      <w:spacing w:line="360" w:lineRule="auto"/>
    </w:pPr>
    <w:rPr>
      <w:rFonts w:ascii="Tahoma" w:hAnsi="Tahoma"/>
      <w:sz w:val="24"/>
      <w:szCs w:val="24"/>
    </w:rPr>
  </w:style>
  <w:style w:type="paragraph" w:styleId="1102"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103" w:customStyle="1">
    <w:name w:val="Body Text(ch)"/>
    <w:basedOn w:val="780"/>
    <w:next w:val="1022"/>
    <w:uiPriority w:val="0"/>
    <w:qFormat/>
    <w:pPr>
      <w:spacing w:after="120"/>
    </w:pPr>
    <w:rPr>
      <w:rFonts w:ascii="宋体" w:hAnsi="Arial"/>
      <w:bCs/>
      <w:iCs/>
      <w:szCs w:val="24"/>
    </w:rPr>
  </w:style>
  <w:style w:type="paragraph" w:styleId="1104" w:customStyle="1">
    <w:name w:val="列表1"/>
    <w:basedOn w:val="780"/>
    <w:uiPriority w:val="0"/>
    <w:qFormat/>
    <w:pPr>
      <w:ind w:left="200" w:hanging="200"/>
    </w:pPr>
  </w:style>
  <w:style w:type="paragraph" w:styleId="1105" w:customStyle="1">
    <w:name w:val="样式1"/>
    <w:basedOn w:val="780"/>
    <w:uiPriority w:val="0"/>
    <w:qFormat/>
    <w:pPr>
      <w:numPr>
        <w:ilvl w:val="0"/>
        <w:numId w:val="4"/>
      </w:numPr>
    </w:pPr>
    <w:rPr>
      <w:rFonts w:ascii="宋体" w:hAnsi="宋体"/>
    </w:rPr>
  </w:style>
  <w:style w:type="paragraph" w:styleId="1106"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7"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108" w:customStyle="1">
    <w:name w:val="图表目录1"/>
    <w:basedOn w:val="780"/>
    <w:next w:val="780"/>
    <w:uiPriority w:val="0"/>
    <w:semiHidden/>
    <w:qFormat/>
    <w:pPr>
      <w:ind w:left="840" w:hanging="420"/>
    </w:pPr>
  </w:style>
  <w:style w:type="paragraph" w:styleId="1109"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0"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111"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114" w:customStyle="1">
    <w:name w:val="标题1"/>
    <w:basedOn w:val="780"/>
    <w:next w:val="7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116" w:customStyle="1">
    <w:name w:val="网格型1"/>
    <w:basedOn w:val="1016"/>
    <w:uiPriority w:val="0"/>
    <w:qFormat/>
    <w:pPr>
      <w:jc w:val="both"/>
      <w:widowControl w:val="off"/>
    </w:pPr>
    <w:rPr>
      <w:rFonts w:ascii="Times New Roman" w:hAnsi="Times New Roman"/>
    </w:rPr>
    <w:tblPr/>
  </w:style>
  <w:style w:type="character" w:styleId="1117" w:customStyle="1">
    <w:name w:val="正文文本 Char1"/>
    <w:basedOn w:val="790"/>
    <w:uiPriority w:val="99"/>
    <w:semiHidden/>
    <w:qFormat/>
    <w:rPr>
      <w:rFonts w:ascii="Times New Roman" w:hAnsi="Times New Roman"/>
      <w:sz w:val="21"/>
      <w:szCs w:val="21"/>
    </w:rPr>
  </w:style>
  <w:style w:type="paragraph" w:styleId="1118" w:customStyle="1">
    <w:name w:val="正文2"/>
    <w:basedOn w:val="780"/>
    <w:uiPriority w:val="0"/>
    <w:qFormat/>
    <w:pPr>
      <w:spacing w:line="360" w:lineRule="auto"/>
      <w:tabs>
        <w:tab w:val="left" w:pos="6480" w:leader="none"/>
      </w:tabs>
    </w:pPr>
    <w:rPr>
      <w:sz w:val="24"/>
      <w:szCs w:val="24"/>
    </w:rPr>
  </w:style>
  <w:style w:type="paragraph" w:styleId="1119" w:customStyle="1">
    <w:name w:val="1 正文"/>
    <w:basedOn w:val="780"/>
    <w:uiPriority w:val="0"/>
    <w:qFormat/>
    <w:pPr>
      <w:ind w:firstLine="420"/>
      <w:spacing w:line="360" w:lineRule="auto"/>
    </w:pPr>
    <w:rPr>
      <w:rFonts w:ascii="宋体" w:hAnsi="宋体"/>
      <w:sz w:val="24"/>
      <w:szCs w:val="24"/>
    </w:rPr>
  </w:style>
  <w:style w:type="paragraph" w:styleId="1120" w:customStyle="1">
    <w:name w:val="A正文"/>
    <w:basedOn w:val="780"/>
    <w:uiPriority w:val="0"/>
    <w:qFormat/>
    <w:pPr>
      <w:ind w:firstLine="200"/>
      <w:spacing w:line="360" w:lineRule="auto"/>
    </w:pPr>
    <w:rPr>
      <w:rFonts w:cs="宋体"/>
      <w:sz w:val="24"/>
      <w:szCs w:val="28"/>
      <w:lang w:eastAsia="zh-Hans"/>
    </w:rPr>
  </w:style>
  <w:style w:type="paragraph" w:styleId="1121"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122"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124" w:customStyle="1">
    <w:name w:val="UserStyle_11"/>
    <w:uiPriority w:val="0"/>
    <w:qFormat/>
    <w:rPr>
      <w:sz w:val="21"/>
      <w:szCs w:val="21"/>
      <w:lang w:val="en-US" w:eastAsia="zh-CN" w:bidi="ar-SA"/>
    </w:rPr>
  </w:style>
  <w:style w:type="character" w:styleId="1125" w:customStyle="1">
    <w:name w:val="NormalCharacter"/>
    <w:uiPriority w:val="0"/>
    <w:qFormat/>
  </w:style>
  <w:style w:type="paragraph" w:styleId="1126" w:customStyle="1">
    <w:name w:val="标题 5（有编号）（绿盟科技）"/>
    <w:basedOn w:val="780"/>
    <w:next w:val="1127"/>
    <w:uiPriority w:val="0"/>
    <w:qFormat/>
    <w:pPr>
      <w:numPr>
        <w:ilvl w:val="4"/>
        <w:numId w:val="5"/>
      </w:numPr>
      <w:keepLines/>
      <w:keepNext/>
      <w:spacing w:before="280" w:after="156" w:line="377" w:lineRule="auto"/>
      <w:outlineLvl w:val="4"/>
    </w:pPr>
    <w:rPr>
      <w:rFonts w:eastAsia="黑体"/>
      <w:b/>
      <w:sz w:val="24"/>
      <w:szCs w:val="28"/>
    </w:rPr>
  </w:style>
  <w:style w:type="paragraph" w:styleId="1127"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1128" w:customStyle="1">
    <w:name w:val="纯文本11"/>
    <w:basedOn w:val="780"/>
    <w:uiPriority w:val="99"/>
    <w:qFormat/>
    <w:rPr>
      <w:rFonts w:ascii="宋体" w:hAnsi="Courier New"/>
      <w:sz w:val="20"/>
      <w:szCs w:val="21"/>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93</cp:revision>
  <dcterms:created xsi:type="dcterms:W3CDTF">2023-12-04T02:59:00Z</dcterms:created>
  <dcterms:modified xsi:type="dcterms:W3CDTF">2026-08-13T03:30:22Z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