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项目名称：扬州职业技术大学保安服务项目</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ascii="宋体" w:hAnsi="宋体" w:eastAsia="宋体" w:cs="宋体"/>
          <w:b/>
          <w:color w:val="000000" w:themeColor="text1"/>
          <w:sz w:val="32"/>
          <w14:textFill>
            <w14:solidFill>
              <w14:schemeClr w14:val="tx1"/>
            </w14:solidFill>
          </w14:textFill>
        </w:rPr>
        <w:t xml:space="preserve">JSZC-321000-JZCG-G2026-0</w:t>
      </w:r>
      <w:r>
        <w:rPr>
          <w:rFonts w:hint="eastAsia" w:ascii="宋体" w:hAnsi="宋体" w:cs="宋体"/>
          <w:b/>
          <w:color w:val="000000" w:themeColor="text1"/>
          <w:sz w:val="32"/>
          <w:lang w:val="en-US" w:eastAsia="zh-CN"/>
          <w14:textFill>
            <w14:solidFill>
              <w14:schemeClr w14:val="tx1"/>
            </w14:solidFill>
          </w14:textFill>
        </w:rPr>
        <w:t xml:space="preserve">10</w:t>
      </w:r>
      <w:r>
        <w:rPr>
          <w:rFonts w:ascii="宋体" w:hAnsi="宋体" w:eastAsia="宋体" w:cs="宋体"/>
          <w:b/>
          <w:color w:val="000000" w:themeColor="text1"/>
          <w:sz w:val="32"/>
          <w14:textFill>
            <w14:solidFill>
              <w14:schemeClr w14:val="tx1"/>
            </w14:solidFill>
          </w14:textFill>
        </w:rPr>
        <w:t xml:space="preserve">6</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09</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评标方法与评标标准………………………35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投标文件格式………………………………40</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45"/>
      </w:pPr>
      <w:r>
        <w:rPr>
          <w:rStyle w:val="979"/>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受扬州职业技术大学的委托，扬州市公共资源交易中心就扬州职业技术大学保安服务项目(项目编号</w:t>
      </w:r>
      <w:r>
        <w:rPr>
          <w:rFonts w:hint="eastAsia" w:ascii="宋体" w:hAnsi="宋体" w:eastAsia="宋体" w:cs="宋体"/>
          <w:color w:val="000000"/>
          <w:sz w:val="24"/>
          <w:lang w:eastAsia="zh-CN"/>
        </w:rPr>
        <w:t xml:space="preserve">：</w:t>
      </w:r>
      <w:r>
        <w:rPr>
          <w:rFonts w:ascii="宋体" w:hAnsi="宋体" w:eastAsia="宋体" w:cs="宋体"/>
          <w:color w:val="000000" w:themeColor="text1"/>
          <w:sz w:val="24"/>
          <w14:textFill>
            <w14:solidFill>
              <w14:schemeClr w14:val="tx1"/>
            </w14:solidFill>
          </w14:textFill>
        </w:rPr>
        <w:t xml:space="preserve">JSZC-321000-JZCG-G2026-0</w:t>
      </w:r>
      <w:r>
        <w:rPr>
          <w:rFonts w:hint="eastAsia" w:ascii="宋体" w:hAnsi="宋体" w:cs="宋体"/>
          <w:color w:val="000000" w:themeColor="text1"/>
          <w:sz w:val="24"/>
          <w:lang w:val="en-US" w:eastAsia="zh-CN"/>
          <w14:textFill>
            <w14:solidFill>
              <w14:schemeClr w14:val="tx1"/>
            </w14:solidFill>
          </w14:textFill>
        </w:rPr>
        <w:t xml:space="preserve">10</w:t>
      </w:r>
      <w:r>
        <w:rPr>
          <w:rFonts w:ascii="宋体" w:hAnsi="宋体" w:eastAsia="宋体" w:cs="宋体"/>
          <w:color w:val="000000" w:themeColor="text1"/>
          <w:sz w:val="24"/>
          <w14:textFill>
            <w14:solidFill>
              <w14:schemeClr w14:val="tx1"/>
            </w14:solidFill>
          </w14:textFill>
        </w:rPr>
        <w:t xml:space="preserve">6</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扬州职业技术大学保安服务招标项目的潜在投标人可在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10</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15</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eastAsia="宋体" w:cs="宋体"/>
          <w:color w:val="000000" w:themeColor="text1"/>
          <w:sz w:val="24"/>
          <w:u w:val="single"/>
          <w14:textFill>
            <w14:solidFill>
              <w14:schemeClr w14:val="tx1"/>
            </w14:solidFill>
          </w14:textFill>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ascii="宋体" w:hAnsi="宋体" w:eastAsia="宋体" w:cs="宋体"/>
          <w:color w:val="000000" w:themeColor="text1"/>
          <w:sz w:val="24"/>
          <w14:textFill>
            <w14:solidFill>
              <w14:schemeClr w14:val="tx1"/>
            </w14:solidFill>
          </w14:textFill>
        </w:rPr>
        <w:t xml:space="preserve">JSZC-321000-JZCG-G2026-0</w:t>
      </w:r>
      <w:bookmarkStart w:id="4" w:name="_GoBack"/>
      <w:r/>
      <w:bookmarkEnd w:id="4"/>
      <w:r>
        <w:rPr>
          <w:rFonts w:hint="eastAsia" w:ascii="宋体" w:hAnsi="宋体" w:cs="宋体"/>
          <w:color w:val="000000" w:themeColor="text1"/>
          <w:sz w:val="24"/>
          <w:lang w:val="en-US" w:eastAsia="zh-CN"/>
          <w14:textFill>
            <w14:solidFill>
              <w14:schemeClr w14:val="tx1"/>
            </w14:solidFill>
          </w14:textFill>
        </w:rPr>
        <w:t xml:space="preserve">10</w:t>
      </w:r>
      <w:r>
        <w:rPr>
          <w:rFonts w:ascii="宋体" w:hAnsi="宋体" w:eastAsia="宋体" w:cs="宋体"/>
          <w:color w:val="000000" w:themeColor="text1"/>
          <w:sz w:val="24"/>
          <w14:textFill>
            <w14:solidFill>
              <w14:schemeClr w14:val="tx1"/>
            </w14:solidFill>
          </w14:textFill>
        </w:rPr>
        <w:t xml:space="preserve">6</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2.项目名称：扬州职业技术大学保安服务项目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96"/>
        <w:tblW w:w="88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8"/>
        <w:gridCol w:w="70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themeColor="text1"/>
                <w:sz w:val="24"/>
                <w:szCs w:val="24"/>
                <w:u w:val="none"/>
                <w:shd w:val="clear" w:color="auto" w:fill="ffffff"/>
                <w:lang w:val="en-US" w:eastAsia="zh-CN"/>
                <w14:textFill>
                  <w14:solidFill>
                    <w14:schemeClr w14:val="tx1"/>
                  </w14:solidFill>
                </w14:textFill>
              </w:rPr>
              <w:t xml:space="preserve">3年预算</w:t>
            </w:r>
            <w:r>
              <w:rPr>
                <w:rFonts w:hint="eastAsia" w:ascii="宋体" w:hAnsi="宋体" w:eastAsia="宋体" w:cs="宋体"/>
                <w:i w:val="0"/>
                <w:iCs/>
                <w:color w:val="000000" w:themeColor="text1"/>
                <w:sz w:val="24"/>
                <w:szCs w:val="24"/>
                <w:u w:val="none"/>
                <w:shd w:val="clear" w:color="auto" w:fill="ffffff"/>
                <w14:textFill>
                  <w14:solidFill>
                    <w14:schemeClr w14:val="tx1"/>
                  </w14:solidFill>
                </w14:textFill>
              </w:rPr>
              <w:t xml:space="preserve">1791.40</w:t>
            </w:r>
            <w:r>
              <w:rPr>
                <w:rFonts w:hint="eastAsia" w:ascii="宋体" w:hAnsi="宋体" w:eastAsia="宋体" w:cs="宋体"/>
                <w:i w:val="0"/>
                <w:iCs/>
                <w:color w:val="000000" w:themeColor="text1"/>
                <w:sz w:val="24"/>
                <w:szCs w:val="24"/>
                <w:u w:val="none"/>
                <w14:textFill>
                  <w14:solidFill>
                    <w14:schemeClr w14:val="tx1"/>
                  </w14:solidFill>
                </w14:textFill>
              </w:rPr>
              <w:t xml:space="preserve">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96"/>
        <w:tblW w:w="88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2957"/>
        <w:gridCol w:w="44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themeColor="text1"/>
                <w:sz w:val="24"/>
                <w:szCs w:val="24"/>
                <w:u w:val="none"/>
                <w:shd w:val="clear" w:color="auto" w:fill="ffffff"/>
                <w:lang w:val="en-US" w:eastAsia="zh-CN"/>
                <w14:textFill>
                  <w14:solidFill>
                    <w14:schemeClr w14:val="tx1"/>
                  </w14:solidFill>
                </w14:textFill>
              </w:rPr>
              <w:t xml:space="preserve">3年最高限价</w:t>
            </w:r>
            <w:r>
              <w:rPr>
                <w:rFonts w:hint="eastAsia" w:ascii="宋体" w:hAnsi="宋体" w:eastAsia="宋体" w:cs="宋体"/>
                <w:i w:val="0"/>
                <w:iCs/>
                <w:color w:val="000000" w:themeColor="text1"/>
                <w:sz w:val="24"/>
                <w:szCs w:val="24"/>
                <w:u w:val="none"/>
                <w:shd w:val="clear" w:color="auto" w:fill="ffffff"/>
                <w14:textFill>
                  <w14:solidFill>
                    <w14:schemeClr w14:val="tx1"/>
                  </w14:solidFill>
                </w14:textFill>
              </w:rPr>
              <w:t xml:space="preserve">1791.40</w:t>
            </w:r>
            <w:r>
              <w:rPr>
                <w:rFonts w:hint="eastAsia" w:ascii="宋体" w:hAnsi="宋体" w:eastAsia="宋体" w:cs="宋体"/>
                <w:i w:val="0"/>
                <w:iCs/>
                <w:color w:val="000000" w:themeColor="text1"/>
                <w:sz w:val="24"/>
                <w:szCs w:val="24"/>
                <w:u w:val="none"/>
                <w14:textFill>
                  <w14:solidFill>
                    <w14:schemeClr w14:val="tx1"/>
                  </w14:solidFill>
                </w14:textFill>
              </w:rPr>
              <w:t xml:space="preserve">万元</w:t>
            </w:r>
            <w:r/>
          </w:p>
        </w:tc>
      </w:tr>
    </w:tbl>
    <w:p>
      <w:pPr>
        <w:numPr>
          <w:ilvl w:val="0"/>
          <w:numId w:val="5"/>
        </w:numPr>
        <w:ind w:left="48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采购需求（简介）：扬州职业技术大学</w:t>
      </w:r>
      <w:r>
        <w:rPr>
          <w:rFonts w:hint="eastAsia" w:ascii="宋体" w:hAnsi="宋体" w:eastAsia="宋体" w:cs="宋体"/>
          <w:color w:val="000000"/>
          <w:sz w:val="24"/>
          <w:lang w:val="en-US" w:eastAsia="zh-CN"/>
        </w:rPr>
        <w:t xml:space="preserve">现采购</w:t>
      </w:r>
      <w:r>
        <w:rPr>
          <w:rFonts w:hint="eastAsia" w:ascii="宋体" w:hAnsi="宋体" w:cs="宋体"/>
          <w:color w:val="000000" w:themeColor="text1"/>
          <w:sz w:val="24"/>
          <w:highlight w:val="none"/>
          <w14:textFill>
            <w14:solidFill>
              <w14:schemeClr w14:val="tx1"/>
            </w14:solidFill>
          </w14:textFill>
        </w:rPr>
        <w:t xml:space="preserve">瘦西湖、高邮湖两个校区的</w:t>
      </w:r>
      <w:r>
        <w:rPr>
          <w:rFonts w:ascii="宋体" w:hAnsi="宋体" w:eastAsia="宋体" w:cs="宋体"/>
          <w:color w:val="000000"/>
          <w:sz w:val="24"/>
        </w:rPr>
        <w:t xml:space="preserve">保</w:t>
      </w:r>
      <w:r/>
    </w:p>
    <w:p>
      <w:pPr>
        <w:numPr>
          <w:ilvl w:val="0"/>
          <w:numId w:val="0"/>
        </w:numPr>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安服务</w:t>
      </w:r>
      <w:r>
        <w:rPr>
          <w:rFonts w:hint="eastAsia" w:ascii="宋体" w:hAnsi="宋体" w:cs="宋体"/>
          <w:color w:val="000000"/>
          <w:sz w:val="24"/>
          <w:lang w:eastAsia="zh-CN"/>
        </w:rPr>
        <w:t xml:space="preserve">。</w:t>
      </w:r>
      <w:r>
        <w:rPr>
          <w:rFonts w:ascii="宋体" w:hAnsi="宋体" w:eastAsia="宋体" w:cs="宋体"/>
          <w:color w:val="000000"/>
          <w:sz w:val="24"/>
        </w:rPr>
        <w:t xml:space="preserve">（详细内容见本招标文件第四章）</w:t>
      </w:r>
      <w:r/>
    </w:p>
    <w:p>
      <w:pPr>
        <w:numPr>
          <w:ilvl w:val="0"/>
          <w:numId w:val="0"/>
        </w:numPr>
        <w:ind w:left="480"/>
        <w:jc w:val="both"/>
        <w:spacing w:before="0" w:after="0"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投标按3年期报价。本项目合同首签1年，考核合格的情况下，采购人与中标人</w:t>
      </w:r>
      <w:r/>
    </w:p>
    <w:p>
      <w:pPr>
        <w:numPr>
          <w:ilvl w:val="0"/>
          <w:numId w:val="0"/>
        </w:numPr>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可签订下一年合同。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自合同签订之日起3年。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96"/>
        <w:tblW w:w="893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1"/>
        <w:gridCol w:w="3332"/>
        <w:gridCol w:w="42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96"/>
        <w:tblW w:w="89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6889"/>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96"/>
        <w:tblW w:w="89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1"/>
        <w:gridCol w:w="67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4"/>
                <w:szCs w:val="24"/>
                <w:u w:val="single"/>
                <w14:textFill>
                  <w14:solidFill>
                    <w14:schemeClr w14:val="tx1"/>
                  </w14:solidFill>
                </w14:textFill>
              </w:rPr>
              <w:t xml:space="preserve">具有公安部门审批颁发的《保安服务许可证》</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14:textFill>
            <w14:solidFill>
              <w14:schemeClr w14:val="tx1"/>
            </w14:solidFill>
          </w14:textFill>
        </w:rPr>
        <w:t xml:space="preserve"> 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10</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15</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点</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eastAsia="宋体" w:cs="宋体"/>
          <w:color w:val="000000" w:themeColor="text1"/>
          <w:sz w:val="24"/>
          <w:u w:val="single"/>
          <w14:textFill>
            <w14:solidFill>
              <w14:schemeClr w14:val="tx1"/>
            </w14:solidFill>
          </w14:textFill>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ff0000"/>
          <w:sz w:val="24"/>
        </w:rPr>
        <w:t xml:space="preserve"> </w:t>
      </w:r>
      <w:r>
        <w:rPr>
          <w:rFonts w:ascii="宋体" w:hAnsi="宋体" w:eastAsia="宋体" w:cs="宋体"/>
          <w:color w:val="000000" w:themeColor="text1"/>
          <w:sz w:val="24"/>
          <w14:textFill>
            <w14:solidFill>
              <w14:schemeClr w14:val="tx1"/>
            </w14:solidFill>
          </w14:textFill>
        </w:rPr>
        <w:t xml:space="preserve"> 1.采购人信息</w:t>
      </w:r>
      <w:r/>
    </w:p>
    <w:p>
      <w:pPr>
        <w:ind w:left="709" w:right="0" w:firstLine="0"/>
        <w:jc w:val="both"/>
        <w:spacing w:before="0" w:after="0" w:line="400" w:lineRule="atLeast"/>
        <w:rPr>
          <w:rFonts w:hint="default"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名 称：</w:t>
      </w:r>
      <w:r>
        <w:rPr>
          <w:rFonts w:hint="eastAsia" w:ascii="宋体" w:hAnsi="宋体" w:cs="宋体"/>
          <w:color w:val="000000" w:themeColor="text1"/>
          <w:sz w:val="24"/>
          <w:u w:val="single"/>
          <w:lang w:val="en-US" w:eastAsia="zh-CN"/>
          <w14:textFill>
            <w14:solidFill>
              <w14:schemeClr w14:val="tx1"/>
            </w14:solidFill>
          </w14:textFill>
        </w:rPr>
        <w:t xml:space="preserve">扬州职业技术大学</w:t>
      </w:r>
      <w:r/>
    </w:p>
    <w:p>
      <w:pPr>
        <w:ind w:left="709" w:right="0" w:firstLine="0"/>
        <w:jc w:val="both"/>
        <w:spacing w:before="0" w:after="0" w:line="400" w:lineRule="atLeast"/>
        <w:rPr>
          <w:rFonts w:hint="default"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地 址：</w:t>
      </w:r>
      <w:r>
        <w:rPr>
          <w:rFonts w:hint="eastAsia" w:ascii="宋体" w:hAnsi="宋体" w:cs="宋体"/>
          <w:color w:val="000000" w:themeColor="text1"/>
          <w:sz w:val="24"/>
          <w:u w:val="single"/>
          <w:lang w:val="en-US" w:eastAsia="zh-CN"/>
          <w14:textFill>
            <w14:solidFill>
              <w14:schemeClr w14:val="tx1"/>
            </w14:solidFill>
          </w14:textFill>
        </w:rPr>
        <w:t xml:space="preserve">扬州市邗江区458号</w:t>
      </w:r>
      <w:r/>
    </w:p>
    <w:p>
      <w:pPr>
        <w:ind w:left="709" w:right="0" w:firstLine="0"/>
        <w:jc w:val="both"/>
        <w:spacing w:before="0" w:after="0" w:line="400" w:lineRule="atLeast"/>
        <w:rPr>
          <w:rFonts w:hint="eastAsia" w:eastAsia="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联系人：</w:t>
      </w:r>
      <w:r>
        <w:rPr>
          <w:rFonts w:hint="eastAsia" w:ascii="宋体" w:hAnsi="宋体" w:cs="宋体"/>
          <w:color w:val="000000" w:themeColor="text1"/>
          <w:sz w:val="24"/>
          <w:u w:val="single"/>
          <w:lang w:val="en-US" w:eastAsia="zh-CN"/>
          <w14:textFill>
            <w14:solidFill>
              <w14:schemeClr w14:val="tx1"/>
            </w14:solidFill>
          </w14:textFill>
        </w:rPr>
        <w:t xml:space="preserve">高老师</w:t>
      </w:r>
      <w:r/>
    </w:p>
    <w:p>
      <w:pPr>
        <w:ind w:left="709" w:right="0" w:firstLine="0"/>
        <w:jc w:val="both"/>
        <w:spacing w:before="0" w:after="0" w:line="400" w:lineRule="atLeast"/>
        <w:rPr>
          <w:rFonts w:hint="default"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联系方式：</w:t>
      </w:r>
      <w:r>
        <w:rPr>
          <w:rFonts w:hint="eastAsia" w:ascii="宋体" w:hAnsi="宋体" w:cs="宋体"/>
          <w:color w:val="000000" w:themeColor="text1"/>
          <w:sz w:val="24"/>
          <w:u w:val="single"/>
          <w:lang w:val="en-US" w:eastAsia="zh-CN"/>
          <w14:textFill>
            <w14:solidFill>
              <w14:schemeClr w14:val="tx1"/>
            </w14:solidFill>
          </w14:textFill>
        </w:rPr>
        <w:t xml:space="preserve">0514-87090510</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firstLine="720"/>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27</w:t>
      </w:r>
      <w:r>
        <w:rPr>
          <w:rFonts w:hint="eastAsia" w:ascii="宋体" w:hAnsi="宋体"/>
          <w:sz w:val="24"/>
          <w:szCs w:val="24"/>
          <w:u w:val="single"/>
        </w:rPr>
        <w:t xml:space="preserve">室</w:t>
      </w:r>
      <w:r/>
    </w:p>
    <w:p>
      <w:pPr>
        <w:ind w:firstLine="720"/>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华玲</w:t>
      </w:r>
      <w:r/>
    </w:p>
    <w:p>
      <w:pPr>
        <w:ind w:firstLine="720"/>
        <w:jc w:val="left"/>
        <w:spacing w:line="360" w:lineRule="auto"/>
        <w:widowControl/>
      </w:pPr>
      <w:r>
        <w:rPr>
          <w:rFonts w:hint="eastAsia" w:ascii="宋体" w:hAnsi="宋体" w:cs="宋体"/>
          <w:sz w:val="24"/>
          <w:szCs w:val="24"/>
        </w:rPr>
        <w:t xml:space="preserve">联系方式：</w:t>
      </w:r>
      <w:bookmarkStart w:id="0" w:name="_Toc28359087"/>
      <w:r/>
      <w:bookmarkStart w:id="1" w:name="_Toc28359010"/>
      <w:r>
        <w:rPr>
          <w:rFonts w:hint="eastAsia" w:ascii="宋体" w:hAnsi="宋体" w:cs="宋体"/>
          <w:sz w:val="24"/>
          <w:szCs w:val="24"/>
          <w:u w:val="single"/>
        </w:rPr>
        <w:t xml:space="preserve">0514-8208712</w:t>
      </w:r>
      <w:bookmarkEnd w:id="0"/>
      <w:r/>
      <w:bookmarkEnd w:id="1"/>
      <w:r>
        <w:rPr>
          <w:rFonts w:hint="eastAsia" w:ascii="宋体" w:hAnsi="宋体" w:cs="宋体"/>
          <w:sz w:val="24"/>
          <w:szCs w:val="24"/>
          <w:u w:val="single"/>
        </w:rPr>
        <w:t xml:space="preserve">0</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5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ind w:left="0" w:right="0" w:firstLine="480"/>
        <w:jc w:val="both"/>
        <w:spacing w:before="0" w:after="0"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25.1.10.1</w:t>
      </w:r>
      <w:r>
        <w:rPr>
          <w:rFonts w:ascii="宋体" w:hAnsi="宋体" w:eastAsia="宋体" w:cs="宋体"/>
          <w:color w:val="383838"/>
          <w:sz w:val="24"/>
          <w:highlight w:val="yellow"/>
        </w:rPr>
        <w:t xml:space="preserve">投标（响应）报价低于全部通过符合性审查供应商投标（响应）报价平均值</w:t>
      </w:r>
      <w:r>
        <w:rPr>
          <w:rFonts w:hint="eastAsia" w:ascii="宋体" w:hAnsi="宋体" w:cs="宋体"/>
          <w:color w:val="383838"/>
          <w:sz w:val="24"/>
          <w:highlight w:val="yellow"/>
          <w:lang w:val="en-US" w:eastAsia="zh-CN"/>
        </w:rPr>
        <w:t xml:space="preserve">65</w:t>
      </w:r>
      <w:r>
        <w:rPr>
          <w:rFonts w:ascii="宋体" w:hAnsi="宋体" w:eastAsia="宋体" w:cs="宋体"/>
          <w:color w:val="383838"/>
          <w:sz w:val="24"/>
          <w:highlight w:val="yellow"/>
        </w:rPr>
        <w:t xml:space="preserve">%的，即投标（响应）报价&lt;全部通过符合性审查供应商投标（响应）报价平均值×</w:t>
      </w:r>
      <w:r>
        <w:rPr>
          <w:rFonts w:hint="eastAsia" w:ascii="宋体" w:hAnsi="宋体" w:cs="宋体"/>
          <w:color w:val="383838"/>
          <w:sz w:val="24"/>
          <w:highlight w:val="yellow"/>
          <w:lang w:val="en-US" w:eastAsia="zh-CN"/>
        </w:rPr>
        <w:t xml:space="preserve">65</w:t>
      </w:r>
      <w:r>
        <w:rPr>
          <w:rFonts w:ascii="宋体" w:hAnsi="宋体" w:eastAsia="宋体" w:cs="宋体"/>
          <w:color w:val="383838"/>
          <w:sz w:val="24"/>
          <w:highlight w:val="yellow"/>
        </w:rPr>
        <w:t xml:space="preserve">%；</w:t>
      </w:r>
      <w:r/>
    </w:p>
    <w:p>
      <w:pPr>
        <w:ind w:left="0" w:right="0" w:firstLine="480"/>
        <w:jc w:val="both"/>
        <w:spacing w:before="0" w:after="0"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25.1.10.2</w:t>
      </w:r>
      <w:r>
        <w:rPr>
          <w:rFonts w:ascii="宋体" w:hAnsi="宋体" w:eastAsia="宋体" w:cs="宋体"/>
          <w:color w:val="383838"/>
          <w:sz w:val="24"/>
          <w:highlight w:val="yellow"/>
        </w:rPr>
        <w:t xml:space="preserve">投标（响应）报价低于通过符合性审查的次低报价供应商投标（响应）报价</w:t>
      </w:r>
      <w:r>
        <w:rPr>
          <w:rFonts w:hint="eastAsia" w:ascii="宋体" w:hAnsi="宋体" w:cs="宋体"/>
          <w:color w:val="383838"/>
          <w:sz w:val="24"/>
          <w:highlight w:val="yellow"/>
          <w:lang w:val="en-US" w:eastAsia="zh-CN"/>
        </w:rPr>
        <w:t xml:space="preserve">65</w:t>
      </w:r>
      <w:r>
        <w:rPr>
          <w:rFonts w:ascii="宋体" w:hAnsi="宋体" w:eastAsia="宋体" w:cs="宋体"/>
          <w:color w:val="383838"/>
          <w:sz w:val="24"/>
          <w:highlight w:val="yellow"/>
        </w:rPr>
        <w:t xml:space="preserve">%的，即投标（响应）报价&lt;通过符合性审查的次低报价供应商投标（响应）报价×</w:t>
      </w:r>
      <w:r>
        <w:rPr>
          <w:rFonts w:hint="eastAsia" w:ascii="宋体" w:hAnsi="宋体" w:cs="宋体"/>
          <w:color w:val="383838"/>
          <w:sz w:val="24"/>
          <w:highlight w:val="yellow"/>
          <w:lang w:val="en-US" w:eastAsia="zh-CN"/>
        </w:rPr>
        <w:t xml:space="preserve">65</w:t>
      </w:r>
      <w:r>
        <w:rPr>
          <w:rFonts w:ascii="宋体" w:hAnsi="宋体" w:eastAsia="宋体" w:cs="宋体"/>
          <w:color w:val="383838"/>
          <w:sz w:val="24"/>
          <w:highlight w:val="yellow"/>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25.1.10.3投标（响应）报价低于采购项目最高限价 </w:t>
      </w:r>
      <w:r>
        <w:rPr>
          <w:rFonts w:hint="eastAsia" w:ascii="宋体" w:hAnsi="宋体" w:cs="宋体"/>
          <w:color w:val="000000"/>
          <w:sz w:val="24"/>
          <w:highlight w:val="yellow"/>
          <w:lang w:val="en-US" w:eastAsia="zh-CN"/>
        </w:rPr>
        <w:t xml:space="preserve">65</w:t>
      </w:r>
      <w:r>
        <w:rPr>
          <w:rFonts w:ascii="宋体" w:hAnsi="宋体" w:eastAsia="宋体" w:cs="宋体"/>
          <w:color w:val="000000"/>
          <w:sz w:val="24"/>
          <w:highlight w:val="yellow"/>
        </w:rPr>
        <w:t xml:space="preserve">% 的，即投标（响应）报价&lt;采购项目最高限价×</w:t>
      </w:r>
      <w:r>
        <w:rPr>
          <w:rFonts w:hint="eastAsia" w:ascii="宋体" w:hAnsi="宋体" w:cs="宋体"/>
          <w:color w:val="000000"/>
          <w:sz w:val="24"/>
          <w:highlight w:val="yellow"/>
          <w:lang w:val="en-US" w:eastAsia="zh-CN"/>
        </w:rPr>
        <w:t xml:space="preserve">65</w:t>
      </w:r>
      <w:r>
        <w:rPr>
          <w:rFonts w:ascii="宋体" w:hAnsi="宋体" w:eastAsia="宋体" w:cs="宋体"/>
          <w:color w:val="000000"/>
          <w:sz w:val="24"/>
          <w:highlight w:val="yellow"/>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pStyle w:val="759"/>
        <w:ind w:left="0" w:right="0" w:firstLine="0"/>
        <w:jc w:val="center"/>
        <w:spacing w:before="480" w:after="200"/>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w:t>
      </w:r>
      <w:r>
        <w:rPr>
          <w:rFonts w:hint="eastAsia" w:ascii="宋体" w:hAnsi="宋体" w:eastAsia="宋体" w:cs="宋体"/>
          <w:sz w:val="24"/>
          <w:szCs w:val="24"/>
          <w:lang w:val="en-US" w:eastAsia="zh-CN"/>
        </w:rPr>
        <w:t xml:space="preserve">乙方可以按甲方出具的缴费通知书以非现金形式缴纳中标金额的</w:t>
      </w:r>
      <w:r>
        <w:rPr>
          <w:rFonts w:hint="eastAsia" w:ascii="宋体" w:hAnsi="宋体" w:eastAsia="宋体" w:cs="宋体"/>
          <w:b/>
          <w:bCs/>
          <w:color w:val="ff0000"/>
          <w:sz w:val="24"/>
          <w:szCs w:val="24"/>
          <w:lang w:val="en-US" w:eastAsia="zh-CN"/>
        </w:rPr>
        <w:t xml:space="preserve">10%</w:t>
      </w:r>
      <w:r>
        <w:rPr>
          <w:rFonts w:hint="eastAsia" w:ascii="宋体" w:hAnsi="宋体" w:eastAsia="宋体" w:cs="宋体"/>
          <w:sz w:val="24"/>
          <w:szCs w:val="24"/>
          <w:lang w:val="en-US" w:eastAsia="zh-CN"/>
        </w:rPr>
        <w:t xml:space="preserve">作为本合同的履约保证金。</w:t>
      </w:r>
      <w:r>
        <w:rPr>
          <w:rFonts w:ascii="宋体" w:hAnsi="宋体" w:eastAsia="宋体" w:cs="宋体"/>
          <w:color w:val="000000"/>
          <w:sz w:val="24"/>
        </w:rPr>
        <w:t xml:space="preserve">（不得超过合同金额的10%）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hint="eastAsia" w:ascii="宋体" w:hAnsi="宋体" w:eastAsia="宋体" w:cs="宋体"/>
          <w:sz w:val="24"/>
          <w:szCs w:val="24"/>
          <w:lang w:val="en-US" w:eastAsia="zh-CN"/>
        </w:rPr>
        <w:t xml:space="preserve">按照乙方缴纳的方式无息退还。</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hint="eastAsia" w:ascii="宋体" w:hAnsi="宋体" w:eastAsia="宋体" w:cs="宋体"/>
          <w:sz w:val="24"/>
          <w:szCs w:val="24"/>
          <w:lang w:val="en-US" w:eastAsia="zh-CN"/>
        </w:rPr>
        <w:t xml:space="preserve">项目期满考核合格后15日内。</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00" w:themeColor="text1"/>
          <w:sz w:val="24"/>
          <w14:textFill>
            <w14:solidFill>
              <w14:schemeClr w14:val="tx1"/>
            </w14:solidFill>
          </w14:textFill>
        </w:rPr>
        <w:t xml:space="preserve">乙方在履约期间未给甲方造成损失或造成的损失经扣除后存有结余的。</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00" w:themeColor="text1"/>
          <w:sz w:val="24"/>
          <w14:textFill>
            <w14:solidFill>
              <w14:schemeClr w14:val="tx1"/>
            </w14:solidFill>
          </w14:textFill>
        </w:rPr>
        <w:t xml:space="preserve">乙方不履行合同或履行该合同不符合合同约定不足以弥补乙方违约造成甲方损失的。</w:t>
      </w:r>
      <w:r/>
    </w:p>
    <w:p>
      <w:pPr>
        <w:pStyle w:val="1054"/>
        <w:ind w:left="480" w:hanging="480"/>
        <w:spacing w:line="360" w:lineRule="auto"/>
      </w:pPr>
      <w:r>
        <w:rPr>
          <w:rFonts w:ascii="宋体" w:hAnsi="宋体" w:eastAsia="宋体" w:cs="宋体"/>
          <w:color w:val="000000"/>
          <w:sz w:val="24"/>
        </w:rPr>
        <w:t xml:space="preserve">6.2.5履约保证金逾期退还的违约责任：</w:t>
      </w:r>
      <w:r>
        <w:rPr>
          <w:rFonts w:hint="eastAsia" w:ascii="宋体" w:hAnsi="宋体" w:eastAsia="宋体" w:cs="宋体"/>
          <w:sz w:val="24"/>
          <w:szCs w:val="24"/>
          <w:lang w:val="en-US" w:eastAsia="zh-CN"/>
        </w:rPr>
        <w:t xml:space="preserve">按中国人民银行同期贷款基准利率上浮20%后的利率支付超期资金占用费，但因乙方自身原因导致无法及时退还的除外。</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pStyle w:val="105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hAnsi="宋体" w:cs="宋体"/>
          <w:sz w:val="24"/>
          <w:szCs w:val="24"/>
          <w:lang w:eastAsia="zh-CN"/>
        </w:rPr>
        <w:t xml:space="preserve">，</w:t>
      </w:r>
      <w:r>
        <w:rPr>
          <w:rFonts w:hint="eastAsia" w:ascii="宋体" w:hAnsi="宋体" w:eastAsia="宋体" w:cs="宋体"/>
          <w:sz w:val="24"/>
          <w:szCs w:val="24"/>
        </w:rPr>
        <w:t xml:space="preserve">自服务期开始之日起，甲乙双方按</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个月为一个周期结算服务费用，每周期结束后，甲乙双方按考核结果确定实际支付费用（服务费用实行月度考核</w:t>
      </w:r>
      <w:r>
        <w:rPr>
          <w:rFonts w:hint="eastAsia" w:ascii="宋体" w:hAnsi="宋体" w:eastAsia="宋体" w:cs="宋体"/>
          <w:sz w:val="24"/>
          <w:szCs w:val="24"/>
          <w:lang w:val="en-US" w:eastAsia="zh-CN"/>
        </w:rPr>
        <w:t xml:space="preserve">双月</w:t>
      </w:r>
      <w:r>
        <w:rPr>
          <w:rFonts w:hint="eastAsia" w:ascii="宋体" w:hAnsi="宋体" w:eastAsia="宋体" w:cs="宋体"/>
          <w:sz w:val="24"/>
          <w:szCs w:val="24"/>
        </w:rPr>
        <w:t xml:space="preserve">支付制度，月度考核结果单独应用，不进行</w:t>
      </w:r>
      <w:r>
        <w:rPr>
          <w:rFonts w:hint="eastAsia" w:ascii="宋体" w:hAnsi="宋体" w:eastAsia="宋体" w:cs="宋体"/>
          <w:sz w:val="24"/>
          <w:szCs w:val="24"/>
          <w:lang w:val="en-US" w:eastAsia="zh-CN"/>
        </w:rPr>
        <w:t xml:space="preserve">双月</w:t>
      </w:r>
      <w:r>
        <w:rPr>
          <w:rFonts w:hint="eastAsia" w:ascii="宋体" w:hAnsi="宋体" w:eastAsia="宋体" w:cs="宋体"/>
          <w:sz w:val="24"/>
          <w:szCs w:val="24"/>
        </w:rPr>
        <w:t xml:space="preserve">加权），实际支付费用确定后，甲方自收到发票</w:t>
      </w:r>
      <w:r>
        <w:rPr>
          <w:rFonts w:hint="eastAsia" w:hAnsi="宋体" w:cs="宋体"/>
          <w:sz w:val="24"/>
          <w:szCs w:val="24"/>
          <w:lang w:val="en-US" w:eastAsia="zh-CN"/>
        </w:rPr>
        <w:t xml:space="preserve">后</w:t>
      </w:r>
      <w:r>
        <w:rPr>
          <w:rFonts w:hint="eastAsia" w:ascii="宋体" w:hAnsi="宋体" w:eastAsia="宋体" w:cs="宋体"/>
          <w:sz w:val="24"/>
          <w:szCs w:val="24"/>
        </w:rPr>
        <w:t xml:space="preserve">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96"/>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ascii="宋体" w:hAnsi="宋体" w:eastAsia="宋体" w:cs="宋体"/>
          <w:color w:val="000000"/>
          <w:sz w:val="24"/>
        </w:rPr>
        <w:br w:type="page" w:clear="all"/>
      </w:r>
      <w:r/>
    </w:p>
    <w:p>
      <w:pPr>
        <w:pStyle w:val="75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69"/>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3782"/>
        <w:gridCol w:w="3635"/>
      </w:tblGrid>
      <w:tr>
        <w:trPr>
          <w:cantSplit/>
          <w:jc w:val="center"/>
        </w:trPr>
        <w:tc>
          <w:tcPr>
            <w:tcW w:w="1105" w:type="dxa"/>
            <w:vAlign w:val="center"/>
            <w:textDirection w:val="lrTb"/>
            <w:noWrap w:val="false"/>
          </w:tcPr>
          <w:p>
            <w:pPr>
              <w:contextualSpacing/>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782" w:type="dxa"/>
            <w:vAlign w:val="center"/>
            <w:textDirection w:val="lrTb"/>
            <w:noWrap w:val="false"/>
          </w:tcPr>
          <w:p>
            <w:pPr>
              <w:contextualSpacing/>
              <w:jc w:val="center"/>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3635" w:type="dxa"/>
            <w:vAlign w:val="center"/>
            <w:textDirection w:val="lrTb"/>
            <w:noWrap w:val="false"/>
          </w:tcPr>
          <w:p>
            <w:pPr>
              <w:contextualSpacing/>
              <w:jc w:val="center"/>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291"/>
        </w:trPr>
        <w:tc>
          <w:tcPr>
            <w:tcW w:w="1105" w:type="dxa"/>
            <w:textDirection w:val="lrTb"/>
            <w:noWrap w:val="false"/>
          </w:tcPr>
          <w:p>
            <w:pPr>
              <w:contextualSpacing/>
              <w:rPr>
                <w:rFonts w:hint="eastAsia" w:ascii="宋体" w:hAnsi="宋体" w:eastAsia="宋体" w:cs="宋体"/>
                <w:sz w:val="24"/>
                <w:szCs w:val="24"/>
              </w:rPr>
            </w:pPr>
            <w:r>
              <w:rPr>
                <w:rFonts w:hint="eastAsia" w:ascii="宋体" w:hAnsi="宋体" w:eastAsia="宋体" w:cs="宋体"/>
                <w:sz w:val="24"/>
                <w:szCs w:val="24"/>
              </w:rPr>
              <w:t xml:space="preserve">1</w:t>
            </w:r>
            <w:r/>
          </w:p>
        </w:tc>
        <w:tc>
          <w:tcPr>
            <w:tcW w:w="3782" w:type="dxa"/>
            <w:textDirection w:val="lrTb"/>
            <w:noWrap w:val="false"/>
          </w:tcPr>
          <w:p>
            <w:pPr>
              <w:contextualSpacing/>
              <w:jc w:val="center"/>
              <w:rPr>
                <w:rFonts w:hint="eastAsia" w:ascii="宋体" w:hAnsi="宋体" w:eastAsia="宋体" w:cs="宋体"/>
                <w:sz w:val="24"/>
                <w:szCs w:val="24"/>
              </w:rPr>
            </w:pPr>
            <w:r>
              <w:rPr>
                <w:rFonts w:hint="eastAsia" w:ascii="宋体" w:hAnsi="宋体" w:eastAsia="宋体" w:cs="宋体"/>
                <w:sz w:val="24"/>
                <w:szCs w:val="24"/>
              </w:rPr>
              <w:t xml:space="preserve">扬州职业技术大学保安服务项目</w:t>
            </w:r>
            <w:r/>
          </w:p>
        </w:tc>
        <w:tc>
          <w:tcPr>
            <w:tcW w:w="3635" w:type="dxa"/>
            <w:textDirection w:val="lrTb"/>
            <w:noWrap w:val="false"/>
          </w:tcPr>
          <w:p>
            <w:pPr>
              <w:contextualSpacing/>
              <w:jc w:val="center"/>
              <w:rPr>
                <w:rFonts w:hint="eastAsia" w:ascii="宋体" w:hAnsi="宋体" w:eastAsia="宋体" w:cs="宋体"/>
                <w:sz w:val="24"/>
                <w:szCs w:val="24"/>
              </w:rPr>
            </w:pPr>
            <w:r>
              <w:rPr>
                <w:rFonts w:hint="eastAsia" w:ascii="宋体" w:hAnsi="宋体" w:eastAsia="宋体" w:cs="宋体"/>
                <w:sz w:val="24"/>
                <w:szCs w:val="24"/>
              </w:rPr>
              <w:t xml:space="preserve">租赁和商务服务业</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77"/>
        <w:keepLines w:val="0"/>
        <w:keepNext w:val="0"/>
        <w:pageBreakBefore w:val="0"/>
        <w:spacing w:before="120" w:after="120"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政府采购中实施本国产品标准及相关政策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政策依据</w:t>
      </w:r>
      <w:r>
        <w:rPr>
          <w:rFonts w:hint="eastAsia" w:ascii="宋体" w:hAnsi="宋体" w:eastAsia="宋体" w:cs="宋体"/>
          <w:color w:val="auto"/>
          <w:sz w:val="24"/>
          <w:szCs w:val="24"/>
          <w:highlight w:val="none"/>
          <w:lang w:val="en-US" w:eastAsia="zh-CN" w:bidi="ar"/>
        </w:rPr>
        <w:t xml:space="preserve">《国务院办公厅关于在政府采购中实施本国产品标准及相关政策的通知》（国办发〔2025〕34号）。</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firstLine="422"/>
        <w:spacing w:line="440" w:lineRule="exact"/>
        <w:rPr>
          <w:rFonts w:hint="eastAsia" w:ascii="宋体" w:hAnsi="宋体" w:eastAsia="宋体" w:cs="宋体"/>
          <w:b/>
          <w:color w:val="000000" w:themeColor="text1"/>
          <w:sz w:val="24"/>
          <w:szCs w:val="24"/>
          <w:shd w:val="clear" w:color="auto" w:fill="ffffff"/>
          <w14:textFill>
            <w14:solidFill>
              <w14:schemeClr w14:val="tx1"/>
            </w14:solidFill>
          </w14:textFill>
        </w:rPr>
      </w:pPr>
      <w:r>
        <w:rPr>
          <w:rFonts w:ascii="Times New Roman" w:hAnsi="Times New Roman" w:eastAsia="Times New Roman" w:cs="Times New Roman"/>
          <w:color w:val="000000"/>
          <w:sz w:val="24"/>
        </w:rPr>
        <w:t xml:space="preserve"> </w:t>
      </w:r>
      <w:r>
        <w:rPr>
          <w:rFonts w:hint="eastAsia" w:ascii="宋体" w:hAnsi="宋体" w:eastAsia="宋体" w:cs="宋体"/>
          <w:b/>
          <w:sz w:val="24"/>
          <w:szCs w:val="24"/>
        </w:rPr>
        <w:t xml:space="preserve">一、项目概况</w:t>
      </w:r>
      <w:r/>
    </w:p>
    <w:p>
      <w:pPr>
        <w:ind w:firstLine="422"/>
        <w:spacing w:line="44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cs="宋体"/>
          <w:b/>
          <w:color w:val="000000" w:themeColor="text1"/>
          <w:sz w:val="24"/>
          <w:szCs w:val="24"/>
          <w:shd w:val="clear" w:color="auto" w:fill="ffffff"/>
          <w:lang w:val="en-US" w:eastAsia="zh-CN"/>
          <w14:textFill>
            <w14:solidFill>
              <w14:schemeClr w14:val="tx1"/>
            </w14:solidFill>
          </w14:textFill>
        </w:rPr>
        <w:t xml:space="preserve">1</w:t>
      </w:r>
      <w:r>
        <w:rPr>
          <w:rFonts w:hint="eastAsia" w:ascii="宋体" w:hAnsi="宋体" w:eastAsia="宋体" w:cs="宋体"/>
          <w:b/>
          <w:color w:val="000000" w:themeColor="text1"/>
          <w:sz w:val="24"/>
          <w:szCs w:val="24"/>
          <w:shd w:val="clear" w:color="auto" w:fill="ffffff"/>
          <w14:textFill>
            <w14:solidFill>
              <w14:schemeClr w14:val="tx1"/>
            </w14:solidFill>
          </w14:textFill>
        </w:rPr>
        <w:t xml:space="preserve">.服务主要地点：</w:t>
      </w:r>
      <w:r/>
    </w:p>
    <w:p>
      <w:pPr>
        <w:ind w:firstLine="420"/>
        <w:spacing w:line="44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扬州职业技术大学瘦西湖校区共</w:t>
      </w:r>
      <w:r>
        <w:rPr>
          <w:rFonts w:hint="eastAsia" w:ascii="宋体" w:hAnsi="宋体" w:eastAsia="宋体" w:cs="宋体"/>
          <w:color w:val="000000" w:themeColor="text1"/>
          <w:sz w:val="24"/>
          <w:szCs w:val="24"/>
          <w14:textFill>
            <w14:solidFill>
              <w14:schemeClr w14:val="tx1"/>
            </w14:solidFill>
          </w14:textFill>
        </w:rPr>
        <w:t xml:space="preserve">15</w:t>
      </w:r>
      <w:r>
        <w:rPr>
          <w:rFonts w:hint="eastAsia" w:ascii="宋体" w:hAnsi="宋体" w:eastAsia="宋体" w:cs="宋体"/>
          <w:color w:val="000000" w:themeColor="text1"/>
          <w:sz w:val="24"/>
          <w:szCs w:val="24"/>
          <w:lang w:val="zh-CN"/>
          <w14:textFill>
            <w14:solidFill>
              <w14:schemeClr w14:val="tx1"/>
            </w14:solidFill>
          </w14:textFill>
        </w:rPr>
        <w:t xml:space="preserve">个学院，总建筑面积约</w:t>
      </w:r>
      <w:r>
        <w:rPr>
          <w:rFonts w:hint="eastAsia" w:ascii="宋体" w:hAnsi="宋体" w:eastAsia="宋体" w:cs="宋体"/>
          <w:color w:val="000000" w:themeColor="text1"/>
          <w:sz w:val="24"/>
          <w:szCs w:val="24"/>
          <w14:textFill>
            <w14:solidFill>
              <w14:schemeClr w14:val="tx1"/>
            </w14:solidFill>
          </w14:textFill>
        </w:rPr>
        <w:t xml:space="preserve">55.88万</w:t>
      </w:r>
      <w:r>
        <w:rPr>
          <w:rFonts w:hint="eastAsia" w:ascii="宋体" w:hAnsi="宋体" w:eastAsia="宋体" w:cs="宋体"/>
          <w:color w:val="000000" w:themeColor="text1"/>
          <w:sz w:val="24"/>
          <w:szCs w:val="24"/>
          <w:lang w:val="zh-CN"/>
          <w14:textFill>
            <w14:solidFill>
              <w14:schemeClr w14:val="tx1"/>
            </w14:solidFill>
          </w14:textFill>
        </w:rPr>
        <w:t xml:space="preserve">平方米，可满足1.5</w:t>
      </w:r>
      <w:r>
        <w:rPr>
          <w:rFonts w:hint="eastAsia" w:ascii="宋体" w:hAnsi="宋体" w:eastAsia="宋体" w:cs="宋体"/>
          <w:color w:val="000000" w:themeColor="text1"/>
          <w:sz w:val="24"/>
          <w:szCs w:val="24"/>
          <w14:textFill>
            <w14:solidFill>
              <w14:schemeClr w14:val="tx1"/>
            </w14:solidFill>
          </w14:textFill>
        </w:rPr>
        <w:t xml:space="preserve">万</w:t>
      </w:r>
      <w:r>
        <w:rPr>
          <w:rFonts w:hint="eastAsia" w:ascii="宋体" w:hAnsi="宋体" w:eastAsia="宋体" w:cs="宋体"/>
          <w:color w:val="000000" w:themeColor="text1"/>
          <w:sz w:val="24"/>
          <w:szCs w:val="24"/>
          <w:lang w:val="zh-CN"/>
          <w14:textFill>
            <w14:solidFill>
              <w14:schemeClr w14:val="tx1"/>
            </w14:solidFill>
          </w14:textFill>
        </w:rPr>
        <w:t xml:space="preserve">人规模的在校生使用需求。扬州职业技术大学高邮湖校区共7个学院，总建筑面积约15.7万平方米，可满足7000人规模的在校生使用需求。</w:t>
      </w:r>
      <w:r/>
    </w:p>
    <w:p>
      <w:pPr>
        <w:ind w:firstLine="42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2</w:t>
      </w:r>
      <w:r>
        <w:rPr>
          <w:rFonts w:hint="eastAsia" w:ascii="宋体" w:hAnsi="宋体" w:eastAsia="宋体" w:cs="宋体"/>
          <w:b/>
          <w:color w:val="000000" w:themeColor="text1"/>
          <w:sz w:val="24"/>
          <w:szCs w:val="24"/>
          <w14:textFill>
            <w14:solidFill>
              <w14:schemeClr w14:val="tx1"/>
            </w14:solidFill>
          </w14:textFill>
        </w:rPr>
        <w:t xml:space="preserve">.服务范围：</w:t>
      </w:r>
      <w:r>
        <w:rPr>
          <w:rFonts w:hint="eastAsia" w:ascii="宋体" w:hAnsi="宋体" w:eastAsia="宋体" w:cs="宋体"/>
          <w:sz w:val="24"/>
          <w:szCs w:val="24"/>
        </w:rPr>
        <w:t xml:space="preserve">校园保安服务（含门卫</w:t>
      </w:r>
      <w:r>
        <w:rPr>
          <w:rFonts w:hint="eastAsia" w:ascii="宋体" w:hAnsi="宋体" w:cs="宋体"/>
          <w:sz w:val="24"/>
          <w:szCs w:val="24"/>
          <w:lang w:val="en-US" w:eastAsia="zh-CN"/>
        </w:rPr>
        <w:t xml:space="preserve">管理</w:t>
      </w:r>
      <w:r>
        <w:rPr>
          <w:rFonts w:hint="eastAsia" w:ascii="宋体" w:hAnsi="宋体" w:eastAsia="宋体" w:cs="宋体"/>
          <w:sz w:val="24"/>
          <w:szCs w:val="24"/>
        </w:rPr>
        <w:t xml:space="preserve">，交通管理，</w:t>
      </w:r>
      <w:r>
        <w:rPr>
          <w:rFonts w:hint="eastAsia" w:ascii="宋体" w:hAnsi="宋体" w:cs="宋体"/>
          <w:sz w:val="24"/>
          <w:szCs w:val="24"/>
          <w:lang w:val="en-US" w:eastAsia="zh-CN"/>
        </w:rPr>
        <w:t xml:space="preserve">巡逻及监管</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活动保障</w:t>
      </w:r>
      <w:r>
        <w:rPr>
          <w:rFonts w:hint="eastAsia" w:ascii="宋体" w:hAnsi="宋体" w:eastAsia="宋体" w:cs="宋体"/>
          <w:sz w:val="24"/>
          <w:szCs w:val="24"/>
        </w:rPr>
        <w:t xml:space="preserve">，突发事件处理，</w:t>
      </w:r>
      <w:r>
        <w:rPr>
          <w:rFonts w:hint="eastAsia" w:ascii="宋体" w:hAnsi="宋体" w:cs="宋体"/>
          <w:sz w:val="24"/>
          <w:szCs w:val="24"/>
          <w:lang w:val="en-US" w:eastAsia="zh-CN"/>
        </w:rPr>
        <w:t xml:space="preserve">监控结合消防控制室值班</w:t>
      </w:r>
      <w:r>
        <w:rPr>
          <w:rFonts w:hint="eastAsia" w:ascii="宋体" w:hAnsi="宋体" w:eastAsia="宋体" w:cs="宋体"/>
          <w:sz w:val="24"/>
          <w:szCs w:val="24"/>
        </w:rPr>
        <w:t xml:space="preserve">及与校园安防相关的其他工作），同时对接协调各校区属地公安、交巡警、消防等工作。</w:t>
      </w:r>
      <w:r/>
    </w:p>
    <w:p>
      <w:pPr>
        <w:ind w:firstLine="42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二、岗位及工作要求</w:t>
      </w:r>
      <w:r/>
    </w:p>
    <w:p>
      <w:pPr>
        <w:ind w:firstLine="42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（一）人员要求</w:t>
      </w:r>
      <w:r/>
    </w:p>
    <w:p>
      <w:pPr>
        <w:ind w:firstLine="420"/>
        <w:spacing w:line="440" w:lineRule="exact"/>
        <w:rPr>
          <w:rFonts w:ascii="宋体" w:hAnsi="宋体" w:cs="宋体"/>
          <w:i/>
          <w:iCs/>
          <w:sz w:val="24"/>
          <w:szCs w:val="24"/>
          <w:u w:val="single"/>
        </w:rPr>
      </w:pPr>
      <w:r>
        <w:rPr>
          <w:rFonts w:hint="eastAsia" w:ascii="宋体" w:hAnsi="宋体" w:cs="宋体"/>
          <w:i/>
          <w:iCs/>
          <w:sz w:val="24"/>
          <w:szCs w:val="24"/>
          <w:u w:val="single"/>
        </w:rPr>
        <w:t xml:space="preserve">所有保安人员必须政治可靠，作风正派，无不良记录及嗜好；遵守国家的法律、法规及采购人的各项规章制度，无违法犯罪记录；具有良好素养和上岗资质，能胜任执勤等安保任务，爱岗敬业、工作勤快，礼貌待人、和蔼处事，相貌端正、着装统一，身材适中、身体健康；</w:t>
      </w:r>
      <w:r>
        <w:rPr>
          <w:rFonts w:hint="eastAsia" w:ascii="宋体" w:hAnsi="宋体" w:cs="宋体"/>
          <w:i/>
          <w:iCs/>
          <w:color w:val="000000" w:themeColor="text1"/>
          <w:sz w:val="24"/>
          <w:szCs w:val="24"/>
          <w:highlight w:val="none"/>
          <w:u w:val="single"/>
          <w14:textFill>
            <w14:solidFill>
              <w14:schemeClr w14:val="tx1"/>
            </w14:solidFill>
          </w14:textFill>
        </w:rPr>
        <w:t xml:space="preserve">到岗人员年龄要求为：男性不超过55周岁，女性不超过47周岁，</w:t>
      </w:r>
      <w:r>
        <w:rPr>
          <w:rFonts w:hint="eastAsia" w:ascii="宋体" w:hAnsi="宋体" w:cs="宋体"/>
          <w:i/>
          <w:iCs/>
          <w:sz w:val="24"/>
          <w:szCs w:val="24"/>
          <w:u w:val="single"/>
          <w:shd w:val="clear" w:color="auto" w:fill="ffffff"/>
        </w:rPr>
        <w:t xml:space="preserve">其中50周岁（含50周岁）以上人员不得超过总人数的40%，女性人员不得超过总人数的6%。</w:t>
      </w:r>
      <w:r>
        <w:rPr>
          <w:rFonts w:hint="eastAsia" w:ascii="宋体" w:hAnsi="宋体" w:cs="宋体"/>
          <w:i/>
          <w:iCs/>
          <w:sz w:val="24"/>
          <w:szCs w:val="24"/>
          <w:u w:val="single"/>
        </w:rPr>
        <w:t xml:space="preserve">人员基本信息、身份证明、无违法犯罪记录证明要在保卫处填写登记表备案，并保证队伍的相对稳定。提供满足上述要求的承诺函，格式自拟，</w:t>
      </w:r>
      <w:r>
        <w:rPr>
          <w:rFonts w:hint="eastAsia" w:ascii="宋体" w:hAnsi="宋体" w:cs="宋体"/>
          <w:i/>
          <w:iCs/>
          <w:sz w:val="24"/>
          <w:szCs w:val="24"/>
          <w:u w:val="single"/>
          <w:lang w:val="en-US" w:eastAsia="zh-CN"/>
        </w:rPr>
        <w:t xml:space="preserve">扫描上传</w:t>
      </w:r>
      <w:r>
        <w:rPr>
          <w:rFonts w:hint="eastAsia" w:ascii="宋体" w:hAnsi="宋体" w:cs="宋体"/>
          <w:i/>
          <w:iCs/>
          <w:sz w:val="24"/>
          <w:szCs w:val="24"/>
          <w:u w:val="single"/>
        </w:rPr>
        <w:t xml:space="preserve">。</w:t>
      </w:r>
      <w:r/>
    </w:p>
    <w:p>
      <w:pPr>
        <w:ind w:firstLine="42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（二）岗位设置</w:t>
      </w:r>
      <w:r/>
    </w:p>
    <w:p>
      <w:pPr>
        <w:rPr>
          <w:rFonts w:hint="eastAsia" w:ascii="宋体" w:hAnsi="宋体" w:eastAsia="宋体" w:cs="宋体"/>
          <w:sz w:val="24"/>
          <w:szCs w:val="24"/>
        </w:rPr>
      </w:pPr>
      <w:r>
        <w:rPr>
          <w:rFonts w:hint="eastAsia" w:ascii="宋体" w:hAnsi="宋体" w:eastAsia="宋体" w:cs="宋体"/>
          <w:sz w:val="24"/>
          <w:szCs w:val="24"/>
        </w:rPr>
      </w:r>
      <w:r/>
    </w:p>
    <w:p>
      <w:pPr>
        <w:numPr>
          <w:ilvl w:val="0"/>
          <w:numId w:val="6"/>
        </w:numPr>
        <w:ind w:firstLine="42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管理人员配备及要求表</w:t>
      </w:r>
      <w:r/>
    </w:p>
    <w:tbl>
      <w:tblPr>
        <w:tblStyle w:val="769"/>
        <w:tblW w:w="892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01"/>
        <w:gridCol w:w="1197"/>
        <w:gridCol w:w="751"/>
        <w:gridCol w:w="4541"/>
        <w:gridCol w:w="1836"/>
      </w:tblGrid>
      <w:tr>
        <w:trPr>
          <w:jc w:val="center"/>
          <w:trHeight w:val="641"/>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Borders>
              <w:top w:val="single" w:color="auto" w:sz="4" w:space="0"/>
              <w:left w:val="none" w:color="000000" w:sz="4" w:space="0"/>
              <w:bottom w:val="single" w:color="auto" w:sz="4" w:space="0"/>
              <w:right w:val="single" w:color="auto" w:sz="4" w:space="0"/>
            </w:tcBorders>
            <w:tcW w:w="75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454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人员要求</w:t>
            </w:r>
            <w:r/>
          </w:p>
        </w:tc>
        <w:tc>
          <w:tcPr>
            <w:tcBorders>
              <w:top w:val="single" w:color="auto" w:sz="4" w:space="0"/>
              <w:left w:val="none" w:color="000000"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1567"/>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41"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iCs/>
                <w:sz w:val="24"/>
                <w:szCs w:val="24"/>
              </w:rPr>
              <w:t xml:space="preserve">45周岁及以下，男女不限，</w:t>
            </w:r>
            <w:r>
              <w:rPr>
                <w:rFonts w:hint="eastAsia" w:ascii="宋体" w:hAnsi="宋体" w:cs="宋体"/>
                <w:iCs/>
                <w:color w:val="000000" w:themeColor="text1"/>
                <w:sz w:val="24"/>
                <w:szCs w:val="24"/>
                <w:highlight w:val="none"/>
                <w14:textFill>
                  <w14:solidFill>
                    <w14:schemeClr w14:val="tx1"/>
                  </w14:solidFill>
                </w14:textFill>
              </w:rPr>
              <w:t xml:space="preserve">为退伍军人，</w:t>
            </w:r>
            <w:r>
              <w:rPr>
                <w:rFonts w:hint="eastAsia" w:ascii="宋体" w:hAnsi="宋体" w:eastAsia="宋体" w:cs="宋体"/>
                <w:iCs/>
                <w:sz w:val="24"/>
                <w:szCs w:val="24"/>
              </w:rPr>
              <w:t xml:space="preserve">具有高级（三级）保安员及以上职业资格证书</w:t>
            </w:r>
            <w:r>
              <w:rPr>
                <w:rFonts w:hint="eastAsia" w:ascii="宋体" w:hAnsi="宋体" w:eastAsia="宋体" w:cs="宋体"/>
                <w:sz w:val="24"/>
                <w:szCs w:val="24"/>
              </w:rPr>
              <w:t xml:space="preserve">。持</w:t>
            </w:r>
            <w:r>
              <w:rPr>
                <w:rFonts w:hint="eastAsia" w:ascii="宋体" w:hAnsi="宋体" w:eastAsia="宋体" w:cs="宋体"/>
                <w:color w:val="000000" w:themeColor="text1"/>
                <w:sz w:val="24"/>
                <w:szCs w:val="24"/>
                <w14:textFill>
                  <w14:solidFill>
                    <w14:schemeClr w14:val="tx1"/>
                  </w14:solidFill>
                </w14:textFill>
              </w:rPr>
              <w:t xml:space="preserve">有中级（四级）及以上消防设施操作员（监控操作方向）证书或中级及以上建（构）筑物消防员证书。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具有类似保安管理经验，有较强的组织、管理、协调、沟通能力，会操作电脑使用办公软件等，能按采购人要求整理相关材料；热爱本职工作，训练有素、精于专业，有吃苦耐劳精神。</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cs="宋体"/>
                <w:color w:val="000000" w:themeColor="text1"/>
                <w:sz w:val="24"/>
                <w:szCs w:val="24"/>
                <w:highlight w:val="none"/>
                <w14:textFill>
                  <w14:solidFill>
                    <w14:schemeClr w14:val="tx1"/>
                  </w14:solidFill>
                </w14:textFill>
              </w:rPr>
              <w:t xml:space="preserve">项目负责人由中标人另行指定，可兼职，不计入专职保安人数，该岗位的人员费用可纳入管理费中测算。</w:t>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480" w:lineRule="auto"/>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岗位要求：</w:t>
      </w:r>
      <w:r/>
    </w:p>
    <w:p>
      <w:pPr>
        <w:spacing w:line="480" w:lineRule="auto"/>
        <w:rPr>
          <w:rFonts w:hint="eastAsia" w:ascii="宋体" w:hAnsi="宋体" w:eastAsia="宋体" w:cs="宋体"/>
          <w:b/>
          <w:sz w:val="24"/>
          <w:szCs w:val="24"/>
        </w:rPr>
      </w:pPr>
      <w:r>
        <w:rPr>
          <w:rFonts w:hint="eastAsia" w:ascii="宋体" w:hAnsi="宋体" w:eastAsia="宋体" w:cs="宋体"/>
          <w:b/>
          <w:sz w:val="24"/>
          <w:szCs w:val="24"/>
        </w:rPr>
        <w:t xml:space="preserve">（1）扬州职业技术大学瘦西湖校区保安服务项目</w:t>
      </w:r>
      <w:r/>
    </w:p>
    <w:tbl>
      <w:tblPr>
        <w:tblStyle w:val="769"/>
        <w:tblW w:w="94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572"/>
        <w:gridCol w:w="5590"/>
        <w:gridCol w:w="720"/>
        <w:gridCol w:w="625"/>
      </w:tblGrid>
      <w:tr>
        <w:trPr>
          <w:jc w:val="center"/>
          <w:trHeight w:val="449"/>
        </w:trPr>
        <w:tc>
          <w:tcPr>
            <w:tcBorders>
              <w:right w:val="single" w:color="auto" w:sz="4" w:space="0"/>
            </w:tcBorders>
            <w:tcW w:w="91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区域</w:t>
            </w:r>
            <w:r/>
          </w:p>
        </w:tc>
        <w:tc>
          <w:tcPr>
            <w:tcBorders>
              <w:left w:val="single" w:color="auto" w:sz="4" w:space="0"/>
            </w:tcBorders>
            <w:tcW w:w="157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岗 位</w:t>
            </w:r>
            <w:r/>
          </w:p>
        </w:tc>
        <w:tc>
          <w:tcPr>
            <w:tcW w:w="559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工作要求</w:t>
            </w:r>
            <w:r/>
          </w:p>
        </w:tc>
        <w:tc>
          <w:tcPr>
            <w:gridSpan w:val="2"/>
            <w:tcW w:w="134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专职保安</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人数</w:t>
            </w:r>
            <w:r/>
          </w:p>
        </w:tc>
      </w:tr>
      <w:tr>
        <w:trPr>
          <w:jc w:val="center"/>
          <w:trHeight w:val="737"/>
        </w:trPr>
        <w:tc>
          <w:tcPr>
            <w:tcBorders>
              <w:right w:val="single" w:color="auto" w:sz="4" w:space="0"/>
            </w:tcBorders>
            <w:tcW w:w="91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教学区</w:t>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东门门卫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(每班2岗位)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，每班次2岗，分别为机动车辆管理1名，行人和非机动车管理1名。</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62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737"/>
        </w:trPr>
        <w:tc>
          <w:tcPr>
            <w:tcBorders>
              <w:right w:val="single" w:color="auto" w:sz="4" w:space="0"/>
            </w:tcBorders>
            <w:tcW w:w="91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西门门卫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(每班2岗位)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，每班次2岗，分别为机动车辆管理1名，行人和非机动车管理1名。</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6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37"/>
        </w:trPr>
        <w:tc>
          <w:tcPr>
            <w:tcBorders>
              <w:right w:val="single" w:color="auto" w:sz="4" w:space="0"/>
            </w:tcBorders>
            <w:tcW w:w="91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行政楼内保安</w:t>
            </w:r>
            <w:r/>
          </w:p>
          <w:p>
            <w:pPr>
              <w:jc w:val="center"/>
              <w:rPr>
                <w:rFonts w:hint="eastAsia" w:ascii="宋体" w:hAnsi="宋体" w:eastAsia="宋体" w:cs="宋体"/>
                <w:sz w:val="24"/>
                <w:szCs w:val="24"/>
              </w:rPr>
            </w:pPr>
            <w:r>
              <w:rPr>
                <w:rFonts w:hint="eastAsia" w:ascii="宋体" w:hAnsi="宋体" w:eastAsia="宋体" w:cs="宋体"/>
                <w:sz w:val="24"/>
                <w:szCs w:val="24"/>
              </w:rPr>
              <w:t xml:space="preserve">(1岗位)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，每班次1岗，负责行政楼区域治安、停车管理和应急，每班次1名。</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6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37"/>
        </w:trPr>
        <w:tc>
          <w:tcPr>
            <w:tcBorders>
              <w:right w:val="single" w:color="auto" w:sz="4" w:space="0"/>
            </w:tcBorders>
            <w:tcW w:w="91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生活区</w:t>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人行门门卫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(2岗位)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，每班次2岗，分别为行人和非机动车管理1名。</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62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r>
      <w:tr>
        <w:trPr>
          <w:jc w:val="center"/>
          <w:trHeight w:val="737"/>
        </w:trPr>
        <w:tc>
          <w:tcPr>
            <w:tcBorders>
              <w:right w:val="single" w:color="auto" w:sz="4" w:space="0"/>
            </w:tcBorders>
            <w:tcW w:w="91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车行门门卫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(1岗位)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，每班次1岗，为机动车辆管理。</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6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39"/>
        </w:trPr>
        <w:tc>
          <w:tcPr>
            <w:gridSpan w:val="2"/>
            <w:tcW w:w="24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校园巡逻</w:t>
            </w:r>
            <w:r/>
          </w:p>
          <w:p>
            <w:pPr>
              <w:jc w:val="center"/>
              <w:rPr>
                <w:rFonts w:hint="eastAsia" w:ascii="宋体" w:hAnsi="宋体" w:eastAsia="宋体" w:cs="宋体"/>
                <w:sz w:val="24"/>
                <w:szCs w:val="24"/>
              </w:rPr>
            </w:pPr>
            <w:r>
              <w:rPr>
                <w:rFonts w:hint="eastAsia" w:ascii="宋体" w:hAnsi="宋体" w:eastAsia="宋体" w:cs="宋体"/>
                <w:sz w:val="24"/>
                <w:szCs w:val="24"/>
              </w:rPr>
              <w:t xml:space="preserve">(4岗位)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24小时巡查、车辆管理、楼宇管理、校园治安管理等，分为三班次，</w:t>
            </w:r>
            <w:r>
              <w:rPr>
                <w:rFonts w:hint="eastAsia" w:ascii="宋体" w:hAnsi="宋体" w:eastAsia="宋体" w:cs="宋体"/>
                <w:sz w:val="24"/>
                <w:szCs w:val="24"/>
              </w:rPr>
              <w:t xml:space="preserve">每班次4岗，教学区2岗, 生活区2岗。</w:t>
            </w:r>
            <w:bookmarkStart w:id="2" w:name="OLE_LINK1"/>
            <w:r>
              <w:rPr>
                <w:rFonts w:hint="eastAsia" w:ascii="宋体" w:hAnsi="宋体" w:cs="宋体"/>
                <w:color w:val="000000" w:themeColor="text1"/>
                <w:sz w:val="24"/>
                <w:szCs w:val="24"/>
                <w:highlight w:val="none"/>
                <w14:textFill>
                  <w14:solidFill>
                    <w14:schemeClr w14:val="tx1"/>
                  </w14:solidFill>
                </w14:textFill>
              </w:rPr>
              <w:t xml:space="preserve">需要</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人持有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场（厂）内专用机动车辆作业（N2）驾驶证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持有救护员证。</w:t>
            </w:r>
            <w:bookmarkEnd w:id="2"/>
            <w:r>
              <w:rPr>
                <w:rFonts w:hint="eastAsia" w:ascii="宋体" w:hAnsi="宋体" w:cs="宋体"/>
                <w:color w:val="000000" w:themeColor="text1"/>
                <w:sz w:val="24"/>
                <w:szCs w:val="24"/>
                <w:highlight w:val="none"/>
                <w14:textFill>
                  <w14:solidFill>
                    <w14:schemeClr w14:val="tx1"/>
                  </w14:solidFill>
                </w14:textFill>
              </w:rPr>
              <w:t xml:space="preserve">（应配12人，实配11人，其中生活区1岗与采购人现有1人混编）</w:t>
            </w:r>
            <w:r/>
          </w:p>
        </w:tc>
        <w:tc>
          <w:tcPr>
            <w:tcW w:w="72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11</w:t>
            </w:r>
            <w:r/>
          </w:p>
        </w:tc>
        <w:tc>
          <w:tcPr>
            <w:tcW w:w="62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11</w:t>
            </w:r>
            <w:r/>
          </w:p>
        </w:tc>
      </w:tr>
      <w:tr>
        <w:trPr>
          <w:jc w:val="center"/>
          <w:trHeight w:val="1305"/>
        </w:trPr>
        <w:tc>
          <w:tcPr>
            <w:gridSpan w:val="2"/>
            <w:tcBorders>
              <w:bottom w:val="single" w:color="auto" w:sz="4" w:space="0"/>
            </w:tcBorders>
            <w:tcW w:w="24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安消监控值班</w:t>
            </w:r>
            <w:r/>
          </w:p>
          <w:p>
            <w:pPr>
              <w:jc w:val="center"/>
              <w:rPr>
                <w:rFonts w:hint="eastAsia" w:ascii="宋体" w:hAnsi="宋体" w:eastAsia="宋体" w:cs="宋体"/>
                <w:sz w:val="24"/>
                <w:szCs w:val="24"/>
              </w:rPr>
            </w:pPr>
            <w:r>
              <w:rPr>
                <w:rFonts w:hint="eastAsia" w:ascii="宋体" w:hAnsi="宋体" w:eastAsia="宋体" w:cs="宋体"/>
                <w:sz w:val="24"/>
                <w:szCs w:val="24"/>
              </w:rPr>
              <w:t xml:space="preserve">(2岗位)</w:t>
            </w:r>
            <w:r/>
          </w:p>
        </w:tc>
        <w:tc>
          <w:tcPr>
            <w:tcBorders>
              <w:bottom w:val="single" w:color="auto" w:sz="4" w:space="0"/>
            </w:tcBorders>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cs="宋体"/>
                <w:sz w:val="24"/>
                <w:szCs w:val="24"/>
                <w:highlight w:val="none"/>
              </w:rPr>
              <w:t xml:space="preserve">24小时值班，</w:t>
            </w:r>
            <w:r>
              <w:rPr>
                <w:rFonts w:hint="eastAsia" w:ascii="宋体" w:hAnsi="宋体" w:cs="宋体"/>
                <w:sz w:val="24"/>
                <w:szCs w:val="24"/>
                <w:highlight w:val="none"/>
              </w:rPr>
              <w:t xml:space="preserve">分为</w:t>
            </w:r>
            <w:r>
              <w:rPr>
                <w:rFonts w:hint="eastAsia" w:ascii="宋体" w:hAnsi="宋体" w:cs="宋体"/>
                <w:sz w:val="24"/>
                <w:szCs w:val="24"/>
                <w:highlight w:val="none"/>
              </w:rPr>
              <w:t xml:space="preserve">三班次</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每班次2岗，年龄50周岁以下，</w:t>
            </w:r>
            <w:r>
              <w:rPr>
                <w:rFonts w:hint="eastAsia" w:ascii="宋体" w:hAnsi="宋体" w:cs="宋体"/>
                <w:i/>
                <w:iCs/>
                <w:sz w:val="24"/>
                <w:szCs w:val="24"/>
                <w:highlight w:val="none"/>
                <w:u w:val="single"/>
              </w:rPr>
              <w:t xml:space="preserve">具有</w:t>
            </w:r>
            <w:r>
              <w:rPr>
                <w:rFonts w:hint="eastAsia" w:ascii="宋体" w:hAnsi="宋体" w:cs="宋体"/>
                <w:i/>
                <w:iCs/>
                <w:color w:val="000000" w:themeColor="text1"/>
                <w:sz w:val="24"/>
                <w:szCs w:val="24"/>
                <w:highlight w:val="none"/>
                <w:u w:val="single"/>
                <w14:textFill>
                  <w14:solidFill>
                    <w14:schemeClr w14:val="tx1"/>
                  </w14:solidFill>
                </w14:textFill>
              </w:rPr>
              <w:t xml:space="preserve">中级（四级）及以上消防设施操作员（监控操作方向）证书或中级及以上建（构）筑物消防员证书</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sz w:val="24"/>
                <w:szCs w:val="24"/>
                <w:highlight w:val="none"/>
              </w:rPr>
              <w:t xml:space="preserve">，具有高校同岗工作经验，监控值班室消防值班，资料整理、归档和汇总。</w:t>
            </w:r>
            <w:r>
              <w:rPr>
                <w:rFonts w:hint="eastAsia" w:ascii="宋体" w:hAnsi="宋体" w:cs="宋体"/>
                <w:color w:val="000000" w:themeColor="text1"/>
                <w:sz w:val="24"/>
                <w:szCs w:val="24"/>
                <w:highlight w:val="none"/>
                <w14:textFill>
                  <w14:solidFill>
                    <w14:schemeClr w14:val="tx1"/>
                  </w14:solidFill>
                </w14:textFill>
              </w:rPr>
              <w:t xml:space="preserve">（应配6人，实配5人，其中1岗与采购人现有1人混编）</w:t>
            </w:r>
            <w:r/>
          </w:p>
        </w:tc>
        <w:tc>
          <w:tcPr>
            <w:tcBorders>
              <w:bottom w:val="single" w:color="auto" w:sz="4" w:space="0"/>
            </w:tcBorders>
            <w:tcW w:w="72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Borders>
              <w:bottom w:val="single" w:color="auto" w:sz="4" w:space="0"/>
            </w:tcBorders>
            <w:tcW w:w="62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5</w:t>
            </w:r>
            <w:r/>
          </w:p>
        </w:tc>
      </w:tr>
      <w:tr>
        <w:trPr>
          <w:jc w:val="center"/>
          <w:trHeight w:val="704"/>
        </w:trPr>
        <w:tc>
          <w:tcPr>
            <w:gridSpan w:val="2"/>
            <w:tcBorders>
              <w:bottom w:val="single" w:color="auto" w:sz="4" w:space="0"/>
            </w:tcBorders>
            <w:tcW w:w="2487" w:type="dxa"/>
            <w:vAlign w:val="center"/>
            <w:textDirection w:val="lrTb"/>
            <w:noWrap w:val="false"/>
          </w:tcPr>
          <w:p>
            <w:pPr>
              <w:jc w:val="center"/>
              <w:rPr>
                <w:rFonts w:hint="eastAsia" w:ascii="宋体" w:hAnsi="宋体" w:eastAsia="宋体" w:cs="宋体"/>
                <w:color w:val="102040"/>
                <w:spacing w:val="-2"/>
                <w:sz w:val="24"/>
                <w:szCs w:val="24"/>
              </w:rPr>
            </w:pPr>
            <w:r>
              <w:rPr>
                <w:rFonts w:hint="eastAsia" w:ascii="宋体" w:hAnsi="宋体" w:eastAsia="宋体" w:cs="宋体"/>
                <w:color w:val="102040"/>
                <w:spacing w:val="-2"/>
                <w:sz w:val="24"/>
                <w:szCs w:val="24"/>
              </w:rPr>
              <w:t xml:space="preserve">科技楼</w:t>
            </w:r>
            <w:r/>
          </w:p>
          <w:p>
            <w:pPr>
              <w:jc w:val="center"/>
              <w:rPr>
                <w:rFonts w:hint="eastAsia" w:ascii="宋体" w:hAnsi="宋体" w:eastAsia="宋体" w:cs="宋体"/>
                <w:color w:val="102040"/>
                <w:spacing w:val="-2"/>
                <w:sz w:val="24"/>
                <w:szCs w:val="24"/>
              </w:rPr>
            </w:pPr>
            <w:r>
              <w:rPr>
                <w:rFonts w:hint="eastAsia" w:ascii="宋体" w:hAnsi="宋体" w:eastAsia="宋体" w:cs="宋体"/>
                <w:color w:val="102040"/>
                <w:spacing w:val="-2"/>
                <w:sz w:val="24"/>
                <w:szCs w:val="24"/>
              </w:rPr>
              <w:t xml:space="preserve">（1岗位）</w:t>
            </w:r>
            <w:r/>
          </w:p>
        </w:tc>
        <w:tc>
          <w:tcPr>
            <w:tcBorders>
              <w:bottom w:val="single" w:color="auto" w:sz="4" w:space="0"/>
            </w:tcBorders>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，每班次1岗，维护楼内正常秩序，做好值班记录及相关资料留存。</w:t>
            </w:r>
            <w:r/>
          </w:p>
        </w:tc>
        <w:tc>
          <w:tcPr>
            <w:tcBorders>
              <w:bottom w:val="single" w:color="auto" w:sz="4" w:space="0"/>
            </w:tcBorders>
            <w:tcW w:w="72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bottom w:val="single" w:color="auto" w:sz="4" w:space="0"/>
            </w:tcBorders>
            <w:tcW w:w="6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942"/>
        </w:trPr>
        <w:tc>
          <w:tcPr>
            <w:gridSpan w:val="2"/>
            <w:tcBorders>
              <w:bottom w:val="single" w:color="auto" w:sz="4" w:space="0"/>
            </w:tcBorders>
            <w:tcW w:w="2487" w:type="dxa"/>
            <w:vAlign w:val="center"/>
            <w:textDirection w:val="lrTb"/>
            <w:noWrap w:val="false"/>
          </w:tcPr>
          <w:p>
            <w:pPr>
              <w:jc w:val="center"/>
              <w:rPr>
                <w:rFonts w:hint="eastAsia" w:ascii="宋体" w:hAnsi="宋体" w:eastAsia="宋体" w:cs="宋体"/>
                <w:color w:val="102040"/>
                <w:spacing w:val="-2"/>
                <w:sz w:val="24"/>
                <w:szCs w:val="24"/>
              </w:rPr>
            </w:pPr>
            <w:r>
              <w:rPr>
                <w:rFonts w:hint="eastAsia" w:ascii="宋体" w:hAnsi="宋体" w:eastAsia="宋体" w:cs="宋体"/>
                <w:color w:val="203040"/>
                <w:spacing w:val="2"/>
                <w:sz w:val="24"/>
                <w:szCs w:val="24"/>
              </w:rPr>
              <w:t xml:space="preserve">图书馆楼</w:t>
            </w:r>
            <w:r>
              <w:rPr>
                <w:rFonts w:hint="eastAsia" w:ascii="宋体" w:hAnsi="宋体" w:eastAsia="宋体" w:cs="宋体"/>
                <w:color w:val="203040"/>
                <w:spacing w:val="2"/>
                <w:sz w:val="24"/>
                <w:szCs w:val="24"/>
              </w:rPr>
              <w:br/>
            </w:r>
            <w:r>
              <w:rPr>
                <w:rFonts w:hint="eastAsia" w:ascii="宋体" w:hAnsi="宋体" w:eastAsia="宋体" w:cs="宋体"/>
                <w:color w:val="203040"/>
                <w:spacing w:val="2"/>
                <w:sz w:val="24"/>
                <w:szCs w:val="24"/>
              </w:rPr>
              <w:t xml:space="preserve">（1岗位）</w:t>
            </w:r>
            <w:r/>
          </w:p>
        </w:tc>
        <w:tc>
          <w:tcPr>
            <w:tcBorders>
              <w:bottom w:val="single" w:color="auto" w:sz="4" w:space="0"/>
            </w:tcBorders>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，每班次1岗。负责图书馆区域治安防控、出入人员管理，劝阻违规行为，处置突发治安事件，做好值班交接及台账记录。</w:t>
            </w:r>
            <w:r/>
          </w:p>
        </w:tc>
        <w:tc>
          <w:tcPr>
            <w:shd w:val="clear" w:color="auto" w:fill="auto"/>
            <w:tcBorders>
              <w:bottom w:val="single" w:color="auto" w:sz="4" w:space="0"/>
            </w:tcBorders>
            <w:tcW w:w="72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Borders>
              <w:bottom w:val="single" w:color="auto" w:sz="4" w:space="0"/>
            </w:tcBorders>
            <w:tcW w:w="6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957"/>
        </w:trPr>
        <w:tc>
          <w:tcPr>
            <w:gridSpan w:val="2"/>
            <w:tcBorders>
              <w:bottom w:val="single" w:color="auto" w:sz="4" w:space="0"/>
            </w:tcBorders>
            <w:tcW w:w="248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体育馆</w:t>
            </w:r>
            <w:r/>
          </w:p>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（1岗位）</w:t>
            </w:r>
            <w:r/>
          </w:p>
        </w:tc>
        <w:tc>
          <w:tcPr>
            <w:tcBorders>
              <w:bottom w:val="single" w:color="auto" w:sz="4" w:space="0"/>
            </w:tcBorders>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，每班次1岗，负责体育馆区域治安管理、出入人员及活动秩序维护，协助做好赛事及活动期间的安保工作，做好值班记录及应急处置准备。</w:t>
            </w:r>
            <w:r/>
          </w:p>
        </w:tc>
        <w:tc>
          <w:tcPr>
            <w:shd w:val="clear" w:color="auto" w:fill="auto"/>
            <w:tcBorders>
              <w:bottom w:val="single" w:color="auto" w:sz="4" w:space="0"/>
            </w:tcBorders>
            <w:tcW w:w="72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Borders>
              <w:bottom w:val="single" w:color="auto" w:sz="4" w:space="0"/>
            </w:tcBorders>
            <w:tcW w:w="6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610"/>
        </w:trPr>
        <w:tc>
          <w:tcPr>
            <w:gridSpan w:val="2"/>
            <w:tcW w:w="24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人员数量</w:t>
            </w:r>
            <w:r/>
          </w:p>
        </w:tc>
        <w:tc>
          <w:tcPr>
            <w:gridSpan w:val="3"/>
            <w:tcW w:w="69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专职保安员总人数为46人</w:t>
            </w:r>
            <w:r/>
          </w:p>
        </w:tc>
      </w:tr>
      <w:tr>
        <w:trPr>
          <w:jc w:val="center"/>
          <w:trHeight w:val="610"/>
        </w:trPr>
        <w:tc>
          <w:tcPr>
            <w:gridSpan w:val="5"/>
            <w:tcW w:w="9422" w:type="dxa"/>
            <w:vAlign w:val="center"/>
            <w:textDirection w:val="lrTb"/>
            <w:noWrap w:val="false"/>
          </w:tcPr>
          <w:p>
            <w:pPr>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1.全年总工作时长为140160小时，其中专职保安标准工时91264小时，辅助工时48896小时。</w:t>
            </w:r>
            <w:r/>
          </w:p>
          <w:p>
            <w:pPr>
              <w:jc w:val="left"/>
              <w:rPr>
                <w:rFonts w:hint="eastAsia" w:ascii="宋体" w:hAnsi="宋体" w:eastAsia="宋体" w:cs="宋体"/>
                <w:b/>
                <w:bCs/>
                <w:sz w:val="24"/>
                <w:szCs w:val="24"/>
              </w:rPr>
            </w:pPr>
            <w:r>
              <w:rPr>
                <w:rFonts w:hint="eastAsia" w:ascii="宋体" w:hAnsi="宋体" w:cs="宋体"/>
                <w:b/>
                <w:bCs/>
                <w:sz w:val="24"/>
                <w:szCs w:val="24"/>
                <w:highlight w:val="none"/>
              </w:rPr>
              <w:t xml:space="preserve">2.投标人需结合学校的岗位设置与工作要求合理安排人员，并应根据项目需求、预算金额以及自身人员配置方案等，自行测算投标报价。</w:t>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b/>
          <w:bCs/>
          <w:sz w:val="24"/>
          <w:szCs w:val="24"/>
        </w:rPr>
      </w:pPr>
      <w:r>
        <w:rPr>
          <w:rFonts w:hint="eastAsia" w:ascii="宋体" w:hAnsi="宋体" w:eastAsia="宋体" w:cs="宋体"/>
          <w:b/>
          <w:sz w:val="24"/>
          <w:szCs w:val="24"/>
        </w:rPr>
        <w:t xml:space="preserve">（2）扬州职业技术大学高邮湖校区保安服务项目</w:t>
      </w:r>
      <w:r/>
    </w:p>
    <w:tbl>
      <w:tblPr>
        <w:tblStyle w:val="769"/>
        <w:tblW w:w="93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3"/>
        <w:gridCol w:w="5585"/>
        <w:gridCol w:w="748"/>
        <w:gridCol w:w="557"/>
      </w:tblGrid>
      <w:tr>
        <w:trPr>
          <w:jc w:val="center"/>
          <w:trHeight w:val="396"/>
        </w:trPr>
        <w:tc>
          <w:tcPr>
            <w:tcW w:w="246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岗 位</w:t>
            </w:r>
            <w:r/>
          </w:p>
        </w:tc>
        <w:tc>
          <w:tcPr>
            <w:tcW w:w="558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工作要求</w:t>
            </w:r>
            <w:r/>
          </w:p>
        </w:tc>
        <w:tc>
          <w:tcPr>
            <w:gridSpan w:val="2"/>
            <w:tcW w:w="13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专职保安</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人数</w:t>
            </w:r>
            <w:r/>
          </w:p>
        </w:tc>
      </w:tr>
      <w:tr>
        <w:trPr>
          <w:jc w:val="center"/>
          <w:trHeight w:val="737"/>
        </w:trPr>
        <w:tc>
          <w:tcPr>
            <w:tcBorders>
              <w:bottom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东门门卫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(3岗位)</w:t>
            </w:r>
            <w:r/>
          </w:p>
        </w:tc>
        <w:tc>
          <w:tcPr>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w:t>
            </w:r>
            <w:r>
              <w:rPr>
                <w:rFonts w:hint="eastAsia" w:ascii="宋体" w:hAnsi="宋体" w:cs="宋体"/>
                <w:sz w:val="24"/>
                <w:szCs w:val="24"/>
                <w:highlight w:val="none"/>
              </w:rPr>
              <w:t xml:space="preserve">分</w:t>
            </w:r>
            <w:r>
              <w:rPr>
                <w:rFonts w:hint="eastAsia" w:ascii="宋体" w:hAnsi="宋体" w:cs="宋体"/>
                <w:spacing w:val="-20"/>
                <w:sz w:val="24"/>
                <w:szCs w:val="24"/>
                <w:highlight w:val="none"/>
              </w:rPr>
              <w:t xml:space="preserve">为</w:t>
            </w:r>
            <w:r>
              <w:rPr>
                <w:rFonts w:hint="eastAsia" w:ascii="宋体" w:hAnsi="宋体" w:cs="宋体"/>
                <w:sz w:val="24"/>
                <w:szCs w:val="24"/>
                <w:highlight w:val="none"/>
              </w:rPr>
              <w:t xml:space="preserve">三</w:t>
            </w:r>
            <w:r>
              <w:rPr>
                <w:rFonts w:hint="eastAsia" w:ascii="宋体" w:hAnsi="宋体" w:cs="宋体"/>
                <w:spacing w:val="-20"/>
                <w:sz w:val="24"/>
                <w:szCs w:val="24"/>
                <w:highlight w:val="none"/>
              </w:rPr>
              <w:t xml:space="preserve">班次</w:t>
            </w:r>
            <w:r>
              <w:rPr>
                <w:rFonts w:hint="eastAsia" w:ascii="宋体" w:hAnsi="宋体" w:cs="宋体"/>
                <w:sz w:val="24"/>
                <w:szCs w:val="24"/>
                <w:highlight w:val="none"/>
              </w:rPr>
              <w:t xml:space="preserve">，每班次3岗</w:t>
            </w:r>
            <w:r>
              <w:rPr>
                <w:rFonts w:hint="eastAsia" w:ascii="宋体" w:hAnsi="宋体" w:eastAsia="宋体" w:cs="宋体"/>
                <w:sz w:val="24"/>
                <w:szCs w:val="24"/>
              </w:rPr>
              <w:t xml:space="preserve">，分别为机动车辆管理1人，行人和非机动车管理1人，应急1人。</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55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27</w:t>
            </w:r>
            <w:r/>
          </w:p>
        </w:tc>
      </w:tr>
      <w:tr>
        <w:trPr>
          <w:jc w:val="center"/>
          <w:trHeight w:val="737"/>
        </w:trPr>
        <w:tc>
          <w:tcPr>
            <w:tcBorders>
              <w:top w:val="single" w:color="auto" w:sz="4" w:space="0"/>
              <w:bottom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北门门卫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(2岗位)</w:t>
            </w:r>
            <w:r/>
          </w:p>
        </w:tc>
        <w:tc>
          <w:tcPr>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w:t>
            </w:r>
            <w:r>
              <w:rPr>
                <w:rFonts w:hint="eastAsia" w:ascii="宋体" w:hAnsi="宋体" w:cs="宋体"/>
                <w:sz w:val="24"/>
                <w:szCs w:val="24"/>
                <w:highlight w:val="none"/>
              </w:rPr>
              <w:t xml:space="preserve">分</w:t>
            </w:r>
            <w:r>
              <w:rPr>
                <w:rFonts w:hint="eastAsia" w:ascii="宋体" w:hAnsi="宋体" w:cs="宋体"/>
                <w:spacing w:val="-20"/>
                <w:sz w:val="24"/>
                <w:szCs w:val="24"/>
                <w:highlight w:val="none"/>
              </w:rPr>
              <w:t xml:space="preserve">为</w:t>
            </w:r>
            <w:r>
              <w:rPr>
                <w:rFonts w:hint="eastAsia" w:ascii="宋体" w:hAnsi="宋体" w:cs="宋体"/>
                <w:sz w:val="24"/>
                <w:szCs w:val="24"/>
                <w:highlight w:val="none"/>
              </w:rPr>
              <w:t xml:space="preserve">三</w:t>
            </w:r>
            <w:r>
              <w:rPr>
                <w:rFonts w:hint="eastAsia" w:ascii="宋体" w:hAnsi="宋体" w:cs="宋体"/>
                <w:spacing w:val="-20"/>
                <w:sz w:val="24"/>
                <w:szCs w:val="24"/>
                <w:highlight w:val="none"/>
              </w:rPr>
              <w:t xml:space="preserve">班次</w:t>
            </w:r>
            <w:r>
              <w:rPr>
                <w:rFonts w:hint="eastAsia" w:ascii="宋体" w:hAnsi="宋体" w:cs="宋体"/>
                <w:sz w:val="24"/>
                <w:szCs w:val="24"/>
                <w:highlight w:val="none"/>
              </w:rPr>
              <w:t xml:space="preserve">，每班次2岗</w:t>
            </w:r>
            <w:r>
              <w:rPr>
                <w:rFonts w:hint="eastAsia" w:ascii="宋体" w:hAnsi="宋体" w:eastAsia="宋体" w:cs="宋体"/>
                <w:sz w:val="24"/>
                <w:szCs w:val="24"/>
              </w:rPr>
              <w:t xml:space="preserve">，分别为行人和非机动车管理1人，应急1人。</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55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37"/>
        </w:trPr>
        <w:tc>
          <w:tcPr>
            <w:tcBorders>
              <w:top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校园巡逻</w:t>
            </w:r>
            <w:r/>
          </w:p>
          <w:p>
            <w:pPr>
              <w:jc w:val="center"/>
              <w:rPr>
                <w:rFonts w:hint="eastAsia" w:ascii="宋体" w:hAnsi="宋体" w:eastAsia="宋体" w:cs="宋体"/>
                <w:sz w:val="24"/>
                <w:szCs w:val="24"/>
              </w:rPr>
            </w:pPr>
            <w:r>
              <w:rPr>
                <w:rFonts w:hint="eastAsia" w:ascii="宋体" w:hAnsi="宋体" w:eastAsia="宋体" w:cs="宋体"/>
                <w:sz w:val="24"/>
                <w:szCs w:val="24"/>
              </w:rPr>
              <w:t xml:space="preserve">(4岗位)</w:t>
            </w:r>
            <w:r/>
          </w:p>
        </w:tc>
        <w:tc>
          <w:tcPr>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24小时巡查、车辆管理、楼宇管理、校园治安管理等，夜间应急车辆备勤，</w:t>
            </w:r>
            <w:r>
              <w:rPr>
                <w:rFonts w:hint="eastAsia" w:ascii="宋体" w:hAnsi="宋体" w:eastAsia="宋体" w:cs="宋体"/>
                <w:sz w:val="24"/>
                <w:szCs w:val="24"/>
              </w:rPr>
              <w:t xml:space="preserve">分为</w:t>
            </w:r>
            <w:r>
              <w:rPr>
                <w:rFonts w:hint="eastAsia" w:ascii="宋体" w:hAnsi="宋体" w:eastAsia="宋体" w:cs="宋体"/>
                <w:sz w:val="24"/>
                <w:szCs w:val="24"/>
              </w:rPr>
              <w:t xml:space="preserve">三班次</w:t>
            </w:r>
            <w:r>
              <w:rPr>
                <w:rFonts w:hint="eastAsia" w:ascii="宋体" w:hAnsi="宋体" w:eastAsia="宋体" w:cs="宋体"/>
                <w:sz w:val="24"/>
                <w:szCs w:val="24"/>
              </w:rPr>
              <w:t xml:space="preserve">，</w:t>
            </w:r>
            <w:r>
              <w:rPr>
                <w:rFonts w:hint="eastAsia" w:ascii="宋体" w:hAnsi="宋体" w:eastAsia="宋体" w:cs="宋体"/>
                <w:sz w:val="24"/>
                <w:szCs w:val="24"/>
              </w:rPr>
              <w:t xml:space="preserve">每班</w:t>
            </w:r>
            <w:r>
              <w:rPr>
                <w:rFonts w:hint="eastAsia" w:ascii="宋体" w:hAnsi="宋体" w:eastAsia="宋体" w:cs="宋体"/>
                <w:sz w:val="24"/>
                <w:szCs w:val="24"/>
              </w:rPr>
              <w:t xml:space="preserve">次</w:t>
            </w:r>
            <w:r>
              <w:rPr>
                <w:rFonts w:hint="eastAsia" w:ascii="宋体" w:hAnsi="宋体" w:eastAsia="宋体" w:cs="宋体"/>
                <w:sz w:val="24"/>
                <w:szCs w:val="24"/>
              </w:rPr>
              <w:t xml:space="preserve">4</w:t>
            </w:r>
            <w:r>
              <w:rPr>
                <w:rFonts w:hint="eastAsia" w:ascii="宋体" w:hAnsi="宋体" w:eastAsia="宋体" w:cs="宋体"/>
                <w:sz w:val="24"/>
                <w:szCs w:val="24"/>
              </w:rPr>
              <w:t xml:space="preserve">岗</w:t>
            </w:r>
            <w:r>
              <w:rPr>
                <w:rFonts w:hint="eastAsia" w:ascii="宋体" w:hAnsi="宋体" w:eastAsia="宋体" w:cs="宋体"/>
                <w:sz w:val="24"/>
                <w:szCs w:val="24"/>
              </w:rPr>
              <w:t xml:space="preserve">。</w:t>
            </w:r>
            <w:r>
              <w:rPr>
                <w:rFonts w:hint="eastAsia" w:ascii="宋体" w:hAnsi="宋体" w:cs="宋体"/>
                <w:color w:val="000000" w:themeColor="text1"/>
                <w:sz w:val="24"/>
                <w:szCs w:val="24"/>
                <w:highlight w:val="none"/>
                <w14:textFill>
                  <w14:solidFill>
                    <w14:schemeClr w14:val="tx1"/>
                  </w14:solidFill>
                </w14:textFill>
              </w:rPr>
              <w:t xml:space="preserve">需要</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人持有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场（厂）内专用机动车辆作业（N2）</w:t>
            </w:r>
            <w:r>
              <w:rPr>
                <w:rFonts w:hint="eastAsia" w:ascii="宋体" w:hAnsi="宋体" w:cs="宋体"/>
                <w:color w:val="000000" w:themeColor="text1"/>
                <w:sz w:val="24"/>
                <w:szCs w:val="24"/>
                <w:highlight w:val="none"/>
                <w14:textFill>
                  <w14:solidFill>
                    <w14:schemeClr w14:val="tx1"/>
                  </w14:solidFill>
                </w14:textFill>
              </w:rPr>
              <w:t xml:space="preserve">驾驶证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持有救护员证。</w:t>
            </w:r>
            <w:r/>
          </w:p>
        </w:tc>
        <w:tc>
          <w:tcPr>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W w:w="55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309"/>
        </w:trPr>
        <w:tc>
          <w:tcPr>
            <w:tcBorders>
              <w:bottom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安消监控值班</w:t>
            </w:r>
            <w:r/>
          </w:p>
          <w:p>
            <w:pPr>
              <w:jc w:val="center"/>
              <w:rPr>
                <w:rFonts w:hint="eastAsia" w:ascii="宋体" w:hAnsi="宋体" w:eastAsia="宋体" w:cs="宋体"/>
                <w:sz w:val="24"/>
                <w:szCs w:val="24"/>
              </w:rPr>
            </w:pPr>
            <w:r>
              <w:rPr>
                <w:rFonts w:hint="eastAsia" w:ascii="宋体" w:hAnsi="宋体" w:eastAsia="宋体" w:cs="宋体"/>
                <w:sz w:val="24"/>
                <w:szCs w:val="24"/>
              </w:rPr>
              <w:t xml:space="preserve">(2岗位)</w:t>
            </w:r>
            <w:r/>
          </w:p>
        </w:tc>
        <w:tc>
          <w:tcPr>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cs="宋体"/>
                <w:sz w:val="24"/>
                <w:szCs w:val="24"/>
              </w:rPr>
              <w:t xml:space="preserve">24小时值班，</w:t>
            </w:r>
            <w:r>
              <w:rPr>
                <w:rFonts w:hint="eastAsia" w:ascii="宋体" w:hAnsi="宋体" w:cs="宋体"/>
                <w:sz w:val="24"/>
                <w:szCs w:val="24"/>
              </w:rPr>
              <w:t xml:space="preserve">分为</w:t>
            </w:r>
            <w:r>
              <w:rPr>
                <w:rFonts w:hint="eastAsia" w:ascii="宋体" w:hAnsi="宋体" w:cs="宋体"/>
                <w:sz w:val="24"/>
                <w:szCs w:val="24"/>
              </w:rPr>
              <w:t xml:space="preserve">三班次</w:t>
            </w:r>
            <w:r>
              <w:rPr>
                <w:rFonts w:hint="eastAsia" w:ascii="宋体" w:hAnsi="宋体" w:cs="宋体"/>
                <w:sz w:val="24"/>
                <w:szCs w:val="24"/>
              </w:rPr>
              <w:t xml:space="preserve">，</w:t>
            </w:r>
            <w:r>
              <w:rPr>
                <w:rFonts w:hint="eastAsia" w:ascii="宋体" w:hAnsi="宋体" w:cs="宋体"/>
                <w:sz w:val="24"/>
                <w:szCs w:val="24"/>
              </w:rPr>
              <w:t xml:space="preserve">每班次2岗，年龄50周岁以下，</w:t>
            </w:r>
            <w:r>
              <w:rPr>
                <w:rFonts w:hint="eastAsia" w:ascii="宋体" w:hAnsi="宋体" w:cs="宋体"/>
                <w:i/>
                <w:iCs/>
                <w:sz w:val="24"/>
                <w:szCs w:val="24"/>
                <w:highlight w:val="none"/>
                <w:u w:val="single"/>
              </w:rPr>
              <w:t xml:space="preserve">具有</w:t>
            </w:r>
            <w:r>
              <w:rPr>
                <w:rFonts w:hint="eastAsia" w:ascii="宋体" w:hAnsi="宋体" w:cs="宋体"/>
                <w:i/>
                <w:iCs/>
                <w:color w:val="000000" w:themeColor="text1"/>
                <w:sz w:val="24"/>
                <w:szCs w:val="24"/>
                <w:highlight w:val="none"/>
                <w:u w:val="single"/>
                <w14:textFill>
                  <w14:solidFill>
                    <w14:schemeClr w14:val="tx1"/>
                  </w14:solidFill>
                </w14:textFill>
              </w:rPr>
              <w:t xml:space="preserve">中级（四级）及以上消防设施操作员（监控操作方向）证书或中级及以上建（构）筑物消防员证书</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具有高校同岗工作经验，监控值班室消防值班，资料整理、归档和汇总。</w:t>
            </w:r>
            <w:r/>
          </w:p>
        </w:tc>
        <w:tc>
          <w:tcPr>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5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r>
      <w:tr>
        <w:trPr>
          <w:jc w:val="center"/>
          <w:trHeight w:val="1137"/>
        </w:trPr>
        <w:tc>
          <w:tcPr>
            <w:shd w:val="clear" w:color="auto" w:fill="auto"/>
            <w:tcBorders>
              <w:bottom w:val="single" w:color="auto" w:sz="4" w:space="0"/>
            </w:tcBorders>
            <w:tcW w:w="2463" w:type="dxa"/>
            <w:vAlign w:val="center"/>
            <w:textDirection w:val="lrTb"/>
            <w:noWrap w:val="false"/>
          </w:tcPr>
          <w:p>
            <w:pPr>
              <w:jc w:val="center"/>
              <w:rPr>
                <w:rFonts w:hint="eastAsia" w:ascii="宋体" w:hAnsi="宋体" w:eastAsia="宋体" w:cs="宋体"/>
                <w:color w:val="102040"/>
                <w:spacing w:val="-2"/>
                <w:sz w:val="24"/>
                <w:szCs w:val="24"/>
              </w:rPr>
            </w:pPr>
            <w:r>
              <w:rPr>
                <w:rFonts w:hint="eastAsia" w:ascii="宋体" w:hAnsi="宋体" w:eastAsia="宋体" w:cs="宋体"/>
                <w:color w:val="203040"/>
                <w:spacing w:val="2"/>
                <w:sz w:val="24"/>
                <w:szCs w:val="24"/>
              </w:rPr>
              <w:t xml:space="preserve">图书馆楼</w:t>
            </w:r>
            <w:r>
              <w:rPr>
                <w:rFonts w:hint="eastAsia" w:ascii="宋体" w:hAnsi="宋体" w:eastAsia="宋体" w:cs="宋体"/>
                <w:color w:val="203040"/>
                <w:spacing w:val="2"/>
                <w:sz w:val="24"/>
                <w:szCs w:val="24"/>
              </w:rPr>
              <w:br/>
            </w:r>
            <w:r>
              <w:rPr>
                <w:rFonts w:hint="eastAsia" w:ascii="宋体" w:hAnsi="宋体" w:eastAsia="宋体" w:cs="宋体"/>
                <w:color w:val="203040"/>
                <w:spacing w:val="2"/>
                <w:sz w:val="24"/>
                <w:szCs w:val="24"/>
              </w:rPr>
              <w:t xml:space="preserve">（1岗位）</w:t>
            </w:r>
            <w:r/>
          </w:p>
        </w:tc>
        <w:tc>
          <w:tcPr>
            <w:shd w:val="clear" w:color="auto" w:fill="auto"/>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，每班次1岗。负责图书馆区域治安防控、出入人员管理，劝阻违规行为，处置突发治安事件，做好值班交接及台账记录。</w:t>
            </w:r>
            <w:r/>
          </w:p>
        </w:tc>
        <w:tc>
          <w:tcPr>
            <w:shd w:val="clear" w:color="auto" w:fill="auto"/>
            <w:tcW w:w="7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55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1152"/>
        </w:trPr>
        <w:tc>
          <w:tcPr>
            <w:shd w:val="clear" w:color="auto" w:fill="auto"/>
            <w:tcBorders>
              <w:bottom w:val="single" w:color="auto" w:sz="4" w:space="0"/>
            </w:tcBorders>
            <w:tcW w:w="246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体育馆</w:t>
            </w:r>
            <w:r/>
          </w:p>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（1岗位）</w:t>
            </w:r>
            <w:r/>
          </w:p>
        </w:tc>
        <w:tc>
          <w:tcPr>
            <w:shd w:val="clear" w:color="auto" w:fill="auto"/>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，每班次1岗，负责体育馆区域治安管理、出入人员及活动秩序维护，协助做好赛事及活动期间的安保工作，做好值班记录及应急处置准备。</w:t>
            </w:r>
            <w:r/>
          </w:p>
        </w:tc>
        <w:tc>
          <w:tcPr>
            <w:shd w:val="clear" w:color="auto" w:fill="auto"/>
            <w:tcW w:w="7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55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1150"/>
        </w:trPr>
        <w:tc>
          <w:tcPr>
            <w:tcBorders>
              <w:top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校园交通设施数据中心系统操作员</w:t>
            </w:r>
            <w:r/>
          </w:p>
          <w:p>
            <w:pPr>
              <w:jc w:val="center"/>
              <w:rPr>
                <w:rFonts w:hint="eastAsia" w:ascii="宋体" w:hAnsi="宋体" w:eastAsia="宋体" w:cs="宋体"/>
                <w:sz w:val="24"/>
                <w:szCs w:val="24"/>
              </w:rPr>
            </w:pPr>
            <w:r>
              <w:rPr>
                <w:rFonts w:hint="eastAsia" w:ascii="宋体" w:hAnsi="宋体" w:eastAsia="宋体" w:cs="宋体"/>
                <w:sz w:val="24"/>
                <w:szCs w:val="24"/>
              </w:rPr>
              <w:t xml:space="preserve">(1岗位)</w:t>
            </w:r>
            <w:r/>
          </w:p>
        </w:tc>
        <w:tc>
          <w:tcPr>
            <w:tcBorders>
              <w:top w:val="single" w:color="auto" w:sz="4" w:space="0"/>
            </w:tcBorders>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8小时工作，每班1人，40周岁及以下，大专以上学历，道闸系统维护管理，资料积累、归档和系统上报，具备较强的解说能力。</w:t>
            </w:r>
            <w:r/>
          </w:p>
        </w:tc>
        <w:tc>
          <w:tcPr>
            <w:tcBorders>
              <w:top w:val="single" w:color="auto" w:sz="4" w:space="0"/>
            </w:tcBorders>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700"/>
        </w:trPr>
        <w:tc>
          <w:tcPr>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人员数量</w:t>
            </w:r>
            <w:r/>
          </w:p>
        </w:tc>
        <w:tc>
          <w:tcPr>
            <w:gridSpan w:val="3"/>
            <w:tcW w:w="68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专职保安员总人数为38人</w:t>
            </w:r>
            <w:r/>
          </w:p>
        </w:tc>
      </w:tr>
      <w:tr>
        <w:trPr>
          <w:jc w:val="center"/>
          <w:trHeight w:val="700"/>
        </w:trPr>
        <w:tc>
          <w:tcPr>
            <w:gridSpan w:val="4"/>
            <w:tcW w:w="9353" w:type="dxa"/>
            <w:vAlign w:val="center"/>
            <w:textDirection w:val="lrTb"/>
            <w:noWrap w:val="false"/>
          </w:tcPr>
          <w:p>
            <w:pPr>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1.</w:t>
            </w:r>
            <w:bookmarkStart w:id="3" w:name="OLE_LINK2"/>
            <w:r>
              <w:rPr>
                <w:rFonts w:hint="eastAsia" w:ascii="宋体" w:hAnsi="宋体" w:cs="宋体"/>
                <w:b/>
                <w:bCs/>
                <w:sz w:val="24"/>
                <w:szCs w:val="24"/>
                <w:highlight w:val="none"/>
              </w:rPr>
              <w:t xml:space="preserve">全年总工作时长为110960小时，其中专职保安标准工时75392小时，辅助工时35568小时。</w:t>
            </w:r>
            <w:bookmarkEnd w:id="3"/>
            <w:r/>
            <w:r/>
          </w:p>
          <w:p>
            <w:pPr>
              <w:jc w:val="left"/>
              <w:rPr>
                <w:rFonts w:hint="eastAsia" w:ascii="宋体" w:hAnsi="宋体" w:eastAsia="宋体" w:cs="宋体"/>
                <w:b/>
                <w:bCs/>
                <w:sz w:val="24"/>
                <w:szCs w:val="24"/>
              </w:rPr>
            </w:pPr>
            <w:r>
              <w:rPr>
                <w:rFonts w:hint="eastAsia" w:ascii="宋体" w:hAnsi="宋体" w:cs="宋体"/>
                <w:b/>
                <w:bCs/>
                <w:sz w:val="24"/>
                <w:szCs w:val="24"/>
                <w:highlight w:val="none"/>
              </w:rPr>
              <w:t xml:space="preserve">2.投标人需结合学校的岗位设置与工作要求合理安排人员，并应根据项目需求、预算金额以及自身人员配置方案等，自行测算投标报价。</w:t>
            </w:r>
            <w:r/>
          </w:p>
        </w:tc>
      </w:tr>
    </w:tbl>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三、人员配置要求</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 除上述要求外，所有安保人员应具备初中及以上文化程度，能够熟练进行简单的计算机操作，拥有过硬的身体素质和扎实的基本技能，具备较强的工作责任心。同时，需配备一定数量的退伍军人。</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2.中标人应根据采购人的实际需求，提供相关持证保安人员，这些证书包括保安员资格证书、高级（三级）及以上保安员证书、三级及以上保卫管理员证书、</w:t>
      </w:r>
      <w:r>
        <w:rPr>
          <w:rFonts w:hint="eastAsia" w:ascii="宋体" w:hAnsi="宋体" w:cs="宋体"/>
          <w:sz w:val="24"/>
          <w:szCs w:val="24"/>
          <w:lang w:val="en-US" w:eastAsia="zh-CN"/>
        </w:rPr>
        <w:t xml:space="preserve">退役（伍）军人证、</w:t>
      </w:r>
      <w:r>
        <w:rPr>
          <w:rFonts w:hint="eastAsia" w:ascii="宋体" w:hAnsi="宋体" w:eastAsia="宋体" w:cs="宋体"/>
          <w:sz w:val="24"/>
          <w:szCs w:val="24"/>
        </w:rPr>
        <w:t xml:space="preserve">中级（四级）及以上消防设施操作员（监控操作方向）证书或中级及以上建（构）筑物消防员证书、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场（厂）内专用机动车辆作业（N2）</w:t>
      </w:r>
      <w:r>
        <w:rPr>
          <w:rFonts w:hint="eastAsia" w:ascii="宋体" w:hAnsi="宋体" w:cs="宋体"/>
          <w:color w:val="000000" w:themeColor="text1"/>
          <w:sz w:val="24"/>
          <w:szCs w:val="24"/>
          <w:highlight w:val="none"/>
          <w14:textFill>
            <w14:solidFill>
              <w14:schemeClr w14:val="tx1"/>
            </w14:solidFill>
          </w14:textFill>
        </w:rPr>
        <w:t xml:space="preserve">驾驶证</w:t>
      </w:r>
      <w:r>
        <w:rPr>
          <w:rFonts w:hint="eastAsia" w:ascii="宋体" w:hAnsi="宋体" w:cs="宋体"/>
          <w:sz w:val="24"/>
          <w:szCs w:val="24"/>
          <w:lang w:eastAsia="zh-CN"/>
        </w:rPr>
        <w:t xml:space="preserve">、</w:t>
      </w:r>
      <w:r>
        <w:rPr>
          <w:rFonts w:hint="eastAsia" w:ascii="宋体" w:hAnsi="宋体" w:cs="宋体"/>
          <w:color w:val="000000" w:themeColor="text1"/>
          <w:sz w:val="24"/>
          <w:szCs w:val="24"/>
          <w:highlight w:val="none"/>
          <w14:textFill>
            <w14:solidFill>
              <w14:schemeClr w14:val="tx1"/>
            </w14:solidFill>
          </w14:textFill>
        </w:rPr>
        <w:t xml:space="preserve">救护员证</w:t>
      </w:r>
      <w:r>
        <w:rPr>
          <w:rFonts w:hint="eastAsia" w:ascii="宋体" w:hAnsi="宋体" w:eastAsia="宋体" w:cs="宋体"/>
          <w:sz w:val="24"/>
          <w:szCs w:val="24"/>
        </w:rPr>
        <w:t xml:space="preserve">。所有保安人员需接受专业的反恐防爆培训，掌握相关的处置技能和知识，具备在紧急情况下迅速采取行动的能力，以保障校园的安全与稳定。</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3.在委托管理期间，中标人负责受聘人员的培训，劳动人事管理，并承担受聘人员的工资、加班费、奖金、</w:t>
      </w:r>
      <w:r>
        <w:rPr>
          <w:rFonts w:hint="eastAsia" w:ascii="宋体" w:hAnsi="宋体" w:cs="宋体"/>
          <w:sz w:val="24"/>
          <w:szCs w:val="24"/>
          <w:lang w:val="en-US" w:eastAsia="zh-CN"/>
        </w:rPr>
        <w:t xml:space="preserve">高温补贴、</w:t>
      </w:r>
      <w:r>
        <w:rPr>
          <w:rFonts w:hint="eastAsia" w:ascii="宋体" w:hAnsi="宋体" w:eastAsia="宋体" w:cs="宋体"/>
          <w:sz w:val="24"/>
          <w:szCs w:val="24"/>
        </w:rPr>
        <w:t xml:space="preserve">福利及社会保险</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医疗保险、住房公积金、意外伤害保险</w:t>
      </w:r>
      <w:r>
        <w:rPr>
          <w:rFonts w:hint="eastAsia" w:ascii="宋体" w:hAnsi="宋体" w:eastAsia="宋体" w:cs="宋体"/>
          <w:sz w:val="24"/>
          <w:szCs w:val="24"/>
        </w:rPr>
        <w:t xml:space="preserve">待遇。中标人与所聘工作人员若发生任何劳动纠纷与采购人无关；中标人指派人员在采购人处工作期间发生工伤或其他人身伤害的，由中标人或责任方承担责任。</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4.安保人员造成他人人身伤害和财产损失，依法应予赔偿的，由中标人或责任人承担责任，与采购人无关。</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5.委托管理期间无论学校放假与否，中标人均需安排每日正常的安保值班，中标人工作期间必须按要求配齐人员，不得少人或吃空饷。如检查发现少人吃空饷，采购人有权终止合同。</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6.中标人应加强对安保队员的法纪教育和业务培训，每月分批次集中理论学习和技能培训每人不少于4小时，并列入安保工作考核。</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7.安保人员要统一着规范的保安制服，饮食自理，学校可协助解决队员在校内食堂就餐，所有服装及饮食费用由中标人自行承担。</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8.校园内发生失窃等财产损失，视情况和职责承担相应经济赔偿。</w:t>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四、服务单位基本要求</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1.投标人应认真研究高校安保管理特殊性，有先进的管理理念和类似服务经验，具有良好的商业信誉和财务状况，制度健全，依法纳税，合法经营，在以往经营活动中没有违规或违约行为。</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2.具有履行合同所必需的设备和专业技术能力（提供具备履行合同所必需的专业技术证书）。</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3.符合国家法律、法规规定的其他条件。</w:t>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五、服务工作内容及要求</w:t>
      </w:r>
      <w:r/>
    </w:p>
    <w:p>
      <w:pPr>
        <w:pStyle w:val="1055"/>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（一）工作要求</w:t>
      </w:r>
      <w:r/>
    </w:p>
    <w:p>
      <w:pPr>
        <w:ind w:firstLine="420"/>
        <w:spacing w:line="44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1.保安员执行勤务时，须着统一的保安服装，佩戴统一的保安标志（</w:t>
      </w:r>
      <w:r>
        <w:rPr>
          <w:rFonts w:hint="eastAsia" w:ascii="宋体" w:hAnsi="宋体" w:eastAsia="宋体" w:cs="宋体"/>
          <w:bCs/>
          <w:sz w:val="24"/>
          <w:szCs w:val="24"/>
        </w:rPr>
        <w:t xml:space="preserve">保安服装、保安标志需经采购人确认</w:t>
      </w:r>
      <w:r>
        <w:rPr>
          <w:rFonts w:hint="eastAsia" w:ascii="宋体" w:hAnsi="宋体" w:eastAsia="宋体" w:cs="宋体"/>
          <w:bCs/>
          <w:sz w:val="24"/>
          <w:szCs w:val="24"/>
          <w:lang w:val="zh-CN"/>
        </w:rPr>
        <w:t xml:space="preserve">）。配备对讲装置和其他必备的安全护卫器械，装备佩戴规范，仪容仪表规范整齐，值班时立姿挺直，不倚不靠。</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2.装备配备及管理</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每个校区投标人必须配备专业的安保设备（投标人需提供设备清单</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扫描</w:t>
      </w:r>
      <w:r>
        <w:rPr>
          <w:rFonts w:hint="eastAsia" w:ascii="宋体" w:hAnsi="宋体" w:eastAsia="宋体" w:cs="宋体"/>
          <w:sz w:val="24"/>
          <w:szCs w:val="24"/>
        </w:rPr>
        <w:t xml:space="preserve">上传）。</w:t>
      </w:r>
      <w:r/>
    </w:p>
    <w:tbl>
      <w:tblPr>
        <w:tblStyle w:val="769"/>
        <w:tblW w:w="89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8"/>
        <w:gridCol w:w="1452"/>
        <w:gridCol w:w="3317"/>
        <w:gridCol w:w="2078"/>
      </w:tblGrid>
      <w:tr>
        <w:trPr>
          <w:jc w:val="center"/>
          <w:trHeight w:val="558"/>
        </w:trPr>
        <w:tc>
          <w:tcPr>
            <w:tcW w:w="704"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418"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设备名称</w:t>
            </w:r>
            <w:r/>
          </w:p>
        </w:tc>
        <w:tc>
          <w:tcPr>
            <w:tcW w:w="1452"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设备数量</w:t>
            </w:r>
            <w:r/>
          </w:p>
        </w:tc>
        <w:tc>
          <w:tcPr>
            <w:tcW w:w="3317"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设备样式</w:t>
            </w:r>
            <w:r/>
          </w:p>
        </w:tc>
        <w:tc>
          <w:tcPr>
            <w:tcW w:w="2078"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jc w:val="center"/>
          <w:trHeight w:val="989"/>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四轮巡逻车</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2辆</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671195</wp:posOffset>
                      </wp:positionH>
                      <wp:positionV relativeFrom="paragraph">
                        <wp:posOffset>106045</wp:posOffset>
                      </wp:positionV>
                      <wp:extent cx="632460" cy="415290"/>
                      <wp:effectExtent l="0" t="0" r="15240" b="3810"/>
                      <wp:wrapNone/>
                      <wp:docPr id="3" name="图片 6"/>
                      <wp:cNvGraphicFramePr/>
                      <a:graphic xmlns:a="http://schemas.openxmlformats.org/drawingml/2006/main">
                        <a:graphicData uri="http://schemas.openxmlformats.org/drawingml/2006/picture">
                          <pic:pic xmlns:pic="http://schemas.openxmlformats.org/drawingml/2006/picture">
                            <pic:nvPicPr>
                              <pic:cNvPr id="3" name="图片 6"/>
                              <pic:cNvPicPr/>
                              <pic:nvPr/>
                            </pic:nvPicPr>
                            <pic:blipFill>
                              <a:blip r:embed="rId14"/>
                              <a:stretch/>
                            </pic:blipFill>
                            <pic:spPr bwMode="auto">
                              <a:xfrm>
                                <a:off x="0" y="0"/>
                                <a:ext cx="633084" cy="415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52.8pt;mso-position-horizontal:absolute;mso-position-vertical-relative:text;margin-top:8.3pt;mso-position-vertical:absolute;width:49.8pt;height:32.7pt;mso-wrap-distance-left:0.0pt;mso-wrap-distance-top:0.0pt;mso-wrap-distance-right:0.0pt;mso-wrap-distance-bottom:0.0pt;" stroked="f">
                      <v:path textboxrect="0,0,0,0"/>
                      <v:imagedata r:id="rId14"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11座以上，每个校区1辆</w:t>
            </w:r>
            <w:r/>
          </w:p>
        </w:tc>
      </w:tr>
      <w:tr>
        <w:trPr>
          <w:jc w:val="center"/>
          <w:trHeight w:val="895"/>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电动巡逻车</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4辆</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692150</wp:posOffset>
                      </wp:positionH>
                      <wp:positionV relativeFrom="paragraph">
                        <wp:posOffset>144780</wp:posOffset>
                      </wp:positionV>
                      <wp:extent cx="572135" cy="313690"/>
                      <wp:effectExtent l="0" t="0" r="18415" b="10160"/>
                      <wp:wrapNone/>
                      <wp:docPr id="4" name="图片 7"/>
                      <wp:cNvGraphicFramePr/>
                      <a:graphic xmlns:a="http://schemas.openxmlformats.org/drawingml/2006/main">
                        <a:graphicData uri="http://schemas.openxmlformats.org/drawingml/2006/picture">
                          <pic:pic xmlns:pic="http://schemas.openxmlformats.org/drawingml/2006/picture">
                            <pic:nvPicPr>
                              <pic:cNvPr id="4" name="图片 7"/>
                              <pic:cNvPicPr/>
                              <pic:nvPr/>
                            </pic:nvPicPr>
                            <pic:blipFill>
                              <a:blip r:embed="rId15"/>
                              <a:stretch/>
                            </pic:blipFill>
                            <pic:spPr bwMode="auto">
                              <a:xfrm>
                                <a:off x="0" y="0"/>
                                <a:ext cx="572258" cy="314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54.5pt;mso-position-horizontal:absolute;mso-position-vertical-relative:text;margin-top:11.4pt;mso-position-vertical:absolute;width:45.0pt;height:24.7pt;mso-wrap-distance-left:0.0pt;mso-wrap-distance-top:0.0pt;mso-wrap-distance-right:0.0pt;mso-wrap-distance-bottom:0.0pt;" stroked="f">
                      <v:path textboxrect="0,0,0,0"/>
                      <v:imagedata r:id="rId15"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每个校区2辆</w:t>
            </w:r>
            <w:r/>
          </w:p>
        </w:tc>
      </w:tr>
      <w:tr>
        <w:trPr>
          <w:jc w:val="center"/>
          <w:trHeight w:val="865"/>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对讲机</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12部</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793750</wp:posOffset>
                      </wp:positionH>
                      <wp:positionV relativeFrom="paragraph">
                        <wp:posOffset>114300</wp:posOffset>
                      </wp:positionV>
                      <wp:extent cx="373380" cy="389890"/>
                      <wp:effectExtent l="0" t="0" r="7620" b="10160"/>
                      <wp:wrapNone/>
                      <wp:docPr id="5" name="图片 8"/>
                      <wp:cNvGraphicFramePr/>
                      <a:graphic xmlns:a="http://schemas.openxmlformats.org/drawingml/2006/main">
                        <a:graphicData uri="http://schemas.openxmlformats.org/drawingml/2006/picture">
                          <pic:pic xmlns:pic="http://schemas.openxmlformats.org/drawingml/2006/picture">
                            <pic:nvPicPr>
                              <pic:cNvPr id="5" name="图片 8"/>
                              <pic:cNvPicPr/>
                              <pic:nvPr/>
                            </pic:nvPicPr>
                            <pic:blipFill>
                              <a:blip r:embed="rId16"/>
                              <a:stretch/>
                            </pic:blipFill>
                            <pic:spPr bwMode="auto">
                              <a:xfrm>
                                <a:off x="0" y="0"/>
                                <a:ext cx="373380" cy="390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62.5pt;mso-position-horizontal:absolute;mso-position-vertical-relative:text;margin-top:9.0pt;mso-position-vertical:absolute;width:29.4pt;height:30.7pt;mso-wrap-distance-left:0.0pt;mso-wrap-distance-top:0.0pt;mso-wrap-distance-right:0.0pt;mso-wrap-distance-bottom:0.0pt;" stroked="f">
                      <v:path textboxrect="0,0,0,0"/>
                      <v:imagedata r:id="rId16"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每个校区6部</w:t>
            </w:r>
            <w:r/>
          </w:p>
        </w:tc>
      </w:tr>
      <w:tr>
        <w:trPr>
          <w:jc w:val="center"/>
          <w:trHeight w:val="964"/>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执法记录仪</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4部</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879475</wp:posOffset>
                      </wp:positionH>
                      <wp:positionV relativeFrom="paragraph">
                        <wp:posOffset>135255</wp:posOffset>
                      </wp:positionV>
                      <wp:extent cx="237490" cy="352425"/>
                      <wp:effectExtent l="0" t="0" r="10160" b="9525"/>
                      <wp:wrapNone/>
                      <wp:docPr id="6" name="图片 9"/>
                      <wp:cNvGraphicFramePr/>
                      <a:graphic xmlns:a="http://schemas.openxmlformats.org/drawingml/2006/main">
                        <a:graphicData uri="http://schemas.openxmlformats.org/drawingml/2006/picture">
                          <pic:pic xmlns:pic="http://schemas.openxmlformats.org/drawingml/2006/picture">
                            <pic:nvPicPr>
                              <pic:cNvPr id="6" name="图片 9"/>
                              <pic:cNvPicPr/>
                              <pic:nvPr/>
                            </pic:nvPicPr>
                            <pic:blipFill>
                              <a:blip r:embed="rId17"/>
                              <a:stretch/>
                            </pic:blipFill>
                            <pic:spPr bwMode="auto">
                              <a:xfrm>
                                <a:off x="0" y="0"/>
                                <a:ext cx="237874" cy="35270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69.2pt;mso-position-horizontal:absolute;mso-position-vertical-relative:text;margin-top:10.7pt;mso-position-vertical:absolute;width:18.7pt;height:27.8pt;mso-wrap-distance-left:0.0pt;mso-wrap-distance-top:0.0pt;mso-wrap-distance-right:0.0pt;mso-wrap-distance-bottom:0.0pt;" stroked="f">
                      <v:path textboxrect="0,0,0,0"/>
                      <v:imagedata r:id="rId17"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每个校区2部</w:t>
            </w:r>
            <w:r/>
          </w:p>
        </w:tc>
      </w:tr>
      <w:tr>
        <w:trPr>
          <w:jc w:val="center"/>
          <w:trHeight w:val="763"/>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强光手电</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4支</w:t>
            </w:r>
            <w:r/>
          </w:p>
        </w:tc>
        <w:tc>
          <w:tcPr>
            <w:tcW w:w="3317"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882650</wp:posOffset>
                      </wp:positionH>
                      <wp:positionV relativeFrom="paragraph">
                        <wp:posOffset>35560</wp:posOffset>
                      </wp:positionV>
                      <wp:extent cx="230505" cy="381000"/>
                      <wp:effectExtent l="0" t="0" r="17145" b="0"/>
                      <wp:wrapNone/>
                      <wp:docPr id="7" name="图片 10"/>
                      <wp:cNvGraphicFramePr/>
                      <a:graphic xmlns:a="http://schemas.openxmlformats.org/drawingml/2006/main">
                        <a:graphicData uri="http://schemas.openxmlformats.org/drawingml/2006/picture">
                          <pic:pic xmlns:pic="http://schemas.openxmlformats.org/drawingml/2006/picture">
                            <pic:nvPicPr>
                              <pic:cNvPr id="7" name="图片 10"/>
                              <pic:cNvPicPr/>
                              <pic:nvPr/>
                            </pic:nvPicPr>
                            <pic:blipFill>
                              <a:blip r:embed="rId18"/>
                              <a:stretch/>
                            </pic:blipFill>
                            <pic:spPr bwMode="auto">
                              <a:xfrm>
                                <a:off x="0" y="0"/>
                                <a:ext cx="23050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69.5pt;mso-position-horizontal:absolute;mso-position-vertical-relative:text;margin-top:2.8pt;mso-position-vertical:absolute;width:18.1pt;height:3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4558665</wp:posOffset>
                      </wp:positionH>
                      <wp:positionV relativeFrom="paragraph">
                        <wp:posOffset>7569835</wp:posOffset>
                      </wp:positionV>
                      <wp:extent cx="685800" cy="944880"/>
                      <wp:effectExtent l="0" t="0" r="0" b="7620"/>
                      <wp:wrapNone/>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19"/>
                              <a:stretch/>
                            </pic:blipFill>
                            <pic:spPr bwMode="auto">
                              <a:xfrm>
                                <a:off x="0" y="0"/>
                                <a:ext cx="685800"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58.9pt;mso-position-horizontal:absolute;mso-position-vertical-relative:text;margin-top:596.0pt;mso-position-vertical:absolute;width:54.0pt;height:74.4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4558665</wp:posOffset>
                      </wp:positionH>
                      <wp:positionV relativeFrom="paragraph">
                        <wp:posOffset>7569835</wp:posOffset>
                      </wp:positionV>
                      <wp:extent cx="685800" cy="944880"/>
                      <wp:effectExtent l="0" t="0" r="0" b="7620"/>
                      <wp:wrapNone/>
                      <wp:docPr id="9" name="图片 12"/>
                      <wp:cNvGraphicFramePr/>
                      <a:graphic xmlns:a="http://schemas.openxmlformats.org/drawingml/2006/main">
                        <a:graphicData uri="http://schemas.openxmlformats.org/drawingml/2006/picture">
                          <pic:pic xmlns:pic="http://schemas.openxmlformats.org/drawingml/2006/picture">
                            <pic:nvPicPr>
                              <pic:cNvPr id="9" name="图片 12"/>
                              <pic:cNvPicPr/>
                              <pic:nvPr/>
                            </pic:nvPicPr>
                            <pic:blipFill>
                              <a:blip r:embed="rId19"/>
                              <a:stretch/>
                            </pic:blipFill>
                            <pic:spPr bwMode="auto">
                              <a:xfrm>
                                <a:off x="0" y="0"/>
                                <a:ext cx="685800"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58.9pt;mso-position-horizontal:absolute;mso-position-vertical-relative:text;margin-top:596.0pt;mso-position-vertical:absolute;width:54.0pt;height:74.4pt;mso-wrap-distance-left:9.0pt;mso-wrap-distance-top:0.0pt;mso-wrap-distance-right:9.0pt;mso-wrap-distance-bottom:0.0pt;" stroked="f">
                      <v:path textboxrect="0,0,0,0"/>
                      <v:imagedata r:id="rId19"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14"/>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防暴器材</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8套</w:t>
            </w:r>
            <w:r/>
          </w:p>
        </w:tc>
        <w:tc>
          <w:tcPr>
            <w:tcW w:w="3317"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警棍、头盔、盾牌、钢叉、脚叉、抓捕器、防割手套、防刺背心、辣椒喷雾</w: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每个门各2套</w:t>
            </w:r>
            <w:r/>
          </w:p>
        </w:tc>
      </w:tr>
      <w:tr>
        <w:trPr>
          <w:jc w:val="center"/>
          <w:trHeight w:val="1131"/>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消防服</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8套</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856615</wp:posOffset>
                      </wp:positionH>
                      <wp:positionV relativeFrom="paragraph">
                        <wp:posOffset>212090</wp:posOffset>
                      </wp:positionV>
                      <wp:extent cx="323850" cy="419100"/>
                      <wp:effectExtent l="0" t="0" r="0" b="0"/>
                      <wp:wrapNone/>
                      <wp:docPr id="10" name="图片 13"/>
                      <wp:cNvGraphicFramePr/>
                      <a:graphic xmlns:a="http://schemas.openxmlformats.org/drawingml/2006/main">
                        <a:graphicData uri="http://schemas.openxmlformats.org/drawingml/2006/picture">
                          <pic:pic xmlns:pic="http://schemas.openxmlformats.org/drawingml/2006/picture">
                            <pic:nvPicPr>
                              <pic:cNvPr id="10" name="图片 13"/>
                              <pic:cNvPicPr/>
                              <pic:nvPr/>
                            </pic:nvPicPr>
                            <pic:blipFill>
                              <a:blip r:embed="rId20"/>
                              <a:stretch/>
                            </pic:blipFill>
                            <pic:spPr bwMode="auto">
                              <a:xfrm>
                                <a:off x="0" y="0"/>
                                <a:ext cx="323850"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text;margin-left:67.5pt;mso-position-horizontal:absolute;mso-position-vertical-relative:text;margin-top:16.7pt;mso-position-vertical:absolute;width:25.5pt;height:33.0pt;mso-wrap-distance-left:0.0pt;mso-wrap-distance-top:0.0pt;mso-wrap-distance-right:0.0pt;mso-wrap-distance-bottom:0.0pt;" stroked="f">
                      <v:path textboxrect="0,0,0,0"/>
                      <v:imagedata r:id="rId20"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每个门各2套</w:t>
            </w:r>
            <w:r/>
          </w:p>
        </w:tc>
      </w:tr>
      <w:tr>
        <w:trPr>
          <w:jc w:val="center"/>
          <w:trHeight w:val="1130"/>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防毒面具</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8个</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891540</wp:posOffset>
                      </wp:positionH>
                      <wp:positionV relativeFrom="paragraph">
                        <wp:posOffset>229870</wp:posOffset>
                      </wp:positionV>
                      <wp:extent cx="266065" cy="370840"/>
                      <wp:effectExtent l="0" t="0" r="635" b="10160"/>
                      <wp:wrapNone/>
                      <wp:docPr id="11" name="图片 14"/>
                      <wp:cNvGraphicFramePr/>
                      <a:graphic xmlns:a="http://schemas.openxmlformats.org/drawingml/2006/main">
                        <a:graphicData uri="http://schemas.openxmlformats.org/drawingml/2006/picture">
                          <pic:pic xmlns:pic="http://schemas.openxmlformats.org/drawingml/2006/picture">
                            <pic:nvPicPr>
                              <pic:cNvPr id="11" name="图片 14"/>
                              <pic:cNvPicPr/>
                              <pic:nvPr/>
                            </pic:nvPicPr>
                            <pic:blipFill>
                              <a:blip r:embed="rId21"/>
                              <a:stretch/>
                            </pic:blipFill>
                            <pic:spPr bwMode="auto">
                              <a:xfrm>
                                <a:off x="0" y="0"/>
                                <a:ext cx="266492" cy="37141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70.2pt;mso-position-horizontal:absolute;mso-position-vertical-relative:text;margin-top:18.1pt;mso-position-vertical:absolute;width:20.9pt;height:29.2pt;mso-wrap-distance-left:0.0pt;mso-wrap-distance-top:0.0pt;mso-wrap-distance-right:0.0pt;mso-wrap-distance-bottom:0.0pt;" stroked="f">
                      <v:path textboxrect="0,0,0,0"/>
                      <v:imagedata r:id="rId21"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每个门各2个</w:t>
            </w:r>
            <w:r/>
          </w:p>
        </w:tc>
      </w:tr>
      <w:tr>
        <w:trPr>
          <w:jc w:val="center"/>
          <w:trHeight w:val="828"/>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捕狗器具</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4套</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不锈钢捕狗钳</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不锈钢捕狗网</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长橡胶棍</w: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每个门各1套</w:t>
            </w:r>
            <w:r/>
          </w:p>
        </w:tc>
      </w:tr>
      <w:tr>
        <w:trPr>
          <w:jc w:val="center"/>
          <w:trHeight w:val="1845"/>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电动平板车</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2辆</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442595</wp:posOffset>
                      </wp:positionH>
                      <wp:positionV relativeFrom="paragraph">
                        <wp:posOffset>150495</wp:posOffset>
                      </wp:positionV>
                      <wp:extent cx="1188720" cy="847090"/>
                      <wp:effectExtent l="0" t="0" r="11430" b="10160"/>
                      <wp:wrapNone/>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2"/>
                              <a:stretch/>
                            </pic:blipFill>
                            <pic:spPr bwMode="auto">
                              <a:xfrm>
                                <a:off x="0" y="0"/>
                                <a:ext cx="1188720" cy="847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34.9pt;mso-position-horizontal:absolute;mso-position-vertical-relative:text;margin-top:11.8pt;mso-position-vertical:absolute;width:93.6pt;height:66.7pt;mso-wrap-distance-left:9.0pt;mso-wrap-distance-top:0.0pt;mso-wrap-distance-right:9.0pt;mso-wrap-distance-bottom:0.0pt;" stroked="f">
                      <v:path textboxrect="0,0,0,0"/>
                      <v:imagedata r:id="rId22"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每校区1辆</w:t>
            </w:r>
            <w:r/>
          </w:p>
        </w:tc>
      </w:tr>
      <w:tr>
        <w:trPr>
          <w:jc w:val="center"/>
          <w:trHeight w:val="1756"/>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校区应急通勤车</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1辆</w:t>
            </w:r>
            <w:r/>
          </w:p>
        </w:tc>
        <w:tc>
          <w:tcPr>
            <w:tcW w:w="33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配备：中大型、纯电续航不低于600公里。</w:t>
            </w:r>
            <w:r/>
          </w:p>
          <w:p>
            <w:pPr>
              <w:jc w:val="left"/>
              <w:rPr>
                <w:rFonts w:hint="eastAsia" w:ascii="宋体" w:hAnsi="宋体" w:eastAsia="宋体" w:cs="宋体"/>
                <w:sz w:val="24"/>
                <w:szCs w:val="24"/>
              </w:rPr>
            </w:pPr>
            <w:r>
              <w:rPr>
                <w:rFonts w:hint="eastAsia" w:ascii="宋体" w:hAnsi="宋体" w:eastAsia="宋体" w:cs="宋体"/>
                <w:sz w:val="24"/>
                <w:szCs w:val="24"/>
              </w:rPr>
              <w:t xml:space="preserve">保障：含车辆服务期间保险、维修保养、日常使用等。</w:t>
            </w:r>
            <w:r/>
          </w:p>
          <w:p>
            <w:pPr>
              <w:jc w:val="left"/>
              <w:rPr>
                <w:rFonts w:hint="eastAsia" w:ascii="宋体" w:hAnsi="宋体" w:eastAsia="宋体" w:cs="宋体"/>
                <w:sz w:val="24"/>
                <w:szCs w:val="24"/>
              </w:rPr>
            </w:pPr>
            <w:r>
              <w:rPr>
                <w:rFonts w:hint="eastAsia" w:ascii="宋体" w:hAnsi="宋体" w:eastAsia="宋体" w:cs="宋体"/>
                <w:sz w:val="24"/>
                <w:szCs w:val="24"/>
              </w:rPr>
              <w:t xml:space="preserve">车况：到岗至少为2年以内准新车辆。</w: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仅高邮湖校区需配备一辆</w:t>
            </w:r>
            <w:r/>
          </w:p>
        </w:tc>
      </w:tr>
    </w:tbl>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人必须配备足够的设备保障日常安保工作正常开展，如：巡逻车、通信设备等，主要装备数量不得低于上表所列内容。服务期间，采购人有权随时抽查装备质量及数量，若检查装备质量不合格或数量不全等，中标人必须在5个工作日内补足。</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(2)结合项目需求，建立完善的安保装备配备与管理制度。</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(3)定期对相关车辆进行维护保养，每日巡检车辆车况、确认对讲机等电子设备的运行状态，做好所有装备日常检查、保养和保管工作。</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(4)规范装备领用归还流程，确保车辆、电子设备及其他装备随时完好，可正常投入使用。</w:t>
      </w:r>
      <w:r/>
    </w:p>
    <w:p>
      <w:pPr>
        <w:ind w:firstLine="42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（二）工作内容</w:t>
      </w:r>
      <w:r/>
    </w:p>
    <w:p>
      <w:pPr>
        <w:numPr>
          <w:ilvl w:val="0"/>
          <w:numId w:val="7"/>
        </w:numPr>
        <w:jc w:val="left"/>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人员管理</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人员排班</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①投标人需按月结合本校园安保各岗位实际值守需求编制专属人员排班方案，排班需满足校园 24 小时不间断值守要求，杜绝岗位空岗、脱岗情况。</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②排班配套提供完整工时测算明细，符合国家法律法规相关规定，排班台账清晰可查，按月编制排班表报送采购人备案。</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③排班方案需完整匹配招标文件全部岗位值守要求，提供符合招标要求的排班保障措施。</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④采购人合法安排人员轮休，需要使用替岗人员时，应提前向采购人报备，替岗人员应符合招标文件要求。</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⑤中标人在日常管理中要建立交接班、请（休）假等登记等制度，采购人有权查阅记录。如因保安员的休请假、撤换或辞退造成保安人数的空缺，中标人应在 2 日内予以补充到位。</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人员考勤</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①投标人需针对校园安保岗位制定人员考勤管理制度，覆盖全部安保在岗人员，权责与核查流程清晰。</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②建立月度考勤汇总上报机制，规范每日在岗打卡、巡查签到记录，按月整理完整考勤台账定期提交采购人审核备查。</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③考勤管理标准完全响应招标文件管理要求。</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交接班</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①投标人须结合校园各安保岗位值守需求制定标准化人员交接班专项方案，严格按照排班落实交接管理，交接流程规范清晰、岗位职责划分明确。</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②配备专用交接班记录本，规范记录每日交接班时间、在岗人员、待办事项、校园巡查情况、设备运行状态、重点隐患情况、上级通知要求等核心内容。</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③交接班采用当面交接、现场核对的形式，交班人员需详细告知当班期间校园安保状况、遗留问题及注意事项。</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④同时留存日常记录，实现交接班全程闭环管理，杜绝交接疏漏、责任脱节问题，保障安保工作无缝衔接、持续有序开展。</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服务质量保障</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①中标人应针对本项目建立服务质量保障方案，从严开展队伍建设，夯实校园安全服务基础。</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②严格落实各岗位工作规范及流程，执行学校规章制度，确保安保工作有序开展。</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③建立人员稳定机制，杜绝空岗脱岗，保障队伍稳定、岗位值守不间断。</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④要求全体队员文明执勤，严禁态度粗暴、违规违纪行为，树立良好安保服务形象，保障校园和谐秩序。</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人员考核</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①建立完善校园安保人员考核管理制度，制度覆盖所有在岗安保人员，明确考核标准及管理原则。</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②制定贴合项目工作内容的考核标准，满足本项目校园安保各项管理要求。</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③实行常态化日常考核与月度汇总工作，规范整理考核台账并定期上报。</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④严格根据考核结果落实奖惩措施，针对考核问题组织专项提升培训，提升保安人员综合履职能力。</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其他工作</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①保持安保人员之间以及安保人员与各部门的通信畅通，在遇到异常情况或紧急求助时，安保人员 3 分钟内赶到现场采取相应措施控制局面。</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②采购人对中标人派出的保安员的岗位设置具有调整权，可对中标人的管理工作提供有效的意见和建议。</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③保安员没有认真履行职责，发现一次警告；发现两次中标人书面反馈整改情况，并按照规定对保安员进行处罚；发现三次更换保安人员。</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④在保安服务过程中，因保安人员过失，导致学校财产丢失并经公安机关鉴定为外盗的，由中标人负责赔偿。</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⑤在处理特殊事件和紧急、突发事故时，采购人对中标人派出的保安员有直接指挥权。</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⑥中标人必须严格按照国家、江苏省、扬州市的相关劳动法规和保险条例，为保安员提供完善的劳动权益保障。</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⑦采购人有权提出更换不符合使用要求或损害采购人利益的保安员。采购人提出更换要求并与中标人协商，协商完成后中标人应在3个工作日内予以更换。</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⑧中标人保安及工作人员因工发生伤亡事故，由中标人按相关规定进行妥善处理。非因工发生的伤亡事故，中标人负责伤亡事故的处理，对发生的事故处理费用及对保安及人员的经济补偿等由中标方承担。</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⑨中标人就本项目所派驻的全部保安服务人员应专职服务本项目，如遇特殊情况需临时调整，须报请采购人同意，并保证本项目正常运行。</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⑩中标人应当根据服务岗位需要定期对保安员进行法律、保安专业知识和技能培训。保安服务具体操作规程及质量服务应达到公安部颁发的《保安服务操作规程与质量控制》的要求。</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⑪安保人员对校园内部教职员工及学生等相关人员的不文明举止或危害公共物品安全的行为，必须立即制止，做到有理有节，措施到位。</w:t>
      </w:r>
      <w:r/>
    </w:p>
    <w:p>
      <w:pPr>
        <w:pStyle w:val="770"/>
        <w:rPr>
          <w:rFonts w:hint="eastAsia"/>
          <w:highlight w:val="none"/>
        </w:rPr>
      </w:pPr>
      <w:r>
        <w:rPr>
          <w:rFonts w:hint="eastAsia"/>
          <w:highlight w:val="none"/>
        </w:rPr>
      </w:r>
      <w:r/>
    </w:p>
    <w:p>
      <w:pPr>
        <w:numPr>
          <w:ilvl w:val="0"/>
          <w:numId w:val="7"/>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门卫管理</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检查进入校区的校外人员，要问清楚进入校园的理由，并办理登记手续，经检验无误后准予进入；校内临时工和其他务工人员根据学校的相关管理要求进入校园，严格落实一人一杆、一车一杆，要严防无关人员进入校园，坚决防止管制刀具等危险物品带入校园。</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检查出入校区的各种车辆，对校内车辆凭通行证进入；校外车辆要问清楚进入校园的理由，并办理登记换证手续，经检验无误后准予进入。校外车辆未经许可，不得在校园内停放过夜。</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检查出入校门的物资，校外物资送入校园，要认真登记检查，防止危险物品带入校园；校内物资、设备运出或搬出学校，凭所属学院（部门）出具的证明材料，并办理登记手续，经检验无误后放行。</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各校门周围、校门广场的道路交通管理及安全秩序，机动车和非机动车的停放管理，确保校门区域出入畅通。禁止商贩在校门两侧50米内摆摊设点。</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做好各校门周围及校门广场区域的环境卫生，保持校门区域清洁。</w:t>
      </w:r>
      <w:r/>
    </w:p>
    <w:p>
      <w:pPr>
        <w:numPr>
          <w:ilvl w:val="0"/>
          <w:numId w:val="7"/>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交通管理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（1）加强对机动车辆进出校园的管理。非校园交通智能化管理系统内的车辆经门卫询问且确定有正当理由后方可入校，管理系统显示黑名单车辆，严禁进入校园，警</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车、救护车、 消防车到达校门应立即向校区保卫科报告，并随车掌握情况。</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（2）引导机动车辆和非机动车辆在规定停车区域有序停放。</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（3）及时疏导占道车辆，保持校区道路畅通，配合采购人定期清理无主非机动车</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辆。</w:t>
      </w:r>
      <w:r/>
    </w:p>
    <w:p>
      <w:pPr>
        <w:numPr>
          <w:ilvl w:val="0"/>
          <w:numId w:val="7"/>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巡逻及监管</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（1）投标人需结合校园安保实际需求制定完整巡逻与人员、巡逻车辆专项监管方</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案，实行全天候定时全域治安巡逻，及时排查各类安全隐患、盘查可疑人员，防范校园安全事故与治安问题。</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（2）维护校区秩序，制止乱摆摊设点、乱张贴广告宣传品、乱悬挂横幅、乱停放车辆、水域钓鱼捕鱼等现象。</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（3）加强对校园猫、犬类的管理。除经学校批准的相关活动需要外，任何人不得携带犬只进入校园，对校内遛狗行为及时进行制止，巡逻时对流浪猫、犬及时进行驱赶。 </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（4）两轮电动巡逻车、四轮电动巡逻车需安排专人监管，定期开展车况安全检查。</w:t>
      </w:r>
      <w:r/>
    </w:p>
    <w:p>
      <w:pPr>
        <w:numPr>
          <w:ilvl w:val="0"/>
          <w:numId w:val="7"/>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活动保障</w:t>
      </w:r>
      <w:r/>
    </w:p>
    <w:p>
      <w:pPr>
        <w:numPr>
          <w:ilvl w:val="0"/>
          <w:numId w:val="0"/>
        </w:numPr>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 每年新生报到、学校举（承）办重大活动、各级各类社会考试等活动约40场，与学校保卫处进行沟通，制定完善的活动保障方案。</w:t>
      </w:r>
      <w:r/>
    </w:p>
    <w:p>
      <w:pPr>
        <w:numPr>
          <w:ilvl w:val="0"/>
          <w:numId w:val="0"/>
        </w:numPr>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 校园各类大型活动若出现安全意外情况，持救护员证人员同步在岗待命，配合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szCs w:val="24"/>
          <w:highlight w:val="none"/>
          <w14:textFill>
            <w14:solidFill>
              <w14:schemeClr w14:val="tx1"/>
            </w14:solidFill>
          </w14:textFill>
        </w:rPr>
        <w:t xml:space="preserve">做好人员疏散、秩序维稳等配套保障工作。</w:t>
      </w:r>
      <w:r/>
    </w:p>
    <w:p>
      <w:pPr>
        <w:numPr>
          <w:ilvl w:val="0"/>
          <w:numId w:val="0"/>
        </w:numPr>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 协助配合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szCs w:val="24"/>
          <w:highlight w:val="none"/>
          <w14:textFill>
            <w14:solidFill>
              <w14:schemeClr w14:val="tx1"/>
            </w14:solidFill>
          </w14:textFill>
        </w:rPr>
        <w:t xml:space="preserve">做好校园日常及活动期间场地配套保障，遇极端天气、管道漏水、火情、设施设备故障等情况，同步配合开展现场保障工作。</w:t>
      </w:r>
      <w:r/>
    </w:p>
    <w:p>
      <w:pPr>
        <w:numPr>
          <w:ilvl w:val="0"/>
          <w:numId w:val="0"/>
        </w:numPr>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中标人</w:t>
      </w:r>
      <w:r>
        <w:rPr>
          <w:rFonts w:hint="eastAsia" w:ascii="宋体" w:hAnsi="宋体" w:cs="宋体"/>
          <w:bCs/>
          <w:color w:val="000000" w:themeColor="text1"/>
          <w:sz w:val="24"/>
          <w:szCs w:val="24"/>
          <w:highlight w:val="none"/>
          <w14:textFill>
            <w14:solidFill>
              <w14:schemeClr w14:val="tx1"/>
            </w14:solidFill>
          </w14:textFill>
        </w:rPr>
        <w:t xml:space="preserve">为学校大型活动提供保障人力支持，确保活动圆满完成。如新生开学期间，每校区需要</w:t>
      </w:r>
      <w:r>
        <w:rPr>
          <w:rFonts w:hint="eastAsia" w:ascii="宋体" w:hAnsi="宋体" w:cs="宋体"/>
          <w:bCs/>
          <w:color w:val="000000" w:themeColor="text1"/>
          <w:sz w:val="24"/>
          <w:szCs w:val="24"/>
          <w:highlight w:val="none"/>
          <w14:textFill>
            <w14:solidFill>
              <w14:schemeClr w14:val="tx1"/>
            </w14:solidFill>
          </w14:textFill>
        </w:rPr>
        <w:t xml:space="preserve">至少</w:t>
      </w:r>
      <w:r>
        <w:rPr>
          <w:rFonts w:hint="eastAsia" w:ascii="宋体" w:hAnsi="宋体" w:cs="宋体"/>
          <w:bCs/>
          <w:color w:val="000000" w:themeColor="text1"/>
          <w:sz w:val="24"/>
          <w:szCs w:val="24"/>
          <w:highlight w:val="none"/>
          <w14:textFill>
            <w14:solidFill>
              <w14:schemeClr w14:val="tx1"/>
            </w14:solidFill>
          </w14:textFill>
        </w:rPr>
        <w:t xml:space="preserve">增派10名保安人员（2个校区共需2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Cs/>
          <w:color w:val="000000" w:themeColor="text1"/>
          <w:sz w:val="24"/>
          <w:szCs w:val="24"/>
          <w:highlight w:val="none"/>
          <w14:textFill>
            <w14:solidFill>
              <w14:schemeClr w14:val="tx1"/>
            </w14:solidFill>
          </w14:textFill>
        </w:rPr>
        <w:t xml:space="preserve">人），协助校区保卫处做好门卫秩序维护、校内交通管理等工作。</w:t>
      </w:r>
      <w:r/>
    </w:p>
    <w:p>
      <w:pPr>
        <w:numPr>
          <w:ilvl w:val="0"/>
          <w:numId w:val="0"/>
        </w:numPr>
        <w:jc w:val="left"/>
        <w:spacing w:line="360" w:lineRule="auto"/>
        <w:widowControl/>
        <w:rPr>
          <w:rFonts w:ascii="宋体" w:hAnsi="宋体" w:cs="宋体"/>
          <w:b/>
          <w:bCs/>
          <w:sz w:val="24"/>
          <w:szCs w:val="24"/>
          <w:highlight w:val="none"/>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sz w:val="24"/>
          <w:szCs w:val="24"/>
          <w:highlight w:val="none"/>
        </w:rPr>
        <w:t xml:space="preserve">突发事件处置</w:t>
      </w:r>
      <w:r/>
    </w:p>
    <w:p>
      <w:pPr>
        <w:pStyle w:val="806"/>
        <w:numPr>
          <w:ilvl w:val="0"/>
          <w:numId w:val="1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突发事件处理</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①投标人需结合校园安保服务实际需求编制完整、完备的突发事件专项应急处置预案，预案覆盖交通、消防、治安、溺水等各类校园突发场景，内容全面详实。</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②配备应急处置的警用防爆器材，包括但不限于钢盔，防毒面罩、防爆盾牌、钢叉、警棍、警用照明灯等。定期对装备进行检查、保养、更换，确保所有应急器材完好有效、取用便捷，满足校园突发警情、应急处置实战需求。</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③全年组织不少于4次应急演练，确保全体安保人员熟练掌握应急预案流程、器材使用方法及现场处置要点，提升队伍快速响应、协同处置的实战能力。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④中标单位应为学校各类突发事件处置提供充足、机动的应急后备人力支持，遇重大活动安保、突发险情、应急增援需求时，第一时间调配人员到场支援</w:t>
      </w:r>
      <w:r>
        <w:rPr>
          <w:rFonts w:hint="eastAsia" w:ascii="宋体" w:hAnsi="宋体" w:cs="宋体"/>
          <w:sz w:val="24"/>
          <w:szCs w:val="24"/>
          <w:highlight w:val="none"/>
          <w:lang w:eastAsia="zh-CN"/>
        </w:rPr>
        <w:t xml:space="preserve">，</w:t>
      </w:r>
      <w:r>
        <w:rPr>
          <w:rFonts w:hint="eastAsia"/>
          <w:color w:val="000000" w:themeColor="text1"/>
          <w:sz w:val="24"/>
          <w:highlight w:val="none"/>
          <w14:textFill>
            <w14:solidFill>
              <w14:schemeClr w14:val="tx1"/>
            </w14:solidFill>
          </w14:textFill>
        </w:rPr>
        <w:t xml:space="preserve">退伍军人优先。</w:t>
      </w:r>
      <w:r/>
    </w:p>
    <w:p>
      <w:pPr>
        <w:pStyle w:val="806"/>
        <w:numPr>
          <w:ilvl w:val="0"/>
          <w:numId w:val="1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反恐防暴处置</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①具备专业、高效的校园反恐防暴应急处置能力，结合校园人员密集、师生集中、开放通行等实际场景，贴合学校安保工作特点，制定科学合理、细化完善、可落地执行的反恐防暴处置预案。</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②常态化开展反恐防暴实战演练，组织全体在岗保安人员全员参与、全程参训，</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年度专项演练次数不少于2次。演练严格按照预案流程开展，通过实战化演练提升安保人员应急处置、协同配合、快速反应能力，确保突发情况能够快速、规范、有效处置。</w:t>
      </w:r>
      <w:r/>
    </w:p>
    <w:p>
      <w:pPr>
        <w:pStyle w:val="806"/>
        <w:numPr>
          <w:ilvl w:val="0"/>
          <w:numId w:val="1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应急联动</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rPr>
        <w:t xml:space="preserve">①建立校园多方应急联动工作机制，畅通24小时紧急上报和应急沟通渠道，确保校园突发安全事件时，能够第一时间对接、第一时间上报、第一时间联动，杜绝信息滞后、沟通不畅、响应迟缓等问题。</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②建立多方同步响应、协同处置工作模式，高效推进现场处置、人员安抚、隐患排查、秩序维护等工作，提升突发事件处置效率。</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③定期组织开展多方联合应急演练，通过常态化联合实操演练，持续优化团队协同、快速响应、联合处置的实操能力，全面提升校园突发事件综合应急处置水平，筑牢校园安全防护屏障。</w:t>
      </w:r>
      <w:r/>
    </w:p>
    <w:p>
      <w:pPr>
        <w:pStyle w:val="806"/>
        <w:numPr>
          <w:ilvl w:val="0"/>
          <w:numId w:val="1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消防工作</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①协助进行消防宣传（消防轮训、利用标语和牌示进行宣传等）。</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②发生初起火灾事故时，积极组织扑救，并及时报警。</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③明确火灾紧急疏散程序，做好疏散的准备工作，人员疏散为主为先，转移抢救贵重物品在后。</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④定期组织及安排常规消防检查，及时发现火险隐患。</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⑤制定保安防火工作制度和措施，预防火灾事故的发生。</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⑥协助保卫处及时消除火灾苗头和隐患。</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⑦建立自防、自救组织。包括：建立保安义务消防队，抓好消防技能训练。</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⑧建立保安消防工作档案。</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⑨制定灭火方案及重点部位保卫方案。</w:t>
      </w:r>
      <w:r/>
    </w:p>
    <w:p>
      <w:pPr>
        <w:numPr>
          <w:ilvl w:val="0"/>
          <w:numId w:val="0"/>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人员培训</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（1）投标人需结合本校园安保项目实际需求制定系统化、完整的安保人员专项培训方案，完整包含培训计划、课时安排、岗前培训、常态化轮训、课程内容、培训台账等全部相关内容。</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（2）建立完善安保人员培训管理机制，落实岗前培训考核上岗要求，所有新进安保人员必须完成系统化岗前培训，考核合格后方可上岗执勤。</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（3）结合高校校园安保工作特点，制定贴合校园执勤需求的培训内容，全面覆盖校园安保日常履职及应急工作需求。</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（4）围绕高校安保工作实际，通过制度学习、技能实操、应急演练等形式开展常态化培训，持续提升安保人员校园执勤、应急处置的综合专业能力。</w:t>
      </w:r>
      <w:r/>
    </w:p>
    <w:p>
      <w:pPr>
        <w:numPr>
          <w:ilvl w:val="0"/>
          <w:numId w:val="0"/>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项目进退场</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投标人需针对本校园安保项目制定完整规范的进场、退场专项交接配合方案，合同到期人员安置计划等相关内容。</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（1）进场阶段，严格落实人员审核、岗前培训、岗位职责交底、安防技能考核、台账登记备案等工作，确保新进人员熟练掌握校园安保工作制度、岗位要求、应急处置流程，合格后方可上岗履职。</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退场阶段，规范完成岗位工作交接、器材物资清点、台账资料移交、遗留问题对接等工作，杜绝人员更替期间出现岗位空档、工作断层、物资遗失、工作遗漏等问题，全方位保障安保服务项目平稳落地、有序衔接、常态运行。</w:t>
      </w:r>
      <w:r/>
    </w:p>
    <w:p>
      <w:pPr>
        <w:numPr>
          <w:ilvl w:val="0"/>
          <w:numId w:val="0"/>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监控和消防控制室值班</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（1）24小时工作制，值班时不得擅离岗位，要注意接听“校园110”电话，并对师生求助指挥巡逻人员及时处理。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（2）必须严格按照规定时间、范围对视频监控、消防控制室严密观察，对异常情况和可疑情况及时报告并作好记录。严禁人为擅自删除录像记录。</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应根据他人提供的情况及从屏幕中观察到的可疑情况，进行定时、定位、定人跟踪录像并做好记录，录像资料妥善保管。对电话报案及视频监控中发现的刑事案件、治安案件及火灾事故等线索应迅速按照程序正确处理并上报。</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（4）监控和消防控制室禁止无关人员入内，其他部门确因工作需要的，应做好流程审批及报备工作。</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（5）应爱护使用的设备，以延长机器的使用寿命，不得擅自拆装设备。</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（6）在当班时主动做好室内的清洁卫生工作，保持环境整洁，禁止吸烟。</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（7）严守工作纪律，视频监控资料均应保密，严禁外传。需要调取录像资料的要按照学校规定办理有关手续。</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（8）严格遵守设备操作程序，禁止擅自调整、改动系统设置。</w:t>
      </w:r>
      <w:r/>
    </w:p>
    <w:p>
      <w:pPr>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10.校园安保延伸配套服务</w:t>
      </w:r>
      <w:r/>
    </w:p>
    <w:p>
      <w:pPr>
        <w:ind w:firstLine="422"/>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（1）主动配合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开展校园常态化安全宣传、反诈警示教育工作；落实校园全域文明秩序督导、师生行为劝导等暖心延伸工作，规范校园日常秩序，夯实校园前端安全管控基础。</w:t>
      </w:r>
      <w:r/>
    </w:p>
    <w:p>
      <w:pPr>
        <w:ind w:firstLine="422"/>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（2）配合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梳理整改校园安全风险隐患，优化现场作业管控流程，完善安全管理台账，助力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完善校园安全管理体系。</w:t>
      </w:r>
      <w:r/>
    </w:p>
    <w:p>
      <w:pPr>
        <w:ind w:firstLine="422"/>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（3）配合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推进平安校园、文明校园创建工作；主动协助</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做好各级主管部门安全督查、专项巡查等各类迎检保障工作，确保迎检工作顺利落实。</w:t>
      </w:r>
      <w:r/>
    </w:p>
    <w:p>
      <w:pPr>
        <w:ind w:firstLine="422"/>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（4）将各项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延伸配套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服务纳入岗位日常考核和项目巡检范围，联动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建立双向沟通反馈机制，统筹基础安保工作与延伸服务同步推进，全面提升校园整体安保服务质量。</w:t>
      </w:r>
      <w:r/>
    </w:p>
    <w:p>
      <w:pPr>
        <w:ind w:firstLine="422"/>
        <w:spacing w:line="440" w:lineRule="exact"/>
        <w:rPr>
          <w:rFonts w:hint="eastAsia" w:ascii="宋体" w:hAnsi="宋体" w:eastAsia="宋体" w:cs="宋体"/>
          <w:b/>
          <w:bCs/>
          <w:sz w:val="24"/>
          <w:szCs w:val="24"/>
          <w:highlight w:val="none"/>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（5）开展校园重点区域安全隐患管控。常态化对教学区域、学生宿舍、食堂、消防通道、校门值守点位开展专项安防巡查，第一时间上报各类安全风险隐患。</w:t>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六、其他要求</w:t>
      </w:r>
      <w:r/>
    </w:p>
    <w:p>
      <w:pPr>
        <w:ind w:firstLine="482"/>
        <w:jc w:val="left"/>
        <w:rPr>
          <w:rFonts w:hint="eastAsia" w:ascii="宋体" w:hAnsi="宋体" w:cs="宋体"/>
          <w:i/>
          <w:sz w:val="24"/>
          <w:szCs w:val="24"/>
          <w:highlight w:val="none"/>
          <w:u w:val="single"/>
          <w:lang w:val="en-US" w:eastAsia="zh-CN"/>
        </w:rPr>
      </w:pPr>
      <w:r>
        <w:rPr>
          <w:rFonts w:hint="eastAsia" w:ascii="宋体" w:hAnsi="宋体" w:cs="宋体"/>
          <w:b/>
          <w:bCs/>
          <w:sz w:val="24"/>
          <w:szCs w:val="24"/>
          <w:highlight w:val="none"/>
          <w:lang w:val="en-US" w:eastAsia="zh-CN"/>
        </w:rPr>
        <w:t xml:space="preserve">瘦西湖校区</w:t>
      </w:r>
      <w:r>
        <w:rPr>
          <w:rFonts w:hint="eastAsia" w:ascii="宋体" w:hAnsi="宋体" w:cs="宋体"/>
          <w:b/>
          <w:bCs/>
          <w:sz w:val="24"/>
          <w:szCs w:val="24"/>
          <w:highlight w:val="none"/>
        </w:rPr>
        <w:t xml:space="preserve">全年总工作时长为140160小时，其中专职保安标准工时91264小时，辅助工时48896小时。</w:t>
      </w:r>
      <w:r>
        <w:rPr>
          <w:rFonts w:hint="eastAsia" w:ascii="宋体" w:hAnsi="宋体" w:cs="宋体"/>
          <w:b/>
          <w:bCs/>
          <w:sz w:val="24"/>
          <w:szCs w:val="24"/>
          <w:highlight w:val="none"/>
          <w:lang w:val="en-US" w:eastAsia="zh-CN"/>
        </w:rPr>
        <w:t xml:space="preserve">高邮湖校区</w:t>
      </w:r>
      <w:r>
        <w:rPr>
          <w:rFonts w:hint="eastAsia" w:ascii="宋体" w:hAnsi="宋体" w:cs="宋体"/>
          <w:b/>
          <w:bCs/>
          <w:sz w:val="24"/>
          <w:szCs w:val="24"/>
          <w:highlight w:val="none"/>
        </w:rPr>
        <w:t xml:space="preserve">全年总工作时长为110960小时，其中专职保安标准工时75392小时，辅助工时35568小时。专职保安标准工时法定每日8小时基础执勤工时，辅助工时包含超时、周末、法定节假日加班及轮休顶岗工时。</w:t>
      </w:r>
      <w:r/>
    </w:p>
    <w:p>
      <w:pPr>
        <w:ind w:firstLine="420"/>
        <w:spacing w:line="440" w:lineRule="exact"/>
        <w:rPr>
          <w:highlight w:val="none"/>
        </w:rPr>
      </w:pPr>
      <w:r>
        <w:rPr>
          <w:rFonts w:hint="eastAsia" w:ascii="宋体" w:hAnsi="宋体" w:cs="宋体"/>
          <w:i/>
          <w:sz w:val="24"/>
          <w:szCs w:val="24"/>
          <w:highlight w:val="none"/>
          <w:u w:val="single"/>
        </w:rPr>
        <w:t xml:space="preserve">1.本项目按校区固定总价报价，应含专职保安人员工资薪酬及为完成招标文件规定的服务工作所涉及到的一切相关费用。其中，两校区人员工资不低于当地最低工资标准；社会保险（养老、失业、工伤）、医疗保险（医疗、大病救助）、住房公积金缴费基数不低于扬州现行缴费基数；法定节假日加班费按照13天/年为全员测算；给23名室外巡逻岗发放高温补贴；给专职保安人员每年缴纳保额不低于30万元的意外伤害保险。采购人在履约期间付款前会核查上述费用是否依法依规缴纳。</w:t>
      </w:r>
      <w:r/>
    </w:p>
    <w:p>
      <w:pPr>
        <w:ind w:firstLine="420"/>
        <w:spacing w:line="440" w:lineRule="exact"/>
        <w:rPr>
          <w:rFonts w:hint="eastAsia" w:ascii="宋体" w:hAnsi="宋体" w:eastAsia="宋体" w:cs="宋体"/>
          <w:i/>
          <w:sz w:val="24"/>
          <w:szCs w:val="24"/>
          <w:u w:val="single"/>
        </w:rPr>
      </w:pPr>
      <w:r>
        <w:rPr>
          <w:rFonts w:hint="eastAsia" w:ascii="宋体" w:hAnsi="宋体" w:cs="宋体"/>
          <w:i/>
          <w:sz w:val="24"/>
          <w:szCs w:val="24"/>
          <w:u w:val="single"/>
          <w:lang w:val="en-US" w:eastAsia="zh-CN"/>
        </w:rPr>
        <w:t xml:space="preserve">2</w:t>
      </w:r>
      <w:r>
        <w:rPr>
          <w:rFonts w:hint="eastAsia" w:ascii="宋体" w:hAnsi="宋体" w:eastAsia="宋体" w:cs="宋体"/>
          <w:i/>
          <w:sz w:val="24"/>
          <w:szCs w:val="24"/>
          <w:u w:val="single"/>
        </w:rPr>
        <w:t xml:space="preserve">.投标人承诺：如中标，应将保安人员资料送公安局治安警察支队备案。</w:t>
      </w:r>
      <w:r>
        <w:rPr>
          <w:rFonts w:hint="eastAsia" w:ascii="宋体" w:hAnsi="宋体" w:cs="宋体"/>
          <w:i/>
          <w:sz w:val="24"/>
          <w:szCs w:val="24"/>
          <w:highlight w:val="none"/>
          <w:u w:val="single"/>
        </w:rPr>
        <w:t xml:space="preserve">（须提供承诺，格式自拟，扫描上传）。</w:t>
      </w:r>
      <w:r/>
    </w:p>
    <w:p>
      <w:pPr>
        <w:ind w:firstLine="420"/>
        <w:spacing w:line="440" w:lineRule="exact"/>
        <w:rPr>
          <w:rFonts w:hint="eastAsia" w:ascii="宋体" w:hAnsi="宋体"/>
          <w:b w:val="0"/>
          <w:bCs/>
          <w:i/>
          <w:color w:val="000000" w:themeColor="text1"/>
          <w:sz w:val="24"/>
          <w:szCs w:val="24"/>
          <w:u w:val="single"/>
          <w14:textFill>
            <w14:solidFill>
              <w14:schemeClr w14:val="tx1"/>
            </w14:solidFill>
          </w14:textFill>
        </w:rPr>
      </w:pPr>
      <w:r>
        <w:rPr>
          <w:rFonts w:hint="eastAsia" w:ascii="宋体" w:hAnsi="宋体"/>
          <w:b w:val="0"/>
          <w:bCs/>
          <w:i/>
          <w:color w:val="000000" w:themeColor="text1"/>
          <w:sz w:val="24"/>
          <w:szCs w:val="24"/>
          <w:u w:val="single"/>
          <w:lang w:val="en-US" w:eastAsia="zh-CN"/>
          <w14:textFill>
            <w14:solidFill>
              <w14:schemeClr w14:val="tx1"/>
            </w14:solidFill>
          </w14:textFill>
        </w:rPr>
        <w:t xml:space="preserve">3.</w:t>
      </w:r>
      <w:r>
        <w:rPr>
          <w:rFonts w:hint="eastAsia" w:ascii="宋体" w:hAnsi="宋体"/>
          <w:b w:val="0"/>
          <w:bCs/>
          <w:i/>
          <w:color w:val="000000" w:themeColor="text1"/>
          <w:sz w:val="24"/>
          <w:szCs w:val="24"/>
          <w:u w:val="single"/>
          <w14:textFill>
            <w14:solidFill>
              <w14:schemeClr w14:val="tx1"/>
            </w14:solidFill>
          </w14:textFill>
        </w:rPr>
        <w:t xml:space="preserve">所有人员要求身体健康、无传染性疾病、不接受病退或领取病残津贴人员。</w:t>
      </w:r>
      <w:r>
        <w:rPr>
          <w:rFonts w:hint="eastAsia" w:ascii="宋体" w:hAnsi="宋体"/>
          <w:bCs/>
          <w:i/>
          <w:color w:val="000000" w:themeColor="text1"/>
          <w:sz w:val="24"/>
          <w:szCs w:val="24"/>
          <w:highlight w:val="none"/>
          <w:u w:val="single"/>
          <w14:textFill>
            <w14:solidFill>
              <w14:schemeClr w14:val="tx1"/>
            </w14:solidFill>
          </w14:textFill>
        </w:rPr>
        <w:t xml:space="preserve">（须提供承诺，格式自拟，扫描上传）</w:t>
      </w:r>
      <w:r/>
    </w:p>
    <w:p>
      <w:pPr>
        <w:ind w:firstLine="420"/>
        <w:spacing w:line="440" w:lineRule="exact"/>
        <w:rPr>
          <w:rFonts w:hint="eastAsia" w:ascii="宋体" w:hAnsi="宋体"/>
          <w:b w:val="0"/>
          <w:bCs w:val="0"/>
          <w:i/>
          <w:iCs/>
          <w:sz w:val="24"/>
          <w:szCs w:val="24"/>
          <w:u w:val="single"/>
          <w:lang w:eastAsia="zh-CN"/>
        </w:rPr>
      </w:pPr>
      <w:r>
        <w:rPr>
          <w:rFonts w:hint="eastAsia" w:ascii="宋体" w:hAnsi="宋体"/>
          <w:b w:val="0"/>
          <w:bCs w:val="0"/>
          <w:i/>
          <w:iCs/>
          <w:sz w:val="24"/>
          <w:szCs w:val="24"/>
          <w:u w:val="single"/>
          <w:lang w:val="en-US" w:eastAsia="zh-CN"/>
        </w:rPr>
        <w:t xml:space="preserve">4.</w:t>
      </w:r>
      <w:r>
        <w:rPr>
          <w:rFonts w:hint="eastAsia" w:ascii="宋体" w:hAnsi="宋体"/>
          <w:b w:val="0"/>
          <w:bCs w:val="0"/>
          <w:i/>
          <w:iCs/>
          <w:sz w:val="24"/>
          <w:szCs w:val="24"/>
          <w:u w:val="single"/>
        </w:rPr>
        <w:t xml:space="preserve">本项目不接受退伍军人税收补助优惠政策。依法缴纳社保、医保、住房公积金的</w:t>
      </w:r>
      <w:r>
        <w:rPr>
          <w:rFonts w:hint="eastAsia" w:ascii="宋体" w:hAnsi="宋体"/>
          <w:i/>
          <w:iCs/>
          <w:sz w:val="24"/>
          <w:szCs w:val="24"/>
          <w:highlight w:val="none"/>
          <w:u w:val="single"/>
        </w:rPr>
        <w:t xml:space="preserve">人</w:t>
      </w:r>
      <w:r>
        <w:rPr>
          <w:rFonts w:hint="eastAsia" w:ascii="宋体" w:hAnsi="宋体"/>
          <w:i/>
          <w:iCs/>
          <w:sz w:val="24"/>
          <w:szCs w:val="24"/>
          <w:highlight w:val="none"/>
          <w:u w:val="single"/>
          <w:lang w:val="en-US" w:eastAsia="zh-CN"/>
        </w:rPr>
        <w:t xml:space="preserve">数为84人</w:t>
      </w:r>
      <w:r>
        <w:rPr>
          <w:rFonts w:hint="eastAsia" w:ascii="宋体" w:hAnsi="宋体"/>
          <w:i/>
          <w:iCs/>
          <w:sz w:val="24"/>
          <w:szCs w:val="24"/>
          <w:u w:val="single"/>
          <w:lang w:val="en-US" w:eastAsia="zh-CN"/>
        </w:rPr>
        <w:t xml:space="preserve">（</w:t>
      </w:r>
      <w:r>
        <w:rPr>
          <w:rFonts w:hint="eastAsia" w:ascii="宋体" w:hAnsi="宋体"/>
          <w:i/>
          <w:iCs/>
          <w:sz w:val="24"/>
          <w:szCs w:val="24"/>
          <w:u w:val="single"/>
        </w:rPr>
        <w:t xml:space="preserve">不考虑扣除国家补贴、优惠、减免等相关政策费用</w:t>
      </w:r>
      <w:r>
        <w:rPr>
          <w:rFonts w:hint="eastAsia" w:ascii="宋体" w:hAnsi="宋体"/>
          <w:i/>
          <w:iCs/>
          <w:sz w:val="24"/>
          <w:szCs w:val="24"/>
          <w:u w:val="single"/>
          <w:lang w:val="en-US" w:eastAsia="zh-CN"/>
        </w:rPr>
        <w:t xml:space="preserve">）</w:t>
      </w:r>
      <w:r>
        <w:rPr>
          <w:rFonts w:hint="eastAsia" w:ascii="宋体" w:hAnsi="宋体"/>
          <w:b w:val="0"/>
          <w:bCs w:val="0"/>
          <w:i/>
          <w:iCs/>
          <w:sz w:val="24"/>
          <w:szCs w:val="24"/>
          <w:u w:val="single"/>
          <w:lang w:eastAsia="zh-CN"/>
        </w:rPr>
        <w:t xml:space="preserve">。</w:t>
      </w:r>
      <w:r/>
    </w:p>
    <w:p>
      <w:pPr>
        <w:pStyle w:val="770"/>
        <w:ind w:firstLine="480"/>
        <w:rPr>
          <w:rFonts w:hint="eastAsia"/>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在合同履行期内，因国家或地方政府法律法规、政策性调整导致合同履行成本增加或减少的，由此产生的费用增减风险由采购人与中标人协商解决。</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.采购人不负责中标人所有工作人员的衣食住行等非合同约定事项。</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.中标人在签订合同时应向采购人提供派入服务人员花名册。</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.中标人的服务人员须服从采购人的工作安排以及统一调配的要求。</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.如果发生因中标人工作失职造成消防事故、失窃事件或其他财产损失和人身伤害，均由中标人承担经济和法律责任。</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.中标人不得利用服务区域内的采购人房产、物业、水电等资源从事经营活动，不能改变其使用性质。</w:t>
      </w:r>
      <w:r/>
    </w:p>
    <w:p>
      <w:pPr>
        <w:ind w:firstLine="420"/>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.中标人不得随意调整主要管理人员和重要技术岗位人员，如需调整须经采购人同意和备案。</w:t>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七、工作考核</w:t>
      </w:r>
      <w:r/>
    </w:p>
    <w:p>
      <w:pPr>
        <w:ind w:firstLine="42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（一）考核制度</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1.据甲乙双方约定的质量标准及要求实施计分考核。基准分值为100分，具体考核每月一次、全年汇总。</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保安管理服务费与服务质量考核结果挂钩。每月考核得分达到90分（含90分）的为合格。当月考核不合格的，每低1分，扣除当月应付保安管理服务费的2%；全年考核平均得分低于90分（含90分）的，在月度扣罚的基础上，每低1分，再扣罚全年服务费的1%。如单月得分低于60分或连续3个月考核不合格的，甲方有权解除合同。</w:t>
      </w:r>
      <w:r/>
    </w:p>
    <w:p>
      <w:pPr>
        <w:ind w:firstLine="42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（二）校园保安考核细则及评分</w:t>
      </w:r>
      <w:r/>
    </w:p>
    <w:tbl>
      <w:tblPr>
        <w:tblStyle w:val="769"/>
        <w:tblW w:w="861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0"/>
        <w:gridCol w:w="1227"/>
        <w:gridCol w:w="4077"/>
        <w:gridCol w:w="672"/>
        <w:gridCol w:w="1934"/>
      </w:tblGrid>
      <w:tr>
        <w:trPr>
          <w:jc w:val="center"/>
          <w:trHeight w:val="222"/>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227"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w:t>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标准</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扣分标准</w:t>
            </w:r>
            <w:r/>
          </w:p>
        </w:tc>
      </w:tr>
      <w:tr>
        <w:trPr>
          <w:jc w:val="center"/>
          <w:trHeight w:val="535"/>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仪容仪表</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保持衣冠整洁，并按规定统一穿制服。</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违规一人次扣1分</w:t>
            </w:r>
            <w:r/>
          </w:p>
        </w:tc>
      </w:tr>
      <w:tr>
        <w:trPr>
          <w:jc w:val="center"/>
          <w:trHeight w:val="204"/>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男员工不准留长发、胡须、长指甲，不得剃光头，不得随地吐痰，工作场所内不准吸烟等；标准分值3分，违规一人次扣1分。</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违规一人次扣1分</w:t>
            </w:r>
            <w:r/>
          </w:p>
        </w:tc>
      </w:tr>
      <w:tr>
        <w:trPr>
          <w:jc w:val="center"/>
          <w:trHeight w:val="204"/>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微笑服务；当班期间，有校领导或上级主管部门领导带客经过岗位时要求敬礼, 行政楼保安对进出办公人员敬礼。</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违规一人次扣0.5分</w:t>
            </w:r>
            <w:r/>
          </w:p>
        </w:tc>
      </w:tr>
      <w:tr>
        <w:trPr>
          <w:jc w:val="center"/>
          <w:trHeight w:val="204"/>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举止文明大方；动作手势规范、准确、有力；不可将手插入口袋，不可勾肩搭背。</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违规一人次扣0.5分</w:t>
            </w:r>
            <w:r/>
          </w:p>
        </w:tc>
      </w:tr>
      <w:tr>
        <w:trPr>
          <w:jc w:val="center"/>
          <w:trHeight w:val="204"/>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服务态度</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精神饱满、热情，按规定使用礼貌用语，主动与教职员工和同事打招呼；工作过程中使用规范礼貌用语，微笑服务，热情待客。</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违规一人次扣1分</w:t>
            </w:r>
            <w:r/>
          </w:p>
        </w:tc>
      </w:tr>
      <w:tr>
        <w:trPr>
          <w:jc w:val="center"/>
          <w:trHeight w:val="1623"/>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服务意识良好，能够积极接受师生员工的意见，不与师生员工发生争吵或有失敬、失礼的行为。</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违规一人次扣1分</w:t>
            </w:r>
            <w:r/>
          </w:p>
        </w:tc>
      </w:tr>
      <w:tr>
        <w:trPr>
          <w:jc w:val="center"/>
          <w:trHeight w:val="195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工作纪律</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（25分）</w:t>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按规定作息时间提前10分钟到岗。</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迟到、早退各扣1分/次•人，旷工一天扣5分/次•人，无故矿工二天以上的做辞退处理</w:t>
            </w:r>
            <w:r/>
          </w:p>
        </w:tc>
      </w:tr>
      <w:tr>
        <w:trPr>
          <w:jc w:val="center"/>
          <w:trHeight w:val="204"/>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上班时不得擅自离岗、脱岗、串岗、睡岗；不聚众闲聊、不做与本职工作无关的事情；不得抽烟。</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违规一人次扣2分</w:t>
            </w:r>
            <w:r/>
          </w:p>
        </w:tc>
      </w:tr>
      <w:tr>
        <w:trPr>
          <w:jc w:val="center"/>
          <w:trHeight w:val="1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未经队长同意或上级主管领导批准自行调班、顶班的;</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违规一次扣0.5分</w:t>
            </w:r>
            <w:r/>
          </w:p>
        </w:tc>
      </w:tr>
      <w:tr>
        <w:trPr>
          <w:jc w:val="center"/>
          <w:trHeight w:val="234"/>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诚实公正廉洁、遵守学校各项规章制度，服从领导、听从指挥，对领导工作指示及安排无不执行或蓄意违抗现象。</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违规一次扣2分</w:t>
            </w:r>
            <w:r/>
          </w:p>
        </w:tc>
      </w:tr>
      <w:tr>
        <w:trPr>
          <w:jc w:val="center"/>
          <w:trHeight w:val="1037"/>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严禁酒后上岗。</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违规一次扣5分，当事人作辞退处理。</w:t>
            </w:r>
            <w:r/>
          </w:p>
        </w:tc>
      </w:tr>
      <w:tr>
        <w:trPr>
          <w:jc w:val="center"/>
          <w:trHeight w:val="1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未经同意，私自挪用、侵占学校财物的; </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违规一次扣2分</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工作要求</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（55分）</w:t>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安保人员足员在岗。</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违犯扣2分/人•天</w:t>
            </w:r>
            <w:r/>
          </w:p>
        </w:tc>
      </w:tr>
      <w:tr>
        <w:trPr>
          <w:jc w:val="center"/>
          <w:trHeight w:val="361"/>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门岗、值班室物品摆放规整、规范，个人卫生和工作环境的整洁；校门广场的环境卫生保洁是否到位。</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校门管理未履职尽责；人员、车辆进入没有履行检查、登记手续放行；校园物品出校门没有履行检查、登记手续放行的。</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发生校外人员尾随进校的。</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r>
        <w:trPr>
          <w:jc w:val="center"/>
          <w:trHeight w:val="1477"/>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发生案件未及时处理报告上报；因失职而造成事故。发生火灾，未采取有效措施，并立即报告学校保卫处的，火势过大未及时报警的。</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违规一次扣2分；</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造成一般事故，一次扣5分；</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造成重大事故的，一次扣10分，当事人作辞退或交公安机关处理。</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校园围墙、围栏、路灯等公共设施存在安全隐患或损坏未能及上报；校园内摆摊设点、校内施工、校内室外标语宣传、横幅悬挂等未履行检查、登记手续或放任不管，校内乱贴小广告的清除力度不够（2天含以上没有清理）。</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巡逻未履职尽责，安全巡查不到位，消防重点部位、治安重点防范部位检查不到位；不按规定时间和规定路线巡查或巡查不作记录和记录不实、书写不规范、有涂改。</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不按规定指挥车辆出入或停放的；利用职能之便,故意刁难车主；车辆没按规定停放或停放不整齐，巡查时未及时整理的或未阻止违章停放的。</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70"/>
        <w:rPr>
          <w:rFonts w:ascii="宋体" w:hAnsi="宋体" w:eastAsia="宋体" w:cs="宋体"/>
          <w:color w:val="000000"/>
          <w:sz w:val="21"/>
        </w:rPr>
      </w:pPr>
      <w:r>
        <w:rPr>
          <w:rFonts w:ascii="宋体" w:hAnsi="宋体" w:eastAsia="宋体" w:cs="宋体"/>
          <w:color w:val="000000"/>
          <w:sz w:val="21"/>
        </w:rPr>
      </w:r>
      <w:r/>
    </w:p>
    <w:p>
      <w:pPr>
        <w:pStyle w:val="772"/>
        <w:rPr>
          <w:rFonts w:ascii="宋体" w:hAnsi="宋体" w:eastAsia="宋体" w:cs="宋体"/>
          <w:color w:val="000000"/>
          <w:sz w:val="21"/>
        </w:rPr>
      </w:pPr>
      <w:r>
        <w:rPr>
          <w:rFonts w:ascii="宋体" w:hAnsi="宋体" w:eastAsia="宋体" w:cs="宋体"/>
          <w:color w:val="000000"/>
          <w:sz w:val="21"/>
        </w:rPr>
      </w:r>
      <w:r/>
    </w:p>
    <w:p>
      <w:pPr>
        <w:rPr>
          <w:rFonts w:ascii="宋体" w:hAnsi="宋体" w:eastAsia="宋体" w:cs="宋体"/>
          <w:color w:val="000000"/>
          <w:sz w:val="21"/>
        </w:rPr>
      </w:pPr>
      <w:r>
        <w:rPr>
          <w:rFonts w:ascii="宋体" w:hAnsi="宋体" w:eastAsia="宋体" w:cs="宋体"/>
          <w:color w:val="000000"/>
          <w:sz w:val="21"/>
        </w:rPr>
      </w:r>
      <w:r/>
    </w:p>
    <w:p>
      <w:pPr>
        <w:pStyle w:val="770"/>
        <w:rPr>
          <w:rFonts w:ascii="宋体" w:hAnsi="宋体" w:eastAsia="宋体" w:cs="宋体"/>
          <w:color w:val="000000"/>
          <w:sz w:val="21"/>
        </w:rPr>
      </w:pPr>
      <w:r>
        <w:rPr>
          <w:rFonts w:ascii="宋体" w:hAnsi="宋体" w:eastAsia="宋体" w:cs="宋体"/>
          <w:color w:val="000000"/>
          <w:sz w:val="21"/>
        </w:rPr>
      </w:r>
      <w:r/>
    </w:p>
    <w:p>
      <w:pPr>
        <w:pStyle w:val="772"/>
        <w:rPr>
          <w:rFonts w:ascii="宋体" w:hAnsi="宋体" w:eastAsia="宋体" w:cs="宋体"/>
          <w:color w:val="000000"/>
          <w:sz w:val="21"/>
        </w:rPr>
      </w:pPr>
      <w:r>
        <w:rPr>
          <w:rFonts w:ascii="宋体" w:hAnsi="宋体" w:eastAsia="宋体" w:cs="宋体"/>
          <w:color w:val="000000"/>
          <w:sz w:val="21"/>
        </w:rPr>
      </w:r>
      <w:r/>
    </w:p>
    <w:p>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70"/>
      </w:pPr>
      <w:r/>
      <w:r/>
    </w:p>
    <w:p>
      <w:pPr>
        <w:pStyle w:val="945"/>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96"/>
        <w:tblW w:w="904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0"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96"/>
        <w:tblW w:w="896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7"/>
        <w:gridCol w:w="65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7.采购本国产品的支持政策</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eastAsia="宋体"/>
          <w:color w:val="000000"/>
          <w:sz w:val="24"/>
          <w:szCs w:val="24"/>
          <w:highlight w:val="none"/>
        </w:rPr>
        <w:t xml:space="preserve">。</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7.2 </w:t>
      </w:r>
      <w:r>
        <w:rPr>
          <w:rFonts w:hint="eastAsia" w:ascii="宋体" w:hAnsi="宋体" w:eastAsia="宋体"/>
          <w:color w:val="000000"/>
          <w:sz w:val="24"/>
          <w:szCs w:val="24"/>
          <w:highlight w:val="none"/>
        </w:rPr>
        <w:t xml:space="preserve">供应商需按照</w:t>
      </w:r>
      <w:r>
        <w:rPr>
          <w:rFonts w:hint="eastAsia" w:ascii="宋体" w:hAnsi="宋体" w:eastAsia="宋体"/>
          <w:color w:val="000000"/>
          <w:sz w:val="24"/>
          <w:szCs w:val="24"/>
          <w:highlight w:val="none"/>
          <w:lang w:eastAsia="zh-CN"/>
        </w:rPr>
        <w:t xml:space="preserve">招标</w:t>
      </w:r>
      <w:r>
        <w:rPr>
          <w:rFonts w:hint="eastAsia" w:ascii="宋体" w:hAnsi="宋体" w:eastAsia="宋体"/>
          <w:color w:val="000000"/>
          <w:sz w:val="24"/>
          <w:szCs w:val="24"/>
          <w:highlight w:val="none"/>
        </w:rPr>
        <w:t xml:space="preserve">文件的要求提供《关于符合本国产品标准的声明函》</w:t>
      </w:r>
      <w:r>
        <w:rPr>
          <w:rFonts w:hint="eastAsia" w:ascii="宋体" w:hAnsi="宋体" w:eastAsia="宋体"/>
          <w:color w:val="000000"/>
          <w:sz w:val="24"/>
          <w:szCs w:val="24"/>
          <w:highlight w:val="none"/>
          <w:lang w:eastAsia="zh-CN"/>
        </w:rPr>
        <w:t xml:space="preserve">（以下简称《声明函》），如不提供</w:t>
      </w:r>
      <w:r>
        <w:rPr>
          <w:rFonts w:hint="eastAsia" w:ascii="宋体" w:hAnsi="宋体" w:eastAsia="宋体"/>
          <w:color w:val="000000"/>
          <w:sz w:val="24"/>
          <w:szCs w:val="24"/>
          <w:highlight w:val="none"/>
          <w:lang w:val="en-US" w:eastAsia="zh-CN"/>
        </w:rPr>
        <w:t xml:space="preserve">将不享受本国产品价格评审优惠</w:t>
      </w:r>
      <w:r>
        <w:rPr>
          <w:rFonts w:hint="eastAsia" w:ascii="宋体" w:hAnsi="宋体" w:eastAsia="宋体"/>
          <w:color w:val="000000"/>
          <w:sz w:val="24"/>
          <w:szCs w:val="24"/>
          <w:highlight w:val="none"/>
        </w:rPr>
        <w:t xml:space="preserve">。</w:t>
      </w:r>
      <w:r/>
    </w:p>
    <w:p>
      <w:pPr>
        <w:ind w:firstLine="480"/>
        <w:jc w:val="left"/>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供应商需在《声明函》中逐一、准确填写产品名称、厂名、生产厂址三项信息</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《声明函》中标注“  /  ”的地方无需填写</w:t>
      </w:r>
      <w:r>
        <w:rPr>
          <w:rFonts w:hint="eastAsia" w:ascii="宋体" w:hAnsi="宋体" w:eastAsia="宋体"/>
          <w:color w:val="auto"/>
          <w:sz w:val="24"/>
          <w:szCs w:val="24"/>
          <w:highlight w:val="none"/>
        </w:rPr>
        <w:t xml:space="preserve">）</w:t>
      </w:r>
      <w:r>
        <w:rPr>
          <w:rFonts w:hint="eastAsia" w:ascii="宋体" w:hAnsi="宋体" w:eastAsia="宋体"/>
          <w:color w:val="000000"/>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olor w:val="000000"/>
          <w:sz w:val="24"/>
          <w:szCs w:val="24"/>
          <w:highlight w:val="none"/>
          <w:lang w:eastAsia="zh-CN"/>
        </w:rPr>
        <w:t xml:space="preserve">和招标文件</w:t>
      </w:r>
      <w:r>
        <w:rPr>
          <w:rFonts w:hint="eastAsia" w:ascii="宋体" w:hAnsi="宋体" w:eastAsia="宋体"/>
          <w:color w:val="000000"/>
          <w:sz w:val="24"/>
          <w:szCs w:val="24"/>
          <w:highlight w:val="none"/>
        </w:rPr>
        <w:t xml:space="preserve">规定的，供应商提供的相关产品视为不符合本国产品标准。</w:t>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69"/>
        <w:tblW w:w="965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8379"/>
      </w:tblGrid>
      <w:tr>
        <w:trPr>
          <w:jc w:val="center"/>
        </w:trPr>
        <w:tc>
          <w:tcPr>
            <w:tcW w:w="1278" w:type="dxa"/>
            <w:vAlign w:val="center"/>
            <w:textDirection w:val="lrTb"/>
            <w:noWrap w:val="false"/>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W w:w="8379" w:type="dxa"/>
            <w:vAlign w:val="center"/>
            <w:textDirection w:val="lrTb"/>
            <w:noWrap w:val="false"/>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Height w:val="810"/>
        </w:trPr>
        <w:tc>
          <w:tcPr>
            <w:tcW w:w="1278"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报价</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8379"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bCs/>
                <w:sz w:val="24"/>
                <w:szCs w:val="24"/>
              </w:rPr>
              <w:t xml:space="preserve">以满足招标文件要求的最低投标报价为评标基准价，得满分10分，其他投标报价得分=(评标基准价／其他投标报价)×10×100%。</w:t>
            </w:r>
            <w:r/>
          </w:p>
        </w:tc>
      </w:tr>
      <w:tr>
        <w:trPr>
          <w:jc w:val="center"/>
        </w:trPr>
        <w:tc>
          <w:tcPr>
            <w:tcW w:w="1278"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服务方案（5</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c>
          <w:tcPr>
            <w:tcW w:w="8379" w:type="dxa"/>
            <w:vAlign w:val="center"/>
            <w:textDirection w:val="lrTb"/>
            <w:noWrap w:val="false"/>
          </w:tcPr>
          <w:p>
            <w:pPr>
              <w:numPr>
                <w:ilvl w:val="0"/>
                <w:numId w:val="0"/>
              </w:numPr>
              <w:spacing w:line="440" w:lineRule="exact"/>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1.人员管理（满分5分）：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结合本项目需求，制定完整人员管理方案；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2.门卫管理（满分5分）：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针对本项目需求，制定规范门卫管理实施方案；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3.交通管理</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针对本项目需求，制定交通管理实施方案；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4.巡逻及监管（满分5分）：</w:t>
            </w:r>
            <w:r>
              <w:rPr>
                <w:rFonts w:hint="eastAsia" w:ascii="宋体" w:hAnsi="宋体" w:eastAsia="宋体" w:cs="宋体"/>
                <w:color w:val="000000" w:themeColor="text1"/>
                <w:spacing w:val="7"/>
                <w:sz w:val="24"/>
                <w:szCs w:val="24"/>
                <w:highlight w:val="none"/>
                <w14:textFill>
                  <w14:solidFill>
                    <w14:schemeClr w14:val="tx1"/>
                  </w14:solidFill>
                </w14:textFill>
              </w:rPr>
              <w:t xml:space="preserve">针对本项目的工作需求，有合理的人员、车辆的巡逻驾驶及监管方案；方案优于招标文件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5.活动保障（满分5分）：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针对本项目需求，制定专项安保活动保障方案；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6.突发事件处置（满分5分）：</w:t>
            </w:r>
            <w:r>
              <w:rPr>
                <w:rFonts w:hint="eastAsia" w:ascii="宋体" w:hAnsi="宋体" w:eastAsia="宋体" w:cs="宋体"/>
                <w:color w:val="000000" w:themeColor="text1"/>
                <w:spacing w:val="5"/>
                <w:sz w:val="24"/>
                <w:szCs w:val="24"/>
                <w:highlight w:val="none"/>
                <w14:textFill>
                  <w14:solidFill>
                    <w14:schemeClr w14:val="tx1"/>
                  </w14:solidFill>
                </w14:textFill>
              </w:rPr>
              <w:t xml:space="preserve">针对校园安保服务需求，编制完善突发事件应急处置方案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7.人员培训（满分5分）：</w:t>
            </w:r>
            <w:r>
              <w:rPr>
                <w:rFonts w:hint="eastAsia" w:ascii="宋体" w:hAnsi="宋体" w:eastAsia="宋体" w:cs="宋体"/>
                <w:color w:val="000000" w:themeColor="text1"/>
                <w:spacing w:val="5"/>
                <w:sz w:val="24"/>
                <w:szCs w:val="24"/>
                <w:highlight w:val="none"/>
                <w14:textFill>
                  <w14:solidFill>
                    <w14:schemeClr w14:val="tx1"/>
                  </w14:solidFill>
                </w14:textFill>
              </w:rPr>
              <w:t xml:space="preserve">针对本项目需求，制定系统化人员培训方案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8.项目进退场（满分5分）：</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具备完善的项目进场、退场及交接配合等方案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9.监控和消防控制室值班（满分5分）：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结合校园监控值守、消防控制室值班要求制定值班管理方案；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1699"/>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校园安保延伸配套服务（满分5分）：</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根据本项目要求及特点，制定校园安保延伸配套服务方案；方案优于招标文件要求的得5分；方案</w:t>
            </w:r>
            <w:r>
              <w:rPr>
                <w:rFonts w:hint="eastAsia" w:ascii="宋体" w:hAnsi="宋体" w:eastAsia="宋体" w:cs="宋体"/>
                <w:b w:val="0"/>
                <w:bCs w:val="0"/>
                <w:color w:val="000000" w:themeColor="text1"/>
                <w:spacing w:val="6"/>
                <w:sz w:val="24"/>
                <w:szCs w:val="24"/>
                <w:highlight w:val="none"/>
                <w:lang w:val="en-US" w:eastAsia="zh-CN"/>
                <w14:textFill>
                  <w14:solidFill>
                    <w14:schemeClr w14:val="tx1"/>
                  </w14:solidFill>
                </w14:textFill>
              </w:rPr>
              <w:t xml:space="preserve">符合</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招标文件</w:t>
            </w:r>
            <w:r>
              <w:rPr>
                <w:rFonts w:hint="eastAsia" w:ascii="宋体" w:hAnsi="宋体" w:eastAsia="宋体" w:cs="宋体"/>
                <w:b w:val="0"/>
                <w:bCs w:val="0"/>
                <w:color w:val="000000" w:themeColor="text1"/>
                <w:spacing w:val="6"/>
                <w:sz w:val="24"/>
                <w:szCs w:val="24"/>
                <w:highlight w:val="none"/>
                <w:lang w:val="en-US" w:eastAsia="zh-CN"/>
                <w14:textFill>
                  <w14:solidFill>
                    <w14:schemeClr w14:val="tx1"/>
                  </w14:solidFill>
                </w14:textFill>
              </w:rPr>
              <w:t xml:space="preserve">要求</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的得3 分；方案不</w:t>
            </w:r>
            <w:r>
              <w:rPr>
                <w:rFonts w:hint="eastAsia" w:ascii="宋体" w:hAnsi="宋体" w:eastAsia="宋体" w:cs="宋体"/>
                <w:b w:val="0"/>
                <w:bCs w:val="0"/>
                <w:color w:val="000000" w:themeColor="text1"/>
                <w:spacing w:val="6"/>
                <w:sz w:val="24"/>
                <w:szCs w:val="24"/>
                <w:highlight w:val="none"/>
                <w:lang w:val="en-US" w:eastAsia="zh-CN"/>
                <w14:textFill>
                  <w14:solidFill>
                    <w14:schemeClr w14:val="tx1"/>
                  </w14:solidFill>
                </w14:textFill>
              </w:rPr>
              <w:t xml:space="preserve">符合</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综合实力（</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W w:w="8379" w:type="dxa"/>
            <w:vAlign w:val="center"/>
            <w:textDirection w:val="lrTb"/>
            <w:noWrap w:val="false"/>
          </w:tcPr>
          <w:p>
            <w:pPr>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1.拟派项目负责人（满分4分）</w:t>
            </w:r>
            <w:r/>
          </w:p>
          <w:p>
            <w:pPr>
              <w:numPr>
                <w:ilvl w:val="0"/>
                <w:numId w:val="11"/>
              </w:num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持有高级（三级）保安员及以上职业资格证书的，得1分；</w:t>
            </w:r>
            <w:r/>
          </w:p>
          <w:p>
            <w:pPr>
              <w:numPr>
                <w:ilvl w:val="0"/>
                <w:numId w:val="11"/>
              </w:num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持有中级（四级）</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消防设施操作员（监控操作方向）证书</w:t>
            </w:r>
            <w:r>
              <w:rPr>
                <w:rFonts w:hint="eastAsia" w:ascii="宋体" w:hAnsi="宋体" w:eastAsia="宋体" w:cs="宋体"/>
                <w:color w:val="000000" w:themeColor="text1"/>
                <w:sz w:val="24"/>
                <w:szCs w:val="24"/>
                <w14:textFill>
                  <w14:solidFill>
                    <w14:schemeClr w14:val="tx1"/>
                  </w14:solidFill>
                </w14:textFill>
              </w:rPr>
              <w:t xml:space="preserve">或中级及以上建（构）筑物消防员证书</w:t>
            </w:r>
            <w:r>
              <w:rPr>
                <w:rFonts w:hint="eastAsia" w:ascii="宋体" w:hAnsi="宋体" w:eastAsia="宋体" w:cs="宋体"/>
                <w:sz w:val="24"/>
                <w:szCs w:val="24"/>
              </w:rPr>
              <w:t xml:space="preserve">的，得 1 分；</w:t>
            </w:r>
            <w:r/>
          </w:p>
          <w:p>
            <w:pPr>
              <w:numPr>
                <w:ilvl w:val="0"/>
                <w:numId w:val="11"/>
              </w:num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为退伍军人的，得1分；</w:t>
            </w:r>
            <w:r/>
          </w:p>
          <w:p>
            <w:pPr>
              <w:numPr>
                <w:ilvl w:val="0"/>
                <w:numId w:val="11"/>
              </w:num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年1月1日至今（以项目合同签订时间为准）担任过类似项目的项目负责人的，得1分。</w:t>
            </w:r>
            <w:r/>
          </w:p>
          <w:p>
            <w:pPr>
              <w:spacing w:line="440" w:lineRule="exact"/>
              <w:widowControl/>
              <w:rPr>
                <w:rFonts w:hint="eastAsia" w:ascii="宋体" w:hAnsi="宋体" w:eastAsia="宋体" w:cs="宋体"/>
                <w:b/>
                <w:bCs/>
                <w:spacing w:val="6"/>
                <w:sz w:val="24"/>
                <w:szCs w:val="24"/>
              </w:rPr>
            </w:pPr>
            <w:r>
              <w:rPr>
                <w:rFonts w:hint="eastAsia" w:ascii="宋体" w:hAnsi="宋体" w:eastAsia="宋体" w:cs="宋体"/>
                <w:b/>
                <w:sz w:val="24"/>
                <w:szCs w:val="24"/>
              </w:rPr>
              <w:t xml:space="preserve">（以上提供相关有效证书、类似业绩合同及由类似业绩业主单位盖章后的项目负责人佐证材料、投标人近三个月</w:t>
            </w:r>
            <w:r>
              <w:rPr>
                <w:rFonts w:hint="eastAsia" w:ascii="宋体" w:hAnsi="宋体" w:eastAsia="宋体" w:cs="宋体"/>
                <w:b/>
                <w:sz w:val="24"/>
                <w:szCs w:val="24"/>
                <w:lang w:val="en-US" w:eastAsia="zh-CN"/>
              </w:rPr>
              <w:t xml:space="preserve">内</w:t>
            </w:r>
            <w:r>
              <w:rPr>
                <w:rFonts w:hint="eastAsia" w:ascii="宋体" w:hAnsi="宋体" w:eastAsia="宋体" w:cs="宋体"/>
                <w:b/>
                <w:sz w:val="24"/>
                <w:szCs w:val="24"/>
              </w:rPr>
              <w:t xml:space="preserve">任意一</w:t>
            </w:r>
            <w:r>
              <w:rPr>
                <w:rFonts w:hint="eastAsia" w:ascii="宋体" w:hAnsi="宋体" w:eastAsia="宋体" w:cs="宋体"/>
                <w:b/>
                <w:sz w:val="24"/>
                <w:szCs w:val="24"/>
                <w:lang w:val="en-US" w:eastAsia="zh-CN"/>
              </w:rPr>
              <w:t xml:space="preserve">个</w:t>
            </w:r>
            <w:r>
              <w:rPr>
                <w:rFonts w:hint="eastAsia" w:ascii="宋体" w:hAnsi="宋体" w:eastAsia="宋体" w:cs="宋体"/>
                <w:b/>
                <w:sz w:val="24"/>
                <w:szCs w:val="24"/>
              </w:rPr>
              <w:t xml:space="preserve">月为其缴纳社保的证明材料，原件扫描上传，</w:t>
            </w:r>
            <w:r>
              <w:rPr>
                <w:rFonts w:hint="eastAsia" w:ascii="宋体" w:hAnsi="宋体" w:eastAsia="宋体" w:cs="宋体"/>
                <w:b/>
                <w:bCs/>
                <w:spacing w:val="7"/>
                <w:sz w:val="24"/>
                <w:szCs w:val="24"/>
              </w:rPr>
              <w:t xml:space="preserve">未提供不得分</w:t>
            </w:r>
            <w:r>
              <w:rPr>
                <w:rFonts w:hint="eastAsia" w:ascii="宋体" w:hAnsi="宋体" w:eastAsia="宋体" w:cs="宋体"/>
                <w:b/>
                <w:sz w:val="24"/>
                <w:szCs w:val="24"/>
              </w:rPr>
              <w:t xml:space="preserve">）；</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379" w:type="dxa"/>
            <w:vAlign w:val="center"/>
            <w:textDirection w:val="lrTb"/>
            <w:noWrap w:val="false"/>
          </w:tcPr>
          <w:p>
            <w:pPr>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2.拟派的项目人员中（不含项目负责人）</w:t>
            </w:r>
            <w:r>
              <w:rPr>
                <w:rFonts w:hint="eastAsia" w:ascii="宋体" w:hAnsi="宋体" w:eastAsia="宋体" w:cs="宋体"/>
                <w:b/>
                <w:bCs/>
                <w:color w:val="000000" w:themeColor="text1"/>
                <w:sz w:val="24"/>
                <w:szCs w:val="24"/>
                <w:highlight w:val="none"/>
                <w14:textFill>
                  <w14:solidFill>
                    <w14:schemeClr w14:val="tx1"/>
                  </w14:solidFill>
                </w14:textFill>
              </w:rPr>
              <w:t xml:space="preserve">（满分21分）</w:t>
            </w:r>
            <w:r/>
          </w:p>
          <w:p>
            <w:pPr>
              <w:numPr>
                <w:ilvl w:val="0"/>
                <w:numId w:val="12"/>
              </w:numPr>
              <w:ind w:firstLine="480"/>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投标人拟派的项目组成员中持有高级（三级）保安员及以上职业资格证书或三级及以上保卫管理员证书的</w:t>
            </w:r>
            <w:r>
              <w:rPr>
                <w:rFonts w:hint="eastAsia" w:ascii="宋体" w:hAnsi="宋体" w:eastAsia="宋体" w:cs="宋体"/>
                <w:b/>
                <w:bCs/>
                <w:color w:val="000000" w:themeColor="text1"/>
                <w:sz w:val="24"/>
                <w:szCs w:val="24"/>
                <w:highlight w:val="none"/>
                <w14:textFill>
                  <w14:solidFill>
                    <w14:schemeClr w14:val="tx1"/>
                  </w14:solidFill>
                </w14:textFill>
              </w:rPr>
              <w:t xml:space="preserve">，每有1人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
                <w:bCs/>
                <w:color w:val="000000" w:themeColor="text1"/>
                <w:sz w:val="24"/>
                <w:szCs w:val="24"/>
                <w:highlight w:val="none"/>
                <w14:textFill>
                  <w14:solidFill>
                    <w14:schemeClr w14:val="tx1"/>
                  </w14:solidFill>
                </w14:textFill>
              </w:rPr>
              <w:t xml:space="preserve">0.5分，满分4分.</w:t>
            </w:r>
            <w:r/>
          </w:p>
          <w:p>
            <w:pPr>
              <w:numPr>
                <w:ilvl w:val="0"/>
                <w:numId w:val="13"/>
              </w:numPr>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投标人拟派的项目组成员中（不含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门卫</w:t>
            </w:r>
            <w:r>
              <w:rPr>
                <w:rFonts w:hint="eastAsia" w:ascii="宋体" w:hAnsi="宋体" w:eastAsia="宋体" w:cs="宋体"/>
                <w:color w:val="000000" w:themeColor="text1"/>
                <w:sz w:val="24"/>
                <w:szCs w:val="24"/>
                <w:highlight w:val="none"/>
                <w14:textFill>
                  <w14:solidFill>
                    <w14:schemeClr w14:val="tx1"/>
                  </w14:solidFill>
                </w14:textFill>
              </w:rPr>
              <w:t xml:space="preserve">要求的退伍军人）</w:t>
            </w:r>
            <w:r>
              <w:rPr>
                <w:rFonts w:hint="eastAsia" w:ascii="宋体" w:hAnsi="宋体" w:eastAsia="宋体" w:cs="宋体"/>
                <w:b/>
                <w:bCs/>
                <w:color w:val="000000" w:themeColor="text1"/>
                <w:sz w:val="24"/>
                <w:szCs w:val="24"/>
                <w:highlight w:val="none"/>
                <w14:textFill>
                  <w14:solidFill>
                    <w14:schemeClr w14:val="tx1"/>
                  </w14:solidFill>
                </w14:textFill>
              </w:rPr>
              <w:t xml:space="preserve">持有退役（伍）军人证的，每有一人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
                <w:bCs/>
                <w:color w:val="000000" w:themeColor="text1"/>
                <w:sz w:val="24"/>
                <w:szCs w:val="24"/>
                <w:highlight w:val="none"/>
                <w14:textFill>
                  <w14:solidFill>
                    <w14:schemeClr w14:val="tx1"/>
                  </w14:solidFill>
                </w14:textFill>
              </w:rPr>
              <w:t xml:space="preserve">1分，满分4分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13"/>
              </w:numPr>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投标人拟派的项目组成员中（不含安消监控室消防值班人员）</w:t>
            </w:r>
            <w:r>
              <w:rPr>
                <w:rFonts w:hint="eastAsia" w:ascii="宋体" w:hAnsi="宋体" w:eastAsia="宋体" w:cs="宋体"/>
                <w:bCs/>
                <w:color w:val="000000" w:themeColor="text1"/>
                <w:sz w:val="24"/>
                <w:szCs w:val="24"/>
                <w:highlight w:val="none"/>
                <w14:textFill>
                  <w14:solidFill>
                    <w14:schemeClr w14:val="tx1"/>
                  </w14:solidFill>
                </w14:textFill>
              </w:rPr>
              <w:t xml:space="preserve">持有中级（四级）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消防设施操作员（监控操作方向）证书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或中级及以上建（构）筑物消防员证书</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
                <w:color w:val="000000" w:themeColor="text1"/>
                <w:sz w:val="24"/>
                <w:szCs w:val="24"/>
                <w:highlight w:val="none"/>
                <w14:textFill>
                  <w14:solidFill>
                    <w14:schemeClr w14:val="tx1"/>
                  </w14:solidFill>
                </w14:textFill>
              </w:rPr>
              <w:t xml:space="preserve">每有一人</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
                <w:color w:val="000000" w:themeColor="text1"/>
                <w:sz w:val="24"/>
                <w:szCs w:val="24"/>
                <w:highlight w:val="none"/>
                <w14:textFill>
                  <w14:solidFill>
                    <w14:schemeClr w14:val="tx1"/>
                  </w14:solidFill>
                </w14:textFill>
              </w:rPr>
              <w:t xml:space="preserve">0.5分，满分5分.</w:t>
            </w:r>
            <w:r/>
          </w:p>
          <w:p>
            <w:pPr>
              <w:numPr>
                <w:ilvl w:val="0"/>
                <w:numId w:val="13"/>
              </w:numPr>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校园</w:t>
            </w:r>
            <w:r>
              <w:rPr>
                <w:rFonts w:hint="eastAsia" w:ascii="宋体" w:hAnsi="宋体" w:eastAsia="宋体" w:cs="宋体"/>
                <w:color w:val="000000" w:themeColor="text1"/>
                <w:sz w:val="24"/>
                <w:szCs w:val="24"/>
                <w:highlight w:val="none"/>
                <w14:textFill>
                  <w14:solidFill>
                    <w14:schemeClr w14:val="tx1"/>
                  </w14:solidFill>
                </w14:textFill>
              </w:rPr>
              <w:t xml:space="preserve">巡逻人员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持有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场（厂）内专用机动车辆作业（N2）</w:t>
            </w:r>
            <w:r>
              <w:rPr>
                <w:rFonts w:hint="eastAsia" w:ascii="宋体" w:hAnsi="宋体" w:eastAsia="宋体" w:cs="宋体"/>
                <w:color w:val="000000" w:themeColor="text1"/>
                <w:sz w:val="24"/>
                <w:szCs w:val="24"/>
                <w:highlight w:val="none"/>
                <w14:textFill>
                  <w14:solidFill>
                    <w14:schemeClr w14:val="tx1"/>
                  </w14:solidFill>
                </w14:textFill>
              </w:rPr>
              <w:t xml:space="preserve">驾驶证的，</w:t>
            </w:r>
            <w:r>
              <w:rPr>
                <w:rFonts w:hint="eastAsia" w:ascii="宋体" w:hAnsi="宋体" w:eastAsia="宋体" w:cs="宋体"/>
                <w:b/>
                <w:bCs/>
                <w:color w:val="000000" w:themeColor="text1"/>
                <w:sz w:val="24"/>
                <w:szCs w:val="24"/>
                <w:highlight w:val="none"/>
                <w14:textFill>
                  <w14:solidFill>
                    <w14:schemeClr w14:val="tx1"/>
                  </w14:solidFill>
                </w14:textFill>
              </w:rPr>
              <w:t xml:space="preserve">每有1人得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b/>
                <w:bCs/>
                <w:color w:val="000000" w:themeColor="text1"/>
                <w:sz w:val="24"/>
                <w:szCs w:val="24"/>
                <w:highlight w:val="none"/>
                <w14:textFill>
                  <w14:solidFill>
                    <w14:schemeClr w14:val="tx1"/>
                  </w14:solidFill>
                </w14:textFill>
              </w:rPr>
              <w:t xml:space="preserve">分，满分4分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13"/>
              </w:numPr>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校园巡逻人员</w:t>
            </w:r>
            <w:r>
              <w:rPr>
                <w:rFonts w:hint="eastAsia" w:ascii="宋体" w:hAnsi="宋体" w:eastAsia="宋体" w:cs="宋体"/>
                <w:color w:val="000000" w:themeColor="text1"/>
                <w:sz w:val="24"/>
                <w:szCs w:val="24"/>
                <w:highlight w:val="none"/>
                <w14:textFill>
                  <w14:solidFill>
                    <w14:schemeClr w14:val="tx1"/>
                  </w14:solidFill>
                </w14:textFill>
              </w:rPr>
              <w:t xml:space="preserve">中持有救护员证书的，</w:t>
            </w:r>
            <w:r>
              <w:rPr>
                <w:rFonts w:hint="eastAsia" w:ascii="宋体" w:hAnsi="宋体" w:eastAsia="宋体" w:cs="宋体"/>
                <w:b/>
                <w:bCs/>
                <w:color w:val="000000" w:themeColor="text1"/>
                <w:sz w:val="24"/>
                <w:szCs w:val="24"/>
                <w:highlight w:val="none"/>
                <w14:textFill>
                  <w14:solidFill>
                    <w14:schemeClr w14:val="tx1"/>
                  </w14:solidFill>
                </w14:textFill>
              </w:rPr>
              <w:t xml:space="preserve">每有1人得1分，满分4分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40" w:lineRule="exact"/>
              <w:widowControl/>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（以上人员一人具有多证的，可重复得分，提供人员有效证书及投标人近三个月</w:t>
            </w:r>
            <w:r>
              <w:rPr>
                <w:rFonts w:hint="eastAsia" w:ascii="宋体" w:hAnsi="宋体" w:eastAsia="宋体" w:cs="宋体"/>
                <w:b/>
                <w:bCs/>
                <w:spacing w:val="6"/>
                <w:sz w:val="24"/>
                <w:szCs w:val="24"/>
                <w:lang w:val="en-US" w:eastAsia="zh-CN"/>
              </w:rPr>
              <w:t xml:space="preserve">内</w:t>
            </w:r>
            <w:r>
              <w:rPr>
                <w:rFonts w:hint="eastAsia" w:ascii="宋体" w:hAnsi="宋体" w:eastAsia="宋体" w:cs="宋体"/>
                <w:b/>
                <w:bCs/>
                <w:spacing w:val="6"/>
                <w:sz w:val="24"/>
                <w:szCs w:val="24"/>
              </w:rPr>
              <w:t xml:space="preserve">任</w:t>
            </w:r>
            <w:r>
              <w:rPr>
                <w:rFonts w:hint="eastAsia" w:ascii="宋体" w:hAnsi="宋体" w:eastAsia="宋体" w:cs="宋体"/>
                <w:b/>
                <w:bCs/>
                <w:spacing w:val="8"/>
                <w:sz w:val="24"/>
                <w:szCs w:val="24"/>
              </w:rPr>
              <w:t xml:space="preserve">意一</w:t>
            </w:r>
            <w:r>
              <w:rPr>
                <w:rFonts w:hint="eastAsia" w:ascii="宋体" w:hAnsi="宋体" w:eastAsia="宋体" w:cs="宋体"/>
                <w:b/>
                <w:bCs/>
                <w:spacing w:val="8"/>
                <w:sz w:val="24"/>
                <w:szCs w:val="24"/>
                <w:lang w:val="en-US" w:eastAsia="zh-CN"/>
              </w:rPr>
              <w:t xml:space="preserve">个</w:t>
            </w:r>
            <w:r>
              <w:rPr>
                <w:rFonts w:hint="eastAsia" w:ascii="宋体" w:hAnsi="宋体" w:eastAsia="宋体" w:cs="宋体"/>
                <w:b/>
                <w:bCs/>
                <w:spacing w:val="8"/>
                <w:sz w:val="24"/>
                <w:szCs w:val="24"/>
              </w:rPr>
              <w:t xml:space="preserve">月为其缴纳社保的证明材料，</w:t>
            </w:r>
            <w:r>
              <w:rPr>
                <w:rFonts w:hint="eastAsia" w:ascii="宋体" w:hAnsi="宋体" w:eastAsia="宋体" w:cs="宋体"/>
                <w:b/>
                <w:bCs/>
                <w:spacing w:val="8"/>
                <w:sz w:val="24"/>
                <w:szCs w:val="24"/>
                <w:lang w:val="en-US" w:eastAsia="zh-CN"/>
              </w:rPr>
              <w:t xml:space="preserve">扫描上传</w:t>
            </w:r>
            <w:r>
              <w:rPr>
                <w:rFonts w:hint="eastAsia" w:ascii="宋体" w:hAnsi="宋体" w:eastAsia="宋体" w:cs="宋体"/>
                <w:b/>
                <w:bCs/>
                <w:spacing w:val="8"/>
                <w:sz w:val="24"/>
                <w:szCs w:val="24"/>
              </w:rPr>
              <w:t xml:space="preserve">，未提</w:t>
            </w:r>
            <w:r>
              <w:rPr>
                <w:rFonts w:hint="eastAsia" w:ascii="宋体" w:hAnsi="宋体" w:eastAsia="宋体" w:cs="宋体"/>
                <w:b/>
                <w:bCs/>
                <w:spacing w:val="7"/>
                <w:sz w:val="24"/>
                <w:szCs w:val="24"/>
              </w:rPr>
              <w:t xml:space="preserve">供不得分）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379" w:type="dxa"/>
            <w:vAlign w:val="center"/>
            <w:textDirection w:val="lrTb"/>
            <w:noWrap w:val="false"/>
          </w:tcPr>
          <w:p>
            <w:pPr>
              <w:spacing w:line="440" w:lineRule="exact"/>
              <w:widowControl/>
              <w:rPr>
                <w:rFonts w:hint="eastAsia" w:ascii="宋体" w:hAnsi="宋体" w:eastAsia="宋体" w:cs="宋体"/>
                <w:b/>
                <w:bCs/>
                <w:spacing w:val="6"/>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2023年1月1日至今(以获荣誉或表彰的颁发日期为准)获得行政主管部门颁发的企业荣誉或表彰的</w:t>
            </w:r>
            <w:r>
              <w:rPr>
                <w:rFonts w:hint="eastAsia" w:ascii="宋体" w:hAnsi="宋体" w:eastAsia="宋体" w:cs="宋体"/>
                <w:sz w:val="24"/>
                <w:szCs w:val="24"/>
                <w:lang w:val="en-US" w:eastAsia="zh-CN"/>
              </w:rPr>
              <w:t xml:space="preserve">得</w:t>
            </w:r>
            <w:r>
              <w:rPr>
                <w:rFonts w:hint="eastAsia" w:ascii="宋体" w:hAnsi="宋体" w:eastAsia="宋体" w:cs="宋体"/>
                <w:b/>
                <w:bCs/>
                <w:sz w:val="24"/>
                <w:szCs w:val="24"/>
              </w:rPr>
              <w:t xml:space="preserve">2分</w:t>
            </w:r>
            <w:r>
              <w:rPr>
                <w:rFonts w:hint="eastAsia" w:ascii="宋体" w:hAnsi="宋体" w:eastAsia="宋体" w:cs="宋体"/>
                <w:sz w:val="24"/>
                <w:szCs w:val="24"/>
              </w:rPr>
              <w:t xml:space="preserve">。</w:t>
            </w:r>
            <w:r>
              <w:rPr>
                <w:rFonts w:hint="eastAsia" w:ascii="宋体" w:hAnsi="宋体" w:eastAsia="宋体" w:cs="宋体"/>
                <w:b/>
                <w:sz w:val="24"/>
                <w:szCs w:val="24"/>
              </w:rPr>
              <w:t xml:space="preserve">（提供相关荣誉或表彰证明资料，原件扫描上传）</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379" w:type="dxa"/>
            <w:vAlign w:val="center"/>
            <w:textDirection w:val="lrTb"/>
            <w:noWrap w:val="false"/>
          </w:tcPr>
          <w:p>
            <w:pPr>
              <w:spacing w:line="440" w:lineRule="exact"/>
              <w:widowControl/>
              <w:rPr>
                <w:rFonts w:hint="eastAsia" w:ascii="宋体" w:hAnsi="宋体" w:eastAsia="宋体" w:cs="宋体"/>
                <w:b/>
                <w:bCs/>
                <w:spacing w:val="6"/>
                <w:sz w:val="24"/>
                <w:szCs w:val="24"/>
              </w:rPr>
            </w:pPr>
            <w:r>
              <w:rPr>
                <w:rFonts w:hint="eastAsia" w:ascii="宋体" w:hAnsi="宋体" w:eastAsia="宋体" w:cs="宋体"/>
                <w:sz w:val="24"/>
                <w:szCs w:val="24"/>
              </w:rPr>
              <w:t xml:space="preserve">4.投标人在满足招标文件装备要求的基础上，增加一辆专用于本项目的四轮消防巡逻车的，得 2 分。（提供设备购置发票或租赁协议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扫描上传</w:t>
            </w:r>
            <w:r>
              <w:rPr>
                <w:rFonts w:hint="eastAsia" w:ascii="宋体" w:hAnsi="宋体" w:eastAsia="宋体" w:cs="宋体"/>
                <w:sz w:val="24"/>
                <w:szCs w:val="24"/>
              </w:rPr>
              <w:t xml:space="preserve">，未提供不得分）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379" w:type="dxa"/>
            <w:vAlign w:val="center"/>
            <w:textDirection w:val="lrTb"/>
            <w:noWrap w:val="false"/>
          </w:tcPr>
          <w:p>
            <w:pPr>
              <w:spacing w:line="440" w:lineRule="exact"/>
              <w:widowControl/>
              <w:rPr>
                <w:rFonts w:hint="eastAsia" w:ascii="宋体" w:hAnsi="宋体" w:eastAsia="宋体" w:cs="宋体"/>
                <w:b/>
                <w:bCs/>
                <w:spacing w:val="6"/>
                <w:sz w:val="24"/>
                <w:szCs w:val="24"/>
              </w:rPr>
            </w:pPr>
            <w:r>
              <w:rPr>
                <w:rFonts w:hint="eastAsia" w:ascii="宋体" w:hAnsi="宋体" w:eastAsia="宋体" w:cs="宋体"/>
                <w:sz w:val="24"/>
                <w:szCs w:val="24"/>
              </w:rPr>
              <w:t xml:space="preserve">5.投标人具有无人机巡逻管控体系或者类似体系的，并承诺在学校需要时提供相关服务的得 1 分。</w:t>
            </w:r>
            <w:r>
              <w:rPr>
                <w:rFonts w:hint="eastAsia" w:ascii="宋体" w:hAnsi="宋体" w:eastAsia="宋体" w:cs="宋体"/>
                <w:b/>
                <w:bCs/>
                <w:sz w:val="24"/>
                <w:szCs w:val="24"/>
                <w:highlight w:val="none"/>
              </w:rPr>
              <w:t xml:space="preserve">（提供设备购置发票或设备使用协议</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承诺书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格式自拟</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原件，</w:t>
            </w:r>
            <w:r>
              <w:rPr>
                <w:rFonts w:hint="eastAsia" w:ascii="宋体" w:hAnsi="宋体" w:eastAsia="宋体" w:cs="宋体"/>
                <w:b/>
                <w:bCs/>
                <w:sz w:val="24"/>
                <w:szCs w:val="24"/>
                <w:highlight w:val="none"/>
                <w:lang w:val="en-US" w:eastAsia="zh-CN"/>
              </w:rPr>
              <w:t xml:space="preserve">扫描上传，</w:t>
            </w:r>
            <w:r>
              <w:rPr>
                <w:rFonts w:hint="eastAsia" w:ascii="宋体" w:hAnsi="宋体" w:eastAsia="宋体" w:cs="宋体"/>
                <w:b/>
                <w:bCs/>
                <w:sz w:val="24"/>
                <w:szCs w:val="24"/>
                <w:highlight w:val="none"/>
              </w:rPr>
              <w:t xml:space="preserve">未提供不得分）</w:t>
            </w:r>
            <w:r/>
          </w:p>
        </w:tc>
      </w:tr>
      <w:tr>
        <w:trPr>
          <w:jc w:val="center"/>
          <w:trHeight w:val="810"/>
        </w:trPr>
        <w:tc>
          <w:tcPr>
            <w:tcW w:w="1278"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8379" w:type="dxa"/>
            <w:vAlign w:val="center"/>
            <w:textDirection w:val="lrTb"/>
            <w:noWrap w:val="false"/>
          </w:tcPr>
          <w:p>
            <w:pPr>
              <w:spacing w:line="440" w:lineRule="exact"/>
              <w:widowControl/>
              <w:rPr>
                <w:rFonts w:hint="eastAsia" w:ascii="宋体" w:hAnsi="宋体" w:eastAsia="宋体" w:cs="宋体"/>
                <w:b/>
                <w:bCs/>
                <w:spacing w:val="6"/>
                <w:sz w:val="24"/>
                <w:szCs w:val="24"/>
              </w:rPr>
            </w:pPr>
            <w:r>
              <w:rPr>
                <w:rFonts w:hint="eastAsia" w:ascii="宋体" w:hAnsi="宋体" w:eastAsia="宋体" w:cs="宋体"/>
                <w:spacing w:val="6"/>
                <w:sz w:val="24"/>
                <w:szCs w:val="24"/>
              </w:rPr>
              <w:t xml:space="preserve">投标人 2023 年 1 月 1 日至今类似项目服务合同，每提供一个项目合同得 2 分，</w:t>
            </w:r>
            <w:r>
              <w:rPr>
                <w:rFonts w:hint="eastAsia" w:ascii="宋体" w:hAnsi="宋体" w:eastAsia="宋体" w:cs="宋体"/>
                <w:spacing w:val="6"/>
                <w:sz w:val="24"/>
                <w:szCs w:val="24"/>
                <w:lang w:val="en-US" w:eastAsia="zh-CN"/>
              </w:rPr>
              <w:t xml:space="preserve">满分</w:t>
            </w:r>
            <w:r>
              <w:rPr>
                <w:rFonts w:hint="eastAsia" w:ascii="宋体" w:hAnsi="宋体" w:eastAsia="宋体" w:cs="宋体"/>
                <w:spacing w:val="6"/>
                <w:sz w:val="24"/>
                <w:szCs w:val="24"/>
              </w:rPr>
              <w:t xml:space="preserve"> 10 分。</w:t>
            </w:r>
            <w:r>
              <w:rPr>
                <w:rFonts w:hint="eastAsia" w:ascii="宋体" w:hAnsi="宋体" w:eastAsia="宋体" w:cs="宋体"/>
                <w:b/>
                <w:bCs/>
                <w:spacing w:val="6"/>
                <w:sz w:val="24"/>
                <w:szCs w:val="24"/>
                <w:highlight w:val="none"/>
              </w:rPr>
              <w:t xml:space="preserve">（以合同签订时间为准，同一业主单位业绩不重复计分，提供类似业绩合同，</w:t>
            </w:r>
            <w:r>
              <w:rPr>
                <w:rFonts w:hint="eastAsia" w:ascii="宋体" w:hAnsi="宋体" w:eastAsia="宋体" w:cs="宋体"/>
                <w:b/>
                <w:bCs/>
                <w:spacing w:val="6"/>
                <w:sz w:val="24"/>
                <w:szCs w:val="24"/>
                <w:highlight w:val="none"/>
                <w:lang w:val="en-US" w:eastAsia="zh-CN"/>
              </w:rPr>
              <w:t xml:space="preserve">扫描上传</w:t>
            </w:r>
            <w:r>
              <w:rPr>
                <w:rFonts w:hint="eastAsia" w:ascii="宋体" w:hAnsi="宋体" w:eastAsia="宋体" w:cs="宋体"/>
                <w:b/>
                <w:bCs/>
                <w:spacing w:val="6"/>
                <w:sz w:val="24"/>
                <w:szCs w:val="24"/>
                <w:highlight w:val="none"/>
              </w:rPr>
              <w:t xml:space="preserve">。未按要求提供证明材料的，不视为有效业绩。）</w:t>
            </w:r>
            <w:r/>
          </w:p>
        </w:tc>
      </w:tr>
    </w:tbl>
    <w:p>
      <w:pPr>
        <w:jc w:val="left"/>
        <w:spacing w:line="360" w:lineRule="auto"/>
        <w:tabs>
          <w:tab w:val="left" w:pos="3629" w:leader="none"/>
        </w:tabs>
        <w:rPr>
          <w:rFonts w:hint="eastAsia" w:ascii="宋体" w:hAnsi="宋体" w:eastAsia="宋体" w:cs="宋体"/>
          <w:b/>
          <w:sz w:val="24"/>
          <w:szCs w:val="24"/>
        </w:rPr>
      </w:pPr>
      <w:r>
        <w:rPr>
          <w:rFonts w:hint="eastAsia" w:ascii="宋体" w:hAnsi="宋体" w:eastAsia="宋体" w:cs="宋体"/>
          <w:b/>
          <w:sz w:val="24"/>
          <w:szCs w:val="24"/>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采购人将依法追究因其虚假响应造成的损失及费用。</w:t>
      </w:r>
      <w:r/>
    </w:p>
    <w:p>
      <w:pPr>
        <w:ind w:right="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770"/>
      </w:p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45"/>
        <w:rPr>
          <w:rFonts w:ascii="黑体" w:hAnsi="黑体" w:eastAsia="黑体" w:cs="黑体"/>
          <w:color w:val="000000"/>
          <w:sz w:val="44"/>
          <w:szCs w:val="44"/>
          <w:highlight w:val="none"/>
        </w:rPr>
      </w:pPr>
      <w:r>
        <w:rPr>
          <w:rStyle w:val="979"/>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3.关于符合本国产品标准的声明函（格式见附件13）</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96"/>
        <w:tblW w:w="8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5"/>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5"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96"/>
        <w:tblW w:w="8150"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855"/>
        <w:gridCol w:w="2121"/>
        <w:gridCol w:w="1693"/>
        <w:gridCol w:w="1618"/>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jc w:val="center"/>
              <w:spacing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8" w:type="dxa"/>
            <w:vAlign w:val="center"/>
            <w:textDirection w:val="lrTb"/>
            <w:noWrap w:val="false"/>
          </w:tcPr>
          <w:p>
            <w:pPr>
              <w:jc w:val="center"/>
              <w:spacing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rPr>
                <w:highlight w:val="none"/>
              </w:rPr>
            </w:pPr>
            <w:r>
              <w:rPr>
                <w:highlight w:val="none"/>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履约</w:t>
            </w:r>
            <w:r>
              <w:rPr>
                <w:rFonts w:ascii="宋体" w:hAnsi="宋体" w:cs="宋体"/>
                <w:color w:val="000000"/>
                <w:sz w:val="24"/>
                <w:highlight w:val="none"/>
              </w:rPr>
              <w:t xml:space="preserve">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备注</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hint="eastAsia" w:eastAsiaTheme="minorEastAsia"/>
                <w:color w:val="000000"/>
                <w:sz w:val="24"/>
                <w:highlight w:val="none"/>
              </w:rPr>
              <w:t xml:space="preserve">痩西湖校区</w:t>
            </w: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1" w:type="dxa"/>
            <w:vAlign w:val="center"/>
            <w:textDirection w:val="lrTb"/>
            <w:noWrap w:val="false"/>
          </w:tcPr>
          <w:p>
            <w:pPr>
              <w:jc w:val="center"/>
              <w:spacing w:after="0" w:line="24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合同签订</w:t>
            </w:r>
            <w:r>
              <w:rPr>
                <w:rFonts w:hint="eastAsia" w:ascii="宋体" w:hAnsi="宋体" w:cs="宋体"/>
                <w:color w:val="000000"/>
                <w:sz w:val="24"/>
                <w:highlight w:val="none"/>
                <w:lang w:val="en-US" w:eastAsia="zh-CN"/>
              </w:rPr>
              <w:t xml:space="preserve">之日起3年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8" w:type="dxa"/>
            <w:vAlign w:val="center"/>
            <w:textDirection w:val="lrTb"/>
            <w:noWrap w:val="false"/>
          </w:tcPr>
          <w:p>
            <w:pPr>
              <w:jc w:val="center"/>
              <w:spacing w:after="0" w:line="240" w:lineRule="auto"/>
              <w:rPr>
                <w:rFonts w:eastAsiaTheme="minorEastAsia"/>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hint="eastAsia" w:eastAsiaTheme="minorEastAsia"/>
                <w:color w:val="000000"/>
                <w:sz w:val="24"/>
                <w:highlight w:val="none"/>
              </w:rPr>
              <w:t xml:space="preserve">高邮湖校区</w:t>
            </w: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合同签订</w:t>
            </w:r>
            <w:r>
              <w:rPr>
                <w:rFonts w:hint="eastAsia" w:ascii="宋体" w:hAnsi="宋体" w:cs="宋体"/>
                <w:color w:val="000000"/>
                <w:sz w:val="24"/>
                <w:highlight w:val="none"/>
                <w:lang w:val="en-US" w:eastAsia="zh-CN"/>
              </w:rPr>
              <w:t xml:space="preserve">之日起3年</w:t>
            </w: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8"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tc>
      </w:tr>
      <w:tr>
        <w:trPr>
          <w:trHeight w:val="654"/>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0" w:type="dxa"/>
            <w:vAlign w:val="center"/>
            <w:textDirection w:val="lrTb"/>
            <w:noWrap w:val="false"/>
          </w:tcPr>
          <w:p>
            <w:pPr>
              <w:jc w:val="left"/>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eastAsiaTheme="minorEastAsia"/>
                <w:color w:val="000000"/>
                <w:sz w:val="24"/>
                <w:highlight w:val="none"/>
              </w:rPr>
              <w:t xml:space="preserve">投标总报价</w:t>
            </w:r>
            <w:r>
              <w:rPr>
                <w:rFonts w:hint="eastAsia" w:eastAsia="宋体"/>
                <w:color w:val="000000"/>
                <w:sz w:val="24"/>
                <w:highlight w:val="none"/>
                <w:lang w:val="en-US" w:eastAsia="zh-CN"/>
              </w:rPr>
              <w:t xml:space="preserve">合计</w:t>
            </w:r>
            <w:r>
              <w:rPr>
                <w:rFonts w:hint="eastAsia" w:eastAsiaTheme="minorEastAsia"/>
                <w:color w:val="000000"/>
                <w:sz w:val="24"/>
                <w:highlight w:val="none"/>
              </w:rPr>
              <w:t xml:space="preserve">（元）：</w:t>
            </w:r>
            <w:r/>
          </w:p>
        </w:tc>
      </w:tr>
      <w:tr>
        <w:trPr>
          <w:trHeight w:val="654"/>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0" w:type="dxa"/>
            <w:vAlign w:val="center"/>
            <w:textDirection w:val="lrTb"/>
            <w:noWrap w:val="false"/>
          </w:tcPr>
          <w:p>
            <w:pPr>
              <w:jc w:val="left"/>
              <w:spacing w:after="0" w:line="240" w:lineRule="auto"/>
              <w:rPr>
                <w:rFonts w:hint="eastAsia" w:eastAsiaTheme="minorEastAsia"/>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w:t>
            </w:r>
            <w:r>
              <w:rPr>
                <w:rFonts w:hint="eastAsia" w:ascii="宋体" w:hAnsi="宋体" w:eastAsia="宋体" w:cs="宋体"/>
                <w:i w:val="0"/>
                <w:iCs w:val="0"/>
                <w:caps w:val="0"/>
                <w:color w:val="auto"/>
                <w:spacing w:val="0"/>
                <w:sz w:val="24"/>
                <w:szCs w:val="24"/>
                <w:highlight w:val="none"/>
                <w:lang w:eastAsia="zh-CN"/>
              </w:rPr>
              <w:t xml:space="preserve">货物</w:t>
            </w:r>
            <w:r>
              <w:rPr>
                <w:rFonts w:hint="eastAsia" w:ascii="宋体" w:hAnsi="宋体" w:eastAsia="宋体" w:cs="宋体"/>
                <w:i w:val="0"/>
                <w:iCs w:val="0"/>
                <w:caps w:val="0"/>
                <w:color w:val="auto"/>
                <w:spacing w:val="0"/>
                <w:sz w:val="24"/>
                <w:szCs w:val="24"/>
                <w:highlight w:val="none"/>
              </w:rPr>
              <w:t xml:space="preserve">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strike w:val="0"/>
                <w:color w:val="auto"/>
                <w:spacing w:val="0"/>
                <w:sz w:val="24"/>
                <w:szCs w:val="24"/>
                <w:highlight w:val="none"/>
                <w:lang w:eastAsia="zh-CN"/>
              </w:rPr>
              <w:t xml:space="preserve">全部</w:t>
            </w:r>
            <w:r>
              <w:rPr>
                <w:rFonts w:hint="eastAsia" w:ascii="宋体" w:hAnsi="宋体" w:eastAsia="宋体" w:cs="宋体"/>
                <w:i w:val="0"/>
                <w:iCs w:val="0"/>
                <w:caps w:val="0"/>
                <w:color w:val="auto"/>
                <w:spacing w:val="0"/>
                <w:sz w:val="24"/>
                <w:szCs w:val="24"/>
                <w:highlight w:val="none"/>
              </w:rPr>
              <w:t xml:space="preserve">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1、瘦西湖校区46人，高邮湖校区38人。</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“投标分项报价表”中“投标总报价”数额应当与“开标一览表”中“投标总报价”数额一致。</w:t>
      </w:r>
      <w:r/>
    </w:p>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3.本采购包中含有货物时，供应商未填写本采购包中提供的符合本国产品标准的货物成本之和占该采购包全部成本之和比例数值的，或比例数值低于80%的，将不享受本国产品价格评审优惠。</w:t>
      </w:r>
      <w:r/>
    </w:p>
    <w:p>
      <w:pPr>
        <w:pStyle w:val="770"/>
      </w:p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9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96"/>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70"/>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96"/>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right="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租赁和商务服务业</w:t>
      </w:r>
      <w:r>
        <w:rPr>
          <w:rFonts w:ascii="宋体" w:hAnsi="宋体" w:eastAsia="宋体" w:cs="宋体"/>
          <w:color w:val="000000" w:themeColor="text1"/>
          <w:sz w:val="24"/>
          <w:u w:val="single"/>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行业；承接企业为</w:t>
      </w:r>
      <w:r>
        <w:rPr>
          <w:rFonts w:ascii="宋体" w:hAnsi="宋体" w:eastAsia="宋体" w:cs="宋体"/>
          <w:color w:val="000000" w:themeColor="text1"/>
          <w:sz w:val="24"/>
          <w:u w:val="single"/>
          <w14:textFill>
            <w14:solidFill>
              <w14:schemeClr w14:val="tx1"/>
            </w14:solidFill>
          </w14:textFill>
        </w:rPr>
        <w:t xml:space="preserve">（企业名称）</w:t>
      </w:r>
      <w:r>
        <w:rPr>
          <w:rFonts w:ascii="宋体" w:hAnsi="宋体" w:eastAsia="宋体" w:cs="宋体"/>
          <w:color w:val="000000" w:themeColor="text1"/>
          <w:sz w:val="24"/>
          <w14:textFill>
            <w14:solidFill>
              <w14:schemeClr w14:val="tx1"/>
            </w14:solidFill>
          </w14:textFill>
        </w:rPr>
        <w:t xml:space="preserve">，从业人员</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人，营业收入为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万元，资产总额为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万元</w:t>
      </w:r>
      <w:r>
        <w:rPr>
          <w:rFonts w:ascii="宋体" w:hAnsi="宋体" w:eastAsia="宋体" w:cs="宋体"/>
          <w:color w:val="000000" w:themeColor="text1"/>
          <w:sz w:val="24"/>
          <w:vertAlign w:val="superscript"/>
          <w14:textFill>
            <w14:solidFill>
              <w14:schemeClr w14:val="tx1"/>
            </w14:solidFill>
          </w14:textFill>
        </w:rPr>
        <w:t xml:space="preserve">1</w:t>
      </w:r>
      <w:r>
        <w:rPr>
          <w:rFonts w:ascii="宋体" w:hAnsi="宋体" w:eastAsia="宋体" w:cs="宋体"/>
          <w:color w:val="000000" w:themeColor="text1"/>
          <w:sz w:val="24"/>
          <w14:textFill>
            <w14:solidFill>
              <w14:schemeClr w14:val="tx1"/>
            </w14:solidFill>
          </w14:textFill>
        </w:rPr>
        <w:t xml:space="preserve">，属于</w:t>
      </w:r>
      <w:r>
        <w:rPr>
          <w:rFonts w:ascii="宋体" w:hAnsi="宋体" w:eastAsia="宋体" w:cs="宋体"/>
          <w:color w:val="000000" w:themeColor="text1"/>
          <w:sz w:val="24"/>
          <w:u w:val="single"/>
          <w14:textFill>
            <w14:solidFill>
              <w14:schemeClr w14:val="tx1"/>
            </w14:solidFill>
          </w14:textFill>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w:t>
      </w:r>
      <w:r>
        <w:rPr>
          <w:rFonts w:ascii="宋体" w:hAnsi="宋体" w:eastAsia="宋体" w:cs="宋体"/>
          <w:color w:val="000000" w:themeColor="text1"/>
          <w:sz w:val="24"/>
          <w:u w:val="single"/>
          <w14:textFill>
            <w14:solidFill>
              <w14:schemeClr w14:val="tx1"/>
            </w14:solidFill>
          </w14:textFill>
        </w:rPr>
        <w:t xml:space="preserve">（标的名称）</w:t>
      </w:r>
      <w:r>
        <w:rPr>
          <w:rFonts w:ascii="宋体" w:hAnsi="宋体" w:eastAsia="宋体" w:cs="宋体"/>
          <w:i/>
          <w:color w:val="000000" w:themeColor="text1"/>
          <w:sz w:val="24"/>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属于</w:t>
      </w:r>
      <w:r>
        <w:rPr>
          <w:rFonts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租赁和商务服务业</w:t>
      </w:r>
      <w:r>
        <w:rPr>
          <w:rFonts w:ascii="宋体" w:hAnsi="宋体" w:eastAsia="宋体" w:cs="宋体"/>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96"/>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关于符合本国产品标准的声明函（采购包号：**）</w:t>
      </w:r>
      <w:r/>
    </w:p>
    <w:p>
      <w:pPr>
        <w:pStyle w:val="790"/>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0"/>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9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9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9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9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3"/>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793"/>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9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9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9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0"/>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90"/>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9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9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9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9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9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9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w:t>
      </w:r>
      <w:r>
        <w:rPr>
          <w:rFonts w:hint="eastAsia" w:ascii="宋体" w:hAnsi="宋体" w:cs="宋体"/>
          <w:b/>
          <w:color w:val="000000"/>
          <w:sz w:val="24"/>
          <w:lang w:val="en-US" w:eastAsia="zh-CN"/>
        </w:rPr>
        <w:t xml:space="preserve">4</w:t>
      </w:r>
      <w:r>
        <w:rPr>
          <w:rFonts w:ascii="宋体" w:hAnsi="宋体" w:eastAsia="宋体" w:cs="宋体"/>
          <w:b/>
          <w:color w:val="000000"/>
          <w:sz w:val="24"/>
        </w:rPr>
        <w:t xml:space="preserve">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70"/>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77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770"/>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77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96"/>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rPr>
          <w:rFonts w:ascii="黑体" w:hAnsi="黑体" w:eastAsia="黑体" w:cs="黑体"/>
          <w:b/>
          <w:color w:val="000000"/>
          <w:sz w:val="32"/>
        </w:rPr>
      </w:pPr>
      <w:r>
        <w:rPr>
          <w:rFonts w:ascii="黑体" w:hAnsi="黑体" w:eastAsia="黑体" w:cs="黑体"/>
          <w:b/>
          <w:color w:val="000000"/>
          <w:sz w:val="32"/>
        </w:rPr>
      </w:r>
      <w:r/>
    </w:p>
    <w:p>
      <w:pPr>
        <w:rPr>
          <w:rFonts w:ascii="黑体" w:hAnsi="黑体" w:eastAsia="黑体" w:cs="黑体"/>
          <w:b/>
          <w:color w:val="000000"/>
          <w:sz w:val="32"/>
        </w:rPr>
      </w:pPr>
      <w:r>
        <w:rPr>
          <w:rFonts w:ascii="黑体" w:hAnsi="黑体" w:eastAsia="黑体" w:cs="黑体"/>
          <w:b/>
          <w:color w:val="000000"/>
          <w:sz w:val="32"/>
        </w:rPr>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rPr>
          <w:rFonts w:ascii="黑体" w:hAnsi="黑体" w:eastAsia="黑体" w:cs="黑体"/>
          <w:b/>
          <w:color w:val="000000"/>
          <w:sz w:val="32"/>
        </w:rPr>
      </w:pPr>
      <w:r>
        <w:rPr>
          <w:rFonts w:ascii="黑体" w:hAnsi="黑体" w:eastAsia="黑体" w:cs="黑体"/>
          <w:b/>
          <w:color w:val="000000"/>
          <w:sz w:val="32"/>
        </w:rPr>
      </w:r>
      <w:r/>
    </w:p>
    <w:p>
      <w:pPr>
        <w:rPr>
          <w:rFonts w:ascii="黑体" w:hAnsi="黑体" w:eastAsia="黑体" w:cs="黑体"/>
          <w:b/>
          <w:color w:val="000000"/>
          <w:sz w:val="32"/>
        </w:rPr>
      </w:pPr>
      <w:r>
        <w:rPr>
          <w:rFonts w:ascii="黑体" w:hAnsi="黑体" w:eastAsia="黑体" w:cs="黑体"/>
          <w:b/>
          <w:color w:val="000000"/>
          <w:sz w:val="32"/>
        </w:rPr>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rPr>
          <w:rFonts w:ascii="黑体" w:hAnsi="黑体" w:eastAsia="黑体" w:cs="黑体"/>
          <w:b/>
          <w:color w:val="000000"/>
          <w:sz w:val="32"/>
        </w:rPr>
      </w:pPr>
      <w:r>
        <w:rPr>
          <w:rFonts w:ascii="黑体" w:hAnsi="黑体" w:eastAsia="黑体" w:cs="黑体"/>
          <w:b/>
          <w:color w:val="000000"/>
          <w:sz w:val="32"/>
        </w:rPr>
      </w:r>
      <w:r/>
    </w:p>
    <w:p>
      <w:pPr>
        <w:rPr>
          <w:rFonts w:ascii="黑体" w:hAnsi="黑体" w:eastAsia="黑体" w:cs="黑体"/>
          <w:b/>
          <w:color w:val="000000"/>
          <w:sz w:val="32"/>
        </w:rPr>
      </w:pPr>
      <w:r>
        <w:rPr>
          <w:rFonts w:ascii="黑体" w:hAnsi="黑体" w:eastAsia="黑体" w:cs="黑体"/>
          <w:b/>
          <w:color w:val="000000"/>
          <w:sz w:val="32"/>
        </w:rPr>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rPr>
          <w:rFonts w:ascii="黑体" w:hAnsi="黑体" w:eastAsia="黑体" w:cs="黑体"/>
          <w:b/>
          <w:color w:val="000000"/>
          <w:sz w:val="32"/>
        </w:rPr>
      </w:pPr>
      <w:r>
        <w:rPr>
          <w:rFonts w:ascii="黑体" w:hAnsi="黑体" w:eastAsia="黑体" w:cs="黑体"/>
          <w:b/>
          <w:color w:val="000000"/>
          <w:sz w:val="32"/>
        </w:rPr>
      </w:r>
      <w:r/>
    </w:p>
    <w:p>
      <w:pPr>
        <w:rPr>
          <w:rFonts w:ascii="黑体" w:hAnsi="黑体" w:eastAsia="黑体" w:cs="黑体"/>
          <w:b/>
          <w:color w:val="000000"/>
          <w:sz w:val="32"/>
        </w:rPr>
      </w:pPr>
      <w:r>
        <w:rPr>
          <w:rFonts w:ascii="黑体" w:hAnsi="黑体" w:eastAsia="黑体" w:cs="黑体"/>
          <w:b/>
          <w:color w:val="000000"/>
          <w:sz w:val="32"/>
        </w:rPr>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1455" cy="153035"/>
              <wp:effectExtent l="3175" t="3175" r="3175" b="3175"/>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1132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6pt;height:12.0pt;mso-wrap-distance-left:9.0pt;mso-wrap-distance-top:0.0pt;mso-wrap-distance-right:9.0pt;mso-wrap-distance-bottom:0.0pt;v-text-anchor:top;visibility:visible;" filled="f" stroked="f" strokeweight="0.50pt">
              <v:textbox inset="0,0,0,0">
                <w:txbxContent>
                  <w:p>
                    <w:pPr>
                      <w:pStyle w:val="78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5"/>
      <w:numFmt w:val="decimal"/>
      <w:isLgl w:val="false"/>
      <w:suff w:val="tab"/>
      <w:lvlText w:val="%1."/>
      <w:lvlJc w:val="left"/>
      <w:pPr>
        <w:ind w:left="48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EnclosedCircleChinese"/>
      <w:isLgl w:val="false"/>
      <w:suff w:val="nothing"/>
      <w:lvlText w:val="%1　"/>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0"/>
      <w:isLgl w:val="false"/>
      <w:suff w:val="nothing"/>
      <w:lvlText w:val=""/>
      <w:lvlJc w:val="left"/>
      <w:pPr>
        <w:ind w:left="0" w:firstLine="0"/>
      </w:pPr>
      <w:rPr>
        <w:rFonts w:hint="eastAsia"/>
      </w:rPr>
    </w:lvl>
    <w:lvl w:ilvl="6">
      <w:start w:val="1"/>
      <w:numFmt w:val="decimal"/>
      <w:pStyle w:val="951"/>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3"/>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link w:val="100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9">
    <w:name w:val="Heading 1"/>
    <w:basedOn w:val="758"/>
    <w:next w:val="758"/>
    <w:link w:val="797"/>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79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799"/>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0"/>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1"/>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2"/>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4"/>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5"/>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Layout w:type="fixed"/>
      <w:tblCellMar>
        <w:left w:w="108" w:type="dxa"/>
        <w:top w:w="0" w:type="dxa"/>
        <w:right w:w="108" w:type="dxa"/>
        <w:bottom w:w="0" w:type="dxa"/>
      </w:tblCellMar>
    </w:tblPr>
  </w:style>
  <w:style w:type="paragraph" w:styleId="770" w:customStyle="1">
    <w:name w:val="正文文本1"/>
    <w:basedOn w:val="771"/>
    <w:next w:val="772"/>
    <w:link w:val="1003"/>
    <w:uiPriority w:val="0"/>
    <w:qFormat/>
    <w:rPr>
      <w:rFonts w:ascii="楷体_GB2312" w:hAnsi="Arial" w:eastAsia="楷体_GB2312"/>
      <w:sz w:val="28"/>
      <w:szCs w:val="28"/>
    </w:rPr>
  </w:style>
  <w:style w:type="paragraph" w:styleId="771" w:customStyle="1">
    <w:name w:val="正文1"/>
    <w:basedOn w:val="758"/>
    <w:next w:val="770"/>
    <w:uiPriority w:val="0"/>
    <w:qFormat/>
    <w:pPr>
      <w:jc w:val="left"/>
      <w:spacing w:line="360" w:lineRule="atLeast"/>
    </w:pPr>
    <w:rPr>
      <w:rFonts w:ascii="宋体" w:cs="Times New Roman"/>
      <w:sz w:val="24"/>
      <w:szCs w:val="20"/>
    </w:rPr>
  </w:style>
  <w:style w:type="paragraph" w:styleId="772" w:customStyle="1">
    <w:name w:val="正文缩进1"/>
    <w:basedOn w:val="758"/>
    <w:next w:val="758"/>
    <w:link w:val="985"/>
    <w:uiPriority w:val="0"/>
    <w:qFormat/>
    <w:pPr>
      <w:ind w:firstLine="420"/>
    </w:pPr>
  </w:style>
  <w:style w:type="paragraph" w:styleId="773">
    <w:name w:val="toc 7"/>
    <w:basedOn w:val="758"/>
    <w:next w:val="758"/>
    <w:uiPriority w:val="39"/>
    <w:unhideWhenUsed/>
    <w:qFormat/>
    <w:pPr>
      <w:ind w:left="1701" w:right="0" w:firstLine="0"/>
      <w:spacing w:after="57"/>
    </w:pPr>
  </w:style>
  <w:style w:type="paragraph" w:styleId="774">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toc 5"/>
    <w:basedOn w:val="758"/>
    <w:next w:val="758"/>
    <w:uiPriority w:val="39"/>
    <w:unhideWhenUsed/>
    <w:qFormat/>
    <w:pPr>
      <w:ind w:left="1134" w:right="0" w:firstLine="0"/>
      <w:spacing w:after="57"/>
    </w:pPr>
  </w:style>
  <w:style w:type="paragraph" w:styleId="776">
    <w:name w:val="toc 3"/>
    <w:basedOn w:val="758"/>
    <w:next w:val="758"/>
    <w:uiPriority w:val="39"/>
    <w:unhideWhenUsed/>
    <w:qFormat/>
    <w:pPr>
      <w:ind w:left="567" w:right="0" w:firstLine="0"/>
      <w:spacing w:after="57"/>
    </w:pPr>
  </w:style>
  <w:style w:type="paragraph" w:styleId="777">
    <w:name w:val="Plain Text"/>
    <w:basedOn w:val="758"/>
    <w:uiPriority w:val="0"/>
    <w:qFormat/>
    <w:rPr>
      <w:rFonts w:ascii="宋体" w:hAnsi="Courier New" w:cs="Courier New"/>
    </w:rPr>
  </w:style>
  <w:style w:type="paragraph" w:styleId="778">
    <w:name w:val="toc 8"/>
    <w:basedOn w:val="758"/>
    <w:next w:val="758"/>
    <w:uiPriority w:val="39"/>
    <w:unhideWhenUsed/>
    <w:qFormat/>
    <w:pPr>
      <w:ind w:left="1984" w:right="0" w:firstLine="0"/>
      <w:spacing w:after="57"/>
    </w:pPr>
  </w:style>
  <w:style w:type="paragraph" w:styleId="779">
    <w:name w:val="endnote text"/>
    <w:basedOn w:val="758"/>
    <w:link w:val="943"/>
    <w:uiPriority w:val="99"/>
    <w:semiHidden/>
    <w:unhideWhenUsed/>
    <w:qFormat/>
    <w:pPr>
      <w:spacing w:after="0" w:line="240" w:lineRule="auto"/>
    </w:pPr>
    <w:rPr>
      <w:sz w:val="20"/>
    </w:rPr>
  </w:style>
  <w:style w:type="paragraph" w:styleId="780">
    <w:name w:val="Footer"/>
    <w:basedOn w:val="758"/>
    <w:link w:val="816"/>
    <w:uiPriority w:val="99"/>
    <w:unhideWhenUsed/>
    <w:qFormat/>
    <w:pPr>
      <w:spacing w:after="0" w:line="240" w:lineRule="auto"/>
      <w:tabs>
        <w:tab w:val="center" w:pos="7143" w:leader="none"/>
        <w:tab w:val="right" w:pos="14287" w:leader="none"/>
      </w:tabs>
    </w:pPr>
  </w:style>
  <w:style w:type="paragraph" w:styleId="781">
    <w:name w:val="Header"/>
    <w:basedOn w:val="758"/>
    <w:link w:val="814"/>
    <w:uiPriority w:val="99"/>
    <w:unhideWhenUsed/>
    <w:qFormat/>
    <w:pPr>
      <w:spacing w:after="0" w:line="240" w:lineRule="auto"/>
      <w:tabs>
        <w:tab w:val="center" w:pos="7143" w:leader="none"/>
        <w:tab w:val="right" w:pos="14287" w:leader="none"/>
      </w:tabs>
    </w:pPr>
  </w:style>
  <w:style w:type="paragraph" w:styleId="782">
    <w:name w:val="toc 1"/>
    <w:basedOn w:val="758"/>
    <w:next w:val="758"/>
    <w:uiPriority w:val="39"/>
    <w:unhideWhenUsed/>
    <w:qFormat/>
    <w:pPr>
      <w:ind w:left="0" w:right="0" w:firstLine="0"/>
      <w:spacing w:after="57"/>
    </w:pPr>
  </w:style>
  <w:style w:type="paragraph" w:styleId="783">
    <w:name w:val="toc 4"/>
    <w:basedOn w:val="758"/>
    <w:next w:val="758"/>
    <w:uiPriority w:val="39"/>
    <w:unhideWhenUsed/>
    <w:qFormat/>
    <w:pPr>
      <w:ind w:left="850" w:right="0" w:firstLine="0"/>
      <w:spacing w:after="57"/>
    </w:pPr>
  </w:style>
  <w:style w:type="paragraph" w:styleId="784">
    <w:name w:val="Subtitle"/>
    <w:basedOn w:val="758"/>
    <w:next w:val="758"/>
    <w:link w:val="809"/>
    <w:uiPriority w:val="11"/>
    <w:qFormat/>
    <w:pPr>
      <w:spacing w:before="200" w:after="200"/>
    </w:pPr>
    <w:rPr>
      <w:sz w:val="24"/>
      <w:szCs w:val="24"/>
    </w:rPr>
  </w:style>
  <w:style w:type="paragraph" w:styleId="785">
    <w:name w:val="footnote text"/>
    <w:basedOn w:val="758"/>
    <w:link w:val="942"/>
    <w:uiPriority w:val="99"/>
    <w:semiHidden/>
    <w:unhideWhenUsed/>
    <w:qFormat/>
    <w:pPr>
      <w:spacing w:after="40" w:line="240" w:lineRule="auto"/>
    </w:pPr>
    <w:rPr>
      <w:sz w:val="18"/>
    </w:rPr>
  </w:style>
  <w:style w:type="paragraph" w:styleId="786">
    <w:name w:val="toc 6"/>
    <w:basedOn w:val="758"/>
    <w:next w:val="758"/>
    <w:uiPriority w:val="39"/>
    <w:unhideWhenUsed/>
    <w:qFormat/>
    <w:pPr>
      <w:ind w:left="1417" w:right="0" w:firstLine="0"/>
      <w:spacing w:after="57"/>
    </w:pPr>
  </w:style>
  <w:style w:type="paragraph" w:styleId="787">
    <w:name w:val="table of figures"/>
    <w:basedOn w:val="758"/>
    <w:next w:val="758"/>
    <w:uiPriority w:val="99"/>
    <w:unhideWhenUsed/>
    <w:qFormat/>
    <w:pPr>
      <w:spacing w:after="0" w:afterAutospacing="0"/>
    </w:pPr>
  </w:style>
  <w:style w:type="paragraph" w:styleId="788">
    <w:name w:val="toc 2"/>
    <w:basedOn w:val="758"/>
    <w:next w:val="758"/>
    <w:uiPriority w:val="39"/>
    <w:unhideWhenUsed/>
    <w:qFormat/>
    <w:pPr>
      <w:ind w:left="283" w:right="0" w:firstLine="0"/>
      <w:spacing w:after="57"/>
    </w:pPr>
  </w:style>
  <w:style w:type="paragraph" w:styleId="789">
    <w:name w:val="toc 9"/>
    <w:basedOn w:val="758"/>
    <w:next w:val="758"/>
    <w:uiPriority w:val="39"/>
    <w:unhideWhenUsed/>
    <w:qFormat/>
    <w:pPr>
      <w:ind w:left="2268" w:right="0" w:firstLine="0"/>
      <w:spacing w:after="57"/>
    </w:pPr>
  </w:style>
  <w:style w:type="paragraph" w:styleId="790">
    <w:name w:val="Normal (Web)"/>
    <w:basedOn w:val="758"/>
    <w:uiPriority w:val="99"/>
    <w:semiHidden/>
    <w:unhideWhenUsed/>
    <w:qFormat/>
    <w:pPr>
      <w:ind w:left="0" w:right="0"/>
      <w:jc w:val="left"/>
      <w:spacing w:before="0" w:beforeAutospacing="1" w:after="0" w:afterAutospacing="1"/>
    </w:pPr>
    <w:rPr>
      <w:sz w:val="24"/>
      <w:lang w:val="en-US" w:eastAsia="zh-CN" w:bidi="ar"/>
    </w:rPr>
  </w:style>
  <w:style w:type="paragraph" w:styleId="791">
    <w:name w:val="Title"/>
    <w:basedOn w:val="758"/>
    <w:next w:val="758"/>
    <w:link w:val="808"/>
    <w:uiPriority w:val="10"/>
    <w:qFormat/>
    <w:pPr>
      <w:contextualSpacing/>
      <w:spacing w:before="300" w:after="200"/>
    </w:pPr>
    <w:rPr>
      <w:sz w:val="48"/>
      <w:szCs w:val="48"/>
    </w:rPr>
  </w:style>
  <w:style w:type="character" w:styleId="792">
    <w:name w:val="endnote reference"/>
    <w:uiPriority w:val="99"/>
    <w:semiHidden/>
    <w:unhideWhenUsed/>
    <w:qFormat/>
    <w:rPr>
      <w:vertAlign w:val="superscript"/>
    </w:rPr>
  </w:style>
  <w:style w:type="character" w:styleId="793">
    <w:name w:val="Emphasis"/>
    <w:uiPriority w:val="0"/>
    <w:qFormat/>
    <w:rPr>
      <w:i/>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footnote reference"/>
    <w:uiPriority w:val="99"/>
    <w:unhideWhenUsed/>
    <w:qFormat/>
    <w:rPr>
      <w:vertAlign w:val="superscript"/>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97" w:customStyle="1">
    <w:name w:val="Heading 1 Char"/>
    <w:link w:val="759"/>
    <w:uiPriority w:val="9"/>
    <w:qFormat/>
    <w:rPr>
      <w:rFonts w:ascii="Arial" w:hAnsi="Arial" w:eastAsia="Arial" w:cs="Arial"/>
      <w:sz w:val="40"/>
      <w:szCs w:val="40"/>
    </w:rPr>
  </w:style>
  <w:style w:type="character" w:styleId="798" w:customStyle="1">
    <w:name w:val="Heading 2 Char"/>
    <w:link w:val="760"/>
    <w:uiPriority w:val="9"/>
    <w:qFormat/>
    <w:rPr>
      <w:rFonts w:ascii="Arial" w:hAnsi="Arial" w:eastAsia="Arial" w:cs="Arial"/>
      <w:sz w:val="34"/>
    </w:rPr>
  </w:style>
  <w:style w:type="character" w:styleId="799" w:customStyle="1">
    <w:name w:val="Heading 3 Char"/>
    <w:link w:val="761"/>
    <w:uiPriority w:val="9"/>
    <w:qFormat/>
    <w:rPr>
      <w:rFonts w:ascii="Arial" w:hAnsi="Arial" w:eastAsia="Arial" w:cs="Arial"/>
      <w:sz w:val="30"/>
      <w:szCs w:val="30"/>
    </w:rPr>
  </w:style>
  <w:style w:type="character" w:styleId="800" w:customStyle="1">
    <w:name w:val="Heading 4 Char"/>
    <w:link w:val="762"/>
    <w:uiPriority w:val="9"/>
    <w:qFormat/>
    <w:rPr>
      <w:rFonts w:ascii="Arial" w:hAnsi="Arial" w:eastAsia="Arial" w:cs="Arial"/>
      <w:b/>
      <w:bCs/>
      <w:sz w:val="26"/>
      <w:szCs w:val="26"/>
    </w:rPr>
  </w:style>
  <w:style w:type="character" w:styleId="801" w:customStyle="1">
    <w:name w:val="Heading 5 Char"/>
    <w:link w:val="763"/>
    <w:uiPriority w:val="9"/>
    <w:qFormat/>
    <w:rPr>
      <w:rFonts w:ascii="Arial" w:hAnsi="Arial" w:eastAsia="Arial" w:cs="Arial"/>
      <w:b/>
      <w:bCs/>
      <w:sz w:val="24"/>
      <w:szCs w:val="24"/>
    </w:rPr>
  </w:style>
  <w:style w:type="character" w:styleId="802" w:customStyle="1">
    <w:name w:val="Heading 6 Char"/>
    <w:link w:val="764"/>
    <w:uiPriority w:val="9"/>
    <w:qFormat/>
    <w:rPr>
      <w:rFonts w:ascii="Arial" w:hAnsi="Arial" w:eastAsia="Arial" w:cs="Arial"/>
      <w:b/>
      <w:bCs/>
      <w:sz w:val="22"/>
      <w:szCs w:val="22"/>
    </w:rPr>
  </w:style>
  <w:style w:type="character" w:styleId="803" w:customStyle="1">
    <w:name w:val="Heading 7 Char"/>
    <w:link w:val="765"/>
    <w:uiPriority w:val="9"/>
    <w:qFormat/>
    <w:rPr>
      <w:rFonts w:ascii="Arial" w:hAnsi="Arial" w:eastAsia="Arial" w:cs="Arial"/>
      <w:b/>
      <w:bCs/>
      <w:i/>
      <w:iCs/>
      <w:sz w:val="22"/>
      <w:szCs w:val="22"/>
    </w:rPr>
  </w:style>
  <w:style w:type="character" w:styleId="804" w:customStyle="1">
    <w:name w:val="Heading 8 Char"/>
    <w:link w:val="766"/>
    <w:uiPriority w:val="9"/>
    <w:qFormat/>
    <w:rPr>
      <w:rFonts w:ascii="Arial" w:hAnsi="Arial" w:eastAsia="Arial" w:cs="Arial"/>
      <w:i/>
      <w:iCs/>
      <w:sz w:val="22"/>
      <w:szCs w:val="22"/>
    </w:rPr>
  </w:style>
  <w:style w:type="character" w:styleId="805" w:customStyle="1">
    <w:name w:val="Heading 9 Char"/>
    <w:link w:val="767"/>
    <w:uiPriority w:val="9"/>
    <w:qFormat/>
    <w:rPr>
      <w:rFonts w:ascii="Arial" w:hAnsi="Arial" w:eastAsia="Arial" w:cs="Arial"/>
      <w:i/>
      <w:iCs/>
      <w:sz w:val="21"/>
      <w:szCs w:val="21"/>
    </w:rPr>
  </w:style>
  <w:style w:type="paragraph" w:styleId="806">
    <w:name w:val="List Paragraph"/>
    <w:basedOn w:val="758"/>
    <w:uiPriority w:val="34"/>
    <w:qFormat/>
    <w:pPr>
      <w:contextualSpacing/>
      <w:ind w:left="720"/>
    </w:pPr>
  </w:style>
  <w:style w:type="paragraph" w:styleId="807">
    <w:name w:val="No Spacing"/>
    <w:uiPriority w:val="1"/>
    <w:qFormat/>
    <w:pPr>
      <w:spacing w:before="0" w:after="0" w:line="240" w:lineRule="auto"/>
    </w:pPr>
    <w:rPr>
      <w:rFonts w:hint="default" w:ascii="Times New Roman" w:hAnsi="Times New Roman" w:eastAsia="宋体" w:cs="Times New Roman"/>
    </w:rPr>
  </w:style>
  <w:style w:type="character" w:styleId="808" w:customStyle="1">
    <w:name w:val="Title Char"/>
    <w:link w:val="791"/>
    <w:uiPriority w:val="10"/>
    <w:qFormat/>
    <w:rPr>
      <w:sz w:val="48"/>
      <w:szCs w:val="48"/>
    </w:rPr>
  </w:style>
  <w:style w:type="character" w:styleId="809" w:customStyle="1">
    <w:name w:val="Subtitle Char"/>
    <w:link w:val="784"/>
    <w:uiPriority w:val="11"/>
    <w:qFormat/>
    <w:rPr>
      <w:sz w:val="24"/>
      <w:szCs w:val="24"/>
    </w:rPr>
  </w:style>
  <w:style w:type="paragraph" w:styleId="810">
    <w:name w:val="Quote"/>
    <w:basedOn w:val="758"/>
    <w:next w:val="758"/>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58"/>
    <w:next w:val="758"/>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link w:val="781"/>
    <w:uiPriority w:val="99"/>
    <w:qFormat/>
  </w:style>
  <w:style w:type="character" w:styleId="815" w:customStyle="1">
    <w:name w:val="Footer Char"/>
    <w:link w:val="780"/>
    <w:uiPriority w:val="99"/>
    <w:qFormat/>
  </w:style>
  <w:style w:type="character" w:styleId="816" w:customStyle="1">
    <w:name w:val="Caption Char"/>
    <w:link w:val="780"/>
    <w:uiPriority w:val="99"/>
    <w:qFormat/>
  </w:style>
  <w:style w:type="table" w:styleId="8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2"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link w:val="785"/>
    <w:uiPriority w:val="99"/>
    <w:rPr>
      <w:sz w:val="18"/>
    </w:rPr>
  </w:style>
  <w:style w:type="character" w:styleId="943" w:customStyle="1">
    <w:name w:val="Endnote Text Char"/>
    <w:link w:val="779"/>
    <w:uiPriority w:val="99"/>
    <w:rPr>
      <w:sz w:val="20"/>
    </w:rPr>
  </w:style>
  <w:style w:type="paragraph" w:styleId="944" w:customStyle="1">
    <w:name w:val="TOC Heading"/>
    <w:uiPriority w:val="39"/>
    <w:unhideWhenUsed/>
    <w:rPr>
      <w:rFonts w:hint="default" w:ascii="Times New Roman" w:hAnsi="Times New Roman" w:eastAsia="宋体" w:cs="Times New Roman"/>
    </w:rPr>
  </w:style>
  <w:style w:type="paragraph" w:styleId="945" w:customStyle="1">
    <w:name w:val="标题 11"/>
    <w:basedOn w:val="758"/>
    <w:next w:val="758"/>
    <w:link w:val="979"/>
    <w:uiPriority w:val="0"/>
    <w:qFormat/>
    <w:pPr>
      <w:jc w:val="center"/>
      <w:keepNext/>
      <w:outlineLvl w:val="0"/>
    </w:pPr>
    <w:rPr>
      <w:rFonts w:ascii="楷体_GB2312" w:hAnsi="楷体_GB2312" w:eastAsia="黑体"/>
      <w:sz w:val="44"/>
      <w:szCs w:val="28"/>
    </w:rPr>
  </w:style>
  <w:style w:type="paragraph" w:styleId="946" w:customStyle="1">
    <w:name w:val="标题 21"/>
    <w:basedOn w:val="758"/>
    <w:next w:val="772"/>
    <w:link w:val="9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7" w:customStyle="1">
    <w:name w:val="标题 31"/>
    <w:basedOn w:val="758"/>
    <w:next w:val="772"/>
    <w:link w:val="956"/>
    <w:uiPriority w:val="0"/>
    <w:qFormat/>
    <w:pPr>
      <w:keepLines/>
      <w:keepNext/>
      <w:spacing w:before="260" w:after="260" w:line="416" w:lineRule="auto"/>
      <w:outlineLvl w:val="2"/>
    </w:pPr>
    <w:rPr>
      <w:b/>
      <w:bCs/>
      <w:sz w:val="32"/>
      <w:szCs w:val="32"/>
    </w:rPr>
  </w:style>
  <w:style w:type="paragraph" w:styleId="948" w:customStyle="1">
    <w:name w:val="标题 41"/>
    <w:basedOn w:val="758"/>
    <w:next w:val="772"/>
    <w:link w:val="999"/>
    <w:uiPriority w:val="0"/>
    <w:qFormat/>
    <w:pPr>
      <w:keepLines/>
      <w:keepNext/>
      <w:spacing w:before="280" w:after="290" w:line="376" w:lineRule="auto"/>
      <w:outlineLvl w:val="3"/>
    </w:pPr>
    <w:rPr>
      <w:rFonts w:ascii="Arial" w:hAnsi="Arial" w:eastAsia="黑体" w:cs="Arial"/>
      <w:b/>
      <w:bCs/>
      <w:sz w:val="28"/>
      <w:szCs w:val="28"/>
    </w:rPr>
  </w:style>
  <w:style w:type="paragraph" w:styleId="949" w:customStyle="1">
    <w:name w:val="标题 51"/>
    <w:basedOn w:val="758"/>
    <w:next w:val="772"/>
    <w:link w:val="991"/>
    <w:uiPriority w:val="0"/>
    <w:qFormat/>
    <w:pPr>
      <w:keepNext/>
      <w:outlineLvl w:val="4"/>
    </w:pPr>
    <w:rPr>
      <w:rFonts w:ascii="宋体"/>
      <w:color w:val="000000"/>
      <w:sz w:val="28"/>
      <w:szCs w:val="28"/>
    </w:rPr>
  </w:style>
  <w:style w:type="paragraph" w:styleId="950" w:customStyle="1">
    <w:name w:val="标题 61"/>
    <w:basedOn w:val="758"/>
    <w:next w:val="758"/>
    <w:link w:val="96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1" w:customStyle="1">
    <w:name w:val="标题 71"/>
    <w:basedOn w:val="758"/>
    <w:next w:val="758"/>
    <w:link w:val="987"/>
    <w:uiPriority w:val="0"/>
    <w:qFormat/>
    <w:pPr>
      <w:numPr>
        <w:ilvl w:val="6"/>
        <w:numId w:val="1"/>
      </w:numPr>
      <w:keepLines/>
      <w:keepNext/>
      <w:spacing w:before="240" w:after="64" w:line="320" w:lineRule="auto"/>
      <w:outlineLvl w:val="6"/>
    </w:pPr>
    <w:rPr>
      <w:b/>
      <w:bCs/>
      <w:sz w:val="24"/>
      <w:szCs w:val="24"/>
    </w:rPr>
  </w:style>
  <w:style w:type="paragraph" w:styleId="952" w:customStyle="1">
    <w:name w:val="标题 81"/>
    <w:basedOn w:val="758"/>
    <w:next w:val="758"/>
    <w:link w:val="10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3" w:customStyle="1">
    <w:name w:val="标题 91"/>
    <w:basedOn w:val="758"/>
    <w:next w:val="758"/>
    <w:link w:val="989"/>
    <w:uiPriority w:val="0"/>
    <w:qFormat/>
    <w:pPr>
      <w:numPr>
        <w:ilvl w:val="8"/>
        <w:numId w:val="1"/>
      </w:numPr>
      <w:keepLines/>
      <w:keepNext/>
      <w:spacing w:before="240" w:after="64" w:line="320" w:lineRule="auto"/>
      <w:outlineLvl w:val="8"/>
    </w:pPr>
    <w:rPr>
      <w:rFonts w:ascii="Arial" w:hAnsi="Arial" w:eastAsia="黑体"/>
    </w:rPr>
  </w:style>
  <w:style w:type="character" w:styleId="954" w:customStyle="1">
    <w:name w:val="默认段落字体1"/>
    <w:link w:val="758"/>
    <w:uiPriority w:val="1"/>
    <w:unhideWhenUsed/>
  </w:style>
  <w:style w:type="table" w:styleId="955" w:customStyle="1">
    <w:name w:val="普通表格1"/>
    <w:uiPriority w:val="99"/>
    <w:unhideWhenUsed/>
    <w:tblPr/>
  </w:style>
  <w:style w:type="character" w:styleId="956" w:customStyle="1">
    <w:name w:val="标题 3 Char"/>
    <w:link w:val="947"/>
    <w:uiPriority w:val="0"/>
    <w:rPr>
      <w:rFonts w:ascii="Times New Roman" w:hAnsi="Times New Roman" w:eastAsia="宋体" w:cs="Times New Roman"/>
      <w:b/>
      <w:bCs/>
      <w:sz w:val="32"/>
      <w:szCs w:val="32"/>
    </w:rPr>
  </w:style>
  <w:style w:type="character" w:styleId="957" w:customStyle="1">
    <w:name w:val="标题 2 Char"/>
    <w:link w:val="946"/>
    <w:uiPriority w:val="0"/>
    <w:rPr>
      <w:rFonts w:ascii="Arial" w:hAnsi="Arial" w:eastAsia="幼圆" w:cs="Arial"/>
      <w:b/>
      <w:bCs/>
      <w:sz w:val="44"/>
      <w:szCs w:val="44"/>
    </w:rPr>
  </w:style>
  <w:style w:type="character" w:styleId="958" w:customStyle="1">
    <w:name w:val="批注引用1"/>
    <w:link w:val="758"/>
    <w:uiPriority w:val="0"/>
    <w:semiHidden/>
    <w:rPr>
      <w:sz w:val="21"/>
      <w:szCs w:val="21"/>
    </w:rPr>
  </w:style>
  <w:style w:type="character" w:styleId="959" w:customStyle="1">
    <w:name w:val="纯文本 Char"/>
    <w:link w:val="960"/>
    <w:uiPriority w:val="0"/>
    <w:rPr>
      <w:rFonts w:ascii="宋体" w:hAnsi="Courier New" w:eastAsia="宋体" w:cs="Courier New"/>
      <w:szCs w:val="21"/>
    </w:rPr>
  </w:style>
  <w:style w:type="paragraph" w:styleId="960" w:customStyle="1">
    <w:name w:val="纯文本1"/>
    <w:basedOn w:val="758"/>
    <w:link w:val="959"/>
    <w:uiPriority w:val="0"/>
    <w:rPr>
      <w:rFonts w:ascii="宋体" w:hAnsi="Courier New" w:cs="Courier New"/>
    </w:rPr>
  </w:style>
  <w:style w:type="character" w:styleId="961" w:customStyle="1">
    <w:name w:val="文档结构图 Char"/>
    <w:link w:val="962"/>
    <w:uiPriority w:val="0"/>
    <w:semiHidden/>
    <w:rPr>
      <w:rFonts w:ascii="Times New Roman" w:hAnsi="Times New Roman" w:eastAsia="宋体" w:cs="Times New Roman"/>
      <w:szCs w:val="21"/>
      <w:shd w:val="clear" w:color="auto" w:fill="000080"/>
    </w:rPr>
  </w:style>
  <w:style w:type="paragraph" w:styleId="962" w:customStyle="1">
    <w:name w:val="文档结构图1"/>
    <w:basedOn w:val="758"/>
    <w:link w:val="961"/>
    <w:uiPriority w:val="0"/>
    <w:semiHidden/>
    <w:pPr>
      <w:shd w:val="clear" w:color="auto" w:fill="000080"/>
    </w:pPr>
  </w:style>
  <w:style w:type="character" w:styleId="963" w:customStyle="1">
    <w:name w:val="要点1"/>
    <w:link w:val="758"/>
    <w:uiPriority w:val="0"/>
    <w:qFormat/>
    <w:rPr>
      <w:b/>
      <w:bCs/>
    </w:rPr>
  </w:style>
  <w:style w:type="character" w:styleId="964" w:customStyle="1">
    <w:name w:val="页脚 Char"/>
    <w:link w:val="965"/>
    <w:uiPriority w:val="0"/>
    <w:rPr>
      <w:rFonts w:ascii="Times New Roman" w:hAnsi="Times New Roman" w:eastAsia="宋体" w:cs="Times New Roman"/>
      <w:sz w:val="18"/>
      <w:szCs w:val="18"/>
    </w:rPr>
  </w:style>
  <w:style w:type="paragraph" w:styleId="965" w:customStyle="1">
    <w:name w:val="页脚1"/>
    <w:basedOn w:val="758"/>
    <w:link w:val="964"/>
    <w:uiPriority w:val="0"/>
    <w:pPr>
      <w:jc w:val="left"/>
      <w:tabs>
        <w:tab w:val="center" w:pos="4153" w:leader="none"/>
        <w:tab w:val="right" w:pos="8306" w:leader="none"/>
      </w:tabs>
    </w:pPr>
    <w:rPr>
      <w:sz w:val="18"/>
      <w:szCs w:val="18"/>
    </w:rPr>
  </w:style>
  <w:style w:type="character" w:styleId="966" w:customStyle="1">
    <w:name w:val="列出段落 Char"/>
    <w:link w:val="967"/>
    <w:uiPriority w:val="0"/>
    <w:rPr>
      <w:rFonts w:ascii="Calibri" w:hAnsi="Calibri"/>
      <w:sz w:val="24"/>
      <w:szCs w:val="24"/>
      <w:lang w:eastAsia="en-US" w:bidi="en-US"/>
    </w:rPr>
  </w:style>
  <w:style w:type="paragraph" w:styleId="967" w:customStyle="1">
    <w:name w:val="列出段落1"/>
    <w:basedOn w:val="758"/>
    <w:link w:val="966"/>
    <w:uiPriority w:val="0"/>
    <w:qFormat/>
    <w:pPr>
      <w:contextualSpacing/>
      <w:ind w:left="720"/>
      <w:jc w:val="left"/>
      <w:widowControl/>
    </w:pPr>
    <w:rPr>
      <w:rFonts w:ascii="Calibri" w:hAnsi="Calibri" w:eastAsia="宋体" w:cs="Times New Roman"/>
      <w:sz w:val="24"/>
      <w:szCs w:val="24"/>
      <w:lang w:eastAsia="en-US" w:bidi="en-US"/>
    </w:rPr>
  </w:style>
  <w:style w:type="character" w:styleId="968" w:customStyle="1">
    <w:name w:val="标题 6 Char"/>
    <w:link w:val="950"/>
    <w:uiPriority w:val="0"/>
    <w:rPr>
      <w:rFonts w:ascii="Arial" w:hAnsi="Arial" w:eastAsia="黑体" w:cs="Times New Roman"/>
      <w:b/>
      <w:bCs/>
      <w:sz w:val="24"/>
      <w:szCs w:val="24"/>
    </w:rPr>
  </w:style>
  <w:style w:type="character" w:styleId="969" w:customStyle="1">
    <w:name w:val="批注主题 Char"/>
    <w:link w:val="970"/>
    <w:uiPriority w:val="0"/>
    <w:semiHidden/>
    <w:rPr>
      <w:rFonts w:ascii="Times New Roman" w:hAnsi="Times New Roman" w:eastAsia="宋体" w:cs="Times New Roman"/>
      <w:b/>
      <w:bCs/>
      <w:szCs w:val="21"/>
    </w:rPr>
  </w:style>
  <w:style w:type="paragraph" w:styleId="970" w:customStyle="1">
    <w:name w:val="批注主题1"/>
    <w:basedOn w:val="971"/>
    <w:next w:val="971"/>
    <w:link w:val="969"/>
    <w:uiPriority w:val="0"/>
    <w:semiHidden/>
    <w:rPr>
      <w:b/>
      <w:bCs/>
    </w:rPr>
  </w:style>
  <w:style w:type="paragraph" w:styleId="971" w:customStyle="1">
    <w:name w:val="批注文字1"/>
    <w:basedOn w:val="758"/>
    <w:link w:val="990"/>
    <w:uiPriority w:val="0"/>
    <w:semiHidden/>
    <w:pPr>
      <w:jc w:val="left"/>
    </w:pPr>
  </w:style>
  <w:style w:type="character" w:styleId="972" w:customStyle="1">
    <w:name w:val="正文文本 2 Char"/>
    <w:link w:val="973"/>
    <w:uiPriority w:val="0"/>
    <w:rPr>
      <w:rFonts w:ascii="楷体_GB2312" w:hAnsi="Times New Roman" w:eastAsia="楷体_GB2312" w:cs="Times New Roman"/>
      <w:sz w:val="28"/>
      <w:szCs w:val="28"/>
    </w:rPr>
  </w:style>
  <w:style w:type="paragraph" w:styleId="973" w:customStyle="1">
    <w:name w:val="正文文本 21"/>
    <w:basedOn w:val="758"/>
    <w:link w:val="972"/>
    <w:uiPriority w:val="0"/>
    <w:pPr>
      <w:jc w:val="center"/>
      <w:widowControl/>
    </w:pPr>
    <w:rPr>
      <w:rFonts w:ascii="楷体_GB2312" w:eastAsia="楷体_GB2312"/>
      <w:sz w:val="28"/>
      <w:szCs w:val="28"/>
    </w:rPr>
  </w:style>
  <w:style w:type="character" w:styleId="974" w:customStyle="1">
    <w:name w:val="正文首行缩进 Char"/>
    <w:link w:val="975"/>
    <w:uiPriority w:val="0"/>
    <w:rPr>
      <w:rFonts w:ascii="仿宋_GB2312" w:hAnsi="Times New Roman" w:eastAsia="仿宋_GB2312" w:cs="Times New Roman"/>
      <w:sz w:val="30"/>
      <w:szCs w:val="30"/>
    </w:rPr>
  </w:style>
  <w:style w:type="paragraph" w:styleId="975" w:customStyle="1">
    <w:name w:val="正文首行缩进1"/>
    <w:basedOn w:val="758"/>
    <w:link w:val="974"/>
    <w:uiPriority w:val="0"/>
    <w:pPr>
      <w:ind w:firstLine="200"/>
      <w:spacing w:line="360" w:lineRule="auto"/>
    </w:pPr>
    <w:rPr>
      <w:rFonts w:ascii="仿宋_GB2312" w:eastAsia="仿宋_GB2312"/>
      <w:sz w:val="30"/>
      <w:szCs w:val="30"/>
    </w:rPr>
  </w:style>
  <w:style w:type="character" w:styleId="976" w:customStyle="1">
    <w:name w:val="正文首行缩进 2 Char"/>
    <w:link w:val="977"/>
    <w:uiPriority w:val="0"/>
    <w:rPr>
      <w:rFonts w:ascii="宋体" w:hAnsi="宋体" w:eastAsia="宋体" w:cs="Times New Roman"/>
      <w:sz w:val="32"/>
      <w:szCs w:val="20"/>
    </w:rPr>
  </w:style>
  <w:style w:type="paragraph" w:styleId="977" w:customStyle="1">
    <w:name w:val="正文首行缩进 21"/>
    <w:basedOn w:val="978"/>
    <w:link w:val="976"/>
    <w:uiPriority w:val="0"/>
    <w:pPr>
      <w:ind w:firstLine="420"/>
      <w:spacing w:line="360" w:lineRule="auto"/>
    </w:pPr>
    <w:rPr>
      <w:rFonts w:ascii="宋体" w:hAnsi="宋体" w:eastAsia="宋体"/>
      <w:sz w:val="21"/>
      <w:szCs w:val="20"/>
    </w:rPr>
  </w:style>
  <w:style w:type="paragraph" w:styleId="978" w:customStyle="1">
    <w:name w:val="正文文本缩进1"/>
    <w:basedOn w:val="758"/>
    <w:link w:val="988"/>
    <w:uiPriority w:val="0"/>
    <w:qFormat/>
    <w:pPr>
      <w:ind w:firstLine="645"/>
    </w:pPr>
    <w:rPr>
      <w:rFonts w:ascii="楷体_GB2312" w:eastAsia="楷体_GB2312"/>
      <w:sz w:val="32"/>
      <w:szCs w:val="32"/>
    </w:rPr>
  </w:style>
  <w:style w:type="character" w:styleId="979" w:customStyle="1">
    <w:name w:val="标题 1 Char"/>
    <w:link w:val="945"/>
    <w:uiPriority w:val="0"/>
    <w:rPr>
      <w:rFonts w:ascii="楷体_GB2312" w:hAnsi="楷体_GB2312" w:eastAsia="黑体" w:cs="Times New Roman"/>
      <w:sz w:val="44"/>
      <w:szCs w:val="28"/>
    </w:rPr>
  </w:style>
  <w:style w:type="character" w:styleId="980" w:customStyle="1">
    <w:name w:val="已访问的超链接1"/>
    <w:link w:val="758"/>
    <w:uiPriority w:val="0"/>
    <w:rPr>
      <w:color w:val="800080"/>
      <w:u w:val="single"/>
    </w:rPr>
  </w:style>
  <w:style w:type="character" w:styleId="981" w:customStyle="1">
    <w:name w:val="正文文本 3 Char"/>
    <w:link w:val="982"/>
    <w:uiPriority w:val="0"/>
    <w:rPr>
      <w:rFonts w:ascii="仿宋_GB2312" w:hAnsi="Arial" w:eastAsia="仿宋_GB2312" w:cs="Times New Roman"/>
      <w:sz w:val="32"/>
      <w:szCs w:val="32"/>
    </w:rPr>
  </w:style>
  <w:style w:type="paragraph" w:styleId="982" w:customStyle="1">
    <w:name w:val="正文文本 31"/>
    <w:basedOn w:val="758"/>
    <w:link w:val="981"/>
    <w:uiPriority w:val="0"/>
    <w:rPr>
      <w:rFonts w:ascii="仿宋_GB2312" w:hAnsi="Arial" w:eastAsia="仿宋_GB2312"/>
      <w:sz w:val="32"/>
      <w:szCs w:val="32"/>
    </w:rPr>
  </w:style>
  <w:style w:type="character" w:styleId="983" w:customStyle="1">
    <w:name w:val="二级目录 Char"/>
    <w:link w:val="984"/>
    <w:uiPriority w:val="0"/>
    <w:rPr>
      <w:b/>
      <w:sz w:val="30"/>
      <w:szCs w:val="28"/>
    </w:rPr>
  </w:style>
  <w:style w:type="paragraph" w:styleId="984" w:customStyle="1">
    <w:name w:val="二级目录"/>
    <w:next w:val="758"/>
    <w:link w:val="983"/>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5" w:customStyle="1">
    <w:name w:val="正文缩进 Char"/>
    <w:link w:val="772"/>
    <w:uiPriority w:val="0"/>
    <w:rPr>
      <w:rFonts w:ascii="Times New Roman" w:hAnsi="Times New Roman" w:eastAsia="宋体" w:cs="Times New Roman"/>
      <w:szCs w:val="21"/>
    </w:rPr>
  </w:style>
  <w:style w:type="character" w:styleId="986" w:customStyle="1">
    <w:name w:val="页码1"/>
    <w:link w:val="758"/>
    <w:uiPriority w:val="0"/>
  </w:style>
  <w:style w:type="character" w:styleId="987" w:customStyle="1">
    <w:name w:val="标题 7 Char"/>
    <w:link w:val="951"/>
    <w:uiPriority w:val="0"/>
    <w:rPr>
      <w:rFonts w:ascii="Times New Roman" w:hAnsi="Times New Roman" w:eastAsia="宋体" w:cs="Times New Roman"/>
      <w:b/>
      <w:bCs/>
      <w:sz w:val="24"/>
      <w:szCs w:val="24"/>
    </w:rPr>
  </w:style>
  <w:style w:type="character" w:styleId="988" w:customStyle="1">
    <w:name w:val="正文文本缩进 Char"/>
    <w:link w:val="978"/>
    <w:uiPriority w:val="0"/>
    <w:rPr>
      <w:rFonts w:ascii="楷体_GB2312" w:hAnsi="Times New Roman" w:eastAsia="楷体_GB2312" w:cs="Times New Roman"/>
      <w:sz w:val="32"/>
      <w:szCs w:val="32"/>
    </w:rPr>
  </w:style>
  <w:style w:type="character" w:styleId="989" w:customStyle="1">
    <w:name w:val="标题 9 Char"/>
    <w:link w:val="953"/>
    <w:uiPriority w:val="0"/>
    <w:rPr>
      <w:rFonts w:ascii="Arial" w:hAnsi="Arial" w:eastAsia="黑体" w:cs="Times New Roman"/>
      <w:szCs w:val="21"/>
    </w:rPr>
  </w:style>
  <w:style w:type="character" w:styleId="990" w:customStyle="1">
    <w:name w:val="批注文字 Char"/>
    <w:link w:val="971"/>
    <w:uiPriority w:val="0"/>
    <w:semiHidden/>
    <w:rPr>
      <w:rFonts w:ascii="Times New Roman" w:hAnsi="Times New Roman" w:eastAsia="宋体" w:cs="Times New Roman"/>
      <w:szCs w:val="21"/>
    </w:rPr>
  </w:style>
  <w:style w:type="character" w:styleId="991" w:customStyle="1">
    <w:name w:val="标题 5 Char"/>
    <w:link w:val="949"/>
    <w:uiPriority w:val="0"/>
    <w:rPr>
      <w:rFonts w:ascii="宋体" w:hAnsi="Times New Roman" w:eastAsia="宋体" w:cs="Times New Roman"/>
      <w:color w:val="000000"/>
      <w:sz w:val="28"/>
      <w:szCs w:val="28"/>
    </w:rPr>
  </w:style>
  <w:style w:type="character" w:styleId="992" w:customStyle="1">
    <w:name w:val="正文文本缩进 2 Char"/>
    <w:link w:val="993"/>
    <w:uiPriority w:val="0"/>
    <w:rPr>
      <w:rFonts w:ascii="Arial" w:hAnsi="Arial" w:eastAsia="仿宋_GB2312" w:cs="Arial"/>
      <w:sz w:val="32"/>
      <w:szCs w:val="32"/>
    </w:rPr>
  </w:style>
  <w:style w:type="paragraph" w:styleId="993" w:customStyle="1">
    <w:name w:val="正文文本缩进 21"/>
    <w:basedOn w:val="758"/>
    <w:link w:val="992"/>
    <w:uiPriority w:val="0"/>
    <w:pPr>
      <w:ind w:left="630" w:firstLine="645"/>
    </w:pPr>
    <w:rPr>
      <w:rFonts w:ascii="Arial" w:hAnsi="Arial" w:eastAsia="仿宋_GB2312" w:cs="Arial"/>
      <w:sz w:val="32"/>
      <w:szCs w:val="32"/>
    </w:rPr>
  </w:style>
  <w:style w:type="character" w:styleId="994" w:customStyle="1">
    <w:name w:val="日期 Char"/>
    <w:link w:val="995"/>
    <w:uiPriority w:val="0"/>
    <w:rPr>
      <w:rFonts w:ascii="Times New Roman" w:hAnsi="Times New Roman" w:eastAsia="宋体" w:cs="Times New Roman"/>
      <w:sz w:val="24"/>
      <w:szCs w:val="24"/>
    </w:rPr>
  </w:style>
  <w:style w:type="paragraph" w:styleId="995" w:customStyle="1">
    <w:name w:val="日期1"/>
    <w:basedOn w:val="758"/>
    <w:next w:val="758"/>
    <w:link w:val="994"/>
    <w:uiPriority w:val="0"/>
    <w:rPr>
      <w:sz w:val="24"/>
      <w:szCs w:val="24"/>
    </w:rPr>
  </w:style>
  <w:style w:type="character" w:styleId="996" w:customStyle="1">
    <w:name w:val="超链接1"/>
    <w:link w:val="758"/>
    <w:uiPriority w:val="0"/>
    <w:rPr>
      <w:color w:val="0000ff"/>
      <w:u w:val="single"/>
    </w:rPr>
  </w:style>
  <w:style w:type="character" w:styleId="997" w:customStyle="1">
    <w:name w:val="批注框文本 Char"/>
    <w:link w:val="998"/>
    <w:uiPriority w:val="0"/>
    <w:semiHidden/>
    <w:rPr>
      <w:rFonts w:ascii="Times New Roman" w:hAnsi="Times New Roman" w:eastAsia="宋体" w:cs="Times New Roman"/>
      <w:sz w:val="18"/>
      <w:szCs w:val="18"/>
    </w:rPr>
  </w:style>
  <w:style w:type="paragraph" w:styleId="998" w:customStyle="1">
    <w:name w:val="批注框文本1"/>
    <w:basedOn w:val="758"/>
    <w:link w:val="997"/>
    <w:uiPriority w:val="0"/>
    <w:semiHidden/>
    <w:rPr>
      <w:sz w:val="18"/>
      <w:szCs w:val="18"/>
    </w:rPr>
  </w:style>
  <w:style w:type="character" w:styleId="999" w:customStyle="1">
    <w:name w:val="标题 4 Char"/>
    <w:link w:val="948"/>
    <w:uiPriority w:val="0"/>
    <w:rPr>
      <w:rFonts w:ascii="Arial" w:hAnsi="Arial" w:eastAsia="黑体" w:cs="Arial"/>
      <w:b/>
      <w:bCs/>
      <w:sz w:val="28"/>
      <w:szCs w:val="28"/>
    </w:rPr>
  </w:style>
  <w:style w:type="character" w:styleId="1000" w:customStyle="1">
    <w:name w:val="font5 Char"/>
    <w:link w:val="758"/>
    <w:uiPriority w:val="0"/>
    <w:rPr>
      <w:rFonts w:ascii="宋体" w:hAnsi="宋体" w:eastAsia="宋体"/>
      <w:sz w:val="28"/>
      <w:szCs w:val="28"/>
      <w:lang w:val="en-US" w:eastAsia="zh-CN" w:bidi="ar-SA"/>
    </w:rPr>
  </w:style>
  <w:style w:type="character" w:styleId="1001" w:customStyle="1">
    <w:name w:val="页眉 Char"/>
    <w:link w:val="1002"/>
    <w:uiPriority w:val="0"/>
    <w:rPr>
      <w:rFonts w:ascii="Times New Roman" w:hAnsi="Times New Roman" w:eastAsia="宋体" w:cs="Times New Roman"/>
      <w:sz w:val="18"/>
      <w:szCs w:val="18"/>
    </w:rPr>
  </w:style>
  <w:style w:type="paragraph" w:styleId="1002" w:customStyle="1">
    <w:name w:val="页眉1"/>
    <w:basedOn w:val="758"/>
    <w:link w:val="1001"/>
    <w:uiPriority w:val="0"/>
    <w:pPr>
      <w:jc w:val="center"/>
      <w:tabs>
        <w:tab w:val="center" w:pos="4153" w:leader="none"/>
        <w:tab w:val="right" w:pos="8306" w:leader="none"/>
      </w:tabs>
      <w:pBdr>
        <w:bottom w:val="single" w:color="000000" w:sz="6" w:space="1"/>
      </w:pBdr>
    </w:pPr>
    <w:rPr>
      <w:sz w:val="18"/>
      <w:szCs w:val="18"/>
    </w:rPr>
  </w:style>
  <w:style w:type="character" w:styleId="1003" w:customStyle="1">
    <w:name w:val="正文文本 Char"/>
    <w:link w:val="770"/>
    <w:uiPriority w:val="0"/>
    <w:rPr>
      <w:rFonts w:ascii="楷体_GB2312" w:hAnsi="Arial" w:eastAsia="楷体_GB2312" w:cs="Times New Roman"/>
      <w:sz w:val="28"/>
      <w:szCs w:val="28"/>
    </w:rPr>
  </w:style>
  <w:style w:type="character" w:styleId="1004" w:customStyle="1">
    <w:name w:val="正文文本缩进 3 Char"/>
    <w:link w:val="1005"/>
    <w:uiPriority w:val="0"/>
    <w:rPr>
      <w:rFonts w:ascii="Arial" w:hAnsi="Arial" w:eastAsia="仿宋_GB2312" w:cs="Arial"/>
      <w:color w:val="ffff00"/>
      <w:sz w:val="32"/>
      <w:szCs w:val="32"/>
    </w:rPr>
  </w:style>
  <w:style w:type="paragraph" w:styleId="1005" w:customStyle="1">
    <w:name w:val="正文文本缩进 31"/>
    <w:basedOn w:val="758"/>
    <w:link w:val="1004"/>
    <w:uiPriority w:val="0"/>
    <w:pPr>
      <w:ind w:left="645" w:firstLine="645"/>
    </w:pPr>
    <w:rPr>
      <w:rFonts w:ascii="Arial" w:hAnsi="Arial" w:eastAsia="仿宋_GB2312" w:cs="Arial"/>
      <w:color w:val="ffff00"/>
      <w:sz w:val="32"/>
      <w:szCs w:val="32"/>
    </w:rPr>
  </w:style>
  <w:style w:type="character" w:styleId="1006" w:customStyle="1">
    <w:name w:val="标题 8 Char"/>
    <w:link w:val="952"/>
    <w:uiPriority w:val="0"/>
    <w:rPr>
      <w:rFonts w:ascii="Arial" w:hAnsi="Arial" w:eastAsia="黑体" w:cs="Times New Roman"/>
      <w:sz w:val="24"/>
      <w:szCs w:val="24"/>
    </w:rPr>
  </w:style>
  <w:style w:type="paragraph" w:styleId="1007" w:customStyle="1">
    <w:name w:val="xl25"/>
    <w:basedOn w:val="75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customStyle="1">
    <w:name w:val="xl27"/>
    <w:basedOn w:val="75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标题1"/>
    <w:basedOn w:val="758"/>
    <w:next w:val="75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customStyle="1">
    <w:name w:val="目录 31"/>
    <w:basedOn w:val="758"/>
    <w:next w:val="758"/>
    <w:uiPriority w:val="0"/>
    <w:semiHidden/>
    <w:pPr>
      <w:ind w:left="420"/>
      <w:jc w:val="left"/>
    </w:pPr>
    <w:rPr>
      <w:i/>
      <w:iCs/>
      <w:szCs w:val="24"/>
    </w:rPr>
  </w:style>
  <w:style w:type="paragraph" w:styleId="1011" w:customStyle="1">
    <w:name w:val="font6"/>
    <w:basedOn w:val="758"/>
    <w:uiPriority w:val="0"/>
    <w:pPr>
      <w:jc w:val="left"/>
      <w:spacing w:before="100" w:beforeAutospacing="1" w:after="100" w:afterAutospacing="1"/>
      <w:widowControl/>
    </w:pPr>
    <w:rPr>
      <w:rFonts w:hint="eastAsia" w:ascii="宋体" w:hAnsi="宋体"/>
      <w:sz w:val="28"/>
      <w:szCs w:val="28"/>
      <w:u w:val="single"/>
    </w:rPr>
  </w:style>
  <w:style w:type="paragraph" w:styleId="1012" w:customStyle="1">
    <w:name w:val="xl30"/>
    <w:basedOn w:val="758"/>
    <w:uiPriority w:val="0"/>
    <w:pPr>
      <w:jc w:val="center"/>
      <w:spacing w:before="100" w:beforeAutospacing="1" w:after="100" w:afterAutospacing="1"/>
      <w:widowControl/>
    </w:pPr>
    <w:rPr>
      <w:rFonts w:ascii="宋体" w:hAnsi="宋体"/>
      <w:b/>
      <w:bCs/>
      <w:sz w:val="36"/>
      <w:szCs w:val="36"/>
    </w:rPr>
  </w:style>
  <w:style w:type="paragraph" w:styleId="1013" w:customStyle="1">
    <w:name w:val="font5"/>
    <w:basedOn w:val="758"/>
    <w:uiPriority w:val="0"/>
    <w:pPr>
      <w:jc w:val="left"/>
      <w:spacing w:before="100" w:beforeAutospacing="1" w:after="100" w:afterAutospacing="1"/>
      <w:widowControl/>
    </w:pPr>
    <w:rPr>
      <w:rFonts w:hint="eastAsia" w:ascii="宋体" w:hAnsi="宋体"/>
      <w:sz w:val="28"/>
      <w:szCs w:val="28"/>
    </w:rPr>
  </w:style>
  <w:style w:type="paragraph" w:styleId="1014" w:customStyle="1">
    <w:name w:val="图标"/>
    <w:basedOn w:val="758"/>
    <w:next w:val="75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customStyle="1">
    <w:name w:val="列表 31"/>
    <w:basedOn w:val="758"/>
    <w:uiPriority w:val="0"/>
    <w:pPr>
      <w:ind w:left="100" w:hanging="200"/>
    </w:pPr>
  </w:style>
  <w:style w:type="paragraph" w:styleId="1016" w:customStyle="1">
    <w:name w:val="列表1"/>
    <w:basedOn w:val="758"/>
    <w:uiPriority w:val="0"/>
    <w:qFormat/>
    <w:pPr>
      <w:ind w:left="200" w:hanging="200"/>
    </w:pPr>
  </w:style>
  <w:style w:type="paragraph" w:styleId="1017" w:customStyle="1">
    <w:name w:val=" Char Char Char Char"/>
    <w:basedOn w:val="962"/>
    <w:uiPriority w:val="0"/>
    <w:pPr>
      <w:spacing w:line="360" w:lineRule="auto"/>
    </w:pPr>
    <w:rPr>
      <w:rFonts w:ascii="Tahoma" w:hAnsi="Tahoma"/>
      <w:sz w:val="24"/>
      <w:szCs w:val="24"/>
    </w:rPr>
  </w:style>
  <w:style w:type="paragraph" w:styleId="1018" w:customStyle="1">
    <w:name w:val="目录 81"/>
    <w:basedOn w:val="758"/>
    <w:next w:val="758"/>
    <w:uiPriority w:val="0"/>
    <w:semiHidden/>
    <w:pPr>
      <w:ind w:left="1470"/>
      <w:jc w:val="left"/>
    </w:pPr>
  </w:style>
  <w:style w:type="paragraph" w:styleId="1019" w:customStyle="1">
    <w:name w:val="修订"/>
    <w:uiPriority w:val="99"/>
    <w:semiHidden/>
    <w:rPr>
      <w:rFonts w:hint="default" w:ascii="Times New Roman" w:hAnsi="Times New Roman" w:eastAsia="宋体" w:cs="Times New Roman"/>
      <w:sz w:val="21"/>
      <w:szCs w:val="21"/>
      <w:lang w:val="en-US" w:eastAsia="zh-CN" w:bidi="ar-SA"/>
    </w:rPr>
  </w:style>
  <w:style w:type="paragraph" w:styleId="1020" w:customStyle="1">
    <w:name w:val="列表 21"/>
    <w:basedOn w:val="758"/>
    <w:uiPriority w:val="0"/>
    <w:pPr>
      <w:ind w:left="100" w:hanging="200"/>
    </w:pPr>
  </w:style>
  <w:style w:type="paragraph" w:styleId="1021" w:customStyle="1">
    <w:name w:val="xl24"/>
    <w:basedOn w:val="75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目录 51"/>
    <w:basedOn w:val="758"/>
    <w:next w:val="758"/>
    <w:uiPriority w:val="0"/>
    <w:semiHidden/>
    <w:pPr>
      <w:ind w:left="840"/>
      <w:jc w:val="left"/>
    </w:pPr>
  </w:style>
  <w:style w:type="paragraph" w:styleId="1023" w:customStyle="1">
    <w:name w:val="普通(网站)1"/>
    <w:basedOn w:val="758"/>
    <w:uiPriority w:val="99"/>
    <w:pPr>
      <w:jc w:val="left"/>
      <w:spacing w:before="100" w:beforeAutospacing="1" w:after="100" w:afterAutospacing="1"/>
      <w:widowControl/>
    </w:pPr>
    <w:rPr>
      <w:rFonts w:ascii="宋体" w:hAnsi="宋体" w:cs="宋体"/>
      <w:sz w:val="24"/>
      <w:szCs w:val="24"/>
    </w:rPr>
  </w:style>
  <w:style w:type="paragraph" w:styleId="1024" w:customStyle="1">
    <w:name w:val=" Char Char Char Char Char Char Char Char"/>
    <w:basedOn w:val="758"/>
    <w:uiPriority w:val="0"/>
    <w:pPr>
      <w:jc w:val="left"/>
      <w:spacing w:after="160" w:line="240" w:lineRule="exact"/>
      <w:widowControl/>
    </w:pPr>
    <w:rPr>
      <w:rFonts w:ascii="Verdana" w:hAnsi="Verdana"/>
      <w:sz w:val="20"/>
      <w:szCs w:val="20"/>
      <w:lang w:eastAsia="en-US"/>
    </w:rPr>
  </w:style>
  <w:style w:type="paragraph" w:styleId="1025" w:customStyle="1">
    <w:name w:val="font7"/>
    <w:basedOn w:val="758"/>
    <w:uiPriority w:val="0"/>
    <w:pPr>
      <w:jc w:val="left"/>
      <w:spacing w:before="100" w:beforeAutospacing="1" w:after="100" w:afterAutospacing="1"/>
      <w:widowControl/>
    </w:pPr>
    <w:rPr>
      <w:rFonts w:hint="eastAsia" w:ascii="宋体" w:hAnsi="宋体"/>
      <w:sz w:val="18"/>
      <w:szCs w:val="18"/>
    </w:rPr>
  </w:style>
  <w:style w:type="paragraph" w:styleId="1026" w:customStyle="1">
    <w:name w:val="索引 11"/>
    <w:basedOn w:val="758"/>
    <w:next w:val="758"/>
    <w:uiPriority w:val="0"/>
    <w:semiHidden/>
    <w:pPr>
      <w:spacing w:line="240" w:lineRule="atLeast"/>
    </w:pPr>
    <w:rPr>
      <w:b/>
      <w:bCs/>
    </w:rPr>
  </w:style>
  <w:style w:type="paragraph" w:styleId="1027" w:customStyle="1">
    <w:name w:val="目录 61"/>
    <w:basedOn w:val="758"/>
    <w:next w:val="758"/>
    <w:uiPriority w:val="0"/>
    <w:semiHidden/>
    <w:pPr>
      <w:ind w:left="1050"/>
      <w:jc w:val="left"/>
    </w:pPr>
  </w:style>
  <w:style w:type="paragraph" w:styleId="1028" w:customStyle="1">
    <w:name w:val="Char Char Char Char Char Char Char Char"/>
    <w:basedOn w:val="758"/>
    <w:uiPriority w:val="0"/>
    <w:pPr>
      <w:jc w:val="left"/>
      <w:spacing w:after="160" w:line="240" w:lineRule="exact"/>
      <w:widowControl/>
    </w:pPr>
    <w:rPr>
      <w:rFonts w:ascii="Verdana" w:hAnsi="Verdana"/>
      <w:sz w:val="20"/>
      <w:szCs w:val="20"/>
      <w:lang w:eastAsia="en-US"/>
    </w:rPr>
  </w:style>
  <w:style w:type="paragraph" w:styleId="1029" w:customStyle="1">
    <w:name w:val="table_lines"/>
    <w:basedOn w:val="758"/>
    <w:uiPriority w:val="0"/>
    <w:pPr>
      <w:jc w:val="left"/>
      <w:widowControl/>
    </w:pPr>
    <w:rPr>
      <w:sz w:val="20"/>
      <w:szCs w:val="20"/>
      <w:lang w:val="de-DE" w:eastAsia="de-DE"/>
    </w:rPr>
  </w:style>
  <w:style w:type="paragraph" w:styleId="1030" w:customStyle="1">
    <w:name w:val=" Char"/>
    <w:basedOn w:val="962"/>
    <w:uiPriority w:val="0"/>
    <w:rPr>
      <w:rFonts w:ascii="Tahoma" w:hAnsi="Tahoma"/>
      <w:sz w:val="24"/>
      <w:szCs w:val="24"/>
    </w:rPr>
  </w:style>
  <w:style w:type="paragraph" w:styleId="1031"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3" w:customStyle="1">
    <w:name w:val="图表目录1"/>
    <w:basedOn w:val="758"/>
    <w:next w:val="758"/>
    <w:uiPriority w:val="0"/>
    <w:semiHidden/>
    <w:pPr>
      <w:ind w:left="840" w:hanging="420"/>
    </w:pPr>
  </w:style>
  <w:style w:type="paragraph" w:styleId="1034" w:customStyle="1">
    <w:name w:val="Body Text(ch)"/>
    <w:basedOn w:val="758"/>
    <w:next w:val="770"/>
    <w:uiPriority w:val="0"/>
    <w:pPr>
      <w:spacing w:after="120"/>
    </w:pPr>
    <w:rPr>
      <w:rFonts w:ascii="宋体" w:hAnsi="Arial"/>
      <w:bCs/>
      <w:iCs/>
      <w:szCs w:val="24"/>
    </w:rPr>
  </w:style>
  <w:style w:type="paragraph" w:styleId="1035" w:customStyle="1">
    <w:name w:val="目录 91"/>
    <w:basedOn w:val="758"/>
    <w:next w:val="758"/>
    <w:uiPriority w:val="0"/>
    <w:semiHidden/>
    <w:pPr>
      <w:ind w:left="1680"/>
      <w:jc w:val="left"/>
    </w:pPr>
  </w:style>
  <w:style w:type="paragraph" w:styleId="1036" w:customStyle="1">
    <w:name w:val="目录 11"/>
    <w:basedOn w:val="758"/>
    <w:next w:val="758"/>
    <w:uiPriority w:val="0"/>
    <w:semiHidden/>
    <w:pPr>
      <w:jc w:val="left"/>
      <w:spacing w:before="120" w:after="120" w:line="400" w:lineRule="exact"/>
      <w:tabs>
        <w:tab w:val="right" w:pos="8720" w:leader="dot"/>
      </w:tabs>
    </w:pPr>
    <w:rPr>
      <w:rFonts w:ascii="宋体" w:hAnsi="宋体"/>
      <w:caps/>
      <w:sz w:val="24"/>
      <w:szCs w:val="24"/>
    </w:rPr>
  </w:style>
  <w:style w:type="paragraph" w:styleId="1037" w:customStyle="1">
    <w:name w:val="xl28"/>
    <w:basedOn w:val="75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8" w:customStyle="1">
    <w:name w:val="目录 21"/>
    <w:basedOn w:val="758"/>
    <w:next w:val="758"/>
    <w:uiPriority w:val="0"/>
    <w:semiHidden/>
    <w:pPr>
      <w:ind w:left="210"/>
      <w:jc w:val="left"/>
    </w:pPr>
    <w:rPr>
      <w:smallCaps/>
      <w:szCs w:val="24"/>
    </w:rPr>
  </w:style>
  <w:style w:type="paragraph" w:styleId="1039" w:customStyle="1">
    <w:name w:val="普通 (Web)"/>
    <w:basedOn w:val="758"/>
    <w:uiPriority w:val="0"/>
    <w:pPr>
      <w:jc w:val="left"/>
      <w:spacing w:before="100" w:beforeAutospacing="1" w:after="100" w:afterAutospacing="1"/>
      <w:widowControl/>
    </w:pPr>
    <w:rPr>
      <w:rFonts w:ascii="宋体" w:hAnsi="宋体"/>
      <w:sz w:val="24"/>
      <w:szCs w:val="24"/>
    </w:rPr>
  </w:style>
  <w:style w:type="paragraph" w:styleId="1040" w:customStyle="1">
    <w:name w:val="列出段落"/>
    <w:basedOn w:val="758"/>
    <w:uiPriority w:val="0"/>
    <w:qFormat/>
    <w:pPr>
      <w:contextualSpacing/>
      <w:ind w:left="720"/>
      <w:jc w:val="left"/>
      <w:widowControl/>
    </w:pPr>
    <w:rPr>
      <w:rFonts w:ascii="Calibri" w:hAnsi="Calibri"/>
      <w:sz w:val="24"/>
      <w:szCs w:val="24"/>
      <w:lang w:eastAsia="en-US" w:bidi="en-US"/>
    </w:rPr>
  </w:style>
  <w:style w:type="paragraph" w:styleId="1041" w:customStyle="1">
    <w:name w:val="普通正文"/>
    <w:basedOn w:val="758"/>
    <w:uiPriority w:val="0"/>
    <w:pPr>
      <w:ind w:firstLine="480"/>
      <w:jc w:val="left"/>
      <w:spacing w:before="120" w:after="120" w:line="360" w:lineRule="auto"/>
    </w:pPr>
    <w:rPr>
      <w:rFonts w:ascii="Arial" w:hAnsi="Arial"/>
      <w:sz w:val="24"/>
      <w:szCs w:val="24"/>
    </w:rPr>
  </w:style>
  <w:style w:type="paragraph" w:styleId="1042" w:customStyle="1">
    <w:name w:val="目录 71"/>
    <w:basedOn w:val="758"/>
    <w:next w:val="758"/>
    <w:uiPriority w:val="0"/>
    <w:semiHidden/>
    <w:pPr>
      <w:ind w:left="1260"/>
      <w:jc w:val="left"/>
    </w:pPr>
  </w:style>
  <w:style w:type="paragraph" w:styleId="1043" w:customStyle="1">
    <w:name w:val="目录 41"/>
    <w:basedOn w:val="758"/>
    <w:next w:val="758"/>
    <w:uiPriority w:val="0"/>
    <w:semiHidden/>
    <w:pPr>
      <w:ind w:left="630"/>
      <w:jc w:val="left"/>
    </w:pPr>
  </w:style>
  <w:style w:type="paragraph" w:styleId="1044" w:customStyle="1">
    <w:name w:val="xl26"/>
    <w:basedOn w:val="75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9"/>
    <w:basedOn w:val="75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customStyle="1">
    <w:name w:val="Char"/>
    <w:basedOn w:val="758"/>
    <w:uiPriority w:val="0"/>
    <w:pPr>
      <w:ind w:firstLine="200"/>
      <w:tabs>
        <w:tab w:val="left" w:pos="360" w:leader="none"/>
      </w:tabs>
    </w:pPr>
    <w:rPr>
      <w:sz w:val="28"/>
      <w:szCs w:val="30"/>
    </w:rPr>
  </w:style>
  <w:style w:type="paragraph" w:styleId="1047" w:customStyle="1">
    <w:name w:val="4"/>
    <w:basedOn w:val="758"/>
    <w:next w:val="1005"/>
    <w:uiPriority w:val="0"/>
    <w:pPr>
      <w:ind w:firstLine="420"/>
      <w:spacing w:line="360" w:lineRule="auto"/>
    </w:pPr>
    <w:rPr>
      <w:color w:val="ff0000"/>
      <w:sz w:val="24"/>
      <w:szCs w:val="24"/>
    </w:rPr>
  </w:style>
  <w:style w:type="paragraph" w:styleId="1048" w:customStyle="1">
    <w:name w:val=" Char Char Char Char Char Char Char Char Char Char"/>
    <w:basedOn w:val="758"/>
    <w:uiPriority w:val="0"/>
    <w:pPr>
      <w:spacing w:line="360" w:lineRule="auto"/>
    </w:pPr>
    <w:rPr>
      <w:sz w:val="24"/>
      <w:szCs w:val="20"/>
    </w:rPr>
  </w:style>
  <w:style w:type="paragraph" w:styleId="1049" w:customStyle="1">
    <w:name w:val="样式1"/>
    <w:basedOn w:val="758"/>
    <w:uiPriority w:val="0"/>
    <w:qFormat/>
    <w:pPr>
      <w:numPr>
        <w:ilvl w:val="0"/>
        <w:numId w:val="3"/>
      </w:numPr>
    </w:pPr>
    <w:rPr>
      <w:rFonts w:ascii="宋体" w:hAnsi="宋体"/>
    </w:rPr>
  </w:style>
  <w:style w:type="paragraph" w:styleId="1050" w:customStyle="1">
    <w:name w:val="标题3"/>
    <w:basedOn w:val="758"/>
    <w:next w:val="758"/>
    <w:uiPriority w:val="0"/>
    <w:qFormat/>
    <w:pPr>
      <w:ind w:firstLine="624"/>
      <w:spacing w:line="590" w:lineRule="atLeast"/>
    </w:pPr>
    <w:rPr>
      <w:rFonts w:ascii="方正黑体_GBK" w:eastAsia="方正黑体_GBK"/>
      <w:sz w:val="32"/>
      <w:szCs w:val="32"/>
    </w:rPr>
  </w:style>
  <w:style w:type="paragraph" w:styleId="1051" w:customStyle="1">
    <w:name w:val="Char Char Char Char"/>
    <w:basedOn w:val="962"/>
    <w:uiPriority w:val="0"/>
    <w:pPr>
      <w:spacing w:line="360" w:lineRule="auto"/>
    </w:pPr>
    <w:rPr>
      <w:rFonts w:ascii="Tahoma" w:hAnsi="Tahoma"/>
      <w:sz w:val="24"/>
      <w:szCs w:val="24"/>
    </w:rPr>
  </w:style>
  <w:style w:type="paragraph" w:styleId="1052" w:customStyle="1">
    <w:name w:val="table_1stline"/>
    <w:basedOn w:val="758"/>
    <w:uiPriority w:val="0"/>
    <w:pPr>
      <w:jc w:val="left"/>
      <w:spacing w:before="120"/>
      <w:widowControl/>
    </w:pPr>
    <w:rPr>
      <w:bCs/>
      <w:sz w:val="20"/>
      <w:szCs w:val="20"/>
      <w:lang w:val="de-DE" w:eastAsia="de-DE"/>
    </w:rPr>
  </w:style>
  <w:style w:type="table" w:styleId="1053" w:customStyle="1">
    <w:name w:val="网格型1"/>
    <w:basedOn w:val="955"/>
    <w:uiPriority w:val="0"/>
    <w:pPr>
      <w:jc w:val="both"/>
      <w:widowControl w:val="off"/>
    </w:pPr>
    <w:rPr>
      <w:rFonts w:ascii="Times New Roman" w:hAnsi="Times New Roman" w:eastAsia="宋体" w:cs="Times New Roman"/>
      <w:sz w:val="20"/>
      <w:szCs w:val="20"/>
    </w:rPr>
    <w:tblPr/>
  </w:style>
  <w:style w:type="paragraph" w:styleId="1054" w:customStyle="1">
    <w:name w:val="纯文本11"/>
    <w:basedOn w:val="758"/>
    <w:uiPriority w:val="99"/>
    <w:qFormat/>
    <w:rPr>
      <w:rFonts w:ascii="宋体" w:hAnsi="Courier New"/>
      <w:sz w:val="20"/>
      <w:szCs w:val="21"/>
    </w:rPr>
  </w:style>
  <w:style w:type="paragraph" w:styleId="1055" w:customStyle="1">
    <w:name w:val="正文空2格  1."/>
    <w:basedOn w:val="758"/>
    <w:uiPriority w:val="0"/>
    <w:qFormat/>
    <w:pPr>
      <w:ind w:firstLine="480"/>
    </w:pPr>
    <w:rPr>
      <w:rFonts w:cs="宋体"/>
      <w:sz w:val="28"/>
      <w:szCs w:val="20"/>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jpg"/><Relationship Id="rId22"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53</cp:revision>
  <dcterms:created xsi:type="dcterms:W3CDTF">2023-03-16T02:16:00Z</dcterms:created>
  <dcterms:modified xsi:type="dcterms:W3CDTF">2026-09-17T08:46:05Z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