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eastAsia="黑体"/>
          <w:b/>
          <w:bCs/>
          <w:color w:val="auto"/>
          <w:sz w:val="84"/>
          <w:highlight w:val="none"/>
        </w:rPr>
      </w:pPr>
      <w:r/>
      <w:bookmarkStart w:id="197" w:name="_GoBack"/>
      <w:r/>
      <w:r/>
    </w:p>
    <w:p>
      <w:pPr>
        <w:pStyle w:val="1001"/>
        <w:ind w:firstLine="0"/>
        <w:jc w:val="center"/>
        <w:rPr>
          <w:rFonts w:eastAsia="黑体"/>
          <w:b/>
          <w:bCs/>
          <w:color w:val="auto"/>
          <w:sz w:val="84"/>
          <w:highlight w:val="none"/>
        </w:rPr>
      </w:pPr>
      <w:r>
        <w:rPr>
          <w:rFonts w:hint="eastAsia" w:eastAsia="黑体"/>
          <w:b/>
          <w:bCs/>
          <w:color w:val="auto"/>
          <w:sz w:val="84"/>
          <w:highlight w:val="none"/>
        </w:rPr>
        <w:t xml:space="preserve">竞 争 性 磋 商</w:t>
      </w:r>
      <w:r/>
    </w:p>
    <w:p>
      <w:pPr>
        <w:pStyle w:val="1001"/>
        <w:ind w:firstLine="0"/>
        <w:jc w:val="center"/>
        <w:rPr>
          <w:rFonts w:eastAsia="黑体"/>
          <w:b/>
          <w:bCs/>
          <w:color w:val="auto"/>
          <w:sz w:val="84"/>
          <w:highlight w:val="none"/>
        </w:rPr>
      </w:pPr>
      <w:r>
        <w:rPr>
          <w:rFonts w:hint="eastAsia" w:eastAsia="黑体"/>
          <w:b/>
          <w:bCs/>
          <w:color w:val="auto"/>
          <w:sz w:val="84"/>
          <w:highlight w:val="none"/>
        </w:rPr>
        <w:t xml:space="preserve">文　件</w:t>
      </w:r>
      <w:r/>
    </w:p>
    <w:p>
      <w:pPr>
        <w:pStyle w:val="1001"/>
        <w:ind w:firstLine="2249"/>
        <w:rPr>
          <w:b/>
          <w:bCs/>
          <w:color w:val="auto"/>
          <w:sz w:val="32"/>
          <w:highlight w:val="none"/>
        </w:rPr>
      </w:pPr>
      <w:r>
        <w:rPr>
          <w:b/>
          <w:bCs/>
          <w:color w:val="auto"/>
          <w:sz w:val="32"/>
          <w:highlight w:val="none"/>
        </w:rPr>
      </w:r>
      <w:r/>
    </w:p>
    <w:p>
      <w:pPr>
        <w:pStyle w:val="1001"/>
        <w:ind w:firstLine="2249"/>
        <w:rPr>
          <w:b/>
          <w:bCs/>
          <w:color w:val="auto"/>
          <w:spacing w:val="-20"/>
          <w:sz w:val="32"/>
          <w:highlight w:val="none"/>
        </w:rPr>
      </w:pPr>
      <w:r>
        <w:rPr>
          <w:b/>
          <w:bCs/>
          <w:color w:val="auto"/>
          <w:spacing w:val="-20"/>
          <w:sz w:val="32"/>
          <w:highlight w:val="none"/>
        </w:rPr>
      </w:r>
      <w:r/>
    </w:p>
    <w:p>
      <w:pPr>
        <w:pStyle w:val="1001"/>
        <w:ind w:firstLine="643"/>
        <w:jc w:val="center"/>
        <w:rPr>
          <w:b/>
          <w:bCs/>
          <w:color w:val="auto"/>
          <w:sz w:val="32"/>
          <w:highlight w:val="none"/>
        </w:rPr>
      </w:pPr>
      <w:r>
        <w:rPr>
          <w:rFonts w:hint="eastAsia"/>
          <w:b/>
          <w:bCs/>
          <w:color w:val="auto"/>
          <w:sz w:val="32"/>
          <w:highlight w:val="none"/>
        </w:rPr>
        <w:t xml:space="preserve">项目名称：宝应县人民医院网络安全与智能运行中心设备采购项目</w:t>
      </w:r>
      <w:r/>
    </w:p>
    <w:p>
      <w:pPr>
        <w:pStyle w:val="738"/>
        <w:ind w:firstLine="643"/>
        <w:rPr>
          <w:rFonts w:hint="eastAsia" w:eastAsia="宋体"/>
          <w:color w:val="auto"/>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JSZC-321023-SHGK-C2026-0087</w:t>
      </w:r>
      <w:r/>
    </w:p>
    <w:p>
      <w:pPr>
        <w:pStyle w:val="1001"/>
        <w:ind w:firstLine="643"/>
        <w:rPr>
          <w:rFonts w:hint="eastAsia" w:eastAsia="宋体"/>
          <w:b/>
          <w:bCs/>
          <w:color w:val="auto"/>
          <w:sz w:val="32"/>
          <w:highlight w:val="none"/>
          <w:lang w:eastAsia="zh-CN"/>
        </w:rPr>
      </w:pPr>
      <w:r>
        <w:rPr>
          <w:rFonts w:hint="eastAsia"/>
          <w:b/>
          <w:bCs/>
          <w:color w:val="auto"/>
          <w:sz w:val="32"/>
          <w:highlight w:val="none"/>
        </w:rPr>
        <w:t xml:space="preserve">代理机构编号：</w:t>
      </w:r>
      <w:r>
        <w:rPr>
          <w:rFonts w:hint="eastAsia" w:ascii="宋体" w:hAnsi="宋体"/>
          <w:b/>
          <w:bCs/>
          <w:color w:val="auto"/>
          <w:sz w:val="32"/>
          <w:highlight w:val="none"/>
          <w:lang w:eastAsia="zh-CN"/>
        </w:rPr>
        <w:t xml:space="preserve">1214-264109549WDX</w:t>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pStyle w:val="1001"/>
        <w:ind w:firstLine="0"/>
        <w:spacing w:before="0" w:after="0"/>
        <w:rPr>
          <w:rFonts w:hint="eastAsia" w:ascii="宋体" w:hAnsi="宋体"/>
          <w:color w:val="auto"/>
          <w:highlight w:val="none"/>
        </w:rPr>
      </w:pPr>
      <w:r>
        <w:rPr>
          <w:rFonts w:hint="eastAsia" w:ascii="宋体" w:hAnsi="宋体"/>
          <w:color w:val="auto"/>
          <w:highlight w:val="none"/>
        </w:rPr>
      </w:r>
      <w:r/>
    </w:p>
    <w:p>
      <w:pPr>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江苏苏豪创新科技集团高科有限公司</w:t>
      </w:r>
      <w:r/>
    </w:p>
    <w:p>
      <w:pPr>
        <w:pStyle w:val="1001"/>
        <w:ind w:firstLine="0"/>
        <w:jc w:val="center"/>
        <w:rPr>
          <w:b/>
          <w:bCs/>
          <w:color w:val="auto"/>
          <w:sz w:val="32"/>
          <w:highlight w:val="none"/>
        </w:rPr>
      </w:pPr>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p>
    <w:p>
      <w:pPr>
        <w:pStyle w:val="1001"/>
        <w:ind w:firstLine="0"/>
        <w:rPr>
          <w:rFonts w:ascii="黑体" w:eastAsia="黑体"/>
          <w:b/>
          <w:color w:val="auto"/>
          <w:sz w:val="44"/>
          <w:highlight w:val="none"/>
        </w:rPr>
      </w:pPr>
      <w:r>
        <w:rPr>
          <w:rFonts w:hint="eastAsia"/>
          <w:color w:val="auto"/>
          <w:highlight w:val="none"/>
        </w:rPr>
        <w:t xml:space="preserve">                        </w:t>
      </w:r>
      <w:r>
        <w:rPr>
          <w:color w:val="auto"/>
          <w:highlight w:val="none"/>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color w:val="auto"/>
          <w:highlight w:val="none"/>
        </w:rPr>
        <w:t xml:space="preserve"> </w:t>
      </w:r>
      <w:r>
        <w:rPr>
          <w:rFonts w:hint="eastAsia" w:ascii="黑体"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6"/>
        </w:numPr>
        <w:spacing w:line="480" w:lineRule="auto"/>
        <w:rPr>
          <w:rFonts w:ascii="黑体" w:hAnsi="Showcard Gothic" w:eastAsia="黑体"/>
          <w:color w:val="auto"/>
          <w:sz w:val="32"/>
          <w:highlight w:val="none"/>
        </w:rPr>
        <w:outlineLvl w:val="0"/>
      </w:pPr>
      <w:r>
        <w:rPr>
          <w:rFonts w:hint="eastAsia" w:ascii="黑体" w:hAnsi="宋体" w:eastAsia="黑体"/>
          <w:color w:val="auto"/>
          <w:sz w:val="36"/>
          <w:highlight w:val="none"/>
        </w:rPr>
        <w:t xml:space="preserve">磋商邀请</w:t>
      </w:r>
      <w:r>
        <w:rPr>
          <w:rFonts w:hint="eastAsia" w:ascii="黑体" w:hAnsi="Showcard Gothic" w:eastAsia="黑体"/>
          <w:color w:val="auto"/>
          <w:sz w:val="36"/>
          <w:highlight w:val="none"/>
        </w:rPr>
        <w:t xml:space="preserve">…………………………………… </w:t>
      </w:r>
      <w:r>
        <w:rPr>
          <w:rFonts w:ascii="黑体" w:hAnsi="Showcard Gothic" w:eastAsia="黑体"/>
          <w:color w:val="auto"/>
          <w:sz w:val="36"/>
          <w:highlight w:val="none"/>
        </w:rPr>
        <w:t xml:space="preserve">3</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 </w:t>
      </w:r>
      <w:r>
        <w:rPr>
          <w:rFonts w:ascii="黑体" w:hAnsi="Showcard Gothic" w:eastAsia="黑体"/>
          <w:color w:val="auto"/>
          <w:sz w:val="36"/>
          <w:highlight w:val="none"/>
        </w:rPr>
        <w:t xml:space="preserve">6</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合同文本</w:t>
      </w:r>
      <w:r>
        <w:rPr>
          <w:rFonts w:hint="eastAsia" w:ascii="黑体" w:hAnsi="Showcard Gothic" w:eastAsia="黑体"/>
          <w:color w:val="auto"/>
          <w:sz w:val="36"/>
          <w:highlight w:val="none"/>
        </w:rPr>
        <w:t xml:space="preserve">……………………………………</w:t>
      </w:r>
      <w:r>
        <w:rPr>
          <w:rFonts w:ascii="黑体" w:hAnsi="Showcard Gothic" w:eastAsia="黑体"/>
          <w:color w:val="auto"/>
          <w:sz w:val="36"/>
          <w:highlight w:val="none"/>
        </w:rPr>
        <w:t xml:space="preserve"> </w:t>
      </w:r>
      <w:r>
        <w:rPr>
          <w:rFonts w:hint="eastAsia" w:ascii="黑体" w:hAnsi="Showcard Gothic" w:eastAsia="黑体"/>
          <w:color w:val="auto"/>
          <w:sz w:val="36"/>
          <w:highlight w:val="none"/>
        </w:rPr>
        <w:t xml:space="preserve">1</w:t>
      </w:r>
      <w:r>
        <w:rPr>
          <w:rFonts w:ascii="黑体" w:hAnsi="Showcard Gothic" w:eastAsia="黑体"/>
          <w:color w:val="auto"/>
          <w:sz w:val="36"/>
          <w:highlight w:val="none"/>
        </w:rPr>
        <w:t xml:space="preserve">6</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 2</w:t>
      </w:r>
      <w:r>
        <w:rPr>
          <w:rFonts w:ascii="黑体" w:hAnsi="Showcard Gothic" w:eastAsia="黑体"/>
          <w:color w:val="auto"/>
          <w:sz w:val="36"/>
          <w:highlight w:val="none"/>
        </w:rPr>
        <w:t xml:space="preserve">1</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评审方法与评审标准</w:t>
      </w:r>
      <w:r>
        <w:rPr>
          <w:rFonts w:hint="eastAsia" w:ascii="黑体" w:hAnsi="Showcard Gothic" w:eastAsia="黑体"/>
          <w:color w:val="auto"/>
          <w:sz w:val="36"/>
          <w:highlight w:val="none"/>
        </w:rPr>
        <w:t xml:space="preserve">……………………… </w:t>
      </w:r>
      <w:r>
        <w:rPr>
          <w:rFonts w:ascii="黑体" w:hAnsi="Showcard Gothic" w:eastAsia="黑体"/>
          <w:color w:val="auto"/>
          <w:sz w:val="36"/>
          <w:highlight w:val="none"/>
        </w:rPr>
        <w:t xml:space="preserve">29</w:t>
      </w:r>
      <w:r/>
    </w:p>
    <w:p>
      <w:pPr>
        <w:numPr>
          <w:ilvl w:val="0"/>
          <w:numId w:val="6"/>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响应文件格式</w:t>
      </w:r>
      <w:r>
        <w:rPr>
          <w:rFonts w:hint="eastAsia" w:ascii="黑体" w:hAnsi="Showcard Gothic" w:eastAsia="黑体"/>
          <w:color w:val="auto"/>
          <w:sz w:val="36"/>
          <w:highlight w:val="none"/>
        </w:rPr>
        <w:t xml:space="preserve">……………………………… </w:t>
      </w:r>
      <w:r>
        <w:rPr>
          <w:rFonts w:ascii="黑体" w:hAnsi="Showcard Gothic" w:eastAsia="黑体"/>
          <w:color w:val="auto"/>
          <w:sz w:val="36"/>
          <w:highlight w:val="none"/>
        </w:rPr>
        <w:t xml:space="preserve">38</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0"/>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受[宝应县人民医院]的委托，江苏苏豪创新科技集团高科有限公司就[宝应县人民医院网络安全与智能运行中心设备采购项目](项目编号：</w:t>
      </w:r>
      <w:r>
        <w:rPr>
          <w:rFonts w:ascii="Segoe UI" w:hAnsi="Segoe UI" w:eastAsia="Segoe UI" w:cs="Segoe UI"/>
          <w:i w:val="0"/>
          <w:iCs w:val="0"/>
          <w:caps w:val="0"/>
          <w:color w:val="auto"/>
          <w:spacing w:val="0"/>
          <w:sz w:val="21"/>
          <w:szCs w:val="21"/>
          <w:highlight w:val="none"/>
          <w:shd w:val="clear" w:color="auto" w:fill="ffffff"/>
        </w:rPr>
        <w:t xml:space="preserve">JSZC-321023-SHGK-C2026-0087</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项目进行磋商采购，欢迎符合条件的供应商响应。</w:t>
      </w:r>
      <w:r/>
    </w:p>
    <w:p>
      <w:pPr>
        <w:ind w:firstLine="480"/>
        <w:rPr>
          <w:rFonts w:hint="eastAsia" w:ascii="宋体" w:hAnsi="宋体"/>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rPr>
        <w:t xml:space="preserve">(宝应县人民医院资源共享中心采购</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采购项目的潜在供应商可在</w:t>
      </w:r>
      <w:r>
        <w:rPr>
          <w:rFonts w:hint="eastAsia" w:ascii="宋体" w:hAnsi="宋体"/>
          <w:color w:val="auto"/>
          <w:sz w:val="24"/>
          <w:szCs w:val="24"/>
          <w:highlight w:val="none"/>
          <w:u w:val="single"/>
        </w:rPr>
        <w:t xml:space="preserve">“江苏政府采购网、扬州市政府采购网”自行免费下载</w:t>
      </w:r>
      <w:r>
        <w:rPr>
          <w:rFonts w:hint="eastAsia" w:ascii="宋体" w:hAnsi="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u w:val="single"/>
        </w:rPr>
        <w:t xml:space="preserve">月13</w:t>
      </w:r>
      <w:r>
        <w:rPr>
          <w:rFonts w:hint="eastAsia" w:ascii="宋体" w:hAnsi="宋体" w:cs="宋体"/>
          <w:color w:val="auto"/>
          <w:sz w:val="24"/>
          <w:szCs w:val="24"/>
          <w:highlight w:val="none"/>
          <w:u w:val="single"/>
        </w:rPr>
        <w:t xml:space="preserve">日1</w:t>
      </w:r>
      <w:r>
        <w:rPr>
          <w:rFonts w:hint="eastAsia" w:ascii="宋体" w:hAnsi="宋体" w:cs="宋体"/>
          <w:color w:val="auto"/>
          <w:sz w:val="24"/>
          <w:szCs w:val="24"/>
          <w:highlight w:val="none"/>
          <w:u w:val="single"/>
          <w:lang w:val="en-US" w:eastAsia="zh-CN"/>
        </w:rPr>
        <w:t xml:space="preserve">4</w:t>
      </w:r>
      <w:r>
        <w:rPr>
          <w:rFonts w:hint="eastAsia" w:ascii="宋体" w:hAnsi="宋体" w:cs="宋体"/>
          <w:color w:val="auto"/>
          <w:sz w:val="24"/>
          <w:szCs w:val="24"/>
          <w:highlight w:val="none"/>
          <w:u w:val="single"/>
        </w:rPr>
        <w:t xml:space="preserve">点00分</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08"/>
        <w:ind w:firstLine="498"/>
        <w:spacing w:before="145" w:after="145" w:line="360" w:lineRule="auto"/>
        <w:rPr>
          <w:color w:val="auto"/>
          <w:highlight w:val="none"/>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color w:val="auto"/>
          <w:highlight w:val="none"/>
        </w:rPr>
        <w:t xml:space="preserve">一、项目基本情况</w:t>
      </w:r>
      <w:bookmarkEnd w:id="6"/>
      <w:r/>
      <w:bookmarkEnd w:id="7"/>
      <w:r/>
      <w:bookmarkEnd w:id="8"/>
      <w:r/>
      <w:bookmarkEnd w:id="9"/>
      <w:r/>
      <w:bookmarkEnd w:id="10"/>
      <w:r/>
      <w:r/>
    </w:p>
    <w:p>
      <w:pPr>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JSZC-321023-SHGK-C2026-0087</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rPr>
        <w:t xml:space="preserve">宝应县人民医院网络安全与智能运行中心设备采购项目</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s="宋体"/>
          <w:color w:val="auto"/>
          <w:sz w:val="24"/>
          <w:szCs w:val="24"/>
          <w:highlight w:val="none"/>
        </w:rPr>
        <w:t xml:space="preserve">300万元</w:t>
      </w:r>
      <w:r/>
    </w:p>
    <w:p>
      <w:pPr>
        <w:ind w:firstLine="480"/>
        <w:rPr>
          <w:rFonts w:hint="eastAsia" w:ascii="宋体" w:hAnsi="宋体" w:cs="宋体"/>
          <w:color w:val="auto"/>
          <w:sz w:val="24"/>
          <w:szCs w:val="24"/>
          <w:highlight w:val="none"/>
        </w:rPr>
      </w:pPr>
      <w:r>
        <w:rPr>
          <w:rFonts w:hint="eastAsia" w:ascii="宋体" w:hAnsi="宋体"/>
          <w:color w:val="auto"/>
          <w:sz w:val="24"/>
          <w:szCs w:val="24"/>
          <w:highlight w:val="none"/>
        </w:rPr>
        <w:t xml:space="preserve">4.本项目设定最高限价，最高限价为3</w:t>
      </w:r>
      <w:r>
        <w:rPr>
          <w:rFonts w:hint="eastAsia" w:ascii="宋体" w:hAnsi="宋体" w:cs="宋体"/>
          <w:color w:val="auto"/>
          <w:sz w:val="24"/>
          <w:szCs w:val="24"/>
          <w:highlight w:val="none"/>
        </w:rPr>
        <w:t xml:space="preserve">00万元</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3376"/>
        <w:gridCol w:w="1121"/>
        <w:gridCol w:w="1997"/>
        <w:gridCol w:w="1571"/>
      </w:tblGrid>
      <w:tr>
        <w:trPr>
          <w:jc w:val="center"/>
          <w:trHeight w:val="321"/>
        </w:trPr>
        <w:tc>
          <w:tcPr>
            <w:tcW w:w="872" w:type="dxa"/>
            <w:vAlign w:val="center"/>
            <w:textDirection w:val="lrTb"/>
            <w:noWrap w:val="false"/>
          </w:tcPr>
          <w:p>
            <w:pPr>
              <w:jc w:val="center"/>
              <w:rPr>
                <w:rFonts w:hint="eastAsia" w:ascii="宋体" w:hAnsi="宋体" w:cs="宋体"/>
                <w:b/>
                <w:color w:val="auto"/>
                <w:sz w:val="24"/>
                <w:szCs w:val="24"/>
                <w:highlight w:val="none"/>
              </w:rPr>
            </w:pPr>
            <w:r/>
            <w:bookmarkStart w:id="12" w:name="OLE_LINK2"/>
            <w:r/>
            <w:bookmarkStart w:id="13" w:name="OLE_LINK1"/>
            <w:r>
              <w:rPr>
                <w:rFonts w:hint="eastAsia" w:ascii="宋体" w:hAnsi="宋体" w:cs="宋体"/>
                <w:b/>
                <w:color w:val="auto"/>
                <w:sz w:val="24"/>
                <w:szCs w:val="24"/>
                <w:highlight w:val="none"/>
              </w:rPr>
              <w:t xml:space="preserve">序号</w:t>
            </w:r>
            <w:r/>
          </w:p>
        </w:tc>
        <w:tc>
          <w:tcPr>
            <w:tcW w:w="3376"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设备名称</w:t>
            </w:r>
            <w:r/>
          </w:p>
        </w:tc>
        <w:tc>
          <w:tcPr>
            <w:tcW w:w="1121"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数量</w:t>
            </w:r>
            <w:r/>
          </w:p>
        </w:tc>
        <w:tc>
          <w:tcPr>
            <w:tcW w:w="1997"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采购预算</w:t>
            </w:r>
            <w:r/>
          </w:p>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（万元人民币）</w:t>
            </w:r>
            <w:r/>
          </w:p>
        </w:tc>
        <w:tc>
          <w:tcPr>
            <w:tcW w:w="1571"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是否接受进口产品投标</w:t>
            </w:r>
            <w:r/>
          </w:p>
        </w:tc>
      </w:tr>
      <w:tr>
        <w:trPr>
          <w:jc w:val="center"/>
          <w:trHeight w:val="270"/>
        </w:trPr>
        <w:tc>
          <w:tcPr>
            <w:tcW w:w="8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37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olor w:val="auto"/>
                <w:sz w:val="24"/>
                <w:szCs w:val="24"/>
                <w:highlight w:val="none"/>
              </w:rPr>
              <w:t xml:space="preserve">宝应县人民医院网络安全与智能运行中心设备采购项目</w:t>
            </w:r>
            <w:r/>
          </w:p>
        </w:tc>
        <w:tc>
          <w:tcPr>
            <w:tcW w:w="1121" w:type="dxa"/>
            <w:vAlign w:val="center"/>
            <w:textDirection w:val="lrTb"/>
            <w:noWrap w:val="false"/>
          </w:tcPr>
          <w:p>
            <w:pPr>
              <w:jc w:val="center"/>
              <w:rPr>
                <w:rFonts w:hint="eastAsia" w:ascii="宋体" w:hAnsi="宋体" w:cs="宋体"/>
                <w:color w:val="auto"/>
                <w:sz w:val="24"/>
                <w:szCs w:val="24"/>
                <w:highlight w:val="none"/>
              </w:rPr>
            </w:pPr>
            <w:r>
              <w:rPr>
                <w:rFonts w:hint="eastAsia"/>
                <w:color w:val="auto"/>
                <w:spacing w:val="-5"/>
                <w:sz w:val="24"/>
                <w:highlight w:val="none"/>
              </w:rPr>
              <w:t xml:space="preserve">1批</w:t>
            </w:r>
            <w:r/>
          </w:p>
        </w:tc>
        <w:tc>
          <w:tcPr>
            <w:tcW w:w="19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00</w:t>
            </w:r>
            <w:r/>
          </w:p>
        </w:tc>
        <w:tc>
          <w:tcPr>
            <w:tcW w:w="157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不接受</w:t>
            </w:r>
            <w:bookmarkEnd w:id="12"/>
            <w:bookmarkEnd w:id="13"/>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6.合同履行期限：以签订合同为准</w:t>
      </w:r>
      <w:r/>
    </w:p>
    <w:p>
      <w:pPr>
        <w:pStyle w:val="908"/>
        <w:ind w:firstLine="498"/>
        <w:spacing w:before="145" w:after="145" w:line="360" w:lineRule="auto"/>
        <w:rPr>
          <w:color w:val="auto"/>
          <w:highlight w:val="none"/>
        </w:rPr>
      </w:pPr>
      <w:r/>
      <w:bookmarkStart w:id="14" w:name="_Toc35393791"/>
      <w:r/>
      <w:bookmarkStart w:id="15" w:name="_Toc28359003"/>
      <w:r/>
      <w:bookmarkStart w:id="16" w:name="_Toc28359080"/>
      <w:r/>
      <w:bookmarkStart w:id="17" w:name="_Toc35393622"/>
      <w:r/>
      <w:bookmarkStart w:id="18" w:name="_Toc38985264"/>
      <w:r>
        <w:rPr>
          <w:rFonts w:hint="eastAsia"/>
          <w:color w:val="auto"/>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olor w:val="auto"/>
          <w:sz w:val="24"/>
          <w:szCs w:val="24"/>
          <w:highlight w:val="none"/>
        </w:rPr>
      </w:pPr>
      <w:r/>
      <w:bookmarkStart w:id="19" w:name="_Toc28359004"/>
      <w:r/>
      <w:bookmarkStart w:id="20" w:name="_Toc35393623"/>
      <w:r/>
      <w:bookmarkStart w:id="21" w:name="_Toc38985265"/>
      <w:r/>
      <w:bookmarkStart w:id="22" w:name="_Toc35393792"/>
      <w:r/>
      <w:bookmarkStart w:id="23"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1.满足《中华人民共和国政府采购法》第二十二条规定，并提供下列材料：</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1.1 法人或者其他组织的营业执照等证明文件，自然人的身份证明；</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1.2上一年度的财务状况报告（成立不满一年无需提供）；</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1.4具备履行合同所必需的设备和专业技术能力的书面声明；</w:t>
      </w:r>
      <w:r/>
    </w:p>
    <w:p>
      <w:pPr>
        <w:ind w:firstLine="480"/>
        <w:spacing w:line="360" w:lineRule="auto"/>
        <w:rPr>
          <w:rFonts w:hint="eastAsia" w:ascii="宋体" w:hAnsi="宋体"/>
          <w:i/>
          <w:color w:val="auto"/>
          <w:sz w:val="24"/>
          <w:szCs w:val="24"/>
          <w:highlight w:val="none"/>
          <w:u w:val="single"/>
        </w:rPr>
      </w:pPr>
      <w:r>
        <w:rPr>
          <w:rFonts w:hint="eastAsia" w:ascii="宋体" w:hAnsi="宋体"/>
          <w:i/>
          <w:color w:val="auto"/>
          <w:sz w:val="24"/>
          <w:szCs w:val="24"/>
          <w:highlight w:val="none"/>
          <w:u w:val="single"/>
        </w:rPr>
        <w:t xml:space="preserve">1.5参加政府采购活动前3年内在经营活动中没有重大违法记录的书面声明；</w:t>
      </w:r>
      <w:r/>
    </w:p>
    <w:p>
      <w:pPr>
        <w:ind w:firstLine="480"/>
        <w:spacing w:line="439" w:lineRule="atLeast"/>
        <w:rPr>
          <w:rFonts w:hint="eastAsia" w:ascii="宋体" w:hAnsi="宋体"/>
          <w:i/>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i/>
          <w:color w:val="auto"/>
          <w:sz w:val="24"/>
          <w:szCs w:val="24"/>
          <w:highlight w:val="none"/>
          <w:u w:val="single"/>
        </w:rPr>
        <w:t xml:space="preserve">2.</w:t>
      </w:r>
      <w:r>
        <w:rPr>
          <w:rFonts w:hint="eastAsia"/>
          <w:color w:val="auto"/>
          <w:highlight w:val="none"/>
        </w:rPr>
        <w:t xml:space="preserve"> </w:t>
      </w:r>
      <w:r>
        <w:rPr>
          <w:rFonts w:hint="eastAsia" w:ascii="宋体" w:hAnsi="宋体"/>
          <w:i/>
          <w:color w:val="auto"/>
          <w:sz w:val="24"/>
          <w:szCs w:val="24"/>
          <w:highlight w:val="none"/>
          <w:u w:val="single"/>
        </w:rPr>
        <w:t xml:space="preserve">在 “信用中国”网站（www.creditchina.gov.cn）未被列入失信被执行人或重大税收违法案件当事人名单，在“中国政府采购网"(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735"/>
          <w:rFonts w:hint="eastAsia" w:ascii="宋体" w:hAnsi="宋体"/>
          <w:i/>
          <w:color w:val="auto"/>
          <w:sz w:val="24"/>
          <w:szCs w:val="24"/>
          <w:highlight w:val="none"/>
        </w:rPr>
        <w:t xml:space="preserve">www.ccgp.gov.cn</w:t>
      </w:r>
      <w:r>
        <w:rPr>
          <w:rStyle w:val="735"/>
          <w:rFonts w:hint="eastAsia" w:ascii="宋体" w:hAnsi="宋体"/>
          <w:i/>
          <w:color w:val="auto"/>
          <w:sz w:val="24"/>
          <w:szCs w:val="24"/>
          <w:highlight w:val="none"/>
        </w:rPr>
        <w:fldChar w:fldCharType="end"/>
      </w:r>
      <w:r>
        <w:rPr>
          <w:rFonts w:hint="eastAsia" w:ascii="宋体" w:hAnsi="宋体"/>
          <w:i/>
          <w:color w:val="auto"/>
          <w:sz w:val="24"/>
          <w:szCs w:val="24"/>
          <w:highlight w:val="none"/>
          <w:u w:val="single"/>
        </w:rPr>
        <w:t xml:space="preserve">)未被列入政府采购严重失信行为记录名单，及其他不符合《中华人民共和国政府采购法》第二十二条规定条件的信用记录。（投标文件中无需提供证明材料）</w:t>
      </w:r>
      <w:r/>
    </w:p>
    <w:p>
      <w:pPr>
        <w:ind w:firstLine="480"/>
        <w:spacing w:line="43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.落实政府采购政策需满足的资格要求：</w:t>
      </w:r>
      <w:r>
        <w:rPr>
          <w:rFonts w:hint="eastAsia" w:ascii="宋体" w:hAnsi="宋体" w:cs="宋体"/>
          <w:color w:val="auto"/>
          <w:sz w:val="24"/>
          <w:highlight w:val="none"/>
        </w:rPr>
        <w:t xml:space="preserve">本项目非预留份额的采购项目或采购包，执行价格扣除优惠政策，给予小微型企业、监狱企业或残疾人福利性单位报价</w:t>
      </w:r>
      <w:r>
        <w:rPr>
          <w:rFonts w:hint="eastAsia" w:ascii="宋体" w:hAnsi="宋体" w:cs="宋体"/>
          <w:b/>
          <w:color w:val="auto"/>
          <w:sz w:val="24"/>
          <w:highlight w:val="none"/>
          <w:u w:val="single"/>
        </w:rPr>
        <w:t xml:space="preserve">20%</w:t>
      </w:r>
      <w:r>
        <w:rPr>
          <w:rFonts w:hint="eastAsia" w:ascii="宋体" w:hAnsi="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p>
    <w:p>
      <w:pPr>
        <w:pStyle w:val="908"/>
        <w:ind w:firstLine="498"/>
        <w:spacing w:before="145" w:after="145" w:line="360" w:lineRule="auto"/>
        <w:rPr>
          <w:rFonts w:hint="eastAsia" w:ascii="宋体" w:hAnsi="宋体" w:cs="宋体"/>
          <w:b w:val="0"/>
          <w:bCs w:val="0"/>
          <w:iCs/>
          <w:color w:val="auto"/>
          <w:sz w:val="24"/>
          <w:szCs w:val="24"/>
          <w:highlight w:val="none"/>
        </w:rPr>
      </w:pPr>
      <w:r>
        <w:rPr>
          <w:rFonts w:hint="eastAsia" w:ascii="宋体" w:hAnsi="宋体" w:cs="宋体"/>
          <w:b w:val="0"/>
          <w:bCs w:val="0"/>
          <w:iCs/>
          <w:color w:val="auto"/>
          <w:sz w:val="24"/>
          <w:szCs w:val="24"/>
          <w:highlight w:val="none"/>
        </w:rPr>
        <w:t xml:space="preserve">无</w:t>
      </w:r>
      <w:r/>
    </w:p>
    <w:p>
      <w:pPr>
        <w:pStyle w:val="908"/>
        <w:ind w:firstLine="498"/>
        <w:spacing w:before="145" w:after="145" w:line="360" w:lineRule="auto"/>
        <w:rPr>
          <w:color w:val="auto"/>
          <w:highlight w:val="none"/>
        </w:rPr>
      </w:pPr>
      <w:r>
        <w:rPr>
          <w:rFonts w:hint="eastAsia"/>
          <w:color w:val="auto"/>
          <w:highlight w:val="none"/>
        </w:rPr>
        <w:t xml:space="preserve">三、获取磋商文件</w:t>
      </w:r>
      <w:bookmarkEnd w:id="19"/>
      <w:r/>
      <w:bookmarkEnd w:id="20"/>
      <w:r/>
      <w:bookmarkEnd w:id="21"/>
      <w:r/>
      <w:bookmarkEnd w:id="22"/>
      <w:r/>
      <w:bookmarkEnd w:id="23"/>
      <w:r/>
      <w:r/>
    </w:p>
    <w:p>
      <w:pPr>
        <w:ind w:firstLine="540"/>
        <w:spacing w:line="360" w:lineRule="auto"/>
        <w:rPr>
          <w:rFonts w:hint="eastAsia" w:ascii="宋体" w:hAnsi="宋体" w:cs="宋体"/>
          <w:color w:val="auto"/>
          <w:sz w:val="24"/>
          <w:szCs w:val="24"/>
          <w:highlight w:val="none"/>
        </w:rPr>
      </w:pPr>
      <w:r/>
      <w:bookmarkStart w:id="24" w:name="_Toc28359005"/>
      <w:r/>
      <w:bookmarkStart w:id="25" w:name="_Toc28359082"/>
      <w:r/>
      <w:bookmarkStart w:id="26" w:name="_Toc35393624"/>
      <w:r/>
      <w:bookmarkStart w:id="27" w:name="_Toc38985266"/>
      <w:r/>
      <w:bookmarkStart w:id="28" w:name="_Toc35393793"/>
      <w:r>
        <w:rPr>
          <w:rFonts w:hint="eastAsia" w:ascii="宋体" w:hAnsi="宋体" w:cs="宋体"/>
          <w:color w:val="auto"/>
          <w:sz w:val="24"/>
          <w:szCs w:val="24"/>
          <w:highlight w:val="none"/>
        </w:rPr>
        <w:t xml:space="preserve">1.时间：自磋商文件公告发布之日起5个工作日。</w:t>
      </w:r>
      <w:r/>
    </w:p>
    <w:p>
      <w:pPr>
        <w:ind w:firstLine="5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2.方式：在“江苏政府采购网、扬州市政府采购网”自行免费下载磋商文件。</w:t>
      </w:r>
      <w:r/>
    </w:p>
    <w:p>
      <w:pPr>
        <w:pStyle w:val="908"/>
        <w:ind w:firstLine="498"/>
        <w:spacing w:before="145" w:after="145" w:line="360" w:lineRule="auto"/>
        <w:rPr>
          <w:color w:val="auto"/>
          <w:highlight w:val="none"/>
        </w:rPr>
      </w:pPr>
      <w:r>
        <w:rPr>
          <w:rFonts w:hint="eastAsia"/>
          <w:color w:val="auto"/>
          <w:highlight w:val="none"/>
        </w:rPr>
        <w:t xml:space="preserve">四、提交投标文件</w:t>
      </w:r>
      <w:bookmarkEnd w:id="24"/>
      <w:r/>
      <w:bookmarkEnd w:id="25"/>
      <w:r>
        <w:rPr>
          <w:rFonts w:hint="eastAsia"/>
          <w:color w:val="auto"/>
          <w:highlight w:val="none"/>
        </w:rPr>
        <w:t xml:space="preserve">截止时间、开标时间和地点</w:t>
      </w:r>
      <w:bookmarkEnd w:id="26"/>
      <w:r/>
      <w:bookmarkEnd w:id="27"/>
      <w:r/>
      <w:bookmarkEnd w:id="28"/>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1.</w:t>
      </w:r>
      <w:r>
        <w:rPr>
          <w:rFonts w:hint="eastAsia" w:ascii="宋体" w:hAnsi="宋体" w:cs="宋体"/>
          <w:color w:val="auto"/>
          <w:sz w:val="24"/>
          <w:szCs w:val="24"/>
          <w:highlight w:val="none"/>
          <w:u w:val="single"/>
        </w:rPr>
        <w:t xml:space="preserve"> 2026年</w:t>
      </w:r>
      <w:r>
        <w:rPr>
          <w:rFonts w:hint="eastAsia" w:ascii="宋体" w:hAnsi="宋体" w:cs="宋体"/>
          <w:color w:val="auto"/>
          <w:sz w:val="24"/>
          <w:szCs w:val="24"/>
          <w:highlight w:val="none"/>
          <w:u w:val="single"/>
          <w:lang w:val="en-US" w:eastAsia="zh-CN"/>
        </w:rPr>
        <w:t xml:space="preserve">10</w:t>
      </w:r>
      <w:r>
        <w:rPr>
          <w:rFonts w:hint="eastAsia" w:ascii="宋体" w:hAnsi="宋体" w:cs="宋体"/>
          <w:color w:val="auto"/>
          <w:sz w:val="24"/>
          <w:szCs w:val="24"/>
          <w:highlight w:val="none"/>
          <w:u w:val="single"/>
        </w:rPr>
        <w:t xml:space="preserve">月13</w:t>
      </w:r>
      <w:r>
        <w:rPr>
          <w:rFonts w:hint="eastAsia" w:ascii="宋体" w:hAnsi="宋体" w:cs="宋体"/>
          <w:color w:val="auto"/>
          <w:sz w:val="24"/>
          <w:szCs w:val="24"/>
          <w:highlight w:val="none"/>
          <w:u w:val="single"/>
        </w:rPr>
        <w:t xml:space="preserve">日14点00分</w:t>
      </w:r>
      <w:r>
        <w:rPr>
          <w:rFonts w:hint="eastAsia" w:ascii="宋体" w:hAnsi="宋体"/>
          <w:bCs/>
          <w:color w:val="auto"/>
          <w:sz w:val="24"/>
          <w:szCs w:val="24"/>
          <w:highlight w:val="none"/>
        </w:rPr>
        <w:t xml:space="preserve">（北京时间）</w:t>
      </w:r>
      <w:r/>
    </w:p>
    <w:p>
      <w:pPr>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pStyle w:val="908"/>
        <w:ind w:firstLine="498"/>
        <w:spacing w:before="145" w:after="145" w:line="360" w:lineRule="auto"/>
        <w:rPr>
          <w:color w:val="auto"/>
          <w:highlight w:val="none"/>
        </w:rPr>
      </w:pPr>
      <w:r/>
      <w:bookmarkStart w:id="29" w:name="_Toc28359084"/>
      <w:r/>
      <w:bookmarkStart w:id="30" w:name="_Toc28359007"/>
      <w:r/>
      <w:bookmarkStart w:id="31" w:name="_Toc35393794"/>
      <w:r/>
      <w:bookmarkStart w:id="32" w:name="_Toc38985267"/>
      <w:r/>
      <w:bookmarkStart w:id="33" w:name="_Toc35393625"/>
      <w:r>
        <w:rPr>
          <w:rFonts w:hint="eastAsia"/>
          <w:color w:val="auto"/>
          <w:highlight w:val="none"/>
        </w:rPr>
        <w:t xml:space="preserve">五、公告期限</w:t>
      </w:r>
      <w:bookmarkEnd w:id="29"/>
      <w:r/>
      <w:bookmarkEnd w:id="30"/>
      <w:r/>
      <w:bookmarkEnd w:id="31"/>
      <w:r/>
      <w:bookmarkEnd w:id="32"/>
      <w:r/>
      <w:bookmarkEnd w:id="33"/>
      <w:r/>
      <w:r/>
    </w:p>
    <w:p>
      <w:pPr>
        <w:ind w:firstLine="480"/>
        <w:rPr>
          <w:rFonts w:hint="eastAsia" w:ascii="宋体" w:hAnsi="宋体" w:cs="宋体"/>
          <w:color w:val="auto"/>
          <w:sz w:val="24"/>
          <w:szCs w:val="24"/>
          <w:highlight w:val="none"/>
        </w:rPr>
      </w:pPr>
      <w:r/>
      <w:bookmarkStart w:id="34" w:name="_Toc35393626"/>
      <w:r/>
      <w:bookmarkStart w:id="35" w:name="_Toc38985268"/>
      <w:r/>
      <w:bookmarkStart w:id="36" w:name="_Toc35393795"/>
      <w:r>
        <w:rPr>
          <w:rFonts w:hint="eastAsia" w:ascii="宋体" w:hAnsi="宋体" w:cs="宋体"/>
          <w:color w:val="auto"/>
          <w:sz w:val="24"/>
          <w:szCs w:val="24"/>
          <w:highlight w:val="none"/>
        </w:rPr>
        <w:t xml:space="preserve">磋商公告及磋商文件公告期限为自本公告发布之日起5个工作日。</w:t>
      </w:r>
      <w:r/>
    </w:p>
    <w:p>
      <w:pPr>
        <w:pStyle w:val="908"/>
        <w:ind w:firstLine="498"/>
        <w:spacing w:before="145" w:after="145" w:line="360" w:lineRule="auto"/>
        <w:rPr>
          <w:color w:val="auto"/>
          <w:highlight w:val="none"/>
        </w:rPr>
      </w:pPr>
      <w:r>
        <w:rPr>
          <w:rFonts w:hint="eastAsia"/>
          <w:color w:val="auto"/>
          <w:highlight w:val="none"/>
        </w:rPr>
        <w:t xml:space="preserve">六、其他补充事宜</w:t>
      </w:r>
      <w:bookmarkEnd w:id="34"/>
      <w:r/>
      <w:bookmarkEnd w:id="35"/>
      <w:r/>
      <w:bookmarkEnd w:id="36"/>
      <w:r/>
      <w:r/>
    </w:p>
    <w:p>
      <w:pPr>
        <w:pStyle w:val="908"/>
        <w:ind w:firstLine="482"/>
        <w:spacing w:before="145" w:after="145" w:line="360" w:lineRule="auto"/>
        <w:rPr>
          <w:color w:val="auto"/>
          <w:highlight w:val="none"/>
        </w:rPr>
      </w:pPr>
      <w:r/>
      <w:bookmarkStart w:id="37" w:name="_Toc35393796"/>
      <w:r/>
      <w:bookmarkStart w:id="38" w:name="_Toc38985269"/>
      <w:r/>
      <w:bookmarkStart w:id="39" w:name="_Toc28359008"/>
      <w:r/>
      <w:bookmarkStart w:id="40" w:name="_Toc28359085"/>
      <w:r/>
      <w:bookmarkStart w:id="41" w:name="_Toc35393627"/>
      <w:r>
        <w:rPr>
          <w:rFonts w:ascii="宋体" w:hAnsi="宋体" w:cs="宋体"/>
          <w:color w:val="auto"/>
          <w:sz w:val="24"/>
          <w:highlight w:val="none"/>
        </w:rPr>
        <w:t xml:space="preserve">1. 根据省财政厅《关于更换全省政府采购交易系统CA数字证书和电</w:t>
      </w:r>
      <w:r>
        <w:rPr>
          <w:rFonts w:ascii="宋体" w:hAnsi="宋体" w:cs="宋体"/>
          <w:color w:val="auto"/>
          <w:sz w:val="24"/>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rPr>
          <w:rFonts w:hint="eastAsia" w:ascii="宋体"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 有关本次招标的事项若存在变动或修改，敬请及时关注江苏苏豪创新科技集团高科有限公司在“江苏政府采购网”、“扬州市政府采购网”发布的更正公告。</w:t>
      </w:r>
      <w:r/>
    </w:p>
    <w:p>
      <w:pPr>
        <w:ind w:firstLine="480"/>
        <w:spacing w:line="56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 本次磋商不收取磋商保证金。</w:t>
      </w:r>
      <w:r/>
    </w:p>
    <w:p>
      <w:pPr>
        <w:pStyle w:val="908"/>
        <w:ind w:firstLine="498"/>
        <w:spacing w:before="145" w:after="145" w:line="360" w:lineRule="auto"/>
        <w:rPr>
          <w:color w:val="auto"/>
          <w:highlight w:val="none"/>
        </w:rPr>
      </w:pPr>
      <w:r>
        <w:rPr>
          <w:rFonts w:hint="eastAsia"/>
          <w:color w:val="auto"/>
          <w:highlight w:val="none"/>
        </w:rPr>
        <w:t xml:space="preserve">七、本次招标联系方式</w:t>
      </w:r>
      <w:bookmarkEnd w:id="37"/>
      <w:r/>
      <w:bookmarkEnd w:id="38"/>
      <w:r/>
      <w:bookmarkEnd w:id="39"/>
      <w:r/>
      <w:bookmarkEnd w:id="40"/>
      <w:r/>
      <w:bookmarkEnd w:id="41"/>
      <w:r/>
      <w:r/>
    </w:p>
    <w:p>
      <w:pPr>
        <w:ind w:firstLine="36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 购 人：宝应县人民医院</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联系地址：宝应县新城路1号</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人：闵科长</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联系电话：0514-88200272</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2.采购代理机构：江苏苏豪创新科技集团高科有限公司</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联系地址：南京市雨花台区软件大道21号苏豪国际广场北园（原舜天集团）C座617室</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人：吴冬晓、朱笑青</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w:t>
      </w:r>
      <w:r>
        <w:rPr>
          <w:rFonts w:ascii="宋体" w:hAnsi="宋体" w:cs="宋体"/>
          <w:color w:val="auto"/>
          <w:sz w:val="24"/>
          <w:szCs w:val="24"/>
          <w:highlight w:val="none"/>
        </w:rPr>
        <w:t xml:space="preserve">25-52875975</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项目联系人：吴冬晓、朱笑青</w:t>
      </w:r>
      <w:r/>
    </w:p>
    <w:p>
      <w:pPr>
        <w:ind w:firstLine="480"/>
        <w:jc w:val="left"/>
        <w:widowControl/>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电话：025-52875975、025-5287</w:t>
      </w:r>
      <w:r>
        <w:rPr>
          <w:rFonts w:hint="eastAsia" w:ascii="宋体" w:hAnsi="宋体" w:cs="宋体"/>
          <w:color w:val="auto"/>
          <w:sz w:val="24"/>
          <w:szCs w:val="24"/>
          <w:highlight w:val="none"/>
          <w:lang w:val="en-US" w:eastAsia="zh-CN"/>
        </w:rPr>
        <w:t xml:space="preserve">4082</w:t>
      </w:r>
      <w:r/>
    </w:p>
    <w:p>
      <w:pPr>
        <w:ind w:right="840"/>
        <w:rPr>
          <w:rFonts w:hint="eastAsia" w:ascii="宋体" w:hAnsi="宋体"/>
          <w:color w:val="auto"/>
          <w:sz w:val="24"/>
          <w:szCs w:val="24"/>
          <w:highlight w:val="none"/>
        </w:rPr>
      </w:pPr>
      <w:r>
        <w:rPr>
          <w:rFonts w:ascii="宋体" w:hAnsi="宋体"/>
          <w:color w:val="auto"/>
          <w:sz w:val="24"/>
          <w:szCs w:val="24"/>
          <w:highlight w:val="none"/>
        </w:rPr>
        <w:br w:type="page" w:clear="all"/>
      </w:r>
      <w:bookmarkEnd w:id="1"/>
      <w:bookmarkEnd w:id="2"/>
      <w:bookmarkEnd w:id="3"/>
      <w:bookmarkEnd w:id="4"/>
      <w:bookmarkEnd w:id="5"/>
      <w:r/>
    </w:p>
    <w:p>
      <w:pPr>
        <w:pStyle w:val="740"/>
        <w:rPr>
          <w:rFonts w:ascii="黑体" w:eastAsia="黑体"/>
          <w:color w:val="auto"/>
          <w:sz w:val="44"/>
          <w:szCs w:val="44"/>
          <w:highlight w:val="none"/>
        </w:rPr>
      </w:pPr>
      <w:r/>
      <w:bookmarkStart w:id="42" w:name="_Toc6304"/>
      <w:r/>
      <w:bookmarkStart w:id="43" w:name="_Toc29758"/>
      <w:r/>
      <w:bookmarkStart w:id="44" w:name="_Toc513029242"/>
      <w:r/>
      <w:bookmarkStart w:id="45" w:name="_Toc20823314"/>
      <w:r/>
      <w:bookmarkStart w:id="46" w:name="_Toc120614221"/>
      <w:r/>
      <w:bookmarkStart w:id="47" w:name="_Toc16938558"/>
      <w:r/>
      <w:bookmarkStart w:id="48" w:name="_Toc479757207"/>
      <w:r>
        <w:rPr>
          <w:rFonts w:hint="eastAsia" w:ascii="黑体" w:eastAsia="黑体"/>
          <w:color w:val="auto"/>
          <w:sz w:val="44"/>
          <w:szCs w:val="44"/>
          <w:highlight w:val="none"/>
        </w:rPr>
        <w:t xml:space="preserve">第二章  供应商须知</w:t>
      </w:r>
      <w:bookmarkEnd w:id="42"/>
      <w:r/>
      <w:bookmarkEnd w:id="43"/>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49" w:name="_Toc16938519"/>
      <w:r/>
      <w:bookmarkStart w:id="50" w:name="_Toc513029203"/>
      <w:r/>
      <w:bookmarkStart w:id="51" w:name="_Toc120614214"/>
      <w:r/>
      <w:bookmarkStart w:id="52" w:name="_Toc20823275"/>
      <w:r>
        <w:rPr>
          <w:rFonts w:hint="eastAsia" w:asciiTheme="minorEastAsia" w:hAnsiTheme="minorEastAsia" w:eastAsiaTheme="minorEastAsia"/>
          <w:b/>
          <w:bCs/>
          <w:color w:val="auto"/>
          <w:sz w:val="32"/>
          <w:szCs w:val="32"/>
          <w:highlight w:val="none"/>
        </w:rPr>
        <w:t xml:space="preserve">一、总则</w:t>
      </w:r>
      <w:bookmarkEnd w:id="49"/>
      <w:r/>
      <w:bookmarkEnd w:id="50"/>
      <w:r/>
      <w:bookmarkEnd w:id="51"/>
      <w:r/>
      <w:bookmarkEnd w:id="52"/>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cs="Arial" w:asciiTheme="minorEastAsia" w:hAnsiTheme="minorEastAsia" w:eastAsiaTheme="minorEastAsia"/>
          <w:color w:val="auto"/>
          <w:sz w:val="28"/>
          <w:szCs w:val="28"/>
          <w:highlight w:val="none"/>
        </w:rPr>
        <w:t xml:space="preserve">1</w:t>
      </w:r>
      <w:bookmarkEnd w:id="54"/>
      <w:r>
        <w:rPr>
          <w:rFonts w:hint="eastAsia" w:cs="Arial" w:asciiTheme="minorEastAsia" w:hAnsiTheme="minorEastAsia" w:eastAsiaTheme="minorEastAsia"/>
          <w:color w:val="auto"/>
          <w:sz w:val="28"/>
          <w:szCs w:val="28"/>
          <w:highlight w:val="none"/>
        </w:rPr>
        <w:t xml:space="preserve">、采购方式</w:t>
      </w:r>
      <w:bookmarkEnd w:id="55"/>
      <w:r/>
      <w:bookmarkEnd w:id="56"/>
      <w:r/>
      <w:bookmarkEnd w:id="57"/>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1.1 本次政府采购活动采取竞争性磋商(以下简称磋商)方式，本磋商文件仅适用于磋商公告中所述项目。</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58" w:name="_Toc513029205"/>
      <w:r/>
      <w:bookmarkStart w:id="59" w:name="_Toc16938521"/>
      <w:r/>
      <w:bookmarkStart w:id="60" w:name="_Toc20823277"/>
      <w:r>
        <w:rPr>
          <w:rFonts w:hint="eastAsia" w:cs="Arial" w:asciiTheme="minorEastAsia" w:hAnsiTheme="minorEastAsia" w:eastAsiaTheme="minorEastAsia"/>
          <w:color w:val="auto"/>
          <w:sz w:val="28"/>
          <w:szCs w:val="28"/>
          <w:highlight w:val="none"/>
        </w:rPr>
        <w:t xml:space="preserve">2、合格的</w:t>
      </w:r>
      <w:bookmarkEnd w:id="58"/>
      <w:r/>
      <w:bookmarkEnd w:id="59"/>
      <w:r/>
      <w:bookmarkEnd w:id="60"/>
      <w:r>
        <w:rPr>
          <w:rFonts w:hint="eastAsia" w:cs="Arial" w:asciiTheme="minorEastAsia" w:hAnsiTheme="minorEastAsia" w:eastAsiaTheme="minorEastAsia"/>
          <w:color w:val="auto"/>
          <w:sz w:val="28"/>
          <w:szCs w:val="28"/>
          <w:highlight w:val="none"/>
        </w:rPr>
        <w:t xml:space="preserve">供应商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2.1满足磋商公告中供应商资格要求的规定。</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 满足本磋商文件实质性要求和条件的规定。</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61" w:name="_Toc16938522"/>
      <w:r/>
      <w:bookmarkStart w:id="62" w:name="_Toc513029206"/>
      <w:r/>
      <w:bookmarkStart w:id="63" w:name="_Toc20823278"/>
      <w:r>
        <w:rPr>
          <w:rFonts w:hint="eastAsia" w:cs="Arial" w:asciiTheme="minorEastAsia" w:hAnsiTheme="minorEastAsia" w:eastAsiaTheme="minorEastAsia"/>
          <w:color w:val="auto"/>
          <w:sz w:val="28"/>
          <w:szCs w:val="28"/>
          <w:highlight w:val="none"/>
        </w:rPr>
        <w:t xml:space="preserve">3、适用法律</w:t>
      </w:r>
      <w:bookmarkEnd w:id="61"/>
      <w:r/>
      <w:bookmarkEnd w:id="62"/>
      <w:r/>
      <w:bookmarkEnd w:id="63"/>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 本次磋商及由此产生的合同受中华人民共和国有关的法律法规制约和保护。</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64" w:name="_Toc20823279"/>
      <w:r/>
      <w:bookmarkStart w:id="65" w:name="_Toc16938523"/>
      <w:r/>
      <w:bookmarkStart w:id="66" w:name="_Toc462564067"/>
      <w:r/>
      <w:bookmarkStart w:id="67" w:name="_Toc513029207"/>
      <w:r>
        <w:rPr>
          <w:rFonts w:hint="eastAsia" w:cs="Arial" w:asciiTheme="minorEastAsia" w:hAnsiTheme="minorEastAsia" w:eastAsiaTheme="minorEastAsia"/>
          <w:color w:val="auto"/>
          <w:sz w:val="28"/>
          <w:szCs w:val="28"/>
          <w:highlight w:val="none"/>
        </w:rPr>
        <w:t xml:space="preserve">4、磋商费用</w:t>
      </w:r>
      <w:bookmarkEnd w:id="64"/>
      <w:r/>
      <w:bookmarkEnd w:id="65"/>
      <w:r/>
      <w:bookmarkEnd w:id="66"/>
      <w:r/>
      <w:bookmarkEnd w:id="67"/>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4.2代理费用收取方式及标准：按以下第</w:t>
      </w:r>
      <w:r>
        <w:rPr>
          <w:rFonts w:asciiTheme="minorEastAsia" w:hAnsiTheme="minorEastAsia" w:eastAsiaTheme="minorEastAsia"/>
          <w:color w:val="auto"/>
          <w:sz w:val="24"/>
          <w:highlight w:val="none"/>
          <w:u w:val="single"/>
        </w:rPr>
        <w:t xml:space="preserve">4.2.2</w:t>
      </w:r>
      <w:r>
        <w:rPr>
          <w:rFonts w:hint="eastAsia" w:asciiTheme="minorEastAsia" w:hAnsiTheme="minorEastAsia" w:eastAsiaTheme="minorEastAsia"/>
          <w:color w:val="auto"/>
          <w:sz w:val="24"/>
          <w:highlight w:val="none"/>
        </w:rPr>
        <w:t xml:space="preserve">种方式执行 </w:t>
      </w:r>
      <w:r/>
    </w:p>
    <w:p>
      <w:pPr>
        <w:ind w:firstLine="480"/>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4.2.1无需支付；</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zh-CN"/>
        </w:rPr>
        <w:t xml:space="preserve">4.2.2</w:t>
      </w:r>
      <w:r>
        <w:rPr>
          <w:rFonts w:hint="eastAsia" w:ascii="宋体" w:hAnsi="宋体"/>
          <w:color w:val="auto"/>
          <w:sz w:val="24"/>
          <w:highlight w:val="none"/>
        </w:rPr>
        <w:t xml:space="preserve">代理费收费标准：本项目采购代理服务费参照江苏省政府采购代理服务收费指导意见[苏政采协［2024］20号]文收取</w:t>
      </w:r>
      <w:r>
        <w:rPr>
          <w:rFonts w:hint="eastAsia" w:ascii="宋体" w:hAnsi="宋体"/>
          <w:color w:val="auto"/>
          <w:sz w:val="24"/>
          <w:highlight w:val="none"/>
          <w:lang w:eastAsia="zh-CN"/>
        </w:rPr>
        <w:t xml:space="preserve">；</w:t>
      </w:r>
      <w:r>
        <w:rPr>
          <w:rFonts w:hint="eastAsia" w:ascii="宋体" w:hAnsi="宋体"/>
          <w:color w:val="auto"/>
          <w:sz w:val="24"/>
          <w:highlight w:val="none"/>
          <w:lang w:eastAsia="zh-CN"/>
        </w:rPr>
        <w:t xml:space="preserve">招标代理服务费不在投标报价中单列，包含在投标总价中，由中标单位支付给代理机构</w:t>
      </w:r>
      <w:r>
        <w:rPr>
          <w:rFonts w:hint="eastAsia" w:ascii="宋体" w:hAnsi="宋体"/>
          <w:color w:val="auto"/>
          <w:sz w:val="24"/>
          <w:highlight w:val="none"/>
        </w:rPr>
        <w:t xml:space="preserve">，应在领取中标通知书前缴纳。专家评审费按扬财购【2020】40号文《关于进一步规范扬州市政府采购专家评审费标准的通知》执行。</w:t>
      </w:r>
      <w:r/>
    </w:p>
    <w:p>
      <w:pPr>
        <w:ind w:firstLine="480"/>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4.</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zh-CN"/>
        </w:rPr>
        <w:t xml:space="preserve">.</w:t>
      </w: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lang w:val="zh-CN"/>
        </w:rPr>
        <w:t xml:space="preserve">服务费汇款地址：</w:t>
      </w:r>
      <w:r/>
    </w:p>
    <w:p>
      <w:pPr>
        <w:ind w:firstLine="480"/>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开户名：江苏苏豪创新科技集团高科有限公司</w:t>
      </w:r>
      <w:r/>
    </w:p>
    <w:p>
      <w:pPr>
        <w:ind w:firstLine="480"/>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开户行：工行南京市白下支行</w:t>
      </w:r>
      <w:r/>
    </w:p>
    <w:p>
      <w:pPr>
        <w:ind w:firstLine="480"/>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账  号：4301013119100888895</w:t>
      </w:r>
      <w:r/>
    </w:p>
    <w:p>
      <w:pPr>
        <w:ind w:firstLine="560"/>
        <w:keepLines/>
        <w:keepNext/>
        <w:spacing w:line="360" w:lineRule="auto"/>
        <w:rPr>
          <w:rFonts w:hint="eastAsia" w:cs="Arial" w:asciiTheme="minorEastAsia" w:hAnsiTheme="minorEastAsia" w:eastAsiaTheme="minorEastAsia"/>
          <w:color w:val="auto"/>
          <w:sz w:val="28"/>
          <w:szCs w:val="28"/>
          <w:highlight w:val="none"/>
          <w:lang w:val="zh-CN"/>
        </w:rPr>
        <w:outlineLvl w:val="3"/>
      </w:pPr>
      <w:r>
        <w:rPr>
          <w:rFonts w:hint="eastAsia" w:cs="Arial" w:asciiTheme="minorEastAsia" w:hAnsiTheme="minorEastAsia" w:eastAsiaTheme="minorEastAsia"/>
          <w:color w:val="auto"/>
          <w:sz w:val="28"/>
          <w:szCs w:val="28"/>
          <w:highlight w:val="none"/>
          <w:lang w:val="zh-CN"/>
        </w:rPr>
        <w:t xml:space="preserve">5、招标文件的约束力</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5.1</w:t>
      </w:r>
      <w:r>
        <w:rPr>
          <w:rFonts w:hint="eastAsia" w:asciiTheme="minorEastAsia" w:hAnsiTheme="minorEastAsia" w:eastAsiaTheme="minorEastAsia"/>
          <w:color w:val="auto"/>
          <w:sz w:val="24"/>
          <w:szCs w:val="24"/>
          <w:highlight w:val="none"/>
        </w:rPr>
        <w:t xml:space="preserve">供应商一旦参加本项目采购活动，即被认为接受了本磋商文件的规定和约束。</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68" w:name="_Toc513029209"/>
      <w:r/>
      <w:bookmarkStart w:id="69" w:name="_Toc16938525"/>
      <w:r/>
      <w:bookmarkStart w:id="70" w:name="_Toc120614215"/>
      <w:r/>
      <w:bookmarkStart w:id="71" w:name="_Toc20823281"/>
      <w:r>
        <w:rPr>
          <w:rFonts w:hint="eastAsia" w:asciiTheme="minorEastAsia" w:hAnsiTheme="minorEastAsia" w:eastAsiaTheme="minorEastAsia"/>
          <w:b/>
          <w:bCs/>
          <w:color w:val="auto"/>
          <w:sz w:val="32"/>
          <w:szCs w:val="32"/>
          <w:highlight w:val="none"/>
        </w:rPr>
        <w:t xml:space="preserve">二、</w:t>
      </w:r>
      <w:bookmarkEnd w:id="68"/>
      <w:r/>
      <w:bookmarkEnd w:id="69"/>
      <w:r/>
      <w:bookmarkEnd w:id="70"/>
      <w:r/>
      <w:bookmarkEnd w:id="71"/>
      <w:r>
        <w:rPr>
          <w:rFonts w:hint="eastAsia" w:asciiTheme="minorEastAsia" w:hAnsiTheme="minorEastAsia" w:eastAsiaTheme="minorEastAsia"/>
          <w:b/>
          <w:bCs/>
          <w:color w:val="auto"/>
          <w:sz w:val="32"/>
          <w:szCs w:val="32"/>
          <w:highlight w:val="none"/>
        </w:rPr>
        <w:t xml:space="preserve">磋商文件</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72" w:name="_Toc20823282"/>
      <w:r/>
      <w:bookmarkStart w:id="73" w:name="_Toc16938526"/>
      <w:r/>
      <w:bookmarkStart w:id="74" w:name="_Toc513029210"/>
      <w:r>
        <w:rPr>
          <w:rFonts w:hint="eastAsia" w:cs="Arial" w:asciiTheme="minorEastAsia" w:hAnsiTheme="minorEastAsia" w:eastAsiaTheme="minorEastAsia"/>
          <w:color w:val="auto"/>
          <w:sz w:val="28"/>
          <w:szCs w:val="28"/>
          <w:highlight w:val="none"/>
        </w:rPr>
        <w:t xml:space="preserve">6、磋商文件构成</w:t>
      </w:r>
      <w:bookmarkEnd w:id="72"/>
      <w:r/>
      <w:bookmarkEnd w:id="73"/>
      <w:r/>
      <w:bookmarkEnd w:id="74"/>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6.1磋商文件由以下部分组成：</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（1）磋商邀请</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（2）供应商须知</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（3）合同文本</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（4）采购需求</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（5）评审方法与评审标准</w:t>
      </w:r>
      <w:r/>
    </w:p>
    <w:p>
      <w:pPr>
        <w:ind w:firstLine="480"/>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（6）响应文件格式</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请仔细检查磋商文件是否齐全，如有缺漏请立即与采购代理机构联系解决。</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6.2</w:t>
      </w:r>
      <w:r>
        <w:rPr>
          <w:rFonts w:hint="eastAsia" w:asciiTheme="minorEastAsia" w:hAnsiTheme="minorEastAsia" w:eastAsiaTheme="minorEastAsia"/>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75" w:name="_Toc16938527"/>
      <w:r/>
      <w:bookmarkStart w:id="76" w:name="_Toc20823283"/>
      <w:r/>
      <w:bookmarkStart w:id="77" w:name="_Toc462564070"/>
      <w:r/>
      <w:bookmarkStart w:id="78" w:name="_Toc513029211"/>
      <w:r>
        <w:rPr>
          <w:rFonts w:hint="eastAsia" w:cs="Arial" w:asciiTheme="minorEastAsia" w:hAnsiTheme="minorEastAsia" w:eastAsiaTheme="minorEastAsia"/>
          <w:color w:val="auto"/>
          <w:sz w:val="28"/>
          <w:szCs w:val="28"/>
          <w:highlight w:val="none"/>
        </w:rPr>
        <w:t xml:space="preserve">7、磋商文件的澄清</w:t>
      </w:r>
      <w:bookmarkEnd w:id="75"/>
      <w:r/>
      <w:bookmarkEnd w:id="76"/>
      <w:r/>
      <w:bookmarkEnd w:id="77"/>
      <w:r/>
      <w:bookmarkEnd w:id="78"/>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highlight w:val="none"/>
        </w:rPr>
        <w:t xml:space="preserve">7.1</w:t>
      </w:r>
      <w:r>
        <w:rPr>
          <w:rFonts w:hint="eastAsia" w:asciiTheme="minorEastAsia" w:hAnsiTheme="minorEastAsia" w:eastAsiaTheme="minorEastAsia"/>
          <w:color w:val="auto"/>
          <w:sz w:val="24"/>
          <w:highlight w:val="none"/>
        </w:rPr>
        <w:t xml:space="preserve">任何要求对磋商文件进行澄清的供应商，应在磋商截止期5日</w:t>
      </w:r>
      <w:r>
        <w:rPr>
          <w:rFonts w:hint="eastAsia" w:asciiTheme="minorEastAsia" w:hAnsiTheme="minorEastAsia" w:eastAsiaTheme="minorEastAsia"/>
          <w:color w:val="auto"/>
          <w:sz w:val="24"/>
          <w:szCs w:val="24"/>
          <w:highlight w:val="none"/>
        </w:rPr>
        <w:t xml:space="preserve">前</w:t>
      </w:r>
      <w:r>
        <w:rPr>
          <w:rFonts w:hint="eastAsia" w:asciiTheme="minorEastAsia" w:hAnsiTheme="minorEastAsia" w:eastAsiaTheme="minorEastAsia"/>
          <w:color w:val="auto"/>
          <w:sz w:val="24"/>
          <w:highlight w:val="none"/>
        </w:rPr>
        <w:t xml:space="preserve">按磋商公告中的通讯地址，以书面形式通知采购代理机构。</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79" w:name="_Toc20823284"/>
      <w:r/>
      <w:bookmarkStart w:id="80" w:name="_Toc16938528"/>
      <w:r/>
      <w:bookmarkStart w:id="81" w:name="_Toc462564071"/>
      <w:r/>
      <w:bookmarkStart w:id="82" w:name="_Toc513029212"/>
      <w:r>
        <w:rPr>
          <w:rFonts w:hint="eastAsia" w:cs="Arial" w:asciiTheme="minorEastAsia" w:hAnsiTheme="minorEastAsia" w:eastAsiaTheme="minorEastAsia"/>
          <w:color w:val="auto"/>
          <w:sz w:val="28"/>
          <w:szCs w:val="28"/>
          <w:highlight w:val="none"/>
        </w:rPr>
        <w:t xml:space="preserve">8、磋商文件的澄清和修改</w:t>
      </w:r>
      <w:bookmarkEnd w:id="79"/>
      <w:r/>
      <w:bookmarkEnd w:id="80"/>
      <w:r/>
      <w:bookmarkEnd w:id="81"/>
      <w:r/>
      <w:bookmarkEnd w:id="82"/>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heme="minorEastAsia" w:hAnsiTheme="minorEastAsia" w:eastAsiaTheme="minorEastAsia"/>
          <w:color w:val="auto"/>
          <w:sz w:val="24"/>
          <w:highlight w:val="none"/>
        </w:rPr>
        <w:t xml:space="preserve">提交首次响应文件截止时间</w:t>
      </w:r>
      <w:r>
        <w:rPr>
          <w:rFonts w:hint="eastAsia" w:asciiTheme="minorEastAsia" w:hAnsiTheme="minorEastAsia" w:eastAsiaTheme="minorEastAsia"/>
          <w:bCs/>
          <w:color w:val="auto"/>
          <w:sz w:val="24"/>
          <w:highlight w:val="none"/>
        </w:rPr>
        <w:t xml:space="preserve">至少</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日前发出；不足</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日的，采购代理机构应当顺延</w:t>
      </w:r>
      <w:r>
        <w:rPr>
          <w:rFonts w:hint="eastAsia" w:asciiTheme="minorEastAsia" w:hAnsiTheme="minorEastAsia" w:eastAsiaTheme="minorEastAsia"/>
          <w:color w:val="auto"/>
          <w:sz w:val="24"/>
          <w:highlight w:val="none"/>
        </w:rPr>
        <w:t xml:space="preserve">提交首次响应文件截止时间</w:t>
      </w:r>
      <w:r>
        <w:rPr>
          <w:rFonts w:hint="eastAsia" w:asciiTheme="minorEastAsia" w:hAnsiTheme="minorEastAsia" w:eastAsiaTheme="minorEastAsia"/>
          <w:bCs/>
          <w:color w:val="auto"/>
          <w:sz w:val="24"/>
          <w:highlight w:val="none"/>
        </w:rPr>
        <w:t xml:space="preserve">。</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8.2</w:t>
      </w:r>
      <w:r>
        <w:rPr>
          <w:rFonts w:hint="eastAsia" w:asciiTheme="minorEastAsia" w:hAnsiTheme="minorEastAsia" w:eastAsiaTheme="minorEastAsia"/>
          <w:color w:val="auto"/>
          <w:sz w:val="24"/>
          <w:highlight w:val="none"/>
        </w:rPr>
        <w:t xml:space="preserve">在响应文件提交截止时间前</w:t>
      </w:r>
      <w:r>
        <w:rPr>
          <w:rFonts w:hint="eastAsia" w:asciiTheme="minorEastAsia" w:hAnsiTheme="minorEastAsia" w:eastAsiaTheme="minorEastAsia"/>
          <w:bCs/>
          <w:color w:val="auto"/>
          <w:sz w:val="24"/>
          <w:highlight w:val="none"/>
        </w:rPr>
        <w:t xml:space="preserve">，采购代理机构可以对磋商文件进行修改。</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8.3采购代理机构有权按照法定的要求推迟响应文件递交截止日期和磋商日期。</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8.4磋商文件的修改将在原公告媒体上发布更正公告，</w:t>
      </w:r>
      <w:r>
        <w:rPr>
          <w:rFonts w:hint="eastAsia" w:asciiTheme="minorEastAsia" w:hAnsiTheme="minorEastAsia" w:eastAsiaTheme="minorEastAsia"/>
          <w:color w:val="auto"/>
          <w:sz w:val="24"/>
          <w:highlight w:val="none"/>
        </w:rPr>
        <w:t xml:space="preserve">更正公告内容将作为磋商文件的组成部分</w:t>
      </w:r>
      <w:r>
        <w:rPr>
          <w:rFonts w:hint="eastAsia" w:asciiTheme="minorEastAsia" w:hAnsiTheme="minorEastAsia" w:eastAsiaTheme="minorEastAsia"/>
          <w:bCs/>
          <w:color w:val="auto"/>
          <w:sz w:val="24"/>
          <w:highlight w:val="none"/>
        </w:rPr>
        <w:t xml:space="preserve">，并对供应商具有约束力，发布的更正公告视同为以书面形式通知所有获取招标文件的潜在供应商。</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8.5供应商应及时登录“苏采云”系统获取澄清答疑文件（修改后的磋商文件），如因供应商原因未能及时下载澄清和修改后的磋商文件，由此造成的相关责任，由供应商承担。</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83" w:name="_Toc16938529"/>
      <w:r/>
      <w:bookmarkStart w:id="84" w:name="_Toc20823285"/>
      <w:r/>
      <w:bookmarkStart w:id="85" w:name="_Toc513029213"/>
      <w:r/>
      <w:bookmarkStart w:id="86" w:name="_Toc120614216"/>
      <w:r/>
      <w:bookmarkStart w:id="87" w:name="_Toc462564072"/>
      <w:r>
        <w:rPr>
          <w:rFonts w:hint="eastAsia" w:asciiTheme="minorEastAsia" w:hAnsiTheme="minorEastAsia" w:eastAsiaTheme="minorEastAsia"/>
          <w:b/>
          <w:bCs/>
          <w:color w:val="auto"/>
          <w:sz w:val="32"/>
          <w:szCs w:val="32"/>
          <w:highlight w:val="none"/>
        </w:rPr>
        <w:t xml:space="preserve">三、响应文件的编制</w:t>
      </w:r>
      <w:bookmarkEnd w:id="83"/>
      <w:r/>
      <w:bookmarkEnd w:id="84"/>
      <w:r/>
      <w:bookmarkEnd w:id="85"/>
      <w:r/>
      <w:bookmarkEnd w:id="86"/>
      <w:r/>
      <w:bookmarkEnd w:id="87"/>
      <w:r/>
      <w:r/>
    </w:p>
    <w:p>
      <w:pPr>
        <w:ind w:firstLine="560"/>
        <w:keepLines/>
        <w:keepNext/>
        <w:spacing w:line="360" w:lineRule="auto"/>
        <w:rPr>
          <w:rFonts w:hint="eastAsia" w:cs="Arial" w:asciiTheme="minorEastAsia" w:hAnsiTheme="minorEastAsia" w:eastAsiaTheme="minorEastAsia"/>
          <w:b/>
          <w:color w:val="auto"/>
          <w:sz w:val="28"/>
          <w:szCs w:val="28"/>
          <w:highlight w:val="none"/>
        </w:rPr>
        <w:outlineLvl w:val="3"/>
      </w:pPr>
      <w:r/>
      <w:bookmarkStart w:id="88" w:name="_Toc462564073"/>
      <w:r/>
      <w:bookmarkStart w:id="89" w:name="_Toc513029214"/>
      <w:r/>
      <w:bookmarkStart w:id="90" w:name="_Toc16938530"/>
      <w:r/>
      <w:bookmarkStart w:id="91" w:name="_Toc20823286"/>
      <w:r>
        <w:rPr>
          <w:rFonts w:hint="eastAsia" w:cs="Arial" w:asciiTheme="minorEastAsia" w:hAnsiTheme="minorEastAsia" w:eastAsiaTheme="minorEastAsia"/>
          <w:color w:val="auto"/>
          <w:sz w:val="28"/>
          <w:szCs w:val="28"/>
          <w:highlight w:val="none"/>
        </w:rPr>
        <w:t xml:space="preserve">9、响应文件的语言及度量衡单位</w:t>
      </w:r>
      <w:bookmarkEnd w:id="88"/>
      <w:r/>
      <w:bookmarkEnd w:id="89"/>
      <w:r/>
      <w:bookmarkEnd w:id="90"/>
      <w:r/>
      <w:bookmarkEnd w:id="91"/>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9.1</w:t>
      </w:r>
      <w:r>
        <w:rPr>
          <w:rFonts w:hint="eastAsia" w:asciiTheme="minorEastAsia" w:hAnsiTheme="minorEastAsia" w:eastAsiaTheme="minorEastAsia"/>
          <w:color w:val="auto"/>
          <w:sz w:val="24"/>
          <w:highlight w:val="none"/>
        </w:rPr>
        <w:t xml:space="preserve">供应商提交的响应文件以及供应商与采购代理机构就有关磋商的所有来往通知、函件和文件均应使用</w:t>
      </w:r>
      <w:r>
        <w:rPr>
          <w:rFonts w:hint="eastAsia" w:asciiTheme="minorEastAsia" w:hAnsiTheme="minorEastAsia" w:eastAsiaTheme="minorEastAsia"/>
          <w:b/>
          <w:bCs/>
          <w:color w:val="auto"/>
          <w:sz w:val="24"/>
          <w:highlight w:val="none"/>
        </w:rPr>
        <w:t xml:space="preserve">简体中文</w:t>
      </w:r>
      <w:r>
        <w:rPr>
          <w:rFonts w:hint="eastAsia" w:asciiTheme="minorEastAsia" w:hAnsiTheme="minorEastAsia" w:eastAsiaTheme="minorEastAsia"/>
          <w:color w:val="auto"/>
          <w:sz w:val="24"/>
          <w:highlight w:val="none"/>
        </w:rPr>
        <w:t xml:space="preserve">。</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9.2 除</w:t>
      </w:r>
      <w:r>
        <w:rPr>
          <w:rFonts w:hint="eastAsia" w:asciiTheme="minorEastAsia" w:hAnsiTheme="minorEastAsia" w:eastAsiaTheme="minorEastAsia"/>
          <w:color w:val="auto"/>
          <w:sz w:val="24"/>
          <w:highlight w:val="none"/>
        </w:rPr>
        <w:t xml:space="preserve">技术性能另有规定外，响应文件所使用的度量衡单位，均须采用国家法定计量单位。</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92" w:name="_Toc462564074"/>
      <w:r/>
      <w:bookmarkStart w:id="93" w:name="_Toc513029215"/>
      <w:r/>
      <w:bookmarkStart w:id="94" w:name="_Toc20823287"/>
      <w:r/>
      <w:bookmarkStart w:id="95" w:name="_Toc16938531"/>
      <w:r>
        <w:rPr>
          <w:rFonts w:hint="eastAsia" w:cs="Arial" w:asciiTheme="minorEastAsia" w:hAnsiTheme="minorEastAsia" w:eastAsiaTheme="minorEastAsia"/>
          <w:color w:val="auto"/>
          <w:sz w:val="28"/>
          <w:szCs w:val="28"/>
          <w:highlight w:val="none"/>
        </w:rPr>
        <w:t xml:space="preserve">10、响应文件构成</w:t>
      </w:r>
      <w:bookmarkEnd w:id="92"/>
      <w:r/>
      <w:bookmarkEnd w:id="93"/>
      <w:r/>
      <w:bookmarkEnd w:id="94"/>
      <w:r/>
      <w:bookmarkEnd w:id="95"/>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lang w:val="zh-CN"/>
        </w:rPr>
        <w:t xml:space="preserve">各供应商在编制</w:t>
      </w:r>
      <w:r>
        <w:rPr>
          <w:rFonts w:hint="eastAsia" w:asciiTheme="minorEastAsia" w:hAnsiTheme="minorEastAsia" w:eastAsiaTheme="minorEastAsia"/>
          <w:bCs/>
          <w:color w:val="auto"/>
          <w:sz w:val="24"/>
          <w:highlight w:val="none"/>
        </w:rPr>
        <w:t xml:space="preserve">响应文件</w:t>
      </w:r>
      <w:r>
        <w:rPr>
          <w:rFonts w:hint="eastAsia" w:asciiTheme="minorEastAsia" w:hAnsiTheme="minorEastAsia" w:eastAsiaTheme="minorEastAsia"/>
          <w:bCs/>
          <w:color w:val="auto"/>
          <w:sz w:val="24"/>
          <w:highlight w:val="none"/>
          <w:lang w:val="zh-CN"/>
        </w:rPr>
        <w:t xml:space="preserve">时请按照磋商文件第六</w:t>
      </w:r>
      <w:r>
        <w:rPr>
          <w:rFonts w:hint="eastAsia" w:asciiTheme="minorEastAsia" w:hAnsiTheme="minorEastAsia" w:eastAsiaTheme="minorEastAsia"/>
          <w:bCs/>
          <w:color w:val="auto"/>
          <w:sz w:val="24"/>
          <w:highlight w:val="none"/>
        </w:rPr>
        <w:t xml:space="preserve">章</w:t>
      </w:r>
      <w:r>
        <w:rPr>
          <w:rFonts w:hint="eastAsia" w:asciiTheme="minorEastAsia" w:hAnsiTheme="minorEastAsia" w:eastAsiaTheme="minorEastAsia"/>
          <w:bCs/>
          <w:color w:val="auto"/>
          <w:sz w:val="24"/>
          <w:highlight w:val="none"/>
          <w:lang w:val="zh-CN"/>
        </w:rPr>
        <w:t xml:space="preserve">规定的格式进行，混乱的编排导致</w:t>
      </w:r>
      <w:r>
        <w:rPr>
          <w:rFonts w:hint="eastAsia" w:asciiTheme="minorEastAsia" w:hAnsiTheme="minorEastAsia" w:eastAsiaTheme="minorEastAsia"/>
          <w:bCs/>
          <w:color w:val="auto"/>
          <w:sz w:val="24"/>
          <w:highlight w:val="none"/>
        </w:rPr>
        <w:t xml:space="preserve">响应</w:t>
      </w:r>
      <w:r>
        <w:rPr>
          <w:rFonts w:hint="eastAsia" w:asciiTheme="minorEastAsia" w:hAnsiTheme="minorEastAsia" w:eastAsiaTheme="minorEastAsia"/>
          <w:bCs/>
          <w:color w:val="auto"/>
          <w:sz w:val="24"/>
          <w:highlight w:val="none"/>
          <w:lang w:val="zh-CN"/>
        </w:rPr>
        <w:t xml:space="preserve">文件被误读或磋商小组查找不到有效文件是供应商的风险。</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10.2供应商编写的响应文件应包括资格证明文件、分项报价表、响应及偏离表、其他证明文件、磋商申请及声明函、开标一览表等部分。</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10.3响应文件须加盖电子签章之处，应按要求加盖</w:t>
      </w:r>
      <w:r>
        <w:rPr>
          <w:rFonts w:hint="eastAsia" w:asciiTheme="minorEastAsia" w:hAnsiTheme="minorEastAsia" w:eastAsiaTheme="minorEastAsia"/>
          <w:bCs/>
          <w:color w:val="auto"/>
          <w:sz w:val="24"/>
          <w:highlight w:val="none"/>
          <w:lang w:val="zh-CN"/>
        </w:rPr>
        <w:t xml:space="preserve">供应商</w:t>
      </w:r>
      <w:r>
        <w:rPr>
          <w:rFonts w:hint="eastAsia" w:asciiTheme="minorEastAsia" w:hAnsiTheme="minorEastAsia" w:eastAsiaTheme="minorEastAsia"/>
          <w:bCs/>
          <w:color w:val="auto"/>
          <w:sz w:val="24"/>
          <w:highlight w:val="none"/>
        </w:rPr>
        <w:t xml:space="preserve">数字证书的电子签章。其他需要盖章但未明确要求电子签章的，</w:t>
      </w:r>
      <w:r>
        <w:rPr>
          <w:rFonts w:hint="eastAsia" w:asciiTheme="minorEastAsia" w:hAnsiTheme="minorEastAsia" w:eastAsiaTheme="minorEastAsia"/>
          <w:bCs/>
          <w:color w:val="auto"/>
          <w:sz w:val="24"/>
          <w:highlight w:val="none"/>
          <w:lang w:val="zh-CN"/>
        </w:rPr>
        <w:t xml:space="preserve">供应商</w:t>
      </w:r>
      <w:r>
        <w:rPr>
          <w:rFonts w:hint="eastAsia" w:asciiTheme="minorEastAsia" w:hAnsiTheme="minorEastAsia" w:eastAsiaTheme="minorEastAsia"/>
          <w:bCs/>
          <w:color w:val="auto"/>
          <w:sz w:val="24"/>
          <w:highlight w:val="none"/>
        </w:rPr>
        <w:t xml:space="preserve">可按要求加盖电子公章后上传材料电子版或直接加盖电子签章。 </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10.4本项目通过“苏采云”系统进行电子招标投标，即</w:t>
      </w:r>
      <w:r>
        <w:rPr>
          <w:rFonts w:hint="eastAsia" w:asciiTheme="minorEastAsia" w:hAnsiTheme="minorEastAsia" w:eastAsiaTheme="minorEastAsia"/>
          <w:bCs/>
          <w:color w:val="auto"/>
          <w:sz w:val="24"/>
          <w:highlight w:val="none"/>
          <w:lang w:val="zh-CN"/>
        </w:rPr>
        <w:t xml:space="preserve">供应商</w:t>
      </w:r>
      <w:r>
        <w:rPr>
          <w:rFonts w:hint="eastAsia" w:asciiTheme="minorEastAsia" w:hAnsiTheme="minorEastAsia" w:eastAsiaTheme="minorEastAsia"/>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heme="minorEastAsia" w:hAnsiTheme="minorEastAsia" w:eastAsiaTheme="minorEastAsia"/>
          <w:bCs/>
          <w:color w:val="auto"/>
          <w:sz w:val="24"/>
          <w:highlight w:val="none"/>
          <w:lang w:val="zh-CN"/>
        </w:rPr>
        <w:t xml:space="preserve">供应商</w:t>
      </w:r>
      <w:r>
        <w:rPr>
          <w:rFonts w:hint="eastAsia" w:asciiTheme="minorEastAsia" w:hAnsiTheme="minorEastAsia" w:eastAsiaTheme="minorEastAsia"/>
          <w:bCs/>
          <w:color w:val="auto"/>
          <w:sz w:val="24"/>
          <w:highlight w:val="none"/>
        </w:rPr>
        <w:t xml:space="preserve">，按照无效响应处理(因“苏采云”系统导致解密失败的除外)。</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10.5如标书制作工具中格式和内容与“江苏省政府采购网”发布的磋商文件不一致，请以“江苏省政府采购网”发布的磋商文件为准。</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10.6成交后按相关要求提供与电子响应文件一致的纸质打印响应文件2份。 </w:t>
      </w:r>
      <w:r/>
    </w:p>
    <w:p>
      <w:pPr>
        <w:ind w:firstLine="480"/>
        <w:spacing w:line="360" w:lineRule="auto"/>
        <w:rPr>
          <w:rFonts w:hint="eastAsia" w:asciiTheme="minorEastAsia" w:hAnsiTheme="minorEastAsia" w:eastAsiaTheme="minorEastAsia"/>
          <w:color w:val="auto"/>
          <w:sz w:val="24"/>
          <w:highlight w:val="none"/>
        </w:rPr>
      </w:pPr>
      <w:r/>
      <w:bookmarkStart w:id="96" w:name="EBc50e2bb832bb43068403b10c1cce6141"/>
      <w:r>
        <w:rPr>
          <w:rFonts w:hint="eastAsia" w:asciiTheme="minorEastAsia" w:hAnsiTheme="minorEastAsia" w:eastAsiaTheme="minorEastAsia"/>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6"/>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97" w:name="_Hlt26954838"/>
      <w:r/>
      <w:bookmarkEnd w:id="97"/>
      <w:r/>
      <w:bookmarkStart w:id="98" w:name="_Hlt26668975"/>
      <w:r/>
      <w:bookmarkEnd w:id="98"/>
      <w:r/>
      <w:bookmarkStart w:id="99" w:name="_Hlt26670360"/>
      <w:r/>
      <w:bookmarkEnd w:id="99"/>
      <w:r/>
      <w:bookmarkStart w:id="100" w:name="_Toc49090507"/>
      <w:r/>
      <w:bookmarkStart w:id="101" w:name="_Toc513029216"/>
      <w:r/>
      <w:bookmarkStart w:id="102" w:name="_Toc49090509"/>
      <w:r/>
      <w:bookmarkStart w:id="103" w:name="_Toc513029219"/>
      <w:r/>
      <w:bookmarkStart w:id="104" w:name="_Toc14577354"/>
      <w:r/>
      <w:bookmarkStart w:id="105" w:name="_Toc14577357"/>
      <w:r/>
      <w:bookmarkStart w:id="106" w:name="_Toc14577355"/>
      <w:r/>
      <w:bookmarkStart w:id="107" w:name="_Toc49090508"/>
      <w:r>
        <w:rPr>
          <w:rFonts w:hint="eastAsia" w:cs="Arial" w:asciiTheme="minorEastAsia" w:hAnsiTheme="minorEastAsia" w:eastAsiaTheme="minorEastAsia"/>
          <w:color w:val="auto"/>
          <w:sz w:val="28"/>
          <w:szCs w:val="28"/>
          <w:highlight w:val="none"/>
        </w:rPr>
        <w:t xml:space="preserve">11、证明磋商响应标的符合磋商文件规定的文件</w:t>
      </w:r>
      <w:bookmarkEnd w:id="100"/>
      <w:r/>
      <w:bookmarkEnd w:id="101"/>
      <w:r/>
      <w:bookmarkEnd w:id="102"/>
      <w:r/>
      <w:bookmarkEnd w:id="103"/>
      <w:r/>
      <w:bookmarkEnd w:id="104"/>
      <w:r/>
      <w:bookmarkEnd w:id="105"/>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11.1供应商应按照磋商文件要求提交证明文件，证明其及磋商响应标的符合磋商文件规定。</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11.2磋商文件对证明文件无明确形式要求的，证明文件可以以文字资料、图纸和数据等形式提交。</w:t>
      </w:r>
      <w:bookmarkEnd w:id="106"/>
      <w:r/>
      <w:bookmarkEnd w:id="107"/>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rPr>
          <w:rFonts w:hint="eastAsia" w:cs="Arial" w:asciiTheme="minorEastAsia" w:hAnsiTheme="minorEastAsia" w:eastAsiaTheme="minorEastAsia"/>
          <w:color w:val="auto"/>
          <w:sz w:val="28"/>
          <w:szCs w:val="28"/>
          <w:highlight w:val="none"/>
        </w:rPr>
        <w:t xml:space="preserve">12、分项报价表</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12.1</w:t>
      </w:r>
      <w:r>
        <w:rPr>
          <w:rFonts w:hint="eastAsia" w:asciiTheme="minorEastAsia" w:hAnsiTheme="minorEastAsia" w:eastAsiaTheme="minorEastAsia"/>
          <w:color w:val="auto"/>
          <w:sz w:val="24"/>
          <w:highlight w:val="none"/>
        </w:rPr>
        <w:t xml:space="preserve">供应商应按照磋商文件规定格式填报分项报价表。</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12.2</w:t>
      </w:r>
      <w:r>
        <w:rPr>
          <w:rFonts w:hint="eastAsia" w:asciiTheme="minorEastAsia" w:hAnsiTheme="minorEastAsia" w:eastAsiaTheme="minorEastAsia"/>
          <w:bCs/>
          <w:color w:val="auto"/>
          <w:sz w:val="24"/>
          <w:highlight w:val="none"/>
        </w:rPr>
        <w:t xml:space="preserve">磋商货币。响应文件中的单价和总价无特殊规定的采用人民币报价，以元为单位标注。</w:t>
      </w:r>
      <w:r>
        <w:rPr>
          <w:rFonts w:hint="eastAsia" w:asciiTheme="minorEastAsia" w:hAnsiTheme="minorEastAsia" w:eastAsiaTheme="minorEastAsia"/>
          <w:color w:val="auto"/>
          <w:sz w:val="24"/>
          <w:highlight w:val="none"/>
        </w:rPr>
        <w:t xml:space="preserve">磋商文件中另有规定的按规定执行。</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08" w:name="_Hlt26954848"/>
      <w:r/>
      <w:bookmarkEnd w:id="108"/>
      <w:r/>
      <w:bookmarkStart w:id="109" w:name="_Hlt26954846"/>
      <w:r/>
      <w:bookmarkEnd w:id="109"/>
      <w:r/>
      <w:bookmarkStart w:id="110" w:name="_Hlt26670486"/>
      <w:r/>
      <w:bookmarkEnd w:id="110"/>
      <w:r/>
      <w:bookmarkStart w:id="111" w:name="_Hlt26670482"/>
      <w:r/>
      <w:bookmarkEnd w:id="111"/>
      <w:r/>
      <w:bookmarkStart w:id="112" w:name="_Hlt26954731"/>
      <w:r/>
      <w:bookmarkEnd w:id="112"/>
      <w:r>
        <w:rPr>
          <w:rFonts w:hint="eastAsia" w:cs="Arial" w:asciiTheme="minorEastAsia" w:hAnsiTheme="minorEastAsia" w:eastAsiaTheme="minorEastAsia"/>
          <w:color w:val="auto"/>
          <w:sz w:val="28"/>
          <w:szCs w:val="28"/>
          <w:highlight w:val="none"/>
        </w:rPr>
        <w:t xml:space="preserve">13、技术要求响应及偏离表、商务要求响应及偏离表</w:t>
      </w:r>
      <w:r/>
    </w:p>
    <w:p>
      <w:pPr>
        <w:ind w:firstLine="480"/>
        <w:spacing w:line="360" w:lineRule="auto"/>
        <w:rPr>
          <w:rFonts w:hint="eastAsia" w:cs="宋体" w:asciiTheme="minorEastAsia" w:hAnsiTheme="minorEastAsia" w:eastAsiaTheme="minorEastAsia"/>
          <w:color w:val="auto"/>
          <w:sz w:val="24"/>
          <w:highlight w:val="none"/>
          <w:lang w:val="zh-CN"/>
        </w:rPr>
      </w:pPr>
      <w:r>
        <w:rPr>
          <w:rFonts w:cs="宋体" w:asciiTheme="minorEastAsia" w:hAnsiTheme="minorEastAsia" w:eastAsiaTheme="minorEastAsia"/>
          <w:bCs/>
          <w:color w:val="auto"/>
          <w:sz w:val="24"/>
          <w:highlight w:val="none"/>
          <w:lang w:val="zh-CN"/>
        </w:rPr>
        <w:t xml:space="preserve">13.1</w:t>
      </w:r>
      <w:r>
        <w:rPr>
          <w:rFonts w:hint="eastAsia" w:cs="宋体" w:asciiTheme="minorEastAsia" w:hAnsiTheme="minorEastAsia" w:eastAsiaTheme="minorEastAsia"/>
          <w:color w:val="auto"/>
          <w:sz w:val="24"/>
          <w:highlight w:val="none"/>
          <w:lang w:val="zh-CN"/>
        </w:rPr>
        <w:t xml:space="preserve">供应商需对磋商文件中的技术要求与商务要求逐项作出响应或偏离，并说明原因。</w:t>
      </w:r>
      <w:r/>
    </w:p>
    <w:p>
      <w:pPr>
        <w:ind w:firstLine="480"/>
        <w:spacing w:line="360" w:lineRule="auto"/>
        <w:rPr>
          <w:rFonts w:hint="eastAsia"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13.2供应商可在响应文件中提供认为需要的其他技术文件或说明。</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rPr>
          <w:rFonts w:hint="eastAsia" w:cs="Arial" w:asciiTheme="minorEastAsia" w:hAnsiTheme="minorEastAsia" w:eastAsiaTheme="minorEastAsia"/>
          <w:color w:val="auto"/>
          <w:sz w:val="28"/>
          <w:szCs w:val="28"/>
          <w:highlight w:val="none"/>
        </w:rPr>
        <w:t xml:space="preserve">14、服务承诺、培训计划、人员安排及其他</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14.1</w:t>
      </w:r>
      <w:r>
        <w:rPr>
          <w:rFonts w:hint="eastAsia" w:asciiTheme="minorEastAsia" w:hAnsiTheme="minorEastAsia" w:eastAsiaTheme="minorEastAsia"/>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14.2供应商需根据磋商文件要求提供培训计划。</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14.3供应商需根据磋商文件要求提供</w:t>
      </w:r>
      <w:r>
        <w:rPr>
          <w:rFonts w:hint="eastAsia" w:cs="宋体" w:asciiTheme="minorEastAsia" w:hAnsiTheme="minorEastAsia" w:eastAsiaTheme="minorEastAsia"/>
          <w:color w:val="auto"/>
          <w:sz w:val="24"/>
          <w:highlight w:val="none"/>
          <w:lang w:val="zh-CN"/>
        </w:rPr>
        <w:t xml:space="preserve">磋商响应标的的主要组成部分、功能设计、实现思路及关键技术等。</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13" w:name="_Toc49090510"/>
      <w:r/>
      <w:bookmarkStart w:id="114" w:name="_Toc14577359"/>
      <w:r>
        <w:rPr>
          <w:rFonts w:hint="eastAsia" w:cs="Arial" w:asciiTheme="minorEastAsia" w:hAnsiTheme="minorEastAsia" w:eastAsiaTheme="minorEastAsia"/>
          <w:color w:val="auto"/>
          <w:sz w:val="28"/>
          <w:szCs w:val="28"/>
          <w:highlight w:val="none"/>
        </w:rPr>
        <w:t xml:space="preserve">15、磋商响应函</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15.1</w:t>
      </w:r>
      <w:r>
        <w:rPr>
          <w:rFonts w:hint="eastAsia" w:asciiTheme="minorEastAsia" w:hAnsiTheme="minorEastAsia" w:eastAsiaTheme="minorEastAsia"/>
          <w:color w:val="auto"/>
          <w:sz w:val="24"/>
          <w:highlight w:val="none"/>
        </w:rPr>
        <w:t xml:space="preserve">供应商应按照磋商文件中提供的格式完整、正确填写磋商响应函。</w:t>
      </w:r>
      <w:bookmarkEnd w:id="113"/>
      <w:r/>
      <w:bookmarkEnd w:id="114"/>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15" w:name="_Toc14577360"/>
      <w:r/>
      <w:bookmarkStart w:id="116" w:name="_Toc49090511"/>
      <w:r>
        <w:rPr>
          <w:rFonts w:hint="eastAsia" w:cs="Arial" w:asciiTheme="minorEastAsia" w:hAnsiTheme="minorEastAsia" w:eastAsiaTheme="minorEastAsia"/>
          <w:color w:val="auto"/>
          <w:sz w:val="28"/>
          <w:szCs w:val="28"/>
          <w:highlight w:val="none"/>
        </w:rPr>
        <w:t xml:space="preserve">16、磋商有效期</w:t>
      </w:r>
      <w:bookmarkEnd w:id="115"/>
      <w:r/>
      <w:bookmarkEnd w:id="116"/>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16.1磋商有效期为提交响应文件截止之日后</w:t>
      </w:r>
      <w:r>
        <w:rPr>
          <w:rFonts w:hint="eastAsia" w:asciiTheme="minorEastAsia" w:hAnsiTheme="minorEastAsia" w:eastAsiaTheme="minorEastAsia"/>
          <w:b/>
          <w:color w:val="auto"/>
          <w:sz w:val="24"/>
          <w:highlight w:val="none"/>
          <w:u w:val="single"/>
        </w:rPr>
        <w:t xml:space="preserve">六十（60）天</w:t>
      </w:r>
      <w:r>
        <w:rPr>
          <w:rFonts w:hint="eastAsia" w:asciiTheme="minorEastAsia" w:hAnsiTheme="minorEastAsia" w:eastAsiaTheme="minorEastAsia"/>
          <w:bCs/>
          <w:color w:val="auto"/>
          <w:sz w:val="24"/>
          <w:highlight w:val="none"/>
        </w:rPr>
        <w:t xml:space="preserve">。磋商有效期比规定短的将被视为非实质性响应磋商文件而予以拒绝。</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rPr>
          <w:rFonts w:hint="eastAsia" w:cs="Arial" w:asciiTheme="minorEastAsia" w:hAnsiTheme="minorEastAsia" w:eastAsiaTheme="minorEastAsia"/>
          <w:color w:val="auto"/>
          <w:sz w:val="28"/>
          <w:szCs w:val="28"/>
          <w:highlight w:val="none"/>
        </w:rPr>
        <w:t xml:space="preserve">1</w:t>
      </w:r>
      <w:r>
        <w:rPr>
          <w:rFonts w:cs="Arial" w:asciiTheme="minorEastAsia" w:hAnsiTheme="minorEastAsia" w:eastAsiaTheme="minorEastAsia"/>
          <w:color w:val="auto"/>
          <w:sz w:val="28"/>
          <w:szCs w:val="28"/>
          <w:highlight w:val="none"/>
        </w:rPr>
        <w:t xml:space="preserve">7</w:t>
      </w:r>
      <w:r>
        <w:rPr>
          <w:rFonts w:hint="eastAsia" w:cs="Arial" w:asciiTheme="minorEastAsia" w:hAnsiTheme="minorEastAsia" w:eastAsiaTheme="minorEastAsia"/>
          <w:color w:val="auto"/>
          <w:sz w:val="28"/>
          <w:szCs w:val="28"/>
          <w:highlight w:val="none"/>
        </w:rPr>
        <w:t xml:space="preserve">、磋商有效期的延长</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17.1在特殊情况下，</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bCs/>
          <w:color w:val="auto"/>
          <w:sz w:val="24"/>
          <w:highlight w:val="none"/>
        </w:rPr>
        <w:t xml:space="preserve">于原磋商有效期满之前，可向供应商提出延长磋商有效期的要求。这种要求与答复均应采用书面形式。供应商可以拒绝</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bCs/>
          <w:color w:val="auto"/>
          <w:sz w:val="24"/>
          <w:highlight w:val="none"/>
        </w:rPr>
        <w:t xml:space="preserve">的这一要求而放弃磋商，同意延长磋商有效期的供应商既不能要求也不允许修改其响应文件。</w:t>
      </w:r>
      <w:r>
        <w:rPr>
          <w:rFonts w:hint="eastAsia" w:asciiTheme="minorEastAsia" w:hAnsiTheme="minorEastAsia" w:eastAsiaTheme="minorEastAsia"/>
          <w:color w:val="auto"/>
          <w:sz w:val="24"/>
          <w:szCs w:val="24"/>
          <w:highlight w:val="none"/>
        </w:rPr>
        <w:t xml:space="preserve">受磋商有效期约束的所有权利与义务均延长至新的有效期</w:t>
      </w:r>
      <w:r>
        <w:rPr>
          <w:rFonts w:hint="eastAsia" w:asciiTheme="minorEastAsia" w:hAnsiTheme="minorEastAsia" w:eastAsiaTheme="minorEastAsia"/>
          <w:bCs/>
          <w:color w:val="auto"/>
          <w:sz w:val="24"/>
          <w:highlight w:val="none"/>
        </w:rPr>
        <w:t xml:space="preserve">。</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17.2</w:t>
      </w:r>
      <w:r>
        <w:rPr>
          <w:rFonts w:hint="eastAsia" w:asciiTheme="minorEastAsia" w:hAnsiTheme="minorEastAsia" w:eastAsiaTheme="minorEastAsia"/>
          <w:color w:val="auto"/>
          <w:sz w:val="24"/>
          <w:highlight w:val="none"/>
        </w:rPr>
        <w:t xml:space="preserve">成交人的响应文件作为项目合同的附件，其有效期至成交人全部合同义务履行完毕为止。</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117" w:name="_Hlt26954739"/>
      <w:r/>
      <w:bookmarkEnd w:id="117"/>
      <w:r/>
      <w:bookmarkStart w:id="118" w:name="_Hlt26954852"/>
      <w:r/>
      <w:bookmarkEnd w:id="118"/>
      <w:r/>
      <w:bookmarkStart w:id="119" w:name="_Toc16938540"/>
      <w:r/>
      <w:bookmarkStart w:id="120" w:name="_Toc513029224"/>
      <w:r/>
      <w:bookmarkStart w:id="121" w:name="_Toc20823296"/>
      <w:r/>
      <w:bookmarkStart w:id="122" w:name="_Toc120614217"/>
      <w:r>
        <w:rPr>
          <w:rFonts w:hint="eastAsia" w:asciiTheme="minorEastAsia" w:hAnsiTheme="minorEastAsia" w:eastAsiaTheme="minorEastAsia"/>
          <w:b/>
          <w:bCs/>
          <w:color w:val="auto"/>
          <w:sz w:val="32"/>
          <w:szCs w:val="32"/>
          <w:highlight w:val="none"/>
        </w:rPr>
        <w:t xml:space="preserve">四、响应文件的递交</w:t>
      </w:r>
      <w:bookmarkEnd w:id="119"/>
      <w:r/>
      <w:bookmarkEnd w:id="120"/>
      <w:r/>
      <w:bookmarkEnd w:id="121"/>
      <w:r/>
      <w:bookmarkEnd w:id="122"/>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23" w:name="_Toc16938541"/>
      <w:r/>
      <w:bookmarkStart w:id="124" w:name="_Toc462564084"/>
      <w:r/>
      <w:bookmarkStart w:id="125" w:name="_Toc513029225"/>
      <w:r/>
      <w:bookmarkStart w:id="126" w:name="_Toc20823297"/>
      <w:r>
        <w:rPr>
          <w:rFonts w:hint="eastAsia" w:cs="Arial" w:asciiTheme="minorEastAsia" w:hAnsiTheme="minorEastAsia" w:eastAsiaTheme="minorEastAsia"/>
          <w:color w:val="auto"/>
          <w:sz w:val="28"/>
          <w:szCs w:val="28"/>
          <w:highlight w:val="none"/>
        </w:rPr>
        <w:t xml:space="preserve">1</w:t>
      </w:r>
      <w:r>
        <w:rPr>
          <w:rFonts w:cs="Arial" w:asciiTheme="minorEastAsia" w:hAnsiTheme="minorEastAsia" w:eastAsiaTheme="minorEastAsia"/>
          <w:color w:val="auto"/>
          <w:sz w:val="28"/>
          <w:szCs w:val="28"/>
          <w:highlight w:val="none"/>
        </w:rPr>
        <w:t xml:space="preserve">8</w:t>
      </w:r>
      <w:r>
        <w:rPr>
          <w:rFonts w:hint="eastAsia" w:cs="Arial" w:asciiTheme="minorEastAsia" w:hAnsiTheme="minorEastAsia" w:eastAsiaTheme="minorEastAsia"/>
          <w:color w:val="auto"/>
          <w:sz w:val="28"/>
          <w:szCs w:val="28"/>
          <w:highlight w:val="none"/>
        </w:rPr>
        <w:t xml:space="preserve">、电子磋商</w:t>
      </w:r>
      <w:bookmarkEnd w:id="123"/>
      <w:r/>
      <w:bookmarkEnd w:id="124"/>
      <w:r/>
      <w:bookmarkEnd w:id="125"/>
      <w:r/>
      <w:bookmarkEnd w:id="126"/>
      <w:r>
        <w:rPr>
          <w:rFonts w:hint="eastAsia" w:cs="Arial" w:asciiTheme="minorEastAsia" w:hAnsiTheme="minorEastAsia" w:eastAsiaTheme="minorEastAsia"/>
          <w:color w:val="auto"/>
          <w:sz w:val="28"/>
          <w:szCs w:val="28"/>
          <w:highlight w:val="none"/>
        </w:rPr>
        <w:t xml:space="preserve">响应文件的递交</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18.1供应商应当按照《操作手册》规定，在提交响应文件截止时间前</w:t>
      </w:r>
      <w:r>
        <w:rPr>
          <w:rFonts w:asciiTheme="minorEastAsia" w:hAnsiTheme="minorEastAsia" w:eastAsiaTheme="minorEastAsia"/>
          <w:bCs/>
          <w:color w:val="auto"/>
          <w:sz w:val="24"/>
          <w:highlight w:val="none"/>
        </w:rPr>
        <w:t xml:space="preserve">制作</w:t>
      </w:r>
      <w:r>
        <w:rPr>
          <w:rFonts w:hint="eastAsia" w:asciiTheme="minorEastAsia" w:hAnsiTheme="minorEastAsia" w:eastAsiaTheme="minorEastAsia"/>
          <w:bCs/>
          <w:color w:val="auto"/>
          <w:sz w:val="24"/>
          <w:highlight w:val="none"/>
        </w:rPr>
        <w:t xml:space="preserve">并上传电子响应文件。</w:t>
      </w:r>
      <w:bookmarkStart w:id="127" w:name="_Toc20823298"/>
      <w:r/>
      <w:bookmarkStart w:id="128" w:name="_Toc16938542"/>
      <w:r/>
      <w:bookmarkStart w:id="129" w:name="_Toc513029226"/>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18.2供应商通过“苏采云”系统不见面开标大厅在线参与开标活动。（具体操作详见《“苏采云”系统投标人操作手册》，网址链接http://www.ccgp-jiangsu.gov.cn//webfile/jiangsu/202311/1699268553318052447.pdf）</w:t>
      </w:r>
      <w:r/>
    </w:p>
    <w:p>
      <w:pPr>
        <w:ind w:firstLine="560"/>
        <w:keepLines/>
        <w:keepNext/>
        <w:spacing w:line="360" w:lineRule="auto"/>
        <w:rPr>
          <w:rFonts w:hint="eastAsia" w:cs="Arial" w:asciiTheme="minorEastAsia" w:hAnsiTheme="minorEastAsia" w:eastAsiaTheme="minorEastAsia"/>
          <w:bCs/>
          <w:color w:val="auto"/>
          <w:sz w:val="24"/>
          <w:szCs w:val="28"/>
          <w:highlight w:val="none"/>
        </w:rPr>
        <w:outlineLvl w:val="3"/>
      </w:pPr>
      <w:r>
        <w:rPr>
          <w:rFonts w:cs="Arial" w:asciiTheme="minorEastAsia" w:hAnsiTheme="minorEastAsia" w:eastAsiaTheme="minorEastAsia"/>
          <w:bCs/>
          <w:color w:val="auto"/>
          <w:sz w:val="28"/>
          <w:szCs w:val="28"/>
          <w:highlight w:val="none"/>
        </w:rPr>
        <w:t xml:space="preserve">19</w:t>
      </w:r>
      <w:r>
        <w:rPr>
          <w:rFonts w:hint="eastAsia" w:cs="Arial" w:asciiTheme="minorEastAsia" w:hAnsiTheme="minorEastAsia" w:eastAsiaTheme="minorEastAsia"/>
          <w:bCs/>
          <w:color w:val="auto"/>
          <w:sz w:val="28"/>
          <w:szCs w:val="28"/>
          <w:highlight w:val="none"/>
        </w:rPr>
        <w:t xml:space="preserve">、提交响应文件截止时间</w:t>
      </w:r>
      <w:bookmarkEnd w:id="127"/>
      <w:r/>
      <w:bookmarkEnd w:id="128"/>
      <w:r/>
      <w:bookmarkEnd w:id="129"/>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19.1供应商上传电子响应文件的时间不得迟于磋商公告中规定的提交响应文件的截止时间。</w:t>
      </w:r>
      <w:r/>
    </w:p>
    <w:p>
      <w:pPr>
        <w:ind w:firstLine="480"/>
        <w:spacing w:line="360" w:lineRule="auto"/>
        <w:rPr>
          <w:rFonts w:hint="eastAsia" w:asciiTheme="minorEastAsia" w:hAnsiTheme="minorEastAsia" w:eastAsiaTheme="minorEastAsia"/>
          <w:bCs/>
          <w:color w:val="auto"/>
          <w:sz w:val="24"/>
          <w:highlight w:val="none"/>
        </w:rPr>
      </w:pPr>
      <w:r>
        <w:rPr>
          <w:rFonts w:asciiTheme="minorEastAsia" w:hAnsiTheme="minorEastAsia" w:eastAsiaTheme="minorEastAsia"/>
          <w:color w:val="auto"/>
          <w:sz w:val="24"/>
          <w:highlight w:val="none"/>
        </w:rPr>
        <w:t xml:space="preserve">19</w:t>
      </w:r>
      <w:r>
        <w:rPr>
          <w:rFonts w:hint="eastAsia" w:asciiTheme="minorEastAsia" w:hAnsiTheme="minorEastAsia" w:eastAsiaTheme="minorEastAsia"/>
          <w:color w:val="auto"/>
          <w:sz w:val="24"/>
          <w:highlight w:val="none"/>
        </w:rPr>
        <w:t xml:space="preserve">.2采购代理机构</w:t>
      </w:r>
      <w:r>
        <w:rPr>
          <w:rFonts w:hint="eastAsia" w:asciiTheme="minorEastAsia" w:hAnsiTheme="minorEastAsia" w:eastAsiaTheme="minorEastAsia"/>
          <w:bCs/>
          <w:color w:val="auto"/>
          <w:sz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30" w:name="_Toc20823299"/>
      <w:r/>
      <w:bookmarkStart w:id="131" w:name="_Toc16938543"/>
      <w:r/>
      <w:bookmarkStart w:id="132" w:name="_Toc513029227"/>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0</w:t>
      </w:r>
      <w:r>
        <w:rPr>
          <w:rFonts w:hint="eastAsia" w:cs="Arial" w:asciiTheme="minorEastAsia" w:hAnsiTheme="minorEastAsia" w:eastAsiaTheme="minorEastAsia"/>
          <w:color w:val="auto"/>
          <w:sz w:val="28"/>
          <w:szCs w:val="28"/>
          <w:highlight w:val="none"/>
        </w:rPr>
        <w:t xml:space="preserve">、响应文件</w:t>
      </w:r>
      <w:bookmarkEnd w:id="130"/>
      <w:r/>
      <w:bookmarkEnd w:id="131"/>
      <w:r/>
      <w:bookmarkEnd w:id="132"/>
      <w:r>
        <w:rPr>
          <w:rFonts w:hint="eastAsia" w:cs="Arial" w:asciiTheme="minorEastAsia" w:hAnsiTheme="minorEastAsia" w:eastAsiaTheme="minorEastAsia"/>
          <w:color w:val="auto"/>
          <w:sz w:val="28"/>
          <w:szCs w:val="28"/>
          <w:highlight w:val="none"/>
        </w:rPr>
        <w:t xml:space="preserve">的拒收</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20.1 采购</w:t>
      </w:r>
      <w:r>
        <w:rPr>
          <w:rFonts w:hint="eastAsia" w:asciiTheme="minorEastAsia" w:hAnsiTheme="minorEastAsia" w:eastAsiaTheme="minorEastAsia"/>
          <w:color w:val="auto"/>
          <w:sz w:val="24"/>
          <w:highlight w:val="none"/>
        </w:rPr>
        <w:t xml:space="preserve">代理机构</w:t>
      </w:r>
      <w:r>
        <w:rPr>
          <w:rFonts w:hint="eastAsia" w:asciiTheme="minorEastAsia" w:hAnsiTheme="minorEastAsia" w:eastAsiaTheme="minorEastAsia"/>
          <w:bCs/>
          <w:color w:val="auto"/>
          <w:sz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33" w:name="_Toc16938544"/>
      <w:r/>
      <w:bookmarkStart w:id="134" w:name="_Toc20823300"/>
      <w:r/>
      <w:bookmarkStart w:id="135" w:name="_Toc513029228"/>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1</w:t>
      </w:r>
      <w:r>
        <w:rPr>
          <w:rFonts w:hint="eastAsia" w:cs="Arial" w:asciiTheme="minorEastAsia" w:hAnsiTheme="minorEastAsia" w:eastAsiaTheme="minorEastAsia"/>
          <w:color w:val="auto"/>
          <w:sz w:val="28"/>
          <w:szCs w:val="28"/>
          <w:highlight w:val="none"/>
        </w:rPr>
        <w:t xml:space="preserve">、响应文件的撤回和修改</w:t>
      </w:r>
      <w:bookmarkEnd w:id="133"/>
      <w:r/>
      <w:bookmarkEnd w:id="134"/>
      <w:r/>
      <w:bookmarkEnd w:id="135"/>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21.1响应文件的撤回</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21.1.1电子响应文件的撤回</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供应商可在</w:t>
      </w:r>
      <w:r>
        <w:rPr>
          <w:rFonts w:hint="eastAsia" w:asciiTheme="minorEastAsia" w:hAnsiTheme="minorEastAsia" w:eastAsiaTheme="minorEastAsia"/>
          <w:bCs/>
          <w:color w:val="auto"/>
          <w:sz w:val="24"/>
          <w:highlight w:val="none"/>
        </w:rPr>
        <w:t xml:space="preserve">提交响应文件</w:t>
      </w:r>
      <w:r>
        <w:rPr>
          <w:rFonts w:hint="eastAsia" w:asciiTheme="minorEastAsia" w:hAnsiTheme="minorEastAsia" w:eastAsiaTheme="minorEastAsia"/>
          <w:color w:val="auto"/>
          <w:sz w:val="24"/>
          <w:highlight w:val="none"/>
        </w:rPr>
        <w:t xml:space="preserve">截止时间前，撤回其电子响应文件，具体操作方法见《操作手册》。</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21.1.2供应商撤回电子响应文件，则视为其不再参与本项目磋商活动。</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21.2响应文件的修改</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21.2.1供应商可在</w:t>
      </w:r>
      <w:r>
        <w:rPr>
          <w:rFonts w:hint="eastAsia" w:asciiTheme="minorEastAsia" w:hAnsiTheme="minorEastAsia" w:eastAsiaTheme="minorEastAsia"/>
          <w:bCs/>
          <w:color w:val="auto"/>
          <w:sz w:val="24"/>
          <w:highlight w:val="none"/>
        </w:rPr>
        <w:t xml:space="preserve">提交响应文件</w:t>
      </w:r>
      <w:r>
        <w:rPr>
          <w:rFonts w:hint="eastAsia" w:asciiTheme="minorEastAsia" w:hAnsiTheme="minorEastAsia" w:eastAsiaTheme="minorEastAsia"/>
          <w:color w:val="auto"/>
          <w:sz w:val="24"/>
          <w:highlight w:val="none"/>
        </w:rPr>
        <w:t xml:space="preserve">截止时间前，对其电子响应文件进行修改，具体操作方法见《操作手册》。</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21.2.2</w:t>
      </w:r>
      <w:r>
        <w:rPr>
          <w:rFonts w:hint="eastAsia" w:asciiTheme="minorEastAsia" w:hAnsiTheme="minorEastAsia" w:eastAsiaTheme="minorEastAsia"/>
          <w:bCs/>
          <w:color w:val="auto"/>
          <w:sz w:val="24"/>
          <w:highlight w:val="none"/>
        </w:rPr>
        <w:t xml:space="preserve">在提交响应文件截止时间之后，供应商不得对其电子响应文件作任何修改。</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21.3</w:t>
      </w:r>
      <w:r>
        <w:rPr>
          <w:rFonts w:hint="eastAsia" w:asciiTheme="minorEastAsia" w:hAnsiTheme="minorEastAsia" w:eastAsiaTheme="minorEastAsia"/>
          <w:bCs/>
          <w:color w:val="auto"/>
          <w:sz w:val="24"/>
          <w:highlight w:val="none"/>
        </w:rPr>
        <w:t xml:space="preserve">在提交响应文件截止时间至磋商文件中规定的磋商有效期满之间的这段时间内，供应商不得撤回其响应文件。</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136" w:name="_Toc120614218"/>
      <w:r/>
      <w:bookmarkStart w:id="137" w:name="_Toc16938545"/>
      <w:r/>
      <w:bookmarkStart w:id="138" w:name="_Toc20823301"/>
      <w:r/>
      <w:bookmarkStart w:id="139" w:name="_Toc513029229"/>
      <w:r>
        <w:rPr>
          <w:rFonts w:hint="eastAsia" w:asciiTheme="minorEastAsia" w:hAnsiTheme="minorEastAsia" w:eastAsiaTheme="minorEastAsia"/>
          <w:b/>
          <w:bCs/>
          <w:color w:val="auto"/>
          <w:sz w:val="32"/>
          <w:szCs w:val="32"/>
          <w:highlight w:val="none"/>
        </w:rPr>
        <w:t xml:space="preserve">五、响应文件的解密与评审</w:t>
      </w:r>
      <w:bookmarkEnd w:id="136"/>
      <w:r/>
      <w:bookmarkEnd w:id="137"/>
      <w:r/>
      <w:bookmarkEnd w:id="138"/>
      <w:r/>
      <w:bookmarkEnd w:id="139"/>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40" w:name="_Toc16938546"/>
      <w:r/>
      <w:bookmarkStart w:id="141" w:name="_Toc513029230"/>
      <w:r/>
      <w:bookmarkStart w:id="142" w:name="_Toc20823302"/>
      <w:r>
        <w:rPr>
          <w:rFonts w:hint="eastAsia" w:cs="Arial" w:asciiTheme="minorEastAsia" w:hAnsiTheme="minorEastAsia" w:eastAsiaTheme="minorEastAsia"/>
          <w:color w:val="auto"/>
          <w:sz w:val="28"/>
          <w:szCs w:val="28"/>
          <w:highlight w:val="none"/>
        </w:rPr>
        <w:t xml:space="preserve">22、</w:t>
      </w:r>
      <w:bookmarkEnd w:id="140"/>
      <w:r/>
      <w:bookmarkEnd w:id="141"/>
      <w:r/>
      <w:bookmarkEnd w:id="142"/>
      <w:r>
        <w:rPr>
          <w:rFonts w:hint="eastAsia" w:cs="Arial" w:asciiTheme="minorEastAsia" w:hAnsiTheme="minorEastAsia" w:eastAsiaTheme="minorEastAsia"/>
          <w:color w:val="auto"/>
          <w:sz w:val="28"/>
          <w:szCs w:val="28"/>
          <w:highlight w:val="none"/>
        </w:rPr>
        <w:t xml:space="preserve">响应文件解密</w:t>
      </w:r>
      <w:r/>
    </w:p>
    <w:p>
      <w:pPr>
        <w:ind w:firstLine="48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22.1</w:t>
      </w:r>
      <w:r>
        <w:rPr>
          <w:rFonts w:hint="eastAsia" w:asciiTheme="minorEastAsia" w:hAnsiTheme="minorEastAsia" w:eastAsiaTheme="minorEastAsia"/>
          <w:color w:val="auto"/>
          <w:sz w:val="24"/>
          <w:szCs w:val="24"/>
          <w:highlight w:val="none"/>
        </w:rPr>
        <w:t xml:space="preserve">供应商应当</w:t>
      </w:r>
      <w:r>
        <w:rPr>
          <w:rFonts w:hint="eastAsia" w:asciiTheme="minorEastAsia" w:hAnsiTheme="minorEastAsia" w:eastAsiaTheme="minorEastAsia"/>
          <w:color w:val="auto"/>
          <w:sz w:val="24"/>
          <w:highlight w:val="none"/>
        </w:rPr>
        <w:t xml:space="preserve">按照《“苏采云”系统供应商操作手册》规定</w:t>
      </w:r>
      <w:r>
        <w:rPr>
          <w:rFonts w:hint="eastAsia" w:asciiTheme="minorEastAsia" w:hAnsiTheme="minorEastAsia" w:eastAsiaTheme="minorEastAsia"/>
          <w:color w:val="auto"/>
          <w:sz w:val="24"/>
          <w:szCs w:val="24"/>
          <w:highlight w:val="none"/>
        </w:rPr>
        <w:t xml:space="preserve">，参加磋商活动并在苏采云系统规定的时间内对磋商响应文件进行解密。</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43" w:name="_Toc20823303"/>
      <w:r/>
      <w:bookmarkStart w:id="144" w:name="_Toc16938547"/>
      <w:r/>
      <w:bookmarkStart w:id="145" w:name="_Toc513029231"/>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3</w:t>
      </w:r>
      <w:r>
        <w:rPr>
          <w:rFonts w:hint="eastAsia" w:cs="Arial" w:asciiTheme="minorEastAsia" w:hAnsiTheme="minorEastAsia" w:eastAsiaTheme="minorEastAsia"/>
          <w:color w:val="auto"/>
          <w:sz w:val="28"/>
          <w:szCs w:val="28"/>
          <w:highlight w:val="none"/>
        </w:rPr>
        <w:t xml:space="preserve">、磋商小组</w:t>
      </w:r>
      <w:r/>
    </w:p>
    <w:p>
      <w:pPr>
        <w:ind w:firstLine="480"/>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3.1</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23.2磋商小组独立工作，负责评审所有响应文件并确定成交候选人。</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4</w:t>
      </w:r>
      <w:r>
        <w:rPr>
          <w:rFonts w:hint="eastAsia" w:cs="Arial" w:asciiTheme="minorEastAsia" w:hAnsiTheme="minorEastAsia" w:eastAsiaTheme="minorEastAsia"/>
          <w:color w:val="auto"/>
          <w:sz w:val="28"/>
          <w:szCs w:val="28"/>
          <w:highlight w:val="none"/>
        </w:rPr>
        <w:t xml:space="preserve">、评审过程的保密与公正</w:t>
      </w:r>
      <w:bookmarkEnd w:id="143"/>
      <w:r/>
      <w:bookmarkEnd w:id="144"/>
      <w:r/>
      <w:bookmarkEnd w:id="145"/>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24.1</w:t>
      </w:r>
      <w:r>
        <w:rPr>
          <w:rFonts w:hint="eastAsia" w:asciiTheme="minorEastAsia" w:hAnsiTheme="minorEastAsia" w:eastAsiaTheme="minorEastAsia"/>
          <w:bCs/>
          <w:color w:val="auto"/>
          <w:sz w:val="24"/>
          <w:highlight w:val="none"/>
        </w:rPr>
        <w:t xml:space="preserve">磋商小组、采购人和</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bCs/>
          <w:color w:val="auto"/>
          <w:sz w:val="24"/>
          <w:highlight w:val="none"/>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24.2</w:t>
      </w:r>
      <w:r>
        <w:rPr>
          <w:rFonts w:hint="eastAsia" w:asciiTheme="minorEastAsia" w:hAnsiTheme="minorEastAsia" w:eastAsiaTheme="minorEastAsia"/>
          <w:color w:val="auto"/>
          <w:sz w:val="24"/>
          <w:szCs w:val="24"/>
          <w:highlight w:val="none"/>
        </w:rPr>
        <w:t xml:space="preserve">在评审过程中，供应商不得以任何行为影响磋商评审过程，否则其响应文件将被作为无效响应文件。</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24.3</w:t>
      </w:r>
      <w:r>
        <w:rPr>
          <w:rFonts w:hint="eastAsia" w:asciiTheme="minorEastAsia" w:hAnsiTheme="minorEastAsia" w:eastAsiaTheme="minorEastAsia"/>
          <w:color w:val="auto"/>
          <w:sz w:val="24"/>
          <w:szCs w:val="24"/>
          <w:highlight w:val="none"/>
        </w:rPr>
        <w:t xml:space="preserve">在项目评审期间，</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color w:val="auto"/>
          <w:sz w:val="24"/>
          <w:szCs w:val="24"/>
          <w:highlight w:val="none"/>
        </w:rPr>
        <w:t xml:space="preserve">将设专门人员与供应商联系。</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24.4 采购</w:t>
      </w:r>
      <w:r>
        <w:rPr>
          <w:rFonts w:hint="eastAsia" w:asciiTheme="minorEastAsia" w:hAnsiTheme="minorEastAsia" w:eastAsiaTheme="minorEastAsia"/>
          <w:color w:val="auto"/>
          <w:sz w:val="24"/>
          <w:highlight w:val="none"/>
        </w:rPr>
        <w:t xml:space="preserve">代理机构</w:t>
      </w:r>
      <w:r>
        <w:rPr>
          <w:rFonts w:hint="eastAsia" w:asciiTheme="minorEastAsia" w:hAnsiTheme="minorEastAsia" w:eastAsiaTheme="minorEastAsia"/>
          <w:color w:val="auto"/>
          <w:sz w:val="24"/>
          <w:szCs w:val="24"/>
          <w:highlight w:val="none"/>
        </w:rPr>
        <w:t xml:space="preserve">和磋商小组不向未成交的供应商解释未成交原因，也不公布评审过程中的相关细节。</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46" w:name="_Toc16938548"/>
      <w:r/>
      <w:bookmarkStart w:id="147" w:name="_Toc20823304"/>
      <w:r/>
      <w:bookmarkStart w:id="148" w:name="_Toc513029232"/>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5</w:t>
      </w:r>
      <w:r>
        <w:rPr>
          <w:rFonts w:hint="eastAsia" w:cs="Arial" w:asciiTheme="minorEastAsia" w:hAnsiTheme="minorEastAsia" w:eastAsiaTheme="minorEastAsia"/>
          <w:color w:val="auto"/>
          <w:sz w:val="28"/>
          <w:szCs w:val="28"/>
          <w:highlight w:val="none"/>
        </w:rPr>
        <w:t xml:space="preserve">、评审过程中的的澄清</w:t>
      </w:r>
      <w:bookmarkEnd w:id="146"/>
      <w:r/>
      <w:bookmarkEnd w:id="147"/>
      <w:r/>
      <w:bookmarkEnd w:id="148"/>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磋商小组并非对每个供应商都作澄清要求。</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w:t>
      </w:r>
      <w:r>
        <w:rPr>
          <w:rFonts w:cs="宋体" w:asciiTheme="minorEastAsia" w:hAnsiTheme="minorEastAsia" w:eastAsiaTheme="minorEastAsia"/>
          <w:color w:val="auto"/>
          <w:sz w:val="24"/>
          <w:szCs w:val="24"/>
          <w:highlight w:val="none"/>
        </w:rPr>
        <w:t xml:space="preserve">5.2</w:t>
      </w:r>
      <w:r>
        <w:rPr>
          <w:rFonts w:hint="eastAsia" w:cs="宋体" w:asciiTheme="minorEastAsia" w:hAnsiTheme="minorEastAsia" w:eastAsiaTheme="minorEastAsia"/>
          <w:color w:val="auto"/>
          <w:sz w:val="24"/>
          <w:szCs w:val="24"/>
          <w:highlight w:val="none"/>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cs="宋体" w:asciiTheme="minorEastAsia" w:hAnsiTheme="minorEastAsia" w:eastAsiaTheme="minorEastAsia"/>
          <w:color w:val="auto"/>
          <w:sz w:val="24"/>
          <w:szCs w:val="24"/>
          <w:highlight w:val="none"/>
        </w:rPr>
        <w:t xml:space="preserve">操作</w:t>
      </w:r>
      <w:r>
        <w:rPr>
          <w:rFonts w:hint="eastAsia" w:cs="宋体" w:asciiTheme="minorEastAsia" w:hAnsiTheme="minorEastAsia" w:eastAsiaTheme="minorEastAsia"/>
          <w:color w:val="auto"/>
          <w:sz w:val="24"/>
          <w:szCs w:val="24"/>
          <w:highlight w:val="none"/>
        </w:rPr>
        <w:t xml:space="preserve">方式</w:t>
      </w:r>
      <w:r>
        <w:rPr>
          <w:rFonts w:cs="宋体" w:asciiTheme="minorEastAsia" w:hAnsiTheme="minorEastAsia" w:eastAsiaTheme="minorEastAsia"/>
          <w:color w:val="auto"/>
          <w:sz w:val="24"/>
          <w:szCs w:val="24"/>
          <w:highlight w:val="none"/>
        </w:rPr>
        <w:t xml:space="preserve">见</w:t>
      </w:r>
      <w:r>
        <w:rPr>
          <w:rFonts w:hint="eastAsia" w:cs="宋体" w:asciiTheme="minorEastAsia" w:hAnsiTheme="minorEastAsia" w:eastAsiaTheme="minorEastAsia"/>
          <w:color w:val="auto"/>
          <w:sz w:val="24"/>
          <w:szCs w:val="24"/>
          <w:highlight w:val="none"/>
        </w:rPr>
        <w:t xml:space="preserve">《操作手册》。</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25.3 接到磋商小组澄清、说明和更正要求的供应商如未按规定做出澄清、说明和更正，其风险由供应商自行承担。</w:t>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bookmarkStart w:id="149" w:name="_Toc513029233"/>
      <w:r/>
      <w:bookmarkStart w:id="150" w:name="_Toc20823305"/>
      <w:r/>
      <w:bookmarkStart w:id="151" w:name="_Toc16938549"/>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6</w:t>
      </w:r>
      <w:r>
        <w:rPr>
          <w:rFonts w:hint="eastAsia" w:cs="Arial" w:asciiTheme="minorEastAsia" w:hAnsiTheme="minorEastAsia" w:eastAsiaTheme="minorEastAsia"/>
          <w:color w:val="auto"/>
          <w:sz w:val="28"/>
          <w:szCs w:val="28"/>
          <w:highlight w:val="none"/>
        </w:rPr>
        <w:t xml:space="preserve">、对响应文件的审</w:t>
      </w:r>
      <w:bookmarkEnd w:id="149"/>
      <w:r/>
      <w:bookmarkEnd w:id="150"/>
      <w:r/>
      <w:bookmarkEnd w:id="151"/>
      <w:r>
        <w:rPr>
          <w:rFonts w:hint="eastAsia" w:cs="Arial" w:asciiTheme="minorEastAsia" w:hAnsiTheme="minorEastAsia" w:eastAsiaTheme="minorEastAsia"/>
          <w:color w:val="auto"/>
          <w:sz w:val="28"/>
          <w:szCs w:val="28"/>
          <w:highlight w:val="none"/>
        </w:rPr>
        <w:t xml:space="preserve">查</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26.1</w:t>
      </w:r>
      <w:r>
        <w:rPr>
          <w:rFonts w:hint="eastAsia" w:asciiTheme="minorEastAsia" w:hAnsiTheme="minorEastAsia" w:eastAsiaTheme="minorEastAsia"/>
          <w:bCs/>
          <w:color w:val="auto"/>
          <w:sz w:val="24"/>
          <w:highlight w:val="none"/>
        </w:rPr>
        <w:t xml:space="preserve">响应文件审查分为资格审查和符合性审查。</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26.1.3 未通过资格审查或符合性审查的供应商，磋商小组将在</w:t>
      </w:r>
      <w:r>
        <w:rPr>
          <w:rFonts w:hint="eastAsia" w:asciiTheme="minorEastAsia" w:hAnsiTheme="minorEastAsia" w:eastAsiaTheme="minorEastAsia"/>
          <w:color w:val="auto"/>
          <w:sz w:val="24"/>
          <w:szCs w:val="24"/>
          <w:highlight w:val="none"/>
        </w:rPr>
        <w:t xml:space="preserve">苏采云系统</w:t>
      </w:r>
      <w:r>
        <w:rPr>
          <w:rFonts w:hint="eastAsia" w:asciiTheme="minorEastAsia" w:hAnsiTheme="minorEastAsia" w:eastAsiaTheme="minorEastAsia"/>
          <w:bCs/>
          <w:color w:val="auto"/>
          <w:sz w:val="24"/>
          <w:highlight w:val="none"/>
        </w:rPr>
        <w:t xml:space="preserve">中告知未通过资格审查或符合性审查的原因，评审结束后，磋商小组将不再告知其未通过资格审查或符合性审查的原因。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6.2</w:t>
      </w:r>
      <w:r>
        <w:rPr>
          <w:rFonts w:hint="eastAsia" w:asciiTheme="minorEastAsia" w:hAnsiTheme="minorEastAsia" w:eastAsiaTheme="minorEastAsia"/>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26.3未实质性响应磋商文件的情形</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26.3.1供应商在</w:t>
      </w:r>
      <w:r>
        <w:rPr>
          <w:rFonts w:hint="eastAsia" w:asciiTheme="minorEastAsia" w:hAnsiTheme="minorEastAsia" w:eastAsiaTheme="minorEastAsia"/>
          <w:color w:val="auto"/>
          <w:sz w:val="24"/>
          <w:szCs w:val="24"/>
          <w:highlight w:val="none"/>
        </w:rPr>
        <w:t xml:space="preserve">苏采云系统</w:t>
      </w:r>
      <w:r>
        <w:rPr>
          <w:rFonts w:hint="eastAsia" w:asciiTheme="minorEastAsia" w:hAnsiTheme="minorEastAsia" w:eastAsiaTheme="minorEastAsia"/>
          <w:bCs/>
          <w:color w:val="auto"/>
          <w:sz w:val="24"/>
          <w:highlight w:val="none"/>
        </w:rPr>
        <w:t xml:space="preserve">规定的时间内未成功解密电子响应文件的。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26.3.2供应商未按照磋商文件要求上传电子响应文件的。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26.3.3同一供应商提交两个（含两个）以上不同的响应文件或者最后报价的。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26.3.4供应商不具备磋商文件中规定的资格要求的。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26.3.5供应商的最后报价超过了采购预算。</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26.3.6不符合磋商文件中规定的实质性要求和条件的（</w:t>
      </w:r>
      <w:r>
        <w:rPr>
          <w:rFonts w:hint="eastAsia" w:asciiTheme="minorEastAsia" w:hAnsiTheme="minorEastAsia" w:eastAsiaTheme="minorEastAsia"/>
          <w:bCs/>
          <w:i/>
          <w:color w:val="auto"/>
          <w:sz w:val="24"/>
          <w:highlight w:val="none"/>
          <w:u w:val="single"/>
        </w:rPr>
        <w:t xml:space="preserve">加斜体下划线内容或打“★”内容为实质性要求和条件）。</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26.3.8响应文件含有采购人不能接受的附加条件的。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26.3.10响应文件未按照磋商文件要求加盖CA电子公章的。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26.4未实质性响应磋商文件的响应文件按无效响应处理。</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26.5</w:t>
      </w:r>
      <w:r>
        <w:rPr>
          <w:rFonts w:hint="eastAsia" w:asciiTheme="minorEastAsia" w:hAnsiTheme="minorEastAsia" w:eastAsiaTheme="minorEastAsia"/>
          <w:bCs/>
          <w:color w:val="auto"/>
          <w:sz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Theme="minorEastAsia" w:hAnsiTheme="minorEastAsia" w:eastAsiaTheme="minorEastAsia"/>
          <w:color w:val="auto"/>
          <w:sz w:val="24"/>
          <w:highlight w:val="none"/>
        </w:rPr>
      </w:pPr>
      <w:r/>
      <w:bookmarkStart w:id="152" w:name="_Toc513029234"/>
      <w:r/>
      <w:bookmarkStart w:id="153" w:name="_Toc16938550"/>
      <w:r/>
      <w:bookmarkStart w:id="154" w:name="_Toc20823306"/>
      <w:r>
        <w:rPr>
          <w:rFonts w:hint="eastAsia" w:asciiTheme="minorEastAsia" w:hAnsiTheme="minorEastAsia" w:eastAsiaTheme="minorEastAsia"/>
          <w:color w:val="auto"/>
          <w:sz w:val="24"/>
          <w:highlight w:val="none"/>
        </w:rPr>
        <w:t xml:space="preserve">26.6供应商在项目评审全过程中应保持通讯畅通，并安排专人与采购代理机构及磋商小组联系。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26.7关于异常低价的审查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26.7.1评审过程中出现下列情形之一的，磋商小组将启动异常低价投标（响应）审查程序：</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（3）投标（响应）报价低于采购项目最高限价45%的，即投标（响应）报价&lt;采购项目最高限价×45%；</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（4）评审委员会基于专业判断，认为供应商报价过低，有可能影响产品质量或者不能诚信履约的其他情形。</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lang w:val="en-US" w:eastAsia="zh-CN"/>
        </w:rPr>
        <w:t xml:space="preserve">26.7.2</w:t>
      </w:r>
      <w:r>
        <w:rPr>
          <w:rFonts w:hint="eastAsia" w:ascii="宋体" w:hAnsi="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keepNext/>
        <w:spacing w:line="360" w:lineRule="auto"/>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560"/>
        <w:keepLines/>
        <w:keepNext/>
        <w:spacing w:line="360" w:lineRule="auto"/>
        <w:rPr>
          <w:rFonts w:hint="eastAsia" w:cs="Arial" w:asciiTheme="minorEastAsia" w:hAnsiTheme="minorEastAsia" w:eastAsiaTheme="minorEastAsia"/>
          <w:color w:val="auto"/>
          <w:sz w:val="28"/>
          <w:szCs w:val="28"/>
          <w:highlight w:val="none"/>
        </w:rPr>
        <w:outlineLvl w:val="3"/>
      </w:pPr>
      <w:r>
        <w:rPr>
          <w:rFonts w:hint="eastAsia" w:cs="Arial" w:asciiTheme="minorEastAsia" w:hAnsiTheme="minorEastAsia" w:eastAsiaTheme="minorEastAsia"/>
          <w:color w:val="auto"/>
          <w:sz w:val="28"/>
          <w:szCs w:val="28"/>
          <w:highlight w:val="none"/>
        </w:rPr>
        <w:t xml:space="preserve">2</w:t>
      </w:r>
      <w:r>
        <w:rPr>
          <w:rFonts w:cs="Arial" w:asciiTheme="minorEastAsia" w:hAnsiTheme="minorEastAsia" w:eastAsiaTheme="minorEastAsia"/>
          <w:color w:val="auto"/>
          <w:sz w:val="28"/>
          <w:szCs w:val="28"/>
          <w:highlight w:val="none"/>
        </w:rPr>
        <w:t xml:space="preserve">7</w:t>
      </w:r>
      <w:r>
        <w:rPr>
          <w:rFonts w:hint="eastAsia" w:cs="Arial" w:asciiTheme="minorEastAsia" w:hAnsiTheme="minorEastAsia" w:eastAsiaTheme="minorEastAsia"/>
          <w:color w:val="auto"/>
          <w:sz w:val="28"/>
          <w:szCs w:val="28"/>
          <w:highlight w:val="none"/>
        </w:rPr>
        <w:t xml:space="preserve">、</w:t>
      </w:r>
      <w:bookmarkEnd w:id="152"/>
      <w:r/>
      <w:bookmarkEnd w:id="153"/>
      <w:r/>
      <w:bookmarkEnd w:id="154"/>
      <w:r>
        <w:rPr>
          <w:rFonts w:hint="eastAsia" w:cs="Arial" w:asciiTheme="minorEastAsia" w:hAnsiTheme="minorEastAsia" w:eastAsiaTheme="minorEastAsia"/>
          <w:color w:val="auto"/>
          <w:sz w:val="28"/>
          <w:szCs w:val="28"/>
          <w:highlight w:val="none"/>
        </w:rPr>
        <w:t xml:space="preserve">磋商程序及评审方法和评审标准</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27.1磋商程序</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27.1.1对于通过资格审查和符合性审查的供应商，磋商小组将集中与单一供应商分别进行磋商。</w:t>
      </w:r>
      <w:r>
        <w:rPr>
          <w:rFonts w:hint="eastAsia" w:asciiTheme="minorEastAsia" w:hAnsiTheme="minorEastAsia" w:eastAsiaTheme="minorEastAsia"/>
          <w:b/>
          <w:bCs/>
          <w:color w:val="auto"/>
          <w:sz w:val="24"/>
          <w:szCs w:val="24"/>
          <w:highlight w:val="none"/>
          <w:u w:val="single"/>
        </w:rPr>
        <w:t xml:space="preserve">磋商小组通过苏采云系统向供应商发布“磋商函”，供应商应当按照要求在苏采云系统提交“磋商响应函”并加盖CA电子公章</w:t>
      </w:r>
      <w:r>
        <w:rPr>
          <w:rFonts w:hint="eastAsia" w:asciiTheme="minorEastAsia" w:hAnsiTheme="minorEastAsia" w:eastAsiaTheme="minorEastAsia"/>
          <w:b/>
          <w:bCs/>
          <w:color w:val="auto"/>
          <w:sz w:val="24"/>
          <w:szCs w:val="24"/>
          <w:highlight w:val="none"/>
        </w:rPr>
        <w:t xml:space="preserve">。</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27.1.2</w:t>
      </w:r>
      <w:r>
        <w:rPr>
          <w:rFonts w:asciiTheme="minorEastAsia" w:hAnsiTheme="minorEastAsia" w:eastAsiaTheme="minorEastAsia"/>
          <w:color w:val="auto"/>
          <w:sz w:val="24"/>
          <w:szCs w:val="24"/>
          <w:highlight w:val="none"/>
        </w:rPr>
        <w:t xml:space="preserve">磋商文件能够详细列明采购标的的技术、服务要求的，</w:t>
      </w:r>
      <w:r>
        <w:rPr>
          <w:rFonts w:asciiTheme="minorEastAsia" w:hAnsiTheme="minorEastAsia" w:eastAsiaTheme="minorEastAsia"/>
          <w:b/>
          <w:bCs/>
          <w:color w:val="auto"/>
          <w:sz w:val="24"/>
          <w:szCs w:val="24"/>
          <w:highlight w:val="none"/>
          <w:u w:val="single"/>
        </w:rPr>
        <w:t xml:space="preserve">磋商结束后，磋商小组</w:t>
      </w:r>
      <w:r>
        <w:rPr>
          <w:rFonts w:hint="eastAsia" w:asciiTheme="minorEastAsia" w:hAnsiTheme="minorEastAsia" w:eastAsiaTheme="minorEastAsia"/>
          <w:b/>
          <w:bCs/>
          <w:color w:val="auto"/>
          <w:sz w:val="24"/>
          <w:szCs w:val="24"/>
          <w:highlight w:val="none"/>
          <w:u w:val="single"/>
        </w:rPr>
        <w:t xml:space="preserve">将在苏采云系统向所有</w:t>
      </w:r>
      <w:r>
        <w:rPr>
          <w:rFonts w:asciiTheme="minorEastAsia" w:hAnsiTheme="minorEastAsia" w:eastAsiaTheme="minorEastAsia"/>
          <w:b/>
          <w:bCs/>
          <w:color w:val="auto"/>
          <w:sz w:val="24"/>
          <w:szCs w:val="24"/>
          <w:highlight w:val="none"/>
          <w:u w:val="single"/>
        </w:rPr>
        <w:t xml:space="preserve">实质性响应的供应商</w:t>
      </w:r>
      <w:r>
        <w:rPr>
          <w:rFonts w:hint="eastAsia" w:asciiTheme="minorEastAsia" w:hAnsiTheme="minorEastAsia" w:eastAsiaTheme="minorEastAsia"/>
          <w:b/>
          <w:bCs/>
          <w:color w:val="auto"/>
          <w:sz w:val="24"/>
          <w:szCs w:val="24"/>
          <w:highlight w:val="none"/>
          <w:u w:val="single"/>
        </w:rPr>
        <w:t xml:space="preserve">发布“最后报价要求函”及最后报价格式表，</w:t>
      </w:r>
      <w:r>
        <w:rPr>
          <w:rFonts w:asciiTheme="minorEastAsia" w:hAnsiTheme="minorEastAsia" w:eastAsiaTheme="minorEastAsia"/>
          <w:b/>
          <w:bCs/>
          <w:color w:val="auto"/>
          <w:sz w:val="24"/>
          <w:szCs w:val="24"/>
          <w:highlight w:val="none"/>
          <w:u w:val="single"/>
        </w:rPr>
        <w:t xml:space="preserve">要求所有实质性响应的供应商在规定时间内提交最后报价。</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heme="minorEastAsia" w:hAnsiTheme="minorEastAsia" w:eastAsiaTheme="minorEastAsia"/>
          <w:color w:val="auto"/>
          <w:sz w:val="24"/>
          <w:szCs w:val="24"/>
          <w:highlight w:val="none"/>
        </w:rPr>
        <w:t xml:space="preserve">已提交响应文件的供应商，在提交最后报价之前，可以根据磋商情况退出磋商</w:t>
      </w:r>
      <w:r>
        <w:rPr>
          <w:rFonts w:hint="eastAsia" w:asciiTheme="minorEastAsia" w:hAnsiTheme="minorEastAsia" w:eastAsiaTheme="minorEastAsia"/>
          <w:color w:val="auto"/>
          <w:sz w:val="24"/>
          <w:szCs w:val="24"/>
          <w:highlight w:val="none"/>
        </w:rPr>
        <w:t xml:space="preserve">，并在苏采云系统中提交“退出磋商函”并加盖CA电子公章</w:t>
      </w:r>
      <w:r>
        <w:rPr>
          <w:rFonts w:asciiTheme="minorEastAsia" w:hAnsiTheme="minorEastAsia" w:eastAsiaTheme="minorEastAsia"/>
          <w:color w:val="auto"/>
          <w:sz w:val="24"/>
          <w:szCs w:val="24"/>
          <w:highlight w:val="none"/>
        </w:rPr>
        <w:t xml:space="preserve">。</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 评审方法和评审标准</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27.2.2评审标准</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详见本磋商文件第五章规定。</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27.3采购活动终止的情况</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出现下列情形之一的，本次竞争性磋商采购活动将被终止：</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27.3.1因情况变化，不再符合规定的竞争性磋商采购方式适用情形的。</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27.3.2出现影响采购公正的违法、违规行为的。</w:t>
      </w:r>
      <w:r/>
    </w:p>
    <w:p>
      <w:pPr>
        <w:ind w:firstLine="480"/>
        <w:spacing w:line="360" w:lineRule="auto"/>
        <w:tabs>
          <w:tab w:val="left" w:pos="900" w:leader="none"/>
        </w:tabs>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360" w:lineRule="auto"/>
        <w:tabs>
          <w:tab w:val="left" w:pos="900" w:leader="none"/>
        </w:tabs>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27.3.4在</w:t>
      </w:r>
      <w:r>
        <w:rPr>
          <w:rFonts w:hint="eastAsia" w:asciiTheme="minorEastAsia" w:hAnsiTheme="minorEastAsia" w:eastAsiaTheme="minorEastAsia"/>
          <w:color w:val="auto"/>
          <w:sz w:val="24"/>
          <w:szCs w:val="24"/>
          <w:highlight w:val="none"/>
        </w:rPr>
        <w:t xml:space="preserve">苏采云系统</w:t>
      </w:r>
      <w:r>
        <w:rPr>
          <w:rFonts w:hint="eastAsia" w:cs="宋体" w:asciiTheme="minorEastAsia" w:hAnsiTheme="minorEastAsia" w:eastAsiaTheme="minorEastAsia"/>
          <w:color w:val="auto"/>
          <w:sz w:val="24"/>
          <w:szCs w:val="24"/>
          <w:highlight w:val="none"/>
        </w:rPr>
        <w:t xml:space="preserve">规定时间内成功解密电子响应文件的供应商不足3家的。</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155" w:name="_Toc513029235"/>
      <w:r/>
      <w:bookmarkStart w:id="156" w:name="_Toc16938551"/>
      <w:r/>
      <w:bookmarkStart w:id="157" w:name="_Toc120614219"/>
      <w:r/>
      <w:bookmarkStart w:id="158" w:name="_Toc20823307"/>
      <w:r>
        <w:rPr>
          <w:rFonts w:hint="eastAsia" w:asciiTheme="minorEastAsia" w:hAnsiTheme="minorEastAsia" w:eastAsiaTheme="minorEastAsia"/>
          <w:b/>
          <w:bCs/>
          <w:color w:val="auto"/>
          <w:sz w:val="32"/>
          <w:szCs w:val="32"/>
          <w:highlight w:val="none"/>
        </w:rPr>
        <w:t xml:space="preserve">六、</w:t>
      </w:r>
      <w:bookmarkEnd w:id="155"/>
      <w:r/>
      <w:bookmarkEnd w:id="156"/>
      <w:r/>
      <w:bookmarkEnd w:id="157"/>
      <w:r/>
      <w:bookmarkEnd w:id="158"/>
      <w:r>
        <w:rPr>
          <w:rFonts w:hint="eastAsia" w:asciiTheme="minorEastAsia" w:hAnsiTheme="minorEastAsia" w:eastAsiaTheme="minorEastAsia"/>
          <w:b/>
          <w:bCs/>
          <w:color w:val="auto"/>
          <w:sz w:val="32"/>
          <w:szCs w:val="32"/>
          <w:highlight w:val="none"/>
        </w:rPr>
        <w:t xml:space="preserve">成交</w:t>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bookmarkStart w:id="159" w:name="_Toc513029238"/>
      <w:r/>
      <w:bookmarkStart w:id="160" w:name="_Toc20823310"/>
      <w:r/>
      <w:bookmarkStart w:id="161" w:name="_Toc16938554"/>
      <w:r>
        <w:rPr>
          <w:rFonts w:hint="eastAsia" w:asciiTheme="minorEastAsia" w:hAnsiTheme="minorEastAsia" w:eastAsiaTheme="minorEastAsia"/>
          <w:bCs/>
          <w:color w:val="auto"/>
          <w:sz w:val="30"/>
          <w:szCs w:val="30"/>
          <w:highlight w:val="none"/>
        </w:rPr>
        <w:t xml:space="preserve">2</w:t>
      </w:r>
      <w:r>
        <w:rPr>
          <w:rFonts w:asciiTheme="minorEastAsia" w:hAnsiTheme="minorEastAsia" w:eastAsiaTheme="minorEastAsia"/>
          <w:bCs/>
          <w:color w:val="auto"/>
          <w:sz w:val="30"/>
          <w:szCs w:val="30"/>
          <w:highlight w:val="none"/>
        </w:rPr>
        <w:t xml:space="preserve">8</w:t>
      </w:r>
      <w:r>
        <w:rPr>
          <w:rFonts w:hint="eastAsia" w:asciiTheme="minorEastAsia" w:hAnsiTheme="minorEastAsia" w:eastAsiaTheme="minorEastAsia"/>
          <w:bCs/>
          <w:color w:val="auto"/>
          <w:sz w:val="30"/>
          <w:szCs w:val="30"/>
          <w:highlight w:val="none"/>
        </w:rPr>
        <w:t xml:space="preserve">、</w:t>
      </w:r>
      <w:bookmarkEnd w:id="159"/>
      <w:r>
        <w:rPr>
          <w:rFonts w:hint="eastAsia" w:asciiTheme="minorEastAsia" w:hAnsiTheme="minorEastAsia" w:eastAsiaTheme="minorEastAsia"/>
          <w:bCs/>
          <w:color w:val="auto"/>
          <w:sz w:val="30"/>
          <w:szCs w:val="30"/>
          <w:highlight w:val="none"/>
        </w:rPr>
        <w:t xml:space="preserve">确定</w:t>
      </w:r>
      <w:bookmarkEnd w:id="160"/>
      <w:r/>
      <w:bookmarkEnd w:id="161"/>
      <w:r>
        <w:rPr>
          <w:rFonts w:hint="eastAsia" w:asciiTheme="minorEastAsia" w:hAnsiTheme="minorEastAsia" w:eastAsiaTheme="minorEastAsia"/>
          <w:bCs/>
          <w:color w:val="auto"/>
          <w:sz w:val="30"/>
          <w:szCs w:val="30"/>
          <w:highlight w:val="none"/>
        </w:rPr>
        <w:t xml:space="preserve">成交单位</w:t>
      </w:r>
      <w:r/>
    </w:p>
    <w:p>
      <w:pPr>
        <w:ind w:firstLine="480"/>
        <w:spacing w:line="360" w:lineRule="auto"/>
        <w:tabs>
          <w:tab w:val="left" w:pos="90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8</w:t>
      </w:r>
      <w:r>
        <w:rPr>
          <w:rFonts w:hint="eastAsia" w:asciiTheme="minorEastAsia" w:hAnsiTheme="minorEastAsia" w:eastAsiaTheme="minorEastAsia"/>
          <w:bCs/>
          <w:color w:val="auto"/>
          <w:sz w:val="24"/>
          <w:highlight w:val="none"/>
        </w:rPr>
        <w:t xml:space="preserve">.1</w:t>
      </w:r>
      <w:r>
        <w:rPr>
          <w:rFonts w:hint="eastAsia" w:asciiTheme="minorEastAsia" w:hAnsiTheme="minorEastAsia" w:eastAsiaTheme="minorEastAsia"/>
          <w:color w:val="auto"/>
          <w:sz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tabs>
          <w:tab w:val="left" w:pos="90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360" w:lineRule="auto"/>
        <w:tabs>
          <w:tab w:val="left" w:pos="90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28.2采购人从评审报告提出的成交候选供应商中，按照排序由高到低的原则确定成交供应商。</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按以下第</w:t>
      </w:r>
      <w:r>
        <w:rPr>
          <w:rFonts w:hint="eastAsia" w:asciiTheme="minorEastAsia" w:hAnsiTheme="minorEastAsia" w:eastAsiaTheme="minorEastAsia"/>
          <w:bCs/>
          <w:color w:val="auto"/>
          <w:sz w:val="24"/>
          <w:highlight w:val="none"/>
          <w:u w:val="single"/>
          <w:lang w:val="zh-CN"/>
        </w:rPr>
        <w:t xml:space="preserve">（</w:t>
      </w:r>
      <w:r>
        <w:rPr>
          <w:rFonts w:asciiTheme="minorEastAsia" w:hAnsiTheme="minorEastAsia" w:eastAsiaTheme="minorEastAsia"/>
          <w:bCs/>
          <w:color w:val="auto"/>
          <w:sz w:val="24"/>
          <w:highlight w:val="none"/>
          <w:u w:val="single"/>
        </w:rPr>
        <w:t xml:space="preserve">2</w:t>
      </w:r>
      <w:r>
        <w:rPr>
          <w:rFonts w:hint="eastAsia" w:asciiTheme="minorEastAsia" w:hAnsiTheme="minorEastAsia" w:eastAsiaTheme="minorEastAsia"/>
          <w:bCs/>
          <w:color w:val="auto"/>
          <w:sz w:val="24"/>
          <w:highlight w:val="none"/>
          <w:u w:val="single"/>
          <w:lang w:val="zh-CN"/>
        </w:rPr>
        <w:t xml:space="preserve">）</w:t>
      </w:r>
      <w:r>
        <w:rPr>
          <w:rFonts w:hint="eastAsia" w:asciiTheme="minorEastAsia" w:hAnsiTheme="minorEastAsia" w:eastAsiaTheme="minorEastAsia"/>
          <w:bCs/>
          <w:color w:val="auto"/>
          <w:sz w:val="24"/>
          <w:highlight w:val="none"/>
          <w:lang w:val="zh-CN"/>
        </w:rPr>
        <w:t xml:space="preserve">种方式确定成交供应商</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（1）磋商小组直接确定排名第一的</w:t>
      </w:r>
      <w:r>
        <w:rPr>
          <w:rFonts w:hint="eastAsia" w:asciiTheme="minorEastAsia" w:hAnsiTheme="minorEastAsia" w:eastAsiaTheme="minorEastAsia"/>
          <w:bCs/>
          <w:color w:val="auto"/>
          <w:sz w:val="24"/>
          <w:highlight w:val="none"/>
        </w:rPr>
        <w:t xml:space="preserve">成交候选供应商</w:t>
      </w:r>
      <w:r>
        <w:rPr>
          <w:rFonts w:hint="eastAsia" w:asciiTheme="minorEastAsia" w:hAnsiTheme="minorEastAsia" w:eastAsiaTheme="minorEastAsia"/>
          <w:bCs/>
          <w:color w:val="auto"/>
          <w:sz w:val="24"/>
          <w:highlight w:val="none"/>
          <w:lang w:val="zh-CN"/>
        </w:rPr>
        <w:t xml:space="preserve">为成交供应商；</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（2）采购人</w:t>
      </w:r>
      <w:r>
        <w:rPr>
          <w:rFonts w:hint="eastAsia" w:asciiTheme="minorEastAsia" w:hAnsiTheme="minorEastAsia" w:eastAsiaTheme="minorEastAsia"/>
          <w:bCs/>
          <w:color w:val="auto"/>
          <w:sz w:val="24"/>
          <w:highlight w:val="none"/>
        </w:rPr>
        <w:t xml:space="preserve">从评审报告提出</w:t>
      </w:r>
      <w:r>
        <w:rPr>
          <w:rFonts w:hint="eastAsia" w:asciiTheme="minorEastAsia" w:hAnsiTheme="minorEastAsia" w:eastAsiaTheme="minorEastAsia"/>
          <w:bCs/>
          <w:color w:val="auto"/>
          <w:sz w:val="24"/>
          <w:highlight w:val="none"/>
          <w:lang w:val="zh-CN"/>
        </w:rPr>
        <w:t xml:space="preserve">的</w:t>
      </w:r>
      <w:r>
        <w:rPr>
          <w:rFonts w:hint="eastAsia" w:asciiTheme="minorEastAsia" w:hAnsiTheme="minorEastAsia" w:eastAsiaTheme="minorEastAsia"/>
          <w:bCs/>
          <w:color w:val="auto"/>
          <w:sz w:val="24"/>
          <w:highlight w:val="none"/>
        </w:rPr>
        <w:t xml:space="preserve">成交候选供应商</w:t>
      </w:r>
      <w:r>
        <w:rPr>
          <w:rFonts w:hint="eastAsia" w:asciiTheme="minorEastAsia" w:hAnsiTheme="minorEastAsia" w:eastAsiaTheme="minorEastAsia"/>
          <w:bCs/>
          <w:color w:val="auto"/>
          <w:sz w:val="24"/>
          <w:highlight w:val="none"/>
          <w:lang w:val="zh-CN"/>
        </w:rPr>
        <w:t xml:space="preserve">中按顺序确定成交供应商。</w:t>
      </w:r>
      <w:r/>
    </w:p>
    <w:p>
      <w:pPr>
        <w:ind w:firstLine="480"/>
        <w:spacing w:line="360" w:lineRule="auto"/>
        <w:tabs>
          <w:tab w:val="left" w:pos="90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val="zh-CN"/>
        </w:rPr>
        <w:t xml:space="preserve">按第</w:t>
      </w:r>
      <w:r>
        <w:rPr>
          <w:rFonts w:hint="eastAsia"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lang w:val="zh-CN"/>
        </w:rPr>
        <w:t xml:space="preserve">种方式确定成交供应商的，</w:t>
      </w:r>
      <w:r>
        <w:rPr>
          <w:rFonts w:hint="eastAsia" w:asciiTheme="minorEastAsia" w:hAnsiTheme="minorEastAsia" w:eastAsiaTheme="minorEastAsia"/>
          <w:bCs/>
          <w:color w:val="auto"/>
          <w:sz w:val="24"/>
          <w:highlight w:val="none"/>
        </w:rPr>
        <w:t xml:space="preserve">采购代理机构</w:t>
      </w:r>
      <w:r>
        <w:rPr>
          <w:rFonts w:hint="eastAsia" w:asciiTheme="minorEastAsia" w:hAnsiTheme="minorEastAsia" w:eastAsiaTheme="minorEastAsia"/>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heme="minorEastAsia" w:hAnsiTheme="minorEastAsia" w:eastAsiaTheme="minorEastAsia"/>
          <w:bCs/>
          <w:color w:val="auto"/>
          <w:sz w:val="24"/>
          <w:highlight w:val="none"/>
        </w:rPr>
        <w:t xml:space="preserve">成交候选供应商</w:t>
      </w:r>
      <w:r>
        <w:rPr>
          <w:rFonts w:hint="eastAsia" w:asciiTheme="minorEastAsia" w:hAnsiTheme="minorEastAsia" w:eastAsiaTheme="minorEastAsia"/>
          <w:bCs/>
          <w:color w:val="auto"/>
          <w:sz w:val="24"/>
          <w:highlight w:val="none"/>
          <w:lang w:val="zh-CN"/>
        </w:rPr>
        <w:t xml:space="preserve">中按顺序确定成交供应商。</w:t>
      </w:r>
      <w:r/>
    </w:p>
    <w:p>
      <w:pPr>
        <w:ind w:firstLine="480"/>
        <w:spacing w:line="360" w:lineRule="auto"/>
        <w:tabs>
          <w:tab w:val="left" w:pos="90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28.3成交供应商确定后，采购代理机构将在“江苏省政府采购网”发布成交结果公告，公告期限为1个工作日。</w:t>
      </w:r>
      <w:r/>
    </w:p>
    <w:p>
      <w:pPr>
        <w:ind w:firstLine="480"/>
        <w:spacing w:line="360" w:lineRule="auto"/>
        <w:tabs>
          <w:tab w:val="left" w:pos="90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28.4若有充分证据证明，成交供应商出现下列情况之一的，一经查实，将被取消成交资格：</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提供虚假材料谋取成交的。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28.4.2与评审专家、采购人、其他供应商或者</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bCs/>
          <w:color w:val="auto"/>
          <w:sz w:val="24"/>
          <w:highlight w:val="none"/>
        </w:rPr>
        <w:t xml:space="preserve">工作人员恶意串通的。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28.4.3向评审专家、采购人或</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bCs/>
          <w:color w:val="auto"/>
          <w:sz w:val="24"/>
          <w:highlight w:val="none"/>
        </w:rPr>
        <w:t xml:space="preserve">工作人员行贿或者提供其他不正当利益的。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28.4.4恶意竞争，最后报价明显低于其自身合理成本且又无法提供证明的。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28.4.5不满足本磋商文件规定的实质性要求，但在评审过程中又未被磋商小组发现的。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28.4.6成交后无正当理由拒不与采购人签订政府采购合同或者未按照磋商文件确定的事项签订政府采购合同的。</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28.4.7将政府采购合同转包的。</w:t>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bookmarkStart w:id="162" w:name="_Toc200451960"/>
      <w:r>
        <w:rPr>
          <w:rFonts w:asciiTheme="minorEastAsia" w:hAnsiTheme="minorEastAsia" w:eastAsiaTheme="minorEastAsia"/>
          <w:bCs/>
          <w:color w:val="auto"/>
          <w:sz w:val="30"/>
          <w:szCs w:val="30"/>
          <w:highlight w:val="none"/>
        </w:rPr>
        <w:t xml:space="preserve">29</w:t>
      </w:r>
      <w:r>
        <w:rPr>
          <w:rFonts w:hint="eastAsia" w:asciiTheme="minorEastAsia" w:hAnsiTheme="minorEastAsia" w:eastAsiaTheme="minorEastAsia"/>
          <w:bCs/>
          <w:color w:val="auto"/>
          <w:sz w:val="30"/>
          <w:szCs w:val="30"/>
          <w:highlight w:val="none"/>
        </w:rPr>
        <w:t xml:space="preserve">、质疑处理</w:t>
      </w:r>
      <w:bookmarkEnd w:id="162"/>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29.1 提出质疑</w:t>
      </w:r>
      <w:r>
        <w:rPr>
          <w:rFonts w:hint="eastAsia" w:asciiTheme="minorEastAsia" w:hAnsiTheme="minorEastAsia" w:eastAsiaTheme="minorEastAsia"/>
          <w:color w:val="auto"/>
          <w:sz w:val="24"/>
          <w:szCs w:val="24"/>
          <w:highlight w:val="none"/>
        </w:rPr>
        <w:t xml:space="preserve">的供应商应当是参与所质疑项目采购活动的供应商。潜在供应商依法获取其可质疑的采购文件的，可以对采购文件提出质疑。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cs="宋体"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.2.1</w:t>
      </w:r>
      <w:r>
        <w:rPr>
          <w:rFonts w:cs="宋体" w:asciiTheme="minorEastAsia" w:hAnsiTheme="minorEastAsia" w:eastAsiaTheme="minorEastAsia"/>
          <w:color w:val="auto"/>
          <w:sz w:val="24"/>
          <w:szCs w:val="24"/>
          <w:highlight w:val="none"/>
        </w:rPr>
        <w:t xml:space="preserve">对可以质疑的采购文件提出质疑的，为收到采购文件之日或者采购文件公告期限届满之日</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rPr>
          <w:rFonts w:hint="eastAsia" w:cs="宋体"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.2.2</w:t>
      </w:r>
      <w:r>
        <w:rPr>
          <w:rFonts w:cs="宋体" w:asciiTheme="minorEastAsia" w:hAnsiTheme="minorEastAsia" w:eastAsiaTheme="minorEastAsia"/>
          <w:color w:val="auto"/>
          <w:sz w:val="24"/>
          <w:szCs w:val="24"/>
          <w:highlight w:val="none"/>
        </w:rPr>
        <w:t xml:space="preserve">对采购过程提出质疑的，为各采购程序环节结束之日</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rPr>
          <w:rFonts w:hint="eastAsia" w:cs="宋体"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.2.3</w:t>
      </w:r>
      <w:r>
        <w:rPr>
          <w:rFonts w:cs="宋体" w:asciiTheme="minorEastAsia" w:hAnsiTheme="minorEastAsia" w:eastAsiaTheme="minorEastAsia"/>
          <w:color w:val="auto"/>
          <w:sz w:val="24"/>
          <w:szCs w:val="24"/>
          <w:highlight w:val="none"/>
        </w:rPr>
        <w:t xml:space="preserve">对成交结果提出质疑的，为成交结果公告期限届满之日。</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auto"/>
          <w:sz w:val="24"/>
          <w:highlight w:val="none"/>
        </w:rPr>
        <w:t xml:space="preserve">采购代理机构</w:t>
      </w:r>
      <w:r>
        <w:rPr>
          <w:rFonts w:hint="eastAsia" w:cs="宋体" w:asciiTheme="minorEastAsia" w:hAnsiTheme="minorEastAsia" w:eastAsiaTheme="minorEastAsia"/>
          <w:color w:val="auto"/>
          <w:sz w:val="24"/>
          <w:szCs w:val="24"/>
          <w:highlight w:val="none"/>
        </w:rPr>
        <w:t xml:space="preserve">、</w:t>
      </w:r>
      <w:r>
        <w:rPr>
          <w:rFonts w:cs="宋体" w:asciiTheme="minorEastAsia" w:hAnsiTheme="minorEastAsia" w:eastAsiaTheme="minorEastAsia"/>
          <w:color w:val="auto"/>
          <w:sz w:val="24"/>
          <w:szCs w:val="24"/>
          <w:highlight w:val="none"/>
        </w:rPr>
        <w:t xml:space="preserve">采购人</w:t>
      </w:r>
      <w:r>
        <w:rPr>
          <w:rFonts w:hint="eastAsia" w:cs="宋体" w:asciiTheme="minorEastAsia" w:hAnsiTheme="minorEastAsia" w:eastAsiaTheme="minorEastAsia"/>
          <w:color w:val="auto"/>
          <w:sz w:val="24"/>
          <w:szCs w:val="24"/>
          <w:highlight w:val="none"/>
        </w:rPr>
        <w:t xml:space="preserve">将只对供应商的第一次质疑作出答复。</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3质疑函必须按照本磋商文件中《质疑函范本》要求的格式和内容进行填写。供应商如组成联合体参加磋商，则《质疑函范本》中要求签字、盖章、加盖电子公章之处，联合体各方均须按要求签字、盖章、加盖电子公章。</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29.4 供应商</w:t>
      </w:r>
      <w:r>
        <w:rPr>
          <w:rFonts w:hint="eastAsia" w:asciiTheme="minorEastAsia" w:hAnsiTheme="minorEastAsia" w:eastAsiaTheme="minorEastAsia"/>
          <w:color w:val="auto"/>
          <w:sz w:val="24"/>
          <w:szCs w:val="24"/>
          <w:highlight w:val="none"/>
        </w:rPr>
        <w:t xml:space="preserve">应以书面形式向采购人或者其委托的采购代理机构提出质疑。质疑超出采购机构代理范围的，供应商应当向采购人提出。</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接收质疑函的方式：现场接收或邮寄接收。</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联系部门：江苏苏豪创新科技集团高科有限公司</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联系电话：</w:t>
      </w:r>
      <w:r>
        <w:rPr>
          <w:rFonts w:asciiTheme="minorEastAsia" w:hAnsiTheme="minorEastAsia" w:eastAsiaTheme="minorEastAsia"/>
          <w:b/>
          <w:bCs/>
          <w:color w:val="auto"/>
          <w:sz w:val="24"/>
          <w:szCs w:val="24"/>
          <w:highlight w:val="none"/>
        </w:rPr>
        <w:t xml:space="preserve">025-52874082/025-52875975</w:t>
      </w:r>
      <w:r/>
    </w:p>
    <w:p>
      <w:pPr>
        <w:ind w:firstLine="482"/>
        <w:spacing w:line="360" w:lineRule="auto"/>
        <w:rPr>
          <w:rFonts w:hint="eastAsia" w:asciiTheme="minorEastAsia" w:hAnsiTheme="minorEastAsia" w:eastAsiaTheme="minorEastAsia"/>
          <w:b/>
          <w:bCs/>
          <w:color w:val="auto"/>
          <w:sz w:val="24"/>
          <w:szCs w:val="24"/>
          <w:highlight w:val="none"/>
          <w:u w:val="single"/>
        </w:rPr>
      </w:pPr>
      <w:r>
        <w:rPr>
          <w:rFonts w:hint="eastAsia" w:asciiTheme="minorEastAsia" w:hAnsiTheme="minorEastAsia" w:eastAsiaTheme="minorEastAsia"/>
          <w:b/>
          <w:bCs/>
          <w:color w:val="auto"/>
          <w:sz w:val="24"/>
          <w:szCs w:val="24"/>
          <w:highlight w:val="none"/>
        </w:rPr>
        <w:t xml:space="preserve">通讯地址：南京市雨花台区软件大道21号C座617室</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.5 以下情形的质疑不予受理</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29.5.1 内容</w:t>
      </w:r>
      <w:r>
        <w:rPr>
          <w:rFonts w:hint="eastAsia" w:asciiTheme="minorEastAsia" w:hAnsiTheme="minorEastAsia" w:eastAsiaTheme="minorEastAsia"/>
          <w:color w:val="auto"/>
          <w:sz w:val="24"/>
          <w:szCs w:val="24"/>
          <w:highlight w:val="none"/>
        </w:rPr>
        <w:t xml:space="preserve">不符合《政府采购质疑和投诉办法》第十二条规定的质疑。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29.5.2 超出</w:t>
      </w:r>
      <w:r>
        <w:rPr>
          <w:rFonts w:hint="eastAsia" w:asciiTheme="minorEastAsia" w:hAnsiTheme="minorEastAsia" w:eastAsiaTheme="minorEastAsia"/>
          <w:color w:val="auto"/>
          <w:sz w:val="24"/>
          <w:szCs w:val="24"/>
          <w:highlight w:val="none"/>
        </w:rPr>
        <w:t xml:space="preserve">政府采购法定期限的质疑。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29.5.3 以</w:t>
      </w:r>
      <w:r>
        <w:rPr>
          <w:rFonts w:hint="eastAsia" w:asciiTheme="minorEastAsia" w:hAnsiTheme="minorEastAsia" w:eastAsiaTheme="minorEastAsia"/>
          <w:color w:val="auto"/>
          <w:sz w:val="24"/>
          <w:szCs w:val="24"/>
          <w:highlight w:val="none"/>
        </w:rPr>
        <w:t xml:space="preserve">传真、电子邮件等方式递交的非原件形式的质疑。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29.5.4 未</w:t>
      </w:r>
      <w:r>
        <w:rPr>
          <w:rFonts w:hint="eastAsia" w:asciiTheme="minorEastAsia" w:hAnsiTheme="minorEastAsia" w:eastAsiaTheme="minorEastAsia"/>
          <w:color w:val="auto"/>
          <w:sz w:val="24"/>
          <w:szCs w:val="24"/>
          <w:highlight w:val="none"/>
        </w:rPr>
        <w:t xml:space="preserve">参加磋商活动的供应商或在磋商活动中自身权益未受到损害的供应商所提出的质疑。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w:t>
      </w:r>
      <w:r>
        <w:rPr>
          <w:rFonts w:hint="eastAsia" w:asciiTheme="minorEastAsia" w:hAnsiTheme="minorEastAsia" w:eastAsiaTheme="minorEastAsia"/>
          <w:color w:val="auto"/>
          <w:sz w:val="24"/>
          <w:szCs w:val="24"/>
          <w:highlight w:val="none"/>
        </w:rPr>
        <w:t xml:space="preserve">.5.5供应商组成联合体参加磋商，联合体中任何一方或多方未按要求签字、盖章、加盖电子公章的质疑。</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29.6  供应商</w:t>
      </w:r>
      <w:r>
        <w:rPr>
          <w:rFonts w:hint="eastAsia" w:asciiTheme="minorEastAsia" w:hAnsiTheme="minorEastAsia" w:eastAsiaTheme="minorEastAsia"/>
          <w:color w:val="auto"/>
          <w:sz w:val="24"/>
          <w:szCs w:val="24"/>
          <w:highlight w:val="none"/>
        </w:rPr>
        <w:t xml:space="preserve">提出书面质疑必须有理、有据，不得捏造事实、提供虚假材料进行恶意质疑。否则，一经查实，</w:t>
      </w:r>
      <w:r>
        <w:rPr>
          <w:rFonts w:hint="eastAsia" w:asciiTheme="minorEastAsia" w:hAnsiTheme="minorEastAsia" w:eastAsiaTheme="minorEastAsia"/>
          <w:color w:val="auto"/>
          <w:sz w:val="24"/>
          <w:highlight w:val="none"/>
        </w:rPr>
        <w:t xml:space="preserve">采购代理机构</w:t>
      </w:r>
      <w:r>
        <w:rPr>
          <w:rFonts w:hint="eastAsia" w:asciiTheme="minorEastAsia" w:hAnsiTheme="minorEastAsia" w:eastAsiaTheme="minorEastAsia"/>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29.7</w:t>
      </w:r>
      <w:r>
        <w:rPr>
          <w:rFonts w:hint="eastAsia" w:asciiTheme="minorEastAsia" w:hAnsiTheme="minorEastAsia" w:eastAsiaTheme="minor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rPr>
          <w:rFonts w:hint="eastAsia" w:asciiTheme="minorEastAsia" w:hAnsiTheme="minorEastAsia" w:eastAsiaTheme="minorEastAsia"/>
          <w:bCs/>
          <w:color w:val="auto"/>
          <w:sz w:val="30"/>
          <w:szCs w:val="30"/>
          <w:highlight w:val="none"/>
        </w:rPr>
        <w:t xml:space="preserve">3</w:t>
      </w:r>
      <w:r>
        <w:rPr>
          <w:rFonts w:asciiTheme="minorEastAsia" w:hAnsiTheme="minorEastAsia" w:eastAsiaTheme="minorEastAsia"/>
          <w:bCs/>
          <w:color w:val="auto"/>
          <w:sz w:val="30"/>
          <w:szCs w:val="30"/>
          <w:highlight w:val="none"/>
        </w:rPr>
        <w:t xml:space="preserve">0</w:t>
      </w:r>
      <w:r>
        <w:rPr>
          <w:rFonts w:hint="eastAsia" w:asciiTheme="minorEastAsia" w:hAnsiTheme="minorEastAsia" w:eastAsiaTheme="minorEastAsia"/>
          <w:bCs/>
          <w:color w:val="auto"/>
          <w:sz w:val="30"/>
          <w:szCs w:val="30"/>
          <w:highlight w:val="none"/>
        </w:rPr>
        <w:t xml:space="preserve">、成交通知书</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0</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0</w:t>
      </w:r>
      <w:r>
        <w:rPr>
          <w:rFonts w:hint="eastAsia" w:asciiTheme="minorEastAsia" w:hAnsiTheme="minorEastAsia" w:eastAsiaTheme="minorEastAsia"/>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360" w:lineRule="auto"/>
        <w:rPr>
          <w:rFonts w:hint="eastAsia" w:asciiTheme="minorEastAsia" w:hAnsiTheme="minorEastAsia" w:eastAsiaTheme="minorEastAsia"/>
          <w:b/>
          <w:bCs/>
          <w:color w:val="auto"/>
          <w:sz w:val="32"/>
          <w:szCs w:val="32"/>
          <w:highlight w:val="none"/>
        </w:rPr>
        <w:outlineLvl w:val="2"/>
      </w:pPr>
      <w:r/>
      <w:bookmarkStart w:id="163" w:name="_Toc20823308"/>
      <w:r/>
      <w:bookmarkStart w:id="164" w:name="_Toc16938552"/>
      <w:r/>
      <w:bookmarkStart w:id="165" w:name="_Toc120614220"/>
      <w:r/>
      <w:bookmarkStart w:id="166" w:name="_Toc513029236"/>
      <w:r>
        <w:rPr>
          <w:rFonts w:hint="eastAsia" w:asciiTheme="minorEastAsia" w:hAnsiTheme="minorEastAsia" w:eastAsiaTheme="minorEastAsia"/>
          <w:b/>
          <w:bCs/>
          <w:color w:val="auto"/>
          <w:sz w:val="32"/>
          <w:szCs w:val="32"/>
          <w:highlight w:val="none"/>
        </w:rPr>
        <w:t xml:space="preserve">七、授予合同</w:t>
      </w:r>
      <w:bookmarkEnd w:id="163"/>
      <w:r/>
      <w:bookmarkEnd w:id="164"/>
      <w:r/>
      <w:bookmarkEnd w:id="165"/>
      <w:r/>
      <w:bookmarkEnd w:id="166"/>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bookmarkStart w:id="167" w:name="_Toc16938553"/>
      <w:r/>
      <w:bookmarkStart w:id="168" w:name="_Toc20823309"/>
      <w:r/>
      <w:bookmarkStart w:id="169" w:name="_Toc513029237"/>
      <w:r>
        <w:rPr>
          <w:rFonts w:hint="eastAsia" w:asciiTheme="minorEastAsia" w:hAnsiTheme="minorEastAsia" w:eastAsiaTheme="minorEastAsia"/>
          <w:bCs/>
          <w:color w:val="auto"/>
          <w:sz w:val="30"/>
          <w:szCs w:val="30"/>
          <w:highlight w:val="none"/>
        </w:rPr>
        <w:t xml:space="preserve">31. 签订合同</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 xml:space="preserve">31.</w:t>
      </w:r>
      <w:r>
        <w:rPr>
          <w:rFonts w:hint="eastAsia" w:asciiTheme="minorEastAsia" w:hAnsiTheme="minorEastAsia" w:eastAsiaTheme="minorEastAsia"/>
          <w:color w:val="auto"/>
          <w:sz w:val="24"/>
          <w:szCs w:val="24"/>
          <w:highlight w:val="none"/>
        </w:rPr>
        <w:t xml:space="preserve">l成交供应商应当在成交通知书发出之日起1</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日内，按照磋商文件确定的事项与采购人签订政府采购合同。</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31.2磋商文件、成交供应商的响应文件及磋商过程中有关澄清、承诺文件均应作为合同附件。</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31.4本项目的非主体性、非关键性工作是否允许分包按以下第</w:t>
      </w:r>
      <w:r>
        <w:rPr>
          <w:rFonts w:asciiTheme="minorEastAsia" w:hAnsiTheme="minorEastAsia" w:eastAsiaTheme="minorEastAsia"/>
          <w:color w:val="auto"/>
          <w:sz w:val="24"/>
          <w:szCs w:val="24"/>
          <w:highlight w:val="none"/>
          <w:u w:val="single"/>
        </w:rPr>
        <w:t xml:space="preserve">2</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种方式确定：</w:t>
      </w:r>
      <w:r/>
    </w:p>
    <w:p>
      <w:pPr>
        <w:ind w:firstLine="480"/>
        <w:spacing w:line="360" w:lineRule="auto"/>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1.允许分包，允许大中型企业向一家或者多家小微企业分包，分包具体内容、金额或比例：</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31.5履约保证金</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按照以下第 1</w:t>
      </w:r>
      <w:r>
        <w:rPr>
          <w:rFonts w:hint="eastAsia" w:asciiTheme="minorEastAsia" w:hAnsiTheme="minorEastAsia" w:eastAsiaTheme="minorEastAsia"/>
          <w:bCs/>
          <w:color w:val="auto"/>
          <w:sz w:val="24"/>
          <w:highlight w:val="none"/>
          <w:u w:val="single"/>
        </w:rPr>
        <w:t xml:space="preserve"> 方式</w:t>
      </w:r>
      <w:r>
        <w:rPr>
          <w:rFonts w:hint="eastAsia" w:asciiTheme="minorEastAsia" w:hAnsiTheme="minorEastAsia" w:eastAsiaTheme="minorEastAsia"/>
          <w:bCs/>
          <w:color w:val="auto"/>
          <w:sz w:val="24"/>
          <w:highlight w:val="none"/>
          <w:lang w:val="zh-CN"/>
        </w:rPr>
        <w:t xml:space="preserve">确定履约保证收取方式。</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(1)不收取履约保证金。</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(2)履约保证金应在采购合同签订前提交，履约保证金的金额  待定</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lang w:val="zh-CN"/>
        </w:rPr>
        <w:t xml:space="preserve">：按采购合同总价的   %计取。除银行电汇、网上银行、数字人民币外，供应商还可选用银行保函、担保公司的保证担保或保险公司的保证保险等多种形式向采购人缴纳；</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履约保证金退还的条件：按以下第a种方式实行：</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a、货物类项目，项目验收合格，出具验收报告及履约保证金收据申请退付；</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b、服务类项目，项目履约期满评价合格，出具履约评价报告及履约保证金收据申请退付；</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c、工程类项目，项目完工验收合格，出具完工证明及履约保证金收据申请退付；</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履约保证金退还时间：履约完成，采购单位收到供应商退付申请后20个工作日内退还；</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rPr>
          <w:rFonts w:hint="eastAsia" w:asciiTheme="minorEastAsia" w:hAnsiTheme="minorEastAsia" w:eastAsiaTheme="minorEastAsia"/>
          <w:bCs/>
          <w:color w:val="auto"/>
          <w:sz w:val="30"/>
          <w:szCs w:val="30"/>
          <w:highlight w:val="none"/>
        </w:rPr>
        <w:t xml:space="preserve">32、标的物的追加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67"/>
      <w:r/>
      <w:bookmarkEnd w:id="168"/>
      <w:r/>
      <w:bookmarkEnd w:id="169"/>
      <w:r/>
      <w:r/>
    </w:p>
    <w:p>
      <w:pPr>
        <w:ind w:firstLine="600"/>
        <w:keepLines/>
        <w:keepNext/>
        <w:spacing w:line="360" w:lineRule="auto"/>
        <w:rPr>
          <w:rFonts w:hint="eastAsia" w:asciiTheme="minorEastAsia" w:hAnsiTheme="minorEastAsia" w:eastAsiaTheme="minorEastAsia"/>
          <w:bCs/>
          <w:color w:val="auto"/>
          <w:sz w:val="30"/>
          <w:szCs w:val="30"/>
          <w:highlight w:val="none"/>
        </w:rPr>
        <w:outlineLvl w:val="3"/>
      </w:pPr>
      <w:r>
        <w:rPr>
          <w:rFonts w:hint="eastAsia" w:asciiTheme="minorEastAsia" w:hAnsiTheme="minorEastAsia" w:eastAsiaTheme="minorEastAsia"/>
          <w:bCs/>
          <w:color w:val="auto"/>
          <w:sz w:val="30"/>
          <w:szCs w:val="30"/>
          <w:highlight w:val="none"/>
        </w:rPr>
        <w:t xml:space="preserve">3</w:t>
      </w:r>
      <w:r>
        <w:rPr>
          <w:rFonts w:asciiTheme="minorEastAsia" w:hAnsiTheme="minorEastAsia" w:eastAsiaTheme="minorEastAsia"/>
          <w:bCs/>
          <w:color w:val="auto"/>
          <w:sz w:val="30"/>
          <w:szCs w:val="30"/>
          <w:highlight w:val="none"/>
        </w:rPr>
        <w:t xml:space="preserve">3</w:t>
      </w:r>
      <w:r>
        <w:rPr>
          <w:rFonts w:hint="eastAsia" w:asciiTheme="minorEastAsia" w:hAnsiTheme="minorEastAsia" w:eastAsiaTheme="minorEastAsia"/>
          <w:bCs/>
          <w:color w:val="auto"/>
          <w:sz w:val="30"/>
          <w:szCs w:val="30"/>
          <w:highlight w:val="none"/>
        </w:rPr>
        <w:t xml:space="preserve">、政府采购履约资金扶持政策</w:t>
      </w:r>
      <w:r/>
    </w:p>
    <w:p>
      <w:pPr>
        <w:ind w:firstLine="48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bCs/>
          <w:color w:val="auto"/>
          <w:sz w:val="24"/>
          <w:highlight w:val="none"/>
        </w:rPr>
        <w:t xml:space="preserve">33.1依</w:t>
      </w:r>
      <w:r>
        <w:rPr>
          <w:rFonts w:hint="eastAsia" w:asciiTheme="minorEastAsia" w:hAnsiTheme="minorEastAsia" w:eastAsiaTheme="minor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98"/>
        <w:ind w:firstLine="482"/>
        <w:spacing w:before="0" w:after="0"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、验收及付款</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4.1</w:t>
      </w:r>
      <w:r>
        <w:rPr>
          <w:rFonts w:hint="eastAsia" w:asciiTheme="minorEastAsia" w:hAnsiTheme="minorEastAsia" w:eastAsiaTheme="minorEastAsia"/>
          <w:bCs/>
          <w:color w:val="auto"/>
          <w:sz w:val="24"/>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480"/>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4.3</w:t>
      </w:r>
      <w:r>
        <w:rPr>
          <w:rFonts w:hint="eastAsia" w:asciiTheme="minorEastAsia" w:hAnsiTheme="minorEastAsia" w:eastAsiaTheme="minorEastAsia"/>
          <w:bCs/>
          <w:color w:val="auto"/>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360" w:lineRule="auto"/>
        <w:rPr>
          <w:rFonts w:hint="eastAsia"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4</w:t>
      </w:r>
      <w:r>
        <w:rPr>
          <w:rFonts w:hint="eastAsia" w:asciiTheme="minorEastAsia" w:hAnsiTheme="minorEastAsia" w:eastAsiaTheme="minorEastAsia"/>
          <w:bCs/>
          <w:color w:val="auto"/>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600"/>
        <w:spacing w:line="480" w:lineRule="exact"/>
        <w:rPr>
          <w:rFonts w:hint="eastAsia" w:ascii="宋体" w:hAnsi="宋体"/>
          <w:color w:val="auto"/>
          <w:sz w:val="24"/>
          <w:szCs w:val="24"/>
          <w:highlight w:val="none"/>
        </w:rPr>
      </w:pPr>
      <w:r>
        <w:rPr>
          <w:color w:val="auto"/>
          <w:highlight w:val="none"/>
        </w:rPr>
        <w:br w:type="page" w:clear="all"/>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bookmarkEnd w:id="44"/>
      <w:bookmarkEnd w:id="45"/>
      <w:bookmarkEnd w:id="46"/>
      <w:bookmarkEnd w:id="47"/>
      <w:bookmarkEnd w:id="48"/>
      <w:r/>
    </w:p>
    <w:p>
      <w:pPr>
        <w:pStyle w:val="740"/>
        <w:ind w:firstLine="2640"/>
        <w:jc w:val="both"/>
        <w:rPr>
          <w:rFonts w:ascii="黑体" w:eastAsia="黑体"/>
          <w:bCs/>
          <w:color w:val="auto"/>
          <w:sz w:val="44"/>
          <w:highlight w:val="none"/>
        </w:rPr>
      </w:pPr>
      <w:r/>
      <w:bookmarkStart w:id="170" w:name="_Hlt16619350"/>
      <w:r/>
      <w:bookmarkStart w:id="171" w:name="_Toc16938590"/>
      <w:r/>
      <w:bookmarkStart w:id="172" w:name="_Toc20823346"/>
      <w:r/>
      <w:bookmarkStart w:id="173" w:name="_Toc120614244"/>
      <w:r/>
      <w:bookmarkStart w:id="174" w:name="_Toc462564139"/>
      <w:r/>
      <w:bookmarkStart w:id="175" w:name="_Toc479757211"/>
      <w:r>
        <w:rPr>
          <w:rFonts w:hint="eastAsia" w:ascii="黑体" w:eastAsia="黑体"/>
          <w:bCs/>
          <w:color w:val="auto"/>
          <w:sz w:val="44"/>
          <w:highlight w:val="none"/>
        </w:rPr>
        <w:t xml:space="preserve">第三章  合同文本</w:t>
      </w:r>
      <w:r/>
    </w:p>
    <w:p>
      <w:pPr>
        <w:ind w:firstLine="480"/>
        <w:spacing w:line="50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以下为中标后签定本项目合同的通用条款，中标人不得提出实质性的修改，关于专用条款将由采购人与中标人结合本项目具体情况协商后签订。</w:t>
      </w:r>
      <w:r/>
    </w:p>
    <w:p>
      <w:pPr>
        <w:jc w:val="center"/>
        <w:spacing w:before="145" w:after="145"/>
        <w:rPr>
          <w:rFonts w:hint="eastAsia" w:ascii="宋体" w:hAnsi="宋体"/>
          <w:b/>
          <w:bCs/>
          <w:color w:val="auto"/>
          <w:sz w:val="30"/>
          <w:szCs w:val="20"/>
          <w:highlight w:val="none"/>
        </w:rPr>
        <w:outlineLvl w:val="0"/>
      </w:pPr>
      <w:r>
        <w:rPr>
          <w:rFonts w:hint="eastAsia" w:ascii="宋体" w:hAnsi="宋体"/>
          <w:b/>
          <w:color w:val="auto"/>
          <w:sz w:val="30"/>
          <w:szCs w:val="22"/>
          <w:highlight w:val="none"/>
        </w:rPr>
        <w:t xml:space="preserve">江苏省政府采购合同（货物）（合同编号）</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项目名称：</w:t>
      </w:r>
      <w:r>
        <w:rPr>
          <w:rFonts w:eastAsia="Times New Roman"/>
          <w:color w:val="auto"/>
          <w:sz w:val="24"/>
          <w:szCs w:val="22"/>
          <w:highlight w:val="none"/>
        </w:rPr>
        <w:t xml:space="preserve">_____</w:t>
      </w:r>
      <w:r>
        <w:rPr>
          <w:rFonts w:eastAsia="Times New Roman"/>
          <w:color w:val="auto"/>
          <w:sz w:val="24"/>
          <w:szCs w:val="22"/>
          <w:highlight w:val="none"/>
          <w:u w:val="single"/>
        </w:rPr>
        <w:t xml:space="preserve">   </w:t>
      </w:r>
      <w:r>
        <w:rPr>
          <w:rFonts w:eastAsia="Times New Roman"/>
          <w:color w:val="auto"/>
          <w:sz w:val="24"/>
          <w:szCs w:val="22"/>
          <w:highlight w:val="none"/>
        </w:rPr>
        <w:t xml:space="preserve">_                                       </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项目编号：</w:t>
      </w:r>
      <w:r>
        <w:rPr>
          <w:rFonts w:eastAsia="Times New Roman"/>
          <w:color w:val="auto"/>
          <w:sz w:val="24"/>
          <w:szCs w:val="22"/>
          <w:highlight w:val="none"/>
        </w:rPr>
        <w:t xml:space="preserve">_____</w:t>
      </w:r>
      <w:r>
        <w:rPr>
          <w:rFonts w:eastAsia="Times New Roman"/>
          <w:color w:val="auto"/>
          <w:sz w:val="24"/>
          <w:szCs w:val="22"/>
          <w:highlight w:val="none"/>
          <w:u w:val="single"/>
        </w:rPr>
        <w:t xml:space="preserve">   </w:t>
      </w:r>
      <w:r>
        <w:rPr>
          <w:rFonts w:eastAsia="Times New Roman"/>
          <w:color w:val="auto"/>
          <w:sz w:val="24"/>
          <w:szCs w:val="22"/>
          <w:highlight w:val="none"/>
        </w:rPr>
        <w:t xml:space="preserve">_</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甲方：（买方）</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乙方：（卖方）</w:t>
      </w:r>
      <w:r>
        <w:rPr>
          <w:rFonts w:eastAsia="Times New Roman"/>
          <w:color w:val="auto"/>
          <w:sz w:val="24"/>
          <w:szCs w:val="22"/>
          <w:highlight w:val="none"/>
        </w:rPr>
        <w:t xml:space="preserve">_________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甲、乙双方根据</w:t>
      </w:r>
      <w:r>
        <w:rPr>
          <w:rFonts w:hint="eastAsia" w:ascii="宋体" w:hAnsi="宋体"/>
          <w:color w:val="auto"/>
          <w:sz w:val="24"/>
          <w:szCs w:val="24"/>
          <w:highlight w:val="none"/>
          <w:u w:val="single"/>
        </w:rPr>
        <w:t xml:space="preserve">（项目名称）</w:t>
      </w:r>
      <w:r>
        <w:rPr>
          <w:rFonts w:ascii="宋体" w:hAnsi="宋体" w:cs="宋体"/>
          <w:color w:val="auto"/>
          <w:sz w:val="24"/>
          <w:szCs w:val="22"/>
          <w:highlight w:val="none"/>
        </w:rPr>
        <w:t xml:space="preserve">公开招标的结果，签署本合同。</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一、合同内容</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 </w:t>
      </w:r>
      <w:r>
        <w:rPr>
          <w:rFonts w:ascii="宋体" w:hAnsi="宋体" w:cs="宋体"/>
          <w:color w:val="auto"/>
          <w:sz w:val="24"/>
          <w:szCs w:val="22"/>
          <w:highlight w:val="none"/>
        </w:rPr>
        <w:t xml:space="preserve">标的名称：</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 </w:t>
      </w:r>
      <w:r>
        <w:rPr>
          <w:rFonts w:ascii="宋体" w:hAnsi="宋体" w:cs="宋体"/>
          <w:color w:val="auto"/>
          <w:sz w:val="24"/>
          <w:szCs w:val="22"/>
          <w:highlight w:val="none"/>
        </w:rPr>
        <w:t xml:space="preserve">标的质量：</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 </w:t>
      </w:r>
      <w:r>
        <w:rPr>
          <w:rFonts w:ascii="宋体" w:hAnsi="宋体" w:cs="宋体"/>
          <w:color w:val="auto"/>
          <w:sz w:val="24"/>
          <w:szCs w:val="22"/>
          <w:highlight w:val="none"/>
        </w:rPr>
        <w:t xml:space="preserve">标的数量（规模）：</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1.4 </w:t>
      </w:r>
      <w:r>
        <w:rPr>
          <w:rFonts w:ascii="宋体" w:hAnsi="宋体" w:cs="宋体"/>
          <w:color w:val="auto"/>
          <w:sz w:val="24"/>
          <w:szCs w:val="22"/>
          <w:highlight w:val="none"/>
        </w:rPr>
        <w:t xml:space="preserve">履行时间（期限）：</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1.5 </w:t>
      </w:r>
      <w:r>
        <w:rPr>
          <w:rFonts w:ascii="宋体" w:hAnsi="宋体" w:cs="宋体"/>
          <w:color w:val="auto"/>
          <w:sz w:val="24"/>
          <w:szCs w:val="22"/>
          <w:highlight w:val="none"/>
        </w:rPr>
        <w:t xml:space="preserve">履行地点：</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1.6 </w:t>
      </w:r>
      <w:r>
        <w:rPr>
          <w:rFonts w:ascii="宋体" w:hAnsi="宋体" w:cs="宋体"/>
          <w:color w:val="auto"/>
          <w:sz w:val="24"/>
          <w:szCs w:val="22"/>
          <w:highlight w:val="none"/>
        </w:rPr>
        <w:t xml:space="preserve">履行方式：</w:t>
      </w:r>
      <w:r>
        <w:rPr>
          <w:rFonts w:eastAsia="Times New Roman"/>
          <w:color w:val="auto"/>
          <w:sz w:val="24"/>
          <w:szCs w:val="22"/>
          <w:highlight w:val="none"/>
        </w:rPr>
        <w:t xml:space="preserve">______</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1.7 </w:t>
      </w:r>
      <w:r>
        <w:rPr>
          <w:rFonts w:ascii="宋体" w:hAnsi="宋体" w:cs="宋体"/>
          <w:color w:val="auto"/>
          <w:sz w:val="24"/>
          <w:szCs w:val="22"/>
          <w:highlight w:val="none"/>
        </w:rPr>
        <w:t xml:space="preserve">包装方式：</w:t>
      </w:r>
      <w:r>
        <w:rPr>
          <w:rFonts w:eastAsia="Times New Roman"/>
          <w:color w:val="auto"/>
          <w:sz w:val="24"/>
          <w:szCs w:val="22"/>
          <w:highlight w:val="none"/>
        </w:rPr>
        <w:t xml:space="preserve">______</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二、合同金额</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2.1 </w:t>
      </w:r>
      <w:r>
        <w:rPr>
          <w:rFonts w:ascii="宋体" w:hAnsi="宋体" w:cs="宋体"/>
          <w:color w:val="auto"/>
          <w:sz w:val="24"/>
          <w:szCs w:val="22"/>
          <w:highlight w:val="none"/>
        </w:rPr>
        <w:t xml:space="preserve">本合同金额为（大写）：</w:t>
      </w:r>
      <w:r>
        <w:rPr>
          <w:rFonts w:eastAsia="Times New Roman"/>
          <w:color w:val="auto"/>
          <w:sz w:val="24"/>
          <w:szCs w:val="22"/>
          <w:highlight w:val="none"/>
        </w:rPr>
        <w:t xml:space="preserve">_______</w:t>
      </w:r>
      <w:r>
        <w:rPr>
          <w:rFonts w:ascii="宋体" w:hAnsi="宋体" w:cs="宋体"/>
          <w:color w:val="auto"/>
          <w:sz w:val="24"/>
          <w:szCs w:val="22"/>
          <w:highlight w:val="none"/>
        </w:rPr>
        <w:t xml:space="preserve">圆（</w:t>
      </w:r>
      <w:r>
        <w:rPr>
          <w:rFonts w:eastAsia="Times New Roman"/>
          <w:color w:val="auto"/>
          <w:sz w:val="24"/>
          <w:szCs w:val="22"/>
          <w:highlight w:val="none"/>
        </w:rPr>
        <w:t xml:space="preserve">___</w:t>
      </w:r>
      <w:r>
        <w:rPr>
          <w:rFonts w:ascii="宋体" w:hAnsi="宋体" w:cs="宋体"/>
          <w:color w:val="auto"/>
          <w:sz w:val="24"/>
          <w:szCs w:val="22"/>
          <w:highlight w:val="none"/>
        </w:rPr>
        <w:t xml:space="preserve">元）人民币或其他币种。</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三、技术资料</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3.1</w:t>
      </w:r>
      <w:r>
        <w:rPr>
          <w:rFonts w:ascii="宋体" w:hAnsi="宋体" w:cs="宋体"/>
          <w:color w:val="auto"/>
          <w:sz w:val="24"/>
          <w:szCs w:val="22"/>
          <w:highlight w:val="none"/>
        </w:rPr>
        <w:t xml:space="preserve">乙方应按招标文件规定的时间向甲方提供使用货物</w:t>
      </w:r>
      <w:r>
        <w:rPr>
          <w:rFonts w:eastAsia="Times New Roman"/>
          <w:color w:val="auto"/>
          <w:sz w:val="24"/>
          <w:szCs w:val="22"/>
          <w:highlight w:val="none"/>
        </w:rPr>
        <w:t xml:space="preserve">(</w:t>
      </w:r>
      <w:r>
        <w:rPr>
          <w:rFonts w:ascii="宋体" w:hAnsi="宋体" w:cs="宋体"/>
          <w:color w:val="auto"/>
          <w:sz w:val="24"/>
          <w:szCs w:val="22"/>
          <w:highlight w:val="none"/>
        </w:rPr>
        <w:t xml:space="preserve">包含与货物相关的服务</w:t>
      </w:r>
      <w:r>
        <w:rPr>
          <w:rFonts w:eastAsia="Times New Roman"/>
          <w:color w:val="auto"/>
          <w:sz w:val="24"/>
          <w:szCs w:val="22"/>
          <w:highlight w:val="none"/>
        </w:rPr>
        <w:t xml:space="preserve">)</w:t>
      </w:r>
      <w:r>
        <w:rPr>
          <w:rFonts w:ascii="宋体" w:hAnsi="宋体" w:cs="宋体"/>
          <w:color w:val="auto"/>
          <w:sz w:val="24"/>
          <w:szCs w:val="22"/>
          <w:highlight w:val="none"/>
        </w:rPr>
        <w:t xml:space="preserve">的有关技术资料。</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3.2 </w:t>
      </w:r>
      <w:r>
        <w:rPr>
          <w:rFonts w:ascii="宋体" w:hAnsi="宋体" w:cs="宋体"/>
          <w:color w:val="auto"/>
          <w:sz w:val="24"/>
          <w:szCs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四、知识产权</w:t>
      </w:r>
      <w:r/>
    </w:p>
    <w:p>
      <w:pPr>
        <w:ind w:firstLine="480"/>
        <w:spacing w:before="120" w:after="120" w:line="85" w:lineRule="atLeast"/>
        <w:rPr>
          <w:rFonts w:eastAsia="Times New Roman"/>
          <w:color w:val="auto"/>
          <w:sz w:val="24"/>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4.1</w:t>
      </w:r>
      <w:r>
        <w:rPr>
          <w:rFonts w:ascii="宋体" w:hAnsi="宋体" w:cs="宋体"/>
          <w:color w:val="auto"/>
          <w:sz w:val="24"/>
          <w:szCs w:val="22"/>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auto"/>
          <w:sz w:val="24"/>
          <w:szCs w:val="22"/>
          <w:highlight w:val="none"/>
        </w:rPr>
        <w:t xml:space="preserve">     </w:t>
      </w:r>
      <w:r/>
    </w:p>
    <w:p>
      <w:pPr>
        <w:ind w:firstLine="24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   </w:t>
      </w:r>
      <w:r>
        <w:rPr>
          <w:rFonts w:ascii="宋体" w:hAnsi="宋体" w:cs="宋体"/>
          <w:b/>
          <w:color w:val="auto"/>
          <w:sz w:val="24"/>
          <w:szCs w:val="22"/>
          <w:highlight w:val="none"/>
        </w:rPr>
        <w:t xml:space="preserve">五、产权担保</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5.1 </w:t>
      </w:r>
      <w:r>
        <w:rPr>
          <w:rFonts w:ascii="宋体" w:hAnsi="宋体" w:cs="宋体"/>
          <w:color w:val="auto"/>
          <w:sz w:val="24"/>
          <w:szCs w:val="22"/>
          <w:highlight w:val="none"/>
        </w:rPr>
        <w:t xml:space="preserve">乙方保证所交付的货物（包含与货物相关的服务）的所有权完全属于乙方且无任何抵押、查封等产权瑕疵。</w:t>
      </w:r>
      <w:r/>
    </w:p>
    <w:p>
      <w:pPr>
        <w:ind w:firstLine="482"/>
        <w:spacing w:before="120" w:after="120" w:line="85" w:lineRule="atLeast"/>
        <w:rPr>
          <w:rFonts w:hint="eastAsia" w:ascii="宋体" w:hAnsi="宋体" w:cs="宋体"/>
          <w:b/>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六、履约保证金</w:t>
      </w:r>
      <w:r/>
    </w:p>
    <w:p>
      <w:pPr>
        <w:ind w:firstLine="480"/>
        <w:spacing w:before="120" w:after="120"/>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元作为本合同的履约保证金。</w:t>
      </w:r>
      <w:r/>
    </w:p>
    <w:p>
      <w:pPr>
        <w:ind w:firstLine="480"/>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before="120" w:after="120"/>
        <w:rPr>
          <w:color w:val="auto"/>
          <w:highlight w:val="none"/>
        </w:rPr>
      </w:pPr>
      <w:r>
        <w:rPr>
          <w:rFonts w:hint="eastAsia" w:ascii="宋体" w:hAnsi="宋体" w:cs="Courier New"/>
          <w:color w:val="auto"/>
          <w:sz w:val="24"/>
          <w:szCs w:val="24"/>
          <w:highlight w:val="none"/>
        </w:rPr>
        <w:t xml:space="preserve">6.2.4履约保证金不予退还的情形：</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备注：若收取履约保证金：双方签订合同后5日内，乙方可以自主选择支票、汇票、本票、保函等非现金形式缴纳中标金额的  作为本合同的履约保证金。（不得超过10%）</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6.1合同履行结束后，甲方应及时退还缴纳的履约保证金。</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6.2履约保证金退还方式：按照乙方缴纳的方式进行退还。</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6.3履约保证金退还时间：项目验收合格后15日内。</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6.4履约保证金退还条件：乙方在履约期间未给甲方造成损失或造成的损失经扣除后存有结余的。</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6.5履约保证金不予退还的情形：履约保证金额不足以弥补乙方违约造成甲方损失的。</w:t>
      </w:r>
      <w:r/>
    </w:p>
    <w:p>
      <w:pPr>
        <w:ind w:firstLine="480"/>
        <w:spacing w:before="145" w:after="145"/>
        <w:rPr>
          <w:rFonts w:hint="eastAsia" w:ascii="Calibri" w:hAnsi="宋体"/>
          <w:color w:val="auto"/>
          <w:sz w:val="24"/>
          <w:szCs w:val="24"/>
          <w:highlight w:val="none"/>
        </w:rPr>
      </w:pPr>
      <w:r>
        <w:rPr>
          <w:rFonts w:hint="eastAsia" w:ascii="Calibri" w:hAnsi="宋体"/>
          <w:color w:val="auto"/>
          <w:sz w:val="24"/>
          <w:szCs w:val="24"/>
          <w:highlight w:val="none"/>
        </w:rPr>
        <w:t xml:space="preserve">6.6履约保证金逾期退还的违约责任：按中国人民银行同期贷款基准利率上浮20%后的利率支付超期资金占用费，但因乙方自身原因导致无法及时退还的除外。不收取该段删除）</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七、质保期</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质保期</w:t>
      </w:r>
      <w:r>
        <w:rPr>
          <w:rFonts w:eastAsia="Times New Roman"/>
          <w:color w:val="auto"/>
          <w:sz w:val="24"/>
          <w:szCs w:val="22"/>
          <w:highlight w:val="none"/>
          <w:u w:val="single"/>
        </w:rPr>
        <w:t xml:space="preserve">      </w:t>
      </w:r>
      <w:r>
        <w:rPr>
          <w:rFonts w:ascii="宋体" w:hAnsi="宋体" w:cs="宋体"/>
          <w:color w:val="auto"/>
          <w:sz w:val="24"/>
          <w:szCs w:val="22"/>
          <w:highlight w:val="none"/>
        </w:rPr>
        <w:t xml:space="preserve">年。（自交货验收合格之日起计）</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八、合同转包或分包</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8.1</w:t>
      </w:r>
      <w:r>
        <w:rPr>
          <w:rFonts w:ascii="宋体" w:hAnsi="宋体" w:cs="宋体"/>
          <w:color w:val="auto"/>
          <w:sz w:val="24"/>
          <w:szCs w:val="22"/>
          <w:highlight w:val="none"/>
        </w:rPr>
        <w:t xml:space="preserve">乙方不得将合同标的转包给他人履行。</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8.2</w:t>
      </w:r>
      <w:r>
        <w:rPr>
          <w:rFonts w:ascii="宋体" w:hAnsi="宋体" w:cs="宋体"/>
          <w:color w:val="auto"/>
          <w:sz w:val="24"/>
          <w:szCs w:val="22"/>
          <w:highlight w:val="none"/>
        </w:rPr>
        <w:t xml:space="preserve">乙方不得将合同标的分包给他人履行。</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8.3</w:t>
      </w:r>
      <w:r>
        <w:rPr>
          <w:rFonts w:ascii="宋体" w:hAnsi="宋体" w:cs="宋体"/>
          <w:color w:val="auto"/>
          <w:sz w:val="24"/>
          <w:szCs w:val="22"/>
          <w:highlight w:val="none"/>
        </w:rPr>
        <w:t xml:space="preserve">乙方如有转包或未经甲方同意的分包行为，甲方有权给予终止合同。</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九、合同款项支付</w:t>
      </w:r>
      <w:r/>
    </w:p>
    <w:p>
      <w:pPr>
        <w:ind w:firstLine="482"/>
        <w:spacing w:before="120" w:after="120" w:line="85"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合同签订后且乙方向甲方出具发票后，甲方10个工作日内支付合同款的30%，项目验收合格后，且甲方收到乙方开具的等额发票10个工作日内，甲方一次性支付合同款的70%。</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十、税费</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10.1</w:t>
      </w:r>
      <w:r>
        <w:rPr>
          <w:rFonts w:ascii="宋体" w:hAnsi="宋体" w:cs="宋体"/>
          <w:color w:val="auto"/>
          <w:sz w:val="24"/>
          <w:szCs w:val="22"/>
          <w:highlight w:val="none"/>
        </w:rPr>
        <w:t xml:space="preserve">本合同执行中相关的一切税费均由乙方负担。</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十一、质量保修范围和保修期及售后服务</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11.1 </w:t>
      </w:r>
      <w:r>
        <w:rPr>
          <w:rFonts w:ascii="宋体" w:hAnsi="宋体" w:cs="宋体"/>
          <w:color w:val="auto"/>
          <w:sz w:val="24"/>
          <w:szCs w:val="22"/>
          <w:highlight w:val="none"/>
        </w:rPr>
        <w:t xml:space="preserve">乙方应按招标文件规定的货物性能、技术要求、质量标准向甲方提供未经使用的全新产品。</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11.2 </w:t>
      </w:r>
      <w:r>
        <w:rPr>
          <w:rFonts w:ascii="宋体" w:hAnsi="宋体" w:cs="宋体"/>
          <w:color w:val="auto"/>
          <w:sz w:val="24"/>
          <w:szCs w:val="22"/>
          <w:highlight w:val="none"/>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⑴更换：由乙方承担所发生的全部费用。</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⑵贬值处理：由甲乙双方合议定价。</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11.3 </w:t>
      </w:r>
      <w:r>
        <w:rPr>
          <w:rFonts w:ascii="宋体" w:hAnsi="宋体" w:cs="宋体"/>
          <w:color w:val="auto"/>
          <w:sz w:val="24"/>
          <w:szCs w:val="22"/>
          <w:highlight w:val="none"/>
        </w:rPr>
        <w:t xml:space="preserve">如在使用过程中发生质量问题，乙方在接到甲方通知后在</w:t>
      </w:r>
      <w:r>
        <w:rPr>
          <w:rFonts w:eastAsia="Times New Roman"/>
          <w:color w:val="auto"/>
          <w:sz w:val="24"/>
          <w:szCs w:val="22"/>
          <w:highlight w:val="none"/>
        </w:rPr>
        <w:t xml:space="preserve">_________</w:t>
      </w:r>
      <w:r>
        <w:rPr>
          <w:rFonts w:ascii="宋体" w:hAnsi="宋体" w:cs="宋体"/>
          <w:color w:val="auto"/>
          <w:sz w:val="24"/>
          <w:szCs w:val="22"/>
          <w:highlight w:val="none"/>
        </w:rPr>
        <w:t xml:space="preserve">小时内到达甲方现场。</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11.4 </w:t>
      </w:r>
      <w:r>
        <w:rPr>
          <w:rFonts w:ascii="宋体" w:hAnsi="宋体" w:cs="宋体"/>
          <w:color w:val="auto"/>
          <w:sz w:val="24"/>
          <w:szCs w:val="22"/>
          <w:highlight w:val="none"/>
        </w:rPr>
        <w:t xml:space="preserve">在质保期内，乙方应对货物出现的质量及安全问题负责处理解决并承担一切费用。</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11.5</w:t>
      </w:r>
      <w:r>
        <w:rPr>
          <w:rFonts w:ascii="宋体" w:hAnsi="宋体" w:cs="宋体"/>
          <w:color w:val="auto"/>
          <w:sz w:val="24"/>
          <w:szCs w:val="22"/>
          <w:highlight w:val="none"/>
        </w:rPr>
        <w:t xml:space="preserve">上述的货物免费保修期为</w:t>
      </w:r>
      <w:r>
        <w:rPr>
          <w:rFonts w:eastAsia="Times New Roman"/>
          <w:color w:val="auto"/>
          <w:sz w:val="24"/>
          <w:szCs w:val="22"/>
          <w:highlight w:val="none"/>
          <w:u w:val="single"/>
        </w:rPr>
        <w:t xml:space="preserve">     </w:t>
      </w:r>
      <w:r>
        <w:rPr>
          <w:rFonts w:ascii="宋体" w:hAnsi="宋体" w:cs="宋体"/>
          <w:color w:val="auto"/>
          <w:sz w:val="24"/>
          <w:szCs w:val="22"/>
          <w:highlight w:val="none"/>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十二、项目验收</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12.1 </w:t>
      </w:r>
      <w:r>
        <w:rPr>
          <w:rFonts w:ascii="宋体" w:hAnsi="宋体" w:cs="宋体"/>
          <w:color w:val="auto"/>
          <w:sz w:val="24"/>
          <w:szCs w:val="22"/>
          <w:highlight w:val="none"/>
        </w:rPr>
        <w:t xml:space="preserve">甲方依法组织履约验收工作。</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12.2 </w:t>
      </w:r>
      <w:r>
        <w:rPr>
          <w:rFonts w:ascii="宋体" w:hAnsi="宋体" w:cs="宋体"/>
          <w:color w:val="auto"/>
          <w:sz w:val="24"/>
          <w:szCs w:val="22"/>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12.3 </w:t>
      </w:r>
      <w:r>
        <w:rPr>
          <w:rFonts w:ascii="宋体" w:hAnsi="宋体" w:cs="宋体"/>
          <w:color w:val="auto"/>
          <w:sz w:val="24"/>
          <w:szCs w:val="22"/>
          <w:highlight w:val="none"/>
        </w:rPr>
        <w:t xml:space="preserve">对于实际使用人和甲方分离的项目，甲方邀请实际使用人参与验收。</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12.4 </w:t>
      </w:r>
      <w:r>
        <w:rPr>
          <w:rFonts w:ascii="宋体" w:hAnsi="宋体" w:cs="宋体"/>
          <w:color w:val="auto"/>
          <w:sz w:val="24"/>
          <w:szCs w:val="22"/>
          <w:highlight w:val="none"/>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12.5 </w:t>
      </w:r>
      <w:r>
        <w:rPr>
          <w:rFonts w:ascii="宋体" w:hAnsi="宋体" w:cs="宋体"/>
          <w:color w:val="auto"/>
          <w:sz w:val="24"/>
          <w:szCs w:val="22"/>
          <w:highlight w:val="none"/>
        </w:rPr>
        <w:t xml:space="preserve">甲方成立验收小组，按照采购合同的约定对乙方的履约情况进行验收。验收时间、验收标准见招标文件验收内容。验收时</w:t>
      </w:r>
      <w:r>
        <w:rPr>
          <w:rFonts w:eastAsia="Times New Roman"/>
          <w:color w:val="auto"/>
          <w:sz w:val="24"/>
          <w:szCs w:val="22"/>
          <w:highlight w:val="none"/>
        </w:rPr>
        <w:t xml:space="preserve">,</w:t>
      </w:r>
      <w:r>
        <w:rPr>
          <w:rFonts w:ascii="宋体" w:hAnsi="宋体" w:cs="宋体"/>
          <w:color w:val="auto"/>
          <w:sz w:val="24"/>
          <w:szCs w:val="22"/>
          <w:highlight w:val="none"/>
        </w:rPr>
        <w:t xml:space="preserve">甲方按照采购合同的约定对每一项技术、商务要求的履约情况进行确认。验收结束后</w:t>
      </w:r>
      <w:r>
        <w:rPr>
          <w:rFonts w:eastAsia="Times New Roman"/>
          <w:color w:val="auto"/>
          <w:sz w:val="24"/>
          <w:szCs w:val="22"/>
          <w:highlight w:val="none"/>
        </w:rPr>
        <w:t xml:space="preserve">,</w:t>
      </w:r>
      <w:r>
        <w:rPr>
          <w:rFonts w:ascii="宋体" w:hAnsi="宋体" w:cs="宋体"/>
          <w:color w:val="auto"/>
          <w:sz w:val="24"/>
          <w:szCs w:val="22"/>
          <w:highlight w:val="none"/>
        </w:rPr>
        <w:t xml:space="preserve">验收小组出具验收书</w:t>
      </w:r>
      <w:r>
        <w:rPr>
          <w:rFonts w:eastAsia="Times New Roman"/>
          <w:color w:val="auto"/>
          <w:sz w:val="24"/>
          <w:szCs w:val="22"/>
          <w:highlight w:val="none"/>
        </w:rPr>
        <w:t xml:space="preserve">,</w:t>
      </w:r>
      <w:r>
        <w:rPr>
          <w:rFonts w:ascii="宋体" w:hAnsi="宋体" w:cs="宋体"/>
          <w:color w:val="auto"/>
          <w:sz w:val="24"/>
          <w:szCs w:val="22"/>
          <w:highlight w:val="none"/>
        </w:rPr>
        <w:t xml:space="preserve">列明各项标准的验收情况及项目总体评价</w:t>
      </w:r>
      <w:r>
        <w:rPr>
          <w:rFonts w:eastAsia="Times New Roman"/>
          <w:color w:val="auto"/>
          <w:sz w:val="24"/>
          <w:szCs w:val="22"/>
          <w:highlight w:val="none"/>
        </w:rPr>
        <w:t xml:space="preserve">,</w:t>
      </w:r>
      <w:r>
        <w:rPr>
          <w:rFonts w:ascii="宋体" w:hAnsi="宋体" w:cs="宋体"/>
          <w:color w:val="auto"/>
          <w:sz w:val="24"/>
          <w:szCs w:val="22"/>
          <w:highlight w:val="none"/>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12.6 </w:t>
      </w:r>
      <w:r>
        <w:rPr>
          <w:rFonts w:ascii="宋体" w:hAnsi="宋体" w:cs="宋体"/>
          <w:color w:val="auto"/>
          <w:sz w:val="24"/>
          <w:szCs w:val="22"/>
          <w:highlight w:val="none"/>
        </w:rPr>
        <w:t xml:space="preserve">验收合格的项目</w:t>
      </w:r>
      <w:r>
        <w:rPr>
          <w:rFonts w:eastAsia="Times New Roman"/>
          <w:color w:val="auto"/>
          <w:sz w:val="24"/>
          <w:szCs w:val="22"/>
          <w:highlight w:val="none"/>
        </w:rPr>
        <w:t xml:space="preserve">,</w:t>
      </w:r>
      <w:r>
        <w:rPr>
          <w:rFonts w:ascii="宋体" w:hAnsi="宋体" w:cs="宋体"/>
          <w:color w:val="auto"/>
          <w:sz w:val="24"/>
          <w:szCs w:val="22"/>
          <w:highlight w:val="none"/>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auto"/>
          <w:sz w:val="24"/>
          <w:szCs w:val="22"/>
          <w:highlight w:val="none"/>
        </w:rPr>
        <w:t xml:space="preserve">,</w:t>
      </w:r>
      <w:r>
        <w:rPr>
          <w:rFonts w:ascii="宋体" w:hAnsi="宋体" w:cs="宋体"/>
          <w:color w:val="auto"/>
          <w:sz w:val="24"/>
          <w:szCs w:val="22"/>
          <w:highlight w:val="none"/>
        </w:rPr>
        <w:t xml:space="preserve">甲方将及时报告本级财政部门。</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十三、货物的包装、发运及运输</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13.1 </w:t>
      </w:r>
      <w:r>
        <w:rPr>
          <w:rFonts w:ascii="宋体" w:hAnsi="宋体" w:cs="宋体"/>
          <w:color w:val="auto"/>
          <w:sz w:val="24"/>
          <w:szCs w:val="22"/>
          <w:highlight w:val="none"/>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13.2 </w:t>
      </w:r>
      <w:r>
        <w:rPr>
          <w:rFonts w:ascii="宋体" w:hAnsi="宋体" w:cs="宋体"/>
          <w:color w:val="auto"/>
          <w:sz w:val="24"/>
          <w:szCs w:val="22"/>
          <w:highlight w:val="none"/>
        </w:rPr>
        <w:t xml:space="preserve">使用说明书、质量检验证明书、随配附件和工具以及清单一并附于货物内。</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13.3 </w:t>
      </w:r>
      <w:r>
        <w:rPr>
          <w:rFonts w:ascii="宋体" w:hAnsi="宋体" w:cs="宋体"/>
          <w:color w:val="auto"/>
          <w:sz w:val="24"/>
          <w:szCs w:val="22"/>
          <w:highlight w:val="none"/>
        </w:rPr>
        <w:t xml:space="preserve">乙方在货物发运手续办理完毕后</w:t>
      </w:r>
      <w:r>
        <w:rPr>
          <w:rFonts w:eastAsia="Times New Roman"/>
          <w:color w:val="auto"/>
          <w:sz w:val="24"/>
          <w:szCs w:val="22"/>
          <w:highlight w:val="none"/>
        </w:rPr>
        <w:t xml:space="preserve">24</w:t>
      </w:r>
      <w:r>
        <w:rPr>
          <w:rFonts w:ascii="宋体" w:hAnsi="宋体" w:cs="宋体"/>
          <w:color w:val="auto"/>
          <w:sz w:val="24"/>
          <w:szCs w:val="22"/>
          <w:highlight w:val="none"/>
        </w:rPr>
        <w:t xml:space="preserve">小时内或货到甲方</w:t>
      </w:r>
      <w:r>
        <w:rPr>
          <w:rFonts w:eastAsia="Times New Roman"/>
          <w:color w:val="auto"/>
          <w:sz w:val="24"/>
          <w:szCs w:val="22"/>
          <w:highlight w:val="none"/>
        </w:rPr>
        <w:t xml:space="preserve">48</w:t>
      </w:r>
      <w:r>
        <w:rPr>
          <w:rFonts w:ascii="宋体" w:hAnsi="宋体" w:cs="宋体"/>
          <w:color w:val="auto"/>
          <w:sz w:val="24"/>
          <w:szCs w:val="22"/>
          <w:highlight w:val="none"/>
        </w:rPr>
        <w:t xml:space="preserve">小时前通知甲方，以准备接货。</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13.4 </w:t>
      </w:r>
      <w:r>
        <w:rPr>
          <w:rFonts w:ascii="宋体" w:hAnsi="宋体" w:cs="宋体"/>
          <w:color w:val="auto"/>
          <w:sz w:val="24"/>
          <w:szCs w:val="22"/>
          <w:highlight w:val="none"/>
        </w:rPr>
        <w:t xml:space="preserve">货物在交付甲方前发生的风险均由乙方负责。</w:t>
      </w:r>
      <w:r/>
    </w:p>
    <w:p>
      <w:pPr>
        <w:ind w:firstLine="480"/>
        <w:spacing w:before="156" w:after="156"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13.5 </w:t>
      </w:r>
      <w:r>
        <w:rPr>
          <w:rFonts w:ascii="宋体" w:hAnsi="宋体" w:cs="宋体"/>
          <w:color w:val="auto"/>
          <w:sz w:val="24"/>
          <w:szCs w:val="22"/>
          <w:highlight w:val="none"/>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十四、违约责任</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14.1 </w:t>
      </w:r>
      <w:r>
        <w:rPr>
          <w:rFonts w:ascii="宋体" w:hAnsi="宋体" w:cs="宋体"/>
          <w:color w:val="auto"/>
          <w:sz w:val="24"/>
          <w:szCs w:val="22"/>
          <w:highlight w:val="none"/>
        </w:rPr>
        <w:t xml:space="preserve">甲方无正当理由拒收货物的，甲方向乙方偿付拒收货款总值</w:t>
      </w:r>
      <w:r>
        <w:rPr>
          <w:rFonts w:eastAsia="Times New Roman"/>
          <w:color w:val="auto"/>
          <w:sz w:val="24"/>
          <w:szCs w:val="22"/>
          <w:highlight w:val="none"/>
          <w:u w:val="single"/>
        </w:rPr>
        <w:t xml:space="preserve">     </w:t>
      </w:r>
      <w:r>
        <w:rPr>
          <w:rFonts w:ascii="宋体" w:hAnsi="宋体" w:cs="宋体"/>
          <w:color w:val="auto"/>
          <w:sz w:val="24"/>
          <w:szCs w:val="22"/>
          <w:highlight w:val="none"/>
        </w:rPr>
        <w:t xml:space="preserve">的违约金。</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14.2 </w:t>
      </w:r>
      <w:r>
        <w:rPr>
          <w:rFonts w:ascii="宋体" w:hAnsi="宋体" w:cs="宋体"/>
          <w:color w:val="auto"/>
          <w:sz w:val="24"/>
          <w:szCs w:val="22"/>
          <w:highlight w:val="none"/>
        </w:rPr>
        <w:t xml:space="preserve">甲方无故逾期验收和办理货款支付手续的</w:t>
      </w:r>
      <w:r>
        <w:rPr>
          <w:rFonts w:eastAsia="Times New Roman"/>
          <w:color w:val="auto"/>
          <w:sz w:val="24"/>
          <w:szCs w:val="22"/>
          <w:highlight w:val="none"/>
        </w:rPr>
        <w:t xml:space="preserve">,</w:t>
      </w:r>
      <w:r>
        <w:rPr>
          <w:rFonts w:ascii="宋体" w:hAnsi="宋体" w:cs="宋体"/>
          <w:color w:val="auto"/>
          <w:sz w:val="24"/>
          <w:szCs w:val="22"/>
          <w:highlight w:val="none"/>
        </w:rPr>
        <w:t xml:space="preserve">甲方应按逾期付款总额每日</w:t>
      </w:r>
      <w:r>
        <w:rPr>
          <w:rFonts w:eastAsia="Times New Roman"/>
          <w:color w:val="auto"/>
          <w:sz w:val="24"/>
          <w:szCs w:val="22"/>
          <w:highlight w:val="none"/>
        </w:rPr>
        <w:t xml:space="preserve">       </w:t>
      </w:r>
      <w:r>
        <w:rPr>
          <w:rFonts w:ascii="宋体" w:hAnsi="宋体" w:cs="宋体"/>
          <w:color w:val="auto"/>
          <w:sz w:val="24"/>
          <w:szCs w:val="22"/>
          <w:highlight w:val="none"/>
        </w:rPr>
        <w:t xml:space="preserve">向乙方支付违约金。</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14.3 </w:t>
      </w:r>
      <w:r>
        <w:rPr>
          <w:rFonts w:ascii="宋体" w:hAnsi="宋体" w:cs="宋体"/>
          <w:color w:val="auto"/>
          <w:sz w:val="24"/>
          <w:szCs w:val="22"/>
          <w:highlight w:val="none"/>
        </w:rPr>
        <w:t xml:space="preserve">乙方逾期交付货物的，乙方应按逾期交货总额每日</w:t>
      </w:r>
      <w:r>
        <w:rPr>
          <w:rFonts w:eastAsia="Times New Roman"/>
          <w:color w:val="auto"/>
          <w:sz w:val="24"/>
          <w:szCs w:val="22"/>
          <w:highlight w:val="none"/>
          <w:u w:val="single"/>
        </w:rPr>
        <w:t xml:space="preserve">     </w:t>
      </w:r>
      <w:r>
        <w:rPr>
          <w:rFonts w:hint="eastAsia"/>
          <w:color w:val="auto"/>
          <w:sz w:val="24"/>
          <w:szCs w:val="22"/>
          <w:highlight w:val="none"/>
          <w:u w:val="single"/>
        </w:rPr>
        <w:t xml:space="preserve"> </w:t>
      </w:r>
      <w:r>
        <w:rPr>
          <w:rFonts w:ascii="宋体" w:hAnsi="宋体" w:cs="宋体"/>
          <w:color w:val="auto"/>
          <w:sz w:val="24"/>
          <w:szCs w:val="22"/>
          <w:highlight w:val="none"/>
        </w:rPr>
        <w:t xml:space="preserve">向甲方支付违约金，由甲方从待付货款中扣除。逾期超过约定日期</w:t>
      </w:r>
      <w:r>
        <w:rPr>
          <w:rFonts w:eastAsia="Times New Roman"/>
          <w:color w:val="auto"/>
          <w:sz w:val="24"/>
          <w:szCs w:val="22"/>
          <w:highlight w:val="none"/>
        </w:rPr>
        <w:t xml:space="preserve">10</w:t>
      </w:r>
      <w:r>
        <w:rPr>
          <w:rFonts w:ascii="宋体" w:hAnsi="宋体" w:cs="宋体"/>
          <w:color w:val="auto"/>
          <w:sz w:val="24"/>
          <w:szCs w:val="22"/>
          <w:highlight w:val="none"/>
        </w:rPr>
        <w:t xml:space="preserve">个工作日不能交货的，甲方可解除本合同。乙方因逾期交货或因其他违约行为导致甲方解除合同的，乙方应向甲方支付合同总值</w:t>
      </w:r>
      <w:r>
        <w:rPr>
          <w:rFonts w:eastAsia="Times New Roman"/>
          <w:color w:val="auto"/>
          <w:sz w:val="24"/>
          <w:szCs w:val="22"/>
          <w:highlight w:val="none"/>
          <w:u w:val="single"/>
        </w:rPr>
        <w:t xml:space="preserve">    </w:t>
      </w:r>
      <w:r>
        <w:rPr>
          <w:rFonts w:ascii="宋体" w:hAnsi="宋体" w:cs="宋体"/>
          <w:color w:val="auto"/>
          <w:sz w:val="24"/>
          <w:szCs w:val="22"/>
          <w:highlight w:val="none"/>
        </w:rPr>
        <w:t xml:space="preserve">的违约金，如造成甲方损失超过违约金的，超出部分由乙方继续承担赔偿责任。</w:t>
      </w:r>
      <w:r>
        <w:rPr>
          <w:rFonts w:eastAsia="Times New Roman"/>
          <w:color w:val="auto"/>
          <w:sz w:val="24"/>
          <w:szCs w:val="22"/>
          <w:highlight w:val="none"/>
        </w:rPr>
        <w:t xml:space="preserve"> </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14.4 </w:t>
      </w:r>
      <w:r>
        <w:rPr>
          <w:rFonts w:ascii="宋体" w:hAnsi="宋体" w:cs="宋体"/>
          <w:color w:val="auto"/>
          <w:sz w:val="24"/>
          <w:szCs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十五、不可抗力事件处理</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15.1 </w:t>
      </w:r>
      <w:r>
        <w:rPr>
          <w:rFonts w:ascii="宋体" w:hAnsi="宋体" w:cs="宋体"/>
          <w:color w:val="auto"/>
          <w:sz w:val="24"/>
          <w:szCs w:val="22"/>
          <w:highlight w:val="none"/>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15.2 </w:t>
      </w:r>
      <w:r>
        <w:rPr>
          <w:rFonts w:ascii="宋体" w:hAnsi="宋体" w:cs="宋体"/>
          <w:color w:val="auto"/>
          <w:sz w:val="24"/>
          <w:szCs w:val="22"/>
          <w:highlight w:val="none"/>
        </w:rPr>
        <w:t xml:space="preserve">不可抗力事件发生后，应立即通知对方，并寄送有关权威机构出具的证明。</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15.3 </w:t>
      </w:r>
      <w:r>
        <w:rPr>
          <w:rFonts w:ascii="宋体" w:hAnsi="宋体" w:cs="宋体"/>
          <w:color w:val="auto"/>
          <w:sz w:val="24"/>
          <w:szCs w:val="22"/>
          <w:highlight w:val="none"/>
        </w:rPr>
        <w:t xml:space="preserve">不可抗力事件延续</w:t>
      </w:r>
      <w:r>
        <w:rPr>
          <w:rFonts w:eastAsia="Times New Roman"/>
          <w:color w:val="auto"/>
          <w:sz w:val="24"/>
          <w:szCs w:val="22"/>
          <w:highlight w:val="none"/>
        </w:rPr>
        <w:t xml:space="preserve">120</w:t>
      </w:r>
      <w:r>
        <w:rPr>
          <w:rFonts w:ascii="宋体" w:hAnsi="宋体" w:cs="宋体"/>
          <w:color w:val="auto"/>
          <w:sz w:val="24"/>
          <w:szCs w:val="22"/>
          <w:highlight w:val="none"/>
        </w:rPr>
        <w:t xml:space="preserve">天以上，双方应通过友好协商，确定是否继续履行合同。</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十六、解决争议的方法</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16.1</w:t>
      </w:r>
      <w:r>
        <w:rPr>
          <w:rFonts w:ascii="宋体" w:hAnsi="宋体" w:cs="宋体"/>
          <w:color w:val="auto"/>
          <w:sz w:val="24"/>
          <w:szCs w:val="22"/>
          <w:highlight w:val="none"/>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2"/>
          <w:highlight w:val="none"/>
        </w:rPr>
        <w:t xml:space="preserve">十七、合同生效及其它</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17.1 </w:t>
      </w:r>
      <w:r>
        <w:rPr>
          <w:rFonts w:ascii="宋体" w:hAnsi="宋体" w:cs="宋体"/>
          <w:color w:val="auto"/>
          <w:sz w:val="24"/>
          <w:szCs w:val="22"/>
          <w:highlight w:val="none"/>
        </w:rPr>
        <w:t xml:space="preserve">合同经双方法定代表人或授权委托代表人签字并加盖单位公章后生效。</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17.2</w:t>
      </w:r>
      <w:r>
        <w:rPr>
          <w:rFonts w:ascii="宋体" w:hAnsi="宋体" w:cs="宋体"/>
          <w:color w:val="auto"/>
          <w:sz w:val="24"/>
          <w:szCs w:val="22"/>
          <w:highlight w:val="none"/>
        </w:rPr>
        <w:t xml:space="preserve">本合同未尽事宜，遵照《中华人民共和国民法典》《中华人民共和国政府采购法》有关条文执行。</w:t>
      </w:r>
      <w:r/>
    </w:p>
    <w:p>
      <w:pPr>
        <w:ind w:firstLine="480"/>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17.3 </w:t>
      </w:r>
      <w:r>
        <w:rPr>
          <w:rFonts w:ascii="宋体" w:hAnsi="宋体" w:cs="宋体"/>
          <w:color w:val="auto"/>
          <w:sz w:val="24"/>
          <w:szCs w:val="22"/>
          <w:highlight w:val="none"/>
        </w:rPr>
        <w:t xml:space="preserve">本合同正本一式</w:t>
      </w:r>
      <w:r>
        <w:rPr>
          <w:rFonts w:eastAsia="Times New Roman"/>
          <w:color w:val="auto"/>
          <w:sz w:val="24"/>
          <w:szCs w:val="22"/>
          <w:highlight w:val="none"/>
        </w:rPr>
        <w:t xml:space="preserve">___</w:t>
      </w:r>
      <w:r>
        <w:rPr>
          <w:rFonts w:ascii="宋体" w:hAnsi="宋体" w:cs="宋体"/>
          <w:color w:val="auto"/>
          <w:sz w:val="24"/>
          <w:szCs w:val="22"/>
          <w:highlight w:val="none"/>
        </w:rPr>
        <w:t xml:space="preserve">份，具有同等法律效力，甲方、乙方及财政监管部门各执一份。</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甲方（盖章）：</w:t>
      </w:r>
      <w:r>
        <w:rPr>
          <w:rFonts w:hint="eastAsia" w:ascii="宋体" w:hAnsi="宋体" w:cs="宋体"/>
          <w:color w:val="auto"/>
          <w:sz w:val="24"/>
          <w:szCs w:val="22"/>
          <w:highlight w:val="none"/>
        </w:rPr>
        <w:t xml:space="preserve">         </w:t>
      </w:r>
      <w:r>
        <w:rPr>
          <w:rFonts w:eastAsia="Times New Roman"/>
          <w:color w:val="auto"/>
          <w:sz w:val="24"/>
          <w:szCs w:val="22"/>
          <w:highlight w:val="none"/>
        </w:rPr>
        <w:t xml:space="preserve">            </w:t>
      </w:r>
      <w:r>
        <w:rPr>
          <w:rFonts w:hint="eastAsia"/>
          <w:color w:val="auto"/>
          <w:sz w:val="24"/>
          <w:szCs w:val="22"/>
          <w:highlight w:val="none"/>
        </w:rPr>
        <w:t xml:space="preserve"> </w:t>
      </w:r>
      <w:r>
        <w:rPr>
          <w:rFonts w:eastAsia="Times New Roman"/>
          <w:color w:val="auto"/>
          <w:sz w:val="24"/>
          <w:szCs w:val="22"/>
          <w:highlight w:val="none"/>
        </w:rPr>
        <w:t xml:space="preserve"> </w:t>
      </w:r>
      <w:r>
        <w:rPr>
          <w:rFonts w:ascii="宋体" w:hAnsi="宋体" w:cs="宋体"/>
          <w:color w:val="auto"/>
          <w:sz w:val="24"/>
          <w:szCs w:val="22"/>
          <w:highlight w:val="none"/>
        </w:rPr>
        <w:t xml:space="preserve">乙方（盖章）：</w:t>
      </w:r>
      <w:r>
        <w:rPr>
          <w:rFonts w:eastAsia="Times New Roman"/>
          <w:color w:val="auto"/>
          <w:sz w:val="24"/>
          <w:szCs w:val="22"/>
          <w:highlight w:val="none"/>
        </w:rPr>
        <w:t xml:space="preserve"> </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地址：</w:t>
      </w:r>
      <w:r>
        <w:rPr>
          <w:rFonts w:hint="eastAsia" w:ascii="宋体" w:hAnsi="宋体" w:cs="宋体"/>
          <w:color w:val="auto"/>
          <w:sz w:val="24"/>
          <w:szCs w:val="22"/>
          <w:highlight w:val="none"/>
        </w:rPr>
        <w:t xml:space="preserve">                       </w:t>
      </w:r>
      <w:r>
        <w:rPr>
          <w:rFonts w:eastAsia="Times New Roman"/>
          <w:color w:val="auto"/>
          <w:sz w:val="24"/>
          <w:szCs w:val="22"/>
          <w:highlight w:val="none"/>
        </w:rPr>
        <w:t xml:space="preserve"> </w:t>
      </w:r>
      <w:r>
        <w:rPr>
          <w:rFonts w:hint="eastAsia"/>
          <w:color w:val="auto"/>
          <w:sz w:val="24"/>
          <w:szCs w:val="22"/>
          <w:highlight w:val="none"/>
        </w:rPr>
        <w:t xml:space="preserve"> </w:t>
      </w:r>
      <w:r>
        <w:rPr>
          <w:rFonts w:ascii="宋体" w:hAnsi="宋体" w:cs="宋体"/>
          <w:color w:val="auto"/>
          <w:sz w:val="24"/>
          <w:szCs w:val="22"/>
          <w:highlight w:val="none"/>
        </w:rPr>
        <w:t xml:space="preserve">地址：</w:t>
      </w:r>
      <w:r>
        <w:rPr>
          <w:rFonts w:eastAsia="Times New Roman"/>
          <w:color w:val="auto"/>
          <w:sz w:val="24"/>
          <w:szCs w:val="22"/>
          <w:highlight w:val="none"/>
        </w:rPr>
        <w:t xml:space="preserve"> </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法定代表人或授权代表：</w:t>
      </w:r>
      <w:r>
        <w:rPr>
          <w:rFonts w:eastAsia="Times New Roman"/>
          <w:color w:val="auto"/>
          <w:sz w:val="24"/>
          <w:szCs w:val="22"/>
          <w:highlight w:val="none"/>
        </w:rPr>
        <w:t xml:space="preserve">                  </w:t>
      </w:r>
      <w:r>
        <w:rPr>
          <w:rFonts w:ascii="宋体" w:hAnsi="宋体" w:cs="宋体"/>
          <w:color w:val="auto"/>
          <w:sz w:val="24"/>
          <w:szCs w:val="22"/>
          <w:highlight w:val="none"/>
        </w:rPr>
        <w:t xml:space="preserve">法定代表人或授权代表：</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经办人：</w:t>
      </w:r>
      <w:r>
        <w:rPr>
          <w:rFonts w:eastAsia="Times New Roman"/>
          <w:color w:val="auto"/>
          <w:sz w:val="24"/>
          <w:szCs w:val="22"/>
          <w:highlight w:val="none"/>
        </w:rPr>
        <w:t xml:space="preserve">                                </w:t>
      </w:r>
      <w:r>
        <w:rPr>
          <w:rFonts w:hint="eastAsia"/>
          <w:color w:val="auto"/>
          <w:sz w:val="24"/>
          <w:szCs w:val="22"/>
          <w:highlight w:val="none"/>
        </w:rPr>
        <w:t xml:space="preserve">       </w:t>
      </w:r>
      <w:r>
        <w:rPr>
          <w:rFonts w:ascii="宋体" w:hAnsi="宋体" w:cs="宋体"/>
          <w:color w:val="auto"/>
          <w:sz w:val="24"/>
          <w:szCs w:val="22"/>
          <w:highlight w:val="none"/>
        </w:rPr>
        <w:t xml:space="preserve">经办人：</w:t>
      </w:r>
      <w:r/>
    </w:p>
    <w:p>
      <w:pPr>
        <w:spacing w:before="120" w:after="120" w:line="85" w:lineRule="atLeast"/>
        <w:rPr>
          <w:rFonts w:ascii="Calibri" w:hAnsi="Calibri"/>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none"/>
        </w:rPr>
        <w:t xml:space="preserve">联系电话：</w:t>
      </w:r>
      <w:r>
        <w:rPr>
          <w:rFonts w:eastAsia="Times New Roman"/>
          <w:color w:val="auto"/>
          <w:sz w:val="24"/>
          <w:szCs w:val="22"/>
          <w:highlight w:val="none"/>
        </w:rPr>
        <w:t xml:space="preserve">                          </w:t>
      </w:r>
      <w:r>
        <w:rPr>
          <w:rFonts w:hint="eastAsia"/>
          <w:color w:val="auto"/>
          <w:sz w:val="24"/>
          <w:szCs w:val="22"/>
          <w:highlight w:val="none"/>
        </w:rPr>
        <w:t xml:space="preserve">      </w:t>
      </w:r>
      <w:r>
        <w:rPr>
          <w:rFonts w:eastAsia="Times New Roman"/>
          <w:color w:val="auto"/>
          <w:sz w:val="24"/>
          <w:szCs w:val="22"/>
          <w:highlight w:val="none"/>
        </w:rPr>
        <w:t xml:space="preserve">    </w:t>
      </w:r>
      <w:r>
        <w:rPr>
          <w:rFonts w:ascii="宋体" w:hAnsi="宋体" w:cs="宋体"/>
          <w:color w:val="auto"/>
          <w:sz w:val="24"/>
          <w:szCs w:val="22"/>
          <w:highlight w:val="none"/>
        </w:rPr>
        <w:t xml:space="preserve">联系电话：</w:t>
      </w:r>
      <w:r>
        <w:rPr>
          <w:rFonts w:eastAsia="Times New Roman"/>
          <w:color w:val="auto"/>
          <w:sz w:val="24"/>
          <w:szCs w:val="22"/>
          <w:highlight w:val="none"/>
        </w:rPr>
        <w:t xml:space="preserve">          </w:t>
      </w:r>
      <w:r/>
    </w:p>
    <w:p>
      <w:pPr>
        <w:rPr>
          <w:rFonts w:ascii="黑体" w:eastAsia="黑体"/>
          <w:bCs/>
          <w:color w:val="auto"/>
          <w:sz w:val="44"/>
          <w:highlight w:val="none"/>
        </w:rPr>
        <w:pBdr>
          <w:top w:val="none" w:color="000000" w:sz="0" w:space="0"/>
          <w:left w:val="none" w:color="000000" w:sz="0" w:space="0"/>
          <w:bottom w:val="none" w:color="000000" w:sz="0" w:space="0"/>
          <w:right w:val="none" w:color="000000" w:sz="0" w:space="0"/>
        </w:pBdr>
      </w:pPr>
      <w:r>
        <w:rPr>
          <w:rFonts w:eastAsia="Times New Roman"/>
          <w:color w:val="auto"/>
          <w:sz w:val="24"/>
          <w:szCs w:val="22"/>
          <w:highlight w:val="none"/>
        </w:rPr>
        <w:t xml:space="preserve">                                      </w:t>
      </w:r>
      <w:r>
        <w:rPr>
          <w:rFonts w:hint="eastAsia"/>
          <w:color w:val="auto"/>
          <w:sz w:val="24"/>
          <w:szCs w:val="22"/>
          <w:highlight w:val="none"/>
        </w:rPr>
        <w:t xml:space="preserve">  </w:t>
      </w:r>
      <w:r>
        <w:rPr>
          <w:rFonts w:ascii="宋体" w:hAnsi="宋体" w:cs="宋体"/>
          <w:color w:val="auto"/>
          <w:sz w:val="24"/>
          <w:szCs w:val="22"/>
          <w:highlight w:val="none"/>
        </w:rPr>
        <w:t xml:space="preserve">签订日期：</w:t>
      </w:r>
      <w:r>
        <w:rPr>
          <w:rFonts w:eastAsia="Times New Roman"/>
          <w:color w:val="auto"/>
          <w:sz w:val="24"/>
          <w:szCs w:val="22"/>
          <w:highlight w:val="none"/>
        </w:rPr>
        <w:t xml:space="preserve">      </w:t>
      </w:r>
      <w:r>
        <w:rPr>
          <w:rFonts w:ascii="宋体" w:hAnsi="宋体" w:cs="宋体"/>
          <w:color w:val="auto"/>
          <w:sz w:val="24"/>
          <w:szCs w:val="22"/>
          <w:highlight w:val="none"/>
        </w:rPr>
        <w:t xml:space="preserve">年</w:t>
      </w:r>
      <w:r>
        <w:rPr>
          <w:rFonts w:eastAsia="Times New Roman"/>
          <w:color w:val="auto"/>
          <w:sz w:val="24"/>
          <w:szCs w:val="22"/>
          <w:highlight w:val="none"/>
        </w:rPr>
        <w:t xml:space="preserve">    </w:t>
      </w:r>
      <w:r>
        <w:rPr>
          <w:rFonts w:ascii="宋体" w:hAnsi="宋体" w:cs="宋体"/>
          <w:color w:val="auto"/>
          <w:sz w:val="24"/>
          <w:szCs w:val="22"/>
          <w:highlight w:val="none"/>
        </w:rPr>
        <w:t xml:space="preserve">月</w:t>
      </w:r>
      <w:r>
        <w:rPr>
          <w:rFonts w:eastAsia="Times New Roman"/>
          <w:color w:val="auto"/>
          <w:sz w:val="24"/>
          <w:szCs w:val="22"/>
          <w:highlight w:val="none"/>
        </w:rPr>
        <w:t xml:space="preserve">   </w:t>
      </w:r>
      <w:r>
        <w:rPr>
          <w:rFonts w:ascii="宋体" w:hAnsi="宋体" w:cs="宋体"/>
          <w:color w:val="auto"/>
          <w:sz w:val="24"/>
          <w:szCs w:val="22"/>
          <w:highlight w:val="none"/>
        </w:rPr>
        <w:t xml:space="preserve">日</w:t>
      </w:r>
      <w:r>
        <w:rPr>
          <w:rFonts w:hint="eastAsia" w:ascii="黑体" w:eastAsia="黑体"/>
          <w:bCs/>
          <w:color w:val="auto"/>
          <w:sz w:val="44"/>
          <w:highlight w:val="none"/>
        </w:rPr>
        <w:br w:type="page" w:clear="all"/>
      </w:r>
      <w:r/>
    </w:p>
    <w:p>
      <w:pPr>
        <w:pStyle w:val="740"/>
        <w:rPr>
          <w:rFonts w:ascii="黑体" w:eastAsia="黑体"/>
          <w:bCs/>
          <w:color w:val="auto"/>
          <w:sz w:val="44"/>
          <w:highlight w:val="none"/>
        </w:rPr>
      </w:pPr>
      <w:r>
        <w:rPr>
          <w:rFonts w:hint="eastAsia" w:ascii="黑体" w:eastAsia="黑体"/>
          <w:bCs/>
          <w:color w:val="auto"/>
          <w:sz w:val="44"/>
          <w:highlight w:val="none"/>
        </w:rPr>
        <w:t xml:space="preserve">第</w:t>
      </w:r>
      <w:bookmarkEnd w:id="170"/>
      <w:r>
        <w:rPr>
          <w:rFonts w:hint="eastAsia" w:ascii="黑体" w:eastAsia="黑体"/>
          <w:bCs/>
          <w:color w:val="auto"/>
          <w:sz w:val="44"/>
          <w:highlight w:val="none"/>
        </w:rPr>
        <w:t xml:space="preserve">四章 采购需求</w:t>
      </w:r>
      <w:bookmarkEnd w:id="171"/>
      <w:r/>
      <w:bookmarkEnd w:id="172"/>
      <w:r/>
      <w:bookmarkEnd w:id="173"/>
      <w:r/>
      <w:r/>
    </w:p>
    <w:p>
      <w:pPr>
        <w:keepLines/>
        <w:keepNext/>
        <w:spacing w:before="120" w:after="120" w:line="360" w:lineRule="auto"/>
        <w:rPr>
          <w:rFonts w:hint="eastAsia" w:ascii="宋体" w:hAnsi="宋体" w:cs="宋体"/>
          <w:b/>
          <w:bCs/>
          <w:color w:val="auto"/>
          <w:sz w:val="32"/>
          <w:szCs w:val="32"/>
          <w:highlight w:val="none"/>
        </w:rPr>
        <w:outlineLvl w:val="2"/>
      </w:pPr>
      <w:r/>
      <w:bookmarkStart w:id="176" w:name="_Toc49090575"/>
      <w:r/>
      <w:bookmarkStart w:id="177" w:name="_Toc26554093"/>
      <w:r>
        <w:rPr>
          <w:rFonts w:hint="eastAsia" w:ascii="宋体" w:hAnsi="宋体" w:cs="宋体"/>
          <w:b/>
          <w:bCs/>
          <w:color w:val="auto"/>
          <w:sz w:val="32"/>
          <w:szCs w:val="32"/>
          <w:highlight w:val="none"/>
        </w:rPr>
        <w:t xml:space="preserve">一、采购需求：</w:t>
      </w:r>
      <w:r/>
    </w:p>
    <w:p>
      <w:pPr>
        <w:rPr>
          <w:rFonts w:ascii="宋体" w:cs="宋体"/>
          <w:b/>
          <w:color w:val="auto"/>
          <w:sz w:val="24"/>
          <w:szCs w:val="24"/>
          <w:highlight w:val="none"/>
        </w:rPr>
      </w:pPr>
      <w:r>
        <w:rPr>
          <w:rFonts w:hint="eastAsia" w:ascii="宋体" w:cs="宋体"/>
          <w:b/>
          <w:color w:val="auto"/>
          <w:sz w:val="24"/>
          <w:szCs w:val="24"/>
          <w:highlight w:val="none"/>
        </w:rPr>
        <w:t xml:space="preserve">1</w:t>
      </w:r>
      <w:r>
        <w:rPr>
          <w:rFonts w:ascii="宋体" w:cs="宋体"/>
          <w:b/>
          <w:color w:val="auto"/>
          <w:sz w:val="24"/>
          <w:szCs w:val="24"/>
          <w:highlight w:val="none"/>
        </w:rPr>
        <w:t xml:space="preserve">.1</w:t>
      </w:r>
      <w:r>
        <w:rPr>
          <w:rFonts w:hint="eastAsia" w:ascii="宋体" w:cs="宋体"/>
          <w:b/>
          <w:color w:val="auto"/>
          <w:sz w:val="24"/>
          <w:szCs w:val="24"/>
          <w:highlight w:val="none"/>
        </w:rPr>
        <w:t xml:space="preserve">采购清单</w:t>
      </w:r>
      <w:r/>
    </w:p>
    <w:tbl>
      <w:tblPr>
        <w:tblStyle w:val="732"/>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1095"/>
        <w:gridCol w:w="1564"/>
        <w:gridCol w:w="3119"/>
        <w:gridCol w:w="992"/>
        <w:gridCol w:w="1134"/>
      </w:tblGrid>
      <w:tr>
        <w:trPr>
          <w:jc w:val="center"/>
          <w:trHeight w:val="340"/>
        </w:trPr>
        <w:tc>
          <w:tcPr>
            <w:tcW w:w="1027" w:type="dxa"/>
            <w:vAlign w:val="center"/>
            <w:textDirection w:val="lrTb"/>
            <w:noWrap w:val="false"/>
          </w:tcPr>
          <w:p>
            <w:pPr>
              <w:jc w:val="center"/>
              <w:rPr>
                <w:b/>
                <w:bCs/>
                <w:color w:val="auto"/>
                <w:highlight w:val="none"/>
              </w:rPr>
            </w:pPr>
            <w:r>
              <w:rPr>
                <w:b/>
                <w:bCs/>
                <w:color w:val="auto"/>
                <w:highlight w:val="none"/>
              </w:rPr>
              <w:t xml:space="preserve">序号</w:t>
            </w:r>
            <w:r/>
          </w:p>
        </w:tc>
        <w:tc>
          <w:tcPr>
            <w:gridSpan w:val="2"/>
            <w:tcW w:w="2659" w:type="dxa"/>
            <w:vAlign w:val="center"/>
            <w:textDirection w:val="lrTb"/>
            <w:noWrap w:val="false"/>
          </w:tcPr>
          <w:p>
            <w:pPr>
              <w:jc w:val="center"/>
              <w:rPr>
                <w:b/>
                <w:bCs/>
                <w:color w:val="auto"/>
                <w:highlight w:val="none"/>
              </w:rPr>
            </w:pPr>
            <w:r>
              <w:rPr>
                <w:b/>
                <w:bCs/>
                <w:color w:val="auto"/>
                <w:highlight w:val="none"/>
              </w:rPr>
              <w:t xml:space="preserve">设备</w:t>
            </w:r>
            <w:r/>
          </w:p>
        </w:tc>
        <w:tc>
          <w:tcPr>
            <w:tcW w:w="3119" w:type="dxa"/>
            <w:vAlign w:val="center"/>
            <w:textDirection w:val="lrTb"/>
            <w:noWrap w:val="false"/>
          </w:tcPr>
          <w:p>
            <w:pPr>
              <w:jc w:val="center"/>
              <w:rPr>
                <w:b/>
                <w:bCs/>
                <w:color w:val="auto"/>
                <w:highlight w:val="none"/>
              </w:rPr>
            </w:pPr>
            <w:r>
              <w:rPr>
                <w:b/>
                <w:bCs/>
                <w:color w:val="auto"/>
                <w:highlight w:val="none"/>
              </w:rPr>
              <w:t xml:space="preserve">描述</w:t>
            </w:r>
            <w:r/>
          </w:p>
        </w:tc>
        <w:tc>
          <w:tcPr>
            <w:tcW w:w="992" w:type="dxa"/>
            <w:vAlign w:val="center"/>
            <w:textDirection w:val="lrTb"/>
            <w:noWrap w:val="false"/>
          </w:tcPr>
          <w:p>
            <w:pPr>
              <w:jc w:val="center"/>
              <w:rPr>
                <w:b/>
                <w:bCs/>
                <w:color w:val="auto"/>
                <w:highlight w:val="none"/>
              </w:rPr>
            </w:pPr>
            <w:r>
              <w:rPr>
                <w:b/>
                <w:bCs/>
                <w:color w:val="auto"/>
                <w:highlight w:val="none"/>
              </w:rPr>
              <w:t xml:space="preserve">数量</w:t>
            </w:r>
            <w:r/>
          </w:p>
        </w:tc>
        <w:tc>
          <w:tcPr>
            <w:tcW w:w="1134" w:type="dxa"/>
            <w:vAlign w:val="center"/>
            <w:textDirection w:val="lrTb"/>
            <w:noWrap w:val="false"/>
          </w:tcPr>
          <w:p>
            <w:pPr>
              <w:jc w:val="center"/>
              <w:rPr>
                <w:b/>
                <w:bCs/>
                <w:color w:val="auto"/>
                <w:highlight w:val="none"/>
              </w:rPr>
            </w:pPr>
            <w:r>
              <w:rPr>
                <w:b/>
                <w:bCs/>
                <w:color w:val="auto"/>
                <w:highlight w:val="none"/>
              </w:rPr>
              <w:t xml:space="preserve">单位</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w:t>
            </w:r>
            <w:r/>
          </w:p>
        </w:tc>
        <w:tc>
          <w:tcPr>
            <w:gridSpan w:val="2"/>
            <w:tcW w:w="2659" w:type="dxa"/>
            <w:vAlign w:val="center"/>
            <w:textDirection w:val="lrTb"/>
            <w:noWrap w:val="false"/>
          </w:tcPr>
          <w:p>
            <w:pPr>
              <w:rPr>
                <w:color w:val="auto"/>
                <w:highlight w:val="none"/>
              </w:rPr>
            </w:pPr>
            <w:r>
              <w:rPr>
                <w:rFonts w:hint="eastAsia"/>
                <w:color w:val="auto"/>
                <w:highlight w:val="none"/>
              </w:rPr>
              <w:t xml:space="preserve">零信任系统</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2</w:t>
            </w:r>
            <w:r/>
          </w:p>
        </w:tc>
        <w:tc>
          <w:tcPr>
            <w:gridSpan w:val="2"/>
            <w:tcW w:w="2659" w:type="dxa"/>
            <w:vAlign w:val="center"/>
            <w:textDirection w:val="lrTb"/>
            <w:noWrap w:val="false"/>
          </w:tcPr>
          <w:p>
            <w:pPr>
              <w:rPr>
                <w:color w:val="auto"/>
                <w:highlight w:val="none"/>
              </w:rPr>
            </w:pPr>
            <w:r>
              <w:rPr>
                <w:color w:val="auto"/>
                <w:highlight w:val="none"/>
              </w:rPr>
              <w:t xml:space="preserve">备份一体机</w:t>
            </w:r>
            <w:r>
              <w:rPr>
                <w:rFonts w:hint="eastAsia"/>
                <w:color w:val="auto"/>
                <w:highlight w:val="none"/>
              </w:rPr>
              <w:t xml:space="preserve">扩容</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套</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3</w:t>
            </w:r>
            <w:r/>
          </w:p>
        </w:tc>
        <w:tc>
          <w:tcPr>
            <w:gridSpan w:val="2"/>
            <w:tcW w:w="2659" w:type="dxa"/>
            <w:vAlign w:val="center"/>
            <w:textDirection w:val="lrTb"/>
            <w:noWrap w:val="false"/>
          </w:tcPr>
          <w:p>
            <w:pPr>
              <w:rPr>
                <w:color w:val="auto"/>
                <w:highlight w:val="none"/>
              </w:rPr>
            </w:pPr>
            <w:r>
              <w:rPr>
                <w:color w:val="auto"/>
                <w:highlight w:val="none"/>
              </w:rPr>
              <w:t xml:space="preserve">链路负载均衡</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2</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4</w:t>
            </w:r>
            <w:r/>
          </w:p>
        </w:tc>
        <w:tc>
          <w:tcPr>
            <w:gridSpan w:val="2"/>
            <w:tcW w:w="2659" w:type="dxa"/>
            <w:vAlign w:val="center"/>
            <w:textDirection w:val="lrTb"/>
            <w:noWrap w:val="false"/>
          </w:tcPr>
          <w:p>
            <w:pPr>
              <w:rPr>
                <w:color w:val="auto"/>
                <w:highlight w:val="none"/>
              </w:rPr>
            </w:pPr>
            <w:r>
              <w:rPr>
                <w:color w:val="auto"/>
                <w:highlight w:val="none"/>
              </w:rPr>
              <w:t xml:space="preserve">分线交换机</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2</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5</w:t>
            </w:r>
            <w:r/>
          </w:p>
        </w:tc>
        <w:tc>
          <w:tcPr>
            <w:gridSpan w:val="2"/>
            <w:tcW w:w="2659" w:type="dxa"/>
            <w:vAlign w:val="center"/>
            <w:textDirection w:val="lrTb"/>
            <w:noWrap w:val="false"/>
          </w:tcPr>
          <w:p>
            <w:pPr>
              <w:rPr>
                <w:color w:val="auto"/>
                <w:highlight w:val="none"/>
              </w:rPr>
            </w:pPr>
            <w:r>
              <w:rPr>
                <w:color w:val="auto"/>
                <w:highlight w:val="none"/>
              </w:rPr>
              <w:t xml:space="preserve">WEB应用防火墙</w:t>
            </w:r>
            <w:r>
              <w:rPr>
                <w:rFonts w:hint="eastAsia"/>
                <w:color w:val="auto"/>
                <w:highlight w:val="none"/>
              </w:rPr>
              <w:t xml:space="preserve">1</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6</w:t>
            </w:r>
            <w:r/>
          </w:p>
        </w:tc>
        <w:tc>
          <w:tcPr>
            <w:gridSpan w:val="2"/>
            <w:tcW w:w="2659" w:type="dxa"/>
            <w:vAlign w:val="center"/>
            <w:textDirection w:val="lrTb"/>
            <w:noWrap w:val="false"/>
          </w:tcPr>
          <w:p>
            <w:pPr>
              <w:rPr>
                <w:color w:val="auto"/>
                <w:highlight w:val="none"/>
              </w:rPr>
            </w:pPr>
            <w:r>
              <w:rPr>
                <w:color w:val="auto"/>
                <w:highlight w:val="none"/>
              </w:rPr>
              <w:t xml:space="preserve">WEB应用防火墙</w:t>
            </w:r>
            <w:r>
              <w:rPr>
                <w:rFonts w:hint="eastAsia"/>
                <w:color w:val="auto"/>
                <w:highlight w:val="none"/>
              </w:rPr>
              <w:t xml:space="preserve">2</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7</w:t>
            </w:r>
            <w:r/>
          </w:p>
        </w:tc>
        <w:tc>
          <w:tcPr>
            <w:gridSpan w:val="2"/>
            <w:tcW w:w="2659" w:type="dxa"/>
            <w:vAlign w:val="center"/>
            <w:textDirection w:val="lrTb"/>
            <w:noWrap w:val="false"/>
          </w:tcPr>
          <w:p>
            <w:pPr>
              <w:rPr>
                <w:color w:val="auto"/>
                <w:highlight w:val="none"/>
              </w:rPr>
            </w:pPr>
            <w:r>
              <w:rPr>
                <w:rFonts w:hint="eastAsia"/>
                <w:color w:val="auto"/>
                <w:highlight w:val="none"/>
              </w:rPr>
              <w:t xml:space="preserve">超融合软件</w:t>
            </w:r>
            <w:r/>
          </w:p>
        </w:tc>
        <w:tc>
          <w:tcPr>
            <w:tcW w:w="3119" w:type="dxa"/>
            <w:vAlign w:val="center"/>
            <w:textDirection w:val="lrTb"/>
            <w:noWrap w:val="false"/>
          </w:tcPr>
          <w:p>
            <w:pPr>
              <w:jc w:val="cente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套</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8</w:t>
            </w:r>
            <w:r/>
          </w:p>
        </w:tc>
        <w:tc>
          <w:tcPr>
            <w:gridSpan w:val="2"/>
            <w:tcW w:w="2659" w:type="dxa"/>
            <w:vAlign w:val="center"/>
            <w:textDirection w:val="lrTb"/>
            <w:noWrap w:val="false"/>
          </w:tcPr>
          <w:p>
            <w:pPr>
              <w:rPr>
                <w:color w:val="auto"/>
                <w:highlight w:val="none"/>
              </w:rPr>
            </w:pPr>
            <w:r>
              <w:rPr>
                <w:color w:val="auto"/>
                <w:highlight w:val="none"/>
              </w:rPr>
              <w:t xml:space="preserve">堡垒机</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vMerge w:val="restart"/>
            <w:textDirection w:val="lrTb"/>
            <w:noWrap w:val="false"/>
          </w:tcPr>
          <w:p>
            <w:pPr>
              <w:jc w:val="center"/>
              <w:rPr>
                <w:color w:val="auto"/>
                <w:highlight w:val="none"/>
              </w:rPr>
            </w:pPr>
            <w:r>
              <w:rPr>
                <w:rFonts w:hint="eastAsia"/>
                <w:color w:val="auto"/>
                <w:highlight w:val="none"/>
              </w:rPr>
              <w:t xml:space="preserve">9</w:t>
            </w:r>
            <w:r/>
          </w:p>
        </w:tc>
        <w:tc>
          <w:tcPr>
            <w:tcW w:w="1095" w:type="dxa"/>
            <w:vAlign w:val="center"/>
            <w:vMerge w:val="restart"/>
            <w:textDirection w:val="lrTb"/>
            <w:noWrap w:val="false"/>
          </w:tcPr>
          <w:p>
            <w:pPr>
              <w:rPr>
                <w:color w:val="auto"/>
                <w:highlight w:val="none"/>
              </w:rPr>
            </w:pPr>
            <w:r>
              <w:rPr>
                <w:rFonts w:hint="eastAsia"/>
                <w:color w:val="auto"/>
                <w:highlight w:val="none"/>
              </w:rPr>
              <w:t xml:space="preserve">态势感知系统</w:t>
            </w:r>
            <w:r/>
          </w:p>
        </w:tc>
        <w:tc>
          <w:tcPr>
            <w:tcW w:w="1564" w:type="dxa"/>
            <w:vAlign w:val="center"/>
            <w:textDirection w:val="lrTb"/>
            <w:noWrap w:val="false"/>
          </w:tcPr>
          <w:p>
            <w:pPr>
              <w:rPr>
                <w:color w:val="auto"/>
                <w:highlight w:val="none"/>
              </w:rPr>
            </w:pPr>
            <w:r>
              <w:rPr>
                <w:rFonts w:hint="eastAsia"/>
                <w:color w:val="auto"/>
                <w:highlight w:val="none"/>
              </w:rPr>
              <w:t xml:space="preserve">态势感知平台</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vMerge w:val="continue"/>
            <w:textDirection w:val="lrTb"/>
            <w:noWrap w:val="false"/>
          </w:tcPr>
          <w:p>
            <w:pPr>
              <w:jc w:val="center"/>
              <w:rPr>
                <w:color w:val="auto"/>
                <w:highlight w:val="none"/>
              </w:rPr>
            </w:pPr>
            <w:r>
              <w:rPr>
                <w:color w:val="auto"/>
                <w:highlight w:val="none"/>
              </w:rPr>
            </w:r>
            <w:r/>
          </w:p>
        </w:tc>
        <w:tc>
          <w:tcPr>
            <w:tcW w:w="1095" w:type="dxa"/>
            <w:vAlign w:val="center"/>
            <w:vMerge w:val="continue"/>
            <w:textDirection w:val="lrTb"/>
            <w:noWrap w:val="false"/>
          </w:tcPr>
          <w:p>
            <w:pPr>
              <w:rPr>
                <w:color w:val="auto"/>
                <w:highlight w:val="none"/>
              </w:rPr>
            </w:pPr>
            <w:r>
              <w:rPr>
                <w:color w:val="auto"/>
                <w:highlight w:val="none"/>
              </w:rPr>
            </w:r>
            <w:r/>
          </w:p>
        </w:tc>
        <w:tc>
          <w:tcPr>
            <w:tcW w:w="1564" w:type="dxa"/>
            <w:vAlign w:val="center"/>
            <w:textDirection w:val="lrTb"/>
            <w:noWrap w:val="false"/>
          </w:tcPr>
          <w:p>
            <w:pPr>
              <w:rPr>
                <w:color w:val="auto"/>
                <w:highlight w:val="none"/>
              </w:rPr>
            </w:pPr>
            <w:r>
              <w:rPr>
                <w:rFonts w:hint="eastAsia"/>
                <w:color w:val="auto"/>
                <w:highlight w:val="none"/>
              </w:rPr>
              <w:t xml:space="preserve">探针</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3</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10</w:t>
            </w:r>
            <w:r/>
          </w:p>
        </w:tc>
        <w:tc>
          <w:tcPr>
            <w:gridSpan w:val="2"/>
            <w:tcW w:w="2659" w:type="dxa"/>
            <w:vAlign w:val="center"/>
            <w:textDirection w:val="lrTb"/>
            <w:noWrap w:val="false"/>
          </w:tcPr>
          <w:p>
            <w:pPr>
              <w:rPr>
                <w:color w:val="auto"/>
                <w:highlight w:val="none"/>
              </w:rPr>
            </w:pPr>
            <w:r>
              <w:rPr>
                <w:color w:val="auto"/>
                <w:highlight w:val="none"/>
              </w:rPr>
              <w:t xml:space="preserve">外网入侵防御</w:t>
            </w:r>
            <w:r>
              <w:rPr>
                <w:rFonts w:hint="eastAsia"/>
                <w:color w:val="auto"/>
                <w:highlight w:val="none"/>
              </w:rPr>
              <w:t xml:space="preserve">1</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11</w:t>
            </w:r>
            <w:r/>
          </w:p>
        </w:tc>
        <w:tc>
          <w:tcPr>
            <w:gridSpan w:val="2"/>
            <w:tcW w:w="2659" w:type="dxa"/>
            <w:vAlign w:val="center"/>
            <w:textDirection w:val="lrTb"/>
            <w:noWrap w:val="false"/>
          </w:tcPr>
          <w:p>
            <w:pPr>
              <w:rPr>
                <w:color w:val="auto"/>
                <w:highlight w:val="none"/>
              </w:rPr>
            </w:pPr>
            <w:r>
              <w:rPr>
                <w:color w:val="auto"/>
                <w:highlight w:val="none"/>
              </w:rPr>
              <w:t xml:space="preserve">外网入侵防御</w:t>
            </w:r>
            <w:r>
              <w:rPr>
                <w:rFonts w:hint="eastAsia"/>
                <w:color w:val="auto"/>
                <w:highlight w:val="none"/>
              </w:rPr>
              <w:t xml:space="preserve">2</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12</w:t>
            </w:r>
            <w:r/>
          </w:p>
        </w:tc>
        <w:tc>
          <w:tcPr>
            <w:gridSpan w:val="2"/>
            <w:tcW w:w="2659" w:type="dxa"/>
            <w:vAlign w:val="center"/>
            <w:textDirection w:val="lrTb"/>
            <w:noWrap w:val="false"/>
          </w:tcPr>
          <w:p>
            <w:pPr>
              <w:rPr>
                <w:color w:val="auto"/>
                <w:highlight w:val="none"/>
              </w:rPr>
            </w:pPr>
            <w:r>
              <w:rPr>
                <w:color w:val="auto"/>
                <w:highlight w:val="none"/>
              </w:rPr>
              <w:t xml:space="preserve">外网防火墙（含AV模块）</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2</w:t>
            </w:r>
            <w:r/>
          </w:p>
        </w:tc>
        <w:tc>
          <w:tcPr>
            <w:tcW w:w="1134" w:type="dxa"/>
            <w:vAlign w:val="center"/>
            <w:textDirection w:val="lrTb"/>
            <w:noWrap w:val="false"/>
          </w:tcPr>
          <w:p>
            <w:pPr>
              <w:jc w:val="center"/>
              <w:rPr>
                <w:color w:val="auto"/>
                <w:highlight w:val="none"/>
              </w:rPr>
            </w:pPr>
            <w:r>
              <w:rPr>
                <w:rFonts w:hint="eastAsia"/>
                <w:color w:val="auto"/>
                <w:highlight w:val="none"/>
              </w:rPr>
              <w:t xml:space="preserve">台</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13</w:t>
            </w:r>
            <w:r/>
          </w:p>
        </w:tc>
        <w:tc>
          <w:tcPr>
            <w:gridSpan w:val="2"/>
            <w:tcW w:w="2659" w:type="dxa"/>
            <w:vAlign w:val="center"/>
            <w:textDirection w:val="lrTb"/>
            <w:noWrap w:val="false"/>
          </w:tcPr>
          <w:p>
            <w:pPr>
              <w:rPr>
                <w:color w:val="auto"/>
                <w:highlight w:val="none"/>
              </w:rPr>
            </w:pPr>
            <w:r>
              <w:rPr>
                <w:rFonts w:hint="eastAsia"/>
                <w:color w:val="auto"/>
                <w:highlight w:val="none"/>
              </w:rPr>
              <w:t xml:space="preserve">渗透测试及漏扫服务</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套</w:t>
            </w:r>
            <w:r/>
          </w:p>
        </w:tc>
      </w:tr>
      <w:tr>
        <w:trPr>
          <w:jc w:val="center"/>
          <w:trHeight w:val="340"/>
        </w:trPr>
        <w:tc>
          <w:tcPr>
            <w:tcW w:w="1027" w:type="dxa"/>
            <w:vAlign w:val="center"/>
            <w:textDirection w:val="lrTb"/>
            <w:noWrap w:val="false"/>
          </w:tcPr>
          <w:p>
            <w:pPr>
              <w:jc w:val="center"/>
              <w:rPr>
                <w:color w:val="auto"/>
                <w:highlight w:val="none"/>
              </w:rPr>
            </w:pPr>
            <w:r>
              <w:rPr>
                <w:rFonts w:hint="eastAsia"/>
                <w:color w:val="auto"/>
                <w:highlight w:val="none"/>
              </w:rPr>
              <w:t xml:space="preserve">14</w:t>
            </w:r>
            <w:r/>
          </w:p>
        </w:tc>
        <w:tc>
          <w:tcPr>
            <w:gridSpan w:val="2"/>
            <w:tcW w:w="2659" w:type="dxa"/>
            <w:vAlign w:val="center"/>
            <w:textDirection w:val="lrTb"/>
            <w:noWrap w:val="false"/>
          </w:tcPr>
          <w:p>
            <w:pPr>
              <w:rPr>
                <w:color w:val="auto"/>
                <w:highlight w:val="none"/>
              </w:rPr>
            </w:pPr>
            <w:r>
              <w:rPr>
                <w:rFonts w:hint="eastAsia"/>
                <w:color w:val="auto"/>
                <w:highlight w:val="none"/>
              </w:rPr>
              <w:t xml:space="preserve">安全运营服务</w:t>
            </w:r>
            <w:r/>
          </w:p>
        </w:tc>
        <w:tc>
          <w:tcPr>
            <w:tcW w:w="3119" w:type="dxa"/>
            <w:vAlign w:val="center"/>
            <w:textDirection w:val="lrTb"/>
            <w:noWrap w:val="false"/>
          </w:tcPr>
          <w:p>
            <w:pPr>
              <w:rPr>
                <w:color w:val="auto"/>
                <w:highlight w:val="none"/>
              </w:rPr>
            </w:pPr>
            <w:r>
              <w:rPr>
                <w:rFonts w:hint="eastAsia"/>
                <w:color w:val="auto"/>
                <w:highlight w:val="none"/>
              </w:rPr>
              <w:t xml:space="preserve">详见“技术要求与功能参数”</w:t>
            </w:r>
            <w:r/>
          </w:p>
        </w:tc>
        <w:tc>
          <w:tcPr>
            <w:tcW w:w="992" w:type="dxa"/>
            <w:vAlign w:val="center"/>
            <w:textDirection w:val="lrTb"/>
            <w:noWrap w:val="false"/>
          </w:tcPr>
          <w:p>
            <w:pPr>
              <w:jc w:val="center"/>
              <w:rPr>
                <w:color w:val="auto"/>
                <w:highlight w:val="none"/>
              </w:rPr>
            </w:pPr>
            <w:r>
              <w:rPr>
                <w:rFonts w:hint="eastAsia"/>
                <w:color w:val="auto"/>
                <w:highlight w:val="none"/>
              </w:rPr>
              <w:t xml:space="preserve">1</w:t>
            </w:r>
            <w:r/>
          </w:p>
        </w:tc>
        <w:tc>
          <w:tcPr>
            <w:tcW w:w="1134" w:type="dxa"/>
            <w:vAlign w:val="center"/>
            <w:textDirection w:val="lrTb"/>
            <w:noWrap w:val="false"/>
          </w:tcPr>
          <w:p>
            <w:pPr>
              <w:jc w:val="center"/>
              <w:rPr>
                <w:color w:val="auto"/>
                <w:highlight w:val="none"/>
              </w:rPr>
            </w:pPr>
            <w:r>
              <w:rPr>
                <w:rFonts w:hint="eastAsia"/>
                <w:color w:val="auto"/>
                <w:highlight w:val="none"/>
              </w:rPr>
              <w:t xml:space="preserve">套</w:t>
            </w:r>
            <w:r/>
          </w:p>
        </w:tc>
      </w:tr>
    </w:tbl>
    <w:p>
      <w:pPr>
        <w:rPr>
          <w:color w:val="auto"/>
          <w:highlight w:val="none"/>
        </w:rPr>
      </w:pPr>
      <w:r>
        <w:rPr>
          <w:color w:val="auto"/>
          <w:highlight w:val="none"/>
        </w:rPr>
      </w:r>
      <w:r/>
    </w:p>
    <w:p>
      <w:pPr>
        <w:pStyle w:val="738"/>
        <w:rPr>
          <w:color w:val="auto"/>
          <w:highlight w:val="none"/>
        </w:rPr>
      </w:pPr>
      <w:r>
        <w:rPr>
          <w:color w:val="auto"/>
          <w:highlight w:val="none"/>
        </w:rPr>
      </w:r>
      <w:r/>
    </w:p>
    <w:p>
      <w:pPr>
        <w:keepLines/>
        <w:keepNext/>
        <w:spacing w:before="120" w:after="120"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二、技术要求与功能参数</w:t>
      </w:r>
      <w:r/>
    </w:p>
    <w:p>
      <w:pPr>
        <w:pStyle w:val="697"/>
        <w:ind w:left="425" w:hanging="425"/>
        <w:spacing w:line="480" w:lineRule="auto"/>
        <w:rPr>
          <w:color w:val="auto"/>
          <w:sz w:val="21"/>
          <w:szCs w:val="21"/>
          <w:highlight w:val="none"/>
        </w:rPr>
      </w:pPr>
      <w:r>
        <w:rPr>
          <w:rFonts w:hint="eastAsia"/>
          <w:color w:val="auto"/>
          <w:sz w:val="21"/>
          <w:szCs w:val="21"/>
          <w:highlight w:val="none"/>
        </w:rPr>
        <w:t xml:space="preserve">2.1零信任系统</w:t>
      </w:r>
      <w:r/>
    </w:p>
    <w:tbl>
      <w:tblPr>
        <w:tblStyle w:val="705"/>
        <w:tblW w:w="878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702"/>
        <w:gridCol w:w="7087"/>
      </w:tblGrid>
      <w:tr>
        <w:trPr>
          <w:trHeight w:val="623"/>
        </w:trPr>
        <w:tc>
          <w:tcPr>
            <w:tcW w:w="1702"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7087" w:type="dxa"/>
            <w:vAlign w:val="center"/>
            <w:textDirection w:val="lrTb"/>
            <w:noWrap w:val="false"/>
          </w:tcPr>
          <w:p>
            <w:pPr>
              <w:jc w:val="center"/>
              <w:rPr>
                <w:b/>
                <w:bCs/>
                <w:color w:val="auto"/>
                <w:highlight w:val="none"/>
              </w:rPr>
            </w:pPr>
            <w:r>
              <w:rPr>
                <w:b/>
                <w:bCs/>
                <w:color w:val="auto"/>
                <w:highlight w:val="none"/>
              </w:rPr>
              <w:t xml:space="preserve">指标要求</w:t>
            </w:r>
            <w:r/>
          </w:p>
        </w:tc>
      </w:tr>
      <w:tr>
        <w:trPr>
          <w:trHeight w:val="569"/>
        </w:trPr>
        <w:tc>
          <w:tcPr>
            <w:tcW w:w="1702" w:type="dxa"/>
            <w:vAlign w:val="center"/>
            <w:vMerge w:val="restart"/>
            <w:textDirection w:val="lrTb"/>
            <w:noWrap w:val="false"/>
          </w:tcPr>
          <w:p>
            <w:pPr>
              <w:jc w:val="center"/>
              <w:spacing w:line="480" w:lineRule="auto"/>
              <w:rPr>
                <w:color w:val="auto"/>
                <w:highlight w:val="none"/>
              </w:rPr>
            </w:pPr>
            <w:r>
              <w:rPr>
                <w:rFonts w:hint="eastAsia"/>
                <w:color w:val="auto"/>
                <w:highlight w:val="none"/>
              </w:rPr>
              <w:t xml:space="preserve">基础要求</w:t>
            </w:r>
            <w:r/>
          </w:p>
        </w:tc>
        <w:tc>
          <w:tcPr>
            <w:tcW w:w="7087" w:type="dxa"/>
            <w:vAlign w:val="center"/>
            <w:textDirection w:val="lrTb"/>
            <w:noWrap w:val="false"/>
          </w:tcPr>
          <w:p>
            <w:pPr>
              <w:rPr>
                <w:color w:val="auto"/>
                <w:highlight w:val="none"/>
              </w:rPr>
            </w:pPr>
            <w:r>
              <w:rPr>
                <w:rFonts w:hint="eastAsia"/>
                <w:color w:val="auto"/>
                <w:highlight w:val="none"/>
              </w:rPr>
              <w:t xml:space="preserve">采用信创CPU和信创操作系统。</w:t>
            </w:r>
            <w:r/>
          </w:p>
        </w:tc>
      </w:tr>
      <w:tr>
        <w:trPr>
          <w:trHeight w:val="521"/>
        </w:trPr>
        <w:tc>
          <w:tcPr>
            <w:tcW w:w="1702" w:type="dxa"/>
            <w:vAlign w:val="center"/>
            <w:vMerge w:val="continue"/>
            <w:textDirection w:val="lrTb"/>
            <w:noWrap w:val="false"/>
          </w:tcPr>
          <w:p>
            <w:pPr>
              <w:spacing w:line="480" w:lineRule="auto"/>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性能参数：最大理论加密流量≥</w:t>
            </w:r>
            <w:r>
              <w:rPr>
                <w:color w:val="auto"/>
                <w:highlight w:val="none"/>
              </w:rPr>
              <w:t xml:space="preserve">600，最大理论建议并发用户数</w:t>
            </w:r>
            <w:r>
              <w:rPr>
                <w:rFonts w:hint="eastAsia"/>
                <w:color w:val="auto"/>
                <w:highlight w:val="none"/>
              </w:rPr>
              <w:t xml:space="preserve">≥</w:t>
            </w:r>
            <w:r>
              <w:rPr>
                <w:color w:val="auto"/>
                <w:highlight w:val="none"/>
              </w:rPr>
              <w:t xml:space="preserve">1200</w:t>
            </w:r>
            <w:r>
              <w:rPr>
                <w:rFonts w:hint="eastAsia"/>
                <w:color w:val="auto"/>
                <w:highlight w:val="none"/>
              </w:rPr>
              <w:t xml:space="preserve">。</w:t>
            </w:r>
            <w:r/>
          </w:p>
        </w:tc>
      </w:tr>
      <w:tr>
        <w:trPr>
          <w:trHeight w:val="690"/>
        </w:trPr>
        <w:tc>
          <w:tcPr>
            <w:tcW w:w="1702" w:type="dxa"/>
            <w:vAlign w:val="center"/>
            <w:vMerge w:val="continue"/>
            <w:textDirection w:val="lrTb"/>
            <w:noWrap w:val="false"/>
          </w:tcPr>
          <w:p>
            <w:pPr>
              <w:spacing w:line="480" w:lineRule="auto"/>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硬件参数：内存大小≥</w:t>
            </w:r>
            <w:r>
              <w:rPr>
                <w:color w:val="auto"/>
                <w:highlight w:val="none"/>
              </w:rPr>
              <w:t xml:space="preserve">16G，硬盘容量</w:t>
            </w:r>
            <w:r>
              <w:rPr>
                <w:rFonts w:hint="eastAsia"/>
                <w:color w:val="auto"/>
                <w:highlight w:val="none"/>
              </w:rPr>
              <w:t xml:space="preserve">≥</w:t>
            </w:r>
            <w:r>
              <w:rPr>
                <w:color w:val="auto"/>
                <w:highlight w:val="none"/>
              </w:rPr>
              <w:t xml:space="preserve">480G SSD，接口</w:t>
            </w:r>
            <w:r>
              <w:rPr>
                <w:rFonts w:hint="eastAsia"/>
                <w:color w:val="auto"/>
                <w:highlight w:val="none"/>
              </w:rPr>
              <w:t xml:space="preserve">≥</w:t>
            </w:r>
            <w:r>
              <w:rPr>
                <w:color w:val="auto"/>
                <w:highlight w:val="none"/>
              </w:rPr>
              <w:t xml:space="preserve">6千兆电口+4千兆光口SFP</w:t>
            </w:r>
            <w:r>
              <w:rPr>
                <w:rFonts w:hint="eastAsia"/>
                <w:color w:val="auto"/>
                <w:highlight w:val="none"/>
              </w:rPr>
              <w:t xml:space="preserve">（含光纤线和光模块），</w:t>
            </w:r>
            <w:r>
              <w:rPr>
                <w:color w:val="auto"/>
                <w:highlight w:val="none"/>
              </w:rPr>
              <w:t xml:space="preserve">冗余电源</w:t>
            </w:r>
            <w:r>
              <w:rPr>
                <w:rFonts w:hint="eastAsia"/>
                <w:color w:val="auto"/>
                <w:highlight w:val="none"/>
              </w:rPr>
              <w:t xml:space="preserve">。</w:t>
            </w:r>
            <w:r/>
          </w:p>
        </w:tc>
      </w:tr>
      <w:tr>
        <w:trPr>
          <w:trHeight w:val="525"/>
        </w:trPr>
        <w:tc>
          <w:tcPr>
            <w:tcW w:w="1702" w:type="dxa"/>
            <w:vAlign w:val="center"/>
            <w:vMerge w:val="continue"/>
            <w:textDirection w:val="lrTb"/>
            <w:noWrap w:val="false"/>
          </w:tcPr>
          <w:p>
            <w:pPr>
              <w:spacing w:line="480" w:lineRule="auto"/>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提供不少于2</w:t>
            </w:r>
            <w:r>
              <w:rPr>
                <w:color w:val="auto"/>
                <w:highlight w:val="none"/>
              </w:rPr>
              <w:t xml:space="preserve">00</w:t>
            </w:r>
            <w:r>
              <w:rPr>
                <w:rFonts w:hint="eastAsia"/>
                <w:color w:val="auto"/>
                <w:highlight w:val="none"/>
              </w:rPr>
              <w:t xml:space="preserve">套零信任接入授权（买断）。</w:t>
            </w:r>
            <w:r/>
          </w:p>
        </w:tc>
      </w:tr>
      <w:tr>
        <w:trPr>
          <w:trHeight w:val="690"/>
        </w:trPr>
        <w:tc>
          <w:tcPr>
            <w:tcW w:w="1702" w:type="dxa"/>
            <w:vAlign w:val="center"/>
            <w:vMerge w:val="restart"/>
            <w:textDirection w:val="lrTb"/>
            <w:noWrap w:val="false"/>
          </w:tcPr>
          <w:p>
            <w:pPr>
              <w:jc w:val="center"/>
              <w:rPr>
                <w:color w:val="auto"/>
                <w:highlight w:val="none"/>
              </w:rPr>
            </w:pPr>
            <w:r>
              <w:rPr>
                <w:rFonts w:hint="eastAsia"/>
                <w:color w:val="auto"/>
                <w:highlight w:val="none"/>
              </w:rPr>
              <w:t xml:space="preserve">功能要求</w:t>
            </w:r>
            <w:r/>
          </w:p>
        </w:tc>
        <w:tc>
          <w:tcPr>
            <w:tcW w:w="7087" w:type="dxa"/>
            <w:vAlign w:val="center"/>
            <w:textDirection w:val="lrTb"/>
            <w:noWrap w:val="false"/>
          </w:tcPr>
          <w:p>
            <w:pPr>
              <w:rPr>
                <w:color w:val="auto"/>
                <w:highlight w:val="none"/>
              </w:rPr>
            </w:pPr>
            <w:r>
              <w:rPr>
                <w:rFonts w:hint="eastAsia"/>
                <w:color w:val="auto"/>
                <w:highlight w:val="none"/>
              </w:rPr>
              <w:t xml:space="preserve"> ▲支持配置点击工作台的业务应用即可直接拉起对应的CS程序进行访问，包括但不限于浏览器、远程桌面或其他指定程序，支持Windows、macOS、统信UOS、麒麟kylin、中科方德、Ubuntu等主流操作系统；针对Windows系统，还应支持拉起CS应用时携带启动参数，自动访问管理员设定的地址（需提供产品功能截图证明）</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 为了保障</w:t>
            </w:r>
            <w:r>
              <w:rPr>
                <w:rFonts w:hint="eastAsia"/>
                <w:color w:val="auto"/>
                <w:highlight w:val="none"/>
              </w:rPr>
              <w:t xml:space="preserve">用户在信创终端上的正常业务访问，零信任客户端应兼容主流国产硬件CPU的国产操作系统终端，需提供国产操作系统与零信任厂商的兼容性证明，包括但不限于麒麟V10×龙芯、麒麟V10×龙芯LoongArch、麒麟V10×飞腾、麒麟V10×鲲鹏、麒麟V10×兆芯、麒麟V10×海光、麒麟V10×海思麒麟；统信V20×龙芯（3A3000、3A4000）、统信V20×龙芯（3A5000）、统信V20×飞腾、统信V20×鲲鹏、统信V20×海光、统信V20×兆芯、中科方德×飞腾、中科方德×海光、中科方德×兆芯、中科方德×龙芯等。</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支持隧道模式资源发布，基于TCP、UDP、ICMP等协议代理访问业务资源，支持发布IP、IP范围、IP段、具体域名及通配符域名等形式的服务器地址，满足常见办公业务的代理，收缩业务暴露面。支持以隧道模式发布http/https协议的资源，以增加在隧道模式下发布的资源的URL级别审计能力，同时支持为隧道资源添加WEB水印以及单点登录功能。</w:t>
            </w:r>
            <w:r/>
          </w:p>
        </w:tc>
      </w:tr>
      <w:tr>
        <w:trPr>
          <w:trHeight w:val="48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 支持管理员自行配置单位的弱密码库，可配置不少于10万行的弱密码。</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支持WEB模式资源发布，可以支持基于http或https协议代理访问业务资源，支持发布IP或域名形式的后端服务器地址，支持通过域名+URL路径发布和授权应用。支持将WEB应用以免认证的形式发布。</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支持对剩余日志空间进行检查；对syslog日志连通性进行检查；支持检查是否开启了虚拟IP功能。</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支持以私有DNS发布医院资源，无需额外购买DNS服务即可使用域名访问内网资源，支持管理员自主配置是否允许从具体网络区域（局域网/互联网）接入时使用此私有DNS解析地址。</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为了保障单位员工认证安全与便捷性的平衡，需支持设置授信终端绑定，支持配置绑定授信终端的可信网络区域、增强认证条件；并可限定用户可绑定的授信终端数量；支持配置一个账号绑定一个终端或绑定多个终端；支持用户自主绑定授信终端并设定不限于短信认证、令牌认证等</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 支持共享虚拟IP池模式、独享虚拟IP模式。</w:t>
            </w:r>
            <w:r/>
          </w:p>
        </w:tc>
      </w:tr>
      <w:tr>
        <w:trPr>
          <w:trHeight w:val="690"/>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 支持配置医院的CDN作为零信任客户端下载地址，以降低设备本身的非业务访问带宽压力。当客户端通过CDN加速等代理方式接入访问业务系统时，支持获取CDN加速前的访问IP。</w:t>
            </w:r>
            <w:r/>
          </w:p>
        </w:tc>
      </w:tr>
      <w:tr>
        <w:trPr>
          <w:trHeight w:val="1046"/>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支持终端环境诊断排查，提供终端诊断工具，支持对当前终端的基本环境进行扫描和一键修复；支持客户端应用访问诊断，输入应用地址后自动检测应用连通性；支持客户端自助日志收集；</w:t>
            </w:r>
            <w:r/>
          </w:p>
        </w:tc>
      </w:tr>
      <w:tr>
        <w:trPr>
          <w:trHeight w:val="679"/>
        </w:trPr>
        <w:tc>
          <w:tcPr>
            <w:tcW w:w="1702" w:type="dxa"/>
            <w:vAlign w:val="center"/>
            <w:vMerge w:val="continue"/>
            <w:textDirection w:val="lrTb"/>
            <w:noWrap w:val="false"/>
          </w:tcPr>
          <w:p>
            <w:pPr>
              <w:rPr>
                <w:color w:val="auto"/>
                <w:highlight w:val="none"/>
              </w:rPr>
            </w:pPr>
            <w:r>
              <w:rPr>
                <w:color w:val="auto"/>
                <w:highlight w:val="none"/>
              </w:rPr>
            </w:r>
            <w:r/>
          </w:p>
        </w:tc>
        <w:tc>
          <w:tcPr>
            <w:tcW w:w="7087" w:type="dxa"/>
            <w:vAlign w:val="center"/>
            <w:textDirection w:val="lrTb"/>
            <w:noWrap w:val="false"/>
          </w:tcPr>
          <w:p>
            <w:pPr>
              <w:rPr>
                <w:color w:val="auto"/>
                <w:highlight w:val="none"/>
              </w:rPr>
            </w:pPr>
            <w:r>
              <w:rPr>
                <w:rFonts w:hint="eastAsia"/>
                <w:color w:val="auto"/>
                <w:highlight w:val="none"/>
              </w:rPr>
              <w:t xml:space="preserve"> 为提升客户端使用体验，零信任移动客户端应支持大字模式，启用后，字体、图标、按钮都适当比例放大。</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2.2备份一体机扩容</w:t>
      </w:r>
      <w:r/>
    </w:p>
    <w:tbl>
      <w:tblPr>
        <w:tblStyle w:val="705"/>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6804"/>
      </w:tblGrid>
      <w:tr>
        <w:trPr>
          <w:jc w:val="center"/>
          <w:trHeight w:val="519"/>
        </w:trPr>
        <w:tc>
          <w:tcPr>
            <w:tcW w:w="2319" w:type="dxa"/>
            <w:vAlign w:val="center"/>
            <w:textDirection w:val="lrTb"/>
            <w:noWrap w:val="false"/>
          </w:tcPr>
          <w:p>
            <w:pPr>
              <w:jc w:val="center"/>
              <w:rPr>
                <w:b/>
                <w:bCs/>
                <w:color w:val="auto"/>
                <w:highlight w:val="none"/>
              </w:rPr>
            </w:pPr>
            <w:r/>
            <w:bookmarkStart w:id="178" w:name="_Hlk230959399"/>
            <w:r>
              <w:rPr>
                <w:b/>
                <w:bCs/>
                <w:color w:val="auto"/>
                <w:highlight w:val="none"/>
              </w:rPr>
              <w:t xml:space="preserve">技术指标</w:t>
            </w:r>
            <w:r/>
          </w:p>
        </w:tc>
        <w:tc>
          <w:tcPr>
            <w:tcW w:w="6804" w:type="dxa"/>
            <w:vAlign w:val="center"/>
            <w:textDirection w:val="lrTb"/>
            <w:noWrap w:val="false"/>
          </w:tcPr>
          <w:p>
            <w:pPr>
              <w:jc w:val="center"/>
              <w:rPr>
                <w:b/>
                <w:bCs/>
                <w:color w:val="auto"/>
                <w:highlight w:val="none"/>
              </w:rPr>
            </w:pPr>
            <w:r>
              <w:rPr>
                <w:b/>
                <w:bCs/>
                <w:color w:val="auto"/>
                <w:highlight w:val="none"/>
              </w:rPr>
              <w:t xml:space="preserve">指标要求</w:t>
            </w:r>
            <w:bookmarkEnd w:id="178"/>
            <w:r/>
          </w:p>
        </w:tc>
      </w:tr>
      <w:tr>
        <w:trPr>
          <w:jc w:val="center"/>
          <w:trHeight w:val="593"/>
        </w:trPr>
        <w:tc>
          <w:tcPr>
            <w:tcW w:w="2319" w:type="dxa"/>
            <w:vAlign w:val="center"/>
            <w:textDirection w:val="lrTb"/>
            <w:noWrap w:val="false"/>
          </w:tcPr>
          <w:p>
            <w:pPr>
              <w:jc w:val="center"/>
              <w:rPr>
                <w:color w:val="auto"/>
                <w:highlight w:val="none"/>
              </w:rPr>
            </w:pPr>
            <w:r>
              <w:rPr>
                <w:rFonts w:hint="eastAsia"/>
                <w:color w:val="auto"/>
                <w:highlight w:val="none"/>
              </w:rPr>
              <w:t xml:space="preserve">基础要求</w:t>
            </w:r>
            <w:r/>
          </w:p>
        </w:tc>
        <w:tc>
          <w:tcPr>
            <w:tcW w:w="6804" w:type="dxa"/>
            <w:vAlign w:val="center"/>
            <w:textDirection w:val="lrTb"/>
            <w:noWrap w:val="false"/>
          </w:tcPr>
          <w:p>
            <w:pPr>
              <w:rPr>
                <w:color w:val="auto"/>
                <w:highlight w:val="none"/>
              </w:rPr>
            </w:pPr>
            <w:r>
              <w:rPr>
                <w:color w:val="auto"/>
                <w:highlight w:val="none"/>
              </w:rPr>
              <w:t xml:space="preserve">备份一体机扩容防勒索模块</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2.3</w:t>
      </w:r>
      <w:r>
        <w:rPr>
          <w:color w:val="auto"/>
          <w:sz w:val="21"/>
          <w:szCs w:val="21"/>
          <w:highlight w:val="none"/>
        </w:rPr>
        <w:t xml:space="preserve">链路负载均衡</w:t>
      </w:r>
      <w:r/>
    </w:p>
    <w:tbl>
      <w:tblPr>
        <w:tblStyle w:val="705"/>
        <w:tblW w:w="5128" w:type="pct"/>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35"/>
        <w:gridCol w:w="7333"/>
      </w:tblGrid>
      <w:tr>
        <w:trPr>
          <w:trHeight w:val="573"/>
        </w:trPr>
        <w:tc>
          <w:tcPr>
            <w:tcBorders>
              <w:right w:val="single" w:color="auto" w:sz="4" w:space="0"/>
            </w:tcBorders>
            <w:tcW w:w="1001" w:type="pct"/>
            <w:vAlign w:val="center"/>
            <w:textDirection w:val="lrTb"/>
            <w:noWrap w:val="false"/>
          </w:tcPr>
          <w:p>
            <w:pPr>
              <w:jc w:val="center"/>
              <w:rPr>
                <w:b/>
                <w:bCs/>
                <w:color w:val="auto"/>
                <w:highlight w:val="none"/>
              </w:rPr>
            </w:pPr>
            <w:r>
              <w:rPr>
                <w:b/>
                <w:bCs/>
                <w:color w:val="auto"/>
                <w:highlight w:val="none"/>
              </w:rPr>
              <w:t xml:space="preserve">技术指标</w:t>
            </w:r>
            <w:r/>
          </w:p>
        </w:tc>
        <w:tc>
          <w:tcPr>
            <w:tcBorders>
              <w:right w:val="single" w:color="auto" w:sz="4" w:space="0"/>
            </w:tcBorders>
            <w:tcW w:w="3999" w:type="pct"/>
            <w:vAlign w:val="center"/>
            <w:textDirection w:val="lrTb"/>
            <w:noWrap w:val="false"/>
          </w:tcPr>
          <w:p>
            <w:pPr>
              <w:jc w:val="center"/>
              <w:rPr>
                <w:b/>
                <w:bCs/>
                <w:color w:val="auto"/>
                <w:highlight w:val="none"/>
              </w:rPr>
            </w:pPr>
            <w:r>
              <w:rPr>
                <w:b/>
                <w:bCs/>
                <w:color w:val="auto"/>
                <w:highlight w:val="none"/>
              </w:rPr>
              <w:t xml:space="preserve">指标要求</w:t>
            </w:r>
            <w:r/>
          </w:p>
        </w:tc>
      </w:tr>
      <w:tr>
        <w:trPr>
          <w:trHeight w:val="300"/>
        </w:trPr>
        <w:tc>
          <w:tcPr>
            <w:tcBorders>
              <w:right w:val="single" w:color="auto" w:sz="4" w:space="0"/>
            </w:tcBorders>
            <w:tcW w:w="1001" w:type="pct"/>
            <w:vAlign w:val="center"/>
            <w:vMerge w:val="restart"/>
            <w:textDirection w:val="lrTb"/>
            <w:noWrap w:val="false"/>
          </w:tcPr>
          <w:p>
            <w:pPr>
              <w:rPr>
                <w:color w:val="auto"/>
                <w:highlight w:val="none"/>
              </w:rPr>
            </w:pPr>
            <w:r/>
            <w:bookmarkStart w:id="179" w:name="_Hlk240743224"/>
            <w:r>
              <w:rPr>
                <w:rFonts w:hint="eastAsia"/>
                <w:color w:val="auto"/>
                <w:highlight w:val="none"/>
              </w:rPr>
              <w:t xml:space="preserve">硬件规格及</w:t>
            </w:r>
            <w:r/>
          </w:p>
          <w:p>
            <w:pPr>
              <w:rPr>
                <w:color w:val="auto"/>
                <w:highlight w:val="none"/>
              </w:rPr>
            </w:pPr>
            <w:r>
              <w:rPr>
                <w:rFonts w:hint="eastAsia"/>
                <w:color w:val="auto"/>
                <w:highlight w:val="none"/>
              </w:rPr>
              <w:t xml:space="preserve">性能</w:t>
            </w:r>
            <w:r/>
          </w:p>
        </w:tc>
        <w:tc>
          <w:tcPr>
            <w:tcBorders>
              <w:right w:val="single" w:color="auto" w:sz="4" w:space="0"/>
            </w:tcBorders>
            <w:tcW w:w="3999" w:type="pct"/>
            <w:vAlign w:val="center"/>
            <w:textDirection w:val="lrTb"/>
            <w:noWrap w:val="false"/>
          </w:tcPr>
          <w:p>
            <w:pPr>
              <w:rPr>
                <w:color w:val="auto"/>
                <w:highlight w:val="none"/>
              </w:rPr>
            </w:pPr>
            <w:r>
              <w:rPr>
                <w:rFonts w:hint="eastAsia"/>
                <w:color w:val="auto"/>
                <w:highlight w:val="none"/>
              </w:rPr>
              <w:t xml:space="preserve">采用信创硬件平台、信创安全操作系统及功能软件组成。</w:t>
            </w:r>
            <w:r/>
          </w:p>
        </w:tc>
      </w:tr>
      <w:tr>
        <w:trPr>
          <w:trHeight w:val="300"/>
        </w:trPr>
        <w:tc>
          <w:tcPr>
            <w:tcBorders>
              <w:right w:val="single" w:color="auto" w:sz="4" w:space="0"/>
            </w:tcBorders>
            <w:tcW w:w="1001" w:type="pct"/>
            <w:vAlign w:val="center"/>
            <w:vMerge w:val="continue"/>
            <w:textDirection w:val="lrTb"/>
            <w:noWrap w:val="false"/>
          </w:tcPr>
          <w:p>
            <w:pPr>
              <w:rPr>
                <w:color w:val="auto"/>
                <w:highlight w:val="none"/>
              </w:rPr>
            </w:pPr>
            <w:r>
              <w:rPr>
                <w:color w:val="auto"/>
                <w:highlight w:val="none"/>
              </w:rPr>
            </w:r>
            <w:r/>
          </w:p>
        </w:tc>
        <w:tc>
          <w:tcPr>
            <w:tcBorders>
              <w:right w:val="single" w:color="auto" w:sz="4" w:space="0"/>
            </w:tcBorders>
            <w:tcW w:w="3999" w:type="pct"/>
            <w:vAlign w:val="center"/>
            <w:textDirection w:val="lrTb"/>
            <w:noWrap w:val="false"/>
          </w:tcPr>
          <w:p>
            <w:pPr>
              <w:rPr>
                <w:color w:val="auto"/>
                <w:highlight w:val="none"/>
              </w:rPr>
            </w:pPr>
            <w:r>
              <w:rPr>
                <w:rFonts w:hint="eastAsia"/>
                <w:color w:val="auto"/>
                <w:highlight w:val="none"/>
              </w:rPr>
              <w:t xml:space="preserve">1U机箱，1 个CON 口，2 个USB口，6个千兆电口（含MGT和HA，含二对Bypass接口），4个千兆光口，4个万兆光口。内置双交流电源。HTTP吞吐量(L4)≥15Gbps，并发连接数1000万，HTTP吞吐量(L7)≥10Gbps，链路层吞吐量≥15Gbps。三年硬件质保和软件升级服务。</w:t>
            </w:r>
            <w:r/>
          </w:p>
        </w:tc>
      </w:tr>
      <w:tr>
        <w:trPr/>
        <w:tc>
          <w:tcPr>
            <w:tcW w:w="1001" w:type="pct"/>
            <w:vAlign w:val="center"/>
            <w:vMerge w:val="restart"/>
            <w:textDirection w:val="lrTb"/>
            <w:noWrap w:val="false"/>
          </w:tcPr>
          <w:p>
            <w:pPr>
              <w:rPr>
                <w:color w:val="auto"/>
                <w:highlight w:val="none"/>
              </w:rPr>
            </w:pPr>
            <w:r>
              <w:rPr>
                <w:rFonts w:hint="eastAsia"/>
                <w:color w:val="auto"/>
                <w:highlight w:val="none"/>
              </w:rPr>
              <w:t xml:space="preserve">链路负载均衡</w:t>
            </w:r>
            <w:r/>
          </w:p>
        </w:tc>
        <w:tc>
          <w:tcPr>
            <w:tcW w:w="3999" w:type="pct"/>
            <w:vAlign w:val="center"/>
            <w:textDirection w:val="lrTb"/>
            <w:noWrap w:val="false"/>
          </w:tcPr>
          <w:p>
            <w:pPr>
              <w:rPr>
                <w:color w:val="auto"/>
                <w:highlight w:val="none"/>
              </w:rPr>
            </w:pPr>
            <w:r>
              <w:rPr>
                <w:rFonts w:hint="eastAsia"/>
                <w:color w:val="auto"/>
                <w:highlight w:val="none"/>
              </w:rPr>
              <w:t xml:space="preserve">支持静态IP和PPPOE两种线路接入方式</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▲支持链路被动探测算法，无需主动发送探测包，可根据带宽占用及时延、丢包和抖动情况自动进行链路切换（提供设备操作界面截图证明材料）</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支持DNS透明代理功能，可基于负载均衡算法代理内网用户进行DNS请求转发，避免单运营商DNS解析出现单一链路流量过载，平衡多条运营商线路的带宽利用率</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支持常见的主动式健康检查功能，支持的健康检查对象包括ICMP、TCP、UDP、HTTP、HTTP2、HTTPS、DNS（UDP和TCP）、FTP、RADIUS、WEBSOCKET、SIP、MySQL、Oracle、LDAP、MSSQL、OceanBase、TIDB、TDSQL、GAUSS、SSL等协议。</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为了支持快速上线，所投应用交付产品应提供在线nginx配置转换工具，可以把nginx配置直接转换为设备配置</w:t>
            </w:r>
            <w:r>
              <w:rPr>
                <w:color w:val="auto"/>
                <w:highlight w:val="none"/>
              </w:rPr>
              <w:t xml:space="preserve"> </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支持证书链，不需要客户端再去CA服务器验证，更适合内网环境</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支持配置SSL算法的协议的裁剪，国际标准协议包括：SSLv3、TLS1.0、TLS1.1、TLS1.2、TLS1.3；</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支持加密流量可视，解密流量后镜像给其他安全设备审计，必须支持透明部署简化运维</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加密流量可视化，必须支持但不限于HTTPS、IMAPS、POP3S、SMTPS协议</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支持单域名配置国密/商密双证书，并可根据客户端请求智能响应</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支持国密算法SM1/SM2/SM3/SM4</w:t>
            </w:r>
            <w:r/>
          </w:p>
        </w:tc>
      </w:tr>
      <w:tr>
        <w:trPr/>
        <w:tc>
          <w:tcPr>
            <w:tcW w:w="1001" w:type="pct"/>
            <w:vAlign w:val="center"/>
            <w:vMerge w:val="restart"/>
            <w:textDirection w:val="lrTb"/>
            <w:noWrap w:val="false"/>
          </w:tcPr>
          <w:p>
            <w:pPr>
              <w:rPr>
                <w:color w:val="auto"/>
                <w:highlight w:val="none"/>
              </w:rPr>
            </w:pPr>
            <w:r>
              <w:rPr>
                <w:rFonts w:hint="eastAsia"/>
                <w:color w:val="auto"/>
                <w:highlight w:val="none"/>
              </w:rPr>
              <w:t xml:space="preserve">IPv6改造</w:t>
            </w:r>
            <w:r/>
          </w:p>
        </w:tc>
        <w:tc>
          <w:tcPr>
            <w:tcW w:w="3999" w:type="pct"/>
            <w:vAlign w:val="center"/>
            <w:textDirection w:val="lrTb"/>
            <w:noWrap w:val="false"/>
          </w:tcPr>
          <w:p>
            <w:pPr>
              <w:rPr>
                <w:color w:val="auto"/>
                <w:highlight w:val="none"/>
              </w:rPr>
            </w:pPr>
            <w:r>
              <w:rPr>
                <w:rFonts w:hint="eastAsia"/>
                <w:color w:val="auto"/>
                <w:highlight w:val="none"/>
              </w:rPr>
              <w:t xml:space="preserve">IPv6改造方案能够解决天窗问题，支持路径和域名改写方式，同时外链和网站子链发生修改时支持自动识别并做主动修改，不允许通过人工解析配置的方式解决天窗问题；</w:t>
            </w:r>
            <w:r>
              <w:rPr>
                <w:color w:val="auto"/>
                <w:highlight w:val="none"/>
              </w:rPr>
              <w:t xml:space="preserve"> </w:t>
            </w:r>
            <w:r/>
          </w:p>
        </w:tc>
      </w:tr>
      <w:tr>
        <w:trPr/>
        <w:tc>
          <w:tcPr>
            <w:tcW w:w="1001" w:type="pct"/>
            <w:vAlign w:val="center"/>
            <w:vMerge w:val="continue"/>
            <w:textDirection w:val="lrTb"/>
            <w:noWrap w:val="false"/>
          </w:tcPr>
          <w:p>
            <w:pPr>
              <w:rPr>
                <w:color w:val="auto"/>
                <w:highlight w:val="none"/>
              </w:rPr>
            </w:pPr>
            <w:r>
              <w:rPr>
                <w:color w:val="auto"/>
                <w:highlight w:val="none"/>
              </w:rPr>
            </w:r>
            <w:r/>
          </w:p>
        </w:tc>
        <w:tc>
          <w:tcPr>
            <w:tcW w:w="3999" w:type="pct"/>
            <w:vAlign w:val="center"/>
            <w:textDirection w:val="lrTb"/>
            <w:noWrap w:val="false"/>
          </w:tcPr>
          <w:p>
            <w:pPr>
              <w:rPr>
                <w:color w:val="auto"/>
                <w:highlight w:val="none"/>
              </w:rPr>
              <w:outlineLvl w:val="0"/>
            </w:pPr>
            <w:r>
              <w:rPr>
                <w:rFonts w:hint="eastAsia"/>
                <w:color w:val="auto"/>
                <w:highlight w:val="none"/>
              </w:rPr>
              <w:t xml:space="preserve">支持通过设备自身记录IPv6改造L7日志，必须包括但不限于IPv6源/目的IP地址和端口，转化后的IPv4源/目的IP地址和端口，HTTP请求方法，主机名，URL，返回码等信息，并在需要的情况下，回溯查询用户信息</w:t>
            </w:r>
            <w:bookmarkEnd w:id="179"/>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2.4分线交换机</w:t>
      </w:r>
      <w:r/>
    </w:p>
    <w:tbl>
      <w:tblPr>
        <w:tblStyle w:val="705"/>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6"/>
        <w:gridCol w:w="7506"/>
      </w:tblGrid>
      <w:tr>
        <w:trPr>
          <w:jc w:val="center"/>
          <w:trHeight w:val="449"/>
        </w:trPr>
        <w:tc>
          <w:tcPr>
            <w:tcW w:w="1706"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7506" w:type="dxa"/>
            <w:vAlign w:val="center"/>
            <w:textDirection w:val="lrTb"/>
            <w:noWrap w:val="false"/>
          </w:tcPr>
          <w:p>
            <w:pPr>
              <w:jc w:val="center"/>
              <w:rPr>
                <w:b/>
                <w:bCs/>
                <w:color w:val="auto"/>
                <w:highlight w:val="none"/>
              </w:rPr>
            </w:pPr>
            <w:r>
              <w:rPr>
                <w:b/>
                <w:bCs/>
                <w:color w:val="auto"/>
                <w:highlight w:val="none"/>
              </w:rPr>
              <w:t xml:space="preserve">指标要求</w:t>
            </w:r>
            <w:r/>
          </w:p>
        </w:tc>
      </w:tr>
      <w:tr>
        <w:trPr>
          <w:jc w:val="center"/>
          <w:trHeight w:val="296"/>
        </w:trPr>
        <w:tc>
          <w:tcPr>
            <w:tcW w:w="1706" w:type="dxa"/>
            <w:vAlign w:val="center"/>
            <w:vMerge w:val="restart"/>
            <w:textDirection w:val="lrTb"/>
            <w:noWrap w:val="false"/>
          </w:tcPr>
          <w:p>
            <w:pPr>
              <w:jc w:val="center"/>
              <w:rPr>
                <w:color w:val="auto"/>
                <w:highlight w:val="none"/>
              </w:rPr>
            </w:pPr>
            <w:r>
              <w:rPr>
                <w:rFonts w:hint="eastAsia"/>
                <w:color w:val="auto"/>
                <w:highlight w:val="none"/>
              </w:rPr>
              <w:t xml:space="preserve">基础要求</w:t>
            </w:r>
            <w:r/>
          </w:p>
        </w:tc>
        <w:tc>
          <w:tcPr>
            <w:tcW w:w="7506" w:type="dxa"/>
            <w:vAlign w:val="center"/>
            <w:textDirection w:val="lrTb"/>
            <w:noWrap w:val="false"/>
          </w:tcPr>
          <w:p>
            <w:pPr>
              <w:rPr>
                <w:color w:val="auto"/>
                <w:highlight w:val="none"/>
              </w:rPr>
            </w:pPr>
            <w:r>
              <w:rPr>
                <w:rFonts w:hint="eastAsia"/>
                <w:color w:val="auto"/>
                <w:highlight w:val="none"/>
              </w:rPr>
              <w:t xml:space="preserve">交换容量≥672Gbps，包转发率≥171Mpps，要求采用静音无风扇设计；</w:t>
            </w:r>
            <w:r/>
          </w:p>
        </w:tc>
      </w:tr>
      <w:tr>
        <w:trPr>
          <w:jc w:val="center"/>
          <w:trHeight w:val="296"/>
        </w:trPr>
        <w:tc>
          <w:tcPr>
            <w:tcW w:w="1706" w:type="dxa"/>
            <w:vAlign w:val="center"/>
            <w:vMerge w:val="continue"/>
            <w:textDirection w:val="lrTb"/>
            <w:noWrap w:val="false"/>
          </w:tcPr>
          <w:p>
            <w:pPr>
              <w:jc w:val="center"/>
              <w:rPr>
                <w:color w:val="auto"/>
                <w:highlight w:val="none"/>
              </w:rPr>
            </w:pPr>
            <w:r>
              <w:rPr>
                <w:color w:val="auto"/>
                <w:highlight w:val="none"/>
              </w:rPr>
            </w:r>
            <w:r/>
          </w:p>
        </w:tc>
        <w:tc>
          <w:tcPr>
            <w:tcW w:w="7506" w:type="dxa"/>
            <w:vAlign w:val="center"/>
            <w:textDirection w:val="lrTb"/>
            <w:noWrap w:val="false"/>
          </w:tcPr>
          <w:p>
            <w:pPr>
              <w:rPr>
                <w:color w:val="auto"/>
                <w:highlight w:val="none"/>
              </w:rPr>
            </w:pPr>
            <w:r>
              <w:rPr>
                <w:rFonts w:hint="eastAsia"/>
                <w:color w:val="auto"/>
                <w:highlight w:val="none"/>
              </w:rPr>
              <w:t xml:space="preserve">提供≥24个10/100/1000BASE-T电口，提供≥4个1/10GE SFP+端口；</w:t>
            </w:r>
            <w:r/>
          </w:p>
        </w:tc>
      </w:tr>
      <w:tr>
        <w:trPr>
          <w:jc w:val="center"/>
          <w:trHeight w:val="983"/>
        </w:trPr>
        <w:tc>
          <w:tcPr>
            <w:tcW w:w="1706" w:type="dxa"/>
            <w:vAlign w:val="center"/>
            <w:textDirection w:val="lrTb"/>
            <w:noWrap w:val="false"/>
          </w:tcPr>
          <w:p>
            <w:pPr>
              <w:jc w:val="center"/>
              <w:rPr>
                <w:color w:val="auto"/>
                <w:highlight w:val="none"/>
              </w:rPr>
            </w:pPr>
            <w:r>
              <w:rPr>
                <w:rFonts w:hint="eastAsia"/>
                <w:color w:val="auto"/>
                <w:highlight w:val="none"/>
              </w:rPr>
              <w:t xml:space="preserve">功能要求</w:t>
            </w:r>
            <w:r/>
          </w:p>
        </w:tc>
        <w:tc>
          <w:tcPr>
            <w:tcW w:w="7506" w:type="dxa"/>
            <w:vAlign w:val="center"/>
            <w:textDirection w:val="lrTb"/>
            <w:noWrap w:val="false"/>
          </w:tcPr>
          <w:p>
            <w:pPr>
              <w:rPr>
                <w:color w:val="auto"/>
                <w:highlight w:val="none"/>
              </w:rPr>
            </w:pPr>
            <w:r>
              <w:rPr>
                <w:rFonts w:hint="eastAsia"/>
                <w:color w:val="auto"/>
                <w:highlight w:val="none"/>
              </w:rPr>
              <w:t xml:space="preserve">支持内置智能图形化管理功能，能够实现通过图形化界面设备配置及命令一键下发和版本智能升级，全局配置及网管口配置，设备升级备份、监控及设备故障替换，组网拓扑可视及管理、设备列表展示等功能；</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2.5WEB应用防火墙1</w:t>
      </w:r>
      <w:r/>
    </w:p>
    <w:tbl>
      <w:tblPr>
        <w:tblStyle w:val="705"/>
        <w:tblW w:w="51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971"/>
        <w:gridCol w:w="7108"/>
      </w:tblGrid>
      <w:tr>
        <w:trPr>
          <w:jc w:val="center"/>
          <w:trHeight w:val="682"/>
        </w:trPr>
        <w:tc>
          <w:tcPr>
            <w:gridSpan w:val="2"/>
            <w:tcW w:w="1143" w:type="pct"/>
            <w:vAlign w:val="center"/>
            <w:textDirection w:val="lrTb"/>
            <w:noWrap w:val="false"/>
          </w:tcPr>
          <w:p>
            <w:pPr>
              <w:jc w:val="center"/>
              <w:rPr>
                <w:b/>
                <w:bCs/>
                <w:color w:val="auto"/>
                <w:highlight w:val="none"/>
              </w:rPr>
            </w:pPr>
            <w:r>
              <w:rPr>
                <w:rFonts w:hint="eastAsia"/>
                <w:b/>
                <w:bCs/>
                <w:color w:val="auto"/>
                <w:highlight w:val="none"/>
              </w:rPr>
              <w:t xml:space="preserve">技术指标</w:t>
            </w:r>
            <w:r/>
          </w:p>
        </w:tc>
        <w:tc>
          <w:tcPr>
            <w:tcW w:w="3857" w:type="pct"/>
            <w:vAlign w:val="center"/>
            <w:textDirection w:val="lrTb"/>
            <w:noWrap w:val="false"/>
          </w:tcPr>
          <w:p>
            <w:pPr>
              <w:jc w:val="center"/>
              <w:rPr>
                <w:b/>
                <w:bCs/>
                <w:color w:val="auto"/>
                <w:highlight w:val="none"/>
              </w:rPr>
            </w:pPr>
            <w:r>
              <w:rPr>
                <w:rFonts w:hint="eastAsia"/>
                <w:b/>
                <w:bCs/>
                <w:color w:val="auto"/>
                <w:highlight w:val="none"/>
              </w:rPr>
              <w:t xml:space="preserve">指标要求</w:t>
            </w:r>
            <w:r/>
          </w:p>
        </w:tc>
      </w:tr>
      <w:tr>
        <w:trPr>
          <w:jc w:val="center"/>
          <w:trHeight w:val="270"/>
        </w:trPr>
        <w:tc>
          <w:tcPr>
            <w:tcW w:w="616" w:type="pct"/>
            <w:vAlign w:val="center"/>
            <w:textDirection w:val="lrTb"/>
            <w:noWrap w:val="false"/>
          </w:tcPr>
          <w:p>
            <w:pPr>
              <w:rPr>
                <w:color w:val="auto"/>
                <w:highlight w:val="none"/>
              </w:rPr>
            </w:pPr>
            <w:r/>
            <w:bookmarkStart w:id="180" w:name="_Hlk240743405"/>
            <w:r>
              <w:rPr>
                <w:rFonts w:hint="eastAsia"/>
                <w:color w:val="auto"/>
                <w:highlight w:val="none"/>
              </w:rPr>
              <w:t xml:space="preserve">硬件和性能</w:t>
            </w:r>
            <w:r/>
          </w:p>
        </w:tc>
        <w:tc>
          <w:tcPr>
            <w:tcW w:w="527" w:type="pct"/>
            <w:vAlign w:val="center"/>
            <w:textDirection w:val="lrTb"/>
            <w:noWrap w:val="false"/>
          </w:tcPr>
          <w:p>
            <w:pPr>
              <w:jc w:val="center"/>
              <w:rPr>
                <w:color w:val="auto"/>
                <w:highlight w:val="none"/>
              </w:rPr>
            </w:pPr>
            <w:r>
              <w:rPr>
                <w:rFonts w:hint="eastAsia"/>
                <w:color w:val="auto"/>
                <w:highlight w:val="none"/>
              </w:rPr>
              <w:t xml:space="preserve">硬件和性能</w:t>
            </w:r>
            <w:r/>
          </w:p>
        </w:tc>
        <w:tc>
          <w:tcPr>
            <w:tcW w:w="3857" w:type="pct"/>
            <w:vAlign w:val="center"/>
            <w:textDirection w:val="lrTb"/>
            <w:noWrap w:val="false"/>
          </w:tcPr>
          <w:p>
            <w:pPr>
              <w:rPr>
                <w:color w:val="auto"/>
                <w:highlight w:val="none"/>
              </w:rPr>
            </w:pPr>
            <w:r>
              <w:rPr>
                <w:rFonts w:hint="eastAsia"/>
                <w:color w:val="auto"/>
                <w:highlight w:val="none"/>
              </w:rPr>
              <w:t xml:space="preserve">信创Web应用防火墙系统；网络吞吐量为2.4Gbps；应用层处理能力为0.6Gbps；网络并发连接数100万；HTTP并发为64万；HTTP新建连接数大于13000/s。标准2U机箱；标准配置6个千兆电口；12个千兆SFP插槽；2个万兆SFP+插槽；1TB硬盘；冗余电源；1个Console口；2个USB接口。包含三年WAF软件特征库服务和三年硬件质保服务。</w:t>
            </w:r>
            <w:r/>
          </w:p>
        </w:tc>
      </w:tr>
      <w:tr>
        <w:trPr>
          <w:jc w:val="center"/>
          <w:trHeight w:val="310"/>
        </w:trPr>
        <w:tc>
          <w:tcPr>
            <w:tcW w:w="616" w:type="pct"/>
            <w:vAlign w:val="center"/>
            <w:vMerge w:val="restart"/>
            <w:textDirection w:val="lrTb"/>
            <w:noWrap w:val="false"/>
          </w:tcPr>
          <w:p>
            <w:pPr>
              <w:rPr>
                <w:color w:val="auto"/>
                <w:highlight w:val="none"/>
              </w:rPr>
            </w:pPr>
            <w:r>
              <w:rPr>
                <w:rFonts w:hint="eastAsia"/>
                <w:color w:val="auto"/>
                <w:highlight w:val="none"/>
              </w:rPr>
              <w:t xml:space="preserve">基本功能</w:t>
            </w:r>
            <w:r/>
          </w:p>
        </w:tc>
        <w:tc>
          <w:tcPr>
            <w:tcW w:w="527" w:type="pct"/>
            <w:vAlign w:val="center"/>
            <w:textDirection w:val="lrTb"/>
            <w:noWrap w:val="false"/>
          </w:tcPr>
          <w:p>
            <w:pPr>
              <w:jc w:val="center"/>
              <w:rPr>
                <w:color w:val="auto"/>
                <w:highlight w:val="none"/>
              </w:rPr>
            </w:pPr>
            <w:r>
              <w:rPr>
                <w:rFonts w:hint="eastAsia"/>
                <w:color w:val="auto"/>
                <w:highlight w:val="none"/>
              </w:rPr>
              <w:t xml:space="preserve">蜜罐防护</w:t>
            </w:r>
            <w:r/>
          </w:p>
        </w:tc>
        <w:tc>
          <w:tcPr>
            <w:tcW w:w="3857" w:type="pct"/>
            <w:vAlign w:val="center"/>
            <w:textDirection w:val="lrTb"/>
            <w:noWrap w:val="false"/>
          </w:tcPr>
          <w:p>
            <w:pPr>
              <w:rPr>
                <w:color w:val="auto"/>
                <w:highlight w:val="none"/>
              </w:rPr>
            </w:pPr>
            <w:r>
              <w:rPr>
                <w:rFonts w:hint="eastAsia"/>
                <w:color w:val="auto"/>
                <w:highlight w:val="none"/>
              </w:rPr>
              <w:t xml:space="preserve"> ▲支持轻量级蜜罐防御功能，提供伪造的后台管理系统页面，主动诱使黑客进行攻击，记录攻击行为（提供配置选项的截图）</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textDirection w:val="lrTb"/>
            <w:noWrap w:val="false"/>
          </w:tcPr>
          <w:p>
            <w:pPr>
              <w:jc w:val="center"/>
              <w:rPr>
                <w:color w:val="auto"/>
                <w:highlight w:val="none"/>
              </w:rPr>
            </w:pPr>
            <w:r>
              <w:rPr>
                <w:rFonts w:hint="eastAsia"/>
                <w:color w:val="auto"/>
                <w:highlight w:val="none"/>
              </w:rPr>
              <w:t xml:space="preserve">DDoS防护</w:t>
            </w:r>
            <w:r/>
          </w:p>
        </w:tc>
        <w:tc>
          <w:tcPr>
            <w:tcW w:w="3857" w:type="pct"/>
            <w:vAlign w:val="center"/>
            <w:textDirection w:val="lrTb"/>
            <w:noWrap w:val="false"/>
          </w:tcPr>
          <w:p>
            <w:pPr>
              <w:rPr>
                <w:color w:val="auto"/>
                <w:highlight w:val="none"/>
              </w:rPr>
            </w:pPr>
            <w:r>
              <w:rPr>
                <w:rFonts w:hint="eastAsia"/>
                <w:color w:val="auto"/>
                <w:highlight w:val="none"/>
              </w:rPr>
              <w:t xml:space="preserve">支持智能分析DDOS防护，内置四个防护等级，并可自定义防护等级</w:t>
            </w:r>
            <w:r/>
          </w:p>
        </w:tc>
      </w:tr>
      <w:tr>
        <w:trPr>
          <w:jc w:val="center"/>
          <w:trHeight w:val="6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textDirection w:val="lrTb"/>
            <w:noWrap w:val="false"/>
          </w:tcPr>
          <w:p>
            <w:pPr>
              <w:jc w:val="center"/>
              <w:rPr>
                <w:color w:val="auto"/>
                <w:highlight w:val="none"/>
              </w:rPr>
            </w:pPr>
            <w:r>
              <w:rPr>
                <w:rFonts w:hint="eastAsia"/>
                <w:color w:val="auto"/>
                <w:highlight w:val="none"/>
              </w:rPr>
              <w:t xml:space="preserve">智能封禁</w:t>
            </w:r>
            <w:r/>
          </w:p>
        </w:tc>
        <w:tc>
          <w:tcPr>
            <w:tcW w:w="3857" w:type="pct"/>
            <w:vAlign w:val="center"/>
            <w:textDirection w:val="lrTb"/>
            <w:noWrap w:val="false"/>
          </w:tcPr>
          <w:p>
            <w:pPr>
              <w:rPr>
                <w:color w:val="auto"/>
                <w:highlight w:val="none"/>
              </w:rPr>
            </w:pPr>
            <w:r>
              <w:rPr>
                <w:rFonts w:hint="eastAsia"/>
                <w:color w:val="auto"/>
                <w:highlight w:val="none"/>
              </w:rPr>
              <w:t xml:space="preserve"> ▲支持智能封禁，通过对网站发起的攻击次数、危害级别两个维度进行算法分析与识别，进行智能封禁，并自定义攻击者封禁时间（提供配置选项的截图）</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restart"/>
            <w:textDirection w:val="lrTb"/>
            <w:noWrap w:val="false"/>
          </w:tcPr>
          <w:p>
            <w:pPr>
              <w:jc w:val="center"/>
              <w:rPr>
                <w:color w:val="auto"/>
                <w:highlight w:val="none"/>
              </w:rPr>
            </w:pPr>
            <w:r>
              <w:rPr>
                <w:rFonts w:hint="eastAsia"/>
                <w:color w:val="auto"/>
                <w:highlight w:val="none"/>
              </w:rPr>
              <w:t xml:space="preserve">资产探测</w:t>
            </w:r>
            <w:r/>
          </w:p>
        </w:tc>
        <w:tc>
          <w:tcPr>
            <w:tcW w:w="3857" w:type="pct"/>
            <w:vAlign w:val="center"/>
            <w:textDirection w:val="lrTb"/>
            <w:noWrap w:val="false"/>
          </w:tcPr>
          <w:p>
            <w:pPr>
              <w:rPr>
                <w:color w:val="auto"/>
                <w:highlight w:val="none"/>
              </w:rPr>
            </w:pPr>
            <w:r>
              <w:rPr>
                <w:rFonts w:hint="eastAsia"/>
                <w:color w:val="auto"/>
                <w:highlight w:val="none"/>
              </w:rPr>
              <w:t xml:space="preserve">产品具备资产探测功能，提供自动识别资产系统类型和开放端口</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jc w:val="center"/>
              <w:rPr>
                <w:color w:val="auto"/>
                <w:highlight w:val="none"/>
              </w:rPr>
            </w:pPr>
            <w:r>
              <w:rPr>
                <w:color w:val="auto"/>
                <w:highlight w:val="none"/>
              </w:rPr>
            </w:r>
            <w:r/>
          </w:p>
        </w:tc>
        <w:tc>
          <w:tcPr>
            <w:tcW w:w="3857" w:type="pct"/>
            <w:vAlign w:val="center"/>
            <w:textDirection w:val="lrTb"/>
            <w:noWrap w:val="false"/>
          </w:tcPr>
          <w:p>
            <w:pPr>
              <w:rPr>
                <w:color w:val="auto"/>
                <w:highlight w:val="none"/>
              </w:rPr>
            </w:pPr>
            <w:r>
              <w:rPr>
                <w:rFonts w:hint="eastAsia"/>
                <w:color w:val="auto"/>
                <w:highlight w:val="none"/>
              </w:rPr>
              <w:t xml:space="preserve">产品周期性针对资产识别探测，支持自定义每天、每周、每月自动化探测功能</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textDirection w:val="lrTb"/>
            <w:noWrap w:val="false"/>
          </w:tcPr>
          <w:p>
            <w:pPr>
              <w:jc w:val="center"/>
              <w:rPr>
                <w:color w:val="auto"/>
                <w:highlight w:val="none"/>
              </w:rPr>
            </w:pPr>
            <w:r>
              <w:rPr>
                <w:rFonts w:hint="eastAsia"/>
                <w:color w:val="auto"/>
                <w:highlight w:val="none"/>
              </w:rPr>
              <w:t xml:space="preserve">资产定时下线</w:t>
            </w:r>
            <w:r/>
          </w:p>
        </w:tc>
        <w:tc>
          <w:tcPr>
            <w:tcW w:w="3857" w:type="pct"/>
            <w:vAlign w:val="center"/>
            <w:textDirection w:val="lrTb"/>
            <w:noWrap w:val="false"/>
          </w:tcPr>
          <w:p>
            <w:pPr>
              <w:rPr>
                <w:color w:val="auto"/>
                <w:highlight w:val="none"/>
              </w:rPr>
            </w:pPr>
            <w:r>
              <w:rPr>
                <w:rFonts w:hint="eastAsia"/>
                <w:color w:val="auto"/>
                <w:highlight w:val="none"/>
              </w:rPr>
              <w:t xml:space="preserve">产品具备资产定时下线功能，可自定义下线时间</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restart"/>
            <w:textDirection w:val="lrTb"/>
            <w:noWrap w:val="false"/>
          </w:tcPr>
          <w:p>
            <w:pPr>
              <w:jc w:val="center"/>
              <w:rPr>
                <w:color w:val="auto"/>
                <w:highlight w:val="none"/>
              </w:rPr>
            </w:pPr>
            <w:r>
              <w:rPr>
                <w:rFonts w:hint="eastAsia"/>
                <w:color w:val="auto"/>
                <w:highlight w:val="none"/>
              </w:rPr>
              <w:t xml:space="preserve">网页防篡改</w:t>
            </w:r>
            <w:r/>
          </w:p>
        </w:tc>
        <w:tc>
          <w:tcPr>
            <w:tcW w:w="3857" w:type="pct"/>
            <w:vAlign w:val="center"/>
            <w:textDirection w:val="lrTb"/>
            <w:noWrap w:val="false"/>
          </w:tcPr>
          <w:p>
            <w:pPr>
              <w:rPr>
                <w:color w:val="auto"/>
                <w:highlight w:val="none"/>
              </w:rPr>
            </w:pPr>
            <w:r>
              <w:rPr>
                <w:rFonts w:hint="eastAsia"/>
                <w:color w:val="auto"/>
                <w:highlight w:val="none"/>
              </w:rPr>
              <w:t xml:space="preserve">支持windows、linux的32位与64位操作系统的网页防篡改功能，并提供相应的客户端下载功能</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jc w:val="center"/>
              <w:rPr>
                <w:color w:val="auto"/>
                <w:highlight w:val="none"/>
              </w:rPr>
            </w:pPr>
            <w:r>
              <w:rPr>
                <w:color w:val="auto"/>
                <w:highlight w:val="none"/>
              </w:rPr>
            </w:r>
            <w:r/>
          </w:p>
        </w:tc>
        <w:tc>
          <w:tcPr>
            <w:tcW w:w="3857" w:type="pct"/>
            <w:vAlign w:val="center"/>
            <w:textDirection w:val="lrTb"/>
            <w:noWrap w:val="false"/>
          </w:tcPr>
          <w:p>
            <w:pPr>
              <w:rPr>
                <w:color w:val="auto"/>
                <w:highlight w:val="none"/>
              </w:rPr>
            </w:pPr>
            <w:r/>
            <w:bookmarkStart w:id="181" w:name="RANGE!E63"/>
            <w:r>
              <w:rPr>
                <w:rFonts w:hint="eastAsia"/>
                <w:color w:val="auto"/>
                <w:highlight w:val="none"/>
              </w:rPr>
              <w:t xml:space="preserve">支持信创操作系统篡改防护</w:t>
            </w:r>
            <w:bookmarkEnd w:id="181"/>
            <w:r/>
            <w:r/>
          </w:p>
        </w:tc>
      </w:tr>
      <w:tr>
        <w:trPr>
          <w:jc w:val="center"/>
          <w:trHeight w:val="310"/>
        </w:trPr>
        <w:tc>
          <w:tcPr>
            <w:tcW w:w="616" w:type="pct"/>
            <w:vAlign w:val="center"/>
            <w:vMerge w:val="restart"/>
            <w:textDirection w:val="lrTb"/>
            <w:noWrap/>
          </w:tcPr>
          <w:p>
            <w:pPr>
              <w:rPr>
                <w:color w:val="auto"/>
                <w:highlight w:val="none"/>
              </w:rPr>
            </w:pPr>
            <w:r>
              <w:rPr>
                <w:rFonts w:hint="eastAsia"/>
                <w:color w:val="auto"/>
                <w:highlight w:val="none"/>
              </w:rPr>
              <w:t xml:space="preserve">日志分析及报表</w:t>
            </w:r>
            <w:r/>
          </w:p>
        </w:tc>
        <w:tc>
          <w:tcPr>
            <w:tcW w:w="527" w:type="pct"/>
            <w:vAlign w:val="center"/>
            <w:vMerge w:val="restart"/>
            <w:textDirection w:val="lrTb"/>
            <w:noWrap w:val="false"/>
          </w:tcPr>
          <w:p>
            <w:pPr>
              <w:jc w:val="center"/>
              <w:rPr>
                <w:color w:val="auto"/>
                <w:highlight w:val="none"/>
              </w:rPr>
            </w:pPr>
            <w:r>
              <w:rPr>
                <w:rFonts w:hint="eastAsia"/>
                <w:color w:val="auto"/>
                <w:highlight w:val="none"/>
              </w:rPr>
              <w:t xml:space="preserve">日志系统</w:t>
            </w:r>
            <w:r/>
          </w:p>
        </w:tc>
        <w:tc>
          <w:tcPr>
            <w:tcW w:w="3857" w:type="pct"/>
            <w:vAlign w:val="center"/>
            <w:textDirection w:val="lrTb"/>
            <w:noWrap w:val="false"/>
          </w:tcPr>
          <w:p>
            <w:pPr>
              <w:rPr>
                <w:color w:val="auto"/>
                <w:highlight w:val="none"/>
              </w:rPr>
            </w:pPr>
            <w:r>
              <w:rPr>
                <w:rFonts w:hint="eastAsia"/>
                <w:color w:val="auto"/>
                <w:highlight w:val="none"/>
              </w:rPr>
              <w:t xml:space="preserve">支持独立的审计日志、安全防护日志、访问日志、外联日志、防篡改日志、入侵防护日志、DDoS防护日志等模块</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rPr>
                <w:color w:val="auto"/>
                <w:highlight w:val="none"/>
              </w:rPr>
            </w:pPr>
            <w:r>
              <w:rPr>
                <w:color w:val="auto"/>
                <w:highlight w:val="none"/>
              </w:rPr>
            </w:r>
            <w:r/>
          </w:p>
        </w:tc>
        <w:tc>
          <w:tcPr>
            <w:tcW w:w="3857" w:type="pct"/>
            <w:vAlign w:val="center"/>
            <w:textDirection w:val="lrTb"/>
            <w:noWrap w:val="false"/>
          </w:tcPr>
          <w:p>
            <w:pPr>
              <w:rPr>
                <w:color w:val="auto"/>
                <w:highlight w:val="none"/>
              </w:rPr>
            </w:pPr>
            <w:r>
              <w:rPr>
                <w:rFonts w:hint="eastAsia"/>
                <w:color w:val="auto"/>
                <w:highlight w:val="none"/>
              </w:rPr>
              <w:t xml:space="preserve">支持日志快速响应功能，日志具备一键黑名单设置以及一键白名单排除功能</w:t>
            </w:r>
            <w:r/>
          </w:p>
        </w:tc>
      </w:tr>
      <w:tr>
        <w:trPr>
          <w:jc w:val="center"/>
          <w:trHeight w:val="6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rPr>
                <w:color w:val="auto"/>
                <w:highlight w:val="none"/>
              </w:rPr>
            </w:pPr>
            <w:r>
              <w:rPr>
                <w:color w:val="auto"/>
                <w:highlight w:val="none"/>
              </w:rPr>
            </w:r>
            <w:r/>
          </w:p>
        </w:tc>
        <w:tc>
          <w:tcPr>
            <w:tcW w:w="3857" w:type="pct"/>
            <w:vAlign w:val="center"/>
            <w:textDirection w:val="lrTb"/>
            <w:noWrap w:val="false"/>
          </w:tcPr>
          <w:p>
            <w:pPr>
              <w:rPr>
                <w:color w:val="auto"/>
                <w:highlight w:val="none"/>
              </w:rPr>
            </w:pPr>
            <w:r>
              <w:rPr>
                <w:rFonts w:hint="eastAsia"/>
                <w:color w:val="auto"/>
                <w:highlight w:val="none"/>
              </w:rPr>
              <w:t xml:space="preserve">支持日志综合统计分析，可对源IP、目的IP、源地域、攻击类型、级别、处理动作、协议类型、客户端设备类型、客户端操作系统、客户端浏览器类型进行综合统计分析，并通过饼图、曲线图及柱图等对分析结果进行图形化统计</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textDirection w:val="lrTb"/>
            <w:noWrap w:val="false"/>
          </w:tcPr>
          <w:p>
            <w:pPr>
              <w:jc w:val="center"/>
              <w:rPr>
                <w:color w:val="auto"/>
                <w:highlight w:val="none"/>
              </w:rPr>
            </w:pPr>
            <w:r>
              <w:rPr>
                <w:rFonts w:hint="eastAsia"/>
                <w:color w:val="auto"/>
                <w:highlight w:val="none"/>
              </w:rPr>
              <w:t xml:space="preserve">报表系统</w:t>
            </w:r>
            <w:r/>
          </w:p>
        </w:tc>
        <w:tc>
          <w:tcPr>
            <w:tcW w:w="3857" w:type="pct"/>
            <w:vAlign w:val="center"/>
            <w:textDirection w:val="lrTb"/>
            <w:noWrap w:val="false"/>
          </w:tcPr>
          <w:p>
            <w:pPr>
              <w:rPr>
                <w:color w:val="auto"/>
                <w:highlight w:val="none"/>
              </w:rPr>
            </w:pPr>
            <w:r>
              <w:rPr>
                <w:rFonts w:hint="eastAsia"/>
                <w:color w:val="auto"/>
                <w:highlight w:val="none"/>
              </w:rPr>
              <w:t xml:space="preserve">支持手动，自动导出报表功能，提供时间段，报表类型，分析维度，报表模块，归属地，攻击源ip等因素的报表导出</w:t>
            </w:r>
            <w:r/>
          </w:p>
        </w:tc>
      </w:tr>
      <w:tr>
        <w:trPr>
          <w:jc w:val="center"/>
          <w:trHeight w:val="310"/>
        </w:trPr>
        <w:tc>
          <w:tcPr>
            <w:tcW w:w="616" w:type="pct"/>
            <w:vAlign w:val="center"/>
            <w:vMerge w:val="restart"/>
            <w:textDirection w:val="lrTb"/>
            <w:noWrap/>
          </w:tcPr>
          <w:p>
            <w:pPr>
              <w:rPr>
                <w:color w:val="auto"/>
                <w:highlight w:val="none"/>
              </w:rPr>
            </w:pPr>
            <w:r>
              <w:rPr>
                <w:rFonts w:hint="eastAsia"/>
                <w:color w:val="auto"/>
                <w:highlight w:val="none"/>
              </w:rPr>
              <w:t xml:space="preserve">系统保障</w:t>
            </w:r>
            <w:r/>
          </w:p>
        </w:tc>
        <w:tc>
          <w:tcPr>
            <w:tcW w:w="527" w:type="pct"/>
            <w:vAlign w:val="center"/>
            <w:vMerge w:val="restart"/>
            <w:textDirection w:val="lrTb"/>
            <w:noWrap w:val="false"/>
          </w:tcPr>
          <w:p>
            <w:pPr>
              <w:rPr>
                <w:color w:val="auto"/>
                <w:highlight w:val="none"/>
              </w:rPr>
            </w:pPr>
            <w:r>
              <w:rPr>
                <w:rFonts w:hint="eastAsia"/>
                <w:color w:val="auto"/>
                <w:highlight w:val="none"/>
              </w:rPr>
              <w:t xml:space="preserve">高可用性</w:t>
            </w:r>
            <w:r/>
          </w:p>
        </w:tc>
        <w:tc>
          <w:tcPr>
            <w:tcW w:w="3857" w:type="pct"/>
            <w:vAlign w:val="center"/>
            <w:textDirection w:val="lrTb"/>
            <w:noWrap w:val="false"/>
          </w:tcPr>
          <w:p>
            <w:pPr>
              <w:rPr>
                <w:color w:val="auto"/>
                <w:highlight w:val="none"/>
              </w:rPr>
            </w:pPr>
            <w:r>
              <w:rPr>
                <w:rFonts w:hint="eastAsia"/>
                <w:color w:val="auto"/>
                <w:highlight w:val="none"/>
              </w:rPr>
              <w:t xml:space="preserve">支持双机部署，支持主/主（双组vrrp）模式、主/备防护工作模式</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rPr>
                <w:color w:val="auto"/>
                <w:highlight w:val="none"/>
              </w:rPr>
            </w:pPr>
            <w:r>
              <w:rPr>
                <w:color w:val="auto"/>
                <w:highlight w:val="none"/>
              </w:rPr>
            </w:r>
            <w:r/>
          </w:p>
        </w:tc>
        <w:tc>
          <w:tcPr>
            <w:tcW w:w="3857" w:type="pct"/>
            <w:vAlign w:val="center"/>
            <w:textDirection w:val="lrTb"/>
            <w:noWrap w:val="false"/>
          </w:tcPr>
          <w:p>
            <w:pPr>
              <w:rPr>
                <w:color w:val="auto"/>
                <w:highlight w:val="none"/>
              </w:rPr>
            </w:pPr>
            <w:r>
              <w:rPr>
                <w:rFonts w:hint="eastAsia"/>
                <w:color w:val="auto"/>
                <w:highlight w:val="none"/>
              </w:rPr>
              <w:t xml:space="preserve">支持bypass功能，开启Bypass后，设备将进入Bypass状态，保证业务正常运行</w:t>
            </w:r>
            <w:r/>
          </w:p>
        </w:tc>
      </w:tr>
      <w:tr>
        <w:trPr>
          <w:jc w:val="center"/>
          <w:trHeight w:val="310"/>
        </w:trPr>
        <w:tc>
          <w:tcPr>
            <w:tcW w:w="616" w:type="pct"/>
            <w:vAlign w:val="center"/>
            <w:vMerge w:val="continue"/>
            <w:textDirection w:val="lrTb"/>
            <w:noWrap w:val="false"/>
          </w:tcPr>
          <w:p>
            <w:pPr>
              <w:rPr>
                <w:color w:val="auto"/>
                <w:highlight w:val="none"/>
              </w:rPr>
            </w:pPr>
            <w:r>
              <w:rPr>
                <w:color w:val="auto"/>
                <w:highlight w:val="none"/>
              </w:rPr>
            </w:r>
            <w:r/>
          </w:p>
        </w:tc>
        <w:tc>
          <w:tcPr>
            <w:tcW w:w="527" w:type="pct"/>
            <w:vAlign w:val="center"/>
            <w:vMerge w:val="continue"/>
            <w:textDirection w:val="lrTb"/>
            <w:noWrap w:val="false"/>
          </w:tcPr>
          <w:p>
            <w:pPr>
              <w:rPr>
                <w:color w:val="auto"/>
                <w:highlight w:val="none"/>
              </w:rPr>
            </w:pPr>
            <w:r>
              <w:rPr>
                <w:color w:val="auto"/>
                <w:highlight w:val="none"/>
              </w:rPr>
            </w:r>
            <w:r/>
          </w:p>
        </w:tc>
        <w:tc>
          <w:tcPr>
            <w:tcW w:w="3857" w:type="pct"/>
            <w:vAlign w:val="center"/>
            <w:textDirection w:val="lrTb"/>
            <w:noWrap w:val="false"/>
          </w:tcPr>
          <w:p>
            <w:pPr>
              <w:rPr>
                <w:color w:val="auto"/>
                <w:highlight w:val="none"/>
              </w:rPr>
            </w:pPr>
            <w:r>
              <w:rPr>
                <w:rFonts w:hint="eastAsia"/>
                <w:color w:val="auto"/>
                <w:highlight w:val="none"/>
              </w:rPr>
              <w:t xml:space="preserve">支持过载保护机制，设置CPU、内存使用率等参数，设备达到峰值时，自动切换bypass功能</w:t>
            </w:r>
            <w:bookmarkEnd w:id="180"/>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2.6WEB应用防火墙2</w:t>
      </w:r>
      <w:r/>
    </w:p>
    <w:tbl>
      <w:tblPr>
        <w:tblStyle w:val="705"/>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7229"/>
      </w:tblGrid>
      <w:tr>
        <w:trPr>
          <w:jc w:val="center"/>
          <w:trHeight w:val="451"/>
        </w:trPr>
        <w:tc>
          <w:tcPr>
            <w:tcW w:w="1980"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7229" w:type="dxa"/>
            <w:vAlign w:val="center"/>
            <w:textDirection w:val="lrTb"/>
            <w:noWrap w:val="false"/>
          </w:tcPr>
          <w:p>
            <w:pPr>
              <w:jc w:val="center"/>
              <w:rPr>
                <w:b/>
                <w:bCs/>
                <w:color w:val="auto"/>
                <w:highlight w:val="none"/>
              </w:rPr>
            </w:pPr>
            <w:r>
              <w:rPr>
                <w:b/>
                <w:bCs/>
                <w:color w:val="auto"/>
                <w:highlight w:val="none"/>
              </w:rPr>
              <w:t xml:space="preserve">指标要求</w:t>
            </w:r>
            <w:r/>
          </w:p>
        </w:tc>
      </w:tr>
      <w:tr>
        <w:trPr>
          <w:jc w:val="center"/>
          <w:trHeight w:val="296"/>
        </w:trPr>
        <w:tc>
          <w:tcPr>
            <w:tcW w:w="1980" w:type="dxa"/>
            <w:vAlign w:val="center"/>
            <w:vMerge w:val="restart"/>
            <w:textDirection w:val="lrTb"/>
            <w:noWrap w:val="false"/>
          </w:tcPr>
          <w:p>
            <w:pPr>
              <w:jc w:val="center"/>
              <w:rPr>
                <w:color w:val="auto"/>
                <w:highlight w:val="none"/>
              </w:rPr>
            </w:pPr>
            <w:r>
              <w:rPr>
                <w:rFonts w:hint="eastAsia"/>
                <w:color w:val="auto"/>
                <w:highlight w:val="none"/>
              </w:rPr>
              <w:t xml:space="preserve">基础要求</w:t>
            </w:r>
            <w:r/>
          </w:p>
        </w:tc>
        <w:tc>
          <w:tcPr>
            <w:tcW w:w="7229" w:type="dxa"/>
            <w:vAlign w:val="center"/>
            <w:textDirection w:val="lrTb"/>
            <w:noWrap w:val="false"/>
          </w:tcPr>
          <w:p>
            <w:pPr>
              <w:rPr>
                <w:color w:val="auto"/>
                <w:highlight w:val="none"/>
              </w:rPr>
            </w:pPr>
            <w:r>
              <w:rPr>
                <w:rFonts w:hint="eastAsia"/>
                <w:color w:val="auto"/>
                <w:highlight w:val="none"/>
              </w:rPr>
              <w:t xml:space="preserve">1、采用信创CPU、操作系统，2U，内存≥16G，硬盘≥4T，配置1个CON口，1个管理口，1个HA口，2个USB口，千兆电口≥4个（含2对Bypass接口），千兆光口≥4个（满配千兆多模光模块），万兆光口≥4个（满配万兆多模光模块），冗余电源。网络吞吐量≥10Gbps，应用层吞吐量≥4Gbps，最大并发连接数≥100万。含3年WAF特征库升级。</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2、支持接口管理，支持路由、交换、监听、虚拟线和SLAVE模式；支持IPV4和IPV6，支持静态IP和DHCP配置。</w:t>
            </w:r>
            <w:r/>
          </w:p>
        </w:tc>
      </w:tr>
      <w:tr>
        <w:trPr>
          <w:jc w:val="center"/>
          <w:trHeight w:val="296"/>
        </w:trPr>
        <w:tc>
          <w:tcPr>
            <w:tcW w:w="1980" w:type="dxa"/>
            <w:vAlign w:val="center"/>
            <w:vMerge w:val="restart"/>
            <w:textDirection w:val="lrTb"/>
            <w:noWrap w:val="false"/>
          </w:tcPr>
          <w:p>
            <w:pPr>
              <w:jc w:val="center"/>
              <w:rPr>
                <w:color w:val="auto"/>
                <w:highlight w:val="none"/>
              </w:rPr>
            </w:pPr>
            <w:r>
              <w:rPr>
                <w:rFonts w:hint="eastAsia"/>
                <w:color w:val="auto"/>
                <w:highlight w:val="none"/>
              </w:rPr>
              <w:t xml:space="preserve">安全防护</w:t>
            </w:r>
            <w:r/>
          </w:p>
        </w:tc>
        <w:tc>
          <w:tcPr>
            <w:tcW w:w="7229" w:type="dxa"/>
            <w:vAlign w:val="center"/>
            <w:textDirection w:val="lrTb"/>
            <w:noWrap w:val="false"/>
          </w:tcPr>
          <w:p>
            <w:pPr>
              <w:rPr>
                <w:color w:val="auto"/>
                <w:highlight w:val="none"/>
              </w:rPr>
            </w:pPr>
            <w:r>
              <w:rPr>
                <w:rFonts w:hint="eastAsia"/>
                <w:color w:val="auto"/>
                <w:highlight w:val="none"/>
              </w:rPr>
              <w:t xml:space="preserve">3、支持多重编码检查功能，可对多重的编码均进行安全防御检查，有效防止攻击绕过WAF；支持对文件的上传/下载进行控制，包括上传及下载最大文件大小、文件扩展名、MIME类型等进行控制。（提供第三方功能检测报告复印件）</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4、支持HTTPS国密算法，实现HTTPS国密业务的防护。支持同时配置国际证书和国密证书。</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▲5、支持多种爬虫攻击防护：包括但不限于内置爬虫对象库，自定义爬虫对象，导入或者下载后端服务器robots.txt 等方式提供爬虫攻击防护。支持人机识别防护：包括验证码和JS验证的方式进行人机识别防护。（提供第三方功能检测报告复印件）</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6、支持应用层访问控制功能，针对HTTP请求字段进行过滤，包括请求方法、请求头字段、客户端IP、四层源IP、协议版本、Cookie字段、URL路径、URL对象等。</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7、支持参数自学习功能，可以通过学习正常URL参数的长度、参数类型、请求方法等数据特点创建白名单模型，如果参数违反白名单模型则认为是非法流量直接阻断，开启自学习建模功能后可生成自学习网站参数的自学习结果报告。</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8、具备网页防篡改功能，至少支持两种防篡改模式：网关型网页防篡改，无需在服务器中安装任何插件，即可对网站文件内容进行篡改防护，当检测到篡改后可以实时恢复篡改内容；缓存型网页篡改防护，WAF通过将缓存的网站页面返回给客户端，从而保证客户端无法看到被非法篡改的页面，来做到网页篡改防护。（提供第三方功能检测报告复印件）</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9、支持对攻击事件类型、攻击源、攻击源地区、规则ID命中次数、URL攻击次数、动作统计、DDoS攻击统计WEB安全信息进行可视化展示。</w:t>
            </w:r>
            <w:r/>
          </w:p>
        </w:tc>
      </w:tr>
      <w:tr>
        <w:trPr>
          <w:jc w:val="center"/>
          <w:trHeight w:val="296"/>
        </w:trPr>
        <w:tc>
          <w:tcPr>
            <w:tcW w:w="1980" w:type="dxa"/>
            <w:vAlign w:val="center"/>
            <w:vMerge w:val="continue"/>
            <w:textDirection w:val="lrTb"/>
            <w:noWrap w:val="false"/>
          </w:tcPr>
          <w:p>
            <w:pPr>
              <w:rPr>
                <w:color w:val="auto"/>
                <w:highlight w:val="none"/>
              </w:rPr>
            </w:pPr>
            <w:r>
              <w:rPr>
                <w:color w:val="auto"/>
                <w:highlight w:val="none"/>
              </w:rPr>
            </w:r>
            <w:r/>
          </w:p>
        </w:tc>
        <w:tc>
          <w:tcPr>
            <w:tcW w:w="7229" w:type="dxa"/>
            <w:vAlign w:val="center"/>
            <w:textDirection w:val="lrTb"/>
            <w:noWrap w:val="false"/>
          </w:tcPr>
          <w:p>
            <w:pPr>
              <w:rPr>
                <w:color w:val="auto"/>
                <w:highlight w:val="none"/>
              </w:rPr>
            </w:pPr>
            <w:r>
              <w:rPr>
                <w:rFonts w:hint="eastAsia"/>
                <w:color w:val="auto"/>
                <w:highlight w:val="none"/>
              </w:rPr>
              <w:t xml:space="preserve">10、支持防护动作自定义，包括继续、告警、拒绝、拒绝不记录日志、阻断IP、临时跳转、永久跳转、错误页面等多种防护动作，同时支持返回错误页面自定义。</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w:t>
      </w:r>
      <w:r>
        <w:rPr>
          <w:rFonts w:hint="eastAsia" w:eastAsiaTheme="minorEastAsia"/>
          <w:color w:val="auto"/>
          <w:sz w:val="21"/>
          <w:szCs w:val="21"/>
          <w:highlight w:val="none"/>
        </w:rPr>
        <w:t xml:space="preserve">7</w:t>
      </w:r>
      <w:r>
        <w:rPr>
          <w:rFonts w:hint="eastAsia"/>
          <w:color w:val="auto"/>
          <w:sz w:val="21"/>
          <w:szCs w:val="21"/>
          <w:highlight w:val="none"/>
        </w:rPr>
        <w:t xml:space="preserve">超融合软件</w:t>
      </w:r>
      <w:r/>
    </w:p>
    <w:tbl>
      <w:tblPr>
        <w:tblStyle w:val="705"/>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6946"/>
      </w:tblGrid>
      <w:tr>
        <w:trPr>
          <w:jc w:val="center"/>
          <w:trHeight w:val="296"/>
        </w:trPr>
        <w:tc>
          <w:tcPr>
            <w:tcW w:w="1838" w:type="dxa"/>
            <w:textDirection w:val="lrTb"/>
            <w:noWrap w:val="false"/>
          </w:tcPr>
          <w:p>
            <w:pPr>
              <w:jc w:val="center"/>
              <w:rPr>
                <w:b/>
                <w:bCs/>
                <w:color w:val="auto"/>
                <w:highlight w:val="none"/>
              </w:rPr>
            </w:pPr>
            <w:r>
              <w:rPr>
                <w:b/>
                <w:bCs/>
                <w:color w:val="auto"/>
                <w:highlight w:val="none"/>
              </w:rPr>
              <w:t xml:space="preserve">技术指标</w:t>
            </w:r>
            <w:r/>
          </w:p>
        </w:tc>
        <w:tc>
          <w:tcPr>
            <w:tcW w:w="6946" w:type="dxa"/>
            <w:textDirection w:val="lrTb"/>
            <w:noWrap w:val="false"/>
          </w:tcPr>
          <w:p>
            <w:pPr>
              <w:jc w:val="center"/>
              <w:rPr>
                <w:b/>
                <w:bCs/>
                <w:color w:val="auto"/>
                <w:highlight w:val="none"/>
              </w:rPr>
            </w:pPr>
            <w:r>
              <w:rPr>
                <w:b/>
                <w:bCs/>
                <w:color w:val="auto"/>
                <w:highlight w:val="none"/>
              </w:rPr>
              <w:t xml:space="preserve">指标要求</w:t>
            </w:r>
            <w:r/>
          </w:p>
        </w:tc>
      </w:tr>
      <w:tr>
        <w:trPr>
          <w:jc w:val="center"/>
          <w:trHeight w:val="296"/>
        </w:trPr>
        <w:tc>
          <w:tcPr>
            <w:tcW w:w="1838" w:type="dxa"/>
            <w:vAlign w:val="center"/>
            <w:vMerge w:val="restart"/>
            <w:textDirection w:val="lrTb"/>
            <w:noWrap w:val="false"/>
          </w:tcPr>
          <w:p>
            <w:pPr>
              <w:rPr>
                <w:color w:val="auto"/>
                <w:highlight w:val="none"/>
              </w:rPr>
            </w:pPr>
            <w:r>
              <w:rPr>
                <w:rFonts w:hint="eastAsia"/>
                <w:color w:val="auto"/>
                <w:highlight w:val="none"/>
              </w:rPr>
              <w:t xml:space="preserve">基础要求</w:t>
            </w:r>
            <w:r/>
          </w:p>
        </w:tc>
        <w:tc>
          <w:tcPr>
            <w:tcW w:w="6946" w:type="dxa"/>
            <w:vAlign w:val="center"/>
            <w:textDirection w:val="lrTb"/>
            <w:noWrap w:val="false"/>
          </w:tcPr>
          <w:p>
            <w:pPr>
              <w:rPr>
                <w:color w:val="auto"/>
                <w:highlight w:val="none"/>
              </w:rPr>
            </w:pPr>
            <w:r>
              <w:rPr>
                <w:rFonts w:hint="eastAsia"/>
                <w:color w:val="auto"/>
                <w:highlight w:val="none"/>
              </w:rPr>
              <w:t xml:space="preserve">需提供不少于8颗CPU的云管平台、计算虚拟化、存储虚拟化、网络虚拟化软件终身授权。为保障兼容性以上软件需为同一品牌并能够被医院现有的信创超融合集群管理平台统一管理。</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为保障后期架构的延展性，信创超融合软件需支持对接第三方外置存储设备。</w:t>
            </w:r>
            <w:r/>
          </w:p>
        </w:tc>
      </w:tr>
      <w:tr>
        <w:trPr>
          <w:jc w:val="center"/>
          <w:trHeight w:val="296"/>
        </w:trPr>
        <w:tc>
          <w:tcPr>
            <w:tcW w:w="1838" w:type="dxa"/>
            <w:vAlign w:val="center"/>
            <w:vMerge w:val="restart"/>
            <w:textDirection w:val="lrTb"/>
            <w:noWrap w:val="false"/>
          </w:tcPr>
          <w:p>
            <w:pPr>
              <w:rPr>
                <w:color w:val="auto"/>
                <w:highlight w:val="none"/>
              </w:rPr>
            </w:pPr>
            <w:r>
              <w:rPr>
                <w:rFonts w:hint="eastAsia"/>
                <w:color w:val="auto"/>
                <w:highlight w:val="none"/>
              </w:rPr>
              <w:t xml:space="preserve">功能要求</w:t>
            </w:r>
            <w:r/>
          </w:p>
        </w:tc>
        <w:tc>
          <w:tcPr>
            <w:tcW w:w="6946" w:type="dxa"/>
            <w:vAlign w:val="center"/>
            <w:textDirection w:val="lrTb"/>
            <w:noWrap w:val="false"/>
          </w:tcPr>
          <w:p>
            <w:pPr>
              <w:rPr>
                <w:color w:val="auto"/>
                <w:highlight w:val="none"/>
              </w:rPr>
            </w:pPr>
            <w:r>
              <w:rPr>
                <w:rFonts w:hint="eastAsia"/>
                <w:color w:val="auto"/>
                <w:highlight w:val="none"/>
              </w:rPr>
              <w:t xml:space="preserve">为满足大规模管理运维的要求，在超融合管理平台界面上提供虚拟机挂起、克隆、标签管理等功能，以上功能均支持批量操作。</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超融合应支持根据业务情况推荐微隔离的策略，且能够自动生成规则。需提供产品功能截图。</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支持虚拟机备份，且支持通过备份找回重要文件（非整个虚拟机文件）。</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需提供基于PowerShell的CLI命令行功能，通过命令行即可进行虚拟机管理、存储管理、主机管理等操作。</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为保障我单位业务连续性，虚拟化平台需支持对虚拟机蓝屏和卡死进行检测，如果发现其蓝屏或卡死可实现自动重启虚拟机，无需我单位人工干预，减少运维工作量</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为保障我单位业务连续性，虚拟化平台需支持硬盘寿命预测功能，可以查看磁盘寿命页面列表项信息，包括预计剩余可用时长、硬盘名称、风险和剩余寿命等。以便于我单位提前预知硬件使用周期，提前采购硬盘备件。（提供检测报告证明）</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因信创服务器性能相较我单位现有服务器性能偏低，同时我单位现有业务的数据库对性能要求较高，为保障业务迁移至信创平台后能够正常运行，信创虚拟化平台需支持以虚拟磁盘为粒度设置不同的条带数，可以点击虚拟存储中的新增存储策略进行条带数设置操作（提供检测报告证明）</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支持部署中标麒麟、银河麒麟、麒麟信安、深度Linux、统信UOS、openEuler、Anolis等操作系统</w:t>
            </w:r>
            <w:r/>
          </w:p>
        </w:tc>
      </w:tr>
      <w:tr>
        <w:trPr>
          <w:jc w:val="center"/>
          <w:trHeight w:val="296"/>
        </w:trPr>
        <w:tc>
          <w:tcPr>
            <w:tcW w:w="1838" w:type="dxa"/>
            <w:vAlign w:val="center"/>
            <w:vMerge w:val="continue"/>
            <w:textDirection w:val="lrTb"/>
            <w:noWrap w:val="false"/>
          </w:tcPr>
          <w:p>
            <w:pPr>
              <w:rPr>
                <w:color w:val="auto"/>
                <w:highlight w:val="none"/>
              </w:rPr>
            </w:pPr>
            <w:r>
              <w:rPr>
                <w:color w:val="auto"/>
                <w:highlight w:val="none"/>
              </w:rPr>
            </w:r>
            <w:r/>
          </w:p>
        </w:tc>
        <w:tc>
          <w:tcPr>
            <w:tcW w:w="6946" w:type="dxa"/>
            <w:vAlign w:val="center"/>
            <w:textDirection w:val="lrTb"/>
            <w:noWrap w:val="false"/>
          </w:tcPr>
          <w:p>
            <w:pPr>
              <w:rPr>
                <w:color w:val="auto"/>
                <w:highlight w:val="none"/>
              </w:rPr>
            </w:pPr>
            <w:r>
              <w:rPr>
                <w:rFonts w:hint="eastAsia"/>
                <w:color w:val="auto"/>
                <w:highlight w:val="none"/>
              </w:rPr>
              <w:t xml:space="preserve">考虑到信创RAID卡等配件发展起步较晚，为了避免出现某台物理主机的RAID卡卡死导致医院业务受到影响的情况，虚拟化平台一旦发现RAID卡出现卡死状态，可对该主机进行隔离，从而避免对其他主机上的业务系统造成影响。</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w:t>
      </w:r>
      <w:r>
        <w:rPr>
          <w:rFonts w:hint="eastAsia" w:eastAsiaTheme="minorEastAsia"/>
          <w:color w:val="auto"/>
          <w:sz w:val="21"/>
          <w:szCs w:val="21"/>
          <w:highlight w:val="none"/>
        </w:rPr>
        <w:t xml:space="preserve">8</w:t>
      </w:r>
      <w:r>
        <w:rPr>
          <w:rFonts w:hint="eastAsia"/>
          <w:color w:val="auto"/>
          <w:sz w:val="21"/>
          <w:szCs w:val="21"/>
          <w:highlight w:val="none"/>
        </w:rPr>
        <w:t xml:space="preserve">堡垒机</w:t>
      </w:r>
      <w:r/>
    </w:p>
    <w:tbl>
      <w:tblPr>
        <w:tblStyle w:val="705"/>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429"/>
        <w:gridCol w:w="7355"/>
      </w:tblGrid>
      <w:tr>
        <w:trPr>
          <w:jc w:val="center"/>
          <w:trHeight w:val="545"/>
        </w:trPr>
        <w:tc>
          <w:tcPr>
            <w:shd w:val="clear" w:color="auto" w:fill="ffffff" w:themeFill="background1"/>
            <w:tcW w:w="1429" w:type="dxa"/>
            <w:textDirection w:val="lrTb"/>
            <w:noWrap w:val="false"/>
          </w:tcPr>
          <w:p>
            <w:pPr>
              <w:jc w:val="center"/>
              <w:rPr>
                <w:b/>
                <w:bCs/>
                <w:color w:val="auto"/>
                <w:highlight w:val="none"/>
              </w:rPr>
            </w:pPr>
            <w:r>
              <w:rPr>
                <w:b/>
                <w:bCs/>
                <w:color w:val="auto"/>
                <w:highlight w:val="none"/>
              </w:rPr>
              <w:t xml:space="preserve">技术指标</w:t>
            </w:r>
            <w:r/>
          </w:p>
        </w:tc>
        <w:tc>
          <w:tcPr>
            <w:shd w:val="clear" w:color="auto" w:fill="ffffff" w:themeFill="background1"/>
            <w:tcW w:w="7355" w:type="dxa"/>
            <w:textDirection w:val="lrTb"/>
            <w:noWrap w:val="false"/>
          </w:tcPr>
          <w:p>
            <w:pPr>
              <w:jc w:val="center"/>
              <w:rPr>
                <w:b/>
                <w:bCs/>
                <w:color w:val="auto"/>
                <w:highlight w:val="none"/>
              </w:rPr>
            </w:pPr>
            <w:r>
              <w:rPr>
                <w:b/>
                <w:bCs/>
                <w:color w:val="auto"/>
                <w:highlight w:val="none"/>
              </w:rPr>
              <w:t xml:space="preserve">指标要求</w:t>
            </w:r>
            <w:r/>
          </w:p>
        </w:tc>
      </w:tr>
      <w:tr>
        <w:trPr>
          <w:jc w:val="center"/>
          <w:trHeight w:val="1096"/>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规格要求</w:t>
            </w:r>
            <w:r/>
          </w:p>
          <w:p>
            <w:pPr>
              <w:rPr>
                <w:color w:val="auto"/>
                <w:highlight w:val="none"/>
              </w:rPr>
            </w:pPr>
            <w:r>
              <w:rPr>
                <w:rFonts w:hint="eastAsia"/>
                <w:color w:val="auto"/>
                <w:highlight w:val="none"/>
              </w:rPr>
              <w:t xml:space="preserve">（软件）</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软件方式交付，支持部署在虚拟化平台，支持通过授权绑定IP的形式，来防止虚拟机漂移时授权失效。含双因素认证模块；支持应用发布模块,支持C/S客户端工具的操作审计；数据库审计模块,支持针对数据库管理员的数据库操作审计；</w:t>
            </w:r>
            <w:r/>
          </w:p>
        </w:tc>
      </w:tr>
      <w:tr>
        <w:trPr>
          <w:jc w:val="center"/>
          <w:trHeight w:val="854"/>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规格要求</w:t>
            </w:r>
            <w:r/>
          </w:p>
        </w:tc>
        <w:tc>
          <w:tcPr>
            <w:shd w:val="clear" w:color="auto" w:fill="ffffff" w:themeFill="background1"/>
            <w:tcW w:w="7355" w:type="dxa"/>
            <w:vAlign w:val="center"/>
            <w:textDirection w:val="lrTb"/>
            <w:noWrap w:val="false"/>
          </w:tcPr>
          <w:p>
            <w:pPr>
              <w:rPr>
                <w:color w:val="auto"/>
                <w:highlight w:val="none"/>
              </w:rPr>
            </w:pPr>
            <w:r>
              <w:rPr>
                <w:color w:val="auto"/>
                <w:highlight w:val="none"/>
              </w:rPr>
              <w:t xml:space="preserve">支持≥200图形并发，≥800字符并发;不限制用户数；含双因素认证模块；支持应用发布模块,支持C/S客户端工具的操作审计；支持管理</w:t>
            </w:r>
            <w:r>
              <w:rPr>
                <w:rFonts w:hint="eastAsia"/>
                <w:color w:val="auto"/>
                <w:highlight w:val="none"/>
              </w:rPr>
              <w:t xml:space="preserve">信创</w:t>
            </w:r>
            <w:r>
              <w:rPr>
                <w:color w:val="auto"/>
                <w:highlight w:val="none"/>
              </w:rPr>
              <w:t xml:space="preserve">信息设备和操作系统。</w:t>
            </w:r>
            <w:r/>
          </w:p>
        </w:tc>
      </w:tr>
      <w:tr>
        <w:trPr>
          <w:jc w:val="center"/>
          <w:trHeight w:val="388"/>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管理资源数</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不少于500个。</w:t>
            </w:r>
            <w:r/>
          </w:p>
        </w:tc>
      </w:tr>
      <w:tr>
        <w:trPr>
          <w:jc w:val="center"/>
          <w:trHeight w:val="484"/>
        </w:trPr>
        <w:tc>
          <w:tcPr>
            <w:shd w:val="clear" w:color="auto" w:fill="ffffff" w:themeFill="background1"/>
            <w:tcW w:w="1429" w:type="dxa"/>
            <w:vAlign w:val="center"/>
            <w:vMerge w:val="restart"/>
            <w:textDirection w:val="lrTb"/>
            <w:noWrap w:val="false"/>
          </w:tcPr>
          <w:p>
            <w:pPr>
              <w:rPr>
                <w:color w:val="auto"/>
                <w:highlight w:val="none"/>
              </w:rPr>
            </w:pPr>
            <w:r>
              <w:rPr>
                <w:rFonts w:hint="eastAsia"/>
                <w:color w:val="auto"/>
                <w:highlight w:val="none"/>
              </w:rPr>
              <w:t xml:space="preserve">角色管理</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默认支持超级管理员、配置管理员、审计管理员、自动化管理员及操作员等角色。</w:t>
            </w:r>
            <w:r/>
          </w:p>
        </w:tc>
      </w:tr>
      <w:tr>
        <w:trPr>
          <w:jc w:val="center"/>
          <w:trHeight w:val="762"/>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根据工作实际需要，能够支持自定义用户角色名称，并且可以将超级管理员、配置管理员、审计管理员、自动化管理员及操作员角色具备的权限进行组合后赋予这个角色。</w:t>
            </w:r>
            <w:r/>
          </w:p>
        </w:tc>
      </w:tr>
      <w:tr>
        <w:trPr>
          <w:jc w:val="center"/>
          <w:trHeight w:val="892"/>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身份认证</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支持本地密码、AD/LDAP、RA</w:t>
            </w:r>
            <w:r>
              <w:rPr>
                <w:color w:val="auto"/>
                <w:highlight w:val="none"/>
              </w:rPr>
              <w:t xml:space="preserve">D</w:t>
            </w:r>
            <w:r>
              <w:rPr>
                <w:rFonts w:hint="eastAsia"/>
                <w:color w:val="auto"/>
                <w:highlight w:val="none"/>
              </w:rPr>
              <w:t xml:space="preserve">IUS、动态令牌、手机令牌、USBKey、短信、X.509等认证方式，并且可以将两种认证方式自定义组合为全新的认证方式（如本地密码+手机令牌）。（提供配置截图）</w:t>
            </w:r>
            <w:r/>
          </w:p>
        </w:tc>
      </w:tr>
      <w:tr>
        <w:trPr>
          <w:jc w:val="center"/>
          <w:trHeight w:val="564"/>
        </w:trPr>
        <w:tc>
          <w:tcPr>
            <w:shd w:val="clear" w:color="auto" w:fill="ffffff" w:themeFill="background1"/>
            <w:tcW w:w="1429" w:type="dxa"/>
            <w:vAlign w:val="center"/>
            <w:vMerge w:val="restart"/>
            <w:textDirection w:val="lrTb"/>
            <w:noWrap w:val="false"/>
          </w:tcPr>
          <w:p>
            <w:pPr>
              <w:rPr>
                <w:color w:val="auto"/>
                <w:highlight w:val="none"/>
              </w:rPr>
            </w:pPr>
            <w:r>
              <w:rPr>
                <w:rFonts w:hint="eastAsia"/>
                <w:color w:val="auto"/>
                <w:highlight w:val="none"/>
              </w:rPr>
              <w:t xml:space="preserve">账号安全</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具有防暴力猜测功能，支持密码错误锁定、客户端锁定（基于同一客户端不同账号登录失败次数），可以设置锁定时长。</w:t>
            </w:r>
            <w:r/>
          </w:p>
        </w:tc>
      </w:tr>
      <w:tr>
        <w:trPr>
          <w:jc w:val="center"/>
          <w:trHeight w:val="545"/>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color w:val="auto"/>
                <w:highlight w:val="none"/>
              </w:rPr>
              <w:t xml:space="preserve">支持自定义弱口令，用户口令不能设置为弱口令中的任何口令。</w:t>
            </w:r>
            <w:r/>
          </w:p>
        </w:tc>
      </w:tr>
      <w:tr>
        <w:trPr>
          <w:jc w:val="center"/>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资源类型</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支持对windows、linux、unix、网络及安全设备、数据库以及各类B/S应用的管理。</w:t>
            </w:r>
            <w:r/>
          </w:p>
        </w:tc>
      </w:tr>
      <w:tr>
        <w:trPr>
          <w:jc w:val="center"/>
          <w:trHeight w:val="90"/>
        </w:trPr>
        <w:tc>
          <w:tcPr>
            <w:shd w:val="clear" w:color="auto" w:fill="ffffff" w:themeFill="background1"/>
            <w:tcW w:w="1429" w:type="dxa"/>
            <w:textDirection w:val="lrTb"/>
            <w:noWrap w:val="false"/>
          </w:tcPr>
          <w:p>
            <w:pPr>
              <w:rPr>
                <w:color w:val="auto"/>
                <w:highlight w:val="none"/>
              </w:rPr>
            </w:pPr>
            <w:r>
              <w:rPr>
                <w:rFonts w:hint="eastAsia"/>
                <w:color w:val="auto"/>
                <w:highlight w:val="none"/>
              </w:rPr>
              <w:t xml:space="preserve">权限查看</w:t>
            </w:r>
            <w:r/>
          </w:p>
        </w:tc>
        <w:tc>
          <w:tcPr>
            <w:shd w:val="clear" w:color="auto" w:fill="ffffff" w:themeFill="background1"/>
            <w:tcW w:w="7355" w:type="dxa"/>
            <w:textDirection w:val="lrTb"/>
            <w:noWrap w:val="false"/>
          </w:tcPr>
          <w:p>
            <w:pPr>
              <w:rPr>
                <w:color w:val="auto"/>
                <w:highlight w:val="none"/>
              </w:rPr>
            </w:pPr>
            <w:r>
              <w:rPr>
                <w:rFonts w:hint="eastAsia"/>
                <w:color w:val="auto"/>
                <w:highlight w:val="none"/>
              </w:rPr>
              <w:t xml:space="preserve">支持按用户展示可管理资产、按资产展示有权限访问的用户账号。</w:t>
            </w:r>
            <w:r/>
          </w:p>
        </w:tc>
      </w:tr>
      <w:tr>
        <w:trPr>
          <w:jc w:val="center"/>
        </w:trPr>
        <w:tc>
          <w:tcPr>
            <w:shd w:val="clear" w:color="auto" w:fill="ffffff" w:themeFill="background1"/>
            <w:tcW w:w="1429" w:type="dxa"/>
            <w:vAlign w:val="center"/>
            <w:vMerge w:val="restart"/>
            <w:textDirection w:val="lrTb"/>
            <w:noWrap w:val="false"/>
          </w:tcPr>
          <w:p>
            <w:pPr>
              <w:rPr>
                <w:color w:val="auto"/>
                <w:highlight w:val="none"/>
              </w:rPr>
            </w:pPr>
            <w:r>
              <w:rPr>
                <w:rFonts w:hint="eastAsia"/>
                <w:color w:val="auto"/>
                <w:highlight w:val="none"/>
              </w:rPr>
              <w:t xml:space="preserve">密码托管</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支持以EXCEL方式批量导入资源系统账号及密码。</w:t>
            </w:r>
            <w:r/>
          </w:p>
        </w:tc>
      </w:tr>
      <w:tr>
        <w:trPr>
          <w:jc w:val="center"/>
        </w:trPr>
        <w:tc>
          <w:tcPr>
            <w:shd w:val="clear" w:color="auto" w:fill="ffffff" w:themeFill="background1"/>
            <w:tcW w:w="1429" w:type="dxa"/>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支持资源账号密码托管，实现资源单点登录功能。</w:t>
            </w:r>
            <w:r/>
          </w:p>
        </w:tc>
      </w:tr>
      <w:tr>
        <w:trPr>
          <w:jc w:val="center"/>
        </w:trPr>
        <w:tc>
          <w:tcPr>
            <w:shd w:val="clear" w:color="auto" w:fill="ffffff" w:themeFill="background1"/>
            <w:tcW w:w="1429" w:type="dxa"/>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支持系统账号密码触发式校验功能，对托管的口令进行验证。</w:t>
            </w:r>
            <w:r/>
          </w:p>
        </w:tc>
      </w:tr>
      <w:tr>
        <w:trPr>
          <w:jc w:val="center"/>
        </w:trPr>
        <w:tc>
          <w:tcPr>
            <w:shd w:val="clear" w:color="auto" w:fill="ffffff" w:themeFill="background1"/>
            <w:tcW w:w="1429" w:type="dxa"/>
            <w:textDirection w:val="lrTb"/>
            <w:noWrap w:val="false"/>
          </w:tcPr>
          <w:p>
            <w:pPr>
              <w:rPr>
                <w:color w:val="auto"/>
                <w:highlight w:val="none"/>
              </w:rPr>
            </w:pPr>
            <w:r>
              <w:rPr>
                <w:rFonts w:hint="eastAsia"/>
                <w:color w:val="auto"/>
                <w:highlight w:val="none"/>
              </w:rPr>
              <w:t xml:space="preserve">自动改密</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支持自动改密功能，管理员可自定义密码策略、改密周期、密码备份方式。</w:t>
            </w:r>
            <w:r/>
          </w:p>
        </w:tc>
      </w:tr>
      <w:tr>
        <w:trPr>
          <w:jc w:val="center"/>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密码申请</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▲如需要临时使用被管理设备的密码，可以通过密码申请工单申请，填写需要使用密码的开始、结束时间，支持通过密码分段将密码分为2段分别发送给不同的管理员用户。（提供配置截图）</w:t>
            </w:r>
            <w:r/>
          </w:p>
        </w:tc>
      </w:tr>
      <w:tr>
        <w:trPr>
          <w:jc w:val="center"/>
          <w:trHeight w:val="621"/>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应用发布类型</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支持以Windows</w:t>
            </w:r>
            <w:r>
              <w:rPr>
                <w:color w:val="auto"/>
                <w:highlight w:val="none"/>
              </w:rPr>
              <w:t xml:space="preserve"> </w:t>
            </w:r>
            <w:r>
              <w:rPr>
                <w:rFonts w:hint="eastAsia"/>
                <w:color w:val="auto"/>
                <w:highlight w:val="none"/>
              </w:rPr>
              <w:t xml:space="preserve">Server</w:t>
            </w:r>
            <w:r>
              <w:rPr>
                <w:color w:val="auto"/>
                <w:highlight w:val="none"/>
              </w:rPr>
              <w:t xml:space="preserve"> 2008</w:t>
            </w:r>
            <w:r>
              <w:rPr>
                <w:rFonts w:hint="eastAsia"/>
                <w:color w:val="auto"/>
                <w:highlight w:val="none"/>
              </w:rPr>
              <w:t xml:space="preserve">、Windows</w:t>
            </w:r>
            <w:r>
              <w:rPr>
                <w:color w:val="auto"/>
                <w:highlight w:val="none"/>
              </w:rPr>
              <w:t xml:space="preserve"> </w:t>
            </w:r>
            <w:r>
              <w:rPr>
                <w:rFonts w:hint="eastAsia"/>
                <w:color w:val="auto"/>
                <w:highlight w:val="none"/>
              </w:rPr>
              <w:t xml:space="preserve">Server</w:t>
            </w:r>
            <w:r>
              <w:rPr>
                <w:color w:val="auto"/>
                <w:highlight w:val="none"/>
              </w:rPr>
              <w:t xml:space="preserve"> 2012</w:t>
            </w:r>
            <w:r>
              <w:rPr>
                <w:rFonts w:hint="eastAsia"/>
                <w:color w:val="auto"/>
                <w:highlight w:val="none"/>
              </w:rPr>
              <w:t xml:space="preserve">、Windows</w:t>
            </w:r>
            <w:r>
              <w:rPr>
                <w:color w:val="auto"/>
                <w:highlight w:val="none"/>
              </w:rPr>
              <w:t xml:space="preserve"> </w:t>
            </w:r>
            <w:r>
              <w:rPr>
                <w:rFonts w:hint="eastAsia"/>
                <w:color w:val="auto"/>
                <w:highlight w:val="none"/>
              </w:rPr>
              <w:t xml:space="preserve">Server</w:t>
            </w:r>
            <w:r>
              <w:rPr>
                <w:color w:val="auto"/>
                <w:highlight w:val="none"/>
              </w:rPr>
              <w:t xml:space="preserve"> 2016</w:t>
            </w:r>
            <w:r>
              <w:rPr>
                <w:rFonts w:hint="eastAsia"/>
                <w:color w:val="auto"/>
                <w:highlight w:val="none"/>
              </w:rPr>
              <w:t xml:space="preserve">、Windows</w:t>
            </w:r>
            <w:r>
              <w:rPr>
                <w:color w:val="auto"/>
                <w:highlight w:val="none"/>
              </w:rPr>
              <w:t xml:space="preserve"> </w:t>
            </w:r>
            <w:r>
              <w:rPr>
                <w:rFonts w:hint="eastAsia"/>
                <w:color w:val="auto"/>
                <w:highlight w:val="none"/>
              </w:rPr>
              <w:t xml:space="preserve">Server</w:t>
            </w:r>
            <w:r>
              <w:rPr>
                <w:color w:val="auto"/>
                <w:highlight w:val="none"/>
              </w:rPr>
              <w:t xml:space="preserve"> 201</w:t>
            </w:r>
            <w:r>
              <w:rPr>
                <w:rFonts w:hint="eastAsia"/>
                <w:color w:val="auto"/>
                <w:highlight w:val="none"/>
              </w:rPr>
              <w:t xml:space="preserve">9、Windows</w:t>
            </w:r>
            <w:r>
              <w:rPr>
                <w:color w:val="auto"/>
                <w:highlight w:val="none"/>
              </w:rPr>
              <w:t xml:space="preserve"> </w:t>
            </w:r>
            <w:r>
              <w:rPr>
                <w:rFonts w:hint="eastAsia"/>
                <w:color w:val="auto"/>
                <w:highlight w:val="none"/>
              </w:rPr>
              <w:t xml:space="preserve">Server</w:t>
            </w:r>
            <w:r>
              <w:rPr>
                <w:color w:val="auto"/>
                <w:highlight w:val="none"/>
              </w:rPr>
              <w:t xml:space="preserve"> 20</w:t>
            </w:r>
            <w:r>
              <w:rPr>
                <w:rFonts w:hint="eastAsia"/>
                <w:color w:val="auto"/>
                <w:highlight w:val="none"/>
              </w:rPr>
              <w:t xml:space="preserve">22等作为应用发布服务器。</w:t>
            </w:r>
            <w:r/>
          </w:p>
        </w:tc>
      </w:tr>
      <w:tr>
        <w:trPr>
          <w:jc w:val="center"/>
        </w:trPr>
        <w:tc>
          <w:tcPr>
            <w:shd w:val="clear" w:color="auto" w:fill="ffffff" w:themeFill="background1"/>
            <w:tcW w:w="1429" w:type="dxa"/>
            <w:textDirection w:val="lrTb"/>
            <w:noWrap w:val="false"/>
          </w:tcPr>
          <w:p>
            <w:pPr>
              <w:rPr>
                <w:color w:val="auto"/>
                <w:highlight w:val="none"/>
              </w:rPr>
            </w:pPr>
            <w:r>
              <w:rPr>
                <w:rFonts w:hint="eastAsia"/>
                <w:color w:val="auto"/>
                <w:highlight w:val="none"/>
              </w:rPr>
              <w:t xml:space="preserve">应用发布集群</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支持多台应用发布服务器以集群的方式部署。</w:t>
            </w:r>
            <w:r/>
          </w:p>
        </w:tc>
      </w:tr>
      <w:tr>
        <w:trPr>
          <w:jc w:val="center"/>
          <w:trHeight w:val="515"/>
        </w:trPr>
        <w:tc>
          <w:tcPr>
            <w:shd w:val="clear" w:color="auto" w:fill="ffffff" w:themeFill="background1"/>
            <w:tcW w:w="1429" w:type="dxa"/>
            <w:vAlign w:val="center"/>
            <w:vMerge w:val="restart"/>
            <w:textDirection w:val="lrTb"/>
            <w:noWrap w:val="false"/>
          </w:tcPr>
          <w:p>
            <w:pPr>
              <w:rPr>
                <w:color w:val="auto"/>
                <w:highlight w:val="none"/>
              </w:rPr>
            </w:pPr>
            <w:r>
              <w:rPr>
                <w:rFonts w:hint="eastAsia"/>
                <w:color w:val="auto"/>
                <w:highlight w:val="none"/>
              </w:rPr>
              <w:t xml:space="preserve">图形操作审计</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windows系统在登录前，能够查看目前在线运维会话数量。</w:t>
            </w:r>
            <w:r/>
          </w:p>
        </w:tc>
      </w:tr>
      <w:tr>
        <w:trPr>
          <w:jc w:val="center"/>
          <w:trHeight w:val="416"/>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支持开启或者关闭键盘记录。</w:t>
            </w:r>
            <w:r/>
          </w:p>
        </w:tc>
      </w:tr>
      <w:tr>
        <w:trPr>
          <w:jc w:val="center"/>
          <w:trHeight w:val="557"/>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支持图形会话无操作超时自动切断会话，可以设置超时时间</w:t>
            </w:r>
            <w:r/>
          </w:p>
        </w:tc>
      </w:tr>
      <w:tr>
        <w:trPr>
          <w:jc w:val="center"/>
          <w:trHeight w:val="757"/>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支持设置某个图形会话操作的最大持续时间，超时自动切断会话。</w:t>
            </w:r>
            <w:r/>
          </w:p>
        </w:tc>
      </w:tr>
      <w:tr>
        <w:trPr>
          <w:jc w:val="center"/>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字符操作审计</w:t>
            </w:r>
            <w:r/>
          </w:p>
        </w:tc>
        <w:tc>
          <w:tcPr>
            <w:shd w:val="clear" w:color="auto" w:fill="ffffff" w:themeFill="background1"/>
            <w:tcW w:w="7355" w:type="dxa"/>
            <w:vAlign w:val="center"/>
            <w:textDirection w:val="lrTb"/>
            <w:noWrap w:val="false"/>
          </w:tcPr>
          <w:p>
            <w:pPr>
              <w:rPr>
                <w:color w:val="auto"/>
                <w:highlight w:val="none"/>
              </w:rPr>
            </w:pPr>
            <w:r>
              <w:rPr>
                <w:color w:val="auto"/>
                <w:highlight w:val="none"/>
              </w:rPr>
              <w:t xml:space="preserve">确保对各种非常规指令操作的识别和审计，特别是TAB补全、长命令的行内编辑、上下箭头等操作</w:t>
            </w:r>
            <w:r>
              <w:rPr>
                <w:rFonts w:hint="eastAsia"/>
                <w:color w:val="auto"/>
                <w:highlight w:val="none"/>
              </w:rPr>
              <w:t xml:space="preserve">。</w:t>
            </w:r>
            <w:r/>
          </w:p>
        </w:tc>
      </w:tr>
      <w:tr>
        <w:trPr>
          <w:jc w:val="center"/>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数据库审计</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由于实际业务中数据库操作比较频繁，需要可以根据任意sql语句中的内容为关键字进行会话查询，查询结果可直接定位到相关操作画面；投标产品厂商必须具备数据库访问过程的获取技术能力证明，提供权威机构颁发的证明材料</w:t>
            </w:r>
            <w:r/>
          </w:p>
        </w:tc>
      </w:tr>
      <w:tr>
        <w:trPr>
          <w:jc w:val="center"/>
        </w:trPr>
        <w:tc>
          <w:tcPr>
            <w:shd w:val="clear" w:color="auto" w:fill="ffffff" w:themeFill="background1"/>
            <w:tcW w:w="1429" w:type="dxa"/>
            <w:vAlign w:val="center"/>
            <w:vMerge w:val="restart"/>
            <w:textDirection w:val="lrTb"/>
            <w:noWrap w:val="false"/>
          </w:tcPr>
          <w:p>
            <w:pPr>
              <w:rPr>
                <w:color w:val="auto"/>
                <w:highlight w:val="none"/>
              </w:rPr>
            </w:pPr>
            <w:r>
              <w:rPr>
                <w:rFonts w:hint="eastAsia"/>
                <w:color w:val="auto"/>
                <w:highlight w:val="none"/>
              </w:rPr>
              <w:t xml:space="preserve">审计分析</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支持运维数据风险直观展示，能够以topN方式展示TOP资产、TOP用户和TOP敏感操作。</w:t>
            </w:r>
            <w:r/>
          </w:p>
        </w:tc>
      </w:tr>
      <w:tr>
        <w:trPr>
          <w:jc w:val="center"/>
        </w:trPr>
        <w:tc>
          <w:tcPr>
            <w:shd w:val="clear" w:color="auto" w:fill="ffffff" w:themeFill="background1"/>
            <w:tcW w:w="1429" w:type="dxa"/>
            <w:vAlign w:val="center"/>
            <w:vMerge w:val="continue"/>
            <w:textDirection w:val="lrTb"/>
            <w:noWrap w:val="false"/>
          </w:tcPr>
          <w:p>
            <w:pPr>
              <w:rPr>
                <w:color w:val="auto"/>
                <w:highlight w:val="none"/>
              </w:rPr>
            </w:pPr>
            <w:r>
              <w:rPr>
                <w:color w:val="auto"/>
                <w:highlight w:val="none"/>
              </w:rPr>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支持以1M-10M大小对图形会话进行切片展示功能，管理员点击任意切片，即可直接定位到对应操作片段。</w:t>
            </w:r>
            <w:r/>
          </w:p>
        </w:tc>
      </w:tr>
      <w:tr>
        <w:trPr>
          <w:jc w:val="center"/>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事件审计</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支持记录登录日志、配置日志及审计记录。</w:t>
            </w:r>
            <w:r/>
          </w:p>
        </w:tc>
      </w:tr>
      <w:tr>
        <w:trPr>
          <w:jc w:val="center"/>
          <w:trHeight w:val="1046"/>
        </w:trPr>
        <w:tc>
          <w:tcPr>
            <w:shd w:val="clear" w:color="auto" w:fill="ffffff" w:themeFill="background1"/>
            <w:tcW w:w="1429" w:type="dxa"/>
            <w:vAlign w:val="center"/>
            <w:textDirection w:val="lrTb"/>
            <w:noWrap w:val="false"/>
          </w:tcPr>
          <w:p>
            <w:pPr>
              <w:rPr>
                <w:color w:val="auto"/>
                <w:highlight w:val="none"/>
              </w:rPr>
            </w:pPr>
            <w:r>
              <w:rPr>
                <w:rFonts w:hint="eastAsia"/>
                <w:color w:val="auto"/>
                <w:highlight w:val="none"/>
              </w:rPr>
              <w:t xml:space="preserve">负载限制</w:t>
            </w:r>
            <w:r/>
          </w:p>
        </w:tc>
        <w:tc>
          <w:tcPr>
            <w:shd w:val="clear" w:color="auto" w:fill="ffffff" w:themeFill="background1"/>
            <w:tcW w:w="7355" w:type="dxa"/>
            <w:vAlign w:val="center"/>
            <w:textDirection w:val="lrTb"/>
            <w:noWrap w:val="false"/>
          </w:tcPr>
          <w:p>
            <w:pPr>
              <w:rPr>
                <w:color w:val="auto"/>
                <w:highlight w:val="none"/>
              </w:rPr>
            </w:pPr>
            <w:r>
              <w:rPr>
                <w:rFonts w:hint="eastAsia"/>
                <w:color w:val="auto"/>
                <w:highlight w:val="none"/>
              </w:rPr>
              <w:t xml:space="preserve"> ▲可以在全局模式下设置会话占用系统资源限制，如图形会话、字符会话、数据库会话占用系统CPU、内存负载限制；也可以按照单会话，设置普通用户和VIP用户对CPU、内存负载限制。（提供配置截图）</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w:t>
      </w:r>
      <w:r>
        <w:rPr>
          <w:rFonts w:hint="eastAsia" w:eastAsiaTheme="minorEastAsia"/>
          <w:color w:val="auto"/>
          <w:sz w:val="21"/>
          <w:szCs w:val="21"/>
          <w:highlight w:val="none"/>
        </w:rPr>
        <w:t xml:space="preserve">9</w:t>
      </w:r>
      <w:r>
        <w:rPr>
          <w:rFonts w:hint="eastAsia"/>
          <w:color w:val="auto"/>
          <w:sz w:val="21"/>
          <w:szCs w:val="21"/>
          <w:highlight w:val="none"/>
        </w:rPr>
        <w:t xml:space="preserve">态势感知系统</w:t>
      </w:r>
      <w:r/>
    </w:p>
    <w:p>
      <w:pPr>
        <w:pStyle w:val="698"/>
        <w:numPr>
          <w:ilvl w:val="2"/>
          <w:numId w:val="0"/>
        </w:numPr>
        <w:ind w:firstLine="420"/>
        <w:spacing w:line="480" w:lineRule="auto"/>
        <w:rPr>
          <w:color w:val="auto"/>
          <w:sz w:val="21"/>
          <w:szCs w:val="21"/>
          <w:highlight w:val="none"/>
        </w:rPr>
      </w:pPr>
      <w:r>
        <w:rPr>
          <w:rFonts w:hint="eastAsia"/>
          <w:color w:val="auto"/>
          <w:sz w:val="21"/>
          <w:szCs w:val="21"/>
          <w:highlight w:val="none"/>
        </w:rPr>
        <w:t xml:space="preserve">2.</w:t>
      </w:r>
      <w:r>
        <w:rPr>
          <w:rFonts w:hint="eastAsia" w:eastAsiaTheme="minorEastAsia"/>
          <w:color w:val="auto"/>
          <w:sz w:val="21"/>
          <w:szCs w:val="21"/>
          <w:highlight w:val="none"/>
        </w:rPr>
        <w:t xml:space="preserve">9</w:t>
      </w:r>
      <w:r>
        <w:rPr>
          <w:rFonts w:hint="eastAsia"/>
          <w:color w:val="auto"/>
          <w:sz w:val="21"/>
          <w:szCs w:val="21"/>
          <w:highlight w:val="none"/>
        </w:rPr>
        <w:t xml:space="preserve">.1态势感知平台</w:t>
      </w:r>
      <w:r/>
    </w:p>
    <w:tbl>
      <w:tblPr>
        <w:tblStyle w:val="705"/>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2"/>
        <w:gridCol w:w="6986"/>
      </w:tblGrid>
      <w:tr>
        <w:trPr>
          <w:jc w:val="center"/>
          <w:trHeight w:val="511"/>
        </w:trPr>
        <w:tc>
          <w:tcPr>
            <w:tcW w:w="1812"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6986" w:type="dxa"/>
            <w:vAlign w:val="center"/>
            <w:textDirection w:val="lrTb"/>
            <w:noWrap w:val="false"/>
          </w:tcPr>
          <w:p>
            <w:pPr>
              <w:jc w:val="center"/>
              <w:rPr>
                <w:b/>
                <w:bCs/>
                <w:color w:val="auto"/>
                <w:highlight w:val="none"/>
              </w:rPr>
            </w:pPr>
            <w:r>
              <w:rPr>
                <w:b/>
                <w:bCs/>
                <w:color w:val="auto"/>
                <w:highlight w:val="none"/>
              </w:rPr>
              <w:t xml:space="preserve">指标要求</w:t>
            </w:r>
            <w:r/>
          </w:p>
        </w:tc>
      </w:tr>
      <w:tr>
        <w:trPr>
          <w:jc w:val="center"/>
        </w:trPr>
        <w:tc>
          <w:tcPr>
            <w:tcW w:w="1812" w:type="dxa"/>
            <w:vAlign w:val="center"/>
            <w:vMerge w:val="restart"/>
            <w:textDirection w:val="lrTb"/>
            <w:noWrap w:val="false"/>
          </w:tcPr>
          <w:p>
            <w:pPr>
              <w:rPr>
                <w:color w:val="auto"/>
                <w:highlight w:val="none"/>
              </w:rPr>
            </w:pPr>
            <w:r>
              <w:rPr>
                <w:color w:val="auto"/>
                <w:highlight w:val="none"/>
              </w:rPr>
              <w:t xml:space="preserve">基础要求</w:t>
            </w:r>
            <w:r/>
          </w:p>
        </w:tc>
        <w:tc>
          <w:tcPr>
            <w:tcW w:w="6986" w:type="dxa"/>
            <w:vAlign w:val="center"/>
            <w:textDirection w:val="lrTb"/>
            <w:noWrap w:val="false"/>
          </w:tcPr>
          <w:p>
            <w:pPr>
              <w:rPr>
                <w:color w:val="auto"/>
                <w:highlight w:val="none"/>
              </w:rPr>
            </w:pPr>
            <w:r>
              <w:rPr>
                <w:rFonts w:hint="eastAsia"/>
                <w:color w:val="auto"/>
                <w:highlight w:val="none"/>
              </w:rPr>
              <w:t xml:space="preserve">采用信创CPU和信创操作系统。</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EPS≥12000.</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 ▲为保障医院业务虚拟机的安全性，要求平台能够与医院现有的信创超融合平台对接，态势感知平台检测到安全事件时，可以自动对虚拟机进行关停或挂起处置，同时也可以创建存储快照，以便在发生安全事件时快速恢复。提供承诺函加盖投标人公章。</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color w:val="auto"/>
                <w:highlight w:val="none"/>
              </w:rPr>
              <w:t xml:space="preserve">2U</w:t>
            </w:r>
            <w:r>
              <w:rPr>
                <w:rFonts w:hint="eastAsia"/>
                <w:color w:val="auto"/>
                <w:highlight w:val="none"/>
              </w:rPr>
              <w:t xml:space="preserve">设备；</w:t>
            </w:r>
            <w:r/>
          </w:p>
          <w:p>
            <w:pPr>
              <w:rPr>
                <w:color w:val="auto"/>
                <w:highlight w:val="none"/>
              </w:rPr>
            </w:pPr>
            <w:r>
              <w:rPr>
                <w:rFonts w:hint="eastAsia"/>
                <w:color w:val="auto"/>
                <w:highlight w:val="none"/>
              </w:rPr>
              <w:t xml:space="preserve">CPU≥</w:t>
            </w:r>
            <w:r>
              <w:rPr>
                <w:color w:val="auto"/>
                <w:highlight w:val="none"/>
              </w:rPr>
              <w:t xml:space="preserve">2颗</w:t>
            </w:r>
            <w:r>
              <w:rPr>
                <w:rFonts w:hint="eastAsia"/>
                <w:color w:val="auto"/>
                <w:highlight w:val="none"/>
              </w:rPr>
              <w:t xml:space="preserve">，核数≥24，主频≥2.5GHz；</w:t>
            </w:r>
            <w:r/>
          </w:p>
          <w:p>
            <w:pPr>
              <w:rPr>
                <w:color w:val="auto"/>
                <w:highlight w:val="none"/>
              </w:rPr>
            </w:pPr>
            <w:r>
              <w:rPr>
                <w:color w:val="auto"/>
                <w:highlight w:val="none"/>
              </w:rPr>
              <w:t xml:space="preserve">内存</w:t>
            </w:r>
            <w:r>
              <w:rPr>
                <w:rFonts w:hint="eastAsia"/>
                <w:color w:val="auto"/>
                <w:highlight w:val="none"/>
              </w:rPr>
              <w:t xml:space="preserve">≥</w:t>
            </w:r>
            <w:r>
              <w:rPr>
                <w:color w:val="auto"/>
                <w:highlight w:val="none"/>
              </w:rPr>
              <w:t xml:space="preserve">4*32GB </w:t>
            </w:r>
            <w:r>
              <w:rPr>
                <w:rFonts w:hint="eastAsia"/>
                <w:color w:val="auto"/>
                <w:highlight w:val="none"/>
              </w:rPr>
              <w:t xml:space="preserve">；</w:t>
            </w:r>
            <w:r/>
          </w:p>
          <w:p>
            <w:pPr>
              <w:rPr>
                <w:color w:val="auto"/>
                <w:highlight w:val="none"/>
              </w:rPr>
            </w:pPr>
            <w:r>
              <w:rPr>
                <w:rFonts w:hint="eastAsia"/>
                <w:color w:val="auto"/>
                <w:highlight w:val="none"/>
              </w:rPr>
              <w:t xml:space="preserve">硬盘≥</w:t>
            </w:r>
            <w:r>
              <w:rPr>
                <w:color w:val="auto"/>
                <w:highlight w:val="none"/>
              </w:rPr>
              <w:t xml:space="preserve">480GB  SSD</w:t>
            </w:r>
            <w:r>
              <w:rPr>
                <w:rFonts w:hint="eastAsia"/>
                <w:color w:val="auto"/>
                <w:highlight w:val="none"/>
              </w:rPr>
              <w:t xml:space="preserve">+4</w:t>
            </w:r>
            <w:r>
              <w:rPr>
                <w:color w:val="auto"/>
                <w:highlight w:val="none"/>
              </w:rPr>
              <w:t xml:space="preserve">*8</w:t>
            </w:r>
            <w:r>
              <w:rPr>
                <w:rFonts w:hint="eastAsia"/>
                <w:color w:val="auto"/>
                <w:highlight w:val="none"/>
              </w:rPr>
              <w:t xml:space="preserve">T</w:t>
            </w:r>
            <w:r>
              <w:rPr>
                <w:color w:val="auto"/>
                <w:highlight w:val="none"/>
              </w:rPr>
              <w:t xml:space="preserve"> HDD</w:t>
            </w:r>
            <w:r>
              <w:rPr>
                <w:rFonts w:hint="eastAsia"/>
                <w:color w:val="auto"/>
                <w:highlight w:val="none"/>
              </w:rPr>
              <w:t xml:space="preserve">；</w:t>
            </w:r>
            <w:r/>
          </w:p>
          <w:p>
            <w:pPr>
              <w:rPr>
                <w:color w:val="auto"/>
                <w:highlight w:val="none"/>
              </w:rPr>
            </w:pPr>
            <w:r>
              <w:rPr>
                <w:color w:val="auto"/>
                <w:highlight w:val="none"/>
              </w:rPr>
              <w:t xml:space="preserve">接口</w:t>
            </w:r>
            <w:r>
              <w:rPr>
                <w:rFonts w:hint="eastAsia"/>
                <w:color w:val="auto"/>
                <w:highlight w:val="none"/>
              </w:rPr>
              <w:t xml:space="preserve">≥</w:t>
            </w:r>
            <w:r>
              <w:rPr>
                <w:color w:val="auto"/>
                <w:highlight w:val="none"/>
              </w:rPr>
              <w:t xml:space="preserve">4千兆电口</w:t>
            </w:r>
            <w:r>
              <w:rPr>
                <w:rFonts w:hint="eastAsia"/>
                <w:color w:val="auto"/>
                <w:highlight w:val="none"/>
              </w:rPr>
              <w:t xml:space="preserve">，≥2万兆光口（含光纤线和光模块），剩余扩展槽≥2个,</w:t>
            </w:r>
            <w:r>
              <w:rPr>
                <w:color w:val="auto"/>
                <w:highlight w:val="none"/>
              </w:rPr>
              <w:t xml:space="preserve">冗余电源</w:t>
            </w:r>
            <w:r>
              <w:rPr>
                <w:rFonts w:hint="eastAsia"/>
                <w:color w:val="auto"/>
                <w:highlight w:val="none"/>
              </w:rPr>
              <w:t xml:space="preserve">；</w:t>
            </w:r>
            <w:r/>
          </w:p>
        </w:tc>
      </w:tr>
      <w:tr>
        <w:trPr>
          <w:jc w:val="center"/>
        </w:trPr>
        <w:tc>
          <w:tcPr>
            <w:tcW w:w="1812" w:type="dxa"/>
            <w:vAlign w:val="center"/>
            <w:vMerge w:val="restart"/>
            <w:textDirection w:val="lrTb"/>
            <w:noWrap w:val="false"/>
          </w:tcPr>
          <w:p>
            <w:pPr>
              <w:rPr>
                <w:color w:val="auto"/>
                <w:highlight w:val="none"/>
              </w:rPr>
            </w:pPr>
            <w:r>
              <w:rPr>
                <w:rFonts w:hint="eastAsia"/>
                <w:color w:val="auto"/>
                <w:highlight w:val="none"/>
              </w:rPr>
              <w:t xml:space="preserve">功能参数</w:t>
            </w:r>
            <w:r/>
          </w:p>
        </w:tc>
        <w:tc>
          <w:tcPr>
            <w:tcW w:w="6986" w:type="dxa"/>
            <w:vAlign w:val="center"/>
            <w:textDirection w:val="lrTb"/>
            <w:noWrap w:val="false"/>
          </w:tcPr>
          <w:p>
            <w:pPr>
              <w:rPr>
                <w:color w:val="auto"/>
                <w:highlight w:val="none"/>
              </w:rPr>
            </w:pPr>
            <w:r>
              <w:rPr>
                <w:rFonts w:hint="eastAsia"/>
                <w:color w:val="auto"/>
                <w:highlight w:val="none"/>
              </w:rPr>
              <w:t xml:space="preserve">支持安全态势的可视化呈现，帮助客户更直观的看清风险、看懂威胁，产品内置（非自定义）不少于13</w:t>
            </w:r>
            <w:r>
              <w:rPr>
                <w:color w:val="auto"/>
                <w:highlight w:val="none"/>
              </w:rPr>
              <w:t xml:space="preserve">块大屏展示界面证明</w:t>
            </w:r>
            <w:r>
              <w:rPr>
                <w:rFonts w:hint="eastAsia"/>
                <w:color w:val="auto"/>
                <w:highlight w:val="none"/>
              </w:rPr>
              <w:t xml:space="preserve">.</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支持自定义分支管理权限，分支管理员具备独立的管理页面，可设置分支管理员权限，如类型、责任人、管理范围、页面权限、设备权限等。</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 ▲支持资产自动识别和资产扫描功能，支持自动入库、手动入库、设置扫描目标等功能，扫描类型可选择存活性（</w:t>
            </w:r>
            <w:r>
              <w:rPr>
                <w:color w:val="auto"/>
                <w:highlight w:val="none"/>
              </w:rPr>
              <w:t xml:space="preserve">ARP/TCP/ICMP）、服务/端口（常用/全局）、操作系统、应用识别等</w:t>
            </w:r>
            <w:r>
              <w:rPr>
                <w:rFonts w:hint="eastAsia"/>
                <w:color w:val="auto"/>
                <w:highlight w:val="none"/>
              </w:rPr>
              <w:t xml:space="preserve">（需提供截图证明）</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为实现安全事件的遏制和根除避免反复发作，支持联动同本次采购的端点安全管理系统进行闭环处置，支持管理员在平台管理界面下发快速查杀任务并查看任务状态、结果进行处置，支持下发一键隔离指令，对终端所有连接进行阻断，防止病毒进一步扩散。支持联动终端安全管理系统为平台提供溯源举证功能以定位安全事件根因，可定位到该主机上发起恶意域名访问的具体进程、及其进程链信息，并且态势感知根据返回的举证信息，联动客户端对恶意进程进行处置，实现根除。</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color w:val="auto"/>
                <w:highlight w:val="none"/>
              </w:rPr>
              <w:t xml:space="preserve">为提升检出率，以提升</w:t>
            </w:r>
            <w:r>
              <w:rPr>
                <w:rFonts w:hint="eastAsia"/>
                <w:color w:val="auto"/>
                <w:highlight w:val="none"/>
              </w:rPr>
              <w:t xml:space="preserve">单位</w:t>
            </w:r>
            <w:r>
              <w:rPr>
                <w:color w:val="auto"/>
                <w:highlight w:val="none"/>
              </w:rPr>
              <w:t xml:space="preserve">网络安全态势，所投产品的文件威胁分析需支持平台内置的静态文件检测引擎、AI智能引擎，可利用多种机器学习算法组合进行综合研判。支持采用AI技术针对无文件落地的恶意脚本进行检测。</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color w:val="auto"/>
                <w:highlight w:val="none"/>
              </w:rPr>
              <w:t xml:space="preserve">因部分</w:t>
            </w:r>
            <w:r>
              <w:rPr>
                <w:rFonts w:hint="eastAsia"/>
                <w:color w:val="auto"/>
                <w:highlight w:val="none"/>
              </w:rPr>
              <w:t xml:space="preserve">用户</w:t>
            </w:r>
            <w:r>
              <w:rPr>
                <w:color w:val="auto"/>
                <w:highlight w:val="none"/>
              </w:rPr>
              <w:t xml:space="preserve">网络安全意识较弱，</w:t>
            </w:r>
            <w:r>
              <w:rPr>
                <w:rFonts w:hint="eastAsia"/>
                <w:color w:val="auto"/>
                <w:highlight w:val="none"/>
              </w:rPr>
              <w:t xml:space="preserve">单位</w:t>
            </w:r>
            <w:r>
              <w:rPr>
                <w:color w:val="auto"/>
                <w:highlight w:val="none"/>
              </w:rPr>
              <w:t xml:space="preserve">存在有弱密码的可能。为避免因</w:t>
            </w:r>
            <w:r>
              <w:rPr>
                <w:rFonts w:hint="eastAsia"/>
                <w:color w:val="auto"/>
                <w:highlight w:val="none"/>
              </w:rPr>
              <w:t xml:space="preserve">单位</w:t>
            </w:r>
            <w:r>
              <w:rPr>
                <w:color w:val="auto"/>
                <w:highlight w:val="none"/>
              </w:rPr>
              <w:t xml:space="preserve">自身脆弱性导致网络安全事件，故所投产品需自持弱密码检测技术。</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支持挖矿专项检测页面，帮助单位更好的应对日益严峻的挖矿风险，避免数据窃取和监管通报</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color w:val="auto"/>
                <w:highlight w:val="none"/>
              </w:rPr>
              <w:t xml:space="preserve">支持基于流量实时漏洞功能，漏洞分析类型包含配置错误漏洞、OpenSSH漏洞、目录遍历漏洞、OpenLDAP等操作系统、数据库、Web应用等，页面上支持展示业务脆弱性风险分布、漏洞类型分析、漏洞态势与危害和处置建议，并支持导出脆弱性感知报告。</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支持威胁定性引擎以分析告警的上下文关联、时序关系、历史告警发生的频率规律性，结合威胁情报与安全专家经验对当前的安全告警进行目的性确认，从而确认安全告警的优先级顺序，支持基于人工渗透、程序自动化、业务相关风险、其它4个维度对告警进行分类，帮助安全人员快速定位高危告警并及时处置。</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支持联动云沙箱，支持将恶意文件手动上传云沙箱进行验证和补充举证。</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rFonts w:hint="eastAsia"/>
                <w:color w:val="auto"/>
                <w:highlight w:val="none"/>
              </w:rPr>
              <w:t xml:space="preserve">支持PPT格式导出摘要报告，报告内容包括：网络安全整体解读、网络安全风险详情、告警及事件响应盘点，用户可直接通过导出的PPT报告进行工作汇报，高效体现工作价值。</w:t>
            </w:r>
            <w:r/>
          </w:p>
        </w:tc>
      </w:tr>
      <w:tr>
        <w:trPr>
          <w:jc w:val="center"/>
        </w:trPr>
        <w:tc>
          <w:tcPr>
            <w:tcW w:w="1812" w:type="dxa"/>
            <w:vAlign w:val="center"/>
            <w:vMerge w:val="continue"/>
            <w:textDirection w:val="lrTb"/>
            <w:noWrap w:val="false"/>
          </w:tcPr>
          <w:p>
            <w:pPr>
              <w:rPr>
                <w:color w:val="auto"/>
                <w:highlight w:val="none"/>
              </w:rPr>
            </w:pPr>
            <w:r>
              <w:rPr>
                <w:color w:val="auto"/>
                <w:highlight w:val="none"/>
              </w:rPr>
            </w:r>
            <w:r/>
          </w:p>
        </w:tc>
        <w:tc>
          <w:tcPr>
            <w:tcW w:w="6986" w:type="dxa"/>
            <w:vAlign w:val="center"/>
            <w:textDirection w:val="lrTb"/>
            <w:noWrap w:val="false"/>
          </w:tcPr>
          <w:p>
            <w:pPr>
              <w:rPr>
                <w:color w:val="auto"/>
                <w:highlight w:val="none"/>
              </w:rPr>
            </w:pPr>
            <w:r>
              <w:rPr>
                <w:color w:val="auto"/>
                <w:highlight w:val="none"/>
              </w:rPr>
              <w:t xml:space="preserve">支持DNS服务器日志导入，可以接入DNS服务器的日志，安全分析引擎将结合DNS服务器的日志，定位出DNS服务器代理风险外连场景下真实源IP，从而有效地进行风险处置闭环。</w:t>
            </w:r>
            <w:r/>
          </w:p>
        </w:tc>
      </w:tr>
    </w:tbl>
    <w:p>
      <w:pPr>
        <w:pStyle w:val="698"/>
        <w:numPr>
          <w:ilvl w:val="2"/>
          <w:numId w:val="0"/>
        </w:numPr>
        <w:spacing w:line="480" w:lineRule="auto"/>
        <w:rPr>
          <w:color w:val="auto"/>
          <w:sz w:val="21"/>
          <w:szCs w:val="21"/>
          <w:highlight w:val="none"/>
        </w:rPr>
      </w:pPr>
      <w:r>
        <w:rPr>
          <w:rFonts w:hint="eastAsia"/>
          <w:color w:val="auto"/>
          <w:sz w:val="21"/>
          <w:szCs w:val="21"/>
          <w:highlight w:val="none"/>
        </w:rPr>
        <w:br w:type="page" w:clear="all"/>
      </w:r>
      <w:r>
        <w:rPr>
          <w:rFonts w:hint="eastAsia"/>
          <w:color w:val="auto"/>
          <w:sz w:val="21"/>
          <w:szCs w:val="21"/>
          <w:highlight w:val="none"/>
        </w:rPr>
        <w:t xml:space="preserve">  2.</w:t>
      </w:r>
      <w:r>
        <w:rPr>
          <w:rFonts w:hint="eastAsia" w:eastAsiaTheme="minorEastAsia"/>
          <w:color w:val="auto"/>
          <w:sz w:val="21"/>
          <w:szCs w:val="21"/>
          <w:highlight w:val="none"/>
        </w:rPr>
        <w:t xml:space="preserve">9</w:t>
      </w:r>
      <w:r>
        <w:rPr>
          <w:rFonts w:hint="eastAsia"/>
          <w:color w:val="auto"/>
          <w:sz w:val="21"/>
          <w:szCs w:val="21"/>
          <w:highlight w:val="none"/>
        </w:rPr>
        <w:t xml:space="preserve">.2</w:t>
      </w:r>
      <w:r>
        <w:rPr>
          <w:rFonts w:hint="eastAsia"/>
          <w:color w:val="auto"/>
          <w:sz w:val="21"/>
          <w:szCs w:val="21"/>
          <w:highlight w:val="none"/>
        </w:rPr>
        <w:t xml:space="preserve">探针</w:t>
      </w:r>
      <w:r/>
    </w:p>
    <w:tbl>
      <w:tblPr>
        <w:tblStyle w:val="705"/>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0"/>
        <w:gridCol w:w="7035"/>
      </w:tblGrid>
      <w:tr>
        <w:trPr>
          <w:jc w:val="center"/>
          <w:trHeight w:val="482"/>
        </w:trPr>
        <w:tc>
          <w:tcPr>
            <w:tcW w:w="1770"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7035" w:type="dxa"/>
            <w:vAlign w:val="center"/>
            <w:textDirection w:val="lrTb"/>
            <w:noWrap w:val="false"/>
          </w:tcPr>
          <w:p>
            <w:pPr>
              <w:jc w:val="center"/>
              <w:rPr>
                <w:b/>
                <w:bCs/>
                <w:color w:val="auto"/>
                <w:highlight w:val="none"/>
              </w:rPr>
            </w:pPr>
            <w:r>
              <w:rPr>
                <w:b/>
                <w:bCs/>
                <w:color w:val="auto"/>
                <w:highlight w:val="none"/>
              </w:rPr>
              <w:t xml:space="preserve">指标要求</w:t>
            </w:r>
            <w:r/>
          </w:p>
        </w:tc>
      </w:tr>
      <w:tr>
        <w:trPr>
          <w:jc w:val="center"/>
          <w:trHeight w:val="559"/>
        </w:trPr>
        <w:tc>
          <w:tcPr>
            <w:tcW w:w="1770" w:type="dxa"/>
            <w:vAlign w:val="center"/>
            <w:vMerge w:val="restart"/>
            <w:textDirection w:val="lrTb"/>
            <w:noWrap w:val="false"/>
          </w:tcPr>
          <w:p>
            <w:pPr>
              <w:rPr>
                <w:color w:val="auto"/>
                <w:highlight w:val="none"/>
              </w:rPr>
            </w:pPr>
            <w:r>
              <w:rPr>
                <w:color w:val="auto"/>
                <w:highlight w:val="none"/>
              </w:rPr>
              <w:t xml:space="preserve">基本要求</w:t>
            </w:r>
            <w:r/>
          </w:p>
        </w:tc>
        <w:tc>
          <w:tcPr>
            <w:tcW w:w="7035" w:type="dxa"/>
            <w:vAlign w:val="center"/>
            <w:textDirection w:val="lrTb"/>
            <w:noWrap w:val="false"/>
          </w:tcPr>
          <w:p>
            <w:pPr>
              <w:spacing w:before="120"/>
              <w:rPr>
                <w:color w:val="auto"/>
                <w:highlight w:val="none"/>
              </w:rPr>
            </w:pPr>
            <w:r>
              <w:rPr>
                <w:rFonts w:hint="eastAsia"/>
                <w:color w:val="auto"/>
                <w:highlight w:val="none"/>
              </w:rPr>
              <w:t xml:space="preserve">采用信创CPU和操作系统。</w:t>
            </w:r>
            <w:r/>
          </w:p>
        </w:tc>
      </w:tr>
      <w:tr>
        <w:trPr>
          <w:jc w:val="center"/>
          <w:trHeight w:val="540"/>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spacing w:before="120"/>
              <w:rPr>
                <w:color w:val="auto"/>
                <w:highlight w:val="none"/>
              </w:rPr>
            </w:pPr>
            <w:r>
              <w:rPr>
                <w:rFonts w:hint="eastAsia"/>
                <w:color w:val="auto"/>
                <w:highlight w:val="none"/>
              </w:rPr>
              <w:t xml:space="preserve">网络层吞吐量≥</w:t>
            </w:r>
            <w:r>
              <w:rPr>
                <w:color w:val="auto"/>
                <w:highlight w:val="none"/>
              </w:rPr>
              <w:t xml:space="preserve">1Gbps，应用层吞吐量</w:t>
            </w:r>
            <w:r>
              <w:rPr>
                <w:rFonts w:hint="eastAsia"/>
                <w:color w:val="auto"/>
                <w:highlight w:val="none"/>
              </w:rPr>
              <w:t xml:space="preserve">≥</w:t>
            </w:r>
            <w:r>
              <w:rPr>
                <w:color w:val="auto"/>
                <w:highlight w:val="none"/>
              </w:rPr>
              <w:t xml:space="preserve">500Mbps。</w:t>
            </w:r>
            <w:r/>
          </w:p>
        </w:tc>
      </w:tr>
      <w:tr>
        <w:trPr>
          <w:jc w:val="center"/>
          <w:trHeight w:val="722"/>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spacing w:before="120"/>
              <w:rPr>
                <w:color w:val="auto"/>
                <w:highlight w:val="none"/>
              </w:rPr>
            </w:pPr>
            <w:r>
              <w:rPr>
                <w:color w:val="auto"/>
                <w:highlight w:val="none"/>
              </w:rPr>
              <w:t xml:space="preserve">内存大小</w:t>
            </w:r>
            <w:r>
              <w:rPr>
                <w:rFonts w:hint="eastAsia"/>
                <w:color w:val="auto"/>
                <w:highlight w:val="none"/>
              </w:rPr>
              <w:t xml:space="preserve">≥</w:t>
            </w:r>
            <w:r>
              <w:rPr>
                <w:color w:val="auto"/>
                <w:highlight w:val="none"/>
              </w:rPr>
              <w:t xml:space="preserve">8G，硬盘容量</w:t>
            </w:r>
            <w:r>
              <w:rPr>
                <w:rFonts w:hint="eastAsia"/>
                <w:color w:val="auto"/>
                <w:highlight w:val="none"/>
              </w:rPr>
              <w:t xml:space="preserve">≥</w:t>
            </w:r>
            <w:r>
              <w:rPr>
                <w:color w:val="auto"/>
                <w:highlight w:val="none"/>
              </w:rPr>
              <w:t xml:space="preserve">128G SSD，接口</w:t>
            </w:r>
            <w:r>
              <w:rPr>
                <w:rFonts w:hint="eastAsia"/>
                <w:color w:val="auto"/>
                <w:highlight w:val="none"/>
              </w:rPr>
              <w:t xml:space="preserve">≥</w:t>
            </w:r>
            <w:r>
              <w:rPr>
                <w:color w:val="auto"/>
                <w:highlight w:val="none"/>
              </w:rPr>
              <w:t xml:space="preserve">6千兆电口+4千兆光口SFP</w:t>
            </w:r>
            <w:r>
              <w:rPr>
                <w:rFonts w:hint="eastAsia"/>
                <w:color w:val="auto"/>
                <w:highlight w:val="none"/>
              </w:rPr>
              <w:t xml:space="preserve">（包含光纤线和光模块）</w:t>
            </w:r>
            <w:r>
              <w:rPr>
                <w:color w:val="auto"/>
                <w:highlight w:val="none"/>
              </w:rPr>
              <w:t xml:space="preserve">。</w:t>
            </w:r>
            <w:r/>
          </w:p>
        </w:tc>
      </w:tr>
      <w:tr>
        <w:trPr>
          <w:jc w:val="center"/>
          <w:trHeight w:val="534"/>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spacing w:before="120"/>
              <w:rPr>
                <w:color w:val="auto"/>
                <w:highlight w:val="none"/>
              </w:rPr>
            </w:pPr>
            <w:r>
              <w:rPr>
                <w:rFonts w:hint="eastAsia"/>
                <w:color w:val="auto"/>
                <w:highlight w:val="none"/>
              </w:rPr>
              <w:t xml:space="preserve"> 为保证平台的兼容性，</w:t>
            </w:r>
            <w:r>
              <w:rPr>
                <w:color w:val="auto"/>
                <w:highlight w:val="none"/>
              </w:rPr>
              <w:t xml:space="preserve">要求</w:t>
            </w:r>
            <w:r>
              <w:rPr>
                <w:rFonts w:hint="eastAsia"/>
                <w:color w:val="auto"/>
                <w:highlight w:val="none"/>
              </w:rPr>
              <w:t xml:space="preserve">探针</w:t>
            </w:r>
            <w:r>
              <w:rPr>
                <w:color w:val="auto"/>
                <w:highlight w:val="none"/>
              </w:rPr>
              <w:t xml:space="preserve">与</w:t>
            </w:r>
            <w:r>
              <w:rPr>
                <w:rFonts w:hint="eastAsia"/>
                <w:color w:val="auto"/>
                <w:highlight w:val="none"/>
              </w:rPr>
              <w:t xml:space="preserve">本次招标的</w:t>
            </w:r>
            <w:r>
              <w:rPr>
                <w:color w:val="auto"/>
                <w:highlight w:val="none"/>
              </w:rPr>
              <w:t xml:space="preserve">态势感知</w:t>
            </w:r>
            <w:r>
              <w:rPr>
                <w:rFonts w:hint="eastAsia"/>
                <w:color w:val="auto"/>
                <w:highlight w:val="none"/>
              </w:rPr>
              <w:t xml:space="preserve">为相同</w:t>
            </w:r>
            <w:r>
              <w:rPr>
                <w:color w:val="auto"/>
                <w:highlight w:val="none"/>
              </w:rPr>
              <w:t xml:space="preserve">品牌</w:t>
            </w:r>
            <w:r>
              <w:rPr>
                <w:rFonts w:hint="eastAsia"/>
                <w:color w:val="auto"/>
                <w:highlight w:val="none"/>
              </w:rPr>
              <w:t xml:space="preserve">。</w:t>
            </w:r>
            <w:r/>
          </w:p>
        </w:tc>
      </w:tr>
      <w:tr>
        <w:trPr>
          <w:jc w:val="center"/>
        </w:trPr>
        <w:tc>
          <w:tcPr>
            <w:tcW w:w="1770" w:type="dxa"/>
            <w:vAlign w:val="center"/>
            <w:vMerge w:val="restart"/>
            <w:textDirection w:val="lrTb"/>
            <w:noWrap w:val="false"/>
          </w:tcPr>
          <w:p>
            <w:pPr>
              <w:rPr>
                <w:color w:val="auto"/>
                <w:highlight w:val="none"/>
              </w:rPr>
            </w:pPr>
            <w:r>
              <w:rPr>
                <w:rFonts w:hint="eastAsia"/>
                <w:color w:val="auto"/>
                <w:highlight w:val="none"/>
              </w:rPr>
              <w:t xml:space="preserve">功能要求</w:t>
            </w:r>
            <w:r/>
          </w:p>
        </w:tc>
        <w:tc>
          <w:tcPr>
            <w:tcW w:w="7035" w:type="dxa"/>
            <w:vAlign w:val="center"/>
            <w:textDirection w:val="lrTb"/>
            <w:noWrap w:val="false"/>
          </w:tcPr>
          <w:p>
            <w:pPr>
              <w:rPr>
                <w:color w:val="auto"/>
                <w:highlight w:val="none"/>
              </w:rPr>
            </w:pPr>
            <w:r>
              <w:rPr>
                <w:color w:val="auto"/>
                <w:highlight w:val="none"/>
              </w:rPr>
              <w:t xml:space="preserve">旁路部署，支持探针同时接入多个镜像口，每个口相互独立不影响；</w:t>
            </w:r>
            <w:r/>
          </w:p>
        </w:tc>
      </w:tr>
      <w:tr>
        <w:trPr>
          <w:jc w:val="center"/>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rPr>
                <w:color w:val="auto"/>
                <w:highlight w:val="none"/>
              </w:rPr>
            </w:pPr>
            <w:r>
              <w:rPr>
                <w:rFonts w:hint="eastAsia"/>
                <w:color w:val="auto"/>
                <w:highlight w:val="none"/>
              </w:rPr>
              <w:t xml:space="preserve">内置IPS漏洞特征识别库、应用识别库、WEB应用防护库、僵尸网络识别库、实时漏洞分析识别库</w:t>
            </w:r>
            <w:r>
              <w:rPr>
                <w:color w:val="auto"/>
                <w:highlight w:val="none"/>
              </w:rPr>
              <w:t xml:space="preserve">。</w:t>
            </w:r>
            <w:r/>
          </w:p>
        </w:tc>
      </w:tr>
      <w:tr>
        <w:trPr>
          <w:jc w:val="center"/>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rPr>
                <w:color w:val="auto"/>
                <w:highlight w:val="none"/>
              </w:rPr>
            </w:pPr>
            <w:r>
              <w:rPr>
                <w:rFonts w:hint="eastAsia"/>
                <w:color w:val="auto"/>
                <w:highlight w:val="none"/>
              </w:rPr>
              <w:t xml:space="preserve"> ▲为防止患者信息泄露，支持敏感信息检测功能，内置身份证、MD5、手机号码、银行卡号、邮箱等敏感信息，可自定义敏感信息检测策略选择组合的敏感信息，可基于IP统计和连接统计2种方式进行命中次数统计</w:t>
            </w:r>
            <w:r>
              <w:rPr>
                <w:color w:val="auto"/>
                <w:highlight w:val="none"/>
              </w:rPr>
              <w:t xml:space="preserve">（需提供截图证明）。</w:t>
            </w:r>
            <w:r/>
          </w:p>
        </w:tc>
      </w:tr>
      <w:tr>
        <w:trPr>
          <w:jc w:val="center"/>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rPr>
                <w:color w:val="auto"/>
                <w:highlight w:val="none"/>
              </w:rPr>
            </w:pPr>
            <w:r>
              <w:rPr>
                <w:color w:val="auto"/>
                <w:highlight w:val="none"/>
              </w:rPr>
              <w:t xml:space="preserve">支持5种类型日志传输模式,包含标准模式、精简模式、高级模式、局域网模式、自定义模式，适应不同应用场景需求，提供产品功能截图</w:t>
            </w:r>
            <w:r/>
          </w:p>
        </w:tc>
      </w:tr>
      <w:tr>
        <w:trPr>
          <w:jc w:val="center"/>
        </w:trPr>
        <w:tc>
          <w:tcPr>
            <w:tcW w:w="1770" w:type="dxa"/>
            <w:vAlign w:val="center"/>
            <w:vMerge w:val="continue"/>
            <w:textDirection w:val="lrTb"/>
            <w:noWrap w:val="false"/>
          </w:tcPr>
          <w:p>
            <w:pPr>
              <w:rPr>
                <w:color w:val="auto"/>
                <w:highlight w:val="none"/>
              </w:rPr>
            </w:pPr>
            <w:r>
              <w:rPr>
                <w:color w:val="auto"/>
                <w:highlight w:val="none"/>
              </w:rPr>
            </w:r>
            <w:r/>
          </w:p>
        </w:tc>
        <w:tc>
          <w:tcPr>
            <w:tcW w:w="7035" w:type="dxa"/>
            <w:vAlign w:val="center"/>
            <w:textDirection w:val="lrTb"/>
            <w:noWrap w:val="false"/>
          </w:tcPr>
          <w:p>
            <w:pPr>
              <w:rPr>
                <w:color w:val="auto"/>
                <w:highlight w:val="none"/>
              </w:rPr>
            </w:pPr>
            <w:r>
              <w:rPr>
                <w:rFonts w:hint="eastAsia"/>
                <w:color w:val="auto"/>
                <w:highlight w:val="none"/>
              </w:rPr>
              <w:t xml:space="preserve">持检测出网络中的网络拓扑设备进行绘制，更直观可视化查看网络整体情况。</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2.1</w:t>
      </w:r>
      <w:r>
        <w:rPr>
          <w:rFonts w:hint="eastAsia" w:eastAsiaTheme="minorEastAsia"/>
          <w:color w:val="auto"/>
          <w:sz w:val="21"/>
          <w:szCs w:val="21"/>
          <w:highlight w:val="none"/>
        </w:rPr>
        <w:t xml:space="preserve">0</w:t>
      </w:r>
      <w:r>
        <w:rPr>
          <w:rFonts w:hint="eastAsia"/>
          <w:color w:val="auto"/>
          <w:sz w:val="21"/>
          <w:szCs w:val="21"/>
          <w:highlight w:val="none"/>
        </w:rPr>
        <w:t xml:space="preserve">外网入侵防御1</w:t>
      </w:r>
      <w:r/>
    </w:p>
    <w:tbl>
      <w:tblPr>
        <w:tblStyle w:val="732"/>
        <w:tblW w:w="8975"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1525"/>
        <w:gridCol w:w="6201"/>
      </w:tblGrid>
      <w:tr>
        <w:trPr/>
        <w:tc>
          <w:tcPr>
            <w:gridSpan w:val="2"/>
            <w:tcW w:w="2774" w:type="dxa"/>
            <w:vAlign w:val="center"/>
            <w:textDirection w:val="lrTb"/>
            <w:noWrap w:val="false"/>
          </w:tcPr>
          <w:p>
            <w:pPr>
              <w:jc w:val="center"/>
              <w:rPr>
                <w:b/>
                <w:bCs/>
                <w:color w:val="auto"/>
                <w:highlight w:val="none"/>
              </w:rPr>
            </w:pPr>
            <w:r/>
            <w:bookmarkStart w:id="182" w:name="_Hlk237636994"/>
            <w:r>
              <w:rPr>
                <w:rFonts w:hint="eastAsia"/>
                <w:b/>
                <w:bCs/>
                <w:color w:val="auto"/>
                <w:highlight w:val="none"/>
              </w:rPr>
              <w:t xml:space="preserve">技术指标</w:t>
            </w:r>
            <w:r/>
          </w:p>
        </w:tc>
        <w:tc>
          <w:tcPr>
            <w:tcW w:w="6201" w:type="dxa"/>
            <w:vAlign w:val="center"/>
            <w:textDirection w:val="lrTb"/>
            <w:noWrap w:val="false"/>
          </w:tcPr>
          <w:p>
            <w:pPr>
              <w:jc w:val="center"/>
              <w:rPr>
                <w:b/>
                <w:bCs/>
                <w:color w:val="auto"/>
                <w:highlight w:val="none"/>
              </w:rPr>
            </w:pPr>
            <w:r>
              <w:rPr>
                <w:rFonts w:hint="eastAsia"/>
                <w:b/>
                <w:bCs/>
                <w:color w:val="auto"/>
                <w:highlight w:val="none"/>
              </w:rPr>
              <w:t xml:space="preserve">指标要求</w:t>
            </w:r>
            <w:bookmarkEnd w:id="182"/>
            <w:r/>
          </w:p>
        </w:tc>
      </w:tr>
      <w:tr>
        <w:trPr/>
        <w:tc>
          <w:tcPr>
            <w:tcW w:w="1249" w:type="dxa"/>
            <w:vAlign w:val="center"/>
            <w:textDirection w:val="lrTb"/>
            <w:noWrap w:val="false"/>
          </w:tcPr>
          <w:p>
            <w:pPr>
              <w:rPr>
                <w:color w:val="auto"/>
                <w:highlight w:val="none"/>
              </w:rPr>
            </w:pPr>
            <w:r>
              <w:rPr>
                <w:rFonts w:hint="eastAsia"/>
                <w:color w:val="auto"/>
                <w:highlight w:val="none"/>
              </w:rPr>
              <w:t xml:space="preserve">硬件和性能</w:t>
            </w:r>
            <w:r/>
          </w:p>
        </w:tc>
        <w:tc>
          <w:tcPr>
            <w:tcW w:w="1525" w:type="dxa"/>
            <w:vAlign w:val="center"/>
            <w:textDirection w:val="lrTb"/>
            <w:noWrap w:val="false"/>
          </w:tcPr>
          <w:p>
            <w:pPr>
              <w:rPr>
                <w:color w:val="auto"/>
                <w:highlight w:val="none"/>
              </w:rPr>
            </w:pPr>
            <w:r>
              <w:rPr>
                <w:rFonts w:hint="eastAsia"/>
                <w:color w:val="auto"/>
                <w:highlight w:val="none"/>
              </w:rPr>
              <w:t xml:space="preserve">硬件和性能</w:t>
            </w:r>
            <w:r/>
          </w:p>
        </w:tc>
        <w:tc>
          <w:tcPr>
            <w:tcW w:w="6201" w:type="dxa"/>
            <w:vAlign w:val="center"/>
            <w:textDirection w:val="lrTb"/>
            <w:noWrap w:val="false"/>
          </w:tcPr>
          <w:p>
            <w:pPr>
              <w:rPr>
                <w:color w:val="auto"/>
                <w:highlight w:val="none"/>
              </w:rPr>
            </w:pPr>
            <w:r>
              <w:rPr>
                <w:rFonts w:hint="eastAsia"/>
                <w:color w:val="auto"/>
                <w:highlight w:val="none"/>
              </w:rPr>
              <w:t xml:space="preserve">信创入侵防御系统主机，网络层吞吐量20G，IPS吞吐2G，并发连接≥400万，每秒新建连接数12万；标准2U机箱，冗余电源，1TB硬盘；板载8个千兆电口（支持2组bypass），4个千兆光口，2个万兆光口，1个Console口，1个HA接口，1个MGT接口，2个USB接口，支持液晶屏，含三年硬件维保服务。含3年应用识别库、URL分类特征库、病毒防护特征库、入侵防御特征库升级服务及威胁情报订阅服务。</w:t>
            </w:r>
            <w:r/>
          </w:p>
        </w:tc>
      </w:tr>
      <w:tr>
        <w:trPr/>
        <w:tc>
          <w:tcPr>
            <w:tcW w:w="1249" w:type="dxa"/>
            <w:vAlign w:val="center"/>
            <w:vMerge w:val="restart"/>
            <w:textDirection w:val="lrTb"/>
            <w:noWrap w:val="false"/>
          </w:tcPr>
          <w:p>
            <w:pPr>
              <w:rPr>
                <w:color w:val="auto"/>
                <w:highlight w:val="none"/>
              </w:rPr>
            </w:pPr>
            <w:r>
              <w:rPr>
                <w:rFonts w:hint="eastAsia"/>
                <w:color w:val="auto"/>
                <w:highlight w:val="none"/>
              </w:rPr>
              <w:t xml:space="preserve">访问控制</w:t>
            </w:r>
            <w:r/>
          </w:p>
        </w:tc>
        <w:tc>
          <w:tcPr>
            <w:tcW w:w="1525" w:type="dxa"/>
            <w:vAlign w:val="center"/>
            <w:textDirection w:val="lrTb"/>
            <w:noWrap w:val="false"/>
          </w:tcPr>
          <w:p>
            <w:pPr>
              <w:rPr>
                <w:color w:val="auto"/>
                <w:highlight w:val="none"/>
              </w:rPr>
            </w:pPr>
            <w:r>
              <w:rPr>
                <w:rFonts w:hint="eastAsia"/>
                <w:color w:val="auto"/>
                <w:highlight w:val="none"/>
              </w:rPr>
              <w:t xml:space="preserve">访问控制</w:t>
            </w:r>
            <w:r/>
          </w:p>
        </w:tc>
        <w:tc>
          <w:tcPr>
            <w:tcW w:w="6201" w:type="dxa"/>
            <w:vAlign w:val="center"/>
            <w:textDirection w:val="lrTb"/>
            <w:noWrap w:val="false"/>
          </w:tcPr>
          <w:p>
            <w:pPr>
              <w:rPr>
                <w:color w:val="auto"/>
                <w:highlight w:val="none"/>
              </w:rPr>
            </w:pPr>
            <w:r>
              <w:rPr>
                <w:rFonts w:hint="eastAsia"/>
                <w:color w:val="auto"/>
                <w:highlight w:val="none"/>
              </w:rPr>
              <w:t xml:space="preserve"> ▲支持命中时间分析和安全策略推荐。命中时间分析展示被命中的安全策略的名称、状态、命中数、策略创建时间、首次命中时间和最近命中时间；安全策略推荐定可以指定策略流量，分析后自动生成源地址精度更高的安全策略。能够基于源地址精确合并和源地址子网合并，并自动生成策略名称、源对象、目的对象和服务对象。（提供配置选项的截图）</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textDirection w:val="lrTb"/>
            <w:noWrap w:val="false"/>
          </w:tcPr>
          <w:p>
            <w:pPr>
              <w:rPr>
                <w:color w:val="auto"/>
                <w:highlight w:val="none"/>
              </w:rPr>
            </w:pPr>
            <w:r>
              <w:rPr>
                <w:rFonts w:hint="eastAsia"/>
                <w:color w:val="auto"/>
                <w:highlight w:val="none"/>
              </w:rPr>
              <w:t xml:space="preserve">应用识别与控制</w:t>
            </w:r>
            <w:r/>
          </w:p>
        </w:tc>
        <w:tc>
          <w:tcPr>
            <w:tcW w:w="6201" w:type="dxa"/>
            <w:vAlign w:val="center"/>
            <w:textDirection w:val="lrTb"/>
            <w:noWrap w:val="false"/>
          </w:tcPr>
          <w:p>
            <w:pPr>
              <w:rPr>
                <w:color w:val="auto"/>
                <w:highlight w:val="none"/>
              </w:rPr>
            </w:pPr>
            <w:r>
              <w:rPr>
                <w:rFonts w:hint="eastAsia"/>
                <w:color w:val="auto"/>
                <w:highlight w:val="none"/>
              </w:rPr>
              <w:t xml:space="preserve">支持应用识别，应用特征库包含的应用数量（非应用协议的规则总数）大于3000种，可深度识别每种应用的属性，为每种应用提供预定义的风险系数，并将应用基于类型、数据传输、风险等级等特征分类</w:t>
            </w:r>
            <w:r/>
          </w:p>
        </w:tc>
      </w:tr>
      <w:tr>
        <w:trPr/>
        <w:tc>
          <w:tcPr>
            <w:tcW w:w="1249" w:type="dxa"/>
            <w:vAlign w:val="center"/>
            <w:vMerge w:val="restart"/>
            <w:textDirection w:val="lrTb"/>
            <w:noWrap w:val="false"/>
          </w:tcPr>
          <w:p>
            <w:pPr>
              <w:rPr>
                <w:color w:val="auto"/>
                <w:highlight w:val="none"/>
              </w:rPr>
            </w:pPr>
            <w:r>
              <w:rPr>
                <w:rFonts w:hint="eastAsia"/>
                <w:color w:val="auto"/>
                <w:highlight w:val="none"/>
              </w:rPr>
              <w:t xml:space="preserve">攻击防护</w:t>
            </w:r>
            <w:r/>
          </w:p>
        </w:tc>
        <w:tc>
          <w:tcPr>
            <w:tcW w:w="1525" w:type="dxa"/>
            <w:vAlign w:val="center"/>
            <w:vMerge w:val="restart"/>
            <w:textDirection w:val="lrTb"/>
            <w:noWrap w:val="false"/>
          </w:tcPr>
          <w:p>
            <w:pPr>
              <w:rPr>
                <w:color w:val="auto"/>
                <w:highlight w:val="none"/>
              </w:rPr>
            </w:pPr>
            <w:r>
              <w:rPr>
                <w:rFonts w:hint="eastAsia"/>
                <w:color w:val="auto"/>
                <w:highlight w:val="none"/>
              </w:rPr>
              <w:t xml:space="preserve">网络攻击防护</w:t>
            </w:r>
            <w:r/>
          </w:p>
        </w:tc>
        <w:tc>
          <w:tcPr>
            <w:tcW w:w="6201" w:type="dxa"/>
            <w:vAlign w:val="center"/>
            <w:textDirection w:val="lrTb"/>
            <w:noWrap w:val="false"/>
          </w:tcPr>
          <w:p>
            <w:pPr>
              <w:rPr>
                <w:color w:val="auto"/>
                <w:highlight w:val="none"/>
              </w:rPr>
            </w:pPr>
            <w:r>
              <w:rPr>
                <w:rFonts w:hint="eastAsia"/>
                <w:color w:val="auto"/>
                <w:highlight w:val="none"/>
              </w:rPr>
              <w:t xml:space="preserve">支持基于Flood攻击和恶意扫描的的阈值学习功能。</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continue"/>
            <w:textDirection w:val="lrTb"/>
            <w:noWrap w:val="false"/>
          </w:tcPr>
          <w:p>
            <w:pPr>
              <w:rPr>
                <w:color w:val="auto"/>
                <w:highlight w:val="none"/>
              </w:rPr>
            </w:pPr>
            <w:r>
              <w:rPr>
                <w:color w:val="auto"/>
                <w:highlight w:val="none"/>
              </w:rPr>
            </w:r>
            <w:r/>
          </w:p>
        </w:tc>
        <w:tc>
          <w:tcPr>
            <w:tcW w:w="6201" w:type="dxa"/>
            <w:vAlign w:val="center"/>
            <w:textDirection w:val="lrTb"/>
            <w:noWrap w:val="false"/>
          </w:tcPr>
          <w:p>
            <w:pPr>
              <w:rPr>
                <w:color w:val="auto"/>
                <w:highlight w:val="none"/>
              </w:rPr>
            </w:pPr>
            <w:r>
              <w:rPr>
                <w:rFonts w:hint="eastAsia"/>
                <w:color w:val="auto"/>
                <w:highlight w:val="none"/>
              </w:rPr>
              <w:t xml:space="preserve">所投产品必须支持基于Flood攻击和恶意扫描的的流量自学习能力，可自定义开始时间、学习时长、查看学习结果，并根据学习结果一键生成DDOS防护策略。</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continue"/>
            <w:textDirection w:val="lrTb"/>
            <w:noWrap w:val="false"/>
          </w:tcPr>
          <w:p>
            <w:pPr>
              <w:rPr>
                <w:color w:val="auto"/>
                <w:highlight w:val="none"/>
              </w:rPr>
            </w:pPr>
            <w:r>
              <w:rPr>
                <w:color w:val="auto"/>
                <w:highlight w:val="none"/>
              </w:rPr>
            </w:r>
            <w:r/>
          </w:p>
        </w:tc>
        <w:tc>
          <w:tcPr>
            <w:tcW w:w="6201" w:type="dxa"/>
            <w:vAlign w:val="center"/>
            <w:textDirection w:val="lrTb"/>
            <w:noWrap w:val="false"/>
          </w:tcPr>
          <w:p>
            <w:pPr>
              <w:rPr>
                <w:color w:val="auto"/>
                <w:highlight w:val="none"/>
              </w:rPr>
            </w:pPr>
            <w:r>
              <w:rPr>
                <w:rFonts w:hint="eastAsia"/>
                <w:color w:val="auto"/>
                <w:highlight w:val="none"/>
              </w:rPr>
              <w:t xml:space="preserve">弱口令检测：所投产品必须支持弱口令检测，支持主动检测和被动检测两种检测方式；支持基于网段、协议、用户名字典、弱口令字典进行完整扫描，执行方式包含手动和自动；能够基于数字、字母、数字和字母、自然顺序、键盘顺序、特殊字符、用户名、重复字符等进行弱口令检测。</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textDirection w:val="lrTb"/>
            <w:noWrap w:val="false"/>
          </w:tcPr>
          <w:p>
            <w:pPr>
              <w:rPr>
                <w:color w:val="auto"/>
                <w:highlight w:val="none"/>
              </w:rPr>
            </w:pPr>
            <w:r>
              <w:rPr>
                <w:rFonts w:hint="eastAsia"/>
                <w:color w:val="auto"/>
                <w:highlight w:val="none"/>
              </w:rPr>
              <w:t xml:space="preserve">病毒防护</w:t>
            </w:r>
            <w:r/>
          </w:p>
        </w:tc>
        <w:tc>
          <w:tcPr>
            <w:tcW w:w="6201" w:type="dxa"/>
            <w:vAlign w:val="center"/>
            <w:textDirection w:val="lrTb"/>
            <w:noWrap w:val="false"/>
          </w:tcPr>
          <w:p>
            <w:pPr>
              <w:rPr>
                <w:color w:val="auto"/>
                <w:highlight w:val="none"/>
              </w:rPr>
            </w:pPr>
            <w:r>
              <w:rPr>
                <w:rFonts w:hint="eastAsia"/>
                <w:color w:val="auto"/>
                <w:highlight w:val="none"/>
              </w:rPr>
              <w:t xml:space="preserve">支持基于MD5的自定义病毒签名；支持设置例外特征，对特定的病毒特征不进行查杀</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restart"/>
            <w:textDirection w:val="lrTb"/>
            <w:noWrap w:val="false"/>
          </w:tcPr>
          <w:p>
            <w:pPr>
              <w:rPr>
                <w:color w:val="auto"/>
                <w:highlight w:val="none"/>
              </w:rPr>
            </w:pPr>
            <w:r>
              <w:rPr>
                <w:rFonts w:hint="eastAsia"/>
                <w:color w:val="auto"/>
                <w:highlight w:val="none"/>
              </w:rPr>
              <w:t xml:space="preserve">入侵防御</w:t>
            </w:r>
            <w:r/>
          </w:p>
        </w:tc>
        <w:tc>
          <w:tcPr>
            <w:tcW w:w="6201" w:type="dxa"/>
            <w:vAlign w:val="center"/>
            <w:textDirection w:val="lrTb"/>
            <w:noWrap w:val="false"/>
          </w:tcPr>
          <w:p>
            <w:pPr>
              <w:rPr>
                <w:color w:val="auto"/>
                <w:highlight w:val="none"/>
              </w:rPr>
            </w:pPr>
            <w:r>
              <w:rPr>
                <w:rFonts w:hint="eastAsia"/>
                <w:color w:val="auto"/>
                <w:highlight w:val="none"/>
              </w:rPr>
              <w:t xml:space="preserve">支持在设备漏洞防护特征库直接查阅攻击的名称、CVEID、CNNVDID、CWEID、严重性、影响的平台、类型、描述、解决方案建议等详细信息；</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continue"/>
            <w:textDirection w:val="lrTb"/>
            <w:noWrap w:val="false"/>
          </w:tcPr>
          <w:p>
            <w:pPr>
              <w:rPr>
                <w:color w:val="auto"/>
                <w:highlight w:val="none"/>
              </w:rPr>
            </w:pPr>
            <w:r>
              <w:rPr>
                <w:color w:val="auto"/>
                <w:highlight w:val="none"/>
              </w:rPr>
            </w:r>
            <w:r/>
          </w:p>
        </w:tc>
        <w:tc>
          <w:tcPr>
            <w:tcW w:w="6201" w:type="dxa"/>
            <w:vAlign w:val="center"/>
            <w:textDirection w:val="lrTb"/>
            <w:noWrap w:val="false"/>
          </w:tcPr>
          <w:p>
            <w:pPr>
              <w:rPr>
                <w:color w:val="auto"/>
                <w:highlight w:val="none"/>
              </w:rPr>
            </w:pPr>
            <w:r>
              <w:rPr>
                <w:rFonts w:hint="eastAsia"/>
                <w:color w:val="auto"/>
                <w:highlight w:val="none"/>
              </w:rPr>
              <w:t xml:space="preserve">所投产品必须支持漏洞防护功能，同时将漏洞防护特征库分类，至少包括缓冲区溢出、跨站脚本、拒绝服务、恶意扫描、SQL注入、WEB攻击等六种分类；漏洞防护支持日志、阻断、放行、重置等执行动作,可批量设置针对某一分类或全部攻击签名的执行动作；支持基于FTP、HTTP、IMAP、OTHER_APP、POP3、SMB、SMTP等应用协议的漏洞防护</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continue"/>
            <w:textDirection w:val="lrTb"/>
            <w:noWrap w:val="false"/>
          </w:tcPr>
          <w:p>
            <w:pPr>
              <w:rPr>
                <w:color w:val="auto"/>
                <w:highlight w:val="none"/>
              </w:rPr>
            </w:pPr>
            <w:r>
              <w:rPr>
                <w:color w:val="auto"/>
                <w:highlight w:val="none"/>
              </w:rPr>
            </w:r>
            <w:r/>
          </w:p>
        </w:tc>
        <w:tc>
          <w:tcPr>
            <w:tcW w:w="6201" w:type="dxa"/>
            <w:vAlign w:val="center"/>
            <w:textDirection w:val="lrTb"/>
            <w:noWrap w:val="false"/>
          </w:tcPr>
          <w:p>
            <w:pPr>
              <w:rPr>
                <w:color w:val="auto"/>
                <w:highlight w:val="none"/>
              </w:rPr>
            </w:pPr>
            <w:r>
              <w:rPr>
                <w:rFonts w:hint="eastAsia"/>
                <w:color w:val="auto"/>
                <w:highlight w:val="none"/>
              </w:rPr>
              <w:t xml:space="preserve"> 所投产品必须支持暴力破解能力，至少支持FTP、IMAP、WEBLOGIC、VNC、Telnet、RLOGIN、RDP等14种协议，且可手动设置攻击频率、持续检测时间，并支持日志、阻断、放行、重置和加入动态黑名单的处置动作。</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vMerge w:val="continue"/>
            <w:textDirection w:val="lrTb"/>
            <w:noWrap w:val="false"/>
          </w:tcPr>
          <w:p>
            <w:pPr>
              <w:rPr>
                <w:color w:val="auto"/>
                <w:highlight w:val="none"/>
              </w:rPr>
            </w:pPr>
            <w:r>
              <w:rPr>
                <w:color w:val="auto"/>
                <w:highlight w:val="none"/>
              </w:rPr>
            </w:r>
            <w:r/>
          </w:p>
        </w:tc>
        <w:tc>
          <w:tcPr>
            <w:tcW w:w="6201" w:type="dxa"/>
            <w:vAlign w:val="center"/>
            <w:textDirection w:val="lrTb"/>
            <w:noWrap w:val="false"/>
          </w:tcPr>
          <w:p>
            <w:pPr>
              <w:rPr>
                <w:color w:val="auto"/>
                <w:highlight w:val="none"/>
              </w:rPr>
            </w:pPr>
            <w:r>
              <w:rPr>
                <w:rFonts w:hint="eastAsia"/>
                <w:color w:val="auto"/>
                <w:highlight w:val="none"/>
              </w:rPr>
              <w:t xml:space="preserve">所投产品必须支持自定义TCP、UDP、HTTP协议的漏洞特征，漏洞特征可通过多个字段以文本或正则表达式的形式进行有序和无序匹配，并可自定义漏洞的源、目的端口范围；同时可标识自定义漏洞的CVE编号或CNNVD编号。</w:t>
            </w:r>
            <w:r/>
          </w:p>
        </w:tc>
      </w:tr>
      <w:tr>
        <w:trPr/>
        <w:tc>
          <w:tcPr>
            <w:tcW w:w="1249" w:type="dxa"/>
            <w:vAlign w:val="center"/>
            <w:vMerge w:val="restart"/>
            <w:textDirection w:val="lrTb"/>
            <w:noWrap w:val="false"/>
          </w:tcPr>
          <w:p>
            <w:pPr>
              <w:rPr>
                <w:color w:val="auto"/>
                <w:highlight w:val="none"/>
              </w:rPr>
            </w:pPr>
            <w:r>
              <w:rPr>
                <w:rFonts w:hint="eastAsia"/>
                <w:color w:val="auto"/>
                <w:highlight w:val="none"/>
              </w:rPr>
              <w:t xml:space="preserve">安全管理</w:t>
            </w:r>
            <w:r/>
          </w:p>
          <w:p>
            <w:pPr>
              <w:rPr>
                <w:color w:val="auto"/>
                <w:highlight w:val="none"/>
              </w:rPr>
            </w:pPr>
            <w:r>
              <w:rPr>
                <w:color w:val="auto"/>
                <w:highlight w:val="none"/>
              </w:rPr>
            </w:r>
            <w:r/>
          </w:p>
        </w:tc>
        <w:tc>
          <w:tcPr>
            <w:tcW w:w="1525" w:type="dxa"/>
            <w:vAlign w:val="center"/>
            <w:textDirection w:val="lrTb"/>
            <w:noWrap w:val="false"/>
          </w:tcPr>
          <w:p>
            <w:pPr>
              <w:rPr>
                <w:color w:val="auto"/>
                <w:highlight w:val="none"/>
              </w:rPr>
            </w:pPr>
            <w:r>
              <w:rPr>
                <w:rFonts w:hint="eastAsia"/>
                <w:color w:val="auto"/>
                <w:highlight w:val="none"/>
              </w:rPr>
              <w:t xml:space="preserve">安全事件分析</w:t>
            </w:r>
            <w:r/>
          </w:p>
        </w:tc>
        <w:tc>
          <w:tcPr>
            <w:tcW w:w="6201" w:type="dxa"/>
            <w:vAlign w:val="center"/>
            <w:textDirection w:val="lrTb"/>
            <w:noWrap w:val="false"/>
          </w:tcPr>
          <w:p>
            <w:pPr>
              <w:rPr>
                <w:color w:val="auto"/>
                <w:highlight w:val="none"/>
              </w:rPr>
            </w:pPr>
            <w:r>
              <w:rPr>
                <w:rFonts w:hint="eastAsia"/>
                <w:color w:val="auto"/>
                <w:highlight w:val="none"/>
              </w:rPr>
              <w:t xml:space="preserve">所投设备必须提供全面的威胁分析和应用分析能力。可以总览威胁事件、做到威胁事件分析，精准展示具体威胁事件名称，攻击者国家/区域、攻击者IP、受害者者国家/区域、受害者IP；展示基于应用的流量排名，可以自定义设置TOP5、TOP10、TOP20、TOP50。</w:t>
            </w:r>
            <w:r/>
          </w:p>
        </w:tc>
      </w:tr>
      <w:tr>
        <w:trPr/>
        <w:tc>
          <w:tcPr>
            <w:tcW w:w="1249" w:type="dxa"/>
            <w:vAlign w:val="center"/>
            <w:vMerge w:val="continue"/>
            <w:textDirection w:val="lrTb"/>
            <w:noWrap w:val="false"/>
          </w:tcPr>
          <w:p>
            <w:pPr>
              <w:rPr>
                <w:color w:val="auto"/>
                <w:highlight w:val="none"/>
              </w:rPr>
            </w:pPr>
            <w:r>
              <w:rPr>
                <w:color w:val="auto"/>
                <w:highlight w:val="none"/>
              </w:rPr>
            </w:r>
            <w:r/>
          </w:p>
        </w:tc>
        <w:tc>
          <w:tcPr>
            <w:tcW w:w="1525" w:type="dxa"/>
            <w:vAlign w:val="center"/>
            <w:textDirection w:val="lrTb"/>
            <w:noWrap w:val="false"/>
          </w:tcPr>
          <w:p>
            <w:pPr>
              <w:rPr>
                <w:color w:val="auto"/>
                <w:highlight w:val="none"/>
              </w:rPr>
            </w:pPr>
            <w:r>
              <w:rPr>
                <w:rFonts w:hint="eastAsia"/>
                <w:color w:val="auto"/>
                <w:highlight w:val="none"/>
              </w:rPr>
              <w:t xml:space="preserve">威胁情报</w:t>
            </w:r>
            <w:r/>
          </w:p>
        </w:tc>
        <w:tc>
          <w:tcPr>
            <w:tcW w:w="6201" w:type="dxa"/>
            <w:vAlign w:val="center"/>
            <w:textDirection w:val="lrTb"/>
            <w:noWrap w:val="false"/>
          </w:tcPr>
          <w:p>
            <w:pPr>
              <w:rPr>
                <w:color w:val="auto"/>
                <w:highlight w:val="none"/>
              </w:rPr>
            </w:pPr>
            <w:r>
              <w:rPr>
                <w:rFonts w:hint="eastAsia"/>
                <w:color w:val="auto"/>
                <w:highlight w:val="none"/>
              </w:rPr>
              <w:t xml:space="preserve">所投产品必须支持威胁情报本地库并能自动更新，用于失陷主机检测，本地情报库数量大于110万</w:t>
            </w:r>
            <w:r/>
          </w:p>
        </w:tc>
      </w:tr>
    </w:tbl>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2.1</w:t>
      </w:r>
      <w:r>
        <w:rPr>
          <w:rFonts w:hint="eastAsia" w:eastAsiaTheme="minorEastAsia"/>
          <w:color w:val="auto"/>
          <w:sz w:val="21"/>
          <w:szCs w:val="21"/>
          <w:highlight w:val="none"/>
        </w:rPr>
        <w:t xml:space="preserve">1</w:t>
      </w:r>
      <w:r>
        <w:rPr>
          <w:rFonts w:hint="eastAsia"/>
          <w:color w:val="auto"/>
          <w:sz w:val="21"/>
          <w:szCs w:val="21"/>
          <w:highlight w:val="none"/>
        </w:rPr>
        <w:t xml:space="preserve">外网入侵防御2</w:t>
      </w:r>
      <w:r/>
    </w:p>
    <w:tbl>
      <w:tblPr>
        <w:tblStyle w:val="70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13"/>
        <w:gridCol w:w="7730"/>
      </w:tblGrid>
      <w:tr>
        <w:trPr>
          <w:jc w:val="center"/>
        </w:trPr>
        <w:tc>
          <w:tcPr>
            <w:tcMar>
              <w:left w:w="120" w:type="dxa"/>
              <w:top w:w="60" w:type="dxa"/>
              <w:right w:w="120" w:type="dxa"/>
              <w:bottom w:w="30" w:type="dxa"/>
            </w:tcMar>
            <w:tcW w:w="678" w:type="pct"/>
            <w:vAlign w:val="center"/>
            <w:textDirection w:val="lrTb"/>
            <w:noWrap w:val="false"/>
          </w:tcPr>
          <w:p>
            <w:pPr>
              <w:jc w:val="center"/>
              <w:rPr>
                <w:b/>
                <w:bCs/>
                <w:color w:val="auto"/>
                <w:highlight w:val="none"/>
              </w:rPr>
            </w:pPr>
            <w:r>
              <w:rPr>
                <w:rFonts w:hint="eastAsia"/>
                <w:b/>
                <w:bCs/>
                <w:color w:val="auto"/>
                <w:highlight w:val="none"/>
              </w:rPr>
              <w:t xml:space="preserve">技术指标</w:t>
            </w:r>
            <w:r/>
          </w:p>
        </w:tc>
        <w:tc>
          <w:tcPr>
            <w:tcMar>
              <w:left w:w="120" w:type="dxa"/>
              <w:top w:w="60" w:type="dxa"/>
              <w:right w:w="120" w:type="dxa"/>
              <w:bottom w:w="30" w:type="dxa"/>
            </w:tcMar>
            <w:tcW w:w="4322" w:type="pct"/>
            <w:vAlign w:val="center"/>
            <w:textDirection w:val="lrTb"/>
            <w:noWrap w:val="false"/>
          </w:tcPr>
          <w:p>
            <w:pPr>
              <w:jc w:val="center"/>
              <w:rPr>
                <w:b/>
                <w:bCs/>
                <w:color w:val="auto"/>
                <w:highlight w:val="none"/>
              </w:rPr>
            </w:pPr>
            <w:r>
              <w:rPr>
                <w:rFonts w:hint="eastAsia"/>
                <w:b/>
                <w:bCs/>
                <w:color w:val="auto"/>
                <w:highlight w:val="none"/>
              </w:rPr>
              <w:t xml:space="preserve">指标要求</w:t>
            </w:r>
            <w:r/>
          </w:p>
        </w:tc>
      </w:tr>
      <w:tr>
        <w:trPr>
          <w:jc w:val="center"/>
          <w:trHeight w:val="90"/>
        </w:trPr>
        <w:tc>
          <w:tcPr>
            <w:tcMar>
              <w:left w:w="120" w:type="dxa"/>
              <w:top w:w="60" w:type="dxa"/>
              <w:right w:w="120" w:type="dxa"/>
              <w:bottom w:w="30" w:type="dxa"/>
            </w:tcMar>
            <w:tcW w:w="678" w:type="pct"/>
            <w:vAlign w:val="center"/>
            <w:textDirection w:val="lrTb"/>
            <w:noWrap w:val="false"/>
          </w:tcPr>
          <w:p>
            <w:pPr>
              <w:rPr>
                <w:color w:val="auto"/>
                <w:highlight w:val="none"/>
              </w:rPr>
            </w:pPr>
            <w:r>
              <w:rPr>
                <w:rFonts w:hint="eastAsia" w:cs="宋体"/>
                <w:color w:val="auto"/>
                <w:highlight w:val="none"/>
              </w:rPr>
              <w:t xml:space="preserve">产品形态</w:t>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s="宋体"/>
                <w:color w:val="auto"/>
                <w:highlight w:val="none"/>
              </w:rPr>
              <w:t xml:space="preserve">标准1U机架设备，信创CPU和操作系统；标配1个管理口，1个HA口，标配不低于4个具备BYPASS功能的千兆电口，不低于4个千兆光口，不低于2个万兆光口，不低于1个扩展插槽；标配不低于16G内存，不低于128G固态硬盘；吞吐量不低于30G，并发连接数不低于500万，新建连接数不低于20万/秒；包含三年原厂硬件维保服务，三年入侵防御特征库升级服务。</w:t>
            </w:r>
            <w:r/>
          </w:p>
        </w:tc>
      </w:tr>
      <w:tr>
        <w:trPr>
          <w:jc w:val="center"/>
          <w:trHeight w:val="90"/>
        </w:trPr>
        <w:tc>
          <w:tcPr>
            <w:tcMar>
              <w:left w:w="120" w:type="dxa"/>
              <w:top w:w="60" w:type="dxa"/>
              <w:right w:w="120" w:type="dxa"/>
              <w:bottom w:w="30" w:type="dxa"/>
            </w:tcMar>
            <w:tcW w:w="678" w:type="pct"/>
            <w:vAlign w:val="center"/>
            <w:vMerge w:val="restart"/>
            <w:textDirection w:val="lrTb"/>
            <w:noWrap w:val="false"/>
          </w:tcPr>
          <w:p>
            <w:pPr>
              <w:rPr>
                <w:color w:val="auto"/>
                <w:highlight w:val="none"/>
              </w:rPr>
            </w:pPr>
            <w:r>
              <w:rPr>
                <w:rFonts w:hint="eastAsia"/>
                <w:color w:val="auto"/>
                <w:highlight w:val="none"/>
              </w:rPr>
              <w:t xml:space="preserve">安全能力</w:t>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系统应默认内置不少于11种规则集，至少包括严格检测模板、物联网检测模板、WEB服务器模板、僵木蠕检测模板等，满足不同部署环境下的安全防护需求；</w:t>
            </w:r>
            <w:r/>
          </w:p>
        </w:tc>
      </w:tr>
      <w:tr>
        <w:trPr>
          <w:jc w:val="center"/>
          <w:trHeight w:val="90"/>
        </w:trPr>
        <w:tc>
          <w:tcPr>
            <w:tcMar>
              <w:left w:w="120" w:type="dxa"/>
              <w:top w:w="60" w:type="dxa"/>
              <w:right w:w="120" w:type="dxa"/>
              <w:bottom w:w="30" w:type="dxa"/>
            </w:tcMar>
            <w:tcW w:w="678" w:type="pct"/>
            <w:vAlign w:val="center"/>
            <w:vMerge w:val="continue"/>
            <w:textDirection w:val="lrTb"/>
            <w:noWrap w:val="false"/>
          </w:tcPr>
          <w:p>
            <w:pPr>
              <w:rPr>
                <w:color w:val="auto"/>
                <w:highlight w:val="none"/>
              </w:rPr>
            </w:pPr>
            <w:r>
              <w:rPr>
                <w:color w:val="auto"/>
                <w:highlight w:val="none"/>
              </w:rPr>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规则应支持影响系统、攻击阶段分布、协议分布、动作分布可视化统计展示；</w:t>
            </w:r>
            <w:r/>
          </w:p>
        </w:tc>
      </w:tr>
      <w:tr>
        <w:trPr>
          <w:jc w:val="center"/>
          <w:trHeight w:val="90"/>
        </w:trPr>
        <w:tc>
          <w:tcPr>
            <w:tcMar>
              <w:left w:w="120" w:type="dxa"/>
              <w:top w:w="60" w:type="dxa"/>
              <w:right w:w="120" w:type="dxa"/>
              <w:bottom w:w="30" w:type="dxa"/>
            </w:tcMar>
            <w:tcW w:w="678" w:type="pct"/>
            <w:vAlign w:val="center"/>
            <w:vMerge w:val="continue"/>
            <w:textDirection w:val="lrTb"/>
            <w:noWrap w:val="false"/>
          </w:tcPr>
          <w:p>
            <w:pPr>
              <w:rPr>
                <w:color w:val="auto"/>
                <w:highlight w:val="none"/>
              </w:rPr>
            </w:pPr>
            <w:r>
              <w:rPr>
                <w:color w:val="auto"/>
                <w:highlight w:val="none"/>
              </w:rPr>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应支持多种规则变更部署模式，至少包括自动防御模式、试运行模式和手动防御模式；</w:t>
            </w:r>
            <w:r>
              <w:rPr>
                <w:color w:val="auto"/>
                <w:highlight w:val="none"/>
              </w:rPr>
              <w:t xml:space="preserve"> </w:t>
            </w:r>
            <w:r/>
          </w:p>
        </w:tc>
      </w:tr>
      <w:tr>
        <w:trPr>
          <w:jc w:val="center"/>
          <w:trHeight w:val="90"/>
        </w:trPr>
        <w:tc>
          <w:tcPr>
            <w:tcMar>
              <w:left w:w="120" w:type="dxa"/>
              <w:top w:w="60" w:type="dxa"/>
              <w:right w:w="120" w:type="dxa"/>
              <w:bottom w:w="30" w:type="dxa"/>
            </w:tcMar>
            <w:tcW w:w="678" w:type="pct"/>
            <w:vAlign w:val="center"/>
            <w:vMerge w:val="continue"/>
            <w:textDirection w:val="lrTb"/>
            <w:noWrap w:val="false"/>
          </w:tcPr>
          <w:p>
            <w:pPr>
              <w:jc w:val="center"/>
              <w:rPr>
                <w:rFonts w:cs="宋体"/>
                <w:color w:val="auto"/>
                <w:highlight w:val="none"/>
              </w:rPr>
            </w:pPr>
            <w:r>
              <w:rPr>
                <w:rFonts w:cs="宋体"/>
                <w:color w:val="auto"/>
                <w:highlight w:val="none"/>
              </w:rPr>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规则应支持至少包括规则ID、规则名称、威胁级别、动作、威胁类型、发布时间等条件进行筛选；</w:t>
            </w:r>
            <w:r/>
          </w:p>
        </w:tc>
      </w:tr>
      <w:tr>
        <w:trPr>
          <w:jc w:val="center"/>
          <w:trHeight w:val="90"/>
        </w:trPr>
        <w:tc>
          <w:tcPr>
            <w:tcMar>
              <w:left w:w="120" w:type="dxa"/>
              <w:top w:w="60" w:type="dxa"/>
              <w:right w:w="120" w:type="dxa"/>
              <w:bottom w:w="30" w:type="dxa"/>
            </w:tcMar>
            <w:tcW w:w="678" w:type="pct"/>
            <w:vAlign w:val="center"/>
            <w:vMerge w:val="restart"/>
            <w:textDirection w:val="lrTb"/>
            <w:noWrap w:val="false"/>
          </w:tcPr>
          <w:p>
            <w:pPr>
              <w:rPr>
                <w:color w:val="auto"/>
                <w:highlight w:val="none"/>
              </w:rPr>
            </w:pPr>
            <w:r>
              <w:rPr>
                <w:rFonts w:hint="eastAsia"/>
                <w:color w:val="auto"/>
                <w:highlight w:val="none"/>
              </w:rPr>
              <w:t xml:space="preserve">安全运维</w:t>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系统应内置智能分析能力，具备阻断的活动专项分析和综合威胁告警分析，其中阻断的活动应包括阻断的威胁、阻断的文件和阻断的IP专项分析；</w:t>
            </w:r>
            <w:r/>
          </w:p>
        </w:tc>
      </w:tr>
      <w:tr>
        <w:trPr>
          <w:jc w:val="center"/>
          <w:trHeight w:val="90"/>
        </w:trPr>
        <w:tc>
          <w:tcPr>
            <w:tcMar>
              <w:left w:w="120" w:type="dxa"/>
              <w:top w:w="60" w:type="dxa"/>
              <w:right w:w="120" w:type="dxa"/>
              <w:bottom w:w="30" w:type="dxa"/>
            </w:tcMar>
            <w:tcW w:w="678" w:type="pct"/>
            <w:vAlign w:val="center"/>
            <w:vMerge w:val="continue"/>
            <w:textDirection w:val="lrTb"/>
            <w:noWrap w:val="false"/>
          </w:tcPr>
          <w:p>
            <w:pPr>
              <w:rPr>
                <w:color w:val="auto"/>
                <w:highlight w:val="none"/>
              </w:rPr>
            </w:pPr>
            <w:r>
              <w:rPr>
                <w:color w:val="auto"/>
                <w:highlight w:val="none"/>
              </w:rPr>
            </w:r>
            <w:r/>
          </w:p>
        </w:tc>
        <w:tc>
          <w:tcPr>
            <w:tcMar>
              <w:left w:w="120" w:type="dxa"/>
              <w:top w:w="60" w:type="dxa"/>
              <w:right w:w="120" w:type="dxa"/>
              <w:bottom w:w="30" w:type="dxa"/>
            </w:tcMar>
            <w:tcW w:w="4322" w:type="pct"/>
            <w:vAlign w:val="center"/>
            <w:textDirection w:val="lrTb"/>
            <w:noWrap w:val="false"/>
          </w:tcPr>
          <w:p>
            <w:pPr>
              <w:rPr>
                <w:color w:val="auto"/>
                <w:highlight w:val="none"/>
              </w:rPr>
            </w:pPr>
            <w:r>
              <w:rPr>
                <w:rFonts w:hint="eastAsia"/>
                <w:color w:val="auto"/>
                <w:highlight w:val="none"/>
              </w:rPr>
              <w:t xml:space="preserve">系统应支持威胁分析功能，通过与威胁情报、全流取证、网络负载、内置解码工具、事件处理流程、事件性质判定等信息综合对威胁进行分析判断；</w:t>
            </w:r>
            <w:r/>
          </w:p>
        </w:tc>
      </w:tr>
    </w:tbl>
    <w:p>
      <w:pPr>
        <w:rPr>
          <w:color w:val="auto"/>
          <w:highlight w:val="none"/>
        </w:rPr>
      </w:pPr>
      <w:r>
        <w:rPr>
          <w:color w:val="auto"/>
          <w:highlight w:val="none"/>
        </w:rPr>
      </w:r>
      <w:r/>
    </w:p>
    <w:p>
      <w:pPr>
        <w:pStyle w:val="697"/>
        <w:numPr>
          <w:ilvl w:val="1"/>
          <w:numId w:val="0"/>
        </w:numPr>
        <w:spacing w:line="480" w:lineRule="auto"/>
        <w:rPr>
          <w:color w:val="auto"/>
          <w:sz w:val="21"/>
          <w:szCs w:val="21"/>
          <w:highlight w:val="none"/>
        </w:rPr>
      </w:pPr>
      <w:r>
        <w:rPr>
          <w:rFonts w:hint="eastAsia"/>
          <w:color w:val="auto"/>
          <w:sz w:val="21"/>
          <w:szCs w:val="21"/>
          <w:highlight w:val="none"/>
        </w:rPr>
        <w:t xml:space="preserve">2.1</w:t>
      </w:r>
      <w:r>
        <w:rPr>
          <w:rFonts w:hint="eastAsia" w:eastAsiaTheme="minorEastAsia"/>
          <w:color w:val="auto"/>
          <w:sz w:val="21"/>
          <w:szCs w:val="21"/>
          <w:highlight w:val="none"/>
        </w:rPr>
        <w:t xml:space="preserve">2</w:t>
      </w:r>
      <w:r>
        <w:rPr>
          <w:rFonts w:hint="eastAsia"/>
          <w:color w:val="auto"/>
          <w:sz w:val="21"/>
          <w:szCs w:val="21"/>
          <w:highlight w:val="none"/>
        </w:rPr>
        <w:t xml:space="preserve">外网防火墙</w:t>
      </w:r>
      <w:r/>
    </w:p>
    <w:tbl>
      <w:tblPr>
        <w:tblStyle w:val="705"/>
        <w:tblW w:w="893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4"/>
        <w:gridCol w:w="7263"/>
      </w:tblGrid>
      <w:tr>
        <w:trPr>
          <w:jc w:val="right"/>
          <w:trHeight w:val="90"/>
        </w:trPr>
        <w:tc>
          <w:tcPr>
            <w:tcW w:w="1674" w:type="dxa"/>
            <w:vAlign w:val="center"/>
            <w:textDirection w:val="lrTb"/>
            <w:noWrap w:val="false"/>
          </w:tcPr>
          <w:p>
            <w:pPr>
              <w:jc w:val="center"/>
              <w:rPr>
                <w:b/>
                <w:bCs/>
                <w:color w:val="auto"/>
                <w:highlight w:val="none"/>
              </w:rPr>
            </w:pPr>
            <w:r>
              <w:rPr>
                <w:rFonts w:hint="eastAsia"/>
                <w:b/>
                <w:bCs/>
                <w:color w:val="auto"/>
                <w:highlight w:val="none"/>
              </w:rPr>
              <w:t xml:space="preserve">技术指标</w:t>
            </w:r>
            <w:r/>
          </w:p>
        </w:tc>
        <w:tc>
          <w:tcPr>
            <w:tcW w:w="7263" w:type="dxa"/>
            <w:vAlign w:val="center"/>
            <w:textDirection w:val="lrTb"/>
            <w:noWrap w:val="false"/>
          </w:tcPr>
          <w:p>
            <w:pPr>
              <w:jc w:val="center"/>
              <w:rPr>
                <w:b/>
                <w:bCs/>
                <w:color w:val="auto"/>
                <w:highlight w:val="none"/>
              </w:rPr>
            </w:pPr>
            <w:r>
              <w:rPr>
                <w:rFonts w:hint="eastAsia"/>
                <w:b/>
                <w:bCs/>
                <w:color w:val="auto"/>
                <w:highlight w:val="none"/>
              </w:rPr>
              <w:t xml:space="preserve">技术参数</w:t>
            </w:r>
            <w:r/>
          </w:p>
        </w:tc>
      </w:tr>
      <w:tr>
        <w:trPr>
          <w:jc w:val="right"/>
          <w:trHeight w:val="300"/>
        </w:trPr>
        <w:tc>
          <w:tcPr>
            <w:tcW w:w="1674" w:type="dxa"/>
            <w:vAlign w:val="center"/>
            <w:textDirection w:val="lrTb"/>
            <w:noWrap w:val="false"/>
          </w:tcPr>
          <w:p>
            <w:pPr>
              <w:rPr>
                <w:color w:val="auto"/>
                <w:highlight w:val="none"/>
              </w:rPr>
            </w:pPr>
            <w:r>
              <w:rPr>
                <w:rFonts w:hint="eastAsia"/>
                <w:color w:val="auto"/>
                <w:highlight w:val="none"/>
              </w:rPr>
              <w:t xml:space="preserve">硬件架构</w:t>
            </w:r>
            <w:r/>
          </w:p>
        </w:tc>
        <w:tc>
          <w:tcPr>
            <w:tcW w:w="7263" w:type="dxa"/>
            <w:vAlign w:val="center"/>
            <w:textDirection w:val="lrTb"/>
            <w:noWrap w:val="false"/>
          </w:tcPr>
          <w:p>
            <w:pPr>
              <w:rPr>
                <w:color w:val="auto"/>
                <w:highlight w:val="none"/>
              </w:rPr>
            </w:pPr>
            <w:r>
              <w:rPr>
                <w:rFonts w:hint="eastAsia"/>
                <w:color w:val="auto"/>
                <w:highlight w:val="none"/>
              </w:rPr>
              <w:t xml:space="preserve">采用信创硬件平台、信创安全操作系统及功能软件组成。</w:t>
            </w:r>
            <w:r/>
          </w:p>
        </w:tc>
      </w:tr>
      <w:tr>
        <w:trPr>
          <w:jc w:val="right"/>
          <w:trHeight w:val="1637"/>
        </w:trPr>
        <w:tc>
          <w:tcPr>
            <w:tcW w:w="1674" w:type="dxa"/>
            <w:vAlign w:val="center"/>
            <w:textDirection w:val="lrTb"/>
            <w:noWrap w:val="false"/>
          </w:tcPr>
          <w:p>
            <w:pPr>
              <w:rPr>
                <w:color w:val="auto"/>
                <w:highlight w:val="none"/>
              </w:rPr>
            </w:pPr>
            <w:r>
              <w:rPr>
                <w:rFonts w:hint="eastAsia"/>
                <w:color w:val="auto"/>
                <w:highlight w:val="none"/>
              </w:rPr>
              <w:t xml:space="preserve">基本要求</w:t>
            </w:r>
            <w:r/>
          </w:p>
        </w:tc>
        <w:tc>
          <w:tcPr>
            <w:tcW w:w="7263" w:type="dxa"/>
            <w:vAlign w:val="center"/>
            <w:textDirection w:val="lrTb"/>
            <w:noWrap w:val="false"/>
          </w:tcPr>
          <w:p>
            <w:pPr>
              <w:rPr>
                <w:color w:val="auto"/>
                <w:highlight w:val="none"/>
              </w:rPr>
            </w:pPr>
            <w:r>
              <w:rPr>
                <w:rFonts w:hint="eastAsia"/>
                <w:color w:val="auto"/>
                <w:highlight w:val="none"/>
              </w:rPr>
              <w:t xml:space="preserve">硬件参数：1U，1 个CON 口，1 个MGT口，1个HA口，2个USB口，本次配置6个千兆电+4个千兆光口+4个万兆光口，64GB SSD系统盘，960G SSD硬盘：网络层吞吐量≥20Gbps，IPS吐量≥15Gbps,AV吞吐量≥12Gbps，最大并发连接数≥1200万，内存16Gbps。设备开启应用识别、7个sslVPN授权、8个零信任授权、链路负载、服务器负载、IPV6等功能。</w:t>
            </w:r>
            <w:r/>
          </w:p>
        </w:tc>
      </w:tr>
      <w:tr>
        <w:trPr>
          <w:jc w:val="right"/>
          <w:trHeight w:val="664"/>
        </w:trPr>
        <w:tc>
          <w:tcPr>
            <w:tcW w:w="1674" w:type="dxa"/>
            <w:vAlign w:val="center"/>
            <w:textDirection w:val="lrTb"/>
            <w:noWrap w:val="false"/>
          </w:tcPr>
          <w:p>
            <w:pPr>
              <w:rPr>
                <w:color w:val="auto"/>
                <w:highlight w:val="none"/>
              </w:rPr>
            </w:pPr>
            <w:r>
              <w:rPr>
                <w:rFonts w:hint="eastAsia"/>
                <w:color w:val="auto"/>
                <w:highlight w:val="none"/>
              </w:rPr>
              <w:t xml:space="preserve">高可靠性</w:t>
            </w:r>
            <w:r/>
          </w:p>
        </w:tc>
        <w:tc>
          <w:tcPr>
            <w:tcW w:w="7263" w:type="dxa"/>
            <w:vAlign w:val="center"/>
            <w:textDirection w:val="lrTb"/>
            <w:noWrap w:val="false"/>
          </w:tcPr>
          <w:p>
            <w:pPr>
              <w:rPr>
                <w:rFonts w:hint="eastAsia"/>
                <w:color w:val="auto"/>
                <w:highlight w:val="none"/>
              </w:rPr>
            </w:pPr>
            <w:r>
              <w:rPr>
                <w:rFonts w:hint="eastAsia"/>
                <w:color w:val="auto"/>
                <w:highlight w:val="none"/>
              </w:rPr>
              <w:t xml:space="preserve">支持高可靠HA部署：支持A/P模式、A/A模式；支持基于接口、HTTP、PING、ARP、DNS、TCP等监测对象实现HA切换；</w:t>
            </w:r>
            <w:r/>
          </w:p>
        </w:tc>
      </w:tr>
      <w:tr>
        <w:trPr>
          <w:jc w:val="right"/>
          <w:trHeight w:val="300"/>
        </w:trPr>
        <w:tc>
          <w:tcPr>
            <w:tcW w:w="1674" w:type="dxa"/>
            <w:vAlign w:val="center"/>
            <w:vMerge w:val="restart"/>
            <w:textDirection w:val="lrTb"/>
            <w:noWrap w:val="false"/>
          </w:tcPr>
          <w:p>
            <w:pPr>
              <w:rPr>
                <w:color w:val="auto"/>
                <w:highlight w:val="none"/>
              </w:rPr>
            </w:pPr>
            <w:r>
              <w:rPr>
                <w:rFonts w:hint="eastAsia"/>
                <w:color w:val="auto"/>
                <w:highlight w:val="none"/>
              </w:rPr>
              <w:t xml:space="preserve">攻击防护</w:t>
            </w:r>
            <w:r/>
          </w:p>
        </w:tc>
        <w:tc>
          <w:tcPr>
            <w:tcW w:w="7263" w:type="dxa"/>
            <w:vAlign w:val="center"/>
            <w:textDirection w:val="lrTb"/>
            <w:noWrap w:val="false"/>
          </w:tcPr>
          <w:p>
            <w:pPr>
              <w:rPr>
                <w:color w:val="auto"/>
                <w:highlight w:val="none"/>
              </w:rPr>
            </w:pPr>
            <w:r>
              <w:rPr>
                <w:rFonts w:hint="eastAsia"/>
                <w:color w:val="auto"/>
                <w:highlight w:val="none"/>
              </w:rPr>
              <w:t xml:space="preserve">支持SYN Flood、ICMP Flood、UDP Flood、DNS Flood、ARP Flood攻击防护，支持IP地址扫描，端口扫描防护，支持欺骗防护功能、支持IP协议异常报文检测和TCP协议异常报文检测</w:t>
            </w:r>
            <w:r/>
          </w:p>
        </w:tc>
      </w:tr>
      <w:tr>
        <w:trPr>
          <w:jc w:val="right"/>
          <w:trHeight w:val="30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Flood支持防护阈值学习模式，可分为单次学习模式和周期性学习模式，并可根据学习时间、阈值系数进行学习模式参数调整，阈值系数支持宽容、严格和自定义模式。</w:t>
            </w:r>
            <w:r/>
          </w:p>
        </w:tc>
      </w:tr>
      <w:tr>
        <w:trPr>
          <w:jc w:val="right"/>
          <w:trHeight w:val="30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支持源/目的IP地址白名单。</w:t>
            </w:r>
            <w:r/>
          </w:p>
        </w:tc>
      </w:tr>
      <w:tr>
        <w:trPr>
          <w:jc w:val="right"/>
          <w:trHeight w:val="300"/>
        </w:trPr>
        <w:tc>
          <w:tcPr>
            <w:tcW w:w="1674" w:type="dxa"/>
            <w:vAlign w:val="center"/>
            <w:textDirection w:val="lrTb"/>
            <w:noWrap w:val="false"/>
          </w:tcPr>
          <w:p>
            <w:pPr>
              <w:rPr>
                <w:color w:val="auto"/>
                <w:highlight w:val="none"/>
              </w:rPr>
            </w:pPr>
            <w:r>
              <w:rPr>
                <w:rFonts w:hint="eastAsia"/>
                <w:color w:val="auto"/>
                <w:highlight w:val="none"/>
              </w:rPr>
              <w:t xml:space="preserve">会话限制</w:t>
            </w:r>
            <w:r/>
          </w:p>
        </w:tc>
        <w:tc>
          <w:tcPr>
            <w:tcW w:w="7263" w:type="dxa"/>
            <w:vAlign w:val="center"/>
            <w:textDirection w:val="lrTb"/>
            <w:noWrap w:val="false"/>
          </w:tcPr>
          <w:p>
            <w:pPr>
              <w:rPr>
                <w:color w:val="auto"/>
                <w:highlight w:val="none"/>
              </w:rPr>
            </w:pPr>
            <w:r>
              <w:rPr>
                <w:rFonts w:hint="eastAsia"/>
                <w:color w:val="auto"/>
                <w:highlight w:val="none"/>
              </w:rPr>
              <w:t xml:space="preserve">支持基于源地址、目的地址、生效时间、应用协议（http、https、mysql、ms-sql、sqlnet、sip等）限制新建连接、并发连接并能够记录日志；同类会话限制支持配置取最小值或最大值进行限制。</w:t>
            </w:r>
            <w:r/>
          </w:p>
        </w:tc>
      </w:tr>
      <w:tr>
        <w:trPr>
          <w:jc w:val="right"/>
          <w:trHeight w:val="300"/>
        </w:trPr>
        <w:tc>
          <w:tcPr>
            <w:tcW w:w="1674" w:type="dxa"/>
            <w:vAlign w:val="center"/>
            <w:vMerge w:val="restart"/>
            <w:textDirection w:val="lrTb"/>
            <w:noWrap w:val="false"/>
          </w:tcPr>
          <w:p>
            <w:pPr>
              <w:rPr>
                <w:color w:val="auto"/>
                <w:highlight w:val="none"/>
              </w:rPr>
            </w:pPr>
            <w:r>
              <w:rPr>
                <w:rFonts w:hint="eastAsia"/>
                <w:color w:val="auto"/>
                <w:highlight w:val="none"/>
              </w:rPr>
              <w:t xml:space="preserve">IP控制</w:t>
            </w:r>
            <w:r/>
          </w:p>
        </w:tc>
        <w:tc>
          <w:tcPr>
            <w:tcW w:w="7263" w:type="dxa"/>
            <w:vAlign w:val="center"/>
            <w:textDirection w:val="lrTb"/>
            <w:noWrap w:val="false"/>
          </w:tcPr>
          <w:p>
            <w:pPr>
              <w:rPr>
                <w:color w:val="auto"/>
                <w:highlight w:val="none"/>
              </w:rPr>
            </w:pPr>
            <w:r>
              <w:rPr>
                <w:rFonts w:hint="eastAsia"/>
                <w:color w:val="auto"/>
                <w:highlight w:val="none"/>
              </w:rPr>
              <w:t xml:space="preserve">支持静态黑名单，最大规格不少于1万;支持黑名单库配置，最大配置规格不少于100万； </w:t>
            </w:r>
            <w:r/>
          </w:p>
        </w:tc>
      </w:tr>
      <w:tr>
        <w:trPr>
          <w:jc w:val="right"/>
          <w:trHeight w:val="30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▲支持IP黑名单批量导入功能，满足重保、演练、护网场景下IP黑名单手动导入和FTP自动更新，导入模式支持增量导入和覆盖导入，（提供产品界面截图）</w:t>
            </w:r>
            <w:r/>
          </w:p>
        </w:tc>
      </w:tr>
      <w:tr>
        <w:trPr>
          <w:jc w:val="right"/>
          <w:trHeight w:val="30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支持微型策略（基于源IP地址、目的IP地址和协议的三元组安全策略），方便用户进行精细化策略调配，最大规格不少于100万</w:t>
            </w:r>
            <w:r/>
          </w:p>
        </w:tc>
      </w:tr>
      <w:tr>
        <w:trPr>
          <w:jc w:val="right"/>
          <w:trHeight w:val="300"/>
        </w:trPr>
        <w:tc>
          <w:tcPr>
            <w:tcW w:w="1674" w:type="dxa"/>
            <w:vAlign w:val="center"/>
            <w:vMerge w:val="restart"/>
            <w:textDirection w:val="lrTb"/>
            <w:noWrap w:val="false"/>
          </w:tcPr>
          <w:p>
            <w:pPr>
              <w:rPr>
                <w:color w:val="auto"/>
                <w:highlight w:val="none"/>
              </w:rPr>
            </w:pPr>
            <w:r>
              <w:rPr>
                <w:rFonts w:hint="eastAsia"/>
                <w:color w:val="auto"/>
                <w:highlight w:val="none"/>
              </w:rPr>
              <w:t xml:space="preserve">路由功能</w:t>
            </w:r>
            <w:r/>
          </w:p>
        </w:tc>
        <w:tc>
          <w:tcPr>
            <w:tcW w:w="7263" w:type="dxa"/>
            <w:vAlign w:val="center"/>
            <w:textDirection w:val="lrTb"/>
            <w:noWrap w:val="false"/>
          </w:tcPr>
          <w:p>
            <w:pPr>
              <w:rPr>
                <w:color w:val="auto"/>
                <w:highlight w:val="none"/>
              </w:rPr>
            </w:pPr>
            <w:r>
              <w:rPr>
                <w:rFonts w:hint="eastAsia"/>
                <w:color w:val="auto"/>
                <w:highlight w:val="none"/>
              </w:rPr>
              <w:t xml:space="preserve">支持静态路由、等价路由、源地址路由、源接口路由、策略路由、RIP、OSPF、BGP、ISIS等路由协议</w:t>
            </w:r>
            <w:r/>
          </w:p>
        </w:tc>
      </w:tr>
      <w:tr>
        <w:trPr>
          <w:jc w:val="right"/>
          <w:trHeight w:val="30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支持BFD 功能，支持BFD与静态路由/OSPF/BGP/ISIS进行联动。快速检测到与相邻设备间的通信故障，减小设备故障对业务的影响。通过与动态路由协议联动，缩短收敛时间，提升可靠性。</w:t>
            </w:r>
            <w:r/>
          </w:p>
        </w:tc>
      </w:tr>
      <w:tr>
        <w:trPr>
          <w:jc w:val="right"/>
          <w:trHeight w:val="585"/>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支持DNS改写，可基于DNS改写规则对DNS服务器返回的响应报文中的IP地址进行改写，响应地址和改写地址支持IPv4和IPv6，满足双协议栈DNS改写业务需求；</w:t>
            </w:r>
            <w:r>
              <w:rPr>
                <w:color w:val="auto"/>
                <w:highlight w:val="none"/>
              </w:rPr>
              <w:t xml:space="preserve"> </w:t>
            </w:r>
            <w:r/>
          </w:p>
        </w:tc>
      </w:tr>
      <w:tr>
        <w:trPr>
          <w:jc w:val="right"/>
          <w:trHeight w:val="285"/>
        </w:trPr>
        <w:tc>
          <w:tcPr>
            <w:tcW w:w="1674" w:type="dxa"/>
            <w:vAlign w:val="center"/>
            <w:textDirection w:val="lrTb"/>
            <w:noWrap w:val="false"/>
          </w:tcPr>
          <w:p>
            <w:pPr>
              <w:rPr>
                <w:color w:val="auto"/>
                <w:highlight w:val="none"/>
              </w:rPr>
            </w:pPr>
            <w:r>
              <w:rPr>
                <w:rFonts w:hint="eastAsia"/>
                <w:color w:val="auto"/>
                <w:highlight w:val="none"/>
              </w:rPr>
              <w:t xml:space="preserve">负载均衡</w:t>
            </w:r>
            <w:r/>
          </w:p>
        </w:tc>
        <w:tc>
          <w:tcPr>
            <w:tcW w:w="7263" w:type="dxa"/>
            <w:vAlign w:val="center"/>
            <w:textDirection w:val="lrTb"/>
            <w:noWrap w:val="false"/>
          </w:tcPr>
          <w:p>
            <w:pPr>
              <w:rPr>
                <w:color w:val="auto"/>
                <w:highlight w:val="none"/>
              </w:rPr>
            </w:pPr>
            <w:r>
              <w:rPr>
                <w:rFonts w:hint="eastAsia"/>
                <w:color w:val="auto"/>
                <w:highlight w:val="none"/>
              </w:rPr>
              <w:t xml:space="preserve">支持智能链路负载均衡技术，可动态探测链路响应速度并选择最优链路进行转发</w:t>
            </w:r>
            <w:r/>
          </w:p>
        </w:tc>
      </w:tr>
      <w:tr>
        <w:trPr>
          <w:jc w:val="right"/>
          <w:trHeight w:val="855"/>
        </w:trPr>
        <w:tc>
          <w:tcPr>
            <w:tcW w:w="1674" w:type="dxa"/>
            <w:vAlign w:val="center"/>
            <w:vMerge w:val="restart"/>
            <w:textDirection w:val="lrTb"/>
            <w:noWrap w:val="false"/>
          </w:tcPr>
          <w:p>
            <w:pPr>
              <w:rPr>
                <w:color w:val="auto"/>
                <w:highlight w:val="none"/>
              </w:rPr>
            </w:pPr>
            <w:r>
              <w:rPr>
                <w:rFonts w:hint="eastAsia"/>
                <w:color w:val="auto"/>
                <w:highlight w:val="none"/>
              </w:rPr>
              <w:t xml:space="preserve">上网用户认证</w:t>
            </w:r>
            <w:r/>
          </w:p>
        </w:tc>
        <w:tc>
          <w:tcPr>
            <w:tcW w:w="7263" w:type="dxa"/>
            <w:vAlign w:val="center"/>
            <w:textDirection w:val="lrTb"/>
            <w:noWrap w:val="false"/>
          </w:tcPr>
          <w:p>
            <w:pPr>
              <w:rPr>
                <w:color w:val="auto"/>
                <w:highlight w:val="none"/>
              </w:rPr>
            </w:pPr>
            <w:r>
              <w:rPr>
                <w:rFonts w:hint="eastAsia"/>
                <w:color w:val="auto"/>
                <w:highlight w:val="none"/>
              </w:rPr>
              <w:t xml:space="preserve">要求所投产品支持Web认证，且Web认证的方式需要包含口令认证、短信认证、口令+短信认证的方式，在SCVPN场景下，支持本地用户或RADIUS认证用户通过口令+邮件验证码的方式进行认证。</w:t>
            </w:r>
            <w:r/>
          </w:p>
        </w:tc>
      </w:tr>
      <w:tr>
        <w:trPr>
          <w:jc w:val="right"/>
          <w:trHeight w:val="57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支持SSO、SSO代理、无Agent方式的AD SSO以及通过SSO Monitor协议标准进行认证用户同步</w:t>
            </w:r>
            <w:r/>
          </w:p>
        </w:tc>
      </w:tr>
      <w:tr>
        <w:trPr>
          <w:jc w:val="right"/>
          <w:trHeight w:val="570"/>
        </w:trPr>
        <w:tc>
          <w:tcPr>
            <w:tcW w:w="1674" w:type="dxa"/>
            <w:vAlign w:val="center"/>
            <w:vMerge w:val="restart"/>
            <w:textDirection w:val="lrTb"/>
            <w:noWrap w:val="false"/>
          </w:tcPr>
          <w:p>
            <w:pPr>
              <w:rPr>
                <w:color w:val="auto"/>
                <w:highlight w:val="none"/>
              </w:rPr>
            </w:pPr>
            <w:r>
              <w:rPr>
                <w:rFonts w:hint="eastAsia"/>
                <w:color w:val="auto"/>
                <w:highlight w:val="none"/>
              </w:rPr>
              <w:t xml:space="preserve">运维管理</w:t>
            </w:r>
            <w:r/>
          </w:p>
        </w:tc>
        <w:tc>
          <w:tcPr>
            <w:tcW w:w="7263" w:type="dxa"/>
            <w:vAlign w:val="center"/>
            <w:textDirection w:val="lrTb"/>
            <w:noWrap w:val="false"/>
          </w:tcPr>
          <w:p>
            <w:pPr>
              <w:rPr>
                <w:color w:val="auto"/>
                <w:highlight w:val="none"/>
              </w:rPr>
            </w:pPr>
            <w:r>
              <w:rPr>
                <w:rFonts w:hint="eastAsia"/>
                <w:color w:val="auto"/>
                <w:highlight w:val="none"/>
              </w:rPr>
              <w:t xml:space="preserve">▲DNS解析配置支持配置全局请求时间。需提供产品功能截图证明</w:t>
            </w:r>
            <w:r/>
          </w:p>
        </w:tc>
      </w:tr>
      <w:tr>
        <w:trPr>
          <w:jc w:val="right"/>
          <w:trHeight w:val="570"/>
        </w:trPr>
        <w:tc>
          <w:tcPr>
            <w:tcW w:w="1674" w:type="dxa"/>
            <w:vAlign w:val="center"/>
            <w:vMerge w:val="continue"/>
            <w:textDirection w:val="lrTb"/>
            <w:noWrap w:val="false"/>
          </w:tcPr>
          <w:p>
            <w:pPr>
              <w:rPr>
                <w:color w:val="auto"/>
                <w:highlight w:val="none"/>
              </w:rPr>
            </w:pPr>
            <w:r>
              <w:rPr>
                <w:color w:val="auto"/>
                <w:highlight w:val="none"/>
              </w:rPr>
            </w:r>
            <w:r/>
          </w:p>
        </w:tc>
        <w:tc>
          <w:tcPr>
            <w:tcW w:w="7263" w:type="dxa"/>
            <w:vAlign w:val="center"/>
            <w:textDirection w:val="lrTb"/>
            <w:noWrap w:val="false"/>
          </w:tcPr>
          <w:p>
            <w:pPr>
              <w:rPr>
                <w:color w:val="auto"/>
                <w:highlight w:val="none"/>
              </w:rPr>
            </w:pPr>
            <w:r>
              <w:rPr>
                <w:rFonts w:hint="eastAsia"/>
                <w:color w:val="auto"/>
                <w:highlight w:val="none"/>
              </w:rPr>
              <w:t xml:space="preserve">支持策略自学习功能，策略助手能够提取命中指定策略 ID 的流量作为流量数据分析源，生成服务并且根据管理员设置的替换规则、聚合规则优化流量数据，最后自动生成符合管理员期望的安全策略规则;支持对策略助手中统计到的流量信息记录上下行报文数和上下行字节数等信息。</w:t>
            </w:r>
            <w:r/>
          </w:p>
        </w:tc>
      </w:tr>
    </w:tbl>
    <w:p>
      <w:pPr>
        <w:pStyle w:val="697"/>
        <w:numPr>
          <w:ilvl w:val="1"/>
          <w:numId w:val="0"/>
        </w:numPr>
        <w:spacing w:line="480" w:lineRule="auto"/>
        <w:rPr>
          <w:rFonts w:cs="Times New Roman"/>
          <w:color w:val="auto"/>
          <w:sz w:val="21"/>
          <w:szCs w:val="21"/>
          <w:highlight w:val="none"/>
        </w:rPr>
      </w:pPr>
      <w:r>
        <w:rPr>
          <w:rFonts w:hint="eastAsia" w:cs="Times New Roman"/>
          <w:color w:val="auto"/>
          <w:sz w:val="21"/>
          <w:szCs w:val="21"/>
          <w:highlight w:val="none"/>
        </w:rPr>
        <w:t xml:space="preserve">2.1</w:t>
      </w:r>
      <w:r>
        <w:rPr>
          <w:rFonts w:hint="eastAsia" w:cs="Times New Roman" w:eastAsiaTheme="minorEastAsia"/>
          <w:color w:val="auto"/>
          <w:sz w:val="21"/>
          <w:szCs w:val="21"/>
          <w:highlight w:val="none"/>
        </w:rPr>
        <w:t xml:space="preserve">3</w:t>
      </w:r>
      <w:r>
        <w:rPr>
          <w:rFonts w:hint="eastAsia" w:cs="Times New Roman"/>
          <w:color w:val="auto"/>
          <w:sz w:val="21"/>
          <w:szCs w:val="21"/>
          <w:highlight w:val="none"/>
        </w:rPr>
        <w:t xml:space="preserve">渗透测试及漏扫服务</w:t>
      </w:r>
      <w:r/>
    </w:p>
    <w:tbl>
      <w:tblPr>
        <w:tblStyle w:val="705"/>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77"/>
        <w:gridCol w:w="4678"/>
        <w:gridCol w:w="1106"/>
        <w:gridCol w:w="850"/>
      </w:tblGrid>
      <w:tr>
        <w:trPr>
          <w:jc w:val="center"/>
          <w:trHeight w:val="276"/>
        </w:trPr>
        <w:tc>
          <w:tcPr>
            <w:tcW w:w="828" w:type="dxa"/>
            <w:vAlign w:val="center"/>
            <w:textDirection w:val="lrTb"/>
            <w:noWrap w:val="false"/>
          </w:tcPr>
          <w:p>
            <w:pPr>
              <w:jc w:val="center"/>
              <w:rPr>
                <w:b/>
                <w:bCs/>
                <w:color w:val="auto"/>
                <w:highlight w:val="none"/>
              </w:rPr>
            </w:pPr>
            <w:r>
              <w:rPr>
                <w:rFonts w:hint="eastAsia"/>
                <w:b/>
                <w:bCs/>
                <w:color w:val="auto"/>
                <w:highlight w:val="none"/>
              </w:rPr>
              <w:t xml:space="preserve">序号</w:t>
            </w:r>
            <w:r/>
          </w:p>
        </w:tc>
        <w:tc>
          <w:tcPr>
            <w:tcW w:w="1577" w:type="dxa"/>
            <w:vAlign w:val="center"/>
            <w:textDirection w:val="lrTb"/>
            <w:noWrap w:val="false"/>
          </w:tcPr>
          <w:p>
            <w:pPr>
              <w:jc w:val="center"/>
              <w:rPr>
                <w:b/>
                <w:bCs/>
                <w:color w:val="auto"/>
                <w:highlight w:val="none"/>
              </w:rPr>
            </w:pPr>
            <w:r>
              <w:rPr>
                <w:rFonts w:hint="eastAsia"/>
                <w:b/>
                <w:bCs/>
                <w:color w:val="auto"/>
                <w:highlight w:val="none"/>
              </w:rPr>
              <w:t xml:space="preserve">服务名称</w:t>
            </w:r>
            <w:r/>
          </w:p>
        </w:tc>
        <w:tc>
          <w:tcPr>
            <w:tcW w:w="4678" w:type="dxa"/>
            <w:vAlign w:val="center"/>
            <w:textDirection w:val="lrTb"/>
            <w:noWrap w:val="false"/>
          </w:tcPr>
          <w:p>
            <w:pPr>
              <w:jc w:val="center"/>
              <w:rPr>
                <w:b/>
                <w:bCs/>
                <w:color w:val="auto"/>
                <w:highlight w:val="none"/>
              </w:rPr>
            </w:pPr>
            <w:r>
              <w:rPr>
                <w:rFonts w:hint="eastAsia"/>
                <w:b/>
                <w:bCs/>
                <w:color w:val="auto"/>
                <w:highlight w:val="none"/>
              </w:rPr>
              <w:t xml:space="preserve">服务内容</w:t>
            </w:r>
            <w:r/>
          </w:p>
        </w:tc>
        <w:tc>
          <w:tcPr>
            <w:tcW w:w="1106" w:type="dxa"/>
            <w:vAlign w:val="center"/>
            <w:textDirection w:val="lrTb"/>
            <w:noWrap w:val="false"/>
          </w:tcPr>
          <w:p>
            <w:pPr>
              <w:jc w:val="center"/>
              <w:rPr>
                <w:b/>
                <w:bCs/>
                <w:color w:val="auto"/>
                <w:highlight w:val="none"/>
              </w:rPr>
            </w:pPr>
            <w:r>
              <w:rPr>
                <w:rFonts w:hint="eastAsia"/>
                <w:b/>
                <w:bCs/>
                <w:color w:val="auto"/>
                <w:highlight w:val="none"/>
              </w:rPr>
              <w:t xml:space="preserve">数量</w:t>
            </w:r>
            <w:r/>
          </w:p>
        </w:tc>
        <w:tc>
          <w:tcPr>
            <w:tcW w:w="850" w:type="dxa"/>
            <w:vAlign w:val="center"/>
            <w:textDirection w:val="lrTb"/>
            <w:noWrap w:val="false"/>
          </w:tcPr>
          <w:p>
            <w:pPr>
              <w:jc w:val="center"/>
              <w:rPr>
                <w:b/>
                <w:bCs/>
                <w:color w:val="auto"/>
                <w:highlight w:val="none"/>
              </w:rPr>
            </w:pPr>
            <w:r>
              <w:rPr>
                <w:rFonts w:hint="eastAsia"/>
                <w:b/>
                <w:bCs/>
                <w:color w:val="auto"/>
                <w:highlight w:val="none"/>
              </w:rPr>
              <w:t xml:space="preserve">单位</w:t>
            </w:r>
            <w:r/>
          </w:p>
        </w:tc>
      </w:tr>
      <w:tr>
        <w:trPr>
          <w:jc w:val="center"/>
          <w:trHeight w:val="1104"/>
        </w:trPr>
        <w:tc>
          <w:tcPr>
            <w:tcW w:w="828"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ascii="宋体" w:hAnsi="宋体" w:cs="宋体"/>
                <w:color w:val="auto"/>
                <w:highlight w:val="none"/>
                <w:lang w:bidi="ar"/>
              </w:rPr>
              <w:t xml:space="preserve">1</w:t>
            </w:r>
            <w:r/>
          </w:p>
        </w:tc>
        <w:tc>
          <w:tcPr>
            <w:tcW w:w="1577"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渗透测试服务</w:t>
            </w:r>
            <w:r/>
          </w:p>
        </w:tc>
        <w:tc>
          <w:tcPr>
            <w:tcW w:w="4678" w:type="dxa"/>
            <w:vAlign w:val="center"/>
            <w:textDirection w:val="lrTb"/>
            <w:noWrap w:val="false"/>
          </w:tcPr>
          <w:p>
            <w:pPr>
              <w:jc w:val="left"/>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对医院互联网所有业务系展开渗透测试，通过智能工具扫描与人工测试、分析的手段，以模拟黑客入侵的方式对服务目标系统进行模拟入侵测试，识别服务目标存在的安全风险，并提供渗透测试报告，包含原因分析和安全威胁修复建议。 </w:t>
            </w:r>
            <w:r/>
          </w:p>
          <w:p>
            <w:pPr>
              <w:jc w:val="left"/>
              <w:spacing w:line="336" w:lineRule="auto"/>
              <w:widowControl/>
              <w:rPr>
                <w:rFonts w:hint="eastAsia" w:ascii="宋体" w:hAnsi="宋体" w:cs="宋体"/>
                <w:b/>
                <w:color w:val="auto"/>
                <w:highlight w:val="none"/>
                <w:lang w:bidi="ar"/>
              </w:rPr>
            </w:pPr>
            <w:r>
              <w:rPr>
                <w:rFonts w:hint="eastAsia" w:ascii="宋体" w:hAnsi="宋体" w:cs="宋体"/>
                <w:color w:val="auto"/>
                <w:highlight w:val="none"/>
                <w:lang w:bidi="ar"/>
              </w:rPr>
              <w:t xml:space="preserve">根据初次渗透测试和二次复测结果，整理渗透测试服务输出成果，形成报告。渗透测试报告将详细列出所有使用过的攻击技术手段，并对实际攻击结果给出详细的列表，对一些无法在短时间内进行判断的潜在安全或一些可能存在的安全隐患将做详细的分析。</w:t>
            </w:r>
            <w:r/>
          </w:p>
        </w:tc>
        <w:tc>
          <w:tcPr>
            <w:tcW w:w="1106"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3</w:t>
            </w:r>
            <w:r/>
          </w:p>
        </w:tc>
        <w:tc>
          <w:tcPr>
            <w:tcW w:w="850"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次</w:t>
            </w:r>
            <w:r/>
          </w:p>
        </w:tc>
      </w:tr>
      <w:tr>
        <w:trPr>
          <w:jc w:val="center"/>
          <w:trHeight w:val="1104"/>
        </w:trPr>
        <w:tc>
          <w:tcPr>
            <w:tcW w:w="828"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2</w:t>
            </w:r>
            <w:r/>
          </w:p>
        </w:tc>
        <w:tc>
          <w:tcPr>
            <w:tcW w:w="1577"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漏洞扫描服务</w:t>
            </w:r>
            <w:r/>
          </w:p>
        </w:tc>
        <w:tc>
          <w:tcPr>
            <w:tcW w:w="4678" w:type="dxa"/>
            <w:vAlign w:val="center"/>
            <w:textDirection w:val="lrTb"/>
            <w:noWrap w:val="false"/>
          </w:tcPr>
          <w:p>
            <w:pPr>
              <w:jc w:val="left"/>
              <w:spacing w:line="336" w:lineRule="auto"/>
              <w:widowControl/>
              <w:rPr>
                <w:rFonts w:hint="eastAsia" w:ascii="宋体" w:hAnsi="宋体" w:cs="宋体"/>
                <w:color w:val="auto"/>
                <w:sz w:val="24"/>
                <w:szCs w:val="24"/>
                <w:highlight w:val="none"/>
                <w:lang w:bidi="ar"/>
              </w:rPr>
            </w:pPr>
            <w:r>
              <w:rPr>
                <w:rFonts w:hint="eastAsia" w:ascii="宋体" w:hAnsi="宋体" w:cs="宋体"/>
                <w:color w:val="auto"/>
                <w:highlight w:val="none"/>
                <w:lang w:bidi="ar"/>
              </w:rPr>
              <w:t xml:space="preserve">要求使用专业安全漏洞扫描工具对评估目标范围内对象进行漏洞扫描，对信息系统的薄弱点进行识别与评价，提交脆弱性分析报告。脆弱性检测范围包括发现对象存在的web应用漏洞、主机操作系统漏洞、数据库漏洞、逻辑缺陷、弱口令、信息泄露等脆弱性问题。通过实施漏洞扫描和手工检查，发现在网络（包括网络设备自身或传输线路）、系统（包括操作系统、数据库系统、通用应用平台系统）、应用（包括服务范围内业务的专有应用系统、系统与系统间交互）等层面存在的安全漏洞和风险。</w:t>
            </w:r>
            <w:r/>
          </w:p>
        </w:tc>
        <w:tc>
          <w:tcPr>
            <w:tcW w:w="1106"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6</w:t>
            </w:r>
            <w:r/>
          </w:p>
        </w:tc>
        <w:tc>
          <w:tcPr>
            <w:tcW w:w="850" w:type="dxa"/>
            <w:vAlign w:val="center"/>
            <w:textDirection w:val="lrTb"/>
            <w:noWrap w:val="false"/>
          </w:tcPr>
          <w:p>
            <w:pPr>
              <w:jc w:val="center"/>
              <w:spacing w:line="336" w:lineRule="auto"/>
              <w:widowControl/>
              <w:rPr>
                <w:rFonts w:hint="eastAsia" w:ascii="宋体" w:hAnsi="宋体" w:cs="宋体"/>
                <w:color w:val="auto"/>
                <w:highlight w:val="none"/>
                <w:lang w:bidi="ar"/>
              </w:rPr>
            </w:pPr>
            <w:r>
              <w:rPr>
                <w:rFonts w:hint="eastAsia" w:ascii="宋体" w:hAnsi="宋体" w:cs="宋体"/>
                <w:color w:val="auto"/>
                <w:highlight w:val="none"/>
                <w:lang w:bidi="ar"/>
              </w:rPr>
              <w:t xml:space="preserve">次</w:t>
            </w:r>
            <w:r/>
          </w:p>
        </w:tc>
      </w:tr>
    </w:tbl>
    <w:p>
      <w:pPr>
        <w:pStyle w:val="697"/>
        <w:numPr>
          <w:ilvl w:val="1"/>
          <w:numId w:val="0"/>
        </w:numPr>
        <w:spacing w:line="480" w:lineRule="auto"/>
        <w:rPr>
          <w:rFonts w:cs="Times New Roman"/>
          <w:color w:val="auto"/>
          <w:sz w:val="21"/>
          <w:szCs w:val="21"/>
          <w:highlight w:val="none"/>
        </w:rPr>
      </w:pPr>
      <w:r>
        <w:rPr>
          <w:rFonts w:hint="eastAsia" w:cs="Times New Roman" w:eastAsiaTheme="minorEastAsia"/>
          <w:color w:val="auto"/>
          <w:sz w:val="21"/>
          <w:szCs w:val="21"/>
          <w:highlight w:val="none"/>
        </w:rPr>
        <w:t xml:space="preserve">2.14</w:t>
      </w:r>
      <w:r>
        <w:rPr>
          <w:rFonts w:hint="eastAsia" w:ascii="宋体" w:hAnsi="宋体" w:eastAsia="宋体" w:cs="宋体"/>
          <w:color w:val="auto"/>
          <w:sz w:val="21"/>
          <w:szCs w:val="21"/>
          <w:highlight w:val="none"/>
        </w:rPr>
        <w:t xml:space="preserve">安全运营服务</w:t>
      </w:r>
      <w:r/>
    </w:p>
    <w:tbl>
      <w:tblPr>
        <w:tblStyle w:val="705"/>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8"/>
        <w:gridCol w:w="6830"/>
      </w:tblGrid>
      <w:tr>
        <w:trPr>
          <w:jc w:val="center"/>
          <w:trHeight w:val="489"/>
        </w:trPr>
        <w:tc>
          <w:tcPr>
            <w:tcW w:w="2078" w:type="dxa"/>
            <w:vAlign w:val="center"/>
            <w:textDirection w:val="lrTb"/>
            <w:noWrap w:val="false"/>
          </w:tcPr>
          <w:p>
            <w:pPr>
              <w:jc w:val="center"/>
              <w:rPr>
                <w:b/>
                <w:bCs/>
                <w:color w:val="auto"/>
                <w:highlight w:val="none"/>
              </w:rPr>
            </w:pPr>
            <w:r>
              <w:rPr>
                <w:b/>
                <w:bCs/>
                <w:color w:val="auto"/>
                <w:highlight w:val="none"/>
              </w:rPr>
              <w:t xml:space="preserve">技术指标</w:t>
            </w:r>
            <w:r/>
          </w:p>
        </w:tc>
        <w:tc>
          <w:tcPr>
            <w:tcW w:w="6830" w:type="dxa"/>
            <w:vAlign w:val="center"/>
            <w:textDirection w:val="lrTb"/>
            <w:noWrap w:val="false"/>
          </w:tcPr>
          <w:p>
            <w:pPr>
              <w:jc w:val="center"/>
              <w:rPr>
                <w:b/>
                <w:bCs/>
                <w:color w:val="auto"/>
                <w:highlight w:val="none"/>
              </w:rPr>
            </w:pPr>
            <w:r>
              <w:rPr>
                <w:b/>
                <w:bCs/>
                <w:color w:val="auto"/>
                <w:highlight w:val="none"/>
              </w:rPr>
              <w:t xml:space="preserve">指标要求</w:t>
            </w:r>
            <w:r/>
          </w:p>
        </w:tc>
      </w:tr>
      <w:tr>
        <w:trPr>
          <w:jc w:val="center"/>
        </w:trPr>
        <w:tc>
          <w:tcPr>
            <w:tcW w:w="2078" w:type="dxa"/>
            <w:vAlign w:val="center"/>
            <w:vMerge w:val="restart"/>
            <w:textDirection w:val="lrTb"/>
            <w:noWrap w:val="false"/>
          </w:tcPr>
          <w:p>
            <w:pPr>
              <w:rPr>
                <w:color w:val="auto"/>
                <w:highlight w:val="none"/>
              </w:rPr>
            </w:pPr>
            <w:r>
              <w:rPr>
                <w:rFonts w:hint="eastAsia"/>
                <w:color w:val="auto"/>
                <w:highlight w:val="none"/>
              </w:rPr>
              <w:t xml:space="preserve"> </w:t>
            </w:r>
            <w:r>
              <w:rPr>
                <w:color w:val="auto"/>
                <w:highlight w:val="none"/>
              </w:rPr>
              <w:t xml:space="preserve">基础要求</w:t>
            </w:r>
            <w:r/>
          </w:p>
        </w:tc>
        <w:tc>
          <w:tcPr>
            <w:tcW w:w="6830" w:type="dxa"/>
            <w:vAlign w:val="center"/>
            <w:textDirection w:val="lrTb"/>
            <w:noWrap w:val="false"/>
          </w:tcPr>
          <w:p>
            <w:pPr>
              <w:rPr>
                <w:color w:val="auto"/>
                <w:highlight w:val="none"/>
              </w:rPr>
            </w:pPr>
            <w:r>
              <w:rPr>
                <w:rFonts w:hint="eastAsia"/>
                <w:color w:val="auto"/>
                <w:highlight w:val="none"/>
              </w:rPr>
              <w:t xml:space="preserve">本项目提供不少于1年的7</w:t>
            </w:r>
            <w:r>
              <w:rPr>
                <w:color w:val="auto"/>
                <w:highlight w:val="none"/>
              </w:rPr>
              <w:t xml:space="preserve">*24</w:t>
            </w:r>
            <w:r>
              <w:rPr>
                <w:rFonts w:hint="eastAsia"/>
                <w:color w:val="auto"/>
                <w:highlight w:val="none"/>
              </w:rPr>
              <w:t xml:space="preserve">小时安全运营服务，本次服务包含不少于70套软件探针，用于虚拟机环境信息采集。服务范围包括，三台硬件探针、70套软件探针、端点安全管理平台所能探测到的全部</w:t>
            </w:r>
            <w:r>
              <w:rPr>
                <w:color w:val="auto"/>
                <w:highlight w:val="none"/>
              </w:rPr>
              <w:t xml:space="preserve">PC</w:t>
            </w:r>
            <w:r>
              <w:rPr>
                <w:rFonts w:hint="eastAsia"/>
                <w:color w:val="auto"/>
                <w:highlight w:val="none"/>
              </w:rPr>
              <w:t xml:space="preserve">、服务器资产。</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服务厂商需提供一套安全运营服务平台（非本次采购的态势感知）。</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服务厂商需配置一名安全专家作为专属服务经理，提供持续在线服务，安全专家需为服务厂商创建专属的服务微信群，对招标方咨询或上报的安全问题进行及时响应并给出建议。</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投标方云端服务平台应当支持对接招标方本次采购的态势感知系统、端点安全管理系统，支持实时接收安全设备检测到的安全事件信息、安全日志数据提供</w:t>
            </w:r>
            <w:r>
              <w:rPr>
                <w:color w:val="auto"/>
                <w:highlight w:val="none"/>
              </w:rPr>
              <w:t xml:space="preserve">7*24</w:t>
            </w:r>
            <w:r>
              <w:rPr>
                <w:rFonts w:hint="eastAsia"/>
                <w:color w:val="auto"/>
                <w:highlight w:val="none"/>
              </w:rPr>
              <w:t xml:space="preserve">小时的服务；</w:t>
            </w:r>
            <w:r/>
          </w:p>
        </w:tc>
      </w:tr>
      <w:tr>
        <w:trPr>
          <w:jc w:val="center"/>
        </w:trPr>
        <w:tc>
          <w:tcPr>
            <w:tcW w:w="2078" w:type="dxa"/>
            <w:vAlign w:val="center"/>
            <w:vMerge w:val="restart"/>
            <w:textDirection w:val="lrTb"/>
            <w:noWrap w:val="false"/>
          </w:tcPr>
          <w:p>
            <w:pPr>
              <w:rPr>
                <w:color w:val="auto"/>
                <w:highlight w:val="none"/>
              </w:rPr>
            </w:pPr>
            <w:r>
              <w:rPr>
                <w:rFonts w:hint="eastAsia"/>
                <w:color w:val="auto"/>
                <w:highlight w:val="none"/>
              </w:rPr>
              <w:t xml:space="preserve">服务要求</w:t>
            </w:r>
            <w:r/>
          </w:p>
        </w:tc>
        <w:tc>
          <w:tcPr>
            <w:tcW w:w="6830" w:type="dxa"/>
            <w:vAlign w:val="center"/>
            <w:textDirection w:val="lrTb"/>
            <w:noWrap w:val="false"/>
          </w:tcPr>
          <w:p>
            <w:pPr>
              <w:rPr>
                <w:color w:val="auto"/>
                <w:highlight w:val="none"/>
              </w:rPr>
            </w:pPr>
            <w:r>
              <w:rPr>
                <w:rFonts w:hint="eastAsia"/>
                <w:color w:val="auto"/>
                <w:highlight w:val="none"/>
              </w:rPr>
              <w:t xml:space="preserve">服务厂商应使用安全工具对招标方服务资产开展互联网暴露面探测，以梳理资产面向互联网的开放情况，快速发现违规暴露在互联网中的资产及存在的风险并进行处置，实现对暴露面资产可管可控，降低暴露面资产的风险。</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为了降低招标方因网络安全事件造成的损失和影响，服务厂商应当按照以下服务指标和要求为招标方提供服务：重大安全事件通告时间小于30分钟，一般事件的通告时间少于60分钟；在配备服务厂商的边界防护服务组件和端点防护服务组件的情况下，重大威胁与事件的遏制影响完成时间少于60分钟，一般威胁与事件的遏制影响完成时间少于4小时；安全事件经过服务厂商服务人员的确认后，通告给招标方的各类安全事件的准确率不低于99%（即误报不能超过1%）服务范围内的所有安全事件的闭环处置比例达到100%。</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服务厂商托管服务平台应具备GPT服务工具，支持集成在服务微信群、服务工作台，该工具能力项应支持告警数据包研判、情报查询分析、Payload解码、事件研判定性、自动调用安全设备遏制（IP、域名封堵）、事件调查溯源、运营数据统计（支持在线统计、分析并下载数据）等。提供安全托服务平台GPT能力项的证明截图；</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节假日期间有应急专家在线服务，对发生的重大安全事件进行7*24H响应，并在节假日期间每日进行值守总结，在服务群发送节假日值守总结快报</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服务厂商需为招标方提供的服务成果展示门户（或用户Portal），可以直观的管理服务过程中生产的服务报告和交付物，包括但不限于《项目启动会PPT》、《首次安全风险分析报告》、《威胁情报半月刊》、《安全运营周报》、《安全运营月报》、《安全运营季报》、《年度总结汇报》等。</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需对接本次全流量风险分析平台所覆盖范围内的资产进行全量的7*24小时实时威胁检测和重大事件遏制。</w:t>
            </w:r>
            <w:r/>
          </w:p>
        </w:tc>
      </w:tr>
      <w:tr>
        <w:trPr>
          <w:jc w:val="center"/>
        </w:trPr>
        <w:tc>
          <w:tcPr>
            <w:tcW w:w="2078" w:type="dxa"/>
            <w:vAlign w:val="center"/>
            <w:vMerge w:val="restart"/>
            <w:textDirection w:val="lrTb"/>
            <w:noWrap w:val="false"/>
          </w:tcPr>
          <w:p>
            <w:pPr>
              <w:rPr>
                <w:color w:val="auto"/>
                <w:highlight w:val="none"/>
              </w:rPr>
            </w:pPr>
            <w:r>
              <w:rPr>
                <w:rFonts w:hint="eastAsia"/>
                <w:color w:val="auto"/>
                <w:highlight w:val="none"/>
              </w:rPr>
              <w:t xml:space="preserve">合规要求</w:t>
            </w:r>
            <w:r/>
          </w:p>
        </w:tc>
        <w:tc>
          <w:tcPr>
            <w:tcW w:w="6830" w:type="dxa"/>
            <w:vAlign w:val="center"/>
            <w:textDirection w:val="lrTb"/>
            <w:noWrap w:val="false"/>
          </w:tcPr>
          <w:p>
            <w:pPr>
              <w:rPr>
                <w:color w:val="auto"/>
                <w:highlight w:val="none"/>
              </w:rPr>
            </w:pPr>
            <w:r>
              <w:rPr>
                <w:rFonts w:hint="eastAsia"/>
                <w:color w:val="auto"/>
                <w:highlight w:val="none"/>
              </w:rPr>
              <w:t xml:space="preserve">服务厂商云端服务平台应当做好严格的安全防护，并严格按照《</w:t>
            </w:r>
            <w:r>
              <w:rPr>
                <w:rFonts w:hint="eastAsia"/>
                <w:color w:val="auto"/>
                <w:highlight w:val="none"/>
              </w:rPr>
              <w:fldChar w:fldCharType="begin"/>
            </w:r>
            <w:r>
              <w:rPr>
                <w:color w:val="auto"/>
                <w:highlight w:val="none"/>
              </w:rPr>
              <w:instrText xml:space="preserve"> HYPERLINK "https://baike.</w:instrText>
            </w:r>
            <w:r>
              <w:rPr>
                <w:color w:val="auto"/>
                <w:highlight w:val="none"/>
              </w:rPr>
              <w:instrText xml:space="preserve">baidu.com/item/%E4%BF%A1%E6%81%AF%E5%AE%89%E5%85%A8%E6%8A%80%E6%9C%AF%E2%80%94%E7%BD%91%E7%BB%9C%E5%AE%89%E5%85%A8%E7%AD%89%E7%BA%A7%E4%BF%9D%E6%8A%A4%E5%9F%BA%E6%9C%AC%E8%A6%81%E6%B1%82/53703710?fromModule=lemma_inlink" \t "/Users/duan/Documentsx/_blank" </w:instrText>
            </w:r>
            <w:r>
              <w:rPr>
                <w:rFonts w:hint="eastAsia"/>
                <w:color w:val="auto"/>
                <w:highlight w:val="none"/>
              </w:rPr>
              <w:fldChar w:fldCharType="separate"/>
            </w:r>
            <w:r>
              <w:rPr>
                <w:rFonts w:hint="eastAsia"/>
                <w:color w:val="auto"/>
                <w:highlight w:val="none"/>
              </w:rPr>
              <w:t xml:space="preserve">信息安全技术—网络安全等级保护基本要求</w:t>
            </w:r>
            <w:r>
              <w:rPr>
                <w:rFonts w:hint="eastAsia"/>
                <w:color w:val="auto"/>
                <w:highlight w:val="none"/>
              </w:rPr>
              <w:fldChar w:fldCharType="end"/>
            </w:r>
            <w:r>
              <w:rPr>
                <w:rFonts w:hint="eastAsia"/>
                <w:color w:val="auto"/>
                <w:highlight w:val="none"/>
              </w:rPr>
              <w:t xml:space="preserve">》完成等级保护测评工作，服务平台至少通过等级保护三级测评；服务厂商应当提供云端服务平台等级保护三级测评通过证明，提供报告首页、基本信息表、等级测评结论首页，以上内容中必须明确指出该平台用于为用户提供7*24小时的安全托管服务；</w:t>
            </w:r>
            <w:r/>
          </w:p>
        </w:tc>
      </w:tr>
      <w:tr>
        <w:trPr>
          <w:jc w:val="center"/>
        </w:trPr>
        <w:tc>
          <w:tcPr>
            <w:tcW w:w="2078" w:type="dxa"/>
            <w:vAlign w:val="center"/>
            <w:vMerge w:val="continue"/>
            <w:textDirection w:val="lrTb"/>
            <w:noWrap w:val="false"/>
          </w:tcPr>
          <w:p>
            <w:pPr>
              <w:rPr>
                <w:color w:val="auto"/>
                <w:highlight w:val="none"/>
              </w:rPr>
            </w:pPr>
            <w:r>
              <w:rPr>
                <w:color w:val="auto"/>
                <w:highlight w:val="none"/>
              </w:rPr>
            </w:r>
            <w:r/>
          </w:p>
        </w:tc>
        <w:tc>
          <w:tcPr>
            <w:tcW w:w="6830" w:type="dxa"/>
            <w:vAlign w:val="center"/>
            <w:textDirection w:val="lrTb"/>
            <w:noWrap w:val="false"/>
          </w:tcPr>
          <w:p>
            <w:pPr>
              <w:rPr>
                <w:color w:val="auto"/>
                <w:highlight w:val="none"/>
              </w:rPr>
            </w:pPr>
            <w:r>
              <w:rPr>
                <w:rFonts w:hint="eastAsia"/>
                <w:color w:val="auto"/>
                <w:highlight w:val="none"/>
              </w:rPr>
              <w:t xml:space="preserve">服务厂商云端服务平台应通过国家互联网信息办公室、国家发展和改革委员会、工业和信息化部、财政部四部委联合组织的云计算服务安全评估，入选“通过云计算服务安全评估的云平台”名单，以确保平台的安全性和可控水平；提供中央网络安全和信息化委员会办公室、国家互联网信息办公室官方网站发布的《通过云计算服务安全评估的云平台》入选名单作为证明（名单截图），需明确写明为安全托管服务运营平台。</w:t>
            </w:r>
            <w:r/>
          </w:p>
        </w:tc>
      </w:tr>
    </w:tbl>
    <w:p>
      <w:pPr>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rPr>
          <w:color w:val="auto"/>
          <w:highlight w:val="none"/>
        </w:rPr>
      </w:pPr>
      <w:r>
        <w:rPr>
          <w:color w:val="auto"/>
          <w:highlight w:val="none"/>
        </w:rPr>
      </w:r>
      <w:r/>
    </w:p>
    <w:p>
      <w:pPr>
        <w:keepLines/>
        <w:keepNext/>
        <w:spacing w:before="120" w:after="120"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三、商务要求：</w:t>
      </w:r>
      <w:r/>
    </w:p>
    <w:p>
      <w:pPr>
        <w:pStyle w:val="738"/>
        <w:rPr>
          <w:i/>
          <w:iCs/>
          <w:color w:val="auto"/>
          <w:highlight w:val="none"/>
          <w:u w:val="single"/>
        </w:rPr>
      </w:pPr>
      <w:r>
        <w:rPr>
          <w:rFonts w:hint="eastAsia"/>
          <w:i/>
          <w:iCs/>
          <w:color w:val="auto"/>
          <w:highlight w:val="none"/>
          <w:u w:val="single"/>
        </w:rPr>
        <w:t xml:space="preserve">下列条款中甲方为：宝应县人民医院，乙方为：本项目的中标投标人</w:t>
      </w:r>
      <w:r/>
    </w:p>
    <w:p>
      <w:pPr>
        <w:pStyle w:val="738"/>
        <w:rPr>
          <w:i/>
          <w:iCs/>
          <w:color w:val="auto"/>
          <w:highlight w:val="none"/>
          <w:u w:val="single"/>
        </w:rPr>
      </w:pPr>
      <w:r>
        <w:rPr>
          <w:rFonts w:hint="eastAsia"/>
          <w:i/>
          <w:iCs/>
          <w:color w:val="auto"/>
          <w:highlight w:val="none"/>
          <w:u w:val="single"/>
        </w:rPr>
        <w:t xml:space="preserve">3.1、交货期：合同签订后30天内；</w:t>
      </w:r>
      <w:r/>
    </w:p>
    <w:p>
      <w:pPr>
        <w:pStyle w:val="738"/>
        <w:rPr>
          <w:i/>
          <w:iCs/>
          <w:color w:val="auto"/>
          <w:highlight w:val="none"/>
          <w:u w:val="single"/>
        </w:rPr>
      </w:pPr>
      <w:r>
        <w:rPr>
          <w:rFonts w:hint="eastAsia"/>
          <w:i/>
          <w:iCs/>
          <w:color w:val="auto"/>
          <w:highlight w:val="none"/>
          <w:u w:val="single"/>
        </w:rPr>
        <w:t xml:space="preserve">3.2、交货地点：宝应县人民医院；</w:t>
      </w:r>
      <w:r/>
    </w:p>
    <w:p>
      <w:pPr>
        <w:pStyle w:val="738"/>
        <w:rPr>
          <w:i/>
          <w:iCs/>
          <w:color w:val="auto"/>
          <w:highlight w:val="none"/>
          <w:u w:val="single"/>
        </w:rPr>
      </w:pPr>
      <w:r>
        <w:rPr>
          <w:rFonts w:hint="eastAsia"/>
          <w:i/>
          <w:iCs/>
          <w:color w:val="auto"/>
          <w:highlight w:val="none"/>
          <w:u w:val="single"/>
        </w:rPr>
        <w:t xml:space="preserve">3.3、付款条件：</w:t>
      </w:r>
      <w:r>
        <w:rPr>
          <w:rFonts w:hint="eastAsia"/>
          <w:i/>
          <w:iCs/>
          <w:color w:val="auto"/>
          <w:highlight w:val="none"/>
          <w:u w:val="single"/>
        </w:rPr>
        <w:t xml:space="preserve">合同签订后且乙方向甲方出具发票后，甲方10个工作日内支付合同款的30%，项目验收合格后，且甲方收到乙方开具的等额发票10个工作日内，甲方一次性支付合同款的70%。</w:t>
      </w:r>
      <w:r/>
    </w:p>
    <w:p>
      <w:pPr>
        <w:pStyle w:val="738"/>
        <w:rPr>
          <w:i/>
          <w:iCs/>
          <w:color w:val="auto"/>
          <w:highlight w:val="none"/>
          <w:u w:val="single"/>
          <w:lang w:val="zh-TW"/>
        </w:rPr>
      </w:pPr>
      <w:r>
        <w:rPr>
          <w:rFonts w:hint="eastAsia"/>
          <w:i/>
          <w:iCs/>
          <w:color w:val="auto"/>
          <w:highlight w:val="none"/>
          <w:u w:val="single"/>
        </w:rPr>
        <w:t xml:space="preserve">3.4</w:t>
      </w:r>
      <w:r>
        <w:rPr>
          <w:rFonts w:hint="eastAsia"/>
          <w:i/>
          <w:iCs/>
          <w:color w:val="auto"/>
          <w:highlight w:val="none"/>
          <w:u w:val="single"/>
          <w:lang w:val="zh-TW"/>
        </w:rPr>
        <w:t xml:space="preserve">系统集成技术要求及内容</w:t>
      </w:r>
      <w:r/>
    </w:p>
    <w:p>
      <w:pPr>
        <w:pStyle w:val="738"/>
        <w:rPr>
          <w:i/>
          <w:iCs/>
          <w:color w:val="auto"/>
          <w:highlight w:val="none"/>
          <w:u w:val="single"/>
          <w:lang w:val="zh-TW"/>
        </w:rPr>
      </w:pPr>
      <w:r>
        <w:rPr>
          <w:rFonts w:hint="eastAsia"/>
          <w:i/>
          <w:iCs/>
          <w:color w:val="auto"/>
          <w:highlight w:val="none"/>
          <w:u w:val="single"/>
          <w:lang w:val="zh-TW"/>
        </w:rPr>
        <w:t xml:space="preserve">1）中标后30天内完成所有软硬件设备+采购、安装、调试、试运行；</w:t>
      </w:r>
      <w:r/>
    </w:p>
    <w:p>
      <w:pPr>
        <w:pStyle w:val="738"/>
        <w:rPr>
          <w:i/>
          <w:iCs/>
          <w:color w:val="auto"/>
          <w:highlight w:val="none"/>
          <w:u w:val="single"/>
          <w:lang w:val="zh-TW"/>
        </w:rPr>
      </w:pPr>
      <w:r>
        <w:rPr>
          <w:rFonts w:hint="eastAsia"/>
          <w:i/>
          <w:iCs/>
          <w:color w:val="auto"/>
          <w:highlight w:val="none"/>
          <w:u w:val="single"/>
          <w:lang w:val="zh-TW"/>
        </w:rPr>
        <w:t xml:space="preserve">2）提供完整的集成方案，与数据中心的各个层面的对接集成，包含：网络、安全、应用等层面，并分别对系统需求分析、系统架构设计、系统集成内容、项目管理、运维服务等方面进行详细的描述。</w:t>
      </w:r>
      <w:r/>
    </w:p>
    <w:p>
      <w:pPr>
        <w:pStyle w:val="738"/>
        <w:rPr>
          <w:i/>
          <w:iCs/>
          <w:color w:val="auto"/>
          <w:highlight w:val="none"/>
          <w:u w:val="single"/>
          <w:lang w:val="zh-TW"/>
        </w:rPr>
      </w:pPr>
      <w:r>
        <w:rPr>
          <w:rFonts w:hint="eastAsia"/>
          <w:i/>
          <w:iCs/>
          <w:color w:val="auto"/>
          <w:highlight w:val="none"/>
          <w:u w:val="single"/>
        </w:rPr>
        <w:t xml:space="preserve">3.5</w:t>
      </w:r>
      <w:r>
        <w:rPr>
          <w:rFonts w:hint="eastAsia"/>
          <w:i/>
          <w:iCs/>
          <w:color w:val="auto"/>
          <w:highlight w:val="none"/>
          <w:u w:val="single"/>
          <w:lang w:val="zh-TW"/>
        </w:rPr>
        <w:t xml:space="preserve">设备集成服务主要要求</w:t>
      </w:r>
      <w:r/>
    </w:p>
    <w:p>
      <w:pPr>
        <w:pStyle w:val="738"/>
        <w:rPr>
          <w:i/>
          <w:iCs/>
          <w:color w:val="auto"/>
          <w:highlight w:val="none"/>
          <w:u w:val="single"/>
          <w:lang w:val="zh-TW"/>
        </w:rPr>
      </w:pPr>
      <w:r>
        <w:rPr>
          <w:rFonts w:hint="eastAsia"/>
          <w:i/>
          <w:iCs/>
          <w:color w:val="auto"/>
          <w:highlight w:val="none"/>
          <w:u w:val="single"/>
        </w:rPr>
        <w:t xml:space="preserve">1）</w:t>
      </w:r>
      <w:r>
        <w:rPr>
          <w:rFonts w:hint="eastAsia"/>
          <w:i/>
          <w:iCs/>
          <w:color w:val="auto"/>
          <w:highlight w:val="none"/>
          <w:u w:val="single"/>
          <w:lang w:val="zh-TW"/>
        </w:rPr>
        <w:t xml:space="preserve">完成项目中所有采购设备验收、安装、调试、初始化调试工作；</w:t>
      </w:r>
      <w:r/>
    </w:p>
    <w:p>
      <w:pPr>
        <w:pStyle w:val="738"/>
        <w:rPr>
          <w:i/>
          <w:iCs/>
          <w:color w:val="auto"/>
          <w:highlight w:val="none"/>
          <w:u w:val="single"/>
          <w:lang w:val="zh-TW"/>
        </w:rPr>
      </w:pPr>
      <w:r>
        <w:rPr>
          <w:rFonts w:hint="eastAsia"/>
          <w:i/>
          <w:iCs/>
          <w:color w:val="auto"/>
          <w:highlight w:val="none"/>
          <w:u w:val="single"/>
        </w:rPr>
        <w:t xml:space="preserve">2）</w:t>
      </w:r>
      <w:r>
        <w:rPr>
          <w:rFonts w:hint="eastAsia"/>
          <w:i/>
          <w:iCs/>
          <w:color w:val="auto"/>
          <w:highlight w:val="none"/>
          <w:u w:val="single"/>
          <w:lang w:val="zh-TW"/>
        </w:rPr>
        <w:t xml:space="preserve">完成设备部署；</w:t>
      </w:r>
      <w:r/>
    </w:p>
    <w:p>
      <w:pPr>
        <w:pStyle w:val="738"/>
        <w:rPr>
          <w:i/>
          <w:iCs/>
          <w:color w:val="auto"/>
          <w:highlight w:val="none"/>
          <w:u w:val="single"/>
          <w:lang w:val="zh-TW"/>
        </w:rPr>
      </w:pPr>
      <w:r>
        <w:rPr>
          <w:rFonts w:hint="eastAsia"/>
          <w:i/>
          <w:iCs/>
          <w:color w:val="auto"/>
          <w:highlight w:val="none"/>
          <w:u w:val="single"/>
        </w:rPr>
        <w:t xml:space="preserve">3）</w:t>
      </w:r>
      <w:r>
        <w:rPr>
          <w:rFonts w:hint="eastAsia"/>
          <w:i/>
          <w:iCs/>
          <w:color w:val="auto"/>
          <w:highlight w:val="none"/>
          <w:u w:val="single"/>
          <w:lang w:val="zh-TW"/>
        </w:rPr>
        <w:t xml:space="preserve">在新的设备启用后，负责进行网络和安全设备割接，负责设备利旧、搬迁迁移等工作；</w:t>
      </w:r>
      <w:r/>
    </w:p>
    <w:p>
      <w:pPr>
        <w:pStyle w:val="738"/>
        <w:rPr>
          <w:i/>
          <w:iCs/>
          <w:color w:val="auto"/>
          <w:highlight w:val="none"/>
          <w:u w:val="single"/>
          <w:lang w:val="zh-TW"/>
        </w:rPr>
      </w:pPr>
      <w:r>
        <w:rPr>
          <w:rFonts w:hint="eastAsia"/>
          <w:i/>
          <w:iCs/>
          <w:color w:val="auto"/>
          <w:highlight w:val="none"/>
          <w:u w:val="single"/>
        </w:rPr>
        <w:t xml:space="preserve">4）</w:t>
      </w:r>
      <w:r>
        <w:rPr>
          <w:rFonts w:hint="eastAsia"/>
          <w:i/>
          <w:iCs/>
          <w:color w:val="auto"/>
          <w:highlight w:val="none"/>
          <w:u w:val="single"/>
          <w:lang w:val="zh-TW"/>
        </w:rPr>
        <w:t xml:space="preserve">负责优化与性能调优工作；</w:t>
      </w:r>
      <w:r/>
    </w:p>
    <w:p>
      <w:pPr>
        <w:pStyle w:val="738"/>
        <w:rPr>
          <w:i/>
          <w:iCs/>
          <w:color w:val="auto"/>
          <w:highlight w:val="none"/>
          <w:u w:val="single"/>
          <w:lang w:val="zh-TW"/>
        </w:rPr>
      </w:pPr>
      <w:r>
        <w:rPr>
          <w:rFonts w:hint="eastAsia"/>
          <w:i/>
          <w:iCs/>
          <w:color w:val="auto"/>
          <w:highlight w:val="none"/>
          <w:u w:val="single"/>
        </w:rPr>
        <w:t xml:space="preserve">3.6</w:t>
      </w:r>
      <w:r>
        <w:rPr>
          <w:rFonts w:hint="eastAsia"/>
          <w:i/>
          <w:iCs/>
          <w:color w:val="auto"/>
          <w:highlight w:val="none"/>
          <w:u w:val="single"/>
          <w:lang w:val="zh-TW"/>
        </w:rPr>
        <w:t xml:space="preserve">巡检服务主要要求</w:t>
      </w:r>
      <w:r/>
    </w:p>
    <w:p>
      <w:pPr>
        <w:pStyle w:val="738"/>
        <w:rPr>
          <w:i/>
          <w:iCs/>
          <w:color w:val="auto"/>
          <w:highlight w:val="none"/>
          <w:u w:val="single"/>
          <w:lang w:val="zh-TW"/>
        </w:rPr>
      </w:pPr>
      <w:r>
        <w:rPr>
          <w:rFonts w:hint="eastAsia"/>
          <w:i/>
          <w:iCs/>
          <w:color w:val="auto"/>
          <w:highlight w:val="none"/>
          <w:u w:val="single"/>
        </w:rPr>
        <w:t xml:space="preserve">1）</w:t>
      </w:r>
      <w:r>
        <w:rPr>
          <w:rFonts w:hint="eastAsia"/>
          <w:i/>
          <w:iCs/>
          <w:color w:val="auto"/>
          <w:highlight w:val="none"/>
          <w:u w:val="single"/>
          <w:lang w:val="zh-TW"/>
        </w:rPr>
        <w:t xml:space="preserve">通过定期的、计划性的预防性维护，将设备问题消灭在萌芽状态，确保采购方业务系统能正常稳定的运行；</w:t>
      </w:r>
      <w:r/>
    </w:p>
    <w:p>
      <w:pPr>
        <w:pStyle w:val="738"/>
        <w:rPr>
          <w:i/>
          <w:iCs/>
          <w:color w:val="auto"/>
          <w:highlight w:val="none"/>
          <w:u w:val="single"/>
          <w:lang w:val="zh-TW"/>
        </w:rPr>
      </w:pPr>
      <w:r>
        <w:rPr>
          <w:rFonts w:hint="eastAsia"/>
          <w:i/>
          <w:iCs/>
          <w:color w:val="auto"/>
          <w:highlight w:val="none"/>
          <w:u w:val="single"/>
        </w:rPr>
        <w:t xml:space="preserve">2）</w:t>
      </w:r>
      <w:r>
        <w:rPr>
          <w:rFonts w:hint="eastAsia"/>
          <w:i/>
          <w:iCs/>
          <w:color w:val="auto"/>
          <w:highlight w:val="none"/>
          <w:u w:val="single"/>
          <w:lang w:val="zh-TW"/>
        </w:rPr>
        <w:t xml:space="preserve">每月巡检一次，在每月初的第一周对所有维保设备予以全面检测，确认设备运行状态，检查系统错误记录，排除潜在隐患。</w:t>
      </w:r>
      <w:r/>
    </w:p>
    <w:p>
      <w:pPr>
        <w:pStyle w:val="738"/>
        <w:rPr>
          <w:i/>
          <w:iCs/>
          <w:color w:val="auto"/>
          <w:highlight w:val="none"/>
          <w:u w:val="single"/>
          <w:lang w:val="zh-TW"/>
        </w:rPr>
      </w:pPr>
      <w:r>
        <w:rPr>
          <w:rFonts w:hint="eastAsia"/>
          <w:i/>
          <w:iCs/>
          <w:color w:val="auto"/>
          <w:highlight w:val="none"/>
          <w:u w:val="single"/>
        </w:rPr>
        <w:t xml:space="preserve">3.7</w:t>
      </w:r>
      <w:r>
        <w:rPr>
          <w:rFonts w:hint="eastAsia"/>
          <w:i/>
          <w:iCs/>
          <w:color w:val="auto"/>
          <w:highlight w:val="none"/>
          <w:u w:val="single"/>
          <w:lang w:val="zh-TW"/>
        </w:rPr>
        <w:t xml:space="preserve">服务团队主要要求</w:t>
      </w:r>
      <w:r/>
    </w:p>
    <w:p>
      <w:pPr>
        <w:pStyle w:val="738"/>
        <w:rPr>
          <w:i/>
          <w:iCs/>
          <w:color w:val="auto"/>
          <w:highlight w:val="none"/>
          <w:u w:val="single"/>
          <w:lang w:val="zh-TW"/>
        </w:rPr>
      </w:pPr>
      <w:r>
        <w:rPr>
          <w:rFonts w:hint="eastAsia"/>
          <w:i/>
          <w:iCs/>
          <w:color w:val="auto"/>
          <w:highlight w:val="none"/>
          <w:u w:val="single"/>
        </w:rPr>
        <w:t xml:space="preserve">1）</w:t>
      </w:r>
      <w:r>
        <w:rPr>
          <w:rFonts w:hint="eastAsia"/>
          <w:i/>
          <w:iCs/>
          <w:color w:val="auto"/>
          <w:highlight w:val="none"/>
          <w:u w:val="single"/>
          <w:lang w:val="zh-TW"/>
        </w:rPr>
        <w:t xml:space="preserve">本项目中标商应针对整个项目建设成立总服务项目组，配置项目经理一人，项目组成员不少于5人。</w:t>
      </w:r>
      <w:r/>
    </w:p>
    <w:p>
      <w:pPr>
        <w:pStyle w:val="738"/>
        <w:rPr>
          <w:i/>
          <w:iCs/>
          <w:color w:val="auto"/>
          <w:highlight w:val="none"/>
          <w:u w:val="single"/>
        </w:rPr>
      </w:pPr>
      <w:r>
        <w:rPr>
          <w:rFonts w:hint="eastAsia"/>
          <w:i/>
          <w:iCs/>
          <w:color w:val="auto"/>
          <w:highlight w:val="none"/>
          <w:u w:val="single"/>
        </w:rPr>
        <w:t xml:space="preserve">2）</w:t>
      </w:r>
      <w:r>
        <w:rPr>
          <w:rFonts w:hint="eastAsia"/>
          <w:i/>
          <w:iCs/>
          <w:color w:val="auto"/>
          <w:highlight w:val="none"/>
          <w:u w:val="single"/>
          <w:lang w:val="zh-TW"/>
        </w:rPr>
        <w:t xml:space="preserve">项目组成员应包含系统、网络、安全认证工程师。</w:t>
      </w:r>
      <w:r/>
    </w:p>
    <w:p>
      <w:pPr>
        <w:pStyle w:val="738"/>
        <w:rPr>
          <w:i/>
          <w:iCs/>
          <w:color w:val="auto"/>
          <w:highlight w:val="none"/>
          <w:u w:val="single"/>
          <w:lang w:val="zh-TW"/>
        </w:rPr>
      </w:pPr>
      <w:r>
        <w:rPr>
          <w:rFonts w:hint="eastAsia"/>
          <w:i/>
          <w:iCs/>
          <w:color w:val="auto"/>
          <w:highlight w:val="none"/>
          <w:u w:val="single"/>
        </w:rPr>
        <w:t xml:space="preserve">3）</w:t>
      </w:r>
      <w:r>
        <w:rPr>
          <w:rFonts w:hint="eastAsia"/>
          <w:i/>
          <w:iCs/>
          <w:color w:val="auto"/>
          <w:highlight w:val="none"/>
          <w:u w:val="single"/>
          <w:lang w:val="zh-TW"/>
        </w:rPr>
        <w:t xml:space="preserve">中标商应根据采购人要求，对重要时间点（如项目实施期间、系统升级、应用上线等）提供必要的驻场服务，提供7*24小时技术支持服务。</w:t>
      </w:r>
      <w:r/>
    </w:p>
    <w:p>
      <w:pPr>
        <w:pStyle w:val="738"/>
        <w:rPr>
          <w:i/>
          <w:iCs/>
          <w:color w:val="auto"/>
          <w:highlight w:val="none"/>
          <w:u w:val="single"/>
          <w:lang w:val="zh-TW"/>
        </w:rPr>
      </w:pPr>
      <w:r>
        <w:rPr>
          <w:rFonts w:hint="eastAsia"/>
          <w:i/>
          <w:iCs/>
          <w:color w:val="auto"/>
          <w:highlight w:val="none"/>
          <w:u w:val="single"/>
        </w:rPr>
        <w:t xml:space="preserve">3.8</w:t>
      </w:r>
      <w:r>
        <w:rPr>
          <w:rFonts w:hint="eastAsia"/>
          <w:i/>
          <w:iCs/>
          <w:color w:val="auto"/>
          <w:highlight w:val="none"/>
          <w:u w:val="single"/>
          <w:lang w:val="zh-TW"/>
        </w:rPr>
        <w:t xml:space="preserve">培训要求</w:t>
      </w:r>
      <w:r/>
    </w:p>
    <w:p>
      <w:pPr>
        <w:pStyle w:val="738"/>
        <w:rPr>
          <w:i/>
          <w:iCs/>
          <w:color w:val="auto"/>
          <w:highlight w:val="none"/>
          <w:u w:val="single"/>
          <w:lang w:val="zh-TW"/>
        </w:rPr>
      </w:pPr>
      <w:r>
        <w:rPr>
          <w:rFonts w:hint="eastAsia"/>
          <w:i/>
          <w:iCs/>
          <w:color w:val="auto"/>
          <w:highlight w:val="none"/>
          <w:u w:val="single"/>
        </w:rPr>
        <w:t xml:space="preserve">1）</w:t>
      </w:r>
      <w:r>
        <w:rPr>
          <w:rFonts w:hint="eastAsia"/>
          <w:i/>
          <w:iCs/>
          <w:color w:val="auto"/>
          <w:highlight w:val="none"/>
          <w:u w:val="single"/>
          <w:lang w:val="zh-TW"/>
        </w:rPr>
        <w:t xml:space="preserve">投标人应提供相关产品培训。须在响应文件中提出全面、详细的培训课程以及时间表，具体执行时间在合同签定后由采购方指定，培训所发生的所有费用由投标人承担。</w:t>
      </w:r>
      <w:r/>
    </w:p>
    <w:p>
      <w:pPr>
        <w:pStyle w:val="738"/>
        <w:rPr>
          <w:i/>
          <w:iCs/>
          <w:color w:val="auto"/>
          <w:highlight w:val="none"/>
          <w:u w:val="single"/>
          <w:lang w:val="zh-TW"/>
        </w:rPr>
      </w:pPr>
      <w:r>
        <w:rPr>
          <w:rFonts w:hint="eastAsia"/>
          <w:i/>
          <w:iCs/>
          <w:color w:val="auto"/>
          <w:highlight w:val="none"/>
          <w:u w:val="single"/>
        </w:rPr>
        <w:t xml:space="preserve">3.9</w:t>
      </w:r>
      <w:r>
        <w:rPr>
          <w:rFonts w:hint="eastAsia"/>
          <w:i/>
          <w:iCs/>
          <w:color w:val="auto"/>
          <w:highlight w:val="none"/>
          <w:u w:val="single"/>
          <w:lang w:val="zh-TW"/>
        </w:rPr>
        <w:t xml:space="preserve">供货及售后服务要求</w:t>
      </w:r>
      <w:r/>
    </w:p>
    <w:p>
      <w:pPr>
        <w:pStyle w:val="738"/>
        <w:rPr>
          <w:i/>
          <w:iCs/>
          <w:color w:val="auto"/>
          <w:highlight w:val="none"/>
          <w:u w:val="single"/>
        </w:rPr>
      </w:pPr>
      <w:r>
        <w:rPr>
          <w:rFonts w:hint="eastAsia"/>
          <w:i/>
          <w:iCs/>
          <w:color w:val="auto"/>
          <w:highlight w:val="none"/>
          <w:u w:val="single"/>
        </w:rPr>
        <w:t xml:space="preserve">1）质保期三年，自竣工验收后开始计算3年免费原厂服务。中标后的七个工作日内须提供设备制造商出具的3年质保函原件。</w:t>
      </w:r>
      <w:r/>
    </w:p>
    <w:p>
      <w:pPr>
        <w:pStyle w:val="738"/>
        <w:rPr>
          <w:i/>
          <w:iCs/>
          <w:color w:val="auto"/>
          <w:highlight w:val="none"/>
          <w:u w:val="single"/>
        </w:rPr>
      </w:pPr>
      <w:r>
        <w:rPr>
          <w:rFonts w:hint="eastAsia"/>
          <w:i/>
          <w:iCs/>
          <w:color w:val="auto"/>
          <w:highlight w:val="none"/>
          <w:u w:val="single"/>
        </w:rPr>
        <w:t xml:space="preserve">2）中标人在免费质保期内应提供7×24小时运维服务，遇重大任务事故期间，根据用户方要求，中标人须派相关人员提供全天24小时驻场技术服务。</w:t>
      </w:r>
      <w:r/>
    </w:p>
    <w:p>
      <w:pPr>
        <w:pStyle w:val="738"/>
        <w:rPr>
          <w:i/>
          <w:iCs/>
          <w:color w:val="auto"/>
          <w:highlight w:val="none"/>
          <w:u w:val="single"/>
        </w:rPr>
      </w:pPr>
      <w:r>
        <w:rPr>
          <w:rFonts w:hint="eastAsia"/>
          <w:i/>
          <w:iCs/>
          <w:color w:val="auto"/>
          <w:highlight w:val="none"/>
          <w:u w:val="single"/>
        </w:rPr>
        <w:t xml:space="preserve">3）在免费质保期内，中标人须对本项目中所提供的软件免费升级，免费保修，中标人必须负责对提供的设备进行现场维修和更换故障配件，并不收取任何额外费用。</w:t>
      </w:r>
      <w:r/>
    </w:p>
    <w:p>
      <w:pPr>
        <w:pStyle w:val="738"/>
        <w:rPr>
          <w:i/>
          <w:iCs/>
          <w:color w:val="auto"/>
          <w:highlight w:val="none"/>
          <w:u w:val="single"/>
        </w:rPr>
      </w:pPr>
      <w:r>
        <w:rPr>
          <w:rFonts w:hint="eastAsia"/>
          <w:i/>
          <w:iCs/>
          <w:color w:val="auto"/>
          <w:highlight w:val="none"/>
          <w:u w:val="single"/>
        </w:rPr>
        <w:t xml:space="preserve">4）在质保期内，由中标人每月提供一次本项目各系统的例行巡检及升级规则库，并出具巡检报告。</w:t>
      </w:r>
      <w:r/>
    </w:p>
    <w:p>
      <w:pPr>
        <w:pStyle w:val="738"/>
        <w:rPr>
          <w:i/>
          <w:iCs/>
          <w:color w:val="auto"/>
          <w:highlight w:val="none"/>
          <w:u w:val="single"/>
        </w:rPr>
      </w:pPr>
      <w:r>
        <w:rPr>
          <w:rFonts w:hint="eastAsia"/>
          <w:i/>
          <w:iCs/>
          <w:color w:val="auto"/>
          <w:highlight w:val="none"/>
          <w:u w:val="single"/>
        </w:rPr>
        <w:t xml:space="preserve">5）中标人应采取必要的技术和管理手段保障系统的安全性，并保证信息的保密，中标人必须根据国家相关要求与采购人签订保密协议。</w:t>
      </w:r>
      <w:r/>
    </w:p>
    <w:p>
      <w:pPr>
        <w:pStyle w:val="738"/>
        <w:rPr>
          <w:i/>
          <w:iCs/>
          <w:color w:val="auto"/>
          <w:highlight w:val="none"/>
          <w:u w:val="single"/>
        </w:rPr>
      </w:pPr>
      <w:r>
        <w:rPr>
          <w:rFonts w:hint="eastAsia"/>
          <w:i/>
          <w:iCs/>
          <w:color w:val="auto"/>
          <w:highlight w:val="none"/>
          <w:u w:val="single"/>
        </w:rPr>
        <w:t xml:space="preserve">6）响应时间要求</w:t>
      </w:r>
      <w:r/>
    </w:p>
    <w:p>
      <w:pPr>
        <w:pStyle w:val="738"/>
        <w:rPr>
          <w:i/>
          <w:iCs/>
          <w:color w:val="auto"/>
          <w:highlight w:val="none"/>
          <w:u w:val="single"/>
        </w:rPr>
      </w:pPr>
      <w:r>
        <w:rPr>
          <w:rFonts w:hint="eastAsia"/>
          <w:i/>
          <w:iCs/>
          <w:color w:val="auto"/>
          <w:highlight w:val="none"/>
          <w:u w:val="single"/>
        </w:rPr>
        <w:t xml:space="preserve">服务响应时间≤15分钟，业务系统恢复时间≤30分钟。</w:t>
      </w:r>
      <w:r/>
    </w:p>
    <w:p>
      <w:pPr>
        <w:pStyle w:val="738"/>
        <w:rPr>
          <w:i/>
          <w:iCs/>
          <w:color w:val="auto"/>
          <w:highlight w:val="none"/>
          <w:u w:val="single"/>
        </w:rPr>
      </w:pPr>
      <w:r>
        <w:rPr>
          <w:rFonts w:hint="eastAsia"/>
          <w:i/>
          <w:iCs/>
          <w:color w:val="auto"/>
          <w:highlight w:val="none"/>
          <w:u w:val="single"/>
        </w:rPr>
        <w:t xml:space="preserve">3.10项目其他要求</w:t>
      </w:r>
      <w:r/>
    </w:p>
    <w:p>
      <w:pPr>
        <w:pStyle w:val="738"/>
        <w:rPr>
          <w:i/>
          <w:iCs/>
          <w:color w:val="auto"/>
          <w:highlight w:val="none"/>
          <w:u w:val="single"/>
        </w:rPr>
      </w:pPr>
      <w:r>
        <w:rPr>
          <w:rFonts w:hint="eastAsia"/>
          <w:i/>
          <w:iCs/>
          <w:color w:val="auto"/>
          <w:highlight w:val="none"/>
          <w:u w:val="single"/>
        </w:rPr>
        <w:t xml:space="preserve">1）本项目为交钥匙项目，投标报价应含所有采购供货及需要安装调试的各分项建设内容所需的费用，投标人应充分考虑到完成项目所需要的人力资源，辅材及投入及各项措施所产生的费用，并包含在投标总价中。采购人将不予额外支出完成项目所需的其它费用，包括人工、运输、安装、辅材及其它一切与本项目相关的衍生费用。</w:t>
      </w:r>
      <w:r/>
    </w:p>
    <w:p>
      <w:pPr>
        <w:pStyle w:val="738"/>
        <w:rPr>
          <w:i/>
          <w:iCs/>
          <w:color w:val="auto"/>
          <w:highlight w:val="none"/>
          <w:u w:val="single"/>
        </w:rPr>
      </w:pPr>
      <w:r>
        <w:rPr>
          <w:rFonts w:hint="eastAsia"/>
          <w:i/>
          <w:iCs/>
          <w:color w:val="auto"/>
          <w:highlight w:val="none"/>
          <w:u w:val="single"/>
        </w:rPr>
        <w:t xml:space="preserve">2）所有硬件必须提供全新、原装、原厂出品，出厂时间为2026年1月1日以后，且最终用户为：宝应县人民医院。签订合同前最终用户如有需要，可以要求企业提供与投标时提供产品同配置的设备搭建测试环境进行实际测试。如在测试中发现产品的实际性能指标与投标文件不符或存在较大负偏离，或后续交付产品中发现产品参数不满足投标文件要求的，则视为虚假响应，将按照无效处理。</w:t>
      </w:r>
      <w:r/>
    </w:p>
    <w:p>
      <w:pPr>
        <w:pStyle w:val="738"/>
        <w:rPr>
          <w:i/>
          <w:iCs/>
          <w:color w:val="auto"/>
          <w:highlight w:val="none"/>
          <w:u w:val="single"/>
        </w:rPr>
      </w:pPr>
      <w:r>
        <w:rPr>
          <w:rFonts w:hint="eastAsia"/>
          <w:i/>
          <w:iCs/>
          <w:color w:val="auto"/>
          <w:highlight w:val="none"/>
          <w:u w:val="single"/>
        </w:rPr>
        <w:t xml:space="preserve">3）投标人应保证所投产品配置、功能及数量的完整性，完全满足系统运行和安全要求，满足方舱院区业务需求，满足项目的整体集成实施要求。硬件设备中应包含本项目设备集成所需的所有配品、配件和板卡（含线缆等），若在具体实施时，所需配品配件及连接板卡（线缆）缺损或型号不匹配，或功能无法实现时，由中标人负责自行解决，且不得因此而增加采购方费用。</w:t>
      </w:r>
      <w:r/>
    </w:p>
    <w:p>
      <w:pPr>
        <w:pStyle w:val="738"/>
        <w:rPr>
          <w:i/>
          <w:iCs/>
          <w:color w:val="auto"/>
          <w:highlight w:val="none"/>
          <w:u w:val="single"/>
        </w:rPr>
      </w:pPr>
      <w:r>
        <w:rPr>
          <w:rFonts w:hint="eastAsia"/>
          <w:i/>
          <w:iCs/>
          <w:color w:val="auto"/>
          <w:highlight w:val="none"/>
          <w:u w:val="single"/>
        </w:rPr>
        <w:t xml:space="preserve">4）中标人在履行合同过程中，一切事故的责任由成交单位自行承担。</w:t>
      </w:r>
      <w:r/>
    </w:p>
    <w:p>
      <w:pPr>
        <w:spacing w:line="360" w:lineRule="auto"/>
        <w:tabs>
          <w:tab w:val="left" w:pos="851" w:leader="none"/>
          <w:tab w:val="left" w:pos="1276" w:leader="none"/>
          <w:tab w:val="left" w:pos="1418" w:leader="none"/>
        </w:tabs>
        <w:rPr>
          <w:rFonts w:hint="eastAsia" w:ascii="宋体" w:hAnsi="宋体" w:cs="宋体"/>
          <w:color w:val="auto"/>
          <w:highlight w:val="none"/>
        </w:rPr>
      </w:pPr>
      <w:r>
        <w:rPr>
          <w:rFonts w:hint="eastAsia" w:ascii="宋体" w:hAnsi="宋体" w:cs="宋体"/>
          <w:color w:val="auto"/>
          <w:highlight w:val="none"/>
        </w:rPr>
      </w:r>
      <w:r/>
    </w:p>
    <w:p>
      <w:pPr>
        <w:keepLines/>
        <w:keepNext/>
        <w:spacing w:before="120" w:after="120"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四、其他说明：</w:t>
      </w:r>
      <w:r/>
    </w:p>
    <w:p>
      <w:pPr>
        <w:spacing w:line="360" w:lineRule="auto"/>
        <w:tabs>
          <w:tab w:val="left" w:pos="851" w:leader="none"/>
          <w:tab w:val="left" w:pos="1276" w:leader="none"/>
          <w:tab w:val="left" w:pos="1418" w:leader="none"/>
        </w:tabs>
        <w:rPr>
          <w:rFonts w:hint="eastAsia" w:ascii="宋体" w:hAnsi="宋体" w:cs="宋体"/>
          <w:color w:val="auto"/>
          <w:sz w:val="24"/>
          <w:highlight w:val="none"/>
        </w:rPr>
      </w:pPr>
      <w:r>
        <w:rPr>
          <w:rFonts w:hint="eastAsia" w:ascii="宋体" w:hAnsi="宋体" w:cs="宋体"/>
          <w:color w:val="auto"/>
          <w:sz w:val="24"/>
          <w:highlight w:val="none"/>
        </w:rPr>
        <w:t xml:space="preserve">4.1上述加注“★”符号的关键条款指标，不允许负偏离，否则投标无效；加注“▲”符号的重要条款指标；其他为一般条款指标。</w:t>
      </w:r>
      <w:r/>
    </w:p>
    <w:p>
      <w:pPr>
        <w:spacing w:line="360" w:lineRule="auto"/>
        <w:tabs>
          <w:tab w:val="left" w:pos="851" w:leader="none"/>
          <w:tab w:val="left" w:pos="1276" w:leader="none"/>
          <w:tab w:val="left" w:pos="1418" w:leader="none"/>
        </w:tabs>
        <w:rPr>
          <w:rFonts w:hint="eastAsia"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s="宋体"/>
          <w:bCs/>
          <w:i/>
          <w:color w:val="auto"/>
          <w:sz w:val="24"/>
          <w:highlight w:val="none"/>
          <w:u w:val="single"/>
        </w:rPr>
        <w:t xml:space="preserve">本招标文件中斜体且有下划线部分为实质性要求和条件，</w:t>
      </w:r>
      <w:r>
        <w:rPr>
          <w:rFonts w:hint="eastAsia" w:ascii="宋体" w:hAnsi="宋体" w:cs="宋体"/>
          <w:color w:val="auto"/>
          <w:sz w:val="24"/>
          <w:highlight w:val="none"/>
        </w:rPr>
        <w:t xml:space="preserve">不允许负偏离，否则投标无效。</w:t>
      </w:r>
      <w:r/>
    </w:p>
    <w:p>
      <w:pPr>
        <w:spacing w:line="360" w:lineRule="auto"/>
        <w:tabs>
          <w:tab w:val="left" w:pos="851" w:leader="none"/>
          <w:tab w:val="left" w:pos="1276" w:leader="none"/>
          <w:tab w:val="left" w:pos="1418"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3</w:t>
      </w:r>
      <w:r>
        <w:rPr>
          <w:rFonts w:hint="eastAsia" w:ascii="宋体" w:hAnsi="宋体" w:cs="宋体"/>
          <w:color w:val="auto"/>
          <w:sz w:val="24"/>
          <w:highlight w:val="none"/>
        </w:rPr>
        <w:t xml:space="preserve">关键技术指标及重要技术指标均需提供佐证材料。</w:t>
      </w:r>
      <w:r/>
    </w:p>
    <w:p>
      <w:pPr>
        <w:pStyle w:val="740"/>
        <w:rPr>
          <w:rFonts w:ascii="黑体" w:eastAsia="黑体"/>
          <w:bCs/>
          <w:color w:val="auto"/>
          <w:sz w:val="52"/>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bookmarkStart w:id="183" w:name="_Toc120614281"/>
      <w:r/>
      <w:r/>
    </w:p>
    <w:p>
      <w:pPr>
        <w:pStyle w:val="740"/>
        <w:rPr>
          <w:rFonts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 xml:space="preserve">评标方法与评标标准</w:t>
      </w:r>
      <w:r/>
    </w:p>
    <w:p>
      <w:pPr>
        <w:rPr>
          <w:color w:val="auto"/>
          <w:sz w:val="24"/>
          <w:szCs w:val="24"/>
          <w:highlight w:val="none"/>
        </w:rPr>
      </w:pPr>
      <w:r>
        <w:rPr>
          <w:color w:val="auto"/>
          <w:sz w:val="24"/>
          <w:szCs w:val="24"/>
          <w:highlight w:val="none"/>
        </w:rPr>
      </w:r>
      <w:r/>
    </w:p>
    <w:p>
      <w:pPr>
        <w:ind w:firstLine="439"/>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评标委员会按照得分由高到低的顺序推荐3名中标候选人</w:t>
      </w:r>
      <w:r>
        <w:rPr>
          <w:rFonts w:hint="eastAsia" w:ascii="Arial" w:hAnsi="Arial" w:cs="Arial"/>
          <w:color w:val="auto"/>
          <w:sz w:val="24"/>
          <w:szCs w:val="24"/>
          <w:highlight w:val="none"/>
        </w:rPr>
        <w:t xml:space="preserve">。</w:t>
      </w:r>
      <w:r/>
    </w:p>
    <w:p>
      <w:pPr>
        <w:pStyle w:val="1001"/>
        <w:rPr>
          <w:rFonts w:hint="eastAsia" w:ascii="宋体" w:hAnsi="宋体"/>
          <w:b/>
          <w:color w:val="auto"/>
          <w:highlight w:val="none"/>
        </w:rPr>
      </w:pPr>
      <w:r>
        <w:rPr>
          <w:rFonts w:hint="eastAsia" w:ascii="宋体" w:hAnsi="宋体"/>
          <w:b/>
          <w:color w:val="auto"/>
          <w:highlight w:val="none"/>
        </w:rPr>
        <w:t xml:space="preserve">政府采购政策功能落实</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1、小微型企业价格扣除</w:t>
      </w:r>
      <w:r/>
    </w:p>
    <w:p>
      <w:pPr>
        <w:pStyle w:val="1001"/>
        <w:ind w:firstLine="360"/>
        <w:spacing w:line="0" w:lineRule="atLeast"/>
        <w:rPr>
          <w:rFonts w:hint="eastAsia" w:ascii="宋体" w:hAnsi="宋体"/>
          <w:color w:val="auto"/>
          <w:highlight w:val="none"/>
        </w:rPr>
      </w:pPr>
      <w:r>
        <w:rPr>
          <w:rFonts w:hint="eastAsia" w:ascii="宋体" w:hAnsi="宋体"/>
          <w:color w:val="auto"/>
          <w:highlight w:val="none"/>
        </w:rPr>
        <w:t xml:space="preserve">（1）对小型和微型企业提供的服务给予</w:t>
      </w:r>
      <w:r>
        <w:rPr>
          <w:rFonts w:hint="eastAsia" w:ascii="宋体" w:hAnsi="宋体"/>
          <w:color w:val="auto"/>
          <w:highlight w:val="none"/>
          <w:u w:val="single"/>
        </w:rPr>
        <w:t xml:space="preserve">20%</w:t>
      </w:r>
      <w:r>
        <w:rPr>
          <w:rFonts w:hint="eastAsia" w:ascii="宋体" w:hAnsi="宋体"/>
          <w:color w:val="auto"/>
          <w:highlight w:val="none"/>
        </w:rPr>
        <w:t xml:space="preserve">的扣除价格，用扣除后的价格参与评审。</w:t>
      </w:r>
      <w:r/>
    </w:p>
    <w:p>
      <w:pPr>
        <w:pStyle w:val="1001"/>
        <w:ind w:firstLine="360"/>
        <w:spacing w:line="0" w:lineRule="atLeast"/>
        <w:rPr>
          <w:rFonts w:hint="eastAsia" w:ascii="宋体" w:hAnsi="宋体"/>
          <w:color w:val="auto"/>
          <w:highlight w:val="none"/>
        </w:rPr>
      </w:pPr>
      <w:r>
        <w:rPr>
          <w:rFonts w:hint="eastAsia" w:ascii="宋体" w:hAnsi="宋体"/>
          <w:color w:val="auto"/>
          <w:highlight w:val="none"/>
        </w:rPr>
        <w:t xml:space="preserve">（2）供应商需按照采购文件的要求提供相应的《小微企业声明函》。</w:t>
      </w:r>
      <w:r/>
    </w:p>
    <w:p>
      <w:pPr>
        <w:pStyle w:val="1001"/>
        <w:ind w:firstLine="360"/>
        <w:spacing w:line="0" w:lineRule="atLeast"/>
        <w:rPr>
          <w:rFonts w:hint="eastAsia" w:ascii="宋体" w:hAnsi="宋体"/>
          <w:color w:val="auto"/>
          <w:highlight w:val="none"/>
        </w:rPr>
      </w:pPr>
      <w:r>
        <w:rPr>
          <w:rFonts w:hint="eastAsia" w:ascii="宋体" w:hAnsi="宋体"/>
          <w:color w:val="auto"/>
          <w:highlight w:val="none"/>
        </w:rPr>
        <w:t xml:space="preserve">（3）企业标准请参照《关于印发中小企业划型标准规定的通知》（工信部联企业[2011]300号）文件规定自行填写。</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2、残疾人福利单位价格扣除</w:t>
      </w:r>
      <w:r/>
    </w:p>
    <w:p>
      <w:pPr>
        <w:pStyle w:val="1001"/>
        <w:ind w:left="120" w:firstLine="360"/>
        <w:spacing w:line="0" w:lineRule="atLeast"/>
        <w:rPr>
          <w:rFonts w:hint="eastAsia" w:ascii="宋体" w:hAnsi="宋体"/>
          <w:color w:val="auto"/>
          <w:highlight w:val="none"/>
        </w:rPr>
      </w:pPr>
      <w:r>
        <w:rPr>
          <w:rFonts w:hint="eastAsia" w:ascii="宋体" w:hAnsi="宋体"/>
          <w:color w:val="auto"/>
          <w:highlight w:val="none"/>
        </w:rPr>
        <w:t xml:space="preserve">（1）对残疾人福利性单位视同小型、微型企业，给予</w:t>
      </w:r>
      <w:r>
        <w:rPr>
          <w:rFonts w:hint="eastAsia" w:ascii="宋体" w:hAnsi="宋体"/>
          <w:color w:val="auto"/>
          <w:highlight w:val="none"/>
          <w:u w:val="single"/>
        </w:rPr>
        <w:t xml:space="preserve">20%</w:t>
      </w:r>
      <w:r>
        <w:rPr>
          <w:rFonts w:hint="eastAsia" w:ascii="宋体" w:hAnsi="宋体"/>
          <w:color w:val="auto"/>
          <w:highlight w:val="none"/>
        </w:rPr>
        <w:t xml:space="preserve">的价格扣除，用扣除后的价格参与评审。</w:t>
      </w:r>
      <w:r/>
    </w:p>
    <w:p>
      <w:pPr>
        <w:pStyle w:val="1001"/>
        <w:ind w:left="120" w:firstLine="360"/>
        <w:spacing w:line="0" w:lineRule="atLeast"/>
        <w:rPr>
          <w:rFonts w:hint="eastAsia" w:ascii="宋体" w:hAnsi="宋体"/>
          <w:color w:val="auto"/>
          <w:highlight w:val="none"/>
        </w:rPr>
      </w:pPr>
      <w:r>
        <w:rPr>
          <w:rFonts w:hint="eastAsia" w:ascii="宋体" w:hAnsi="宋体"/>
          <w:color w:val="auto"/>
          <w:highlight w:val="none"/>
        </w:rPr>
        <w:t xml:space="preserve">（2）残疾人福利单位需按照采购文件的要求提供《残疾人福利性单位声明函》。</w:t>
      </w:r>
      <w:r/>
    </w:p>
    <w:p>
      <w:pPr>
        <w:pStyle w:val="1001"/>
        <w:ind w:left="120" w:firstLine="360"/>
        <w:spacing w:line="0" w:lineRule="atLeast"/>
        <w:rPr>
          <w:rFonts w:hint="eastAsia" w:ascii="宋体" w:hAnsi="宋体"/>
          <w:color w:val="auto"/>
          <w:highlight w:val="none"/>
        </w:rPr>
      </w:pPr>
      <w:r>
        <w:rPr>
          <w:rFonts w:hint="eastAsia" w:ascii="宋体" w:hAnsi="宋体"/>
          <w:color w:val="auto"/>
          <w:highlight w:val="none"/>
        </w:rPr>
        <w:t xml:space="preserve">（3）残疾人福利单位标准请参照《关于促进残疾人就业政府采购政策的通知》（财库〔2017〕141号）。</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3、监狱和戒毒企业价格扣除</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（1）对监狱和戒毒企业（简称监狱企业）视同小型、微型企业，给予</w:t>
      </w:r>
      <w:r>
        <w:rPr>
          <w:rFonts w:hint="eastAsia" w:ascii="宋体" w:hAnsi="宋体"/>
          <w:color w:val="auto"/>
          <w:highlight w:val="none"/>
          <w:u w:val="single"/>
        </w:rPr>
        <w:t xml:space="preserve">20%</w:t>
      </w:r>
      <w:r>
        <w:rPr>
          <w:rFonts w:hint="eastAsia" w:ascii="宋体" w:hAnsi="宋体"/>
          <w:color w:val="auto"/>
          <w:highlight w:val="none"/>
        </w:rPr>
        <w:t xml:space="preserve">的价格扣除，用扣除后的价格参与评审。</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1"/>
        <w:spacing w:line="0" w:lineRule="atLeast"/>
        <w:rPr>
          <w:rFonts w:hint="eastAsia" w:ascii="宋体" w:hAnsi="宋体"/>
          <w:color w:val="auto"/>
          <w:highlight w:val="none"/>
        </w:rPr>
      </w:pPr>
      <w:r>
        <w:rPr>
          <w:rFonts w:hint="eastAsia" w:ascii="宋体" w:hAnsi="宋体"/>
          <w:color w:val="auto"/>
          <w:highlight w:val="none"/>
        </w:rPr>
        <w:t xml:space="preserve">（3）监狱企业标准请参照《关于政府采购支持监狱企业发展有关问题的通知》（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4、残疾人福利单位、监狱企业属于小型、微型企业的，不重复享受政策。</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highlight w:val="none"/>
          <w:u w:val="single"/>
        </w:rPr>
        <w:t xml:space="preserve">6%</w:t>
      </w:r>
      <w:r>
        <w:rPr>
          <w:rFonts w:hint="eastAsia" w:ascii="宋体" w:hAnsi="宋体"/>
          <w:color w:val="auto"/>
          <w:highlight w:val="none"/>
        </w:rPr>
        <w:t xml:space="preserve">的价格扣除，用扣除后的价格参与评审。</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6、联合体各方均为小型、微型企业（残疾人福利单位、监狱企业）的，联合体享受</w:t>
      </w:r>
      <w:r>
        <w:rPr>
          <w:rFonts w:hint="eastAsia" w:ascii="宋体" w:hAnsi="宋体"/>
          <w:color w:val="auto"/>
          <w:highlight w:val="none"/>
          <w:u w:val="single"/>
        </w:rPr>
        <w:t xml:space="preserve">20%</w:t>
      </w:r>
      <w:r>
        <w:rPr>
          <w:rFonts w:hint="eastAsia" w:ascii="宋体" w:hAnsi="宋体"/>
          <w:color w:val="auto"/>
          <w:highlight w:val="none"/>
        </w:rPr>
        <w:t xml:space="preserve">价格扣除，用扣除后的价格参与评审。</w:t>
      </w:r>
      <w:r/>
    </w:p>
    <w:p>
      <w:pPr>
        <w:pStyle w:val="1001"/>
        <w:spacing w:line="240" w:lineRule="auto"/>
        <w:rPr>
          <w:rFonts w:hint="eastAsia" w:ascii="宋体" w:hAnsi="宋体"/>
          <w:b/>
          <w:color w:val="auto"/>
          <w:highlight w:val="none"/>
        </w:rPr>
      </w:pPr>
      <w:r>
        <w:rPr>
          <w:rFonts w:hint="eastAsia" w:ascii="宋体" w:hAnsi="宋体"/>
          <w:b/>
          <w:color w:val="auto"/>
          <w:highlight w:val="none"/>
        </w:rPr>
        <w:t xml:space="preserve">采购本国产品的支持政策</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3 供应商需按照招标文件的要求提供《关于符合本国产品标准的声明函》（以下简称《声明函》），如不提供将不享受本国产品价格评审优惠。</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spacing w:line="400" w:lineRule="exact"/>
        <w:rPr>
          <w:rFonts w:hint="eastAsia" w:ascii="宋体" w:hAnsi="宋体"/>
          <w:color w:val="auto"/>
          <w:highlight w:val="none"/>
        </w:rPr>
      </w:pPr>
      <w:r>
        <w:rPr>
          <w:rFonts w:hint="eastAsia" w:ascii="宋体" w:hAnsi="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spacing w:line="400" w:lineRule="exact"/>
        <w:rPr>
          <w:rFonts w:hint="eastAsia" w:ascii="宋体" w:hAnsi="宋体"/>
          <w:color w:val="auto"/>
          <w:highlight w:val="none"/>
        </w:rPr>
      </w:pPr>
      <w:r>
        <w:rPr>
          <w:rFonts w:hint="eastAsia" w:ascii="宋体" w:hAnsi="宋体"/>
          <w:color w:val="auto"/>
          <w:highlight w:val="none"/>
        </w:rPr>
      </w:r>
      <w:r/>
    </w:p>
    <w:p>
      <w:pPr>
        <w:jc w:val="center"/>
        <w:keepLines/>
        <w:keepNext/>
        <w:spacing w:before="260" w:after="260" w:line="360" w:lineRule="auto"/>
        <w:rPr>
          <w:rFonts w:hint="eastAsia" w:ascii="宋体" w:hAnsi="宋体" w:cs="宋体"/>
          <w:bCs/>
          <w:color w:val="auto"/>
          <w:sz w:val="32"/>
          <w:szCs w:val="32"/>
          <w:highlight w:val="none"/>
        </w:rPr>
        <w:outlineLvl w:val="1"/>
      </w:pPr>
      <w:r>
        <w:rPr>
          <w:rFonts w:hint="eastAsia" w:ascii="宋体" w:hAnsi="宋体" w:cs="宋体"/>
          <w:b/>
          <w:bCs/>
          <w:color w:val="auto"/>
          <w:sz w:val="32"/>
          <w:szCs w:val="44"/>
          <w:highlight w:val="none"/>
        </w:rPr>
        <w:t xml:space="preserve"> （一）资格审查要求</w:t>
      </w:r>
      <w:r/>
    </w:p>
    <w:p>
      <w:pPr>
        <w:rPr>
          <w:rFonts w:hint="eastAsia" w:ascii="宋体" w:hAnsi="宋体" w:cs="宋体"/>
          <w:color w:val="auto"/>
          <w:szCs w:val="22"/>
          <w:highlight w:val="none"/>
        </w:rPr>
      </w:pPr>
      <w:r>
        <w:rPr>
          <w:rFonts w:hint="eastAsia" w:ascii="宋体" w:hAnsi="宋体" w:cs="宋体"/>
          <w:color w:val="auto"/>
          <w:szCs w:val="22"/>
          <w:highlight w:val="none"/>
        </w:rPr>
        <w:t xml:space="preserve">按照招标文件《第一章 磋商邀请》申请人的资格要求进行资格审查。</w:t>
      </w:r>
      <w:r/>
    </w:p>
    <w:p>
      <w:pPr>
        <w:jc w:val="center"/>
        <w:keepLines/>
        <w:keepNext/>
        <w:spacing w:before="260" w:after="260" w:line="360" w:lineRule="auto"/>
        <w:rPr>
          <w:rFonts w:hint="eastAsia" w:ascii="宋体" w:hAnsi="宋体" w:cs="宋体"/>
          <w:b/>
          <w:bCs/>
          <w:color w:val="auto"/>
          <w:sz w:val="32"/>
          <w:szCs w:val="44"/>
          <w:highlight w:val="none"/>
        </w:rPr>
        <w:outlineLvl w:val="1"/>
      </w:pPr>
      <w:r>
        <w:rPr>
          <w:rFonts w:hint="eastAsia" w:ascii="宋体" w:hAnsi="宋体" w:cs="宋体"/>
          <w:b/>
          <w:bCs/>
          <w:color w:val="auto"/>
          <w:sz w:val="32"/>
          <w:szCs w:val="44"/>
          <w:highlight w:val="none"/>
        </w:rPr>
        <w:t xml:space="preserve">（二）符合性审查要求</w:t>
      </w:r>
      <w:r/>
    </w:p>
    <w:p>
      <w:pPr>
        <w:ind w:firstLine="480"/>
        <w:jc w:val="left"/>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磋商小组首先按照下列指标对各供应商进行初步评审，未通过评审的为无效标，不再参与评审。</w:t>
      </w:r>
      <w:r/>
    </w:p>
    <w:tbl>
      <w:tblPr>
        <w:tblStyle w:val="705"/>
        <w:tblW w:w="497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647"/>
        <w:gridCol w:w="2230"/>
      </w:tblGrid>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center"/>
              <w:rPr>
                <w:color w:val="auto"/>
                <w:sz w:val="24"/>
                <w:szCs w:val="24"/>
                <w:highlight w:val="none"/>
              </w:rPr>
            </w:pPr>
            <w:r>
              <w:rPr>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center"/>
              <w:rPr>
                <w:color w:val="auto"/>
                <w:sz w:val="24"/>
                <w:szCs w:val="24"/>
                <w:highlight w:val="none"/>
              </w:rPr>
            </w:pPr>
            <w:r>
              <w:rPr>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《磋商初次报价表》（《</w:t>
            </w:r>
            <w:r>
              <w:rPr>
                <w:i/>
                <w:color w:val="auto"/>
                <w:sz w:val="24"/>
                <w:szCs w:val="24"/>
                <w:highlight w:val="none"/>
                <w:u w:val="single"/>
              </w:rPr>
              <w:t xml:space="preserve">开标一览表</w:t>
            </w:r>
            <w:r>
              <w:rPr>
                <w:rFonts w:hint="eastAsia"/>
                <w:i/>
                <w:color w:val="auto"/>
                <w:sz w:val="24"/>
                <w:szCs w:val="24"/>
                <w:highlight w:val="none"/>
                <w:u w:val="single"/>
              </w:rPr>
              <w:t xml:space="preserve">》）的投标总报价没有超过最高限价的</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rFonts w:hint="eastAsia"/>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《投标分项报价表》按照格式要求填写的</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rFonts w:hint="eastAsia"/>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《技术响应及偏离表》按照招标文件要求填写的，没有缺漏的</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《商务合同响应及偏离表》没有任何负偏离的</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《第六章  投标文件格式》没有实质性缺漏的（加斜体下划线内容或打“★”内容为实质性要求和条件）。</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ascii="宋体" w:hAnsi="宋体" w:cs="宋体"/>
                <w:i/>
                <w:color w:val="auto"/>
                <w:sz w:val="24"/>
                <w:szCs w:val="24"/>
                <w:highlight w:val="none"/>
                <w:u w:val="single"/>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743" w:type="pct"/>
            <w:vAlign w:val="center"/>
            <w:textDirection w:val="lrTb"/>
            <w:noWrap w:val="false"/>
          </w:tcPr>
          <w:p>
            <w:pPr>
              <w:jc w:val="left"/>
              <w:rPr>
                <w:i/>
                <w:color w:val="auto"/>
                <w:sz w:val="24"/>
                <w:szCs w:val="24"/>
                <w:highlight w:val="none"/>
                <w:u w:val="single"/>
              </w:rPr>
            </w:pPr>
            <w:r>
              <w:rPr>
                <w:rFonts w:hint="eastAsia"/>
                <w:i/>
                <w:color w:val="auto"/>
                <w:sz w:val="24"/>
                <w:szCs w:val="24"/>
                <w:highlight w:val="none"/>
                <w:u w:val="single"/>
              </w:rPr>
              <w:t xml:space="preserve">没有法律法规或者招标文件中涉及的无效投标条款</w:t>
            </w:r>
            <w:r/>
          </w:p>
        </w:tc>
        <w:tc>
          <w:tcPr>
            <w:tcBorders>
              <w:top w:val="single" w:color="auto" w:sz="6" w:space="0"/>
              <w:left w:val="single" w:color="auto" w:sz="6" w:space="0"/>
              <w:bottom w:val="single" w:color="auto" w:sz="6" w:space="0"/>
              <w:right w:val="single" w:color="auto" w:sz="6" w:space="0"/>
            </w:tcBorders>
            <w:tcW w:w="1256" w:type="pct"/>
            <w:vAlign w:val="center"/>
            <w:textDirection w:val="lrTb"/>
            <w:noWrap w:val="false"/>
          </w:tcPr>
          <w:p>
            <w:pPr>
              <w:jc w:val="left"/>
              <w:rPr>
                <w:color w:val="auto"/>
                <w:sz w:val="24"/>
                <w:szCs w:val="24"/>
                <w:highlight w:val="none"/>
              </w:rPr>
            </w:pPr>
            <w:r>
              <w:rPr>
                <w:color w:val="auto"/>
                <w:sz w:val="24"/>
                <w:szCs w:val="24"/>
                <w:highlight w:val="none"/>
              </w:rPr>
              <w:t xml:space="preserve">符合招标文件要求</w:t>
            </w:r>
            <w:r/>
          </w:p>
        </w:tc>
      </w:tr>
    </w:tbl>
    <w:p>
      <w:pPr>
        <w:jc w:val="center"/>
        <w:keepLines/>
        <w:keepNext/>
        <w:spacing w:before="260" w:after="260" w:line="360" w:lineRule="auto"/>
        <w:rPr>
          <w:rFonts w:hint="eastAsia" w:ascii="宋体" w:hAnsi="宋体" w:cs="宋体"/>
          <w:b/>
          <w:bCs/>
          <w:color w:val="auto"/>
          <w:sz w:val="32"/>
          <w:szCs w:val="44"/>
          <w:highlight w:val="none"/>
        </w:rPr>
        <w:outlineLvl w:val="1"/>
      </w:pPr>
      <w:r>
        <w:rPr>
          <w:rFonts w:hint="eastAsia" w:ascii="宋体" w:hAnsi="宋体" w:cs="宋体"/>
          <w:b/>
          <w:bCs/>
          <w:color w:val="auto"/>
          <w:sz w:val="32"/>
          <w:szCs w:val="44"/>
          <w:highlight w:val="none"/>
        </w:rPr>
        <w:t xml:space="preserve">（</w:t>
      </w:r>
      <w:r>
        <w:rPr>
          <w:rFonts w:hint="eastAsia" w:ascii="宋体" w:hAnsi="宋体" w:cs="宋体"/>
          <w:b/>
          <w:bCs/>
          <w:color w:val="auto"/>
          <w:sz w:val="32"/>
          <w:szCs w:val="44"/>
          <w:highlight w:val="none"/>
          <w:lang w:val="en-US" w:eastAsia="zh-CN"/>
        </w:rPr>
        <w:t xml:space="preserve">四</w:t>
      </w:r>
      <w:r>
        <w:rPr>
          <w:rFonts w:hint="eastAsia" w:ascii="宋体" w:hAnsi="宋体" w:cs="宋体"/>
          <w:b/>
          <w:bCs/>
          <w:color w:val="auto"/>
          <w:sz w:val="32"/>
          <w:szCs w:val="44"/>
          <w:highlight w:val="none"/>
        </w:rPr>
        <w:t xml:space="preserve">）评标方法与评标标准</w:t>
      </w:r>
      <w:r/>
    </w:p>
    <w:tbl>
      <w:tblPr>
        <w:tblStyle w:val="705"/>
        <w:tblW w:w="52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6"/>
        <w:gridCol w:w="7871"/>
      </w:tblGrid>
      <w:tr>
        <w:trPr>
          <w:jc w:val="center"/>
          <w:trHeight w:val="508"/>
        </w:trPr>
        <w:tc>
          <w:tcPr>
            <w:tcW w:w="776" w:type="pct"/>
            <w:vAlign w:val="center"/>
            <w:textDirection w:val="lrTb"/>
            <w:noWrap w:val="false"/>
          </w:tcPr>
          <w:p>
            <w:pPr>
              <w:jc w:val="center"/>
              <w:rPr>
                <w:b/>
                <w:bCs/>
                <w:color w:val="auto"/>
                <w:highlight w:val="none"/>
              </w:rPr>
            </w:pPr>
            <w:r>
              <w:rPr>
                <w:b/>
                <w:bCs/>
                <w:color w:val="auto"/>
                <w:highlight w:val="none"/>
              </w:rPr>
              <w:t xml:space="preserve">评审因素</w:t>
            </w:r>
            <w:r/>
          </w:p>
        </w:tc>
        <w:tc>
          <w:tcPr>
            <w:tcW w:w="4224" w:type="pct"/>
            <w:vAlign w:val="center"/>
            <w:textDirection w:val="lrTb"/>
            <w:noWrap w:val="false"/>
          </w:tcPr>
          <w:p>
            <w:pPr>
              <w:jc w:val="center"/>
              <w:rPr>
                <w:b/>
                <w:bCs/>
                <w:color w:val="auto"/>
                <w:highlight w:val="none"/>
              </w:rPr>
            </w:pPr>
            <w:r>
              <w:rPr>
                <w:b/>
                <w:bCs/>
                <w:color w:val="auto"/>
                <w:highlight w:val="none"/>
              </w:rPr>
              <w:t xml:space="preserve">评审标准</w:t>
            </w:r>
            <w:r/>
          </w:p>
        </w:tc>
      </w:tr>
      <w:tr>
        <w:trPr>
          <w:jc w:val="center"/>
          <w:trHeight w:val="508"/>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bookmarkStart w:id="184" w:name="_Hlk237639698"/>
            <w:r>
              <w:rPr>
                <w:rFonts w:hint="eastAsia" w:ascii="宋体" w:hAnsi="宋体" w:cs="宋体"/>
                <w:color w:val="auto"/>
                <w:highlight w:val="none"/>
                <w:lang w:bidi="ar"/>
              </w:rPr>
              <w:t xml:space="preserve">报价</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（30分）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采用低价优先法计算，即满足招标文件要求且投标价格最低的投标报价为评标基准价，其价格分为满分30分。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其他供应商的价格分统一按照下列公式计算：</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投标报价得分=(评标基准价/投标报价)×30（小数点保留两位）</w:t>
            </w:r>
            <w:bookmarkEnd w:id="184"/>
            <w:r/>
          </w:p>
        </w:tc>
      </w:tr>
      <w:tr>
        <w:trPr>
          <w:jc w:val="center"/>
          <w:trHeight w:val="90"/>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技术响应</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（2</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技术参数评审基准分2</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分，标▲部分为重要技术参数，要求提供证明材料的投标文件中每缺少一项证明材料或每有一项负偏离扣1分；其它未标▲部分技术参数，每有一项负偏离扣0.</w:t>
            </w:r>
            <w:r>
              <w:rPr>
                <w:rFonts w:hint="eastAsia" w:ascii="宋体" w:hAnsi="宋体" w:cs="宋体"/>
                <w:color w:val="auto"/>
                <w:highlight w:val="none"/>
                <w:lang w:val="en-US" w:eastAsia="zh-CN" w:bidi="ar"/>
              </w:rPr>
              <w:t xml:space="preserve">05</w:t>
            </w:r>
            <w:r>
              <w:rPr>
                <w:rFonts w:hint="eastAsia" w:ascii="宋体" w:hAnsi="宋体" w:cs="宋体"/>
                <w:color w:val="auto"/>
                <w:highlight w:val="none"/>
                <w:lang w:bidi="ar"/>
              </w:rPr>
              <w:t xml:space="preserve">分，本项扣完为止。投标人必须提供技术偏离表，不提供本项不得分。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（投标文件中详细填写技术要求响应及偏离表，逐条响应。要求提供证明材料的未提供证明材料或提供的证明材料与要求不符合的，视为负偏离。投标人应在文件中做明显标识，便于评审。）</w:t>
            </w:r>
            <w:r/>
          </w:p>
        </w:tc>
      </w:tr>
      <w:tr>
        <w:trPr>
          <w:jc w:val="center"/>
          <w:trHeight w:val="983"/>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履约能力</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供应商具有信息技术服务运行维护标准（ITSS）证书、CCRC安全运维管理体系认证证书、</w:t>
            </w:r>
            <w:r>
              <w:rPr>
                <w:rFonts w:hint="eastAsia" w:ascii="宋体" w:hAnsi="宋体"/>
                <w:color w:val="auto"/>
                <w:highlight w:val="none"/>
              </w:rPr>
              <w:t xml:space="preserve">信息安全管理体系认证证书(ISO27001)、数据存储安全管理体系认证证书(ISO27040)，</w:t>
            </w:r>
            <w:r>
              <w:rPr>
                <w:rFonts w:hint="eastAsia" w:ascii="宋体" w:hAnsi="宋体" w:cs="宋体"/>
                <w:color w:val="auto"/>
                <w:highlight w:val="none"/>
                <w:lang w:bidi="ar"/>
              </w:rPr>
              <w:t xml:space="preserve">CCIA信息系统业务安全服务资质</w:t>
            </w:r>
            <w:r>
              <w:rPr>
                <w:rFonts w:hint="eastAsia" w:ascii="宋体" w:hAnsi="宋体" w:cs="宋体"/>
                <w:color w:val="auto"/>
                <w:highlight w:val="none"/>
                <w:lang w:val="en-US" w:eastAsia="zh-CN" w:bidi="ar"/>
              </w:rPr>
              <w:t xml:space="preserve">二级、三</w:t>
            </w:r>
            <w:r>
              <w:rPr>
                <w:rFonts w:hint="eastAsia" w:ascii="宋体" w:hAnsi="宋体" w:cs="宋体"/>
                <w:color w:val="auto"/>
                <w:highlight w:val="none"/>
                <w:lang w:bidi="ar"/>
              </w:rPr>
              <w:t xml:space="preserve">级或</w:t>
            </w:r>
            <w:r>
              <w:rPr>
                <w:rFonts w:hint="eastAsia" w:ascii="宋体" w:hAnsi="宋体" w:cs="宋体"/>
                <w:color w:val="auto"/>
                <w:highlight w:val="none"/>
                <w:lang w:val="en-US" w:eastAsia="zh-CN" w:bidi="ar"/>
              </w:rPr>
              <w:t xml:space="preserve">四</w:t>
            </w:r>
            <w:r>
              <w:rPr>
                <w:rFonts w:hint="eastAsia" w:ascii="宋体" w:hAnsi="宋体" w:cs="宋体"/>
                <w:color w:val="auto"/>
                <w:highlight w:val="none"/>
                <w:lang w:bidi="ar"/>
              </w:rPr>
              <w:t xml:space="preserve">级证书</w:t>
            </w:r>
            <w:r>
              <w:rPr>
                <w:rFonts w:hint="eastAsia" w:ascii="宋体" w:hAnsi="宋体" w:cs="宋体"/>
                <w:color w:val="auto"/>
                <w:highlight w:val="none"/>
                <w:lang w:bidi="ar"/>
              </w:rPr>
              <w:t xml:space="preserve">。每提供1个证书复印件得1分，总分5分，不提供不得分。</w:t>
            </w:r>
            <w:r/>
          </w:p>
        </w:tc>
      </w:tr>
      <w:tr>
        <w:trPr>
          <w:jc w:val="center"/>
          <w:trHeight w:val="90"/>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项目经理</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分）</w:t>
            </w:r>
            <w:r/>
          </w:p>
        </w:tc>
        <w:tc>
          <w:tcPr>
            <w:tcW w:w="4224" w:type="pct"/>
            <w:vAlign w:val="center"/>
            <w:textDirection w:val="lrTb"/>
            <w:noWrap w:val="false"/>
          </w:tcPr>
          <w:p>
            <w:pPr>
              <w:spacing w:line="332" w:lineRule="auto"/>
              <w:rPr>
                <w:rFonts w:hint="eastAsia" w:ascii="宋体" w:hAnsi="宋体" w:cs="宋体"/>
                <w:color w:val="auto"/>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bidi="ar"/>
              </w:rPr>
              <w:t xml:space="preserve">投标人拟派项目经理具有软件设计师、信息系统项目管理师、信息安全保障人员认证（CISAW）、ITSS服务工程师的，有一个得1分，最高得</w:t>
            </w: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分。</w:t>
            </w:r>
            <w:r/>
          </w:p>
          <w:p>
            <w:pPr>
              <w:jc w:val="left"/>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注：提供人员证书原件扫描件及投标人为项目经理缴纳的近六个月内任意一个月的社保证明加盖投标人公章。项目经理不得作为“团队组成员”评分项中人员得分。</w:t>
            </w:r>
            <w:r/>
          </w:p>
        </w:tc>
      </w:tr>
      <w:tr>
        <w:trPr>
          <w:jc w:val="center"/>
          <w:trHeight w:val="90"/>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团队组成员</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（6分）</w:t>
            </w:r>
            <w:r/>
          </w:p>
        </w:tc>
        <w:tc>
          <w:tcPr>
            <w:tcW w:w="4224" w:type="pct"/>
            <w:vAlign w:val="center"/>
            <w:textDirection w:val="lrTb"/>
            <w:noWrap w:val="false"/>
          </w:tcPr>
          <w:p>
            <w:pPr>
              <w:spacing w:line="332" w:lineRule="auto"/>
              <w:rPr>
                <w:rFonts w:hint="eastAsia" w:ascii="宋体" w:hAnsi="宋体" w:cs="宋体"/>
                <w:color w:val="auto"/>
                <w:highlight w:val="none"/>
                <w:lang w:bidi="ar"/>
              </w:rPr>
              <w:pBdr>
                <w:top w:val="none" w:color="000000" w:sz="0" w:space="0"/>
                <w:left w:val="none" w:color="000000" w:sz="0" w:space="0"/>
                <w:bottom w:val="none" w:color="000000" w:sz="0" w:space="0"/>
                <w:right w:val="none" w:color="000000" w:sz="0" w:space="0"/>
              </w:pBdr>
            </w:pPr>
            <w:r>
              <w:rPr>
                <w:rFonts w:ascii="宋体" w:hAnsi="宋体" w:cs="宋体"/>
                <w:color w:val="auto"/>
                <w:highlight w:val="none"/>
                <w:lang w:bidi="ar"/>
              </w:rPr>
              <w:t xml:space="preserve">投标人拟投入本项目的技术负责人具有注册信息安全专业人员（CISP）证书、高级系统规划与管理师证书、高级系统架构设计师证书</w:t>
            </w:r>
            <w:r>
              <w:rPr>
                <w:rFonts w:hint="eastAsia" w:ascii="宋体" w:hAnsi="宋体" w:cs="宋体"/>
                <w:color w:val="auto"/>
                <w:highlight w:val="none"/>
                <w:lang w:bidi="ar"/>
              </w:rPr>
              <w:t xml:space="preserve">的</w:t>
            </w:r>
            <w:r>
              <w:rPr>
                <w:rFonts w:ascii="宋体" w:hAnsi="宋体" w:cs="宋体"/>
                <w:color w:val="auto"/>
                <w:highlight w:val="none"/>
                <w:lang w:bidi="ar"/>
              </w:rPr>
              <w:t xml:space="preserve">，每提供以上1类证书得</w:t>
            </w:r>
            <w:r>
              <w:rPr>
                <w:rFonts w:hint="eastAsia" w:ascii="宋体" w:hAnsi="宋体" w:cs="宋体"/>
                <w:color w:val="auto"/>
                <w:highlight w:val="none"/>
                <w:lang w:bidi="ar"/>
              </w:rPr>
              <w:t xml:space="preserve">1</w:t>
            </w:r>
            <w:r>
              <w:rPr>
                <w:rFonts w:ascii="宋体" w:hAnsi="宋体" w:cs="宋体"/>
                <w:color w:val="auto"/>
                <w:highlight w:val="none"/>
                <w:lang w:bidi="ar"/>
              </w:rPr>
              <w:t xml:space="preserve">分，最多得</w:t>
            </w:r>
            <w:r>
              <w:rPr>
                <w:rFonts w:hint="eastAsia" w:ascii="宋体" w:hAnsi="宋体" w:cs="宋体"/>
                <w:color w:val="auto"/>
                <w:highlight w:val="none"/>
                <w:lang w:bidi="ar"/>
              </w:rPr>
              <w:t xml:space="preserve">3</w:t>
            </w:r>
            <w:r>
              <w:rPr>
                <w:rFonts w:ascii="宋体" w:hAnsi="宋体" w:cs="宋体"/>
                <w:color w:val="auto"/>
                <w:highlight w:val="none"/>
                <w:lang w:bidi="ar"/>
              </w:rPr>
              <w:t xml:space="preserve">分</w:t>
            </w:r>
            <w:r>
              <w:rPr>
                <w:rFonts w:hint="eastAsia" w:ascii="宋体" w:hAnsi="宋体" w:cs="宋体"/>
                <w:color w:val="auto"/>
                <w:highlight w:val="none"/>
                <w:lang w:bidi="ar"/>
              </w:rPr>
              <w:t xml:space="preserve">。</w:t>
            </w:r>
            <w:r/>
          </w:p>
          <w:p>
            <w:pPr>
              <w:spacing w:line="332" w:lineRule="auto"/>
              <w:rPr>
                <w:rFonts w:hint="eastAsia" w:ascii="宋体" w:hAnsi="宋体" w:cs="宋体"/>
                <w:color w:val="auto"/>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bidi="ar"/>
              </w:rPr>
              <w:t xml:space="preserve">投标人拟派项目组成员具有注册信息安全专业人员（CISP）、信息安全保障人员认证（CISAW）、系统集成项目管理工程师证书的，每提供以上1类证书得1分，最多得3分。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注：提供人员证书原件扫描件及投标人为项目组成员缴纳的近六个月内任意一个月的社保证明加盖投标人公章，一人多证不得分。</w:t>
            </w:r>
            <w:r/>
          </w:p>
        </w:tc>
      </w:tr>
      <w:tr>
        <w:trPr>
          <w:jc w:val="center"/>
          <w:trHeight w:val="416"/>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系统集成方案</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w:t>
            </w:r>
            <w:r>
              <w:rPr>
                <w:rFonts w:hint="eastAsia" w:ascii="宋体" w:hAnsi="宋体" w:cs="宋体"/>
                <w:color w:val="auto"/>
                <w:highlight w:val="none"/>
                <w:lang w:val="en-US" w:eastAsia="zh-CN" w:bidi="ar"/>
              </w:rPr>
              <w:t xml:space="preserve">6</w:t>
            </w:r>
            <w:r>
              <w:rPr>
                <w:rFonts w:hint="eastAsia" w:ascii="宋体" w:hAnsi="宋体" w:cs="宋体"/>
                <w:color w:val="auto"/>
                <w:highlight w:val="none"/>
                <w:lang w:bidi="ar"/>
              </w:rPr>
              <w:t xml:space="preserve">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根据投标人提供的技术设计方案，从总体设计、建设方案、详细阐述系统的体系架构、功能模块、实现思路和关键技术，以及对功能设计的建议，</w:t>
            </w:r>
            <w:r>
              <w:rPr>
                <w:rFonts w:hint="eastAsia" w:ascii="宋体" w:hAnsi="宋体" w:cs="宋体"/>
                <w:color w:val="auto"/>
                <w:highlight w:val="none"/>
                <w:lang w:val="en-US" w:eastAsia="zh-CN" w:bidi="ar"/>
              </w:rPr>
              <w:t xml:space="preserve">进行</w:t>
            </w:r>
            <w:r>
              <w:rPr>
                <w:rFonts w:hint="eastAsia" w:ascii="宋体" w:hAnsi="宋体" w:cs="宋体"/>
                <w:color w:val="auto"/>
                <w:highlight w:val="none"/>
                <w:lang w:bidi="ar"/>
              </w:rPr>
              <w:t xml:space="preserve">综合打分：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以上相关内容每有一项内容完整详细，条理清晰且符合采购实际需求的得1分，满分</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rPr>
              <w:t xml:space="preserve">每一项内容出现一处存在缺陷的扣0.5分，缺项不得分。</w:t>
            </w:r>
            <w:r/>
          </w:p>
        </w:tc>
      </w:tr>
      <w:tr>
        <w:trPr>
          <w:jc w:val="center"/>
          <w:trHeight w:val="261"/>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应急方案</w:t>
            </w:r>
            <w:r/>
          </w:p>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（5分）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投标文件提供应急方案，包含但不限于应急响应保障措施、应急响应流程及应急处理预案、应急响应时间承诺、应急备件储备等内容。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以上相关内容每有一项内容完整详细，条理清晰且符合采购实际需求的得1分，满分5分。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rPr>
              <w:t xml:space="preserve">每一项内容出现一处存在缺陷的扣0.5分，缺项不得分。</w:t>
            </w:r>
            <w:r/>
          </w:p>
        </w:tc>
      </w:tr>
      <w:tr>
        <w:trPr>
          <w:jc w:val="center"/>
          <w:trHeight w:val="2274"/>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售后服务方案（5分）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投标文件提供售后服务方案，方案包含但不限于服务流程机制、服务内容、售后人员安排、备件库设置、本地化售后服务方案等内容：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以上相关内容每有一项内容完整详细，条理清晰且符合采购实际需求的得1分，满分5分。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rPr>
              <w:t xml:space="preserve">每一项内容出现一处存在缺陷的扣0.5分，缺项不得分。</w:t>
            </w:r>
            <w:r/>
          </w:p>
        </w:tc>
      </w:tr>
      <w:tr>
        <w:trPr>
          <w:jc w:val="center"/>
          <w:trHeight w:val="2274"/>
        </w:trPr>
        <w:tc>
          <w:tcPr>
            <w:tcW w:w="776" w:type="pct"/>
            <w:vAlign w:val="center"/>
            <w:textDirection w:val="lrTb"/>
            <w:noWrap w:val="false"/>
          </w:tcPr>
          <w:p>
            <w:pPr>
              <w:jc w:val="cente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视频演示（15分）</w:t>
            </w:r>
            <w:r/>
          </w:p>
        </w:tc>
        <w:tc>
          <w:tcPr>
            <w:tcW w:w="4224" w:type="pct"/>
            <w:vAlign w:val="center"/>
            <w:textDirection w:val="lrTb"/>
            <w:noWrap w:val="false"/>
          </w:tcPr>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为确保产品成熟度和架构先进性，要求对以下产品的重要功能进行演示，需按照规定的演示内容制作演示视频文件，视频文件的格式为*.mp4或*.avi，投标人须将视频文件分段压缩为*.zip文件上传（单个文件不得大于50M，所有文件总共不得大于300M）。视频时长总计不超过5分钟。</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1、安全运营服务平台具备总览、安全风险、资产管理、服务管理、配置管理等5个页面（本项满分5分）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1）同时包含以上5个页面得2分，包含4个得1分，低于4个不得分；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2）其中安全风险页面支持事件&amp;威胁管理功能和脆弱性管理功能得1分；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3）事件&amp;威胁管理包含数据统计、处置状态分布、等级分布、类型分布TOP5以上4项得2分，包含3项得1分，低于3项不得分。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2、安全运营服务平台具备风险总览页面，能够提供事件&amp;威胁情况、勒索风险概况、季度服务承诺标准SLA、设备安全策略检查、行业情报等模块。（本项满分5分）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1）在同一个页面包含以上5个部分得3分，包含4个得2分，包含3个得1分，其余不得分；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2）该页面具备专属客户经理和专属安全专家团队，并且能够对业务资产进行安全评分，满足得1分；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3）勒索风险概况包含了勒索风险总数、漏洞、弱密码、风险端口和影响资产TOP3等,全部满足得1分。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3、安全运营服务平台具备服务管理页面，可在该页面对交付物进行管理。管理范围涵盖启动阶段、运营准备阶段、持续运营阶段和结项阶段。（本项满分5分）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1）同时在页面上具备以上4个阶段得3分，具备其中3个阶段得2分，其余不得分。</w:t>
            </w:r>
            <w:r/>
          </w:p>
          <w:p>
            <w:pPr>
              <w:spacing w:line="332" w:lineRule="auto"/>
              <w:rPr>
                <w:rFonts w:hint="eastAsia" w:ascii="宋体" w:hAnsi="宋体" w:cs="宋体"/>
                <w:color w:val="auto"/>
                <w:highlight w:val="none"/>
                <w:lang w:bidi="ar"/>
              </w:rPr>
            </w:pPr>
            <w:r>
              <w:rPr>
                <w:rFonts w:hint="eastAsia" w:ascii="宋体" w:hAnsi="宋体" w:cs="宋体"/>
                <w:color w:val="auto"/>
                <w:highlight w:val="none"/>
                <w:lang w:bidi="ar"/>
              </w:rPr>
              <w:t xml:space="preserve">2）可选择对交付物进行一键打包备份，备份范围可在以上4个阶段中进行自行选择，满足该功能得2分。</w:t>
            </w:r>
            <w:r/>
          </w:p>
        </w:tc>
      </w:tr>
    </w:tbl>
    <w:p>
      <w:pPr>
        <w:pStyle w:val="707"/>
        <w:rPr>
          <w:color w:val="auto"/>
          <w:highlight w:val="none"/>
        </w:rPr>
      </w:pPr>
      <w:r>
        <w:rPr>
          <w:color w:val="auto"/>
          <w:highlight w:val="none"/>
        </w:rPr>
      </w:r>
      <w:r/>
    </w:p>
    <w:p>
      <w:pPr>
        <w:pStyle w:val="1001"/>
        <w:spacing w:before="240" w:after="0"/>
        <w:rPr>
          <w:rFonts w:hint="eastAsia" w:ascii="宋体" w:hAnsi="宋体" w:cs="宋体"/>
          <w:b/>
          <w:color w:val="auto"/>
          <w:highlight w:val="none"/>
        </w:rPr>
        <w:outlineLvl w:val="3"/>
      </w:pPr>
      <w:r>
        <w:rPr>
          <w:rFonts w:hint="eastAsia"/>
          <w:color w:val="auto"/>
          <w:highlight w:val="none"/>
        </w:rPr>
        <w:t xml:space="preserve">注：</w:t>
      </w:r>
      <w:r>
        <w:rPr>
          <w:rFonts w:hint="eastAsia" w:ascii="宋体" w:hAnsi="宋体" w:cs="宋体"/>
          <w:b/>
          <w:color w:val="auto"/>
          <w:highlight w:val="none"/>
        </w:rPr>
        <w:t xml:space="preserve">强化政府采购异常低价审查</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（一）评审过程中出现下列情形之一的，评审委员会应当启动异常低价投标（响应）审查程序：</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2.投标（响应）报价低于通过符合性审查的次低报价供应商投标（响应）报价50%的，即投标（响应）报价&lt;通过符合性审查的次低报价供应商投标（响应）报价×50%；</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3.投标（响应）报价低于采购项目最高限价45%的，即投标（响应）报价&lt;采购项目最高限价×45%；</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1"/>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7"/>
        <w:rPr>
          <w:color w:val="auto"/>
          <w:highlight w:val="none"/>
        </w:rPr>
      </w:pPr>
      <w:r>
        <w:rPr>
          <w:color w:val="auto"/>
          <w:highlight w:val="none"/>
        </w:rPr>
      </w:r>
      <w:r/>
    </w:p>
    <w:p>
      <w:pPr>
        <w:pStyle w:val="707"/>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001"/>
        <w:spacing w:line="400" w:lineRule="exact"/>
        <w:rPr>
          <w:rFonts w:hint="eastAsia" w:ascii="宋体" w:hAnsi="宋体"/>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highlight w:val="none"/>
        </w:rPr>
      </w:r>
      <w:r/>
    </w:p>
    <w:p>
      <w:pPr>
        <w:rPr>
          <w:color w:val="auto"/>
          <w:highlight w:val="none"/>
        </w:rPr>
      </w:pPr>
      <w:r>
        <w:rPr>
          <w:color w:val="auto"/>
          <w:highlight w:val="none"/>
        </w:rPr>
      </w:r>
      <w:r/>
    </w:p>
    <w:p>
      <w:pPr>
        <w:pStyle w:val="740"/>
        <w:rPr>
          <w:rFonts w:ascii="黑体" w:eastAsia="黑体"/>
          <w:bCs/>
          <w:color w:val="auto"/>
          <w:sz w:val="44"/>
          <w:highlight w:val="none"/>
        </w:rPr>
      </w:pPr>
      <w:r>
        <w:rPr>
          <w:rFonts w:hint="eastAsia" w:ascii="黑体" w:eastAsia="黑体"/>
          <w:bCs/>
          <w:color w:val="auto"/>
          <w:sz w:val="44"/>
          <w:highlight w:val="none"/>
        </w:rPr>
        <w:t xml:space="preserve">第六章  </w:t>
      </w:r>
      <w:bookmarkEnd w:id="176"/>
      <w:r/>
      <w:bookmarkEnd w:id="177"/>
      <w:r/>
      <w:bookmarkEnd w:id="183"/>
      <w:r>
        <w:rPr>
          <w:rFonts w:hint="eastAsia" w:ascii="黑体" w:eastAsia="黑体"/>
          <w:bCs/>
          <w:color w:val="auto"/>
          <w:sz w:val="44"/>
          <w:highlight w:val="none"/>
        </w:rPr>
        <w:t xml:space="preserve">响应文件格式 </w:t>
      </w:r>
      <w:r/>
    </w:p>
    <w:p>
      <w:pPr>
        <w:jc w:val="center"/>
        <w:rPr>
          <w:rFonts w:hint="eastAsia" w:ascii="宋体" w:hAnsi="宋体"/>
          <w:b/>
          <w:color w:val="auto"/>
          <w:sz w:val="72"/>
          <w:highlight w:val="none"/>
        </w:rPr>
      </w:pPr>
      <w:r/>
      <w:bookmarkStart w:id="185" w:name="_Hlt26671244"/>
      <w:r/>
      <w:bookmarkEnd w:id="185"/>
      <w:r/>
      <w:bookmarkStart w:id="186" w:name="_Hlt26955039"/>
      <w:r/>
      <w:bookmarkEnd w:id="186"/>
      <w:r/>
      <w:bookmarkStart w:id="187" w:name="_Toc49090576"/>
      <w:r/>
      <w:bookmarkStart w:id="188" w:name="_Toc120614282"/>
      <w:r/>
      <w:bookmarkStart w:id="189" w:name="_Toc26554094"/>
      <w:r/>
      <w:r/>
    </w:p>
    <w:p>
      <w:pPr>
        <w:jc w:val="center"/>
        <w:rPr>
          <w:rFonts w:hint="eastAsia" w:ascii="宋体" w:hAnsi="宋体"/>
          <w:b/>
          <w:color w:val="auto"/>
          <w:sz w:val="72"/>
          <w:highlight w:val="none"/>
        </w:rPr>
      </w:pPr>
      <w:r>
        <w:rPr>
          <w:rFonts w:hint="eastAsia" w:ascii="宋体" w:hAnsi="宋体"/>
          <w:b/>
          <w:color w:val="auto"/>
          <w:sz w:val="72"/>
          <w:highlight w:val="none"/>
        </w:rPr>
        <w:t xml:space="preserve">响  应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（加盖CA电子公章）</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pStyle w:val="738"/>
        <w:rPr>
          <w:color w:val="auto"/>
          <w:highlight w:val="none"/>
        </w:rPr>
      </w:pPr>
      <w:r>
        <w:rPr>
          <w:color w:val="auto"/>
          <w:highlight w:val="none"/>
        </w:rPr>
      </w:r>
      <w:r/>
    </w:p>
    <w:p>
      <w:pPr>
        <w:rPr>
          <w:color w:val="auto"/>
          <w:highlight w:val="none"/>
        </w:rPr>
      </w:pPr>
      <w:r>
        <w:rPr>
          <w:color w:val="auto"/>
          <w:highlight w:val="none"/>
        </w:rPr>
        <w:br w:type="page" w:clear="all"/>
      </w:r>
      <w:bookmarkEnd w:id="174"/>
      <w:bookmarkEnd w:id="175"/>
      <w:bookmarkEnd w:id="187"/>
      <w:bookmarkEnd w:id="188"/>
      <w:bookmarkEnd w:id="189"/>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响应文件目录</w:t>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响应声明及承诺函</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磋商初次报价表</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供应商基本情况表</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资格要求的证明文件</w:t>
      </w:r>
      <w:r/>
    </w:p>
    <w:p>
      <w:pPr>
        <w:numPr>
          <w:ilvl w:val="0"/>
          <w:numId w:val="7"/>
        </w:numPr>
        <w:ind w:firstLine="482"/>
        <w:spacing w:line="480" w:lineRule="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中小企业声明函（如适用）</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投标分项报价表</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商务要求响应及偏离表</w:t>
      </w:r>
      <w:r/>
    </w:p>
    <w:p>
      <w:pPr>
        <w:numPr>
          <w:ilvl w:val="0"/>
          <w:numId w:val="7"/>
        </w:numPr>
        <w:ind w:firstLine="482"/>
        <w:spacing w:line="480" w:lineRule="auto"/>
        <w:rPr>
          <w:rFonts w:hint="eastAsia" w:asciiTheme="minorEastAsia" w:hAnsiTheme="minorEastAsia" w:eastAsiaTheme="minorEastAsia"/>
          <w:b/>
          <w:i/>
          <w:color w:val="auto"/>
          <w:sz w:val="28"/>
          <w:szCs w:val="28"/>
          <w:highlight w:val="none"/>
          <w:u w:val="single"/>
        </w:rPr>
      </w:pPr>
      <w:r>
        <w:rPr>
          <w:rFonts w:hint="eastAsia" w:asciiTheme="minorEastAsia" w:hAnsiTheme="minorEastAsia" w:eastAsiaTheme="minorEastAsia"/>
          <w:b/>
          <w:i/>
          <w:color w:val="auto"/>
          <w:sz w:val="28"/>
          <w:szCs w:val="28"/>
          <w:highlight w:val="none"/>
          <w:u w:val="single"/>
        </w:rPr>
        <w:t xml:space="preserve">技术要求响应及偏离表</w:t>
      </w:r>
      <w:r/>
    </w:p>
    <w:p>
      <w:pPr>
        <w:numPr>
          <w:ilvl w:val="0"/>
          <w:numId w:val="7"/>
        </w:numPr>
        <w:ind w:firstLine="482"/>
        <w:spacing w:line="480" w:lineRule="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企业业绩（如有）</w:t>
      </w:r>
      <w:r/>
    </w:p>
    <w:p>
      <w:pPr>
        <w:numPr>
          <w:ilvl w:val="0"/>
          <w:numId w:val="7"/>
        </w:numPr>
        <w:ind w:firstLine="482"/>
        <w:spacing w:line="480" w:lineRule="auto"/>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磋商所需其他材料</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color w:val="auto"/>
          <w:highlight w:val="none"/>
        </w:rPr>
        <w:br w:type="page" w:clear="all"/>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一、响应声明及承诺函</w:t>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响应声明及承诺函</w:t>
      </w:r>
      <w:r/>
    </w:p>
    <w:p>
      <w:pPr>
        <w:jc w:val="left"/>
        <w:spacing w:line="360" w:lineRule="auto"/>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u w:val="single"/>
        </w:rPr>
        <w:t xml:space="preserve">（采购单位名称）：</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根据已收到的项目编号为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项目的竞争性磋商文件，我单位在参加本项目竞争性磋商活动中，特做出如下承诺：</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一、我方</w:t>
      </w:r>
      <w:r>
        <w:rPr>
          <w:rFonts w:asciiTheme="minorEastAsia" w:hAnsiTheme="minorEastAsia" w:eastAsiaTheme="minorEastAsia"/>
          <w:color w:val="auto"/>
          <w:sz w:val="24"/>
          <w:highlight w:val="none"/>
        </w:rPr>
        <w:t xml:space="preserve">具备《中华人民共和国政府采购法》第二十二条第一款规定的6项条件；</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三、我方按磋商文件要求提交响应文件，响应磋商文件规定的响应有效期；</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供应商名称：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（加盖CA电子公章）</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年    月   日</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spacing w:line="360" w:lineRule="auto"/>
        <w:rPr>
          <w:rFonts w:hint="eastAsia" w:asciiTheme="minorEastAsia" w:hAnsiTheme="minorEastAsia" w:eastAsiaTheme="minorEastAsia"/>
          <w:iCs/>
          <w:color w:val="auto"/>
          <w:sz w:val="24"/>
          <w:szCs w:val="24"/>
          <w:highlight w:val="none"/>
        </w:rPr>
      </w:pPr>
      <w:r/>
      <w:bookmarkStart w:id="190" w:name="_Toc27399"/>
      <w:r/>
      <w:bookmarkStart w:id="191" w:name="_Toc120614284"/>
      <w:r/>
      <w:r/>
    </w:p>
    <w:p>
      <w:pPr>
        <w:spacing w:line="360" w:lineRule="auto"/>
        <w:rPr>
          <w:rFonts w:hint="eastAsia" w:asciiTheme="minorEastAsia" w:hAnsiTheme="minorEastAsia" w:eastAsiaTheme="minorEastAsia"/>
          <w:iCs/>
          <w:color w:val="auto"/>
          <w:sz w:val="24"/>
          <w:szCs w:val="24"/>
          <w:highlight w:val="none"/>
        </w:rPr>
      </w:pPr>
      <w:r>
        <w:rPr>
          <w:rFonts w:hint="eastAsia" w:asciiTheme="minorEastAsia" w:hAnsiTheme="minorEastAsia" w:eastAsiaTheme="minorEastAsia"/>
          <w:iCs/>
          <w:color w:val="auto"/>
          <w:sz w:val="24"/>
          <w:szCs w:val="24"/>
          <w:highlight w:val="none"/>
        </w:rPr>
      </w:r>
      <w:r/>
    </w:p>
    <w:p>
      <w:pPr>
        <w:spacing w:line="360" w:lineRule="auto"/>
        <w:rPr>
          <w:rFonts w:hint="eastAsia" w:asciiTheme="minorEastAsia" w:hAnsiTheme="minorEastAsia" w:eastAsiaTheme="minorEastAsia"/>
          <w:iCs/>
          <w:color w:val="auto"/>
          <w:sz w:val="24"/>
          <w:szCs w:val="24"/>
          <w:highlight w:val="none"/>
        </w:rPr>
      </w:pPr>
      <w:r>
        <w:rPr>
          <w:rFonts w:hint="eastAsia" w:asciiTheme="minorEastAsia" w:hAnsiTheme="minorEastAsia" w:eastAsiaTheme="minorEastAsia"/>
          <w:iCs/>
          <w:color w:val="auto"/>
          <w:sz w:val="24"/>
          <w:szCs w:val="24"/>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二、磋商初次报价表</w:t>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磋商初次报价表</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货币单位：人民币元</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项目编号：项目编号  </w:t>
      </w:r>
      <w:r/>
    </w:p>
    <w:tbl>
      <w:tblPr>
        <w:tblStyle w:val="705"/>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77"/>
        <w:gridCol w:w="355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金额大写 </w:t>
            </w:r>
            <w:r/>
          </w:p>
        </w:tc>
      </w:tr>
    </w:tbl>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报价说明：</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2、报价以总价为准，大小写不一致以大写为准；</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3、如最后报价未列明单价，则最后所报各项单价</w:t>
      </w:r>
      <w:r>
        <w:rPr>
          <w:rFonts w:hint="eastAsia"/>
          <w:color w:val="auto"/>
          <w:highlight w:val="none"/>
        </w:rPr>
        <w:t xml:space="preserve">的</w:t>
      </w:r>
      <w:r>
        <w:rPr>
          <w:rFonts w:ascii="宋体" w:hAnsi="宋体" w:cs="宋体"/>
          <w:color w:val="auto"/>
          <w:sz w:val="24"/>
          <w:szCs w:val="24"/>
          <w:highlight w:val="none"/>
        </w:rPr>
        <w:t xml:space="preserve">计算方法为：（最后报价/ 最初报价）* 各项最初报价的单价。</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供应商（电子签章）：</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日期：  年  月   日</w:t>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jc w:val="left"/>
        <w:spacing w:line="360" w:lineRule="auto"/>
        <w:widowControl/>
        <w:rPr>
          <w:rFonts w:hint="eastAsia" w:asciiTheme="minorEastAsia" w:hAnsiTheme="minorEastAsia" w:eastAsiaTheme="minorEastAsia"/>
          <w:b/>
          <w:iCs/>
          <w:color w:val="auto"/>
          <w:sz w:val="32"/>
          <w:szCs w:val="32"/>
          <w:highlight w:val="none"/>
        </w:rPr>
      </w:pPr>
      <w:r>
        <w:rPr>
          <w:rFonts w:hint="eastAsia" w:asciiTheme="minorEastAsia" w:hAnsiTheme="minorEastAsia" w:eastAsiaTheme="minorEastAsia"/>
          <w:b/>
          <w:iCs/>
          <w:color w:val="auto"/>
          <w:sz w:val="32"/>
          <w:szCs w:val="32"/>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三、供应商基本信息</w:t>
      </w:r>
      <w:bookmarkEnd w:id="190"/>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供应商基本情况表</w:t>
      </w:r>
      <w:r/>
    </w:p>
    <w:tbl>
      <w:tblPr>
        <w:tblStyle w:val="705"/>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供应商名称</w:t>
            </w:r>
            <w:r/>
          </w:p>
        </w:tc>
        <w:tc>
          <w:tcPr>
            <w:gridSpan w:val="3"/>
            <w:tcW w:w="699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注册地区</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地址</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邮政编码</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成立时间</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单位性质</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注册号或社会信用代码</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注册资本（万元）</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供应商类别</w:t>
            </w:r>
            <w:r/>
          </w:p>
        </w:tc>
        <w:tc>
          <w:tcPr>
            <w:gridSpan w:val="3"/>
            <w:tcW w:w="699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开户银行</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账号</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联系人</w:t>
            </w:r>
            <w:r/>
          </w:p>
        </w:tc>
        <w:tc>
          <w:tcPr>
            <w:tcW w:w="311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27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联系电话</w:t>
            </w:r>
            <w:r/>
          </w:p>
        </w:tc>
        <w:tc>
          <w:tcPr>
            <w:tcW w:w="2604"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2376"/>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经营范围</w:t>
            </w:r>
            <w:r/>
          </w:p>
        </w:tc>
        <w:tc>
          <w:tcPr>
            <w:gridSpan w:val="3"/>
            <w:tcW w:w="6998" w:type="dxa"/>
            <w:textDirection w:val="lrTb"/>
            <w:noWrap w:val="false"/>
          </w:tcPr>
          <w:p>
            <w:pPr>
              <w:ind w:firstLine="1433"/>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1134"/>
        </w:trPr>
        <w:tc>
          <w:tcPr>
            <w:tcW w:w="1526"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备注</w:t>
            </w:r>
            <w:r/>
          </w:p>
        </w:tc>
        <w:tc>
          <w:tcPr>
            <w:gridSpan w:val="3"/>
            <w:tcW w:w="6998"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bl>
    <w:p>
      <w:pPr>
        <w:spacing w:line="360" w:lineRule="auto"/>
        <w:rPr>
          <w:rFonts w:hint="eastAsia" w:asciiTheme="minorEastAsia" w:hAnsiTheme="minorEastAsia" w:eastAsiaTheme="minorEastAsia"/>
          <w:color w:val="auto"/>
          <w:sz w:val="24"/>
          <w:highlight w:val="none"/>
        </w:rPr>
      </w:pPr>
      <w:r>
        <w:rPr>
          <w:color w:val="auto"/>
          <w:highlight w:val="none"/>
        </w:rPr>
        <w:br w:type="page" w:clear="all"/>
      </w:r>
      <w:r/>
    </w:p>
    <w:p>
      <w:pPr>
        <w:numPr>
          <w:ilvl w:val="0"/>
          <w:numId w:val="8"/>
        </w:num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资格要求的证明文件</w:t>
      </w:r>
      <w:bookmarkEnd w:id="191"/>
      <w:r/>
      <w:r/>
    </w:p>
    <w:p>
      <w:pPr>
        <w:pStyle w:val="697"/>
        <w:rPr>
          <w:rFonts w:hint="eastAsia" w:asciiTheme="minorEastAsia" w:hAnsiTheme="minorEastAsia" w:eastAsiaTheme="minorEastAsia"/>
          <w:color w:val="auto"/>
          <w:szCs w:val="24"/>
          <w:highlight w:val="none"/>
        </w:rPr>
      </w:pPr>
      <w:r>
        <w:rPr>
          <w:rFonts w:hint="eastAsia"/>
          <w:color w:val="auto"/>
          <w:sz w:val="28"/>
          <w:szCs w:val="28"/>
          <w:highlight w:val="none"/>
        </w:rPr>
        <w:t xml:space="preserve">格式一、</w:t>
      </w:r>
      <w:r>
        <w:rPr>
          <w:color w:val="auto"/>
          <w:sz w:val="28"/>
          <w:szCs w:val="28"/>
          <w:highlight w:val="none"/>
        </w:rPr>
        <w:t xml:space="preserve">法人或者其他组织的营业执照等证明文件，自然人的身份证明</w:t>
      </w:r>
      <w:r/>
    </w:p>
    <w:p>
      <w:pPr>
        <w:jc w:val="center"/>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color w:val="auto"/>
          <w:highlight w:val="none"/>
        </w:rPr>
        <w:br w:type="page" w:clear="all"/>
      </w:r>
      <w:r/>
    </w:p>
    <w:p>
      <w:pPr>
        <w:pStyle w:val="697"/>
        <w:rPr>
          <w:color w:val="auto"/>
          <w:sz w:val="28"/>
          <w:szCs w:val="28"/>
          <w:highlight w:val="none"/>
        </w:rPr>
      </w:pPr>
      <w:r>
        <w:rPr>
          <w:rFonts w:hint="eastAsia"/>
          <w:color w:val="auto"/>
          <w:sz w:val="28"/>
          <w:szCs w:val="28"/>
          <w:highlight w:val="none"/>
        </w:rPr>
        <w:t xml:space="preserve">格式二、上一年度的财务状况报告</w:t>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具有良好的商业信誉和健全的财务会计制度（提供上一年度的财务状况报告或提供2025年任意一个年度的会计师事务所出具的审计报告，成立不满一年的需提供银行资信证明）；</w:t>
      </w:r>
      <w:r/>
    </w:p>
    <w:p>
      <w:pPr>
        <w:rPr>
          <w:rFonts w:hint="eastAsia" w:asciiTheme="minorEastAsia" w:hAnsiTheme="minorEastAsia" w:eastAsiaTheme="minorEastAsia"/>
          <w:b/>
          <w:color w:val="auto"/>
          <w:position w:val="-10"/>
          <w:sz w:val="24"/>
          <w:szCs w:val="20"/>
          <w:highlight w:val="none"/>
        </w:rPr>
      </w:pPr>
      <w:r>
        <w:rPr>
          <w:rFonts w:hint="eastAsia" w:asciiTheme="minorEastAsia" w:hAnsiTheme="minorEastAsia" w:eastAsiaTheme="minorEastAsia"/>
          <w:b/>
          <w:color w:val="auto"/>
          <w:position w:val="-10"/>
          <w:sz w:val="24"/>
          <w:szCs w:val="20"/>
          <w:highlight w:val="none"/>
        </w:rPr>
      </w:r>
      <w:r/>
    </w:p>
    <w:p>
      <w:pPr>
        <w:rPr>
          <w:rFonts w:hint="eastAsia" w:asciiTheme="minorEastAsia" w:hAnsiTheme="minorEastAsia" w:eastAsiaTheme="minorEastAsia"/>
          <w:color w:val="auto"/>
          <w:sz w:val="24"/>
          <w:szCs w:val="24"/>
          <w:highlight w:val="none"/>
        </w:rPr>
      </w:pPr>
      <w:r>
        <w:rPr>
          <w:color w:val="auto"/>
          <w:highlight w:val="none"/>
        </w:rPr>
        <w:br w:type="page" w:clear="all"/>
      </w:r>
      <w:r/>
    </w:p>
    <w:p>
      <w:pPr>
        <w:pStyle w:val="697"/>
        <w:rPr>
          <w:color w:val="auto"/>
          <w:sz w:val="28"/>
          <w:szCs w:val="28"/>
          <w:highlight w:val="none"/>
        </w:rPr>
      </w:pPr>
      <w:r>
        <w:rPr>
          <w:rFonts w:hint="eastAsia"/>
          <w:color w:val="auto"/>
          <w:sz w:val="28"/>
          <w:szCs w:val="28"/>
          <w:highlight w:val="none"/>
        </w:rPr>
        <w:t xml:space="preserve">格式三、依法“缴纳税收” 和 “社会保障资金”的相关材料</w:t>
      </w:r>
      <w:r/>
    </w:p>
    <w:p>
      <w:pPr>
        <w:jc w:val="center"/>
        <w:spacing w:line="360" w:lineRule="auto"/>
        <w:rPr>
          <w:rFonts w:hint="eastAsia" w:asciiTheme="minorEastAsia" w:hAnsiTheme="minorEastAsia" w:eastAsiaTheme="minorEastAsia" w:cstheme="minorEastAsia"/>
          <w:b/>
          <w:color w:val="auto"/>
          <w:sz w:val="40"/>
          <w:szCs w:val="32"/>
          <w:highlight w:val="none"/>
        </w:rPr>
      </w:pPr>
      <w:r>
        <w:rPr>
          <w:rFonts w:hint="eastAsia" w:cs="宋体" w:asciiTheme="minorEastAsia" w:hAnsiTheme="minorEastAsia" w:eastAsiaTheme="minorEastAsia"/>
          <w:b/>
          <w:color w:val="auto"/>
          <w:sz w:val="32"/>
          <w:szCs w:val="24"/>
          <w:highlight w:val="none"/>
        </w:rPr>
        <w:t xml:space="preserve">有依法缴纳税收和社会保障资金的良好记录（提供供应商参加本次政府采购活动前</w:t>
      </w:r>
      <w:r>
        <w:rPr>
          <w:rFonts w:hint="eastAsia" w:cs="宋体" w:asciiTheme="minorEastAsia" w:hAnsiTheme="minorEastAsia" w:eastAsiaTheme="minorEastAsia"/>
          <w:b/>
          <w:color w:val="auto"/>
          <w:sz w:val="32"/>
          <w:szCs w:val="24"/>
          <w:highlight w:val="none"/>
          <w:lang w:val="en-US" w:eastAsia="zh-CN"/>
        </w:rPr>
        <w:t xml:space="preserve">一年</w:t>
      </w:r>
      <w:r>
        <w:rPr>
          <w:rFonts w:hint="eastAsia" w:cs="宋体" w:asciiTheme="minorEastAsia" w:hAnsiTheme="minorEastAsia" w:eastAsiaTheme="minorEastAsia"/>
          <w:b/>
          <w:color w:val="auto"/>
          <w:sz w:val="32"/>
          <w:szCs w:val="24"/>
          <w:highlight w:val="none"/>
        </w:rPr>
        <w:t xml:space="preserve">内至少一个月缴纳税收及缴纳社会保障资金的证明材料。供应商依法享受缓缴、免缴税收、社会保障资金的提供证明材料）；</w:t>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pStyle w:val="697"/>
        <w:rPr>
          <w:color w:val="auto"/>
          <w:sz w:val="28"/>
          <w:szCs w:val="28"/>
          <w:highlight w:val="none"/>
        </w:rPr>
      </w:pPr>
      <w:r>
        <w:rPr>
          <w:color w:val="auto"/>
          <w:highlight w:val="none"/>
        </w:rPr>
        <w:br w:type="page" w:clear="all"/>
      </w:r>
      <w:r>
        <w:rPr>
          <w:rFonts w:hint="eastAsia"/>
          <w:color w:val="auto"/>
          <w:sz w:val="28"/>
          <w:szCs w:val="28"/>
          <w:highlight w:val="none"/>
        </w:rPr>
        <w:t xml:space="preserve">格式四、具备履行合同所必需的设备和专业技术能力的书面声明</w:t>
      </w:r>
      <w:r/>
    </w:p>
    <w:p>
      <w:pPr>
        <w:rPr>
          <w:color w:val="auto"/>
          <w:sz w:val="28"/>
          <w:szCs w:val="28"/>
          <w:highlight w:val="none"/>
        </w:rPr>
      </w:pPr>
      <w:r>
        <w:rPr>
          <w:color w:val="auto"/>
          <w:sz w:val="28"/>
          <w:szCs w:val="28"/>
          <w:highlight w:val="none"/>
        </w:rPr>
      </w:r>
      <w:r/>
    </w:p>
    <w:p>
      <w:pPr>
        <w:ind w:right="-5"/>
        <w:spacing w:line="50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具备履行合同所必需的设备和专业技术能力的书面声明</w:t>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firstLine="492"/>
        <w:spacing w:line="460" w:lineRule="exac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主要设备有：      。</w:t>
      </w:r>
      <w:r/>
    </w:p>
    <w:p>
      <w:pPr>
        <w:ind w:firstLine="492"/>
        <w:spacing w:line="460" w:lineRule="exac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主要专业技术能力有：       。</w:t>
      </w:r>
      <w:r/>
    </w:p>
    <w:p>
      <w:pPr>
        <w:jc w:val="center"/>
        <w:spacing w:line="460" w:lineRule="exac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                                          </w:t>
      </w:r>
      <w:r/>
    </w:p>
    <w:p>
      <w:pPr>
        <w:ind w:right="480"/>
        <w:jc w:val="center"/>
        <w:spacing w:line="460" w:lineRule="exact"/>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                                      供应商名称（电子公章）：</w:t>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Cs/>
          <w:color w:val="auto"/>
          <w:sz w:val="24"/>
          <w:szCs w:val="24"/>
          <w:highlight w:val="none"/>
        </w:rPr>
        <w:t xml:space="preserve">                                             日期： __年</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rPr>
        <w:t xml:space="preserve">月</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rPr>
        <w:t xml:space="preserve">日</w:t>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b/>
          <w:color w:val="auto"/>
          <w:szCs w:val="24"/>
          <w:highlight w:val="none"/>
        </w:rPr>
      </w:pPr>
      <w:r>
        <w:rPr>
          <w:color w:val="auto"/>
          <w:highlight w:val="none"/>
        </w:rPr>
        <w:br w:type="page" w:clear="all"/>
      </w:r>
      <w:r/>
    </w:p>
    <w:p>
      <w:pPr>
        <w:pStyle w:val="697"/>
        <w:rPr>
          <w:color w:val="auto"/>
          <w:sz w:val="28"/>
          <w:szCs w:val="28"/>
          <w:highlight w:val="none"/>
        </w:rPr>
      </w:pPr>
      <w:r>
        <w:rPr>
          <w:rFonts w:hint="eastAsia"/>
          <w:color w:val="auto"/>
          <w:sz w:val="28"/>
          <w:szCs w:val="28"/>
          <w:highlight w:val="none"/>
        </w:rPr>
        <w:t xml:space="preserve">格式五、参加政府采购活动前 3 年内在经营活动中没有重大违法记录的书面声明</w:t>
      </w:r>
      <w:r/>
    </w:p>
    <w:p>
      <w:pPr>
        <w:spacing w:line="460" w:lineRule="exact"/>
        <w:rPr>
          <w:rFonts w:hint="eastAsia" w:asciiTheme="minorEastAsia" w:hAnsiTheme="minorEastAsia" w:eastAsiaTheme="minorEastAsia"/>
          <w:b/>
          <w:bCs/>
          <w:color w:val="auto"/>
          <w:sz w:val="44"/>
          <w:szCs w:val="44"/>
          <w:highlight w:val="none"/>
        </w:rPr>
      </w:pPr>
      <w:r>
        <w:rPr>
          <w:rFonts w:hint="eastAsia" w:asciiTheme="minorEastAsia" w:hAnsiTheme="minorEastAsia" w:eastAsiaTheme="minorEastAsia"/>
          <w:b/>
          <w:bCs/>
          <w:color w:val="auto"/>
          <w:sz w:val="44"/>
          <w:szCs w:val="44"/>
          <w:highlight w:val="none"/>
        </w:rPr>
        <w:t xml:space="preserve">                 </w:t>
      </w:r>
      <w:r/>
    </w:p>
    <w:p>
      <w:pPr>
        <w:spacing w:line="460" w:lineRule="exact"/>
        <w:rPr>
          <w:rFonts w:hint="eastAsia" w:asciiTheme="minorEastAsia" w:hAnsiTheme="minorEastAsia" w:eastAsiaTheme="minorEastAsia"/>
          <w:b/>
          <w:bCs/>
          <w:color w:val="auto"/>
          <w:sz w:val="44"/>
          <w:szCs w:val="44"/>
          <w:highlight w:val="none"/>
        </w:rPr>
      </w:pPr>
      <w:r>
        <w:rPr>
          <w:rFonts w:hint="eastAsia" w:asciiTheme="minorEastAsia" w:hAnsiTheme="minorEastAsia" w:eastAsiaTheme="minorEastAsia"/>
          <w:b/>
          <w:bCs/>
          <w:color w:val="auto"/>
          <w:sz w:val="44"/>
          <w:szCs w:val="44"/>
          <w:highlight w:val="none"/>
        </w:rPr>
      </w:r>
      <w:r/>
    </w:p>
    <w:p>
      <w:pPr>
        <w:spacing w:line="460" w:lineRule="exact"/>
        <w:rPr>
          <w:rFonts w:hint="eastAsia" w:asciiTheme="minorEastAsia" w:hAnsiTheme="minorEastAsia" w:eastAsiaTheme="minorEastAsia"/>
          <w:b/>
          <w:bCs/>
          <w:color w:val="auto"/>
          <w:sz w:val="44"/>
          <w:szCs w:val="44"/>
          <w:highlight w:val="none"/>
        </w:rPr>
      </w:pPr>
      <w:r>
        <w:rPr>
          <w:rFonts w:hint="eastAsia" w:asciiTheme="minorEastAsia" w:hAnsiTheme="minorEastAsia" w:eastAsiaTheme="minorEastAsia"/>
          <w:b/>
          <w:bCs/>
          <w:color w:val="auto"/>
          <w:sz w:val="44"/>
          <w:szCs w:val="44"/>
          <w:highlight w:val="none"/>
        </w:rPr>
      </w:r>
      <w:r/>
    </w:p>
    <w:p>
      <w:pPr>
        <w:jc w:val="center"/>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声  明</w:t>
      </w:r>
      <w:r/>
    </w:p>
    <w:p>
      <w:pPr>
        <w:jc w:val="center"/>
        <w:spacing w:line="460" w:lineRule="exact"/>
        <w:rPr>
          <w:rFonts w:hint="eastAsia" w:asciiTheme="minorEastAsia" w:hAnsiTheme="minorEastAsia" w:eastAsiaTheme="minorEastAsia"/>
          <w:b/>
          <w:bCs/>
          <w:color w:val="auto"/>
          <w:sz w:val="44"/>
          <w:szCs w:val="44"/>
          <w:highlight w:val="none"/>
        </w:rPr>
      </w:pPr>
      <w:r>
        <w:rPr>
          <w:rFonts w:hint="eastAsia" w:asciiTheme="minorEastAsia" w:hAnsiTheme="minorEastAsia" w:eastAsiaTheme="minorEastAsia"/>
          <w:b/>
          <w:bCs/>
          <w:color w:val="auto"/>
          <w:sz w:val="44"/>
          <w:szCs w:val="44"/>
          <w:highlight w:val="none"/>
        </w:rPr>
      </w:r>
      <w:r/>
    </w:p>
    <w:p>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
          <w:bCs/>
          <w:color w:val="auto"/>
          <w:sz w:val="24"/>
          <w:szCs w:val="24"/>
          <w:highlight w:val="none"/>
        </w:rPr>
        <w:t xml:space="preserve">    </w:t>
      </w:r>
      <w:r>
        <w:rPr>
          <w:rFonts w:hint="eastAsia" w:asciiTheme="minorEastAsia" w:hAnsiTheme="minorEastAsia" w:eastAsiaTheme="minorEastAsia"/>
          <w:bCs/>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                                    </w:t>
      </w:r>
      <w:r>
        <w:rPr>
          <w:rFonts w:asciiTheme="minorEastAsia" w:hAnsiTheme="minorEastAsia" w:eastAsiaTheme="minorEastAsia"/>
          <w:bCs/>
          <w:color w:val="auto"/>
          <w:sz w:val="24"/>
          <w:szCs w:val="24"/>
          <w:highlight w:val="none"/>
        </w:rPr>
        <w:t xml:space="preserve">  </w:t>
      </w:r>
      <w:r>
        <w:rPr>
          <w:rFonts w:hint="eastAsia" w:asciiTheme="minorEastAsia" w:hAnsiTheme="minorEastAsia" w:eastAsiaTheme="minorEastAsia"/>
          <w:bCs/>
          <w:color w:val="auto"/>
          <w:sz w:val="24"/>
          <w:szCs w:val="24"/>
          <w:highlight w:val="none"/>
        </w:rPr>
        <w:t xml:space="preserve">供应商名称（电子公章）：</w:t>
      </w:r>
      <w:r/>
    </w:p>
    <w:p>
      <w:pPr>
        <w:ind w:right="-5"/>
        <w:spacing w:line="360" w:lineRule="auto"/>
        <w:rPr>
          <w:rFonts w:hint="eastAsia" w:asciiTheme="minorEastAsia" w:hAnsiTheme="minorEastAsia" w:eastAsiaTheme="minorEastAsia"/>
          <w:b/>
          <w:color w:val="auto"/>
          <w:szCs w:val="24"/>
          <w:highlight w:val="none"/>
        </w:rPr>
      </w:pPr>
      <w:r>
        <w:rPr>
          <w:rFonts w:hint="eastAsia" w:asciiTheme="minorEastAsia" w:hAnsiTheme="minorEastAsia" w:eastAsiaTheme="minorEastAsia"/>
          <w:bCs/>
          <w:color w:val="auto"/>
          <w:sz w:val="24"/>
          <w:szCs w:val="24"/>
          <w:highlight w:val="none"/>
        </w:rPr>
        <w:t xml:space="preserve">                                      日期：</w:t>
      </w:r>
      <w:r>
        <w:rPr>
          <w:rFonts w:hint="eastAsia" w:asciiTheme="minorEastAsia" w:hAnsiTheme="minorEastAsia" w:eastAsiaTheme="minorEastAsia"/>
          <w:bCs/>
          <w:color w:val="auto"/>
          <w:sz w:val="24"/>
          <w:szCs w:val="24"/>
          <w:highlight w:val="none"/>
          <w:u w:val="single"/>
        </w:rPr>
        <w:t xml:space="preserve">___</w:t>
      </w:r>
      <w:r>
        <w:rPr>
          <w:rFonts w:hint="eastAsia" w:asciiTheme="minorEastAsia" w:hAnsiTheme="minorEastAsia" w:eastAsiaTheme="minorEastAsia"/>
          <w:bCs/>
          <w:color w:val="auto"/>
          <w:sz w:val="24"/>
          <w:szCs w:val="24"/>
          <w:highlight w:val="none"/>
        </w:rPr>
        <w:t xml:space="preserve">年</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rPr>
        <w:t xml:space="preserve">月</w:t>
      </w:r>
      <w:r>
        <w:rPr>
          <w:rFonts w:hint="eastAsia" w:asciiTheme="minorEastAsia" w:hAnsiTheme="minorEastAsia" w:eastAsiaTheme="minorEastAsia"/>
          <w:bCs/>
          <w:color w:val="auto"/>
          <w:sz w:val="24"/>
          <w:szCs w:val="24"/>
          <w:highlight w:val="none"/>
          <w:u w:val="single"/>
        </w:rPr>
        <w:t xml:space="preserve">   </w:t>
      </w:r>
      <w:r>
        <w:rPr>
          <w:rFonts w:hint="eastAsia" w:asciiTheme="minorEastAsia" w:hAnsiTheme="minorEastAsia" w:eastAsiaTheme="minorEastAsia"/>
          <w:bCs/>
          <w:color w:val="auto"/>
          <w:sz w:val="24"/>
          <w:szCs w:val="24"/>
          <w:highlight w:val="none"/>
        </w:rPr>
        <w:t xml:space="preserve">日</w:t>
      </w:r>
      <w:r/>
    </w:p>
    <w:p>
      <w:pPr>
        <w:ind w:right="-5"/>
        <w:spacing w:line="360" w:lineRule="auto"/>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ind w:right="-5"/>
        <w:spacing w:line="500" w:lineRule="exact"/>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r>
      <w:r/>
    </w:p>
    <w:p>
      <w:pPr>
        <w:rPr>
          <w:rFonts w:hint="eastAsia" w:asciiTheme="minorEastAsia" w:hAnsiTheme="minorEastAsia" w:eastAsiaTheme="minorEastAsia"/>
          <w:color w:val="auto"/>
          <w:highlight w:val="none"/>
        </w:rPr>
      </w:pPr>
      <w:r>
        <w:rPr>
          <w:color w:val="auto"/>
          <w:highlight w:val="none"/>
        </w:rPr>
        <w:br w:type="page" w:clear="all"/>
      </w:r>
      <w:r/>
    </w:p>
    <w:p>
      <w:pPr>
        <w:pStyle w:val="697"/>
        <w:rPr>
          <w:color w:val="auto"/>
          <w:sz w:val="28"/>
          <w:szCs w:val="28"/>
          <w:highlight w:val="none"/>
        </w:rPr>
      </w:pPr>
      <w:r>
        <w:rPr>
          <w:rFonts w:hint="eastAsia"/>
          <w:color w:val="auto"/>
          <w:sz w:val="28"/>
          <w:szCs w:val="28"/>
          <w:highlight w:val="none"/>
        </w:rPr>
        <w:t xml:space="preserve">格式六、法人授权书</w:t>
      </w:r>
      <w:r/>
    </w:p>
    <w:p>
      <w:pPr>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rFonts w:hint="eastAsia"/>
          <w:color w:val="auto"/>
          <w:sz w:val="28"/>
          <w:szCs w:val="28"/>
          <w:highlight w:val="none"/>
        </w:rPr>
        <w:t xml:space="preserve">法人授权书</w:t>
      </w:r>
      <w:r/>
    </w:p>
    <w:p>
      <w:pPr>
        <w:ind w:firstLine="480"/>
        <w:spacing w:line="360" w:lineRule="auto"/>
        <w:tabs>
          <w:tab w:val="left" w:pos="360" w:leader="none"/>
        </w:tabs>
        <w:rPr>
          <w:color w:val="auto"/>
          <w:sz w:val="28"/>
          <w:szCs w:val="28"/>
          <w:highlight w:val="none"/>
        </w:rPr>
      </w:pPr>
      <w:r>
        <w:rPr>
          <w:rFonts w:hint="eastAsia"/>
          <w:color w:val="auto"/>
          <w:sz w:val="28"/>
          <w:szCs w:val="28"/>
          <w:highlight w:val="none"/>
        </w:rPr>
        <w:t xml:space="preserve">本授权书声明：____________（供应商名称）授权________________（被授权人的姓名）为我方就JSZC-        号项目采购活动的合法代理人，以本单位名义全权处理一切与该项目采购有关的事务。</w:t>
      </w:r>
      <w:r/>
    </w:p>
    <w:p>
      <w:pPr>
        <w:ind w:firstLine="480"/>
        <w:spacing w:line="360" w:lineRule="auto"/>
        <w:tabs>
          <w:tab w:val="left" w:pos="360" w:leader="none"/>
        </w:tabs>
        <w:rPr>
          <w:color w:val="auto"/>
          <w:sz w:val="28"/>
          <w:szCs w:val="28"/>
          <w:highlight w:val="none"/>
        </w:rPr>
      </w:pPr>
      <w:r>
        <w:rPr>
          <w:rFonts w:hint="eastAsia"/>
          <w:color w:val="auto"/>
          <w:sz w:val="28"/>
          <w:szCs w:val="28"/>
          <w:highlight w:val="none"/>
        </w:rPr>
        <w:t xml:space="preserve">本授权书于______年____月____日起生效，特此声明。</w:t>
      </w:r>
      <w:r/>
    </w:p>
    <w:p>
      <w:pPr>
        <w:spacing w:line="360" w:lineRule="auto"/>
        <w:tabs>
          <w:tab w:val="left" w:pos="360" w:leader="none"/>
        </w:tabs>
        <w:rPr>
          <w:color w:val="auto"/>
          <w:sz w:val="28"/>
          <w:szCs w:val="28"/>
          <w:highlight w:val="none"/>
        </w:rPr>
      </w:pPr>
      <w:r>
        <w:rPr>
          <w:rFonts w:hint="eastAsia"/>
          <w:color w:val="auto"/>
          <w:sz w:val="28"/>
          <w:szCs w:val="28"/>
          <w:highlight w:val="none"/>
        </w:rPr>
        <w:t xml:space="preserve">          被授权人身份证号码：                              </w:t>
      </w:r>
      <w:r/>
    </w:p>
    <w:p>
      <w:pPr>
        <w:spacing w:line="360" w:lineRule="auto"/>
        <w:tabs>
          <w:tab w:val="left" w:pos="360" w:leader="none"/>
        </w:tabs>
        <w:rPr>
          <w:color w:val="auto"/>
          <w:sz w:val="28"/>
          <w:szCs w:val="28"/>
          <w:highlight w:val="none"/>
        </w:rPr>
      </w:pPr>
      <w:r>
        <w:rPr>
          <w:rFonts w:hint="eastAsia"/>
          <w:color w:val="auto"/>
          <w:sz w:val="28"/>
          <w:szCs w:val="28"/>
          <w:highlight w:val="none"/>
        </w:rPr>
        <w:t xml:space="preserve">          被授权人联系电话：（手机）                          </w:t>
      </w:r>
      <w:r/>
    </w:p>
    <w:p>
      <w:pPr>
        <w:ind w:firstLine="1200"/>
        <w:spacing w:line="360" w:lineRule="auto"/>
        <w:tabs>
          <w:tab w:val="left" w:pos="360" w:leader="none"/>
        </w:tabs>
        <w:rPr>
          <w:color w:val="auto"/>
          <w:sz w:val="28"/>
          <w:szCs w:val="28"/>
          <w:highlight w:val="none"/>
        </w:rPr>
      </w:pPr>
      <w:r>
        <w:rPr>
          <w:rFonts w:hint="eastAsia"/>
          <w:color w:val="auto"/>
          <w:sz w:val="28"/>
          <w:szCs w:val="28"/>
          <w:highlight w:val="none"/>
        </w:rPr>
        <w:t xml:space="preserve">授权单位名称：（加盖CA电子公章）</w:t>
      </w:r>
      <w:r/>
    </w:p>
    <w:p>
      <w:pPr>
        <w:ind w:firstLine="480"/>
        <w:spacing w:line="360" w:lineRule="auto"/>
        <w:tabs>
          <w:tab w:val="left" w:pos="360" w:leader="none"/>
        </w:tabs>
        <w:rPr>
          <w:color w:val="auto"/>
          <w:sz w:val="28"/>
          <w:szCs w:val="28"/>
          <w:highlight w:val="none"/>
        </w:rPr>
      </w:pPr>
      <w:r>
        <w:rPr>
          <w:rFonts w:hint="eastAsia"/>
          <w:color w:val="auto"/>
          <w:sz w:val="28"/>
          <w:szCs w:val="28"/>
          <w:highlight w:val="none"/>
        </w:rPr>
        <w:t xml:space="preserve">      单位地址：                                         </w:t>
      </w:r>
      <w:r/>
    </w:p>
    <w:p>
      <w:pPr>
        <w:ind w:firstLine="480"/>
        <w:spacing w:line="360" w:lineRule="auto"/>
        <w:tabs>
          <w:tab w:val="left" w:pos="360" w:leader="none"/>
        </w:tabs>
        <w:rPr>
          <w:color w:val="auto"/>
          <w:sz w:val="28"/>
          <w:szCs w:val="28"/>
          <w:highlight w:val="none"/>
        </w:rPr>
      </w:pPr>
      <w:r>
        <w:rPr>
          <w:rFonts w:hint="eastAsia"/>
          <w:color w:val="auto"/>
          <w:sz w:val="28"/>
          <w:szCs w:val="28"/>
          <w:highlight w:val="none"/>
        </w:rPr>
        <w:t xml:space="preserve">      日期：</w:t>
      </w:r>
      <w:bookmarkStart w:id="192" w:name="_Hlt26955070"/>
      <w:r/>
      <w:bookmarkEnd w:id="192"/>
      <w:r/>
      <w:bookmarkStart w:id="193" w:name="_格式3__银行出具的资信证明"/>
      <w:r/>
      <w:bookmarkEnd w:id="193"/>
      <w:r/>
      <w:bookmarkStart w:id="194" w:name="_Hlt26671380"/>
      <w:r/>
      <w:bookmarkEnd w:id="194"/>
      <w:r>
        <w:rPr>
          <w:rFonts w:hint="eastAsia"/>
          <w:color w:val="auto"/>
          <w:sz w:val="28"/>
          <w:szCs w:val="28"/>
          <w:highlight w:val="none"/>
        </w:rPr>
        <w:t xml:space="preserve">                                         </w:t>
      </w:r>
      <w:r/>
    </w:p>
    <w:p>
      <w:pPr>
        <w:spacing w:line="360" w:lineRule="auto"/>
        <w:rPr>
          <w:color w:val="auto"/>
          <w:sz w:val="28"/>
          <w:szCs w:val="28"/>
          <w:highlight w:val="none"/>
        </w:rPr>
      </w:pPr>
      <w:r>
        <w:rPr>
          <w:rFonts w:hint="eastAsia"/>
          <w:color w:val="auto"/>
          <w:sz w:val="28"/>
          <w:szCs w:val="28"/>
          <w:highlight w:val="none"/>
        </w:rPr>
        <w:t xml:space="preserve">附：法人代表身份证和被授权人身份证正反面扫描件</w:t>
      </w:r>
      <w:r/>
    </w:p>
    <w:p>
      <w:pPr>
        <w:jc w:val="left"/>
        <w:widowControl/>
        <w:rPr>
          <w:rFonts w:hint="eastAsia" w:asciiTheme="minorEastAsia" w:hAnsiTheme="minorEastAsia" w:eastAsiaTheme="minorEastAsia"/>
          <w:b/>
          <w:color w:val="auto"/>
          <w:sz w:val="32"/>
          <w:szCs w:val="32"/>
          <w:highlight w:val="none"/>
        </w:rPr>
      </w:pPr>
      <w:r>
        <w:rPr>
          <w:color w:val="auto"/>
          <w:highlight w:val="none"/>
        </w:rPr>
        <w:br w:type="page" w:clear="all"/>
      </w:r>
      <w:r/>
    </w:p>
    <w:p>
      <w:pP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特定资格条件</w:t>
      </w:r>
      <w:r/>
    </w:p>
    <w:p>
      <w:pPr>
        <w:spacing w:line="360" w:lineRule="auto"/>
        <w:rPr>
          <w:rFonts w:hint="eastAsia" w:asciiTheme="minorEastAsia" w:hAnsiTheme="minorEastAsia" w:eastAsiaTheme="minorEastAsia"/>
          <w:bCs/>
          <w:color w:val="auto"/>
          <w:sz w:val="24"/>
          <w:highlight w:val="none"/>
        </w:rPr>
      </w:pPr>
      <w:r>
        <w:rPr>
          <w:rFonts w:hint="eastAsia" w:asciiTheme="minorEastAsia" w:hAnsiTheme="minorEastAsia" w:eastAsiaTheme="minorEastAsia"/>
          <w:b/>
          <w:color w:val="auto"/>
          <w:sz w:val="32"/>
          <w:szCs w:val="32"/>
          <w:highlight w:val="none"/>
        </w:rPr>
        <w:t xml:space="preserve">如果本项目申请人的特定资格要求中要求提供的，必须提供。</w:t>
      </w:r>
      <w:r/>
    </w:p>
    <w:p>
      <w:pPr>
        <w:rPr>
          <w:rFonts w:hint="eastAsia" w:asciiTheme="minorEastAsia" w:hAnsiTheme="minorEastAsia" w:eastAsiaTheme="minorEastAsia"/>
          <w:color w:val="auto"/>
          <w:highlight w:val="none"/>
        </w:rPr>
      </w:pPr>
      <w:r>
        <w:rPr>
          <w:color w:val="auto"/>
          <w:highlight w:val="none"/>
        </w:rPr>
        <w:br w:type="page" w:clear="all"/>
      </w:r>
      <w:r/>
    </w:p>
    <w:p>
      <w:pPr>
        <w:spacing w:line="360" w:lineRule="auto"/>
        <w:rPr>
          <w:rFonts w:hint="eastAsia" w:asciiTheme="minorEastAsia" w:hAnsiTheme="minorEastAsia" w:eastAsiaTheme="minorEastAsia"/>
          <w:iCs/>
          <w:color w:val="auto"/>
          <w:sz w:val="32"/>
          <w:szCs w:val="32"/>
          <w:highlight w:val="none"/>
        </w:rPr>
        <w:outlineLvl w:val="1"/>
      </w:pPr>
      <w:r>
        <w:rPr>
          <w:rFonts w:hint="eastAsia" w:asciiTheme="minorEastAsia" w:hAnsiTheme="minorEastAsia" w:eastAsiaTheme="minorEastAsia"/>
          <w:color w:val="auto"/>
          <w:highlight w:val="none"/>
        </w:rPr>
        <w:t xml:space="preserve">五</w:t>
      </w:r>
      <w:r>
        <w:rPr>
          <w:rFonts w:hint="eastAsia" w:asciiTheme="minorEastAsia" w:hAnsiTheme="minorEastAsia" w:eastAsiaTheme="minorEastAsia"/>
          <w:iCs/>
          <w:color w:val="auto"/>
          <w:sz w:val="24"/>
          <w:szCs w:val="24"/>
          <w:highlight w:val="none"/>
        </w:rPr>
        <w:t xml:space="preserve">、中小（微）企业声明函（货物）</w:t>
      </w:r>
      <w:r/>
    </w:p>
    <w:p>
      <w:pPr>
        <w:jc w:val="center"/>
        <w:spacing w:line="360" w:lineRule="auto"/>
        <w:rPr>
          <w:rFonts w:hint="eastAsia" w:ascii="宋体" w:hAnsi="宋体" w:cs="仿宋"/>
          <w:b/>
          <w:color w:val="auto"/>
          <w:sz w:val="32"/>
          <w:szCs w:val="32"/>
          <w:highlight w:val="none"/>
        </w:rPr>
      </w:pPr>
      <w:r>
        <w:rPr>
          <w:rFonts w:hint="eastAsia" w:ascii="宋体" w:hAnsi="宋体" w:cs="仿宋"/>
          <w:b/>
          <w:color w:val="auto"/>
          <w:sz w:val="32"/>
          <w:szCs w:val="32"/>
          <w:highlight w:val="none"/>
        </w:rPr>
      </w:r>
      <w:r/>
    </w:p>
    <w:p>
      <w:pPr>
        <w:jc w:val="center"/>
        <w:spacing w:line="360" w:lineRule="auto"/>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中小企业声明函</w:t>
      </w:r>
      <w:r/>
    </w:p>
    <w:p>
      <w:pPr>
        <w:spacing w:line="360" w:lineRule="auto"/>
        <w:rPr>
          <w:rFonts w:hint="eastAsia" w:ascii="宋体" w:hAnsi="宋体" w:cs="仿宋"/>
          <w:color w:val="auto"/>
          <w:sz w:val="26"/>
          <w:szCs w:val="20"/>
          <w:highlight w:val="none"/>
        </w:rPr>
      </w:pPr>
      <w:r>
        <w:rPr>
          <w:rFonts w:hint="eastAsia" w:ascii="宋体" w:hAnsi="宋体" w:cs="仿宋"/>
          <w:color w:val="auto"/>
          <w:sz w:val="26"/>
          <w:szCs w:val="20"/>
          <w:highlight w:val="none"/>
        </w:rPr>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u w:val="single"/>
        </w:rPr>
        <w:t xml:space="preserve">（项目名称）</w:t>
      </w:r>
      <w:r>
        <w:rPr>
          <w:rFonts w:hint="eastAsia" w:ascii="宋体" w:hAnsi="宋体"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1. </w:t>
      </w:r>
      <w:r>
        <w:rPr>
          <w:rFonts w:hint="eastAsia" w:ascii="宋体" w:hAnsi="宋体" w:cs="仿宋"/>
          <w:color w:val="auto"/>
          <w:sz w:val="24"/>
          <w:szCs w:val="24"/>
          <w:highlight w:val="none"/>
          <w:u w:val="single"/>
        </w:rPr>
        <w:t xml:space="preserve">（标的名称）</w:t>
      </w:r>
      <w:r>
        <w:rPr>
          <w:rFonts w:hint="eastAsia" w:ascii="宋体" w:hAnsi="宋体" w:cs="宋体"/>
          <w:color w:val="auto"/>
          <w:sz w:val="24"/>
          <w:szCs w:val="24"/>
          <w:highlight w:val="none"/>
        </w:rPr>
        <w:t xml:space="preserve"> </w:t>
      </w:r>
      <w:r>
        <w:rPr>
          <w:rFonts w:hint="eastAsia" w:ascii="宋体" w:hAnsi="宋体" w:cs="仿宋"/>
          <w:color w:val="auto"/>
          <w:sz w:val="24"/>
          <w:szCs w:val="24"/>
          <w:highlight w:val="none"/>
        </w:rPr>
        <w:t xml:space="preserve">，属于</w:t>
      </w:r>
      <w:r>
        <w:rPr>
          <w:rFonts w:hint="eastAsia" w:ascii="宋体" w:hAnsi="宋体" w:cs="仿宋"/>
          <w:b/>
          <w:color w:val="auto"/>
          <w:sz w:val="24"/>
          <w:szCs w:val="24"/>
          <w:highlight w:val="none"/>
          <w:u w:val="single"/>
        </w:rPr>
        <w:t xml:space="preserve">（工业）（不得对行业类别修改</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rPr>
        <w:t xml:space="preserve">行业；制造商为（企业名称），从业人员</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2. （标的名称） ，属于</w:t>
      </w:r>
      <w:r>
        <w:rPr>
          <w:rFonts w:hint="eastAsia" w:ascii="宋体" w:hAnsi="宋体" w:cs="仿宋"/>
          <w:b/>
          <w:color w:val="auto"/>
          <w:sz w:val="24"/>
          <w:szCs w:val="24"/>
          <w:highlight w:val="none"/>
          <w:u w:val="single"/>
        </w:rPr>
        <w:t xml:space="preserve">（工业）（不得对行业类别修改）</w:t>
      </w:r>
      <w:r>
        <w:rPr>
          <w:rFonts w:hint="eastAsia" w:ascii="宋体" w:hAnsi="宋体" w:cs="仿宋"/>
          <w:color w:val="auto"/>
          <w:sz w:val="24"/>
          <w:szCs w:val="24"/>
          <w:highlight w:val="none"/>
        </w:rPr>
        <w:t xml:space="preserve">行业；制造商为（企业名称），从业人员</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本企业对上述声明内容的真实性负责。如有虚假，将依法承担相应责任</w:t>
      </w:r>
      <w:r/>
    </w:p>
    <w:p>
      <w:pPr>
        <w:ind w:right="72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p>
      <w:pPr>
        <w:ind w:right="180" w:firstLine="360"/>
        <w:jc w:val="right"/>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企业名称（加盖CA电子公章）：</w:t>
      </w:r>
      <w:r/>
    </w:p>
    <w:p>
      <w:pPr>
        <w:ind w:right="480" w:firstLine="540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日期：</w:t>
      </w:r>
      <w:r/>
    </w:p>
    <w:p>
      <w:pPr>
        <w:ind w:firstLine="360"/>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36"/>
          <w:szCs w:val="36"/>
          <w:highlight w:val="none"/>
        </w:rPr>
        <w:t xml:space="preserve"> </w:t>
      </w:r>
      <w:r/>
    </w:p>
    <w:p>
      <w:pPr>
        <w:jc w:val="center"/>
        <w:spacing w:line="360" w:lineRule="auto"/>
        <w:rPr>
          <w:rFonts w:hint="eastAsia" w:asciiTheme="minorEastAsia" w:hAnsiTheme="minorEastAsia" w:eastAsiaTheme="minorEastAsia"/>
          <w:b/>
          <w:color w:val="auto"/>
          <w:sz w:val="32"/>
          <w:szCs w:val="32"/>
          <w:highlight w:val="none"/>
        </w:rPr>
      </w:pPr>
      <w:r>
        <w:rPr>
          <w:rFonts w:hint="eastAsia" w:ascii="宋体" w:hAnsi="宋体" w:cs="仿宋"/>
          <w:color w:val="auto"/>
          <w:sz w:val="24"/>
          <w:szCs w:val="24"/>
          <w:highlight w:val="none"/>
        </w:rPr>
        <w:t xml:space="preserve">备注：从业人员、营业收入、资产总额填报上一年度数据，无上一年度数据的新成立企业可不填报。供应商如不提供此声明函，价格将不做相应扣除。</w:t>
      </w:r>
      <w:r>
        <w:rPr>
          <w:color w:val="auto"/>
          <w:highlight w:val="none"/>
        </w:rPr>
        <w:br w:type="page" w:clear="all"/>
      </w:r>
      <w:r>
        <w:rPr>
          <w:rFonts w:hint="eastAsia" w:ascii="宋体" w:hAnsi="宋体" w:cs="仿宋"/>
          <w:b/>
          <w:color w:val="auto"/>
          <w:sz w:val="32"/>
          <w:szCs w:val="32"/>
          <w:highlight w:val="none"/>
        </w:rPr>
        <w:t xml:space="preserve">残疾人福利性单位声明函</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本单位对上述声明的真实性负责。如有虚假，将依法承担相应责任。</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Theme="minorEastAsia" w:hAnsiTheme="minorEastAsia" w:eastAsiaTheme="minorEastAsia"/>
          <w:color w:val="auto"/>
          <w:spacing w:val="6"/>
          <w:sz w:val="30"/>
          <w:szCs w:val="30"/>
          <w:highlight w:val="none"/>
        </w:rPr>
      </w:pPr>
      <w:r>
        <w:rPr>
          <w:rFonts w:hint="eastAsia" w:asciiTheme="minorEastAsia" w:hAnsiTheme="minorEastAsia" w:eastAsiaTheme="minorEastAsia"/>
          <w:color w:val="auto"/>
          <w:spacing w:val="6"/>
          <w:sz w:val="30"/>
          <w:szCs w:val="30"/>
          <w:highlight w:val="none"/>
        </w:rPr>
      </w:r>
      <w:r/>
    </w:p>
    <w:p>
      <w:pPr>
        <w:ind w:right="1070" w:firstLine="624"/>
        <w:jc w:val="center"/>
        <w:spacing w:line="360" w:lineRule="auto"/>
        <w:tabs>
          <w:tab w:val="left" w:pos="486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pacing w:val="6"/>
          <w:sz w:val="30"/>
          <w:szCs w:val="30"/>
          <w:highlight w:val="none"/>
        </w:rPr>
        <w:t xml:space="preserve">             </w:t>
      </w:r>
      <w:r>
        <w:rPr>
          <w:rFonts w:hint="eastAsia" w:asciiTheme="minorEastAsia" w:hAnsiTheme="minorEastAsia" w:eastAsiaTheme="minorEastAsia"/>
          <w:color w:val="auto"/>
          <w:sz w:val="24"/>
          <w:highlight w:val="none"/>
        </w:rPr>
        <w:t xml:space="preserve">   供应商全称（加盖CA电子公章）：</w:t>
      </w:r>
      <w:r/>
    </w:p>
    <w:p>
      <w:pPr>
        <w:ind w:right="1560" w:firstLine="480"/>
        <w:jc w:val="center"/>
        <w:spacing w:line="360" w:lineRule="auto"/>
        <w:tabs>
          <w:tab w:val="left" w:pos="486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日  期：</w:t>
      </w:r>
      <w:r/>
    </w:p>
    <w:p>
      <w:pP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六、投标分项报价表（货物类）</w:t>
      </w:r>
      <w:r/>
    </w:p>
    <w:p>
      <w:pPr>
        <w:spacing w:line="360" w:lineRule="auto"/>
        <w:rPr>
          <w:rFonts w:hint="eastAsia" w:asciiTheme="minorEastAsia" w:hAnsiTheme="minorEastAsia" w:eastAsiaTheme="minorEastAsia"/>
          <w:iCs/>
          <w:color w:val="auto"/>
          <w:sz w:val="24"/>
          <w:szCs w:val="24"/>
          <w:highlight w:val="none"/>
        </w:rPr>
      </w:pPr>
      <w:r>
        <w:rPr>
          <w:rFonts w:hint="eastAsia" w:asciiTheme="minorEastAsia" w:hAnsiTheme="minorEastAsia" w:eastAsiaTheme="minorEastAsia"/>
          <w:iCs/>
          <w:color w:val="auto"/>
          <w:sz w:val="24"/>
          <w:szCs w:val="24"/>
          <w:highlight w:val="none"/>
        </w:rPr>
      </w:r>
      <w:r/>
    </w:p>
    <w:p>
      <w:pPr>
        <w:jc w:val="center"/>
        <w:spacing w:line="360" w:lineRule="auto"/>
        <w:rPr>
          <w:rFonts w:hint="eastAsia" w:ascii="宋体" w:hAnsi="宋体" w:cs="仿宋"/>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b/>
          <w:bCs/>
          <w:color w:val="auto"/>
          <w:sz w:val="32"/>
          <w:szCs w:val="32"/>
          <w:highlight w:val="none"/>
        </w:rPr>
        <w:t xml:space="preserve">投标分项报价表</w:t>
      </w:r>
      <w:r/>
    </w:p>
    <w:tbl>
      <w:tblPr>
        <w:tblStyle w:val="705"/>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976"/>
        <w:gridCol w:w="806"/>
        <w:gridCol w:w="1101"/>
        <w:gridCol w:w="687"/>
        <w:gridCol w:w="815"/>
        <w:gridCol w:w="613"/>
        <w:gridCol w:w="649"/>
        <w:gridCol w:w="1074"/>
        <w:gridCol w:w="992"/>
      </w:tblGrid>
      <w:tr>
        <w:trPr>
          <w:jc w:val="center"/>
          <w:tblCellSpacing w:w="0" w:type="dxa"/>
          <w:trHeight w:val="660"/>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序号</w:t>
            </w:r>
            <w:r/>
          </w:p>
        </w:tc>
        <w:tc>
          <w:tcPr>
            <w:tcW w:w="98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1</w:t>
            </w:r>
            <w:r/>
          </w:p>
        </w:tc>
        <w:tc>
          <w:tcPr>
            <w:tcW w:w="818"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2</w:t>
            </w:r>
            <w:r/>
          </w:p>
        </w:tc>
        <w:tc>
          <w:tcPr>
            <w:tcW w:w="1123"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3</w:t>
            </w:r>
            <w:r/>
          </w:p>
        </w:tc>
        <w:tc>
          <w:tcPr>
            <w:tcW w:w="694"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4</w:t>
            </w:r>
            <w:r/>
          </w:p>
        </w:tc>
        <w:tc>
          <w:tcPr>
            <w:tcW w:w="827"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5</w:t>
            </w:r>
            <w:r/>
          </w:p>
        </w:tc>
        <w:tc>
          <w:tcPr>
            <w:tcW w:w="618"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6</w:t>
            </w:r>
            <w:r/>
          </w:p>
        </w:tc>
        <w:tc>
          <w:tcPr>
            <w:tcW w:w="65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auto"/>
                <w:sz w:val="24"/>
                <w:szCs w:val="24"/>
                <w:highlight w:val="none"/>
              </w:rPr>
              <w:t xml:space="preserve">7</w:t>
            </w:r>
            <w:r/>
          </w:p>
        </w:tc>
        <w:tc>
          <w:tcPr>
            <w:tcW w:w="109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auto"/>
                <w:sz w:val="24"/>
                <w:szCs w:val="24"/>
                <w:highlight w:val="none"/>
              </w:rPr>
              <w:t xml:space="preserve">8</w:t>
            </w:r>
            <w:r/>
          </w:p>
        </w:tc>
        <w:tc>
          <w:tcPr>
            <w:tcW w:w="1010"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auto"/>
                <w:sz w:val="24"/>
                <w:szCs w:val="24"/>
                <w:highlight w:val="none"/>
              </w:rPr>
              <w:t xml:space="preserve">9</w:t>
            </w:r>
            <w:r/>
          </w:p>
        </w:tc>
      </w:tr>
      <w:tr>
        <w:trPr>
          <w:jc w:val="center"/>
          <w:tblCellSpacing w:w="0" w:type="dxa"/>
          <w:trHeight w:val="640"/>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1</w:t>
            </w:r>
            <w:r/>
          </w:p>
        </w:tc>
        <w:tc>
          <w:tcPr>
            <w:tcW w:w="98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产品</w:t>
            </w:r>
            <w:r/>
          </w:p>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名称</w:t>
            </w:r>
            <w:r/>
          </w:p>
        </w:tc>
        <w:tc>
          <w:tcPr>
            <w:tcW w:w="818"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品牌</w:t>
            </w:r>
            <w:r/>
          </w:p>
        </w:tc>
        <w:tc>
          <w:tcPr>
            <w:tcW w:w="1123"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规格</w:t>
            </w:r>
            <w:r/>
          </w:p>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型号</w:t>
            </w:r>
            <w:r/>
          </w:p>
        </w:tc>
        <w:tc>
          <w:tcPr>
            <w:tcW w:w="694"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产地</w:t>
            </w:r>
            <w:r/>
          </w:p>
        </w:tc>
        <w:tc>
          <w:tcPr>
            <w:tcW w:w="827"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交付期</w:t>
            </w:r>
            <w:r/>
          </w:p>
        </w:tc>
        <w:tc>
          <w:tcPr>
            <w:tcW w:w="618" w:type="dxa"/>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质保期</w:t>
            </w:r>
            <w:r/>
          </w:p>
        </w:tc>
        <w:tc>
          <w:tcPr>
            <w:tcW w:w="65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数量</w:t>
            </w:r>
            <w:r/>
          </w:p>
        </w:tc>
        <w:tc>
          <w:tcPr>
            <w:tcW w:w="109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分项单价</w:t>
            </w:r>
            <w:r/>
          </w:p>
        </w:tc>
        <w:tc>
          <w:tcPr>
            <w:tcW w:w="1010"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分项总价</w:t>
            </w:r>
            <w:r/>
          </w:p>
        </w:tc>
      </w:tr>
      <w:tr>
        <w:trPr>
          <w:jc w:val="center"/>
          <w:tblCellSpacing w:w="0" w:type="dxa"/>
          <w:trHeight w:val="714"/>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2</w:t>
            </w:r>
            <w:r/>
          </w:p>
        </w:tc>
        <w:tc>
          <w:tcPr>
            <w:tcW w:w="98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18"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123"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94"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27"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18" w:type="dxa"/>
            <w:textDirection w:val="lrTb"/>
            <w:noWrap w:val="false"/>
          </w:tcPr>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r>
            <w:r/>
          </w:p>
        </w:tc>
        <w:tc>
          <w:tcPr>
            <w:tcW w:w="65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9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10"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r>
      <w:tr>
        <w:trPr>
          <w:jc w:val="center"/>
          <w:tblCellSpacing w:w="0" w:type="dxa"/>
          <w:trHeight w:val="742"/>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3</w:t>
            </w:r>
            <w:r/>
          </w:p>
        </w:tc>
        <w:tc>
          <w:tcPr>
            <w:tcW w:w="98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18"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123"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94"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27"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18" w:type="dxa"/>
            <w:textDirection w:val="lrTb"/>
            <w:noWrap w:val="false"/>
          </w:tcPr>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r>
            <w:r/>
          </w:p>
        </w:tc>
        <w:tc>
          <w:tcPr>
            <w:tcW w:w="65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9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10"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r>
      <w:tr>
        <w:trPr>
          <w:jc w:val="center"/>
          <w:tblCellSpacing w:w="0" w:type="dxa"/>
          <w:trHeight w:val="658"/>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4</w:t>
            </w:r>
            <w:r/>
          </w:p>
        </w:tc>
        <w:tc>
          <w:tcPr>
            <w:tcW w:w="98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18"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123"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94"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27"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18" w:type="dxa"/>
            <w:textDirection w:val="lrTb"/>
            <w:noWrap w:val="false"/>
          </w:tcPr>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r>
            <w:r/>
          </w:p>
        </w:tc>
        <w:tc>
          <w:tcPr>
            <w:tcW w:w="65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9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10"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r>
      <w:tr>
        <w:trPr>
          <w:jc w:val="center"/>
          <w:tblCellSpacing w:w="0" w:type="dxa"/>
          <w:trHeight w:val="598"/>
        </w:trPr>
        <w:tc>
          <w:tcPr>
            <w:tcW w:w="581"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w:t>
            </w:r>
            <w:r/>
          </w:p>
        </w:tc>
        <w:tc>
          <w:tcPr>
            <w:tcW w:w="98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w:t>
            </w:r>
            <w:r/>
          </w:p>
        </w:tc>
        <w:tc>
          <w:tcPr>
            <w:tcW w:w="818"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123"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94"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827"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618" w:type="dxa"/>
            <w:textDirection w:val="lrTb"/>
            <w:noWrap w:val="false"/>
          </w:tcPr>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r>
            <w:r/>
          </w:p>
        </w:tc>
        <w:tc>
          <w:tcPr>
            <w:tcW w:w="65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95"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c>
          <w:tcPr>
            <w:tcW w:w="1010"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r>
      <w:tr>
        <w:trPr>
          <w:jc w:val="center"/>
          <w:tblCellSpacing w:w="0" w:type="dxa"/>
          <w:trHeight w:val="1047"/>
        </w:trPr>
        <w:tc>
          <w:tcPr>
            <w:tcW w:w="581" w:type="dxa"/>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r>
            <w:r/>
          </w:p>
        </w:tc>
        <w:tc>
          <w:tcPr>
            <w:gridSpan w:val="8"/>
            <w:tcW w:w="6815" w:type="dxa"/>
            <w:vAlign w:val="center"/>
            <w:textDirection w:val="lrTb"/>
            <w:noWrap w:val="false"/>
          </w:tcPr>
          <w:p>
            <w:pPr>
              <w:jc w:val="cente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投标总报价（人民币：元）</w:t>
            </w:r>
            <w:r/>
          </w:p>
        </w:tc>
        <w:tc>
          <w:tcPr>
            <w:tcW w:w="1010" w:type="dxa"/>
            <w:vAlign w:val="center"/>
            <w:textDirection w:val="lrTb"/>
            <w:noWrap w:val="false"/>
          </w:tcPr>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rPr>
              <w:t xml:space="preserve"> </w:t>
            </w:r>
            <w:r/>
          </w:p>
        </w:tc>
      </w:tr>
    </w:tbl>
    <w:p>
      <w:pPr>
        <w:spacing w:line="360" w:lineRule="auto"/>
        <w:rPr>
          <w:rFonts w:hint="eastAsia" w:ascii="宋体" w:hAnsi="宋体" w:cs="仿宋"/>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auto"/>
          <w:sz w:val="24"/>
          <w:szCs w:val="24"/>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cs="宋体"/>
          <w:color w:val="auto"/>
          <w:highlight w:val="none"/>
        </w:rPr>
        <w:t xml:space="preserve"> </w:t>
      </w:r>
      <w:r>
        <w:rPr>
          <w:rFonts w:hint="eastAsia" w:ascii="宋体" w:hAnsi="宋体" w:cs="仿宋"/>
          <w:color w:val="auto"/>
          <w:highlight w:val="none"/>
        </w:rPr>
        <w:t xml:space="preserve">“</w:t>
      </w:r>
      <w:r>
        <w:rPr>
          <w:rFonts w:hint="eastAsia" w:ascii="宋体" w:hAnsi="宋体" w:cs="仿宋"/>
          <w:color w:val="auto"/>
          <w:sz w:val="24"/>
          <w:szCs w:val="24"/>
          <w:highlight w:val="none"/>
        </w:rPr>
        <w:t xml:space="preserve">投标分项报价表</w:t>
      </w:r>
      <w:r>
        <w:rPr>
          <w:rFonts w:hint="eastAsia" w:ascii="宋体" w:hAnsi="宋体" w:cs="仿宋"/>
          <w:color w:val="auto"/>
          <w:highlight w:val="none"/>
        </w:rPr>
        <w:t xml:space="preserve">”</w:t>
      </w:r>
      <w:r>
        <w:rPr>
          <w:rFonts w:hint="eastAsia" w:ascii="宋体" w:hAnsi="宋体" w:cs="仿宋"/>
          <w:color w:val="auto"/>
          <w:sz w:val="24"/>
          <w:szCs w:val="24"/>
          <w:highlight w:val="none"/>
        </w:rPr>
        <w:t xml:space="preserve">中“投标总报价”数额应当与“开标一览表”中“投标总报价”数额一致。</w:t>
      </w:r>
      <w:r/>
    </w:p>
    <w:p>
      <w:pPr>
        <w:ind w:firstLine="200"/>
        <w:spacing w:line="360" w:lineRule="auto"/>
        <w:rPr>
          <w:rFonts w:hint="eastAsia" w:ascii="宋体" w:hAnsi="宋体" w:cs="仿宋"/>
          <w:color w:val="auto"/>
          <w:sz w:val="32"/>
          <w:highlight w:val="none"/>
        </w:rPr>
      </w:pPr>
      <w:r>
        <w:rPr>
          <w:rFonts w:hint="eastAsia" w:ascii="宋体" w:hAnsi="宋体" w:cs="仿宋"/>
          <w:color w:val="auto"/>
          <w:sz w:val="32"/>
          <w:highlight w:val="none"/>
        </w:rPr>
      </w:r>
      <w:r/>
    </w:p>
    <w:p>
      <w:pPr>
        <w:ind w:right="1560" w:firstLine="624"/>
        <w:jc w:val="center"/>
        <w:spacing w:line="360" w:lineRule="auto"/>
        <w:tabs>
          <w:tab w:val="left" w:pos="486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xml:space="preserve">供应商全称（加盖CA电子公章）：</w:t>
      </w:r>
      <w:r/>
    </w:p>
    <w:p>
      <w:pPr>
        <w:ind w:right="1560" w:firstLine="480"/>
        <w:jc w:val="center"/>
        <w:spacing w:line="360" w:lineRule="auto"/>
        <w:tabs>
          <w:tab w:val="left" w:pos="4860" w:leader="none"/>
        </w:tabs>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日  期：</w:t>
      </w:r>
      <w:r/>
    </w:p>
    <w:p>
      <w:pPr>
        <w:jc w:val="right"/>
        <w:spacing w:line="360" w:lineRule="auto"/>
        <w:rPr>
          <w:rFonts w:hint="eastAsia" w:ascii="宋体" w:hAnsi="宋体" w:cs="仿宋"/>
          <w:b/>
          <w:color w:val="auto"/>
          <w:sz w:val="32"/>
          <w:szCs w:val="32"/>
          <w:highlight w:val="none"/>
        </w:rPr>
        <w:sectPr>
          <w:headerReference w:type="default" r:id="rId10"/>
          <w:footerReference w:type="default" r:id="rId12"/>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cs="仿宋"/>
          <w:b/>
          <w:color w:val="auto"/>
          <w:sz w:val="32"/>
          <w:szCs w:val="32"/>
          <w:highlight w:val="none"/>
        </w:rPr>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七、</w:t>
      </w:r>
      <w:r>
        <w:rPr>
          <w:rFonts w:hint="eastAsia"/>
          <w:color w:val="auto"/>
          <w:sz w:val="24"/>
          <w:szCs w:val="24"/>
          <w:highlight w:val="none"/>
        </w:rPr>
        <w:t xml:space="preserve">商务合同响应及偏离表</w:t>
      </w:r>
      <w:r/>
    </w:p>
    <w:p>
      <w:pPr>
        <w:jc w:val="center"/>
        <w:spacing w:line="360" w:lineRule="auto"/>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360" w:lineRule="auto"/>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商务合同响应及偏离表</w:t>
      </w:r>
      <w:r/>
    </w:p>
    <w:p>
      <w:pPr>
        <w:spacing w:line="360" w:lineRule="auto"/>
        <w:rPr>
          <w:rFonts w:hint="eastAsia" w:ascii="宋体" w:hAnsi="宋体" w:cs="宋体"/>
          <w:color w:val="auto"/>
          <w:sz w:val="20"/>
          <w:szCs w:val="24"/>
          <w:highlight w:val="none"/>
        </w:rPr>
      </w:pPr>
      <w:r>
        <w:rPr>
          <w:rFonts w:hint="eastAsia" w:ascii="宋体" w:hAnsi="宋体" w:cs="宋体"/>
          <w:color w:val="auto"/>
          <w:sz w:val="20"/>
          <w:szCs w:val="24"/>
          <w:highlight w:val="none"/>
        </w:rPr>
      </w:r>
      <w:r/>
    </w:p>
    <w:tbl>
      <w:tblPr>
        <w:tblStyle w:val="705"/>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3"/>
        <w:gridCol w:w="3203"/>
        <w:gridCol w:w="2770"/>
        <w:gridCol w:w="1288"/>
        <w:gridCol w:w="1149"/>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注： 供应商根据竞争性磋商文件第三章《合同文本》进行填写，本表不允许负偏离。</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供应商对竞争性磋商文件第三章《合同文本》没有提出修改要求的，可以提供经签署、盖章的空白表格，采购人将视为供应商完全接受第三章《合同文本》的全部内容</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如行数不够，可自行添加。</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黑体" w:hAnsi="黑体" w:eastAsia="黑体" w:cs="宋体"/>
          <w:bCs/>
          <w:color w:val="auto"/>
          <w:sz w:val="22"/>
          <w:szCs w:val="32"/>
          <w:highlight w:val="none"/>
        </w:rPr>
      </w:pPr>
      <w:r>
        <w:rPr>
          <w:rFonts w:hint="eastAsia" w:ascii="黑体" w:hAnsi="黑体" w:eastAsia="黑体" w:cs="宋体"/>
          <w:bCs/>
          <w:color w:val="auto"/>
          <w:sz w:val="22"/>
          <w:szCs w:val="32"/>
          <w:highlight w:val="none"/>
        </w:rPr>
      </w:r>
      <w:r/>
    </w:p>
    <w:p>
      <w:pPr>
        <w:jc w:val="center"/>
        <w:spacing w:line="360" w:lineRule="auto"/>
        <w:rPr>
          <w:rFonts w:hint="eastAsia" w:ascii="宋体" w:hAnsi="宋体" w:cs="宋体"/>
          <w:color w:val="auto"/>
          <w:sz w:val="24"/>
          <w:szCs w:val="24"/>
          <w:highlight w:val="none"/>
        </w:rPr>
      </w:pPr>
      <w:r>
        <w:rPr>
          <w:rFonts w:eastAsia="黑体" w:cs="Calibri"/>
          <w:b/>
          <w:bCs/>
          <w:color w:val="auto"/>
          <w:sz w:val="32"/>
          <w:szCs w:val="32"/>
          <w:highlight w:val="none"/>
        </w:rPr>
        <w:t xml:space="preserve"> </w:t>
      </w:r>
      <w:r/>
    </w:p>
    <w:p>
      <w:pPr>
        <w:spacing w:line="360" w:lineRule="auto"/>
        <w:rPr>
          <w:color w:val="auto"/>
          <w:highlight w:val="none"/>
        </w:rPr>
      </w:pPr>
      <w:r>
        <w:rPr>
          <w:rFonts w:hint="eastAsia"/>
          <w:color w:val="auto"/>
          <w:highlight w:val="none"/>
        </w:rPr>
        <w:t xml:space="preserve">供应商名称：</w:t>
      </w:r>
      <w:r>
        <w:rPr>
          <w:color w:val="auto"/>
          <w:highlight w:val="none"/>
          <w:u w:val="single"/>
        </w:rPr>
        <w:t xml:space="preserve">                                </w:t>
      </w:r>
      <w:r>
        <w:rPr>
          <w:rFonts w:hint="eastAsia"/>
          <w:color w:val="auto"/>
          <w:highlight w:val="none"/>
        </w:rPr>
        <w:t xml:space="preserve">（加盖CA电子公章）</w:t>
      </w:r>
      <w:r/>
    </w:p>
    <w:p>
      <w:pPr>
        <w:spacing w:line="360" w:lineRule="auto"/>
        <w:rPr>
          <w:color w:val="auto"/>
          <w:highlight w:val="none"/>
          <w:u w:val="single"/>
        </w:rPr>
      </w:pPr>
      <w:r>
        <w:rPr>
          <w:rFonts w:hint="eastAsia"/>
          <w:color w:val="auto"/>
          <w:highlight w:val="none"/>
        </w:rPr>
        <w:t xml:space="preserve">法定代表人或其授权代表签字：</w:t>
      </w:r>
      <w:r>
        <w:rPr>
          <w:rFonts w:hint="eastAsia"/>
          <w:color w:val="auto"/>
          <w:highlight w:val="none"/>
          <w:u w:val="single"/>
        </w:rPr>
        <w:t xml:space="preserve"> </w:t>
      </w:r>
      <w:r>
        <w:rPr>
          <w:color w:val="auto"/>
          <w:highlight w:val="none"/>
          <w:u w:val="single"/>
        </w:rPr>
        <w:t xml:space="preserve">                          </w:t>
      </w:r>
      <w:r/>
    </w:p>
    <w:p>
      <w:pPr>
        <w:spacing w:line="360" w:lineRule="auto"/>
        <w:rPr>
          <w:rFonts w:hint="eastAsia" w:ascii="宋体" w:hAnsi="宋体" w:cs="宋体"/>
          <w:color w:val="auto"/>
          <w:sz w:val="24"/>
          <w:szCs w:val="24"/>
          <w:highlight w:val="none"/>
        </w:rPr>
      </w:pPr>
      <w:r>
        <w:rPr>
          <w:rFonts w:hint="eastAsia"/>
          <w:color w:val="auto"/>
          <w:highlight w:val="none"/>
        </w:rPr>
        <w:t xml:space="preserve">日期：     年</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日</w:t>
      </w:r>
      <w:r/>
    </w:p>
    <w:p>
      <w:pP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360" w:lineRule="auto"/>
        <w:rPr>
          <w:rFonts w:hint="eastAsia" w:asciiTheme="minorEastAsia" w:hAnsiTheme="minorEastAsia" w:eastAsiaTheme="minorEastAsia"/>
          <w:iCs/>
          <w:color w:val="auto"/>
          <w:sz w:val="24"/>
          <w:szCs w:val="24"/>
          <w:highlight w:val="none"/>
        </w:rPr>
        <w:outlineLvl w:val="1"/>
      </w:pPr>
      <w:r>
        <w:rPr>
          <w:rFonts w:hint="eastAsia" w:asciiTheme="minorEastAsia" w:hAnsiTheme="minorEastAsia" w:eastAsiaTheme="minorEastAsia"/>
          <w:iCs/>
          <w:color w:val="auto"/>
          <w:sz w:val="24"/>
          <w:szCs w:val="24"/>
          <w:highlight w:val="none"/>
        </w:rPr>
        <w:t xml:space="preserve">八、技术响应及偏离表</w:t>
      </w:r>
      <w:r/>
    </w:p>
    <w:p>
      <w:pPr>
        <w:spacing w:line="360" w:lineRule="auto"/>
        <w:rPr>
          <w:rFonts w:hint="eastAsia" w:ascii="宋体" w:hAnsi="宋体" w:cs="仿宋"/>
          <w:b/>
          <w:color w:val="auto"/>
          <w:spacing w:val="20"/>
          <w:sz w:val="32"/>
          <w:szCs w:val="32"/>
          <w:highlight w:val="none"/>
        </w:rPr>
      </w:pPr>
      <w:r>
        <w:rPr>
          <w:rFonts w:hint="eastAsia" w:ascii="宋体" w:hAnsi="宋体" w:cs="仿宋"/>
          <w:b/>
          <w:color w:val="auto"/>
          <w:spacing w:val="20"/>
          <w:sz w:val="32"/>
          <w:szCs w:val="32"/>
          <w:highlight w:val="none"/>
        </w:rPr>
      </w:r>
      <w:r/>
    </w:p>
    <w:p>
      <w:pPr>
        <w:jc w:val="center"/>
        <w:spacing w:line="360" w:lineRule="auto"/>
        <w:rPr>
          <w:rFonts w:hint="eastAsia" w:ascii="宋体" w:hAnsi="宋体" w:cs="宋体"/>
          <w:color w:val="auto"/>
          <w:sz w:val="24"/>
          <w:szCs w:val="24"/>
          <w:highlight w:val="none"/>
        </w:rPr>
      </w:pPr>
      <w:r>
        <w:rPr>
          <w:rFonts w:hint="eastAsia" w:ascii="黑体" w:hAnsi="黑体" w:eastAsia="黑体" w:cs="宋体"/>
          <w:b/>
          <w:bCs/>
          <w:color w:val="auto"/>
          <w:sz w:val="32"/>
          <w:szCs w:val="32"/>
          <w:highlight w:val="none"/>
        </w:rPr>
        <w:t xml:space="preserve">技术响应及偏离表</w:t>
      </w:r>
      <w:r/>
    </w:p>
    <w:tbl>
      <w:tblPr>
        <w:tblStyle w:val="705"/>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3"/>
        <w:gridCol w:w="3202"/>
        <w:gridCol w:w="2770"/>
        <w:gridCol w:w="1288"/>
        <w:gridCol w:w="1150"/>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注：必须根据第四章《采购需求》</w:t>
      </w:r>
      <w:r>
        <w:rPr>
          <w:rFonts w:hint="eastAsia" w:ascii="宋体" w:hAnsi="宋体" w:cs="宋体"/>
          <w:bCs/>
          <w:color w:val="auto"/>
          <w:sz w:val="24"/>
          <w:szCs w:val="24"/>
          <w:highlight w:val="none"/>
        </w:rPr>
        <w:t xml:space="preserve">技术要求及商务要求</w:t>
      </w:r>
      <w:r>
        <w:rPr>
          <w:rFonts w:hint="eastAsia" w:ascii="宋体" w:hAnsi="宋体" w:cs="宋体"/>
          <w:color w:val="auto"/>
          <w:sz w:val="24"/>
          <w:szCs w:val="24"/>
          <w:highlight w:val="none"/>
        </w:rPr>
        <w:t xml:space="preserve">的全部内容进行填写，行数不够，可自行添加。</w:t>
      </w:r>
      <w:r/>
    </w:p>
    <w:p>
      <w:pPr>
        <w:jc w:val="left"/>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center"/>
        <w:spacing w:line="360" w:lineRule="auto"/>
        <w:rPr>
          <w:rFonts w:hint="eastAsia" w:ascii="宋体" w:hAnsi="宋体" w:cs="宋体"/>
          <w:color w:val="auto"/>
          <w:sz w:val="24"/>
          <w:szCs w:val="24"/>
          <w:highlight w:val="none"/>
        </w:rPr>
      </w:pPr>
      <w:r>
        <w:rPr>
          <w:rFonts w:eastAsia="黑体" w:cs="Calibri"/>
          <w:b/>
          <w:bCs/>
          <w:color w:val="auto"/>
          <w:sz w:val="32"/>
          <w:szCs w:val="32"/>
          <w:highlight w:val="none"/>
        </w:rPr>
        <w:t xml:space="preserve"> </w:t>
      </w:r>
      <w:r/>
    </w:p>
    <w:p>
      <w:pPr>
        <w:spacing w:line="360" w:lineRule="auto"/>
        <w:rPr>
          <w:color w:val="auto"/>
          <w:highlight w:val="none"/>
        </w:rPr>
      </w:pPr>
      <w:r>
        <w:rPr>
          <w:rFonts w:hint="eastAsia"/>
          <w:color w:val="auto"/>
          <w:highlight w:val="none"/>
        </w:rPr>
        <w:t xml:space="preserve">供应商名称：</w:t>
      </w:r>
      <w:r>
        <w:rPr>
          <w:color w:val="auto"/>
          <w:highlight w:val="none"/>
          <w:u w:val="single"/>
        </w:rPr>
        <w:t xml:space="preserve">                                </w:t>
      </w:r>
      <w:r>
        <w:rPr>
          <w:rFonts w:hint="eastAsia"/>
          <w:color w:val="auto"/>
          <w:highlight w:val="none"/>
        </w:rPr>
        <w:t xml:space="preserve">（加盖CA电子公章）</w:t>
      </w:r>
      <w:r/>
    </w:p>
    <w:p>
      <w:pPr>
        <w:spacing w:line="360" w:lineRule="auto"/>
        <w:rPr>
          <w:color w:val="auto"/>
          <w:highlight w:val="none"/>
          <w:u w:val="single"/>
        </w:rPr>
      </w:pPr>
      <w:r>
        <w:rPr>
          <w:color w:val="auto"/>
          <w:highlight w:val="none"/>
        </w:rPr>
        <w:t xml:space="preserve"> </w:t>
      </w:r>
      <w:r>
        <w:rPr>
          <w:rFonts w:hint="eastAsia"/>
          <w:color w:val="auto"/>
          <w:highlight w:val="none"/>
        </w:rPr>
        <w:t xml:space="preserve">法定代表人或其授权代表签字：</w:t>
      </w:r>
      <w:r>
        <w:rPr>
          <w:rFonts w:hint="eastAsia"/>
          <w:color w:val="auto"/>
          <w:highlight w:val="none"/>
          <w:u w:val="single"/>
        </w:rPr>
        <w:t xml:space="preserve"> </w:t>
      </w:r>
      <w:r>
        <w:rPr>
          <w:color w:val="auto"/>
          <w:highlight w:val="none"/>
          <w:u w:val="single"/>
        </w:rPr>
        <w:t xml:space="preserve">                          </w:t>
      </w:r>
      <w:r/>
    </w:p>
    <w:p>
      <w:pPr>
        <w:spacing w:line="360" w:lineRule="auto"/>
        <w:rPr>
          <w:rFonts w:hint="eastAsia" w:ascii="宋体" w:hAnsi="宋体" w:cs="宋体"/>
          <w:color w:val="auto"/>
          <w:sz w:val="24"/>
          <w:szCs w:val="24"/>
          <w:highlight w:val="none"/>
        </w:rPr>
      </w:pPr>
      <w:r>
        <w:rPr>
          <w:rFonts w:hint="eastAsia"/>
          <w:color w:val="auto"/>
          <w:highlight w:val="none"/>
        </w:rPr>
        <w:t xml:space="preserve">日期：     年</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color w:val="auto"/>
          <w:highlight w:val="none"/>
          <w:u w:val="single"/>
        </w:rPr>
        <w:t xml:space="preserve">  </w:t>
      </w:r>
      <w:r>
        <w:rPr>
          <w:rFonts w:hint="eastAsia"/>
          <w:color w:val="auto"/>
          <w:highlight w:val="none"/>
        </w:rPr>
        <w:t xml:space="preserve">日</w:t>
      </w:r>
      <w:r/>
    </w:p>
    <w:p>
      <w:pPr>
        <w:spacing w:line="360" w:lineRule="auto"/>
        <w:rPr>
          <w:rFonts w:hint="eastAsia" w:asciiTheme="minorEastAsia" w:hAnsiTheme="minorEastAsia" w:eastAsiaTheme="minorEastAsia"/>
          <w:color w:val="auto"/>
          <w:szCs w:val="24"/>
          <w:highlight w:val="none"/>
        </w:rPr>
        <w:outlineLvl w:val="1"/>
      </w:pPr>
      <w:r/>
      <w:bookmarkStart w:id="195" w:name="_格式2__法定代表人授权书"/>
      <w:r/>
      <w:bookmarkEnd w:id="195"/>
      <w:r>
        <w:rPr>
          <w:color w:val="auto"/>
          <w:highlight w:val="none"/>
        </w:rPr>
        <w:br w:type="page" w:clear="all"/>
      </w:r>
      <w:r>
        <w:rPr>
          <w:rFonts w:hint="eastAsia" w:asciiTheme="minorEastAsia" w:hAnsiTheme="minorEastAsia" w:eastAsiaTheme="minorEastAsia"/>
          <w:iCs/>
          <w:color w:val="auto"/>
          <w:sz w:val="24"/>
          <w:szCs w:val="24"/>
          <w:highlight w:val="none"/>
        </w:rPr>
        <w:t xml:space="preserve">九、企业业绩（如适用）</w:t>
      </w:r>
      <w:r/>
    </w:p>
    <w:p>
      <w:pPr>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供应商承担类似项目业绩一览表</w:t>
      </w:r>
      <w:r/>
    </w:p>
    <w:tbl>
      <w:tblPr>
        <w:tblStyle w:val="70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1885"/>
        <w:gridCol w:w="1943"/>
      </w:tblGrid>
      <w:tr>
        <w:trPr>
          <w:jc w:val="center"/>
          <w:trHeight w:val="753"/>
        </w:trPr>
        <w:tc>
          <w:tcPr>
            <w:tcW w:w="1229"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3827"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项目名称</w:t>
            </w:r>
            <w:r/>
          </w:p>
        </w:tc>
        <w:tc>
          <w:tcPr>
            <w:tcW w:w="1885"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采购单位</w:t>
            </w:r>
            <w:r/>
          </w:p>
        </w:tc>
        <w:tc>
          <w:tcPr>
            <w:tcW w:w="1943"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合同签订时间</w:t>
            </w:r>
            <w:r/>
          </w:p>
        </w:tc>
      </w:tr>
      <w:tr>
        <w:trPr>
          <w:jc w:val="center"/>
          <w:trHeight w:val="1510"/>
        </w:trPr>
        <w:tc>
          <w:tcPr>
            <w:tcW w:w="1229"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3827"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885"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943"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1510"/>
        </w:trPr>
        <w:tc>
          <w:tcPr>
            <w:tcW w:w="1229"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3827"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885"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943"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1510"/>
        </w:trPr>
        <w:tc>
          <w:tcPr>
            <w:tcW w:w="1229"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3827"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885"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943"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jc w:val="center"/>
          <w:trHeight w:val="1525"/>
        </w:trPr>
        <w:tc>
          <w:tcPr>
            <w:tcW w:w="1229"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3827"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885"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943" w:type="dxa"/>
            <w:vAlign w:val="center"/>
            <w:textDirection w:val="lrTb"/>
            <w:noWrap w:val="false"/>
          </w:tcPr>
          <w:p>
            <w:pPr>
              <w:jc w:val="cente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bl>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b/>
          <w:color w:val="auto"/>
          <w:sz w:val="24"/>
          <w:highlight w:val="none"/>
        </w:rPr>
        <w:t xml:space="preserve">注：请填写此表，并按要求上传业绩资料电子件。</w:t>
      </w:r>
      <w:r/>
    </w:p>
    <w:p>
      <w:pPr>
        <w:jc w:val="center"/>
        <w:spacing w:line="360" w:lineRule="auto"/>
        <w:rPr>
          <w:rFonts w:hint="eastAsia" w:asciiTheme="minorEastAsia" w:hAnsiTheme="minorEastAsia" w:eastAsiaTheme="minorEastAsia"/>
          <w:b/>
          <w:color w:val="auto"/>
          <w:sz w:val="32"/>
          <w:szCs w:val="32"/>
          <w:highlight w:val="none"/>
        </w:rPr>
      </w:pPr>
      <w:r>
        <w:rPr>
          <w:color w:val="auto"/>
          <w:highlight w:val="none"/>
        </w:rPr>
        <w:br w:type="page" w:clear="all"/>
      </w:r>
      <w:r/>
    </w:p>
    <w:p>
      <w:pPr>
        <w:spacing w:line="360" w:lineRule="auto"/>
        <w:rPr>
          <w:rFonts w:hint="eastAsia" w:asciiTheme="minorEastAsia" w:hAnsiTheme="minorEastAsia" w:eastAsiaTheme="minorEastAsia"/>
          <w:iCs/>
          <w:color w:val="auto"/>
          <w:sz w:val="24"/>
          <w:szCs w:val="24"/>
          <w:highlight w:val="none"/>
        </w:rPr>
        <w:outlineLvl w:val="1"/>
      </w:pPr>
      <w:r/>
      <w:bookmarkStart w:id="196" w:name="_Toc28140"/>
      <w:r>
        <w:rPr>
          <w:rFonts w:hint="eastAsia" w:asciiTheme="minorEastAsia" w:hAnsiTheme="minorEastAsia" w:eastAsiaTheme="minorEastAsia"/>
          <w:iCs/>
          <w:color w:val="auto"/>
          <w:sz w:val="24"/>
          <w:szCs w:val="24"/>
          <w:highlight w:val="none"/>
        </w:rPr>
        <w:t xml:space="preserve">十、磋商所需其他材料</w:t>
      </w:r>
      <w:bookmarkEnd w:id="196"/>
      <w:r/>
      <w:r/>
    </w:p>
    <w:p>
      <w:pPr>
        <w:ind w:firstLine="560"/>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ind w:firstLine="560"/>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请在此文档中增加磋商所需其他相关内容</w:t>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（包括资格要求、评分办法、采购需求中涉及的佐证资料及其它供应商认为有必要提供的资料），如没有请将此空文档上传。</w:t>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jc w:val="center"/>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ind w:right="-6"/>
        <w:spacing w:line="360" w:lineRule="auto"/>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r>
      <w:r/>
    </w:p>
    <w:p>
      <w:pPr>
        <w:ind w:right="-6"/>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r/>
    </w:p>
    <w:p>
      <w:pPr>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t xml:space="preserve">质疑函范本</w:t>
      </w:r>
      <w:r/>
    </w:p>
    <w:p>
      <w:pPr>
        <w:spacing w:before="240"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一、质疑供应商基本信息</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质疑供应商：</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地址：</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邮编：</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联系人：</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联系电话：</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授权代表：</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联系电话：</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地址：</w:t>
      </w:r>
      <w:r>
        <w:rPr>
          <w:rFonts w:cs="仿宋" w:asciiTheme="minorEastAsia" w:hAnsiTheme="minorEastAsia" w:eastAsiaTheme="minorEastAsia"/>
          <w:color w:val="auto"/>
          <w:sz w:val="24"/>
          <w:szCs w:val="24"/>
          <w:highlight w:val="none"/>
        </w:rPr>
        <w:t xml:space="preserve"> </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邮编：</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二、质疑项目基本情况</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质疑项目的名称：</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质疑项目的编号：</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包号：</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采购人名称：</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采购文件获取日期：</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三、质疑事项具体内容</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质疑事项1：</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事实依据：</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法律依据：</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质疑事项2</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四、与质疑事项相关的质疑请求</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请求：</w:t>
      </w:r>
      <w:r>
        <w:rPr>
          <w:rFonts w:hint="eastAsia" w:cs="仿宋" w:asciiTheme="minorEastAsia" w:hAnsiTheme="minorEastAsia" w:eastAsiaTheme="minorEastAsia"/>
          <w:color w:val="auto"/>
          <w:sz w:val="24"/>
          <w:szCs w:val="24"/>
          <w:highlight w:val="none"/>
          <w:u w:val="single"/>
        </w:rPr>
        <w:t xml:space="preserve">                                                                     </w:t>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签字(签章)：                   公章：                      </w:t>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日期：    </w:t>
      </w:r>
      <w:r/>
    </w:p>
    <w:p>
      <w:pPr>
        <w:spacing w:line="360" w:lineRule="auto"/>
        <w:rPr>
          <w:rFonts w:hint="eastAsia" w:asciiTheme="minorEastAsia" w:hAnsiTheme="minorEastAsia" w:eastAsiaTheme="minorEastAsia"/>
          <w:b/>
          <w:color w:val="auto"/>
          <w:sz w:val="24"/>
          <w:szCs w:val="24"/>
          <w:highlight w:val="none"/>
        </w:rPr>
      </w:pPr>
      <w:r>
        <w:rPr>
          <w:color w:val="auto"/>
          <w:highlight w:val="none"/>
        </w:rPr>
        <w:br w:type="page" w:clear="all"/>
      </w:r>
      <w:r>
        <w:rPr>
          <w:rFonts w:hint="eastAsia" w:asciiTheme="minorEastAsia" w:hAnsiTheme="minorEastAsia" w:eastAsiaTheme="minorEastAsia"/>
          <w:b/>
          <w:color w:val="auto"/>
          <w:sz w:val="24"/>
          <w:szCs w:val="24"/>
          <w:highlight w:val="none"/>
        </w:rPr>
        <w:t xml:space="preserve">质疑函制作说明：</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5.质疑函的质疑请求应与质疑事项相关。</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widowControl/>
        <w:rPr>
          <w:color w:val="auto"/>
          <w:sz w:val="24"/>
          <w:szCs w:val="24"/>
          <w:highlight w:val="none"/>
        </w:rPr>
      </w:pPr>
      <w:r>
        <w:rPr>
          <w:color w:val="auto"/>
          <w:sz w:val="24"/>
          <w:szCs w:val="24"/>
          <w:highlight w:val="none"/>
        </w:rPr>
      </w:r>
      <w:bookmarkEnd w:id="197"/>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37"/>
        <w:rFonts w:hint="eastAsia"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22</w:t>
    </w:r>
    <w:r>
      <w:rPr>
        <w:rFonts w:ascii="宋体" w:hAnsi="宋体"/>
      </w:rPr>
      <w:fldChar w:fldCharType="end"/>
    </w:r>
    <w:r/>
  </w:p>
  <w:p>
    <w:pPr>
      <w:pStyle w:val="94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7645" cy="51054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207645" cy="510540"/>
                      </a:xfrm>
                      <a:prstGeom prst="rect">
                        <a:avLst/>
                      </a:prstGeom>
                      <a:noFill/>
                      <a:ln>
                        <a:noFill/>
                      </a:ln>
                    </wps:spPr>
                    <wps:txbx>
                      <w:txbxContent>
                        <w:p>
                          <w:r>
                            <w:fldChar w:fldCharType="begin"/>
                          </w:r>
                          <w:r>
                            <w:instrText xml:space="preserve"> PAGE  \* MERGEFORMAT </w:instrText>
                          </w:r>
                          <w:r>
                            <w:fldChar w:fldCharType="separate"/>
                          </w:r>
                          <w:r>
                            <w:t xml:space="preserve">7</w:t>
                          </w:r>
                          <w:r>
                            <w:fldChar w:fldCharType="end"/>
                          </w:r>
                          <w:r/>
                        </w:p>
                        <w:p>
                          <w:r/>
                          <w:r/>
                        </w:p>
                        <w:p>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6.3pt;height:40.2pt;mso-wrap-distance-left:9.0pt;mso-wrap-distance-top:0.0pt;mso-wrap-distance-right:9.0pt;mso-wrap-distance-bottom:0.0pt;v-text-anchor:top;visibility:visible;" filled="f" stroked="f">
              <v:textbox inset="0,0,0,0">
                <w:txbxContent>
                  <w:p>
                    <w:r>
                      <w:fldChar w:fldCharType="begin"/>
                    </w:r>
                    <w:r>
                      <w:instrText xml:space="preserve"> PAGE  \* MERGEFORMAT </w:instrText>
                    </w:r>
                    <w:r>
                      <w:fldChar w:fldCharType="separate"/>
                    </w:r>
                    <w:r>
                      <w:t xml:space="preserve">7</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3"/>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3">
    <w:multiLevelType w:val="hybridMultilevel"/>
    <w:lvl w:ilvl="0">
      <w:start w:val="1"/>
      <w:numFmt w:val="bullet"/>
      <w:pStyle w:val="71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696"/>
      <w:isLgl w:val="false"/>
      <w:suff w:val="tab"/>
      <w:lvlText w:val="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3"/>
  </w:num>
  <w:num w:numId="3">
    <w:abstractNumId w:val="2"/>
  </w:num>
  <w:num w:numId="4">
    <w:abstractNumId w:val="5"/>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95">
    <w:name w:val="Heading 1"/>
    <w:basedOn w:val="694"/>
    <w:next w:val="694"/>
    <w:link w:val="77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79"/>
    <w:uiPriority w:val="9"/>
    <w:unhideWhenUsed/>
    <w:qFormat/>
    <w:pPr>
      <w:numPr>
        <w:ilvl w:val="0"/>
        <w:numId w:val="1"/>
      </w:numPr>
      <w:keepLines/>
      <w:keepNext/>
      <w:outlineLvl w:val="1"/>
    </w:pPr>
    <w:rPr>
      <w:rFonts w:ascii="Arial" w:hAnsi="Arial" w:cs="Arial" w:eastAsiaTheme="minorEastAsia"/>
      <w:sz w:val="28"/>
    </w:rPr>
  </w:style>
  <w:style w:type="paragraph" w:styleId="697">
    <w:name w:val="Heading 3"/>
    <w:basedOn w:val="694"/>
    <w:next w:val="694"/>
    <w:link w:val="78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8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8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8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8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86"/>
    <w:uiPriority w:val="9"/>
    <w:unhideWhenUsed/>
    <w:qFormat/>
    <w:pPr>
      <w:keepLines/>
      <w:keepNext/>
      <w:spacing w:before="320" w:after="200"/>
      <w:outlineLvl w:val="8"/>
    </w:pPr>
    <w:rPr>
      <w:rFonts w:ascii="Arial" w:hAnsi="Arial" w:eastAsia="Arial" w:cs="Arial"/>
      <w:i/>
      <w:iCs/>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next w:val="694"/>
    <w:link w:val="1026"/>
    <w:uiPriority w:val="0"/>
    <w:unhideWhenUsed/>
    <w:qFormat/>
    <w:pPr>
      <w:ind w:firstLine="420"/>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link w:val="1037"/>
    <w:uiPriority w:val="99"/>
    <w:semiHidden/>
    <w:unhideWhenUsed/>
    <w:qFormat/>
    <w:pPr>
      <w:jc w:val="left"/>
    </w:pPr>
  </w:style>
  <w:style w:type="paragraph" w:styleId="710">
    <w:name w:val="Body Text"/>
    <w:basedOn w:val="694"/>
    <w:uiPriority w:val="0"/>
    <w:qFormat/>
    <w:rPr>
      <w:rFonts w:ascii="楷体_GB2312" w:hAnsi="Arial" w:eastAsia="楷体_GB2312"/>
      <w:sz w:val="28"/>
      <w:szCs w:val="28"/>
    </w:rPr>
  </w:style>
  <w:style w:type="paragraph" w:styleId="711">
    <w:name w:val="List Bullet 2"/>
    <w:basedOn w:val="694"/>
    <w:uiPriority w:val="99"/>
    <w:semiHidden/>
    <w:unhideWhenUsed/>
    <w:qFormat/>
    <w:pPr>
      <w:numPr>
        <w:ilvl w:val="0"/>
        <w:numId w:val="2"/>
      </w:numPr>
    </w:pPr>
  </w:style>
  <w:style w:type="paragraph" w:styleId="712">
    <w:name w:val="index 4"/>
    <w:basedOn w:val="694"/>
    <w:next w:val="694"/>
    <w:uiPriority w:val="0"/>
    <w:qFormat/>
    <w:pPr>
      <w:ind w:left="600" w:firstLine="200"/>
      <w:spacing w:line="360" w:lineRule="auto"/>
    </w:pPr>
    <w:rPr>
      <w:rFonts w:ascii="等线" w:hAnsi="等线" w:eastAsia="等线"/>
      <w:sz w:val="24"/>
      <w:szCs w:val="24"/>
    </w:r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unhideWhenUsed/>
    <w:qFormat/>
    <w:pPr>
      <w:ind w:left="567"/>
      <w:spacing w:after="57"/>
    </w:pPr>
  </w:style>
  <w:style w:type="paragraph" w:styleId="715">
    <w:name w:val="toc 8"/>
    <w:basedOn w:val="694"/>
    <w:next w:val="694"/>
    <w:uiPriority w:val="39"/>
    <w:unhideWhenUsed/>
    <w:qFormat/>
    <w:pPr>
      <w:ind w:left="1984"/>
      <w:spacing w:after="57"/>
    </w:pPr>
  </w:style>
  <w:style w:type="paragraph" w:styleId="716">
    <w:name w:val="Date"/>
    <w:basedOn w:val="694"/>
    <w:next w:val="694"/>
    <w:link w:val="1034"/>
    <w:uiPriority w:val="99"/>
    <w:semiHidden/>
    <w:unhideWhenUsed/>
    <w:qFormat/>
    <w:pPr>
      <w:ind w:left="100"/>
    </w:pPr>
  </w:style>
  <w:style w:type="paragraph" w:styleId="717">
    <w:name w:val="endnote text"/>
    <w:basedOn w:val="694"/>
    <w:link w:val="905"/>
    <w:uiPriority w:val="99"/>
    <w:semiHidden/>
    <w:unhideWhenUsed/>
    <w:qFormat/>
    <w:rPr>
      <w:sz w:val="20"/>
    </w:rPr>
  </w:style>
  <w:style w:type="paragraph" w:styleId="718">
    <w:name w:val="Balloon Text"/>
    <w:basedOn w:val="694"/>
    <w:link w:val="1032"/>
    <w:uiPriority w:val="99"/>
    <w:semiHidden/>
    <w:unhideWhenUsed/>
    <w:qFormat/>
    <w:rPr>
      <w:sz w:val="18"/>
      <w:szCs w:val="18"/>
    </w:rPr>
  </w:style>
  <w:style w:type="paragraph" w:styleId="719">
    <w:name w:val="Footer"/>
    <w:basedOn w:val="694"/>
    <w:link w:val="797"/>
    <w:uiPriority w:val="99"/>
    <w:unhideWhenUsed/>
    <w:qFormat/>
    <w:pPr>
      <w:tabs>
        <w:tab w:val="center" w:pos="7143" w:leader="none"/>
        <w:tab w:val="right" w:pos="14287" w:leader="none"/>
      </w:tabs>
    </w:pPr>
  </w:style>
  <w:style w:type="paragraph" w:styleId="720">
    <w:name w:val="Header"/>
    <w:basedOn w:val="694"/>
    <w:link w:val="795"/>
    <w:uiPriority w:val="99"/>
    <w:unhideWhenUsed/>
    <w:qFormat/>
    <w:pPr>
      <w:tabs>
        <w:tab w:val="center" w:pos="7143" w:leader="none"/>
        <w:tab w:val="right" w:pos="14287" w:leader="none"/>
      </w:tabs>
    </w:pPr>
  </w:style>
  <w:style w:type="paragraph" w:styleId="721">
    <w:name w:val="toc 1"/>
    <w:basedOn w:val="694"/>
    <w:next w:val="694"/>
    <w:uiPriority w:val="39"/>
    <w:unhideWhenUsed/>
    <w:qFormat/>
    <w:pPr>
      <w:spacing w:after="57"/>
    </w:pPr>
  </w:style>
  <w:style w:type="paragraph" w:styleId="722">
    <w:name w:val="toc 4"/>
    <w:basedOn w:val="694"/>
    <w:next w:val="694"/>
    <w:uiPriority w:val="39"/>
    <w:unhideWhenUsed/>
    <w:qFormat/>
    <w:pPr>
      <w:ind w:left="850"/>
      <w:spacing w:after="57"/>
    </w:pPr>
  </w:style>
  <w:style w:type="paragraph" w:styleId="723">
    <w:name w:val="Subtitle"/>
    <w:basedOn w:val="694"/>
    <w:next w:val="694"/>
    <w:link w:val="790"/>
    <w:uiPriority w:val="11"/>
    <w:qFormat/>
    <w:pPr>
      <w:spacing w:before="200" w:after="200"/>
    </w:pPr>
    <w:rPr>
      <w:sz w:val="24"/>
      <w:szCs w:val="24"/>
    </w:rPr>
  </w:style>
  <w:style w:type="paragraph" w:styleId="724">
    <w:name w:val="footnote text"/>
    <w:basedOn w:val="694"/>
    <w:link w:val="904"/>
    <w:uiPriority w:val="99"/>
    <w:semiHidden/>
    <w:unhideWhenUsed/>
    <w:qFormat/>
    <w:pPr>
      <w:spacing w:after="40"/>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uiPriority w:val="0"/>
    <w:qFormat/>
    <w:rPr>
      <w:sz w:val="24"/>
    </w:rPr>
  </w:style>
  <w:style w:type="paragraph" w:styleId="730">
    <w:name w:val="Title"/>
    <w:basedOn w:val="694"/>
    <w:next w:val="694"/>
    <w:link w:val="789"/>
    <w:uiPriority w:val="10"/>
    <w:qFormat/>
    <w:pPr>
      <w:contextualSpacing/>
      <w:spacing w:before="300" w:after="200"/>
    </w:pPr>
    <w:rPr>
      <w:sz w:val="48"/>
      <w:szCs w:val="48"/>
    </w:rPr>
  </w:style>
  <w:style w:type="paragraph" w:styleId="731">
    <w:name w:val="annotation subject"/>
    <w:basedOn w:val="709"/>
    <w:next w:val="709"/>
    <w:link w:val="1038"/>
    <w:uiPriority w:val="99"/>
    <w:semiHidden/>
    <w:unhideWhenUsed/>
    <w:qFormat/>
    <w:rPr>
      <w:b/>
      <w:bCs/>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Emphasis"/>
    <w:uiPriority w:val="0"/>
    <w:qFormat/>
    <w:rPr>
      <w:i/>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annotation reference"/>
    <w:basedOn w:val="704"/>
    <w:uiPriority w:val="99"/>
    <w:semiHidden/>
    <w:unhideWhenUsed/>
    <w:qFormat/>
    <w:rPr>
      <w:sz w:val="21"/>
      <w:szCs w:val="21"/>
    </w:rPr>
  </w:style>
  <w:style w:type="character" w:styleId="737">
    <w:name w:val="footnote reference"/>
    <w:uiPriority w:val="99"/>
    <w:unhideWhenUsed/>
    <w:qFormat/>
    <w:rPr>
      <w:vertAlign w:val="superscript"/>
    </w:rPr>
  </w:style>
  <w:style w:type="paragraph" w:styleId="738" w:customStyle="1">
    <w:name w:val="Default"/>
    <w:next w:val="694"/>
    <w:uiPriority w:val="0"/>
    <w:qFormat/>
    <w:pPr>
      <w:widowControl w:val="off"/>
    </w:pPr>
    <w:rPr>
      <w:rFonts w:ascii="宋体" w:hAnsi="Times New Roman" w:eastAsia="宋体" w:cs="宋体"/>
      <w:color w:val="000000"/>
      <w:sz w:val="24"/>
      <w:szCs w:val="24"/>
      <w:lang w:val="en-US" w:eastAsia="zh-CN" w:bidi="ar-SA"/>
    </w:rPr>
  </w:style>
  <w:style w:type="character" w:styleId="739" w:customStyle="1">
    <w:name w:val="标题 1 Char"/>
    <w:link w:val="740"/>
    <w:uiPriority w:val="0"/>
    <w:qFormat/>
    <w:rPr>
      <w:rFonts w:ascii="楷体_GB2312" w:hAnsi="Times New Roman" w:eastAsia="楷体_GB2312" w:cs="Times New Roman"/>
      <w:sz w:val="28"/>
      <w:szCs w:val="28"/>
    </w:rPr>
  </w:style>
  <w:style w:type="paragraph" w:styleId="740" w:customStyle="1">
    <w:name w:val="标题 11"/>
    <w:basedOn w:val="694"/>
    <w:next w:val="694"/>
    <w:link w:val="739"/>
    <w:uiPriority w:val="0"/>
    <w:qFormat/>
    <w:pPr>
      <w:jc w:val="center"/>
      <w:keepNext/>
      <w:outlineLvl w:val="0"/>
    </w:pPr>
    <w:rPr>
      <w:rFonts w:ascii="楷体_GB2312" w:eastAsia="楷体_GB2312"/>
      <w:sz w:val="28"/>
      <w:szCs w:val="28"/>
    </w:rPr>
  </w:style>
  <w:style w:type="character" w:styleId="741" w:customStyle="1">
    <w:name w:val="Heading 1 Char"/>
    <w:basedOn w:val="704"/>
    <w:uiPriority w:val="9"/>
    <w:qFormat/>
    <w:rPr>
      <w:rFonts w:ascii="Arial" w:hAnsi="Arial" w:eastAsia="Arial" w:cs="Arial"/>
      <w:sz w:val="40"/>
      <w:szCs w:val="40"/>
    </w:rPr>
  </w:style>
  <w:style w:type="character" w:styleId="742" w:customStyle="1">
    <w:name w:val="Heading 2 Char"/>
    <w:basedOn w:val="704"/>
    <w:uiPriority w:val="9"/>
    <w:qFormat/>
    <w:rPr>
      <w:rFonts w:ascii="Arial" w:hAnsi="Arial" w:eastAsia="Arial" w:cs="Arial"/>
      <w:sz w:val="34"/>
    </w:rPr>
  </w:style>
  <w:style w:type="character" w:styleId="743" w:customStyle="1">
    <w:name w:val="Heading 3 Char"/>
    <w:basedOn w:val="704"/>
    <w:uiPriority w:val="9"/>
    <w:qFormat/>
    <w:rPr>
      <w:rFonts w:ascii="Arial" w:hAnsi="Arial" w:eastAsia="Arial" w:cs="Arial"/>
      <w:sz w:val="30"/>
      <w:szCs w:val="30"/>
    </w:rPr>
  </w:style>
  <w:style w:type="character" w:styleId="744" w:customStyle="1">
    <w:name w:val="Heading 4 Char"/>
    <w:basedOn w:val="704"/>
    <w:uiPriority w:val="9"/>
    <w:qFormat/>
    <w:rPr>
      <w:rFonts w:ascii="Arial" w:hAnsi="Arial" w:eastAsia="Arial" w:cs="Arial"/>
      <w:b/>
      <w:bCs/>
      <w:sz w:val="26"/>
      <w:szCs w:val="26"/>
    </w:rPr>
  </w:style>
  <w:style w:type="character" w:styleId="745" w:customStyle="1">
    <w:name w:val="Heading 5 Char"/>
    <w:basedOn w:val="704"/>
    <w:uiPriority w:val="9"/>
    <w:qFormat/>
    <w:rPr>
      <w:rFonts w:ascii="Arial" w:hAnsi="Arial" w:eastAsia="Arial" w:cs="Arial"/>
      <w:b/>
      <w:bCs/>
      <w:sz w:val="24"/>
      <w:szCs w:val="24"/>
    </w:rPr>
  </w:style>
  <w:style w:type="character" w:styleId="746" w:customStyle="1">
    <w:name w:val="Heading 6 Char"/>
    <w:basedOn w:val="704"/>
    <w:uiPriority w:val="9"/>
    <w:qFormat/>
    <w:rPr>
      <w:rFonts w:ascii="Arial" w:hAnsi="Arial" w:eastAsia="Arial" w:cs="Arial"/>
      <w:b/>
      <w:bCs/>
      <w:sz w:val="22"/>
      <w:szCs w:val="22"/>
    </w:rPr>
  </w:style>
  <w:style w:type="character" w:styleId="747" w:customStyle="1">
    <w:name w:val="Heading 7 Char"/>
    <w:basedOn w:val="704"/>
    <w:uiPriority w:val="9"/>
    <w:qFormat/>
    <w:rPr>
      <w:rFonts w:ascii="Arial" w:hAnsi="Arial" w:eastAsia="Arial" w:cs="Arial"/>
      <w:b/>
      <w:bCs/>
      <w:i/>
      <w:iCs/>
      <w:sz w:val="22"/>
      <w:szCs w:val="22"/>
    </w:rPr>
  </w:style>
  <w:style w:type="character" w:styleId="748" w:customStyle="1">
    <w:name w:val="Heading 8 Char"/>
    <w:basedOn w:val="704"/>
    <w:uiPriority w:val="9"/>
    <w:qFormat/>
    <w:rPr>
      <w:rFonts w:ascii="Arial" w:hAnsi="Arial" w:eastAsia="Arial" w:cs="Arial"/>
      <w:i/>
      <w:iCs/>
      <w:sz w:val="22"/>
      <w:szCs w:val="22"/>
    </w:rPr>
  </w:style>
  <w:style w:type="character" w:styleId="749" w:customStyle="1">
    <w:name w:val="Heading 9 Char"/>
    <w:basedOn w:val="704"/>
    <w:uiPriority w:val="9"/>
    <w:qFormat/>
    <w:rPr>
      <w:rFonts w:ascii="Arial" w:hAnsi="Arial" w:eastAsia="Arial" w:cs="Arial"/>
      <w:i/>
      <w:iCs/>
      <w:sz w:val="21"/>
      <w:szCs w:val="21"/>
    </w:rPr>
  </w:style>
  <w:style w:type="character" w:styleId="750" w:customStyle="1">
    <w:name w:val="Title Char"/>
    <w:basedOn w:val="704"/>
    <w:uiPriority w:val="10"/>
    <w:qFormat/>
    <w:rPr>
      <w:sz w:val="48"/>
      <w:szCs w:val="48"/>
    </w:rPr>
  </w:style>
  <w:style w:type="character" w:styleId="751" w:customStyle="1">
    <w:name w:val="Subtitle Char"/>
    <w:basedOn w:val="704"/>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704"/>
    <w:uiPriority w:val="99"/>
    <w:qFormat/>
  </w:style>
  <w:style w:type="character" w:styleId="755" w:customStyle="1">
    <w:name w:val="Caption Char"/>
    <w:uiPriority w:val="99"/>
    <w:qFormat/>
  </w:style>
  <w:style w:type="table" w:styleId="756"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7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70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rPr>
      <w:rFonts w:ascii="Times New Roman" w:hAnsi="Times New Roman" w:eastAsia="宋体" w:cs="Times New Roman"/>
      <w:lang w:val="en-US" w:eastAsia="zh-CN" w:bidi="ar-SA"/>
    </w:rPr>
  </w:style>
  <w:style w:type="character" w:styleId="778" w:customStyle="1">
    <w:name w:val="标题 1 字符"/>
    <w:link w:val="695"/>
    <w:uiPriority w:val="9"/>
    <w:qFormat/>
    <w:rPr>
      <w:rFonts w:ascii="Arial" w:hAnsi="Arial" w:eastAsia="Arial" w:cs="Arial"/>
      <w:sz w:val="40"/>
      <w:szCs w:val="40"/>
    </w:rPr>
  </w:style>
  <w:style w:type="character" w:styleId="779" w:customStyle="1">
    <w:name w:val="标题 2 字符"/>
    <w:link w:val="696"/>
    <w:uiPriority w:val="9"/>
    <w:qFormat/>
    <w:rPr>
      <w:rFonts w:ascii="Arial" w:hAnsi="Arial" w:cs="Arial" w:eastAsiaTheme="minorEastAsia"/>
      <w:sz w:val="28"/>
      <w:szCs w:val="21"/>
    </w:rPr>
  </w:style>
  <w:style w:type="character" w:styleId="780" w:customStyle="1">
    <w:name w:val="标题 3 字符"/>
    <w:link w:val="697"/>
    <w:uiPriority w:val="9"/>
    <w:qFormat/>
    <w:rPr>
      <w:rFonts w:ascii="Arial" w:hAnsi="Arial" w:eastAsia="Arial" w:cs="Arial"/>
      <w:sz w:val="30"/>
      <w:szCs w:val="30"/>
    </w:rPr>
  </w:style>
  <w:style w:type="character" w:styleId="781" w:customStyle="1">
    <w:name w:val="标题 4 字符"/>
    <w:link w:val="698"/>
    <w:uiPriority w:val="9"/>
    <w:qFormat/>
    <w:rPr>
      <w:rFonts w:ascii="Arial" w:hAnsi="Arial" w:eastAsia="Arial" w:cs="Arial"/>
      <w:b/>
      <w:bCs/>
      <w:sz w:val="26"/>
      <w:szCs w:val="26"/>
    </w:rPr>
  </w:style>
  <w:style w:type="character" w:styleId="782" w:customStyle="1">
    <w:name w:val="标题 5 字符"/>
    <w:link w:val="699"/>
    <w:uiPriority w:val="9"/>
    <w:qFormat/>
    <w:rPr>
      <w:rFonts w:ascii="Arial" w:hAnsi="Arial" w:eastAsia="Arial" w:cs="Arial"/>
      <w:b/>
      <w:bCs/>
      <w:sz w:val="24"/>
      <w:szCs w:val="24"/>
    </w:rPr>
  </w:style>
  <w:style w:type="character" w:styleId="783" w:customStyle="1">
    <w:name w:val="标题 6 字符"/>
    <w:link w:val="700"/>
    <w:uiPriority w:val="9"/>
    <w:qFormat/>
    <w:rPr>
      <w:rFonts w:ascii="Arial" w:hAnsi="Arial" w:eastAsia="Arial" w:cs="Arial"/>
      <w:b/>
      <w:bCs/>
      <w:sz w:val="22"/>
      <w:szCs w:val="22"/>
    </w:rPr>
  </w:style>
  <w:style w:type="character" w:styleId="784" w:customStyle="1">
    <w:name w:val="标题 7 字符"/>
    <w:link w:val="701"/>
    <w:uiPriority w:val="9"/>
    <w:qFormat/>
    <w:rPr>
      <w:rFonts w:ascii="Arial" w:hAnsi="Arial" w:eastAsia="Arial" w:cs="Arial"/>
      <w:b/>
      <w:bCs/>
      <w:i/>
      <w:iCs/>
      <w:sz w:val="22"/>
      <w:szCs w:val="22"/>
    </w:rPr>
  </w:style>
  <w:style w:type="character" w:styleId="785" w:customStyle="1">
    <w:name w:val="标题 8 字符"/>
    <w:link w:val="702"/>
    <w:uiPriority w:val="9"/>
    <w:qFormat/>
    <w:rPr>
      <w:rFonts w:ascii="Arial" w:hAnsi="Arial" w:eastAsia="Arial" w:cs="Arial"/>
      <w:i/>
      <w:iCs/>
      <w:sz w:val="22"/>
      <w:szCs w:val="22"/>
    </w:rPr>
  </w:style>
  <w:style w:type="character" w:styleId="786" w:customStyle="1">
    <w:name w:val="标题 9 字符"/>
    <w:link w:val="703"/>
    <w:uiPriority w:val="9"/>
    <w:qFormat/>
    <w:rPr>
      <w:rFonts w:ascii="Arial" w:hAnsi="Arial" w:eastAsia="Arial" w:cs="Arial"/>
      <w:i/>
      <w:iCs/>
      <w:sz w:val="21"/>
      <w:szCs w:val="21"/>
    </w:rPr>
  </w:style>
  <w:style w:type="paragraph" w:styleId="787">
    <w:name w:val="List Paragraph"/>
    <w:basedOn w:val="694"/>
    <w:uiPriority w:val="34"/>
    <w:qFormat/>
    <w:pPr>
      <w:contextualSpacing/>
      <w:ind w:left="720"/>
    </w:pPr>
  </w:style>
  <w:style w:type="paragraph" w:styleId="788">
    <w:name w:val="No Spacing"/>
    <w:uiPriority w:val="1"/>
    <w:qFormat/>
    <w:rPr>
      <w:rFonts w:ascii="Calibri" w:hAnsi="Calibri" w:eastAsia="宋体" w:cs="Times New Roman"/>
      <w:lang w:val="en-US" w:eastAsia="zh-CN" w:bidi="ar-SA"/>
    </w:rPr>
  </w:style>
  <w:style w:type="character" w:styleId="789" w:customStyle="1">
    <w:name w:val="标题 字符"/>
    <w:link w:val="730"/>
    <w:uiPriority w:val="10"/>
    <w:qFormat/>
    <w:rPr>
      <w:sz w:val="48"/>
      <w:szCs w:val="48"/>
    </w:rPr>
  </w:style>
  <w:style w:type="character" w:styleId="790" w:customStyle="1">
    <w:name w:val="副标题 字符"/>
    <w:link w:val="723"/>
    <w:uiPriority w:val="11"/>
    <w:qFormat/>
    <w:rPr>
      <w:sz w:val="24"/>
      <w:szCs w:val="24"/>
    </w:rPr>
  </w:style>
  <w:style w:type="paragraph" w:styleId="791">
    <w:name w:val="Quote"/>
    <w:basedOn w:val="694"/>
    <w:next w:val="694"/>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694"/>
    <w:next w:val="69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
    <w:link w:val="720"/>
    <w:uiPriority w:val="99"/>
    <w:qFormat/>
  </w:style>
  <w:style w:type="character" w:styleId="796" w:customStyle="1">
    <w:name w:val="Footer Char"/>
    <w:uiPriority w:val="99"/>
    <w:qFormat/>
  </w:style>
  <w:style w:type="character" w:styleId="797" w:customStyle="1">
    <w:name w:val="页脚 字符"/>
    <w:link w:val="719"/>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字符"/>
    <w:link w:val="724"/>
    <w:uiPriority w:val="99"/>
    <w:qFormat/>
    <w:rPr>
      <w:sz w:val="18"/>
    </w:rPr>
  </w:style>
  <w:style w:type="character" w:styleId="905" w:customStyle="1">
    <w:name w:val="尾注文本 字符"/>
    <w:link w:val="717"/>
    <w:uiPriority w:val="99"/>
    <w:qFormat/>
    <w:rPr>
      <w:sz w:val="20"/>
    </w:rPr>
  </w:style>
  <w:style w:type="paragraph" w:styleId="906" w:customStyle="1">
    <w:name w:val="TOC 标题11"/>
    <w:uiPriority w:val="39"/>
    <w:unhideWhenUsed/>
    <w:qFormat/>
    <w:rPr>
      <w:rFonts w:ascii="Calibri" w:hAnsi="Calibri" w:eastAsia="宋体" w:cs="Times New Roman"/>
      <w:lang w:val="en-US" w:eastAsia="zh-CN" w:bidi="ar-SA"/>
    </w:rPr>
  </w:style>
  <w:style w:type="paragraph" w:styleId="907" w:customStyle="1">
    <w:name w:val="标题 21"/>
    <w:basedOn w:val="694"/>
    <w:next w:val="694"/>
    <w:link w:val="9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8" w:customStyle="1">
    <w:name w:val="标题 31"/>
    <w:basedOn w:val="694"/>
    <w:next w:val="694"/>
    <w:link w:val="941"/>
    <w:uiPriority w:val="0"/>
    <w:qFormat/>
    <w:pPr>
      <w:keepLines/>
      <w:keepNext/>
      <w:spacing w:before="260" w:after="260" w:line="416" w:lineRule="auto"/>
      <w:outlineLvl w:val="2"/>
    </w:pPr>
    <w:rPr>
      <w:b/>
      <w:bCs/>
      <w:sz w:val="32"/>
      <w:szCs w:val="32"/>
    </w:rPr>
  </w:style>
  <w:style w:type="paragraph" w:styleId="909" w:customStyle="1">
    <w:name w:val="标题 41"/>
    <w:basedOn w:val="694"/>
    <w:next w:val="910"/>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910" w:customStyle="1">
    <w:name w:val="正文缩进1"/>
    <w:basedOn w:val="694"/>
    <w:link w:val="944"/>
    <w:uiPriority w:val="0"/>
    <w:qFormat/>
    <w:pPr>
      <w:ind w:firstLine="420"/>
    </w:pPr>
  </w:style>
  <w:style w:type="paragraph" w:styleId="911" w:customStyle="1">
    <w:name w:val="标题 51"/>
    <w:basedOn w:val="694"/>
    <w:next w:val="910"/>
    <w:link w:val="951"/>
    <w:uiPriority w:val="0"/>
    <w:qFormat/>
    <w:pPr>
      <w:keepNext/>
      <w:outlineLvl w:val="4"/>
    </w:pPr>
    <w:rPr>
      <w:rFonts w:ascii="宋体"/>
      <w:color w:val="000000"/>
      <w:sz w:val="28"/>
      <w:szCs w:val="28"/>
    </w:rPr>
  </w:style>
  <w:style w:type="paragraph" w:styleId="912" w:customStyle="1">
    <w:name w:val="标题 61"/>
    <w:basedOn w:val="694"/>
    <w:next w:val="694"/>
    <w:link w:val="930"/>
    <w:uiPriority w:val="0"/>
    <w:qFormat/>
    <w:pPr>
      <w:numPr>
        <w:ilvl w:val="5"/>
        <w:numId w:val="3"/>
      </w:numPr>
      <w:keepLines/>
      <w:keepNext/>
      <w:spacing w:before="240" w:after="64" w:line="320" w:lineRule="auto"/>
      <w:outlineLvl w:val="5"/>
    </w:pPr>
    <w:rPr>
      <w:rFonts w:ascii="Arial" w:hAnsi="Arial" w:eastAsia="黑体"/>
      <w:b/>
      <w:bCs/>
      <w:sz w:val="24"/>
      <w:szCs w:val="24"/>
    </w:rPr>
  </w:style>
  <w:style w:type="paragraph" w:styleId="913" w:customStyle="1">
    <w:name w:val="标题 71"/>
    <w:basedOn w:val="694"/>
    <w:next w:val="694"/>
    <w:link w:val="925"/>
    <w:uiPriority w:val="0"/>
    <w:qFormat/>
    <w:pPr>
      <w:numPr>
        <w:ilvl w:val="6"/>
        <w:numId w:val="3"/>
      </w:numPr>
      <w:keepLines/>
      <w:keepNext/>
      <w:spacing w:before="240" w:after="64" w:line="320" w:lineRule="auto"/>
      <w:outlineLvl w:val="6"/>
    </w:pPr>
    <w:rPr>
      <w:b/>
      <w:bCs/>
      <w:sz w:val="24"/>
      <w:szCs w:val="24"/>
    </w:rPr>
  </w:style>
  <w:style w:type="paragraph" w:styleId="914" w:customStyle="1">
    <w:name w:val="标题 81"/>
    <w:basedOn w:val="694"/>
    <w:next w:val="694"/>
    <w:link w:val="924"/>
    <w:uiPriority w:val="0"/>
    <w:qFormat/>
    <w:pPr>
      <w:numPr>
        <w:ilvl w:val="7"/>
        <w:numId w:val="3"/>
      </w:numPr>
      <w:keepLines/>
      <w:keepNext/>
      <w:spacing w:before="240" w:after="64" w:line="320" w:lineRule="auto"/>
      <w:outlineLvl w:val="7"/>
    </w:pPr>
    <w:rPr>
      <w:rFonts w:ascii="Arial" w:hAnsi="Arial" w:eastAsia="黑体"/>
      <w:sz w:val="24"/>
      <w:szCs w:val="24"/>
    </w:rPr>
  </w:style>
  <w:style w:type="paragraph" w:styleId="915" w:customStyle="1">
    <w:name w:val="标题 91"/>
    <w:basedOn w:val="694"/>
    <w:next w:val="694"/>
    <w:link w:val="960"/>
    <w:uiPriority w:val="0"/>
    <w:qFormat/>
    <w:pPr>
      <w:numPr>
        <w:ilvl w:val="8"/>
        <w:numId w:val="3"/>
      </w:numPr>
      <w:keepLines/>
      <w:keepNext/>
      <w:spacing w:before="240" w:after="64" w:line="320" w:lineRule="auto"/>
      <w:outlineLvl w:val="8"/>
    </w:pPr>
    <w:rPr>
      <w:rFonts w:ascii="Arial" w:hAnsi="Arial" w:eastAsia="黑体"/>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批注框文本 Char"/>
    <w:link w:val="919"/>
    <w:uiPriority w:val="0"/>
    <w:semiHidden/>
    <w:qFormat/>
    <w:rPr>
      <w:rFonts w:ascii="Times New Roman" w:hAnsi="Times New Roman" w:eastAsia="宋体" w:cs="Times New Roman"/>
      <w:sz w:val="18"/>
      <w:szCs w:val="18"/>
    </w:rPr>
  </w:style>
  <w:style w:type="paragraph" w:styleId="919" w:customStyle="1">
    <w:name w:val="批注框文本1"/>
    <w:basedOn w:val="694"/>
    <w:link w:val="918"/>
    <w:uiPriority w:val="0"/>
    <w:semiHidden/>
    <w:qFormat/>
    <w:rPr>
      <w:sz w:val="18"/>
      <w:szCs w:val="18"/>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694"/>
    <w:link w:val="920"/>
    <w:uiPriority w:val="0"/>
    <w:qFormat/>
    <w:pPr>
      <w:contextualSpacing/>
      <w:ind w:left="720"/>
      <w:jc w:val="left"/>
      <w:widowControl/>
    </w:pPr>
    <w:rPr>
      <w:rFonts w:ascii="Calibri" w:hAnsi="Calibri"/>
      <w:sz w:val="24"/>
      <w:szCs w:val="24"/>
      <w:lang w:eastAsia="en-US" w:bidi="en-US"/>
    </w:rPr>
  </w:style>
  <w:style w:type="character" w:styleId="922" w:customStyle="1">
    <w:name w:val="正文文本 Char"/>
    <w:link w:val="923"/>
    <w:uiPriority w:val="0"/>
    <w:qFormat/>
    <w:rPr>
      <w:rFonts w:ascii="楷体_GB2312" w:hAnsi="Arial" w:eastAsia="楷体_GB2312" w:cs="Times New Roman"/>
      <w:sz w:val="28"/>
      <w:szCs w:val="28"/>
    </w:rPr>
  </w:style>
  <w:style w:type="paragraph" w:styleId="923" w:customStyle="1">
    <w:name w:val="正文文本1"/>
    <w:basedOn w:val="694"/>
    <w:link w:val="922"/>
    <w:uiPriority w:val="0"/>
    <w:qFormat/>
    <w:rPr>
      <w:rFonts w:ascii="楷体_GB2312" w:hAnsi="Arial" w:eastAsia="楷体_GB2312"/>
      <w:sz w:val="28"/>
      <w:szCs w:val="28"/>
    </w:rPr>
  </w:style>
  <w:style w:type="character" w:styleId="924" w:customStyle="1">
    <w:name w:val="标题 8 Char"/>
    <w:link w:val="914"/>
    <w:uiPriority w:val="0"/>
    <w:qFormat/>
    <w:rPr>
      <w:rFonts w:ascii="Arial" w:hAnsi="Arial" w:eastAsia="黑体" w:cs="Times New Roman"/>
      <w:sz w:val="24"/>
      <w:szCs w:val="24"/>
    </w:rPr>
  </w:style>
  <w:style w:type="character" w:styleId="925" w:customStyle="1">
    <w:name w:val="标题 7 Char"/>
    <w:link w:val="913"/>
    <w:uiPriority w:val="0"/>
    <w:qFormat/>
    <w:rPr>
      <w:rFonts w:ascii="Times New Roman" w:hAnsi="Times New Roman" w:eastAsia="宋体" w:cs="Times New Roman"/>
      <w:b/>
      <w:bCs/>
      <w:sz w:val="24"/>
      <w:szCs w:val="24"/>
    </w:rPr>
  </w:style>
  <w:style w:type="character" w:styleId="926" w:customStyle="1">
    <w:name w:val="超链接1"/>
    <w:uiPriority w:val="0"/>
    <w:qFormat/>
    <w:rPr>
      <w:color w:val="0000ff"/>
      <w:u w:val="single"/>
    </w:rPr>
  </w:style>
  <w:style w:type="character" w:styleId="927" w:customStyle="1">
    <w:name w:val="正文文本 3 Char"/>
    <w:link w:val="928"/>
    <w:uiPriority w:val="0"/>
    <w:qFormat/>
    <w:rPr>
      <w:rFonts w:ascii="仿宋_GB2312" w:hAnsi="Arial" w:eastAsia="仿宋_GB2312" w:cs="Times New Roman"/>
      <w:sz w:val="32"/>
      <w:szCs w:val="32"/>
    </w:rPr>
  </w:style>
  <w:style w:type="paragraph" w:styleId="928" w:customStyle="1">
    <w:name w:val="正文文本 31"/>
    <w:basedOn w:val="694"/>
    <w:link w:val="927"/>
    <w:uiPriority w:val="0"/>
    <w:qFormat/>
    <w:rPr>
      <w:rFonts w:ascii="仿宋_GB2312" w:hAnsi="Arial" w:eastAsia="仿宋_GB2312"/>
      <w:sz w:val="32"/>
      <w:szCs w:val="32"/>
    </w:rPr>
  </w:style>
  <w:style w:type="character" w:styleId="929" w:customStyle="1">
    <w:name w:val="font5 Char"/>
    <w:uiPriority w:val="0"/>
    <w:qFormat/>
    <w:rPr>
      <w:rFonts w:ascii="宋体" w:hAnsi="宋体" w:eastAsia="宋体"/>
      <w:sz w:val="28"/>
      <w:szCs w:val="28"/>
      <w:lang w:val="en-US" w:eastAsia="zh-CN" w:bidi="ar-SA"/>
    </w:rPr>
  </w:style>
  <w:style w:type="character" w:styleId="930" w:customStyle="1">
    <w:name w:val="标题 6 Char"/>
    <w:link w:val="912"/>
    <w:uiPriority w:val="0"/>
    <w:qFormat/>
    <w:rPr>
      <w:rFonts w:ascii="Arial" w:hAnsi="Arial" w:eastAsia="黑体" w:cs="Times New Roman"/>
      <w:b/>
      <w:bCs/>
      <w:sz w:val="24"/>
      <w:szCs w:val="24"/>
    </w:rPr>
  </w:style>
  <w:style w:type="character" w:styleId="931" w:customStyle="1">
    <w:name w:val="已访问的超链接1"/>
    <w:uiPriority w:val="0"/>
    <w:qFormat/>
    <w:rPr>
      <w:color w:val="800080"/>
      <w:u w:val="single"/>
    </w:rPr>
  </w:style>
  <w:style w:type="character" w:styleId="932" w:customStyle="1">
    <w:name w:val="标题 4 Char"/>
    <w:link w:val="909"/>
    <w:uiPriority w:val="0"/>
    <w:qFormat/>
    <w:rPr>
      <w:rFonts w:ascii="Arial" w:hAnsi="Arial" w:eastAsia="黑体" w:cs="Arial"/>
      <w:b/>
      <w:bCs/>
      <w:sz w:val="28"/>
      <w:szCs w:val="28"/>
    </w:rPr>
  </w:style>
  <w:style w:type="character" w:styleId="933" w:customStyle="1">
    <w:name w:val="二级目录 Char"/>
    <w:link w:val="934"/>
    <w:uiPriority w:val="0"/>
    <w:qFormat/>
    <w:rPr>
      <w:b/>
      <w:sz w:val="30"/>
      <w:szCs w:val="28"/>
    </w:rPr>
  </w:style>
  <w:style w:type="paragraph" w:styleId="934" w:customStyle="1">
    <w:name w:val="二级目录"/>
    <w:next w:val="694"/>
    <w:link w:val="93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35" w:customStyle="1">
    <w:name w:val="页眉 Char"/>
    <w:link w:val="936"/>
    <w:uiPriority w:val="0"/>
    <w:qFormat/>
    <w:rPr>
      <w:rFonts w:ascii="Times New Roman" w:hAnsi="Times New Roman" w:eastAsia="宋体" w:cs="Times New Roman"/>
      <w:sz w:val="18"/>
      <w:szCs w:val="18"/>
    </w:rPr>
  </w:style>
  <w:style w:type="paragraph" w:styleId="936" w:customStyle="1">
    <w:name w:val="页眉1"/>
    <w:basedOn w:val="694"/>
    <w:link w:val="935"/>
    <w:uiPriority w:val="0"/>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码1"/>
    <w:uiPriority w:val="0"/>
    <w:qFormat/>
  </w:style>
  <w:style w:type="character" w:styleId="938" w:customStyle="1">
    <w:name w:val="正文首行缩进 2 Char"/>
    <w:link w:val="939"/>
    <w:uiPriority w:val="0"/>
    <w:qFormat/>
    <w:rPr>
      <w:rFonts w:ascii="宋体" w:hAnsi="宋体" w:eastAsia="宋体" w:cs="Times New Roman"/>
      <w:sz w:val="32"/>
      <w:szCs w:val="20"/>
    </w:rPr>
  </w:style>
  <w:style w:type="paragraph" w:styleId="939" w:customStyle="1">
    <w:name w:val="正文首行缩进 21"/>
    <w:basedOn w:val="940"/>
    <w:link w:val="938"/>
    <w:uiPriority w:val="0"/>
    <w:qFormat/>
    <w:pPr>
      <w:ind w:firstLine="420"/>
      <w:spacing w:line="360" w:lineRule="auto"/>
    </w:pPr>
    <w:rPr>
      <w:rFonts w:ascii="宋体" w:hAnsi="宋体" w:eastAsia="宋体"/>
      <w:sz w:val="21"/>
      <w:szCs w:val="20"/>
    </w:rPr>
  </w:style>
  <w:style w:type="paragraph" w:styleId="940" w:customStyle="1">
    <w:name w:val="正文文本缩进1"/>
    <w:basedOn w:val="694"/>
    <w:link w:val="956"/>
    <w:uiPriority w:val="0"/>
    <w:qFormat/>
    <w:pPr>
      <w:ind w:firstLine="645"/>
    </w:pPr>
    <w:rPr>
      <w:rFonts w:ascii="楷体_GB2312" w:eastAsia="楷体_GB2312"/>
      <w:sz w:val="32"/>
      <w:szCs w:val="32"/>
    </w:rPr>
  </w:style>
  <w:style w:type="character" w:styleId="941" w:customStyle="1">
    <w:name w:val="标题 3 Char"/>
    <w:link w:val="908"/>
    <w:uiPriority w:val="0"/>
    <w:qFormat/>
    <w:rPr>
      <w:rFonts w:ascii="Times New Roman" w:hAnsi="Times New Roman" w:eastAsia="宋体" w:cs="Times New Roman"/>
      <w:b/>
      <w:bCs/>
      <w:sz w:val="32"/>
      <w:szCs w:val="32"/>
    </w:rPr>
  </w:style>
  <w:style w:type="character" w:styleId="942" w:customStyle="1">
    <w:name w:val="批注文字 Char"/>
    <w:link w:val="943"/>
    <w:uiPriority w:val="0"/>
    <w:semiHidden/>
    <w:qFormat/>
    <w:rPr>
      <w:rFonts w:ascii="Times New Roman" w:hAnsi="Times New Roman" w:eastAsia="宋体" w:cs="Times New Roman"/>
      <w:szCs w:val="21"/>
    </w:rPr>
  </w:style>
  <w:style w:type="paragraph" w:styleId="943" w:customStyle="1">
    <w:name w:val="批注文字1"/>
    <w:basedOn w:val="694"/>
    <w:link w:val="942"/>
    <w:uiPriority w:val="0"/>
    <w:semiHidden/>
    <w:qFormat/>
    <w:pPr>
      <w:jc w:val="left"/>
    </w:pPr>
  </w:style>
  <w:style w:type="character" w:styleId="944" w:customStyle="1">
    <w:name w:val="正文缩进 Char"/>
    <w:link w:val="910"/>
    <w:uiPriority w:val="0"/>
    <w:qFormat/>
    <w:rPr>
      <w:rFonts w:ascii="Times New Roman" w:hAnsi="Times New Roman" w:eastAsia="宋体" w:cs="Times New Roman"/>
      <w:szCs w:val="21"/>
    </w:rPr>
  </w:style>
  <w:style w:type="character" w:styleId="945" w:customStyle="1">
    <w:name w:val="日期 Char"/>
    <w:link w:val="946"/>
    <w:uiPriority w:val="0"/>
    <w:qFormat/>
    <w:rPr>
      <w:rFonts w:ascii="Times New Roman" w:hAnsi="Times New Roman" w:eastAsia="宋体" w:cs="Times New Roman"/>
      <w:sz w:val="24"/>
      <w:szCs w:val="24"/>
    </w:rPr>
  </w:style>
  <w:style w:type="paragraph" w:styleId="946" w:customStyle="1">
    <w:name w:val="日期1"/>
    <w:basedOn w:val="694"/>
    <w:next w:val="694"/>
    <w:link w:val="945"/>
    <w:uiPriority w:val="0"/>
    <w:qFormat/>
    <w:rPr>
      <w:sz w:val="24"/>
      <w:szCs w:val="24"/>
    </w:rPr>
  </w:style>
  <w:style w:type="character" w:styleId="947" w:customStyle="1">
    <w:name w:val="要点1"/>
    <w:uiPriority w:val="0"/>
    <w:qFormat/>
    <w:rPr>
      <w:b/>
      <w:bCs/>
    </w:rPr>
  </w:style>
  <w:style w:type="character" w:styleId="948" w:customStyle="1">
    <w:name w:val="页脚 Char"/>
    <w:link w:val="949"/>
    <w:uiPriority w:val="0"/>
    <w:qFormat/>
    <w:rPr>
      <w:rFonts w:ascii="Times New Roman" w:hAnsi="Times New Roman" w:eastAsia="宋体" w:cs="Times New Roman"/>
      <w:sz w:val="18"/>
      <w:szCs w:val="18"/>
    </w:rPr>
  </w:style>
  <w:style w:type="paragraph" w:styleId="949" w:customStyle="1">
    <w:name w:val="页脚1"/>
    <w:basedOn w:val="694"/>
    <w:link w:val="948"/>
    <w:uiPriority w:val="0"/>
    <w:qFormat/>
    <w:pPr>
      <w:jc w:val="left"/>
      <w:tabs>
        <w:tab w:val="center" w:pos="4153" w:leader="none"/>
        <w:tab w:val="right" w:pos="8306" w:leader="none"/>
      </w:tabs>
    </w:pPr>
    <w:rPr>
      <w:sz w:val="18"/>
      <w:szCs w:val="18"/>
    </w:rPr>
  </w:style>
  <w:style w:type="character" w:styleId="950" w:customStyle="1">
    <w:name w:val="批注引用1"/>
    <w:uiPriority w:val="0"/>
    <w:semiHidden/>
    <w:qFormat/>
    <w:rPr>
      <w:sz w:val="21"/>
      <w:szCs w:val="21"/>
    </w:rPr>
  </w:style>
  <w:style w:type="character" w:styleId="951" w:customStyle="1">
    <w:name w:val="标题 5 Char"/>
    <w:link w:val="911"/>
    <w:uiPriority w:val="0"/>
    <w:qFormat/>
    <w:rPr>
      <w:rFonts w:ascii="宋体" w:hAnsi="Times New Roman" w:eastAsia="宋体" w:cs="Times New Roman"/>
      <w:color w:val="000000"/>
      <w:sz w:val="28"/>
      <w:szCs w:val="28"/>
    </w:rPr>
  </w:style>
  <w:style w:type="character" w:styleId="952" w:customStyle="1">
    <w:name w:val="文档结构图 Char"/>
    <w:link w:val="953"/>
    <w:uiPriority w:val="0"/>
    <w:semiHidden/>
    <w:qFormat/>
    <w:rPr>
      <w:rFonts w:ascii="Times New Roman" w:hAnsi="Times New Roman" w:eastAsia="宋体" w:cs="Times New Roman"/>
      <w:szCs w:val="21"/>
      <w:shd w:val="clear" w:color="auto" w:fill="000080"/>
    </w:rPr>
  </w:style>
  <w:style w:type="paragraph" w:styleId="953" w:customStyle="1">
    <w:name w:val="文档结构图1"/>
    <w:basedOn w:val="694"/>
    <w:link w:val="952"/>
    <w:uiPriority w:val="0"/>
    <w:semiHidden/>
    <w:qFormat/>
    <w:pPr>
      <w:shd w:val="clear" w:color="auto" w:fill="000080"/>
    </w:pPr>
  </w:style>
  <w:style w:type="character" w:styleId="954" w:customStyle="1">
    <w:name w:val="正文文本缩进 3 Char"/>
    <w:link w:val="955"/>
    <w:uiPriority w:val="0"/>
    <w:qFormat/>
    <w:rPr>
      <w:rFonts w:ascii="Arial" w:hAnsi="Arial" w:eastAsia="仿宋_GB2312" w:cs="Arial"/>
      <w:color w:val="ffff00"/>
      <w:sz w:val="32"/>
      <w:szCs w:val="32"/>
    </w:rPr>
  </w:style>
  <w:style w:type="paragraph" w:styleId="955" w:customStyle="1">
    <w:name w:val="正文文本缩进 31"/>
    <w:basedOn w:val="694"/>
    <w:link w:val="954"/>
    <w:uiPriority w:val="0"/>
    <w:qFormat/>
    <w:pPr>
      <w:ind w:left="645" w:firstLine="645"/>
    </w:pPr>
    <w:rPr>
      <w:rFonts w:ascii="Arial" w:hAnsi="Arial" w:eastAsia="仿宋_GB2312" w:cs="Arial"/>
      <w:color w:val="ffff00"/>
      <w:sz w:val="32"/>
      <w:szCs w:val="32"/>
    </w:rPr>
  </w:style>
  <w:style w:type="character" w:styleId="956" w:customStyle="1">
    <w:name w:val="正文文本缩进 Char"/>
    <w:link w:val="940"/>
    <w:uiPriority w:val="0"/>
    <w:qFormat/>
    <w:rPr>
      <w:rFonts w:ascii="楷体_GB2312" w:hAnsi="Times New Roman" w:eastAsia="楷体_GB2312" w:cs="Times New Roman"/>
      <w:sz w:val="32"/>
      <w:szCs w:val="32"/>
    </w:rPr>
  </w:style>
  <w:style w:type="character" w:styleId="957" w:customStyle="1">
    <w:name w:val="纯文本 Char"/>
    <w:link w:val="958"/>
    <w:uiPriority w:val="0"/>
    <w:qFormat/>
    <w:rPr>
      <w:rFonts w:ascii="宋体" w:hAnsi="Courier New" w:eastAsia="宋体" w:cs="Courier New"/>
      <w:szCs w:val="21"/>
    </w:rPr>
  </w:style>
  <w:style w:type="paragraph" w:styleId="958" w:customStyle="1">
    <w:name w:val="纯文本1"/>
    <w:basedOn w:val="694"/>
    <w:link w:val="957"/>
    <w:uiPriority w:val="0"/>
    <w:qFormat/>
    <w:rPr>
      <w:rFonts w:ascii="宋体" w:hAnsi="Courier New" w:cs="Courier New"/>
    </w:rPr>
  </w:style>
  <w:style w:type="character" w:styleId="959" w:customStyle="1">
    <w:name w:val="标题 2 Char"/>
    <w:link w:val="907"/>
    <w:uiPriority w:val="0"/>
    <w:qFormat/>
    <w:rPr>
      <w:rFonts w:ascii="Arial" w:hAnsi="Arial" w:eastAsia="幼圆" w:cs="Arial"/>
      <w:b/>
      <w:bCs/>
      <w:sz w:val="44"/>
      <w:szCs w:val="44"/>
    </w:rPr>
  </w:style>
  <w:style w:type="character" w:styleId="960" w:customStyle="1">
    <w:name w:val="标题 9 Char"/>
    <w:link w:val="915"/>
    <w:uiPriority w:val="0"/>
    <w:qFormat/>
    <w:rPr>
      <w:rFonts w:ascii="Arial" w:hAnsi="Arial" w:eastAsia="黑体" w:cs="Times New Roman"/>
      <w:szCs w:val="21"/>
    </w:rPr>
  </w:style>
  <w:style w:type="character" w:styleId="961" w:customStyle="1">
    <w:name w:val="正文文本缩进 2 Char"/>
    <w:link w:val="962"/>
    <w:uiPriority w:val="0"/>
    <w:qFormat/>
    <w:rPr>
      <w:rFonts w:ascii="Arial" w:hAnsi="Arial" w:eastAsia="仿宋_GB2312" w:cs="Arial"/>
      <w:sz w:val="32"/>
      <w:szCs w:val="32"/>
    </w:rPr>
  </w:style>
  <w:style w:type="paragraph" w:styleId="962" w:customStyle="1">
    <w:name w:val="正文文本缩进 21"/>
    <w:basedOn w:val="694"/>
    <w:link w:val="961"/>
    <w:uiPriority w:val="0"/>
    <w:qFormat/>
    <w:pPr>
      <w:ind w:left="630" w:firstLine="645"/>
    </w:pPr>
    <w:rPr>
      <w:rFonts w:ascii="Arial" w:hAnsi="Arial" w:eastAsia="仿宋_GB2312" w:cs="Arial"/>
      <w:sz w:val="32"/>
      <w:szCs w:val="32"/>
    </w:rPr>
  </w:style>
  <w:style w:type="character" w:styleId="963" w:customStyle="1">
    <w:name w:val="正文文本 2 Char"/>
    <w:link w:val="964"/>
    <w:uiPriority w:val="0"/>
    <w:qFormat/>
    <w:rPr>
      <w:rFonts w:ascii="楷体_GB2312" w:hAnsi="Times New Roman" w:eastAsia="楷体_GB2312" w:cs="Times New Roman"/>
      <w:sz w:val="28"/>
      <w:szCs w:val="28"/>
    </w:rPr>
  </w:style>
  <w:style w:type="paragraph" w:styleId="964" w:customStyle="1">
    <w:name w:val="正文文本 21"/>
    <w:basedOn w:val="694"/>
    <w:link w:val="963"/>
    <w:uiPriority w:val="0"/>
    <w:qFormat/>
    <w:pPr>
      <w:jc w:val="center"/>
      <w:widowControl/>
    </w:pPr>
    <w:rPr>
      <w:rFonts w:ascii="楷体_GB2312" w:eastAsia="楷体_GB2312"/>
      <w:sz w:val="28"/>
      <w:szCs w:val="28"/>
    </w:rPr>
  </w:style>
  <w:style w:type="character" w:styleId="965" w:customStyle="1">
    <w:name w:val="批注主题 Char"/>
    <w:link w:val="966"/>
    <w:uiPriority w:val="0"/>
    <w:semiHidden/>
    <w:qFormat/>
    <w:rPr>
      <w:rFonts w:ascii="Times New Roman" w:hAnsi="Times New Roman" w:eastAsia="宋体" w:cs="Times New Roman"/>
      <w:b/>
      <w:bCs/>
      <w:szCs w:val="21"/>
    </w:rPr>
  </w:style>
  <w:style w:type="paragraph" w:styleId="966" w:customStyle="1">
    <w:name w:val="批注主题1"/>
    <w:basedOn w:val="943"/>
    <w:next w:val="943"/>
    <w:link w:val="965"/>
    <w:uiPriority w:val="0"/>
    <w:semiHidden/>
    <w:qFormat/>
    <w:rPr>
      <w:b/>
      <w:bCs/>
    </w:rPr>
  </w:style>
  <w:style w:type="character" w:styleId="967" w:customStyle="1">
    <w:name w:val="正文首行缩进 Char"/>
    <w:link w:val="968"/>
    <w:uiPriority w:val="0"/>
    <w:qFormat/>
    <w:rPr>
      <w:rFonts w:ascii="仿宋_GB2312" w:hAnsi="Times New Roman" w:eastAsia="仿宋_GB2312" w:cs="Times New Roman"/>
      <w:sz w:val="30"/>
      <w:szCs w:val="30"/>
    </w:rPr>
  </w:style>
  <w:style w:type="paragraph" w:styleId="968" w:customStyle="1">
    <w:name w:val="正文首行缩进1"/>
    <w:basedOn w:val="694"/>
    <w:link w:val="967"/>
    <w:uiPriority w:val="0"/>
    <w:qFormat/>
    <w:pPr>
      <w:ind w:firstLine="200"/>
      <w:spacing w:line="360" w:lineRule="auto"/>
    </w:pPr>
    <w:rPr>
      <w:rFonts w:ascii="仿宋_GB2312" w:eastAsia="仿宋_GB2312"/>
      <w:sz w:val="30"/>
      <w:szCs w:val="30"/>
    </w:rPr>
  </w:style>
  <w:style w:type="paragraph" w:styleId="969" w:customStyle="1">
    <w:name w:val="table_lines"/>
    <w:basedOn w:val="694"/>
    <w:uiPriority w:val="0"/>
    <w:qFormat/>
    <w:pPr>
      <w:jc w:val="left"/>
      <w:widowControl/>
    </w:pPr>
    <w:rPr>
      <w:sz w:val="20"/>
      <w:szCs w:val="20"/>
      <w:lang w:val="de-DE" w:eastAsia="de-DE"/>
    </w:rPr>
  </w:style>
  <w:style w:type="paragraph" w:styleId="970" w:customStyle="1">
    <w:name w:val="Char"/>
    <w:basedOn w:val="953"/>
    <w:uiPriority w:val="0"/>
    <w:qFormat/>
    <w:rPr>
      <w:rFonts w:ascii="Tahoma" w:hAnsi="Tahoma"/>
      <w:sz w:val="24"/>
      <w:szCs w:val="24"/>
    </w:rPr>
  </w:style>
  <w:style w:type="paragraph" w:styleId="971" w:customStyle="1">
    <w:name w:val="索引 11"/>
    <w:basedOn w:val="694"/>
    <w:next w:val="694"/>
    <w:uiPriority w:val="0"/>
    <w:semiHidden/>
    <w:qFormat/>
    <w:pPr>
      <w:spacing w:line="240" w:lineRule="atLeast"/>
    </w:pPr>
    <w:rPr>
      <w:b/>
      <w:bCs/>
    </w:rPr>
  </w:style>
  <w:style w:type="paragraph" w:styleId="972" w:customStyle="1">
    <w:name w:val="目录 51"/>
    <w:basedOn w:val="694"/>
    <w:next w:val="694"/>
    <w:uiPriority w:val="0"/>
    <w:semiHidden/>
    <w:qFormat/>
    <w:pPr>
      <w:ind w:left="840"/>
      <w:jc w:val="left"/>
    </w:pPr>
  </w:style>
  <w:style w:type="paragraph" w:styleId="973" w:customStyle="1">
    <w:name w:val="Char Char Char Char"/>
    <w:basedOn w:val="953"/>
    <w:uiPriority w:val="0"/>
    <w:qFormat/>
    <w:pPr>
      <w:spacing w:line="360" w:lineRule="auto"/>
    </w:pPr>
    <w:rPr>
      <w:rFonts w:ascii="Tahoma" w:hAnsi="Tahoma"/>
      <w:sz w:val="24"/>
      <w:szCs w:val="24"/>
    </w:rPr>
  </w:style>
  <w:style w:type="paragraph" w:styleId="974" w:customStyle="1">
    <w:name w:val="列出段落2"/>
    <w:basedOn w:val="694"/>
    <w:uiPriority w:val="0"/>
    <w:qFormat/>
    <w:pPr>
      <w:contextualSpacing/>
      <w:ind w:left="720"/>
      <w:jc w:val="left"/>
      <w:widowControl/>
    </w:pPr>
    <w:rPr>
      <w:rFonts w:ascii="Calibri" w:hAnsi="Calibri"/>
      <w:sz w:val="24"/>
      <w:szCs w:val="24"/>
      <w:lang w:eastAsia="en-US" w:bidi="en-US"/>
    </w:rPr>
  </w:style>
  <w:style w:type="paragraph" w:styleId="975" w:customStyle="1">
    <w:name w:val="普通(网站)1"/>
    <w:basedOn w:val="694"/>
    <w:uiPriority w:val="99"/>
    <w:qFormat/>
    <w:pPr>
      <w:jc w:val="left"/>
      <w:spacing w:before="100" w:beforeAutospacing="1" w:after="100" w:afterAutospacing="1"/>
      <w:widowControl/>
    </w:pPr>
    <w:rPr>
      <w:rFonts w:ascii="宋体" w:hAnsi="宋体" w:cs="宋体"/>
      <w:sz w:val="24"/>
      <w:szCs w:val="24"/>
    </w:rPr>
  </w:style>
  <w:style w:type="paragraph" w:styleId="9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77"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978"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目录 81"/>
    <w:basedOn w:val="694"/>
    <w:next w:val="694"/>
    <w:uiPriority w:val="0"/>
    <w:semiHidden/>
    <w:qFormat/>
    <w:pPr>
      <w:ind w:left="1470"/>
      <w:jc w:val="left"/>
    </w:pPr>
  </w:style>
  <w:style w:type="paragraph" w:styleId="980" w:customStyle="1">
    <w:name w:val="目录 91"/>
    <w:basedOn w:val="694"/>
    <w:next w:val="694"/>
    <w:uiPriority w:val="0"/>
    <w:semiHidden/>
    <w:qFormat/>
    <w:pPr>
      <w:ind w:left="1680"/>
      <w:jc w:val="left"/>
    </w:pPr>
  </w:style>
  <w:style w:type="paragraph" w:styleId="981" w:customStyle="1">
    <w:name w:val="Char1"/>
    <w:basedOn w:val="694"/>
    <w:uiPriority w:val="0"/>
    <w:qFormat/>
    <w:pPr>
      <w:ind w:firstLine="200"/>
      <w:tabs>
        <w:tab w:val="left" w:pos="360" w:leader="none"/>
      </w:tabs>
    </w:pPr>
    <w:rPr>
      <w:sz w:val="28"/>
      <w:szCs w:val="30"/>
    </w:rPr>
  </w:style>
  <w:style w:type="paragraph" w:styleId="982"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83"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984" w:customStyle="1">
    <w:name w:val="Char Char Char Char Char Char Char Char Char Char"/>
    <w:basedOn w:val="694"/>
    <w:uiPriority w:val="0"/>
    <w:qFormat/>
    <w:pPr>
      <w:spacing w:line="360" w:lineRule="auto"/>
    </w:pPr>
    <w:rPr>
      <w:sz w:val="24"/>
      <w:szCs w:val="20"/>
    </w:rPr>
  </w:style>
  <w:style w:type="paragraph" w:styleId="985"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table_1stline"/>
    <w:basedOn w:val="694"/>
    <w:uiPriority w:val="0"/>
    <w:qFormat/>
    <w:pPr>
      <w:jc w:val="left"/>
      <w:spacing w:before="120"/>
      <w:widowControl/>
    </w:pPr>
    <w:rPr>
      <w:bCs/>
      <w:sz w:val="20"/>
      <w:szCs w:val="20"/>
      <w:lang w:val="de-DE" w:eastAsia="de-DE"/>
    </w:rPr>
  </w:style>
  <w:style w:type="paragraph" w:styleId="987"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目录 31"/>
    <w:basedOn w:val="694"/>
    <w:next w:val="694"/>
    <w:uiPriority w:val="0"/>
    <w:semiHidden/>
    <w:qFormat/>
    <w:pPr>
      <w:ind w:left="420"/>
      <w:jc w:val="left"/>
    </w:pPr>
    <w:rPr>
      <w:i/>
      <w:iCs/>
      <w:szCs w:val="24"/>
    </w:rPr>
  </w:style>
  <w:style w:type="paragraph" w:styleId="989" w:customStyle="1">
    <w:name w:val="目录 61"/>
    <w:basedOn w:val="694"/>
    <w:next w:val="694"/>
    <w:uiPriority w:val="0"/>
    <w:semiHidden/>
    <w:qFormat/>
    <w:pPr>
      <w:ind w:left="1050"/>
      <w:jc w:val="left"/>
    </w:pPr>
  </w:style>
  <w:style w:type="paragraph" w:styleId="990" w:customStyle="1">
    <w:name w:val="目录 71"/>
    <w:basedOn w:val="694"/>
    <w:next w:val="694"/>
    <w:uiPriority w:val="0"/>
    <w:semiHidden/>
    <w:qFormat/>
    <w:pPr>
      <w:ind w:left="1260"/>
      <w:jc w:val="left"/>
    </w:pPr>
  </w:style>
  <w:style w:type="paragraph" w:styleId="991"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992"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993" w:customStyle="1">
    <w:name w:val="列表 31"/>
    <w:basedOn w:val="694"/>
    <w:uiPriority w:val="0"/>
    <w:qFormat/>
    <w:pPr>
      <w:ind w:left="100" w:hanging="200"/>
    </w:pPr>
  </w:style>
  <w:style w:type="paragraph" w:styleId="994" w:customStyle="1">
    <w:name w:val="目录 1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995"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996" w:customStyle="1">
    <w:name w:val="目录 41"/>
    <w:basedOn w:val="694"/>
    <w:next w:val="694"/>
    <w:uiPriority w:val="0"/>
    <w:semiHidden/>
    <w:qFormat/>
    <w:pPr>
      <w:ind w:left="630"/>
      <w:jc w:val="left"/>
    </w:pPr>
  </w:style>
  <w:style w:type="paragraph" w:styleId="997" w:customStyle="1">
    <w:name w:val="4"/>
    <w:basedOn w:val="694"/>
    <w:next w:val="955"/>
    <w:uiPriority w:val="0"/>
    <w:qFormat/>
    <w:pPr>
      <w:ind w:firstLine="420"/>
      <w:spacing w:line="360" w:lineRule="auto"/>
    </w:pPr>
    <w:rPr>
      <w:color w:val="ff0000"/>
      <w:sz w:val="24"/>
      <w:szCs w:val="24"/>
    </w:rPr>
  </w:style>
  <w:style w:type="paragraph" w:styleId="998" w:customStyle="1">
    <w:name w:val="列表 21"/>
    <w:basedOn w:val="694"/>
    <w:uiPriority w:val="0"/>
    <w:qFormat/>
    <w:pPr>
      <w:ind w:left="100" w:hanging="200"/>
    </w:pPr>
  </w:style>
  <w:style w:type="paragraph" w:styleId="999" w:customStyle="1">
    <w:name w:val="目录 21"/>
    <w:basedOn w:val="694"/>
    <w:next w:val="694"/>
    <w:uiPriority w:val="0"/>
    <w:semiHidden/>
    <w:qFormat/>
    <w:pPr>
      <w:ind w:left="210"/>
      <w:jc w:val="left"/>
    </w:pPr>
    <w:rPr>
      <w:smallCaps/>
      <w:szCs w:val="24"/>
    </w:rPr>
  </w:style>
  <w:style w:type="paragraph" w:styleId="1000" w:customStyle="1">
    <w:name w:val="Char Char Char Char1"/>
    <w:basedOn w:val="953"/>
    <w:uiPriority w:val="0"/>
    <w:qFormat/>
    <w:pPr>
      <w:spacing w:line="360" w:lineRule="auto"/>
    </w:pPr>
    <w:rPr>
      <w:rFonts w:ascii="Tahoma" w:hAnsi="Tahoma"/>
      <w:sz w:val="24"/>
      <w:szCs w:val="24"/>
    </w:rPr>
  </w:style>
  <w:style w:type="paragraph" w:styleId="1001"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1002" w:customStyle="1">
    <w:name w:val="Body Text(ch)"/>
    <w:basedOn w:val="694"/>
    <w:next w:val="923"/>
    <w:uiPriority w:val="0"/>
    <w:qFormat/>
    <w:pPr>
      <w:spacing w:after="120"/>
    </w:pPr>
    <w:rPr>
      <w:rFonts w:ascii="宋体" w:hAnsi="Arial"/>
      <w:bCs/>
      <w:iCs/>
      <w:szCs w:val="24"/>
    </w:rPr>
  </w:style>
  <w:style w:type="paragraph" w:styleId="1003" w:customStyle="1">
    <w:name w:val="列表1"/>
    <w:basedOn w:val="694"/>
    <w:uiPriority w:val="0"/>
    <w:qFormat/>
    <w:pPr>
      <w:ind w:left="200" w:hanging="200"/>
    </w:pPr>
  </w:style>
  <w:style w:type="paragraph" w:styleId="1004" w:customStyle="1">
    <w:name w:val="样式1"/>
    <w:basedOn w:val="694"/>
    <w:uiPriority w:val="0"/>
    <w:qFormat/>
    <w:pPr>
      <w:numPr>
        <w:ilvl w:val="0"/>
        <w:numId w:val="5"/>
      </w:numPr>
    </w:pPr>
    <w:rPr>
      <w:rFonts w:ascii="宋体" w:hAnsi="宋体"/>
    </w:rPr>
  </w:style>
  <w:style w:type="paragraph" w:styleId="1005"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6"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图表目录1"/>
    <w:basedOn w:val="694"/>
    <w:next w:val="694"/>
    <w:uiPriority w:val="0"/>
    <w:semiHidden/>
    <w:qFormat/>
    <w:pPr>
      <w:ind w:left="840" w:hanging="420"/>
    </w:pPr>
  </w:style>
  <w:style w:type="paragraph" w:styleId="1008"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Char Char Char Char Char Char Char1"/>
    <w:basedOn w:val="694"/>
    <w:uiPriority w:val="0"/>
    <w:qFormat/>
    <w:pPr>
      <w:jc w:val="left"/>
      <w:spacing w:after="160" w:line="240" w:lineRule="exact"/>
      <w:widowControl/>
    </w:pPr>
    <w:rPr>
      <w:rFonts w:ascii="Verdana" w:hAnsi="Verdana"/>
      <w:sz w:val="20"/>
      <w:szCs w:val="20"/>
      <w:lang w:eastAsia="en-US"/>
    </w:rPr>
  </w:style>
  <w:style w:type="paragraph" w:styleId="1013"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修订1"/>
    <w:uiPriority w:val="99"/>
    <w:semiHidden/>
    <w:qFormat/>
    <w:rPr>
      <w:rFonts w:ascii="Times New Roman" w:hAnsi="Times New Roman" w:eastAsia="宋体" w:cs="Times New Roman"/>
      <w:sz w:val="21"/>
      <w:szCs w:val="21"/>
      <w:lang w:val="en-US" w:eastAsia="zh-CN" w:bidi="ar-SA"/>
    </w:rPr>
  </w:style>
  <w:style w:type="paragraph" w:styleId="1015" w:customStyle="1">
    <w:name w:val="正文1"/>
    <w:basedOn w:val="694"/>
    <w:next w:val="694"/>
    <w:uiPriority w:val="99"/>
    <w:qFormat/>
    <w:pPr>
      <w:ind w:firstLine="480"/>
      <w:spacing w:line="440" w:lineRule="exact"/>
    </w:pPr>
    <w:rPr>
      <w:rFonts w:ascii="微软雅黑" w:hAnsi="微软雅黑" w:eastAsia="微软雅黑"/>
      <w:sz w:val="24"/>
      <w:szCs w:val="20"/>
    </w:rPr>
  </w:style>
  <w:style w:type="table" w:styleId="1016" w:customStyle="1">
    <w:name w:val="网格型1"/>
    <w:basedOn w:val="917"/>
    <w:uiPriority w:val="0"/>
    <w:qFormat/>
    <w:pPr>
      <w:jc w:val="both"/>
      <w:widowControl w:val="off"/>
    </w:pPr>
    <w:rPr>
      <w:rFonts w:ascii="Times New Roman" w:hAnsi="Times New Roman"/>
    </w:rPr>
    <w:tblPr/>
  </w:style>
  <w:style w:type="character" w:styleId="1017" w:customStyle="1">
    <w:name w:val="正文文本 Char1"/>
    <w:basedOn w:val="704"/>
    <w:uiPriority w:val="99"/>
    <w:semiHidden/>
    <w:qFormat/>
    <w:rPr>
      <w:rFonts w:ascii="Times New Roman" w:hAnsi="Times New Roman"/>
      <w:sz w:val="21"/>
      <w:szCs w:val="21"/>
    </w:rPr>
  </w:style>
  <w:style w:type="paragraph" w:styleId="1018" w:customStyle="1">
    <w:name w:val="正文2"/>
    <w:basedOn w:val="694"/>
    <w:uiPriority w:val="0"/>
    <w:qFormat/>
    <w:pPr>
      <w:spacing w:line="360" w:lineRule="auto"/>
      <w:tabs>
        <w:tab w:val="left" w:pos="6480" w:leader="none"/>
      </w:tabs>
    </w:pPr>
    <w:rPr>
      <w:sz w:val="24"/>
      <w:szCs w:val="24"/>
    </w:rPr>
  </w:style>
  <w:style w:type="paragraph" w:styleId="1019" w:customStyle="1">
    <w:name w:val="1 正文"/>
    <w:basedOn w:val="694"/>
    <w:uiPriority w:val="0"/>
    <w:qFormat/>
    <w:pPr>
      <w:ind w:firstLine="420"/>
      <w:spacing w:line="360" w:lineRule="auto"/>
    </w:pPr>
    <w:rPr>
      <w:rFonts w:ascii="宋体" w:hAnsi="宋体"/>
      <w:sz w:val="24"/>
      <w:szCs w:val="24"/>
    </w:rPr>
  </w:style>
  <w:style w:type="paragraph" w:styleId="1020" w:customStyle="1">
    <w:name w:val="A正文"/>
    <w:basedOn w:val="694"/>
    <w:uiPriority w:val="0"/>
    <w:qFormat/>
    <w:pPr>
      <w:ind w:firstLine="200"/>
      <w:spacing w:line="360" w:lineRule="auto"/>
    </w:pPr>
    <w:rPr>
      <w:rFonts w:cs="宋体"/>
      <w:sz w:val="24"/>
      <w:szCs w:val="28"/>
      <w:lang w:eastAsia="zh-Hans"/>
    </w:rPr>
  </w:style>
  <w:style w:type="paragraph" w:styleId="1021"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22"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23"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24" w:customStyle="1">
    <w:name w:val="UserStyle_11"/>
    <w:uiPriority w:val="0"/>
    <w:qFormat/>
    <w:rPr>
      <w:sz w:val="21"/>
      <w:szCs w:val="21"/>
      <w:lang w:val="en-US" w:eastAsia="zh-CN" w:bidi="ar-SA"/>
    </w:rPr>
  </w:style>
  <w:style w:type="character" w:styleId="1025" w:customStyle="1">
    <w:name w:val="NormalCharacter"/>
    <w:uiPriority w:val="0"/>
    <w:qFormat/>
  </w:style>
  <w:style w:type="character" w:styleId="1026" w:customStyle="1">
    <w:name w:val="正文缩进 字符"/>
    <w:link w:val="707"/>
    <w:uiPriority w:val="0"/>
    <w:qFormat/>
    <w:rPr>
      <w:rFonts w:ascii="Times New Roman" w:hAnsi="Times New Roman"/>
      <w:sz w:val="21"/>
      <w:szCs w:val="21"/>
    </w:rPr>
  </w:style>
  <w:style w:type="character" w:styleId="1027" w:customStyle="1">
    <w:name w:val="font31"/>
    <w:uiPriority w:val="0"/>
    <w:qFormat/>
    <w:rPr>
      <w:rFonts w:hint="eastAsia" w:ascii="宋体" w:hAnsi="宋体" w:eastAsia="宋体" w:cs="宋体"/>
      <w:color w:val="000000"/>
      <w:sz w:val="24"/>
      <w:szCs w:val="24"/>
      <w:u w:val="none"/>
    </w:rPr>
  </w:style>
  <w:style w:type="character" w:styleId="1028" w:customStyle="1">
    <w:name w:val="bot_zi"/>
    <w:uiPriority w:val="0"/>
    <w:qFormat/>
  </w:style>
  <w:style w:type="paragraph" w:styleId="1029" w:customStyle="1">
    <w:name w:val="B2"/>
    <w:basedOn w:val="694"/>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030" w:customStyle="1">
    <w:name w:val="B3"/>
    <w:basedOn w:val="1029"/>
    <w:uiPriority w:val="0"/>
    <w:qFormat/>
    <w:pPr>
      <w:outlineLvl w:val="2"/>
    </w:pPr>
    <w:rPr>
      <w:b w:val="0"/>
    </w:rPr>
  </w:style>
  <w:style w:type="paragraph" w:styleId="1031" w:customStyle="1">
    <w:name w:val="B4"/>
    <w:basedOn w:val="1030"/>
    <w:uiPriority w:val="0"/>
    <w:qFormat/>
    <w:pPr>
      <w:outlineLvl w:val="3"/>
    </w:pPr>
  </w:style>
  <w:style w:type="character" w:styleId="1032" w:customStyle="1">
    <w:name w:val="批注框文本 字符"/>
    <w:basedOn w:val="704"/>
    <w:link w:val="718"/>
    <w:uiPriority w:val="99"/>
    <w:semiHidden/>
    <w:qFormat/>
    <w:rPr>
      <w:rFonts w:ascii="Times New Roman" w:hAnsi="Times New Roman"/>
      <w:sz w:val="18"/>
      <w:szCs w:val="18"/>
    </w:rPr>
  </w:style>
  <w:style w:type="paragraph" w:styleId="1033" w:customStyle="1">
    <w:name w:val="正文缩进2"/>
    <w:basedOn w:val="694"/>
    <w:uiPriority w:val="0"/>
    <w:qFormat/>
    <w:pPr>
      <w:jc w:val="left"/>
    </w:pPr>
    <w:rPr>
      <w:rFonts w:ascii="宋体" w:hAnsi="宋体" w:cstheme="minorBidi"/>
      <w:iCs/>
      <w:sz w:val="24"/>
      <w:szCs w:val="22"/>
      <w:shd w:val="clear" w:color="auto" w:fill="ffffff" w:themeFill="background1"/>
      <w:lang w:val="zh-CN"/>
    </w:rPr>
  </w:style>
  <w:style w:type="character" w:styleId="1034" w:customStyle="1">
    <w:name w:val="日期 字符"/>
    <w:basedOn w:val="704"/>
    <w:link w:val="716"/>
    <w:uiPriority w:val="99"/>
    <w:semiHidden/>
    <w:qFormat/>
    <w:rPr>
      <w:rFonts w:ascii="Times New Roman" w:hAnsi="Times New Roman"/>
      <w:sz w:val="21"/>
      <w:szCs w:val="21"/>
    </w:rPr>
  </w:style>
  <w:style w:type="character" w:styleId="1035" w:customStyle="1">
    <w:name w:val="font11"/>
    <w:basedOn w:val="704"/>
    <w:uiPriority w:val="0"/>
    <w:qFormat/>
    <w:rPr>
      <w:rFonts w:hint="eastAsia" w:ascii="仿宋" w:hAnsi="仿宋" w:eastAsia="仿宋" w:cs="仿宋"/>
      <w:color w:val="000000"/>
      <w:sz w:val="22"/>
      <w:szCs w:val="22"/>
      <w:u w:val="none"/>
    </w:rPr>
  </w:style>
  <w:style w:type="paragraph" w:styleId="1036" w:customStyle="1">
    <w:name w:val="footer1"/>
    <w:basedOn w:val="694"/>
    <w:uiPriority w:val="0"/>
    <w:qFormat/>
    <w:pPr>
      <w:tabs>
        <w:tab w:val="center" w:pos="4153" w:leader="none"/>
        <w:tab w:val="right" w:pos="8306" w:leader="none"/>
      </w:tabs>
    </w:pPr>
    <w:rPr>
      <w:sz w:val="18"/>
    </w:rPr>
  </w:style>
  <w:style w:type="character" w:styleId="1037" w:customStyle="1">
    <w:name w:val="批注文字 字符"/>
    <w:basedOn w:val="704"/>
    <w:link w:val="709"/>
    <w:uiPriority w:val="99"/>
    <w:semiHidden/>
    <w:qFormat/>
    <w:rPr>
      <w:rFonts w:ascii="Times New Roman" w:hAnsi="Times New Roman"/>
      <w:sz w:val="21"/>
      <w:szCs w:val="21"/>
    </w:rPr>
  </w:style>
  <w:style w:type="character" w:styleId="1038" w:customStyle="1">
    <w:name w:val="批注主题 字符"/>
    <w:basedOn w:val="1037"/>
    <w:link w:val="731"/>
    <w:uiPriority w:val="99"/>
    <w:semiHidden/>
    <w:qFormat/>
    <w:rPr>
      <w:rFonts w:ascii="Times New Roman" w:hAnsi="Times New Roman"/>
      <w:b/>
      <w:bCs/>
      <w:sz w:val="21"/>
      <w:szCs w:val="21"/>
    </w:rPr>
  </w:style>
  <w:style w:type="numbering" w:styleId="14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0EACFF-524F-420B-923C-9ABE9613123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WDX</dc:creator>
  <cp:lastModifiedBy>吴冬晓</cp:lastModifiedBy>
  <cp:revision>1</cp:revision>
  <dcterms:created xsi:type="dcterms:W3CDTF">2026-09-17T00:29:00Z</dcterms:created>
  <dcterms:modified xsi:type="dcterms:W3CDTF">2026-09-24T07:32:24Z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1DA4FE69CC5D4D84AC4A3AA29CC1ED0B_13</vt:lpwstr>
  </property>
  <property fmtid="{D5CDD505-2E9C-101B-9397-08002B2CF9AE}" pid="4" name="KSOTemplateDocerSaveRecord">
    <vt:lpwstr>eyJoZGlkIjoiNjFjZTA5MTA2MmQ4OGRiNmE0ZjNjYjZhZDNiYmRmMTgiLCJ1c2VySWQiOiIxNDE1MzUyMDIwIn0=</vt:lpwstr>
  </property>
</Properties>
</file>