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color w:val="000000"/>
          <w:sz w:val="36"/>
        </w:rPr>
      </w:pPr>
      <w:r>
        <w:rPr>
          <w:rFonts w:hint="eastAsia" w:ascii="宋体" w:hAnsi="宋体" w:cs="宋体"/>
          <w:color w:val="000000"/>
          <w:sz w:val="22"/>
          <w:szCs w:val="16"/>
        </w:rPr>
        <w:t xml:space="preserve">           编号：</w:t>
      </w:r>
      <w:r>
        <w:rPr>
          <w:rFonts w:hint="eastAsia" w:ascii="宋体" w:hAnsi="宋体" w:cs="宋体"/>
          <w:color w:val="000000"/>
          <w:sz w:val="24"/>
          <w:szCs w:val="18"/>
          <w:lang w:eastAsia="zh-CN"/>
        </w:rPr>
        <w:t xml:space="preserve">JSZC-321084-YZHZ-G2026-0008</w:t>
      </w:r>
      <w:r>
        <w:rPr>
          <w:rFonts w:hint="eastAsia" w:ascii="宋体" w:hAnsi="宋体" w:cs="宋体"/>
          <w:color w:val="000000"/>
          <w:sz w:val="36"/>
        </w:rPr>
        <w:t xml:space="preserve">       </w:t>
      </w:r>
      <w:r/>
    </w:p>
    <w:p>
      <w:pPr>
        <w:jc w:val="center"/>
        <w:rPr>
          <w:rFonts w:ascii="宋体" w:hAnsi="宋体" w:cs="宋体"/>
          <w:color w:val="000000"/>
          <w:sz w:val="36"/>
        </w:rPr>
      </w:pPr>
      <w:r>
        <w:rPr>
          <w:rFonts w:ascii="宋体" w:hAnsi="宋体" w:cs="宋体"/>
          <w:color w:val="000000"/>
          <w:sz w:val="36"/>
        </w:rPr>
      </w:r>
      <w:r/>
    </w:p>
    <w:p>
      <w:pPr>
        <w:jc w:val="center"/>
        <w:spacing w:line="360" w:lineRule="auto"/>
        <w:rPr>
          <w:rFonts w:ascii="宋体" w:hAnsi="宋体" w:cs="宋体"/>
          <w:color w:val="000000"/>
          <w:sz w:val="44"/>
          <w:szCs w:val="44"/>
        </w:rPr>
      </w:pPr>
      <w:r/>
      <w:bookmarkStart w:id="0" w:name="_Toc31058"/>
      <w:r/>
      <w:bookmarkStart w:id="1" w:name="_Toc843"/>
      <w:r/>
      <w:bookmarkEnd w:id="0"/>
      <w:r/>
      <w:bookmarkEnd w:id="1"/>
      <w:r/>
      <w:r/>
    </w:p>
    <w:p>
      <w:pPr>
        <w:jc w:val="center"/>
        <w:spacing w:line="360" w:lineRule="auto"/>
        <w:rPr>
          <w:rFonts w:hint="eastAsia" w:ascii="宋体" w:hAnsi="宋体" w:eastAsia="宋体" w:cs="宋体"/>
          <w:color w:val="000000"/>
          <w:sz w:val="40"/>
          <w:szCs w:val="40"/>
          <w:lang w:eastAsia="zh-CN"/>
        </w:rPr>
      </w:pPr>
      <w:r>
        <w:rPr>
          <w:rFonts w:hint="eastAsia" w:ascii="宋体" w:hAnsi="宋体" w:cs="宋体"/>
          <w:color w:val="000000"/>
          <w:sz w:val="40"/>
          <w:szCs w:val="40"/>
          <w:lang w:eastAsia="zh-CN"/>
        </w:rPr>
        <w:t xml:space="preserve">高邮市智创园建设项目跟踪审计服务</w:t>
      </w:r>
      <w:r/>
    </w:p>
    <w:p>
      <w:pPr>
        <w:jc w:val="center"/>
        <w:spacing w:line="360" w:lineRule="auto"/>
        <w:rPr>
          <w:rFonts w:ascii="宋体" w:hAnsi="宋体" w:cs="宋体"/>
          <w:color w:val="000000"/>
          <w:sz w:val="44"/>
          <w:szCs w:val="44"/>
        </w:rPr>
      </w:pPr>
      <w:r>
        <w:rPr>
          <w:rFonts w:ascii="宋体" w:hAnsi="宋体" w:cs="宋体"/>
          <w:color w:val="000000"/>
          <w:sz w:val="44"/>
          <w:szCs w:val="44"/>
        </w:rPr>
      </w:r>
      <w:r/>
    </w:p>
    <w:p>
      <w:pPr>
        <w:pStyle w:val="814"/>
      </w:pPr>
      <w:r/>
      <w:r/>
    </w:p>
    <w:p>
      <w:pPr>
        <w:jc w:val="center"/>
        <w:rPr>
          <w:rFonts w:ascii="宋体" w:hAnsi="宋体" w:cs="宋体"/>
          <w:color w:val="000000"/>
          <w:sz w:val="36"/>
        </w:rPr>
      </w:pPr>
      <w:r>
        <w:rPr>
          <w:rFonts w:ascii="宋体" w:hAnsi="宋体" w:cs="宋体"/>
          <w:color w:val="000000"/>
          <w:sz w:val="36"/>
        </w:rPr>
      </w:r>
      <w:r/>
    </w:p>
    <w:p>
      <w:pPr>
        <w:rPr>
          <w:rFonts w:ascii="宋体" w:hAnsi="宋体" w:cs="宋体"/>
          <w:color w:val="000000"/>
          <w:sz w:val="44"/>
          <w:szCs w:val="28"/>
        </w:rPr>
      </w:pPr>
      <w:r>
        <w:rPr>
          <w:rFonts w:ascii="宋体" w:hAnsi="宋体" w:cs="宋体"/>
          <w:color w:val="000000"/>
          <w:sz w:val="44"/>
          <w:szCs w:val="28"/>
        </w:rPr>
      </w:r>
      <w:r/>
    </w:p>
    <w:p>
      <w:pPr>
        <w:jc w:val="center"/>
        <w:rPr>
          <w:rFonts w:ascii="宋体" w:hAnsi="宋体" w:cs="宋体"/>
          <w:color w:val="000000"/>
          <w:sz w:val="56"/>
          <w:szCs w:val="40"/>
        </w:rPr>
      </w:pPr>
      <w:r>
        <w:rPr>
          <w:rFonts w:hint="eastAsia" w:ascii="宋体" w:hAnsi="宋体" w:cs="宋体"/>
          <w:color w:val="000000"/>
          <w:sz w:val="56"/>
          <w:szCs w:val="40"/>
        </w:rPr>
        <w:t xml:space="preserve">公开招标文件</w:t>
      </w:r>
      <w:r/>
    </w:p>
    <w:p>
      <w:pPr>
        <w:rPr>
          <w:rFonts w:ascii="宋体" w:hAnsi="宋体" w:cs="宋体"/>
          <w:color w:val="000000"/>
          <w:sz w:val="36"/>
        </w:rPr>
      </w:pPr>
      <w:r>
        <w:rPr>
          <w:rFonts w:ascii="宋体" w:hAnsi="宋体" w:cs="宋体"/>
          <w:color w:val="000000"/>
          <w:sz w:val="36"/>
        </w:rPr>
      </w:r>
      <w:r/>
    </w:p>
    <w:p>
      <w:pPr>
        <w:rPr>
          <w:rFonts w:ascii="宋体" w:hAnsi="宋体" w:cs="宋体"/>
        </w:rPr>
      </w:pPr>
      <w:r>
        <w:rPr>
          <w:rFonts w:ascii="宋体" w:hAnsi="宋体" w:cs="宋体"/>
        </w:rPr>
      </w:r>
      <w:r/>
    </w:p>
    <w:p>
      <w:pPr>
        <w:pStyle w:val="844"/>
        <w:rPr>
          <w:rFonts w:hAnsi="宋体" w:cs="宋体"/>
        </w:rPr>
      </w:pPr>
      <w:r>
        <w:rPr>
          <w:rFonts w:hAnsi="宋体" w:cs="宋体"/>
        </w:rPr>
      </w:r>
      <w:r/>
    </w:p>
    <w:p>
      <w:pPr>
        <w:pStyle w:val="845"/>
        <w:rPr>
          <w:rFonts w:hAnsi="宋体" w:cs="宋体"/>
          <w:lang w:eastAsia="zh-CN"/>
        </w:rPr>
      </w:pPr>
      <w:r>
        <w:rPr>
          <w:rFonts w:hAnsi="宋体" w:cs="宋体"/>
          <w:lang w:eastAsia="zh-CN"/>
        </w:rPr>
      </w:r>
      <w:r/>
    </w:p>
    <w:p>
      <w:pPr>
        <w:pStyle w:val="846"/>
        <w:rPr>
          <w:rFonts w:cs="宋体"/>
        </w:rPr>
      </w:pPr>
      <w:r>
        <w:rPr>
          <w:rFonts w:cs="宋体"/>
        </w:rPr>
      </w:r>
      <w:r/>
    </w:p>
    <w:p>
      <w:pPr>
        <w:pStyle w:val="848"/>
      </w:pPr>
      <w:r/>
      <w:r/>
    </w:p>
    <w:p>
      <w:r/>
      <w:r/>
    </w:p>
    <w:p>
      <w:pPr>
        <w:pStyle w:val="814"/>
      </w:pPr>
      <w:r/>
      <w:r/>
    </w:p>
    <w:p>
      <w:pPr>
        <w:pStyle w:val="848"/>
      </w:pPr>
      <w:r/>
      <w:r/>
    </w:p>
    <w:p>
      <w:pPr>
        <w:pStyle w:val="844"/>
        <w:rPr>
          <w:rFonts w:hAnsi="宋体" w:cs="宋体"/>
        </w:rPr>
      </w:pPr>
      <w:r>
        <w:rPr>
          <w:rFonts w:hAnsi="宋体" w:cs="宋体"/>
        </w:rPr>
      </w:r>
      <w:r/>
    </w:p>
    <w:p>
      <w:pPr>
        <w:jc w:val="center"/>
        <w:spacing w:line="360" w:lineRule="auto"/>
        <w:rPr>
          <w:rFonts w:hint="eastAsia" w:ascii="宋体" w:hAnsi="宋体" w:eastAsia="宋体" w:cs="宋体"/>
          <w:color w:val="000000"/>
          <w:sz w:val="32"/>
          <w:szCs w:val="32"/>
          <w:lang w:eastAsia="zh-CN"/>
        </w:rPr>
      </w:pPr>
      <w:r/>
      <w:bookmarkStart w:id="2" w:name="_Toc25339"/>
      <w:r/>
      <w:bookmarkStart w:id="3" w:name="_Toc138777680"/>
      <w:r/>
      <w:bookmarkStart w:id="4" w:name="_Toc3851"/>
      <w:r>
        <w:rPr>
          <w:rFonts w:hint="eastAsia" w:ascii="宋体" w:hAnsi="宋体" w:cs="宋体"/>
          <w:color w:val="000000"/>
          <w:sz w:val="32"/>
          <w:szCs w:val="32"/>
        </w:rPr>
        <w:t xml:space="preserve"> </w:t>
      </w:r>
      <w:bookmarkEnd w:id="2"/>
      <w:r/>
      <w:bookmarkEnd w:id="3"/>
      <w:r/>
      <w:bookmarkEnd w:id="4"/>
      <w:r/>
      <w:bookmarkStart w:id="5" w:name="_Toc138777681"/>
      <w:r>
        <w:rPr>
          <w:rFonts w:hint="eastAsia" w:ascii="宋体" w:hAnsi="宋体" w:cs="宋体"/>
          <w:color w:val="000000"/>
          <w:sz w:val="32"/>
          <w:szCs w:val="32"/>
          <w:lang w:eastAsia="zh-CN"/>
        </w:rPr>
        <w:t xml:space="preserve">高邮市审计局</w:t>
      </w:r>
      <w:r/>
    </w:p>
    <w:p>
      <w:pPr>
        <w:spacing w:line="360" w:lineRule="auto"/>
        <w:rPr>
          <w:rFonts w:ascii="宋体" w:hAnsi="宋体" w:cs="宋体"/>
          <w:color w:val="000000"/>
          <w:sz w:val="32"/>
          <w:szCs w:val="32"/>
        </w:rPr>
      </w:pPr>
      <w:r>
        <w:rPr>
          <w:rFonts w:hint="eastAsia" w:ascii="宋体" w:hAnsi="宋体" w:cs="宋体"/>
          <w:color w:val="000000"/>
          <w:sz w:val="32"/>
          <w:szCs w:val="32"/>
        </w:rPr>
        <w:t xml:space="preserve">          </w:t>
      </w:r>
      <w:bookmarkEnd w:id="5"/>
      <w:r/>
      <w:bookmarkStart w:id="6" w:name="FMFBSJ_1"/>
      <w:r>
        <w:rPr>
          <w:rFonts w:hint="eastAsia" w:ascii="宋体" w:hAnsi="宋体" w:cs="宋体"/>
          <w:color w:val="000000"/>
          <w:sz w:val="32"/>
          <w:szCs w:val="32"/>
        </w:rPr>
        <w:t xml:space="preserve">   扬州华泽工程项目管理咨询有限公司</w:t>
      </w:r>
      <w:r/>
    </w:p>
    <w:p>
      <w:pPr>
        <w:spacing w:line="360" w:lineRule="auto"/>
        <w:rPr>
          <w:rFonts w:ascii="宋体" w:hAnsi="宋体" w:cs="宋体"/>
          <w:color w:val="000000"/>
          <w:sz w:val="32"/>
          <w:szCs w:val="32"/>
        </w:rPr>
      </w:pPr>
      <w:r>
        <w:rPr>
          <w:rFonts w:hint="eastAsia" w:ascii="宋体" w:hAnsi="宋体" w:cs="宋体"/>
          <w:color w:val="000000"/>
          <w:sz w:val="32"/>
          <w:szCs w:val="32"/>
        </w:rPr>
        <w:t xml:space="preserve">                  </w:t>
      </w:r>
      <w:bookmarkEnd w:id="6"/>
      <w:r>
        <w:rPr>
          <w:rFonts w:hint="eastAsia" w:ascii="宋体" w:hAnsi="宋体" w:cs="宋体"/>
          <w:color w:val="000000"/>
          <w:sz w:val="32"/>
          <w:szCs w:val="32"/>
        </w:rPr>
        <w:t xml:space="preserve">  </w:t>
      </w:r>
      <w:r/>
    </w:p>
    <w:p>
      <w:pPr>
        <w:ind w:firstLine="3200"/>
        <w:spacing w:line="360" w:lineRule="auto"/>
        <w:rPr>
          <w:rFonts w:ascii="宋体" w:hAnsi="宋体" w:cs="宋体"/>
          <w:color w:val="000000"/>
          <w:sz w:val="32"/>
          <w:szCs w:val="32"/>
        </w:rPr>
        <w:sectPr>
          <w:headerReference w:type="default" r:id="rId9"/>
          <w:headerReference w:type="even" r:id="rId10"/>
          <w:footerReference w:type="default" r:id="rId12"/>
          <w:footerReference w:type="even" r:id="rId13"/>
          <w:footnotePr/>
          <w:endnotePr/>
          <w:type w:val="nextPage"/>
          <w:pgSz w:w="11906" w:h="16838" w:orient="portrait"/>
          <w:pgMar w:top="1440" w:right="1440" w:bottom="1440" w:left="1440" w:header="851" w:footer="850" w:gutter="0"/>
          <w:cols w:num="1" w:sep="0" w:space="1701" w:equalWidth="1"/>
          <w:docGrid w:linePitch="360"/>
          <w:titlePg/>
        </w:sectPr>
      </w:pPr>
      <w:r>
        <w:rPr>
          <w:rFonts w:hint="eastAsia" w:ascii="宋体" w:hAnsi="宋体" w:cs="宋体"/>
          <w:color w:val="000000"/>
          <w:sz w:val="32"/>
          <w:szCs w:val="32"/>
        </w:rPr>
        <w:t xml:space="preserve"> 二O二</w:t>
      </w:r>
      <w:r>
        <w:rPr>
          <w:rFonts w:hint="eastAsia" w:ascii="宋体" w:hAnsi="宋体" w:cs="宋体"/>
          <w:color w:val="000000"/>
          <w:sz w:val="32"/>
          <w:szCs w:val="32"/>
          <w:lang w:val="en-US" w:eastAsia="zh-CN"/>
        </w:rPr>
        <w:t xml:space="preserve">六</w:t>
      </w:r>
      <w:r>
        <w:rPr>
          <w:rFonts w:hint="eastAsia" w:ascii="宋体" w:hAnsi="宋体" w:cs="宋体"/>
          <w:color w:val="000000"/>
          <w:sz w:val="32"/>
          <w:szCs w:val="32"/>
        </w:rPr>
        <w:t xml:space="preserve">年</w:t>
      </w:r>
      <w:r>
        <w:rPr>
          <w:rFonts w:hint="eastAsia" w:ascii="宋体" w:hAnsi="宋体" w:cs="宋体"/>
          <w:color w:val="000000"/>
          <w:sz w:val="32"/>
          <w:szCs w:val="32"/>
          <w:lang w:val="en-US" w:eastAsia="zh-CN"/>
        </w:rPr>
        <w:t xml:space="preserve">九</w:t>
      </w:r>
      <w:r>
        <w:rPr>
          <w:rFonts w:hint="eastAsia" w:ascii="宋体" w:hAnsi="宋体" w:cs="宋体"/>
          <w:color w:val="000000"/>
          <w:sz w:val="32"/>
          <w:szCs w:val="32"/>
        </w:rPr>
        <w:t xml:space="preserve">月</w:t>
      </w:r>
      <w:r/>
    </w:p>
    <w:p>
      <w:pPr>
        <w:pStyle w:val="845"/>
        <w:jc w:val="both"/>
        <w:rPr>
          <w:rFonts w:hAnsi="宋体" w:cs="宋体"/>
          <w:bCs/>
          <w:sz w:val="21"/>
          <w:szCs w:val="34"/>
          <w:lang w:eastAsia="zh-CN"/>
        </w:rPr>
      </w:pPr>
      <w:r>
        <w:rPr>
          <w:rFonts w:hAnsi="宋体" w:cs="宋体"/>
          <w:bCs/>
          <w:sz w:val="21"/>
          <w:szCs w:val="34"/>
          <w:lang w:eastAsia="zh-CN"/>
        </w:rPr>
      </w:r>
      <w:r/>
    </w:p>
    <w:p>
      <w:r/>
      <w:bookmarkStart w:id="7" w:name="_Toc10073"/>
      <w:r/>
      <w:bookmarkStart w:id="8" w:name="_Toc7071"/>
      <w:r/>
      <w:bookmarkStart w:id="9" w:name="_Toc55204177"/>
      <w:r/>
      <w:bookmarkStart w:id="10" w:name="_Toc150173457"/>
      <w:r/>
      <w:r/>
    </w:p>
    <w:p>
      <w:pPr>
        <w:jc w:val="center"/>
        <w:rPr>
          <w:rFonts w:ascii="宋体" w:hAnsi="宋体" w:cs="宋体"/>
          <w:color w:val="000000"/>
          <w:sz w:val="32"/>
        </w:rPr>
      </w:pPr>
      <w:r>
        <w:rPr>
          <w:rFonts w:hint="eastAsia" w:ascii="宋体" w:hAnsi="宋体" w:cs="宋体"/>
          <w:color w:val="000000"/>
          <w:sz w:val="32"/>
        </w:rPr>
        <w:t xml:space="preserve">目 录</w:t>
      </w:r>
      <w:r/>
    </w:p>
    <w:p>
      <w:pPr>
        <w:pStyle w:val="828"/>
        <w:spacing w:line="360" w:lineRule="auto"/>
        <w:tabs>
          <w:tab w:val="right" w:pos="9016" w:leader="dot"/>
        </w:tabs>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TOC \o "1-3" \f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第一章 </w:t>
      </w:r>
      <w:r>
        <w:rPr>
          <w:rFonts w:hint="eastAsia" w:ascii="宋体" w:hAnsi="宋体" w:cs="宋体"/>
          <w:color w:val="000000"/>
          <w:sz w:val="24"/>
          <w:szCs w:val="24"/>
          <w:lang w:eastAsia="zh-CN"/>
        </w:rPr>
        <w:t xml:space="preserve">高邮市审计局</w:t>
      </w:r>
      <w:r>
        <w:rPr>
          <w:rFonts w:hint="eastAsia" w:ascii="宋体" w:hAnsi="宋体" w:cs="宋体"/>
          <w:color w:val="000000"/>
          <w:sz w:val="24"/>
          <w:szCs w:val="24"/>
        </w:rPr>
        <w:t xml:space="preserve">关于</w:t>
      </w:r>
      <w:r>
        <w:rPr>
          <w:rFonts w:hint="eastAsia" w:ascii="宋体" w:hAnsi="宋体" w:cs="宋体"/>
          <w:color w:val="000000"/>
          <w:sz w:val="24"/>
          <w:szCs w:val="24"/>
          <w:lang w:eastAsia="zh-CN"/>
        </w:rPr>
        <w:t xml:space="preserve">高邮市智创园建设项目跟踪审计服务</w:t>
      </w:r>
      <w:r>
        <w:rPr>
          <w:rFonts w:hint="eastAsia" w:ascii="宋体" w:hAnsi="宋体" w:cs="宋体"/>
          <w:color w:val="000000"/>
          <w:sz w:val="24"/>
          <w:szCs w:val="24"/>
        </w:rPr>
        <w:t xml:space="preserve">的招标告........................................................................1</w:t>
      </w:r>
      <w:r/>
    </w:p>
    <w:p>
      <w:pPr>
        <w:pStyle w:val="828"/>
        <w:spacing w:line="360" w:lineRule="auto"/>
        <w:tabs>
          <w:tab w:val="right" w:pos="9016" w:leader="dot"/>
        </w:tabs>
        <w:rPr>
          <w:rFonts w:hint="eastAsia" w:ascii="宋体" w:hAnsi="宋体" w:eastAsia="宋体" w:cs="宋体"/>
          <w:sz w:val="24"/>
          <w:szCs w:val="24"/>
          <w:lang w:eastAsia="zh-CN"/>
        </w:rPr>
      </w:pPr>
      <w:r>
        <w:rPr>
          <w:rFonts w:hint="eastAsia" w:ascii="宋体" w:hAnsi="宋体" w:cs="宋体"/>
          <w:color w:val="000000"/>
          <w:sz w:val="24"/>
          <w:szCs w:val="24"/>
        </w:rPr>
        <w:t xml:space="preserve">第二章 投标人须知</w:t>
      </w:r>
      <w:r>
        <w:rPr>
          <w:rFonts w:hint="eastAsia" w:ascii="宋体" w:hAnsi="宋体" w:cs="宋体"/>
          <w:sz w:val="24"/>
          <w:szCs w:val="24"/>
        </w:rPr>
        <w:tab/>
      </w:r>
      <w:r>
        <w:rPr>
          <w:rFonts w:hint="eastAsia" w:ascii="宋体" w:hAnsi="宋体" w:cs="宋体"/>
          <w:sz w:val="24"/>
          <w:szCs w:val="24"/>
          <w:lang w:val="en-US" w:eastAsia="zh-CN"/>
        </w:rPr>
        <w:t xml:space="preserve">4</w:t>
      </w:r>
      <w:r/>
    </w:p>
    <w:p>
      <w:pPr>
        <w:pStyle w:val="828"/>
        <w:spacing w:line="360" w:lineRule="auto"/>
        <w:tabs>
          <w:tab w:val="right" w:pos="9016" w:leader="dot"/>
        </w:tabs>
        <w:rPr>
          <w:rFonts w:ascii="宋体" w:hAnsi="宋体" w:cs="宋体"/>
          <w:sz w:val="24"/>
          <w:szCs w:val="24"/>
        </w:rPr>
      </w:pPr>
      <w:r>
        <w:rPr>
          <w:rFonts w:hint="eastAsia" w:ascii="宋体" w:hAnsi="宋体" w:cs="宋体"/>
          <w:color w:val="000000"/>
          <w:sz w:val="24"/>
          <w:szCs w:val="24"/>
        </w:rPr>
        <w:t xml:space="preserve">第三章 合同条款及格式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_Toc150173459 \h </w:instrText>
      </w:r>
      <w:r>
        <w:rPr>
          <w:rFonts w:hint="eastAsia" w:ascii="宋体" w:hAnsi="宋体" w:cs="宋体"/>
          <w:sz w:val="24"/>
          <w:szCs w:val="24"/>
        </w:rPr>
        <w:fldChar w:fldCharType="separate"/>
      </w:r>
      <w:r>
        <w:rPr>
          <w:rFonts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fldChar w:fldCharType="end"/>
      </w:r>
      <w:r/>
    </w:p>
    <w:p>
      <w:pPr>
        <w:pStyle w:val="828"/>
        <w:spacing w:line="360" w:lineRule="auto"/>
        <w:tabs>
          <w:tab w:val="right" w:pos="9016" w:leader="dot"/>
        </w:tabs>
        <w:rPr>
          <w:rFonts w:hint="default" w:ascii="宋体" w:hAnsi="宋体" w:eastAsia="宋体" w:cs="宋体"/>
          <w:sz w:val="24"/>
          <w:szCs w:val="24"/>
          <w:lang w:val="en-US" w:eastAsia="zh-CN"/>
        </w:rPr>
      </w:pPr>
      <w:r>
        <w:rPr>
          <w:rFonts w:hint="eastAsia" w:ascii="宋体" w:hAnsi="宋体" w:cs="宋体"/>
          <w:color w:val="000000"/>
          <w:sz w:val="24"/>
          <w:szCs w:val="24"/>
        </w:rPr>
        <w:t xml:space="preserve">第四章 项目需求</w:t>
      </w:r>
      <w:r>
        <w:rPr>
          <w:rFonts w:hint="eastAsia" w:ascii="宋体" w:hAnsi="宋体" w:cs="宋体"/>
          <w:sz w:val="24"/>
          <w:szCs w:val="24"/>
        </w:rPr>
        <w:tab/>
      </w:r>
      <w:r>
        <w:rPr>
          <w:rFonts w:hint="eastAsia" w:ascii="宋体" w:hAnsi="宋体" w:cs="宋体"/>
          <w:sz w:val="24"/>
          <w:szCs w:val="24"/>
          <w:lang w:val="en-US" w:eastAsia="zh-CN"/>
        </w:rPr>
        <w:t xml:space="preserve">19</w:t>
      </w:r>
      <w:r/>
    </w:p>
    <w:p>
      <w:pPr>
        <w:pStyle w:val="828"/>
        <w:spacing w:line="360" w:lineRule="auto"/>
        <w:tabs>
          <w:tab w:val="right" w:pos="9016" w:leader="dot"/>
        </w:tabs>
        <w:rPr>
          <w:rFonts w:hint="default" w:ascii="宋体" w:hAnsi="宋体" w:eastAsia="宋体" w:cs="宋体"/>
          <w:sz w:val="24"/>
          <w:szCs w:val="24"/>
          <w:lang w:val="en-US" w:eastAsia="zh-CN"/>
        </w:rPr>
      </w:pPr>
      <w:r>
        <w:rPr>
          <w:rFonts w:hint="eastAsia" w:ascii="宋体" w:hAnsi="宋体" w:cs="宋体"/>
          <w:color w:val="000000"/>
          <w:sz w:val="24"/>
          <w:szCs w:val="24"/>
        </w:rPr>
        <w:t xml:space="preserve">第五章 评标方法及评标标准</w:t>
      </w:r>
      <w:r>
        <w:rPr>
          <w:rFonts w:hint="eastAsia" w:ascii="宋体" w:hAnsi="宋体" w:cs="宋体"/>
          <w:sz w:val="24"/>
          <w:szCs w:val="24"/>
        </w:rPr>
        <w:tab/>
      </w:r>
      <w:r>
        <w:rPr>
          <w:rFonts w:hint="eastAsia" w:ascii="宋体" w:hAnsi="宋体" w:cs="宋体"/>
          <w:sz w:val="24"/>
          <w:szCs w:val="24"/>
          <w:lang w:val="en-US" w:eastAsia="zh-CN"/>
        </w:rPr>
        <w:t xml:space="preserve">69</w:t>
      </w:r>
      <w:r/>
    </w:p>
    <w:p>
      <w:pPr>
        <w:pStyle w:val="828"/>
        <w:spacing w:line="360" w:lineRule="auto"/>
        <w:tabs>
          <w:tab w:val="right" w:pos="9016" w:leader="dot"/>
        </w:tabs>
        <w:rPr>
          <w:rFonts w:hint="eastAsia" w:ascii="宋体" w:hAnsi="宋体" w:eastAsia="宋体" w:cs="宋体"/>
          <w:sz w:val="24"/>
          <w:szCs w:val="24"/>
          <w:lang w:eastAsia="zh-CN"/>
        </w:rPr>
      </w:pPr>
      <w:r>
        <w:rPr>
          <w:rFonts w:hint="eastAsia" w:ascii="宋体" w:hAnsi="宋体" w:cs="宋体"/>
          <w:color w:val="000000"/>
          <w:sz w:val="24"/>
          <w:szCs w:val="24"/>
        </w:rPr>
        <w:t xml:space="preserve">第六章 投标文件格式</w:t>
      </w:r>
      <w:r>
        <w:rPr>
          <w:rFonts w:hint="eastAsia" w:ascii="宋体" w:hAnsi="宋体" w:cs="宋体"/>
          <w:sz w:val="24"/>
          <w:szCs w:val="24"/>
        </w:rPr>
        <w:tab/>
      </w:r>
      <w:r>
        <w:rPr>
          <w:rFonts w:hint="eastAsia" w:ascii="宋体" w:hAnsi="宋体" w:cs="宋体"/>
          <w:sz w:val="24"/>
          <w:szCs w:val="24"/>
        </w:rPr>
        <w:t xml:space="preserve">7</w:t>
      </w:r>
      <w:r>
        <w:rPr>
          <w:rFonts w:hint="eastAsia" w:ascii="宋体" w:hAnsi="宋体" w:cs="宋体"/>
          <w:sz w:val="24"/>
          <w:szCs w:val="24"/>
          <w:lang w:val="en-US" w:eastAsia="zh-CN"/>
        </w:rPr>
        <w:t xml:space="preserve">4</w:t>
      </w:r>
      <w:r/>
    </w:p>
    <w:p>
      <w:pPr>
        <w:rPr>
          <w:rFonts w:ascii="宋体" w:hAnsi="宋体" w:cs="宋体"/>
          <w:sz w:val="24"/>
          <w:szCs w:val="24"/>
        </w:rPr>
      </w:pPr>
      <w:r>
        <w:rPr>
          <w:rFonts w:ascii="宋体" w:hAnsi="宋体" w:cs="宋体"/>
          <w:sz w:val="24"/>
          <w:szCs w:val="24"/>
        </w:rPr>
      </w:r>
      <w:r/>
    </w:p>
    <w:p>
      <w:pPr>
        <w:pStyle w:val="844"/>
        <w:rPr>
          <w:rFonts w:hAnsi="宋体" w:cs="宋体"/>
          <w:szCs w:val="24"/>
        </w:rPr>
      </w:pPr>
      <w:r>
        <w:rPr>
          <w:rFonts w:hAnsi="宋体" w:cs="宋体"/>
          <w:szCs w:val="24"/>
        </w:rPr>
      </w:r>
      <w:r/>
    </w:p>
    <w:p>
      <w:pPr>
        <w:pStyle w:val="845"/>
        <w:rPr>
          <w:rFonts w:hAnsi="宋体" w:cs="宋体"/>
          <w:szCs w:val="24"/>
        </w:rPr>
      </w:pPr>
      <w:r>
        <w:rPr>
          <w:rFonts w:hAnsi="宋体" w:cs="宋体"/>
          <w:szCs w:val="24"/>
        </w:rPr>
      </w:r>
      <w:r/>
    </w:p>
    <w:p>
      <w:pPr>
        <w:pStyle w:val="846"/>
        <w:rPr>
          <w:rFonts w:ascii="宋体" w:eastAsia="宋体" w:cs="宋体"/>
          <w:sz w:val="24"/>
          <w:szCs w:val="24"/>
        </w:rPr>
      </w:pPr>
      <w:r>
        <w:rPr>
          <w:rFonts w:ascii="宋体" w:eastAsia="宋体" w:cs="宋体"/>
          <w:sz w:val="24"/>
          <w:szCs w:val="24"/>
        </w:rPr>
      </w:r>
      <w:r/>
    </w:p>
    <w:p>
      <w:pPr>
        <w:pStyle w:val="848"/>
        <w:rPr>
          <w:rFonts w:hAnsi="宋体" w:cs="宋体"/>
          <w:sz w:val="24"/>
          <w:szCs w:val="24"/>
        </w:rPr>
      </w:pPr>
      <w:r>
        <w:rPr>
          <w:rFonts w:hAnsi="宋体" w:cs="宋体"/>
          <w:sz w:val="24"/>
          <w:szCs w:val="24"/>
        </w:rPr>
      </w:r>
      <w:r/>
    </w:p>
    <w:p>
      <w:pPr>
        <w:rPr>
          <w:rFonts w:ascii="宋体" w:hAnsi="宋体" w:cs="宋体"/>
          <w:sz w:val="24"/>
          <w:szCs w:val="24"/>
        </w:rPr>
      </w:pPr>
      <w:r>
        <w:rPr>
          <w:rFonts w:ascii="宋体" w:hAnsi="宋体" w:cs="宋体"/>
          <w:sz w:val="24"/>
          <w:szCs w:val="24"/>
        </w:rPr>
      </w:r>
      <w:r/>
    </w:p>
    <w:p>
      <w:pPr>
        <w:pStyle w:val="844"/>
        <w:rPr>
          <w:rFonts w:hAnsi="宋体" w:cs="宋体"/>
          <w:szCs w:val="24"/>
        </w:rPr>
      </w:pPr>
      <w:r>
        <w:rPr>
          <w:rFonts w:hAnsi="宋体" w:cs="宋体"/>
          <w:szCs w:val="24"/>
        </w:rPr>
      </w:r>
      <w:r/>
    </w:p>
    <w:p>
      <w:pPr>
        <w:pStyle w:val="845"/>
        <w:rPr>
          <w:rFonts w:hAnsi="宋体" w:cs="宋体"/>
          <w:szCs w:val="24"/>
        </w:rPr>
      </w:pPr>
      <w:r>
        <w:rPr>
          <w:rFonts w:hAnsi="宋体" w:cs="宋体"/>
          <w:szCs w:val="24"/>
        </w:rPr>
      </w:r>
      <w:r/>
    </w:p>
    <w:p>
      <w:pPr>
        <w:pStyle w:val="846"/>
        <w:rPr>
          <w:rFonts w:ascii="宋体" w:eastAsia="宋体" w:cs="宋体"/>
          <w:sz w:val="24"/>
          <w:szCs w:val="24"/>
        </w:rPr>
      </w:pPr>
      <w:r>
        <w:rPr>
          <w:rFonts w:ascii="宋体" w:eastAsia="宋体" w:cs="宋体"/>
          <w:sz w:val="24"/>
          <w:szCs w:val="24"/>
        </w:rPr>
      </w:r>
      <w:r/>
    </w:p>
    <w:p>
      <w:pPr>
        <w:pStyle w:val="848"/>
        <w:rPr>
          <w:rFonts w:hAnsi="宋体" w:cs="宋体"/>
          <w:sz w:val="24"/>
          <w:szCs w:val="24"/>
        </w:rPr>
      </w:pPr>
      <w:r>
        <w:rPr>
          <w:rFonts w:hAnsi="宋体" w:cs="宋体"/>
          <w:sz w:val="24"/>
          <w:szCs w:val="24"/>
        </w:rPr>
      </w:r>
      <w:r/>
    </w:p>
    <w:p>
      <w:pPr>
        <w:rPr>
          <w:rFonts w:ascii="宋体" w:hAnsi="宋体" w:cs="宋体"/>
          <w:sz w:val="24"/>
          <w:szCs w:val="24"/>
        </w:rPr>
      </w:pPr>
      <w:r>
        <w:rPr>
          <w:rFonts w:ascii="宋体" w:hAnsi="宋体" w:cs="宋体"/>
          <w:sz w:val="24"/>
          <w:szCs w:val="24"/>
        </w:rPr>
      </w:r>
      <w:r/>
    </w:p>
    <w:p>
      <w:pPr>
        <w:pStyle w:val="844"/>
        <w:rPr>
          <w:rFonts w:hAnsi="宋体" w:cs="宋体"/>
          <w:szCs w:val="24"/>
        </w:rPr>
      </w:pPr>
      <w:r>
        <w:rPr>
          <w:rFonts w:hAnsi="宋体" w:cs="宋体"/>
          <w:szCs w:val="24"/>
        </w:rPr>
      </w:r>
      <w:r/>
    </w:p>
    <w:p>
      <w:pPr>
        <w:pStyle w:val="845"/>
        <w:rPr>
          <w:rFonts w:hAnsi="宋体" w:cs="宋体"/>
          <w:szCs w:val="24"/>
        </w:rPr>
      </w:pPr>
      <w:r>
        <w:rPr>
          <w:rFonts w:hAnsi="宋体" w:cs="宋体"/>
          <w:szCs w:val="24"/>
        </w:rPr>
      </w:r>
      <w:r/>
    </w:p>
    <w:p>
      <w:pPr>
        <w:pStyle w:val="846"/>
        <w:rPr>
          <w:rFonts w:ascii="宋体" w:eastAsia="宋体" w:cs="宋体"/>
          <w:sz w:val="24"/>
          <w:szCs w:val="24"/>
        </w:rPr>
      </w:pPr>
      <w:r>
        <w:rPr>
          <w:rFonts w:ascii="宋体" w:eastAsia="宋体" w:cs="宋体"/>
          <w:sz w:val="24"/>
          <w:szCs w:val="24"/>
        </w:rPr>
      </w:r>
      <w:r/>
    </w:p>
    <w:p>
      <w:pPr>
        <w:pStyle w:val="848"/>
        <w:rPr>
          <w:rFonts w:hAnsi="宋体" w:cs="宋体"/>
          <w:sz w:val="24"/>
          <w:szCs w:val="24"/>
        </w:rPr>
      </w:pPr>
      <w:r>
        <w:rPr>
          <w:rFonts w:hAnsi="宋体" w:cs="宋体"/>
          <w:sz w:val="24"/>
          <w:szCs w:val="24"/>
        </w:rPr>
      </w:r>
      <w:r/>
    </w:p>
    <w:p>
      <w:pPr>
        <w:rPr>
          <w:rFonts w:ascii="宋体" w:hAnsi="宋体" w:cs="宋体"/>
          <w:sz w:val="24"/>
          <w:szCs w:val="24"/>
        </w:rPr>
      </w:pPr>
      <w:r>
        <w:rPr>
          <w:rFonts w:ascii="宋体" w:hAnsi="宋体" w:cs="宋体"/>
          <w:sz w:val="24"/>
          <w:szCs w:val="24"/>
        </w:rPr>
      </w:r>
      <w:r/>
    </w:p>
    <w:p>
      <w:pPr>
        <w:pStyle w:val="844"/>
        <w:rPr>
          <w:rFonts w:hAnsi="宋体" w:cs="宋体"/>
          <w:szCs w:val="24"/>
        </w:rPr>
      </w:pPr>
      <w:r>
        <w:rPr>
          <w:rFonts w:hAnsi="宋体" w:cs="宋体"/>
          <w:szCs w:val="24"/>
        </w:rPr>
      </w:r>
      <w:r/>
    </w:p>
    <w:p>
      <w:pPr>
        <w:pStyle w:val="845"/>
        <w:rPr>
          <w:rFonts w:hAnsi="宋体" w:cs="宋体"/>
          <w:szCs w:val="24"/>
        </w:rPr>
      </w:pPr>
      <w:r>
        <w:rPr>
          <w:rFonts w:hAnsi="宋体" w:cs="宋体"/>
          <w:szCs w:val="24"/>
        </w:rPr>
      </w:r>
      <w:r/>
    </w:p>
    <w:p>
      <w:pPr>
        <w:pStyle w:val="846"/>
        <w:rPr>
          <w:rFonts w:ascii="宋体" w:eastAsia="宋体" w:cs="宋体"/>
          <w:sz w:val="24"/>
          <w:szCs w:val="24"/>
        </w:rPr>
      </w:pPr>
      <w:r>
        <w:rPr>
          <w:rFonts w:ascii="宋体" w:eastAsia="宋体" w:cs="宋体"/>
          <w:sz w:val="24"/>
          <w:szCs w:val="24"/>
        </w:rPr>
      </w:r>
      <w:r/>
    </w:p>
    <w:p>
      <w:pPr>
        <w:pStyle w:val="848"/>
        <w:rPr>
          <w:rFonts w:hAnsi="宋体" w:cs="宋体"/>
          <w:sz w:val="24"/>
          <w:szCs w:val="24"/>
        </w:rPr>
      </w:pPr>
      <w:r>
        <w:rPr>
          <w:rFonts w:hAnsi="宋体" w:cs="宋体"/>
          <w:sz w:val="24"/>
          <w:szCs w:val="24"/>
        </w:rPr>
      </w:r>
      <w:r/>
    </w:p>
    <w:p>
      <w:r/>
      <w:r/>
    </w:p>
    <w:p>
      <w:pPr>
        <w:rPr>
          <w:rFonts w:ascii="宋体" w:hAnsi="宋体" w:cs="宋体"/>
          <w:sz w:val="24"/>
          <w:szCs w:val="24"/>
        </w:rPr>
      </w:pPr>
      <w:r>
        <w:rPr>
          <w:rFonts w:ascii="宋体" w:hAnsi="宋体" w:cs="宋体"/>
          <w:sz w:val="24"/>
          <w:szCs w:val="24"/>
        </w:rPr>
      </w:r>
      <w:r/>
    </w:p>
    <w:p>
      <w:pPr>
        <w:pStyle w:val="844"/>
        <w:rPr>
          <w:rFonts w:hAnsi="宋体" w:cs="宋体"/>
          <w:szCs w:val="24"/>
        </w:rPr>
      </w:pPr>
      <w:r>
        <w:rPr>
          <w:rFonts w:hAnsi="宋体" w:cs="宋体"/>
          <w:szCs w:val="24"/>
        </w:rPr>
      </w:r>
      <w:r/>
    </w:p>
    <w:p>
      <w:pPr>
        <w:pStyle w:val="846"/>
        <w:ind w:left="0" w:firstLine="0"/>
        <w:rPr>
          <w:rFonts w:ascii="宋体" w:eastAsia="宋体" w:cs="宋体"/>
          <w:sz w:val="24"/>
          <w:szCs w:val="24"/>
        </w:rPr>
      </w:pPr>
      <w:r>
        <w:rPr>
          <w:rFonts w:ascii="宋体" w:eastAsia="宋体" w:cs="宋体"/>
          <w:sz w:val="24"/>
          <w:szCs w:val="24"/>
        </w:rPr>
      </w:r>
      <w:r/>
    </w:p>
    <w:p>
      <w:pPr>
        <w:jc w:val="center"/>
        <w:rPr>
          <w:rFonts w:ascii="宋体" w:hAnsi="宋体" w:cs="宋体"/>
          <w:color w:val="000000"/>
          <w:sz w:val="24"/>
          <w:szCs w:val="24"/>
        </w:rPr>
        <w:outlineLvl w:val="0"/>
      </w:pPr>
      <w:r>
        <w:rPr>
          <w:rFonts w:hint="eastAsia" w:ascii="宋体" w:hAnsi="宋体" w:cs="宋体"/>
          <w:color w:val="000000"/>
          <w:sz w:val="24"/>
          <w:szCs w:val="24"/>
        </w:rPr>
        <w:fldChar w:fldCharType="end"/>
      </w:r>
      <w:bookmarkStart w:id="11" w:name="_Toc1255"/>
      <w:r/>
      <w:r/>
    </w:p>
    <w:p>
      <w:pPr>
        <w:jc w:val="center"/>
        <w:rPr>
          <w:rFonts w:hint="eastAsia" w:ascii="宋体" w:hAnsi="宋体" w:cs="宋体"/>
          <w:b/>
          <w:bCs/>
          <w:color w:val="000000"/>
          <w:sz w:val="28"/>
          <w:szCs w:val="28"/>
        </w:rPr>
        <w:sectPr>
          <w:headerReference w:type="default" r:id="rId11"/>
          <w:footerReference w:type="default" r:id="rId14"/>
          <w:footnotePr/>
          <w:endnotePr/>
          <w:type w:val="nextPage"/>
          <w:pgSz w:w="11906" w:h="16838" w:orient="portrait"/>
          <w:pgMar w:top="1440" w:right="1440" w:bottom="1440" w:left="1440" w:header="851" w:footer="850" w:gutter="0"/>
          <w:pgNumType w:start="1"/>
          <w:cols w:num="1" w:sep="0" w:space="1701" w:equalWidth="1"/>
          <w:docGrid w:linePitch="360"/>
        </w:sectPr>
        <w:outlineLvl w:val="0"/>
      </w:pPr>
      <w:r>
        <w:rPr>
          <w:rFonts w:hint="eastAsia" w:ascii="宋体" w:hAnsi="宋体" w:cs="宋体"/>
          <w:b/>
          <w:bCs/>
          <w:color w:val="000000"/>
          <w:sz w:val="28"/>
          <w:szCs w:val="28"/>
        </w:rPr>
      </w:r>
      <w:r/>
    </w:p>
    <w:p>
      <w:pPr>
        <w:jc w:val="center"/>
        <w:rPr>
          <w:rFonts w:ascii="宋体" w:hAnsi="宋体" w:cs="宋体"/>
          <w:sz w:val="20"/>
          <w:szCs w:val="21"/>
        </w:rPr>
        <w:outlineLvl w:val="0"/>
      </w:pPr>
      <w:r>
        <w:rPr>
          <w:rFonts w:hint="eastAsia" w:ascii="宋体" w:hAnsi="宋体" w:cs="宋体"/>
          <w:b/>
          <w:bCs/>
          <w:color w:val="000000"/>
          <w:sz w:val="28"/>
          <w:szCs w:val="28"/>
        </w:rPr>
        <w:t xml:space="preserve">第一章</w:t>
      </w:r>
      <w:r>
        <w:rPr>
          <w:rFonts w:hint="eastAsia" w:ascii="宋体" w:hAnsi="宋体"/>
          <w:b/>
          <w:bCs/>
          <w:color w:val="000000"/>
          <w:sz w:val="28"/>
          <w:szCs w:val="28"/>
          <w:lang w:eastAsia="zh-CN"/>
        </w:rPr>
        <w:t xml:space="preserve">高邮市审计局</w:t>
      </w:r>
      <w:r>
        <w:rPr>
          <w:rFonts w:hint="eastAsia" w:ascii="宋体" w:hAnsi="宋体"/>
          <w:b/>
          <w:bCs/>
          <w:color w:val="000000"/>
          <w:sz w:val="28"/>
          <w:szCs w:val="28"/>
        </w:rPr>
        <w:t xml:space="preserve">关于</w:t>
      </w:r>
      <w:bookmarkEnd w:id="7"/>
      <w:r/>
      <w:bookmarkEnd w:id="8"/>
      <w:r/>
      <w:bookmarkEnd w:id="11"/>
      <w:r/>
      <w:bookmarkStart w:id="12" w:name="_Toc14583"/>
      <w:r/>
      <w:bookmarkStart w:id="13" w:name="_Toc20301"/>
      <w:r>
        <w:rPr>
          <w:rFonts w:hint="eastAsia" w:ascii="宋体" w:hAnsi="宋体"/>
          <w:b/>
          <w:bCs/>
          <w:color w:val="000000"/>
          <w:sz w:val="28"/>
          <w:szCs w:val="28"/>
          <w:lang w:eastAsia="zh-CN"/>
        </w:rPr>
        <w:t xml:space="preserve">高邮市智创园建设项目跟踪审计服务</w:t>
      </w:r>
      <w:r>
        <w:rPr>
          <w:rFonts w:hint="eastAsia" w:ascii="宋体" w:hAnsi="宋体"/>
          <w:b/>
          <w:bCs/>
          <w:color w:val="000000"/>
          <w:sz w:val="28"/>
          <w:szCs w:val="28"/>
        </w:rPr>
        <w:t xml:space="preserve">的招标公告</w:t>
      </w:r>
      <w:bookmarkEnd w:id="9"/>
      <w:r/>
      <w:bookmarkEnd w:id="10"/>
      <w:r/>
      <w:bookmarkEnd w:id="12"/>
      <w:r/>
      <w:bookmarkEnd w:id="13"/>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u w:val="single"/>
          <w:lang w:eastAsia="zh-CN"/>
        </w:rPr>
        <w:t xml:space="preserve">高邮市审计局</w:t>
      </w:r>
      <w:r>
        <w:rPr>
          <w:rFonts w:hint="eastAsia" w:ascii="宋体" w:hAnsi="宋体" w:cs="宋体"/>
        </w:rPr>
        <w:t xml:space="preserve">的委托，</w:t>
      </w:r>
      <w:r>
        <w:rPr>
          <w:rFonts w:hint="eastAsia" w:ascii="宋体" w:hAnsi="宋体" w:cs="宋体"/>
          <w:u w:val="single"/>
        </w:rPr>
        <w:t xml:space="preserve">扬州华泽工程项目管理咨询有限公司</w:t>
      </w:r>
      <w:r>
        <w:rPr>
          <w:rFonts w:hint="eastAsia" w:ascii="宋体" w:hAnsi="宋体" w:cs="宋体"/>
        </w:rPr>
        <w:t xml:space="preserve">就</w:t>
      </w:r>
      <w:r>
        <w:rPr>
          <w:rFonts w:hint="eastAsia" w:ascii="宋体" w:hAnsi="宋体" w:cs="宋体"/>
          <w:u w:val="single"/>
          <w:lang w:eastAsia="zh-CN"/>
        </w:rPr>
        <w:t xml:space="preserve">高邮市智创园建设项目跟踪审计服务</w:t>
      </w:r>
      <w:r>
        <w:rPr>
          <w:rFonts w:hint="eastAsia" w:ascii="宋体" w:hAnsi="宋体" w:cs="宋体"/>
        </w:rPr>
        <w:t xml:space="preserve">进行公开招标采购，欢迎符合条件的供应商投标。</w:t>
      </w:r>
      <w:r/>
    </w:p>
    <w:p>
      <w:pPr>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高邮市智创园建设项目跟踪审计服务</w:t>
      </w:r>
      <w:r>
        <w:rPr>
          <w:rFonts w:hint="eastAsia" w:ascii="宋体" w:hAnsi="宋体" w:cs="宋体"/>
          <w:u w:val="single"/>
        </w:rPr>
        <w:t xml:space="preserve"> </w:t>
      </w:r>
      <w:r>
        <w:rPr>
          <w:rFonts w:hint="eastAsia" w:ascii="宋体" w:hAnsi="宋体" w:cs="宋体"/>
        </w:rPr>
        <w:t xml:space="preserve">招标项目的潜在投标人可在</w:t>
      </w:r>
      <w:r>
        <w:rPr>
          <w:rFonts w:hint="eastAsia" w:ascii="宋体" w:hAnsi="宋体" w:cs="宋体"/>
          <w:u w:val="single"/>
        </w:rPr>
        <w:t xml:space="preserve"> “扬州市政府采购网”、“江苏省政府采购网”</w:t>
      </w:r>
      <w:r>
        <w:rPr>
          <w:rFonts w:hint="eastAsia" w:ascii="宋体" w:hAnsi="宋体" w:cs="宋体"/>
        </w:rPr>
        <w:t xml:space="preserve">自行免费下载招标文件，并于</w:t>
      </w:r>
      <w:r>
        <w:rPr>
          <w:rFonts w:hint="eastAsia" w:ascii="宋体" w:hAnsi="宋体" w:cs="宋体"/>
          <w:bCs/>
          <w:u w:val="single"/>
        </w:rPr>
        <w:t xml:space="preserve">202</w:t>
      </w:r>
      <w:r>
        <w:rPr>
          <w:rFonts w:hint="eastAsia" w:ascii="宋体" w:hAnsi="宋体" w:cs="宋体"/>
          <w:bCs/>
          <w:u w:val="single"/>
          <w:lang w:val="en-US" w:eastAsia="zh-CN"/>
        </w:rPr>
        <w:t xml:space="preserve">6</w:t>
      </w:r>
      <w:r>
        <w:rPr>
          <w:rFonts w:hint="eastAsia" w:ascii="宋体" w:hAnsi="宋体" w:cs="宋体"/>
          <w:bCs/>
          <w:u w:val="single"/>
        </w:rPr>
        <w:t xml:space="preserve">年 </w:t>
      </w:r>
      <w:r>
        <w:rPr>
          <w:rFonts w:hint="eastAsia" w:ascii="宋体" w:hAnsi="宋体" w:cs="宋体"/>
          <w:bCs/>
          <w:u w:val="single"/>
          <w:lang w:val="en-US" w:eastAsia="zh-CN"/>
        </w:rPr>
        <w:t xml:space="preserve">10</w:t>
      </w:r>
      <w:r>
        <w:rPr>
          <w:rFonts w:hint="eastAsia" w:ascii="宋体" w:hAnsi="宋体" w:cs="宋体"/>
          <w:bCs/>
          <w:u w:val="single"/>
        </w:rPr>
        <w:t xml:space="preserve"> 月 </w:t>
      </w:r>
      <w:r>
        <w:rPr>
          <w:rFonts w:hint="eastAsia" w:ascii="宋体" w:hAnsi="宋体" w:cs="宋体"/>
          <w:bCs/>
          <w:u w:val="single"/>
          <w:lang w:val="en-US" w:eastAsia="zh-CN"/>
        </w:rPr>
        <w:t xml:space="preserve">22</w:t>
      </w:r>
      <w:r>
        <w:rPr>
          <w:rFonts w:hint="eastAsia" w:ascii="宋体" w:hAnsi="宋体" w:cs="宋体"/>
          <w:bCs/>
          <w:u w:val="single"/>
        </w:rPr>
        <w:t xml:space="preserve"> 日9:00（</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outlineLvl w:val="1"/>
      </w:pPr>
      <w:r/>
      <w:bookmarkStart w:id="14" w:name="_Toc2904"/>
      <w:r/>
      <w:bookmarkStart w:id="15" w:name="_Toc35393621"/>
      <w:r/>
      <w:bookmarkStart w:id="16" w:name="_Toc28359079"/>
      <w:r/>
      <w:bookmarkStart w:id="17" w:name="_Toc22574"/>
      <w:r/>
      <w:bookmarkStart w:id="18" w:name="_Toc38985263"/>
      <w:r/>
      <w:bookmarkStart w:id="19" w:name="_Toc28359002"/>
      <w:r/>
      <w:bookmarkStart w:id="20" w:name="_Toc24585"/>
      <w:r/>
      <w:bookmarkStart w:id="21" w:name="_Toc35393790"/>
      <w:r/>
      <w:bookmarkStart w:id="22" w:name="_Hlk24379207"/>
      <w:r>
        <w:rPr>
          <w:rFonts w:hint="eastAsia" w:ascii="宋体" w:hAnsi="宋体" w:cs="宋体"/>
          <w:b/>
          <w:bCs/>
        </w:rPr>
        <w:t xml:space="preserve">一、项目基本情况</w:t>
      </w:r>
      <w:bookmarkEnd w:id="14"/>
      <w:r/>
      <w:bookmarkEnd w:id="15"/>
      <w:r/>
      <w:bookmarkEnd w:id="16"/>
      <w:r/>
      <w:bookmarkEnd w:id="17"/>
      <w:r/>
      <w:bookmarkEnd w:id="18"/>
      <w:r/>
      <w:bookmarkEnd w:id="19"/>
      <w:r/>
      <w:bookmarkEnd w:id="20"/>
      <w:r/>
      <w:bookmarkEnd w:id="21"/>
      <w:r/>
      <w:r/>
    </w:p>
    <w:p>
      <w:pPr>
        <w:ind w:firstLine="420"/>
        <w:spacing w:line="360" w:lineRule="auto"/>
        <w:rPr>
          <w:rFonts w:ascii="宋体" w:hAnsi="宋体" w:cs="宋体"/>
        </w:rPr>
      </w:pPr>
      <w:r/>
      <w:bookmarkStart w:id="23" w:name="_Toc21609"/>
      <w:r/>
      <w:bookmarkStart w:id="24" w:name="_Toc17018"/>
      <w:r>
        <w:rPr>
          <w:rFonts w:hint="eastAsia" w:ascii="宋体" w:hAnsi="宋体" w:cs="宋体"/>
        </w:rPr>
        <w:t xml:space="preserve">1.项目编号：</w:t>
      </w:r>
      <w:bookmarkEnd w:id="23"/>
      <w:r/>
      <w:bookmarkEnd w:id="24"/>
      <w:r>
        <w:rPr>
          <w:rFonts w:hint="eastAsia" w:ascii="宋体" w:hAnsi="宋体" w:cs="宋体"/>
          <w:lang w:eastAsia="zh-CN"/>
        </w:rPr>
        <w:t xml:space="preserve">JSZC-321084-YZHZ-G2026-0008</w:t>
      </w:r>
      <w:r>
        <w:rPr>
          <w:rFonts w:hint="eastAsia" w:ascii="宋体" w:hAnsi="宋体" w:cs="宋体"/>
        </w:rPr>
        <w:t xml:space="preserve"> </w:t>
      </w:r>
      <w:r/>
    </w:p>
    <w:p>
      <w:pPr>
        <w:ind w:firstLine="420"/>
        <w:spacing w:line="360" w:lineRule="auto"/>
        <w:rPr>
          <w:rFonts w:hint="eastAsia" w:ascii="宋体" w:hAnsi="宋体" w:eastAsia="宋体" w:cs="宋体"/>
          <w:lang w:eastAsia="zh-CN"/>
        </w:rPr>
      </w:pPr>
      <w:r>
        <w:rPr>
          <w:rFonts w:hint="eastAsia" w:ascii="宋体" w:hAnsi="宋体" w:cs="宋体"/>
        </w:rPr>
        <w:t xml:space="preserve">2.项目名称：</w:t>
      </w:r>
      <w:bookmarkEnd w:id="22"/>
      <w:r>
        <w:rPr>
          <w:rFonts w:hint="eastAsia" w:ascii="宋体" w:hAnsi="宋体" w:cs="宋体"/>
          <w:lang w:eastAsia="zh-CN"/>
        </w:rPr>
        <w:t xml:space="preserve">高邮市智创园建设项目跟踪审计服务</w:t>
      </w:r>
      <w:r/>
    </w:p>
    <w:p>
      <w:pPr>
        <w:ind w:firstLine="420"/>
        <w:spacing w:line="360" w:lineRule="auto"/>
        <w:rPr>
          <w:rFonts w:hint="default" w:ascii="宋体" w:hAnsi="宋体" w:eastAsia="宋体" w:cs="宋体"/>
          <w:lang w:val="en-US" w:eastAsia="zh-CN"/>
        </w:rPr>
      </w:pPr>
      <w:r/>
      <w:bookmarkStart w:id="25" w:name="_Toc14921"/>
      <w:r/>
      <w:bookmarkStart w:id="26" w:name="_Toc4583"/>
      <w:r>
        <w:rPr>
          <w:rFonts w:hint="eastAsia" w:ascii="宋体" w:hAnsi="宋体" w:cs="宋体"/>
        </w:rPr>
        <w:t xml:space="preserve">3.</w:t>
      </w:r>
      <w:r>
        <w:rPr>
          <w:rFonts w:hint="eastAsia" w:ascii="宋体" w:hAnsi="宋体" w:cs="宋体"/>
          <w:lang w:val="en-US" w:eastAsia="zh-CN"/>
        </w:rPr>
        <w:t xml:space="preserve">预算金额</w:t>
      </w:r>
      <w:r>
        <w:rPr>
          <w:rFonts w:hint="eastAsia" w:ascii="宋体" w:hAnsi="宋体" w:cs="宋体"/>
        </w:rPr>
        <w:t xml:space="preserve">：</w:t>
      </w:r>
      <w:bookmarkEnd w:id="25"/>
      <w:r/>
      <w:bookmarkEnd w:id="26"/>
      <w:r>
        <w:rPr>
          <w:rFonts w:hint="eastAsia" w:ascii="宋体" w:hAnsi="宋体" w:cs="宋体"/>
          <w:lang w:val="en-US" w:eastAsia="zh-CN"/>
        </w:rPr>
        <w:t xml:space="preserve">176.5万元</w:t>
      </w:r>
      <w:r>
        <w:rPr>
          <w:rFonts w:hint="eastAsia" w:ascii="宋体" w:hAnsi="宋体" w:cs="宋体"/>
          <w:lang w:eastAsia="zh-CN"/>
        </w:rPr>
        <w:t xml:space="preserve">；</w:t>
      </w:r>
      <w:r>
        <w:rPr>
          <w:rFonts w:hint="eastAsia" w:ascii="宋体" w:hAnsi="宋体" w:cs="宋体"/>
          <w:lang w:val="en-US" w:eastAsia="zh-CN"/>
        </w:rPr>
        <w:t xml:space="preserve">最高限价：176.5万元（报价超过最高限价为无效响应）。</w:t>
      </w:r>
      <w:r/>
    </w:p>
    <w:p>
      <w:pPr>
        <w:ind w:firstLine="420"/>
        <w:spacing w:line="360" w:lineRule="auto"/>
        <w:rPr>
          <w:rFonts w:ascii="宋体" w:hAnsi="宋体" w:cs="宋体"/>
        </w:rPr>
      </w:pPr>
      <w:r>
        <w:rPr>
          <w:rFonts w:hint="eastAsia" w:ascii="宋体" w:hAnsi="宋体" w:cs="宋体"/>
        </w:rPr>
        <w:t xml:space="preserve">4.采购需求：具体详见招标文件第四章。</w:t>
      </w:r>
      <w:r/>
    </w:p>
    <w:p>
      <w:pPr>
        <w:ind w:firstLine="420"/>
        <w:spacing w:line="360" w:lineRule="auto"/>
        <w:rPr>
          <w:rFonts w:ascii="宋体" w:hAnsi="宋体" w:cs="宋体"/>
        </w:rPr>
      </w:pPr>
      <w:r>
        <w:rPr>
          <w:rFonts w:hint="eastAsia" w:ascii="宋体" w:hAnsi="宋体" w:cs="宋体"/>
        </w:rPr>
        <w:t xml:space="preserve">5.合同履行期限：自合同签订之日起至项目竣工结算初审完成、档案整理完毕且通过验收。</w:t>
      </w:r>
      <w:r/>
    </w:p>
    <w:p>
      <w:pPr>
        <w:ind w:firstLine="420"/>
        <w:spacing w:line="360" w:lineRule="auto"/>
        <w:rPr>
          <w:rFonts w:ascii="宋体" w:hAnsi="宋体" w:cs="宋体"/>
          <w:color w:val="000000"/>
        </w:rPr>
      </w:pPr>
      <w:r>
        <w:rPr>
          <w:rFonts w:hint="eastAsia" w:ascii="宋体" w:hAnsi="宋体" w:cs="宋体"/>
          <w:color w:val="000000"/>
        </w:rPr>
        <w:t xml:space="preserve">6.本项目</w:t>
      </w:r>
      <w:r>
        <w:rPr>
          <w:rFonts w:hint="eastAsia" w:ascii="宋体" w:hAnsi="宋体" w:cs="宋体"/>
          <w:color w:val="000000"/>
          <w:u w:val="single"/>
        </w:rPr>
        <w:t xml:space="preserve"> 不接受 </w:t>
      </w:r>
      <w:r>
        <w:rPr>
          <w:rFonts w:hint="eastAsia" w:ascii="宋体" w:hAnsi="宋体" w:cs="宋体"/>
          <w:color w:val="000000"/>
        </w:rPr>
        <w:t xml:space="preserve">联合体投标。</w:t>
      </w:r>
      <w:r/>
    </w:p>
    <w:p>
      <w:pPr>
        <w:ind w:firstLine="420"/>
        <w:spacing w:line="360" w:lineRule="auto"/>
      </w:pPr>
      <w:r>
        <w:rPr>
          <w:rFonts w:hint="eastAsia" w:ascii="宋体" w:hAnsi="宋体" w:cs="宋体"/>
        </w:rPr>
        <w:t xml:space="preserve">7.本项目</w:t>
      </w:r>
      <w:r>
        <w:rPr>
          <w:rFonts w:hint="eastAsia" w:ascii="宋体" w:hAnsi="宋体" w:cs="宋体"/>
          <w:u w:val="single"/>
        </w:rPr>
        <w:t xml:space="preserve"> 不接受 </w:t>
      </w:r>
      <w:r>
        <w:rPr>
          <w:rFonts w:hint="eastAsia" w:ascii="宋体" w:hAnsi="宋体" w:cs="宋体"/>
        </w:rPr>
        <w:t xml:space="preserve">进口产品投标。</w:t>
      </w:r>
      <w:r/>
    </w:p>
    <w:p>
      <w:pPr>
        <w:spacing w:line="360" w:lineRule="auto"/>
        <w:tabs>
          <w:tab w:val="left" w:pos="266" w:leader="none"/>
        </w:tabs>
        <w:rPr>
          <w:rFonts w:ascii="宋体" w:hAnsi="宋体" w:cs="宋体"/>
          <w:b/>
          <w:bCs/>
        </w:rPr>
        <w:outlineLvl w:val="1"/>
      </w:pPr>
      <w:r/>
      <w:bookmarkStart w:id="27" w:name="_Toc35393791"/>
      <w:r/>
      <w:bookmarkStart w:id="28" w:name="_Toc35393622"/>
      <w:r/>
      <w:bookmarkStart w:id="29" w:name="_Toc100"/>
      <w:r/>
      <w:bookmarkStart w:id="30" w:name="_Toc28359080"/>
      <w:r/>
      <w:bookmarkStart w:id="31" w:name="_Toc24912"/>
      <w:r/>
      <w:bookmarkStart w:id="32" w:name="_Toc28359003"/>
      <w:r/>
      <w:bookmarkStart w:id="33" w:name="_Toc31055"/>
      <w:r/>
      <w:bookmarkStart w:id="34" w:name="_Toc38985264"/>
      <w:r>
        <w:rPr>
          <w:rFonts w:hint="eastAsia" w:ascii="宋体" w:hAnsi="宋体" w:cs="宋体"/>
          <w:b/>
          <w:bCs/>
        </w:rPr>
        <w:t xml:space="preserve">二、申请人的资格要求：</w:t>
      </w:r>
      <w:bookmarkEnd w:id="27"/>
      <w:r/>
      <w:bookmarkEnd w:id="28"/>
      <w:r/>
      <w:bookmarkEnd w:id="29"/>
      <w:r/>
      <w:bookmarkEnd w:id="30"/>
      <w:r/>
      <w:bookmarkEnd w:id="31"/>
      <w:r/>
      <w:bookmarkEnd w:id="32"/>
      <w:r/>
      <w:bookmarkEnd w:id="33"/>
      <w:r/>
      <w:bookmarkEnd w:id="34"/>
      <w:r/>
      <w:r/>
    </w:p>
    <w:p>
      <w:pPr>
        <w:ind w:firstLine="420"/>
        <w:spacing w:line="360" w:lineRule="auto"/>
        <w:rPr>
          <w:rFonts w:ascii="宋体" w:hAnsi="宋体" w:cs="宋体"/>
          <w:szCs w:val="21"/>
        </w:rPr>
      </w:pPr>
      <w:r/>
      <w:bookmarkStart w:id="35" w:name="_Toc35393792"/>
      <w:r/>
      <w:bookmarkStart w:id="36" w:name="_Toc28359004"/>
      <w:r/>
      <w:bookmarkStart w:id="37" w:name="_Toc28359081"/>
      <w:r/>
      <w:bookmarkStart w:id="38" w:name="_Toc35393623"/>
      <w:r/>
      <w:bookmarkStart w:id="39" w:name="_Toc38985265"/>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bookmarkStart w:id="40" w:name="_Toc5171"/>
      <w:r/>
      <w:bookmarkStart w:id="41" w:name="_Toc22036"/>
      <w:r>
        <w:rPr>
          <w:rFonts w:hint="eastAsia" w:ascii="宋体" w:hAnsi="宋体" w:cs="宋体"/>
          <w:i/>
          <w:iCs/>
          <w:szCs w:val="21"/>
          <w:u w:val="single"/>
        </w:rPr>
        <w:t xml:space="preserve">1.1法人或者其他组织的营业执照等证明文件，自然人的身份证明</w:t>
      </w:r>
      <w:bookmarkEnd w:id="40"/>
      <w:r/>
      <w:bookmarkEnd w:id="41"/>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ff0000"/>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szCs w:val="21"/>
          <w:u w:val="single"/>
        </w:rPr>
      </w:pPr>
      <w:r/>
      <w:bookmarkStart w:id="42" w:name="_Toc28524"/>
      <w:r/>
      <w:bookmarkStart w:id="43" w:name="_Toc18851"/>
      <w:r>
        <w:rPr>
          <w:rFonts w:hint="eastAsia" w:ascii="宋体" w:hAnsi="宋体" w:cs="宋体"/>
          <w:i/>
          <w:iCs/>
          <w:szCs w:val="21"/>
          <w:u w:val="single"/>
        </w:rPr>
        <w:t xml:space="preserve">1.8供应商信用承诺函</w:t>
      </w:r>
      <w:bookmarkEnd w:id="42"/>
      <w:r/>
      <w:bookmarkEnd w:id="43"/>
      <w:r/>
      <w:r/>
    </w:p>
    <w:p>
      <w:pPr>
        <w:ind w:firstLine="420"/>
        <w:spacing w:line="360" w:lineRule="auto"/>
        <w:rPr>
          <w:rFonts w:ascii="宋体" w:hAnsi="宋体" w:cs="宋体"/>
          <w:i/>
          <w:szCs w:val="21"/>
          <w:u w:val="single"/>
        </w:rPr>
      </w:pPr>
      <w:r>
        <w:rPr>
          <w:rFonts w:hint="eastAsia" w:ascii="宋体" w:hAnsi="宋体" w:cs="宋体"/>
          <w:szCs w:val="21"/>
        </w:rPr>
        <w:t xml:space="preserve">2.落实政府采购政策需满足的资格要求：</w:t>
      </w:r>
      <w:r>
        <w:rPr>
          <w:rFonts w:hint="eastAsia" w:ascii="宋体" w:hAnsi="宋体" w:cs="宋体"/>
          <w:i/>
          <w:szCs w:val="21"/>
          <w:u w:val="single"/>
        </w:rPr>
        <w:t xml:space="preserve">本项目专门面向中小企业采购；投标人须提供《中小企业声明函》，企业类型为租赁和商务服务业。《中小企业声明函》不符合要求或未提供的，投标文件无效。</w:t>
      </w:r>
      <w:r/>
    </w:p>
    <w:p>
      <w:pPr>
        <w:ind w:firstLine="420"/>
        <w:spacing w:line="360" w:lineRule="auto"/>
        <w:rPr>
          <w:rFonts w:ascii="宋体" w:hAnsi="宋体" w:cs="宋体"/>
          <w:szCs w:val="21"/>
          <w:u w:val="single"/>
        </w:rPr>
      </w:pPr>
      <w:r>
        <w:rPr>
          <w:rFonts w:hint="eastAsia" w:ascii="宋体" w:hAnsi="宋体" w:cs="宋体"/>
          <w:szCs w:val="21"/>
        </w:rPr>
        <w:t xml:space="preserve">3.本项目的特定资格要求：</w:t>
      </w:r>
      <w:r>
        <w:rPr>
          <w:rFonts w:hint="eastAsia" w:ascii="宋体" w:hAnsi="宋体" w:cs="宋体"/>
          <w:szCs w:val="21"/>
          <w:u w:val="single"/>
        </w:rPr>
        <w:t xml:space="preserve">无</w:t>
      </w:r>
      <w:r/>
    </w:p>
    <w:p>
      <w:pPr>
        <w:spacing w:line="360" w:lineRule="auto"/>
        <w:tabs>
          <w:tab w:val="left" w:pos="266" w:leader="none"/>
        </w:tabs>
        <w:rPr>
          <w:rFonts w:ascii="宋体" w:hAnsi="宋体" w:cs="宋体"/>
          <w:b/>
          <w:bCs/>
        </w:rPr>
        <w:outlineLvl w:val="1"/>
      </w:pPr>
      <w:r/>
      <w:bookmarkStart w:id="44" w:name="_Toc23766"/>
      <w:r/>
      <w:bookmarkStart w:id="45" w:name="_Toc20796"/>
      <w:r/>
      <w:bookmarkStart w:id="46" w:name="_Toc27325"/>
      <w:r>
        <w:rPr>
          <w:rFonts w:hint="eastAsia" w:ascii="宋体" w:hAnsi="宋体" w:cs="宋体"/>
          <w:b/>
          <w:bCs/>
        </w:rPr>
        <w:t xml:space="preserve">三、获取招标文件</w:t>
      </w:r>
      <w:bookmarkEnd w:id="35"/>
      <w:r/>
      <w:bookmarkEnd w:id="36"/>
      <w:r/>
      <w:bookmarkEnd w:id="37"/>
      <w:r/>
      <w:bookmarkEnd w:id="38"/>
      <w:r/>
      <w:bookmarkEnd w:id="39"/>
      <w:r/>
      <w:bookmarkEnd w:id="44"/>
      <w:r/>
      <w:bookmarkEnd w:id="45"/>
      <w:r/>
      <w:bookmarkEnd w:id="46"/>
      <w:r/>
      <w:r/>
    </w:p>
    <w:p>
      <w:pPr>
        <w:ind w:firstLine="420"/>
        <w:spacing w:line="360" w:lineRule="auto"/>
        <w:rPr>
          <w:rFonts w:ascii="宋体" w:hAnsi="宋体" w:cs="宋体"/>
        </w:rPr>
      </w:pPr>
      <w:r/>
      <w:bookmarkStart w:id="47" w:name="_Toc28359082"/>
      <w:r/>
      <w:bookmarkStart w:id="48" w:name="_Toc28359005"/>
      <w:r/>
      <w:bookmarkStart w:id="49" w:name="_Toc35393624"/>
      <w:r/>
      <w:bookmarkStart w:id="50" w:name="_Toc35393793"/>
      <w:r/>
      <w:bookmarkStart w:id="51" w:name="_Toc38985266"/>
      <w:r>
        <w:rPr>
          <w:rFonts w:hint="eastAsia" w:ascii="宋体" w:hAnsi="宋体" w:cs="宋体"/>
        </w:rPr>
        <w:t xml:space="preserve">1.时间：自公告发布之日起至响应文件提交截止时间止。</w:t>
      </w:r>
      <w:r/>
    </w:p>
    <w:p>
      <w:pPr>
        <w:ind w:firstLine="420"/>
        <w:spacing w:line="360" w:lineRule="auto"/>
      </w:pPr>
      <w:r/>
      <w:bookmarkStart w:id="52" w:name="_Toc30"/>
      <w:r/>
      <w:bookmarkStart w:id="53" w:name="_Toc3639"/>
      <w:r>
        <w:rPr>
          <w:rFonts w:hint="eastAsia" w:ascii="宋体" w:hAnsi="宋体" w:cs="宋体"/>
          <w:b/>
          <w:bCs/>
        </w:rPr>
        <w:t xml:space="preserve">2.获取方式：本项目采用网上注册登记方式。</w:t>
      </w:r>
      <w:bookmarkEnd w:id="52"/>
      <w:r/>
      <w:bookmarkEnd w:id="53"/>
      <w:r/>
      <w:r/>
    </w:p>
    <w:p>
      <w:pPr>
        <w:ind w:firstLine="420"/>
        <w:spacing w:line="360" w:lineRule="auto"/>
        <w:rPr>
          <w:rFonts w:ascii="宋体" w:hAnsi="宋体" w:cs="宋体"/>
          <w:b/>
          <w:bCs/>
        </w:rPr>
      </w:pPr>
      <w:r>
        <w:rPr>
          <w:rFonts w:hint="eastAsia" w:ascii="宋体" w:hAnsi="宋体" w:cs="宋体"/>
          <w:b/>
          <w:bCs/>
        </w:rPr>
        <w:t xml:space="preserve">3.潜在供应商访问政府采购管理交易系统（苏采云）的网络地址和方法：</w:t>
      </w:r>
      <w:r/>
    </w:p>
    <w:p>
      <w:pPr>
        <w:ind w:firstLine="420"/>
        <w:spacing w:line="360" w:lineRule="auto"/>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
          <w:bCs/>
        </w:rPr>
      </w:pPr>
      <w:r>
        <w:rPr>
          <w:rFonts w:hint="eastAsia" w:ascii="宋体" w:hAnsi="宋体" w:cs="宋体"/>
          <w:b/>
          <w:bCs/>
        </w:rPr>
        <w:t xml:space="preserve">（3）“CA数字证书”的办理材料以及供应商操作手册详见：</w:t>
      </w:r>
      <w:r/>
    </w:p>
    <w:p>
      <w:pPr>
        <w:ind w:firstLine="420"/>
        <w:spacing w:line="360" w:lineRule="auto"/>
        <w:rPr>
          <w:rFonts w:ascii="宋体" w:hAnsi="宋体" w:cs="宋体"/>
          <w:b/>
          <w:bCs/>
        </w:rPr>
      </w:pPr>
      <w:r>
        <w:rPr>
          <w:rFonts w:hint="eastAsia" w:ascii="宋体" w:hAnsi="宋体" w:cs="宋体"/>
          <w:b/>
          <w:bCs/>
        </w:rPr>
        <w:t xml:space="preserve">http://zfcg.yangzhou.gov.cn/zfcg/xzzx/202309/4d7de1f7865f4a2894fc22bc452f94d8.shtml。</w:t>
      </w:r>
      <w:r/>
    </w:p>
    <w:p>
      <w:pPr>
        <w:ind w:firstLine="420"/>
        <w:spacing w:line="360" w:lineRule="auto"/>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0"/>
        <w:spacing w:line="360" w:lineRule="auto"/>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0"/>
        <w:spacing w:line="360" w:lineRule="auto"/>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outlineLvl w:val="1"/>
      </w:pPr>
      <w:r/>
      <w:bookmarkStart w:id="54" w:name="_Toc24345"/>
      <w:r/>
      <w:bookmarkStart w:id="55" w:name="_Toc23401"/>
      <w:r/>
      <w:bookmarkStart w:id="56" w:name="_Toc13045"/>
      <w:r>
        <w:rPr>
          <w:rFonts w:hint="eastAsia" w:ascii="宋体" w:hAnsi="宋体" w:cs="宋体"/>
          <w:b/>
          <w:bCs/>
        </w:rPr>
        <w:t xml:space="preserve">四、提交投标文件</w:t>
      </w:r>
      <w:bookmarkEnd w:id="47"/>
      <w:r/>
      <w:bookmarkEnd w:id="48"/>
      <w:r>
        <w:rPr>
          <w:rFonts w:hint="eastAsia" w:ascii="宋体" w:hAnsi="宋体" w:cs="宋体"/>
          <w:b/>
          <w:bCs/>
        </w:rPr>
        <w:t xml:space="preserve">截止时间、开标时间和地点</w:t>
      </w:r>
      <w:bookmarkEnd w:id="49"/>
      <w:r/>
      <w:bookmarkEnd w:id="50"/>
      <w:r/>
      <w:bookmarkEnd w:id="51"/>
      <w:r/>
      <w:bookmarkEnd w:id="54"/>
      <w:r/>
      <w:bookmarkEnd w:id="55"/>
      <w:r/>
      <w:bookmarkEnd w:id="56"/>
      <w:r/>
      <w:r/>
    </w:p>
    <w:p>
      <w:pPr>
        <w:ind w:firstLine="420"/>
        <w:spacing w:line="360" w:lineRule="auto"/>
        <w:rPr>
          <w:rFonts w:ascii="宋体" w:hAnsi="宋体" w:cs="宋体"/>
        </w:rPr>
      </w:pPr>
      <w:r/>
      <w:bookmarkStart w:id="57" w:name="_Toc2365"/>
      <w:r/>
      <w:bookmarkStart w:id="58" w:name="_Toc9537"/>
      <w:r>
        <w:rPr>
          <w:rFonts w:hint="eastAsia" w:ascii="宋体" w:hAnsi="宋体" w:cs="宋体"/>
        </w:rPr>
        <w:t xml:space="preserve">1.时间：</w:t>
      </w:r>
      <w:r>
        <w:rPr>
          <w:rFonts w:hint="eastAsia" w:ascii="宋体" w:hAnsi="宋体" w:cs="宋体"/>
          <w:u w:val="single"/>
        </w:rPr>
        <w:t xml:space="preserve">202</w:t>
      </w:r>
      <w:r>
        <w:rPr>
          <w:rFonts w:hint="eastAsia" w:ascii="宋体" w:hAnsi="宋体" w:cs="宋体"/>
          <w:u w:val="single"/>
          <w:lang w:val="en-US" w:eastAsia="zh-CN"/>
        </w:rPr>
        <w:t xml:space="preserve">6</w:t>
      </w:r>
      <w:r>
        <w:rPr>
          <w:rFonts w:hint="eastAsia" w:ascii="宋体" w:hAnsi="宋体" w:cs="宋体"/>
          <w:u w:val="single"/>
        </w:rPr>
        <w:t xml:space="preserve">年 </w:t>
      </w:r>
      <w:r>
        <w:rPr>
          <w:rFonts w:hint="eastAsia" w:ascii="宋体" w:hAnsi="宋体" w:cs="宋体"/>
          <w:u w:val="single"/>
          <w:lang w:val="en-US" w:eastAsia="zh-CN"/>
        </w:rPr>
        <w:t xml:space="preserve">10</w:t>
      </w:r>
      <w:r>
        <w:rPr>
          <w:rFonts w:hint="eastAsia" w:ascii="宋体" w:hAnsi="宋体" w:cs="宋体"/>
          <w:u w:val="single"/>
        </w:rPr>
        <w:t xml:space="preserve"> 月 2</w:t>
      </w:r>
      <w:r>
        <w:rPr>
          <w:rFonts w:hint="eastAsia" w:ascii="宋体" w:hAnsi="宋体" w:cs="宋体"/>
          <w:u w:val="single"/>
          <w:lang w:val="en-US" w:eastAsia="zh-CN"/>
        </w:rPr>
        <w:t xml:space="preserve">2</w:t>
      </w:r>
      <w:r>
        <w:rPr>
          <w:rFonts w:hint="eastAsia" w:ascii="宋体" w:hAnsi="宋体" w:cs="宋体"/>
          <w:u w:val="single"/>
        </w:rPr>
        <w:t xml:space="preserve"> 日9:00</w:t>
      </w:r>
      <w:r>
        <w:rPr>
          <w:rFonts w:hint="eastAsia" w:ascii="宋体" w:hAnsi="宋体" w:cs="宋体"/>
        </w:rPr>
        <w:t xml:space="preserve">（北京时间）</w:t>
      </w:r>
      <w:bookmarkEnd w:id="57"/>
      <w:r/>
      <w:bookmarkEnd w:id="58"/>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outlineLvl w:val="1"/>
      </w:pPr>
      <w:r/>
      <w:bookmarkStart w:id="59" w:name="_Toc35393794"/>
      <w:r/>
      <w:bookmarkStart w:id="60" w:name="_Toc28359084"/>
      <w:r/>
      <w:bookmarkStart w:id="61" w:name="_Toc35393625"/>
      <w:r/>
      <w:bookmarkStart w:id="62" w:name="_Toc38985267"/>
      <w:r/>
      <w:bookmarkStart w:id="63" w:name="_Toc29475"/>
      <w:r/>
      <w:bookmarkStart w:id="64" w:name="_Toc28359007"/>
      <w:r/>
      <w:bookmarkStart w:id="65" w:name="_Toc16125"/>
      <w:r/>
      <w:bookmarkStart w:id="66" w:name="_Toc2115"/>
      <w:r>
        <w:rPr>
          <w:rFonts w:hint="eastAsia" w:ascii="宋体" w:hAnsi="宋体" w:cs="宋体"/>
          <w:b/>
          <w:bCs/>
        </w:rPr>
        <w:t xml:space="preserve">五、公告期限</w:t>
      </w:r>
      <w:bookmarkEnd w:id="59"/>
      <w:r/>
      <w:bookmarkEnd w:id="60"/>
      <w:r/>
      <w:bookmarkEnd w:id="61"/>
      <w:r/>
      <w:bookmarkEnd w:id="62"/>
      <w:r/>
      <w:bookmarkEnd w:id="63"/>
      <w:r/>
      <w:bookmarkEnd w:id="64"/>
      <w:r/>
      <w:bookmarkEnd w:id="65"/>
      <w:r/>
      <w:bookmarkEnd w:id="66"/>
      <w:r/>
      <w:r/>
    </w:p>
    <w:p>
      <w:pPr>
        <w:ind w:firstLine="420"/>
        <w:spacing w:line="360" w:lineRule="auto"/>
        <w:rPr>
          <w:rFonts w:ascii="宋体" w:hAnsi="宋体" w:cs="宋体"/>
        </w:rPr>
      </w:pPr>
      <w:r/>
      <w:bookmarkStart w:id="67" w:name="_Toc35393795"/>
      <w:r/>
      <w:bookmarkStart w:id="68" w:name="_Toc35393626"/>
      <w:r/>
      <w:bookmarkStart w:id="69" w:name="_Toc38985268"/>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outlineLvl w:val="1"/>
      </w:pPr>
      <w:r/>
      <w:bookmarkStart w:id="70" w:name="_Toc32321"/>
      <w:r/>
      <w:bookmarkStart w:id="71" w:name="_Toc2618"/>
      <w:r/>
      <w:bookmarkStart w:id="72" w:name="_Toc23246"/>
      <w:r>
        <w:rPr>
          <w:rFonts w:hint="eastAsia" w:ascii="宋体" w:hAnsi="宋体" w:cs="宋体"/>
          <w:b/>
          <w:bCs/>
        </w:rPr>
        <w:t xml:space="preserve">六、其他补充事宜</w:t>
      </w:r>
      <w:bookmarkEnd w:id="67"/>
      <w:r/>
      <w:bookmarkEnd w:id="68"/>
      <w:r/>
      <w:bookmarkEnd w:id="69"/>
      <w:r/>
      <w:bookmarkEnd w:id="70"/>
      <w:r/>
      <w:bookmarkEnd w:id="71"/>
      <w:r/>
      <w:bookmarkEnd w:id="72"/>
      <w:r/>
      <w:r/>
    </w:p>
    <w:p>
      <w:pPr>
        <w:ind w:firstLine="525"/>
        <w:spacing w:line="360" w:lineRule="auto"/>
        <w:rPr>
          <w:rFonts w:ascii="宋体" w:hAnsi="宋体" w:cs="宋体"/>
        </w:rPr>
      </w:pPr>
      <w:r>
        <w:rPr>
          <w:rFonts w:hint="eastAsia" w:ascii="宋体" w:hAnsi="宋体" w:cs="宋体"/>
        </w:rPr>
        <w:t xml:space="preserve">1.</w:t>
      </w:r>
      <w:r>
        <w:rPr>
          <w:rFonts w:hint="eastAsia" w:ascii="宋体" w:hAnsi="宋体" w:cs="宋体"/>
          <w:b/>
          <w:bCs/>
        </w:rPr>
        <w:t xml:space="preserve">已为本项目提供过服务（项目管理、造价咨询、招标代理、工程监理等）的供应商，不得再参加该项目的采购活动。</w:t>
      </w:r>
      <w:r/>
    </w:p>
    <w:p>
      <w:pPr>
        <w:spacing w:line="360" w:lineRule="auto"/>
        <w:tabs>
          <w:tab w:val="left" w:pos="266" w:leader="none"/>
        </w:tabs>
        <w:rPr>
          <w:rFonts w:ascii="宋体" w:hAnsi="宋体" w:cs="宋体"/>
          <w:b/>
          <w:bCs/>
        </w:rPr>
        <w:outlineLvl w:val="1"/>
      </w:pPr>
      <w:r/>
      <w:bookmarkStart w:id="73" w:name="_Toc23688"/>
      <w:r/>
      <w:bookmarkStart w:id="74" w:name="_Toc35393627"/>
      <w:r/>
      <w:bookmarkStart w:id="75" w:name="_Toc28359008"/>
      <w:r/>
      <w:bookmarkStart w:id="76" w:name="_Toc28359085"/>
      <w:r/>
      <w:bookmarkStart w:id="77" w:name="_Toc29069"/>
      <w:r/>
      <w:bookmarkStart w:id="78" w:name="_Toc35393796"/>
      <w:r/>
      <w:bookmarkStart w:id="79" w:name="_Toc38985269"/>
      <w:r/>
      <w:bookmarkStart w:id="80" w:name="_Toc18694"/>
      <w:r>
        <w:rPr>
          <w:rFonts w:hint="eastAsia" w:ascii="宋体" w:hAnsi="宋体" w:cs="宋体"/>
          <w:b/>
          <w:bCs/>
        </w:rPr>
        <w:t xml:space="preserve">七、本次招标联系方式</w:t>
      </w:r>
      <w:bookmarkEnd w:id="73"/>
      <w:r/>
      <w:bookmarkEnd w:id="74"/>
      <w:r/>
      <w:bookmarkEnd w:id="75"/>
      <w:r/>
      <w:bookmarkEnd w:id="76"/>
      <w:r/>
      <w:bookmarkEnd w:id="77"/>
      <w:r/>
      <w:bookmarkEnd w:id="78"/>
      <w:r/>
      <w:bookmarkEnd w:id="79"/>
      <w:r/>
      <w:bookmarkEnd w:id="80"/>
      <w:r/>
      <w:r/>
    </w:p>
    <w:p>
      <w:pPr>
        <w:ind w:firstLine="420"/>
        <w:spacing w:line="360" w:lineRule="auto"/>
        <w:rPr>
          <w:rFonts w:ascii="宋体" w:hAnsi="宋体" w:cs="宋体"/>
        </w:rPr>
      </w:pPr>
      <w:r/>
      <w:bookmarkStart w:id="81" w:name="_Toc29369"/>
      <w:r/>
      <w:bookmarkStart w:id="82" w:name="_Toc25700"/>
      <w:r/>
      <w:bookmarkStart w:id="83" w:name="XMJBRDH_1"/>
      <w:r/>
      <w:bookmarkStart w:id="84" w:name="_Toc28359087"/>
      <w:r/>
      <w:bookmarkStart w:id="85" w:name="_Toc28359010"/>
      <w:r>
        <w:rPr>
          <w:rFonts w:hint="eastAsia" w:ascii="宋体" w:hAnsi="宋体" w:cs="宋体"/>
        </w:rPr>
        <w:t xml:space="preserve">1.采购人信息</w:t>
      </w:r>
      <w:bookmarkEnd w:id="81"/>
      <w:r/>
      <w:bookmarkEnd w:id="82"/>
      <w:r/>
      <w:r/>
    </w:p>
    <w:p>
      <w:pPr>
        <w:ind w:firstLine="420"/>
        <w:spacing w:line="360" w:lineRule="auto"/>
        <w:rPr>
          <w:rFonts w:hint="eastAsia" w:ascii="宋体" w:hAnsi="宋体" w:eastAsia="宋体" w:cs="宋体"/>
          <w:u w:val="single"/>
          <w:lang w:eastAsia="zh-CN"/>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lang w:eastAsia="zh-CN"/>
        </w:rPr>
        <w:t xml:space="preserve">高邮市审计局</w:t>
      </w:r>
      <w:r/>
    </w:p>
    <w:p>
      <w:pPr>
        <w:ind w:firstLine="420"/>
        <w:spacing w:line="360" w:lineRule="auto"/>
        <w:rPr>
          <w:rFonts w:ascii="宋体" w:hAnsi="宋体" w:cs="宋体"/>
          <w:u w:val="single"/>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rPr>
        <w:t xml:space="preserve">高邮市城市商务大厦11层</w:t>
      </w:r>
      <w:r/>
    </w:p>
    <w:p>
      <w:pPr>
        <w:ind w:firstLine="420"/>
        <w:spacing w:line="360" w:lineRule="auto"/>
        <w:rPr>
          <w:rFonts w:ascii="宋体" w:hAnsi="宋体" w:cs="宋体"/>
          <w:u w:val="single"/>
        </w:rPr>
      </w:pPr>
      <w:r>
        <w:rPr>
          <w:rFonts w:hint="eastAsia" w:ascii="宋体" w:hAnsi="宋体" w:cs="宋体"/>
        </w:rPr>
        <w:t xml:space="preserve">联 系 人：</w:t>
      </w:r>
      <w:r>
        <w:rPr>
          <w:rFonts w:hint="eastAsia" w:ascii="宋体" w:hAnsi="宋体" w:cs="宋体"/>
          <w:u w:val="single"/>
        </w:rPr>
        <w:t xml:space="preserve">    </w:t>
      </w:r>
      <w:r>
        <w:rPr>
          <w:rFonts w:hint="eastAsia" w:ascii="宋体" w:hAnsi="宋体" w:cs="宋体"/>
          <w:u w:val="single"/>
          <w:lang w:val="en-US" w:eastAsia="zh-CN"/>
        </w:rPr>
        <w:t xml:space="preserve">许</w:t>
      </w:r>
      <w:r>
        <w:rPr>
          <w:rFonts w:hint="eastAsia" w:ascii="宋体" w:hAnsi="宋体" w:cs="宋体"/>
          <w:u w:val="single"/>
        </w:rPr>
        <w:t xml:space="preserve">先生            </w:t>
      </w:r>
      <w:r/>
    </w:p>
    <w:p>
      <w:pPr>
        <w:ind w:firstLine="420"/>
        <w:spacing w:line="360" w:lineRule="auto"/>
        <w:rPr>
          <w:rFonts w:ascii="宋体" w:hAnsi="宋体" w:cs="宋体"/>
          <w:u w:val="single"/>
        </w:rPr>
      </w:pPr>
      <w:r>
        <w:rPr>
          <w:rFonts w:hint="eastAsia" w:ascii="宋体" w:hAnsi="宋体" w:cs="宋体"/>
        </w:rPr>
        <w:t xml:space="preserve">联系电话：</w:t>
      </w:r>
      <w:r>
        <w:rPr>
          <w:rFonts w:hint="eastAsia" w:ascii="宋体" w:hAnsi="宋体" w:cs="宋体"/>
          <w:u w:val="single"/>
        </w:rPr>
        <w:t xml:space="preserve">   15380357228         </w:t>
      </w:r>
      <w:r/>
    </w:p>
    <w:p>
      <w:pPr>
        <w:ind w:firstLine="420"/>
        <w:spacing w:line="360" w:lineRule="auto"/>
        <w:rPr>
          <w:rFonts w:ascii="宋体" w:hAnsi="宋体" w:cs="宋体"/>
        </w:rPr>
      </w:pPr>
      <w:r/>
      <w:bookmarkStart w:id="86" w:name="_Toc22260"/>
      <w:r/>
      <w:bookmarkStart w:id="87" w:name="_Toc1979"/>
      <w:r>
        <w:rPr>
          <w:rFonts w:hint="eastAsia" w:ascii="宋体" w:hAnsi="宋体" w:cs="宋体"/>
        </w:rPr>
        <w:t xml:space="preserve">2.采购代理机构信息</w:t>
      </w:r>
      <w:bookmarkEnd w:id="86"/>
      <w:r/>
      <w:bookmarkEnd w:id="87"/>
      <w:r/>
      <w:r/>
    </w:p>
    <w:p>
      <w:pPr>
        <w:ind w:firstLine="420"/>
        <w:spacing w:line="360" w:lineRule="auto"/>
        <w:rPr>
          <w:rFonts w:ascii="宋体" w:hAnsi="宋体" w:cs="宋体"/>
          <w:u w:val="single"/>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rPr>
        <w:t xml:space="preserve">扬州华泽工程项目管理咨询有限公司</w:t>
      </w:r>
      <w:r/>
    </w:p>
    <w:p>
      <w:pPr>
        <w:ind w:firstLine="420"/>
        <w:spacing w:line="360" w:lineRule="auto"/>
        <w:rPr>
          <w:rFonts w:ascii="宋体" w:hAnsi="宋体" w:cs="宋体"/>
          <w:u w:val="single"/>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rPr>
        <w:t xml:space="preserve">高邮市文游中路168-1号</w:t>
      </w:r>
      <w:r/>
    </w:p>
    <w:p>
      <w:pPr>
        <w:ind w:firstLine="420"/>
        <w:spacing w:line="360" w:lineRule="auto"/>
        <w:rPr>
          <w:rFonts w:ascii="宋体" w:hAnsi="宋体" w:cs="宋体"/>
          <w:u w:val="single"/>
        </w:rPr>
      </w:pPr>
      <w:r>
        <w:rPr>
          <w:rFonts w:hint="eastAsia" w:ascii="宋体" w:hAnsi="宋体" w:cs="宋体"/>
        </w:rPr>
        <w:t xml:space="preserve">联 系 人：</w:t>
      </w:r>
      <w:r>
        <w:rPr>
          <w:rFonts w:hint="eastAsia" w:ascii="宋体" w:hAnsi="宋体" w:cs="宋体"/>
          <w:u w:val="single"/>
        </w:rPr>
        <w:t xml:space="preserve">徐工</w:t>
      </w:r>
      <w:r/>
    </w:p>
    <w:p>
      <w:pPr>
        <w:ind w:firstLine="420"/>
        <w:spacing w:line="360" w:lineRule="auto"/>
        <w:rPr>
          <w:rFonts w:ascii="宋体" w:hAnsi="宋体" w:cs="宋体"/>
          <w:u w:val="single"/>
        </w:rPr>
      </w:pPr>
      <w:r>
        <w:rPr>
          <w:rFonts w:hint="eastAsia" w:ascii="宋体" w:hAnsi="宋体" w:cs="宋体"/>
        </w:rPr>
        <w:t xml:space="preserve">联系电话：</w:t>
      </w:r>
      <w:bookmarkEnd w:id="83"/>
      <w:r>
        <w:rPr>
          <w:rFonts w:hint="eastAsia" w:ascii="宋体" w:hAnsi="宋体" w:cs="宋体"/>
          <w:u w:val="single"/>
        </w:rPr>
        <w:t xml:space="preserve">18115107717</w:t>
      </w:r>
      <w:r/>
    </w:p>
    <w:p>
      <w:pPr>
        <w:spacing w:line="360" w:lineRule="auto"/>
        <w:tabs>
          <w:tab w:val="left" w:pos="266" w:leader="none"/>
        </w:tabs>
        <w:rPr>
          <w:rFonts w:ascii="宋体" w:hAnsi="宋体" w:cs="宋体"/>
          <w:b/>
          <w:bCs/>
        </w:rPr>
        <w:outlineLvl w:val="1"/>
      </w:pPr>
      <w:r/>
      <w:bookmarkStart w:id="88" w:name="_Toc13007"/>
      <w:r>
        <w:rPr>
          <w:rFonts w:hint="eastAsia" w:ascii="宋体" w:hAnsi="宋体" w:cs="宋体"/>
          <w:b/>
          <w:bCs/>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88"/>
      <w:r/>
      <w:bookmarkEnd w:id="84"/>
      <w:r/>
      <w:bookmarkEnd w:id="85"/>
      <w:r/>
      <w:r/>
    </w:p>
    <w:p>
      <w:pPr>
        <w:rPr>
          <w:rFonts w:ascii="宋体" w:hAnsi="宋体" w:cs="宋体"/>
          <w:b/>
          <w:bCs/>
        </w:rPr>
        <w:outlineLvl w:val="1"/>
      </w:pPr>
      <w:r/>
      <w:bookmarkStart w:id="89" w:name="_Toc1256"/>
      <w:r/>
      <w:bookmarkStart w:id="90" w:name="_Toc3447"/>
      <w:r/>
      <w:bookmarkStart w:id="91" w:name="_Toc21065"/>
      <w:r>
        <w:rPr>
          <w:rFonts w:hint="eastAsia" w:ascii="宋体" w:hAnsi="宋体" w:cs="宋体"/>
          <w:b/>
          <w:bCs/>
        </w:rPr>
        <w:t xml:space="preserve">九、其他</w:t>
      </w:r>
      <w:bookmarkEnd w:id="89"/>
      <w:r/>
      <w:bookmarkEnd w:id="90"/>
      <w:r/>
      <w:bookmarkEnd w:id="91"/>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rPr>
      </w:pPr>
      <w:r>
        <w:rPr>
          <w:rFonts w:hint="eastAsia" w:ascii="宋体" w:hAnsi="宋体" w:cs="宋体"/>
          <w:b/>
        </w:rPr>
        <w:t xml:space="preserve">3.潜在投标人对招标文件项目需求部分的询问、质疑请向采购人提出，由采购人负责答复。</w:t>
      </w:r>
      <w:r/>
    </w:p>
    <w:p>
      <w:pPr>
        <w:ind w:firstLine="420"/>
        <w:spacing w:line="360" w:lineRule="auto"/>
        <w:rPr>
          <w:rFonts w:ascii="宋体" w:hAnsi="宋体" w:cs="宋体"/>
          <w:bCs/>
        </w:rPr>
      </w:pPr>
      <w:r/>
      <w:bookmarkStart w:id="92" w:name="_Toc20470"/>
      <w:r/>
      <w:bookmarkStart w:id="93" w:name="_Toc27330"/>
      <w:r>
        <w:rPr>
          <w:rFonts w:hint="eastAsia" w:ascii="宋体" w:hAnsi="宋体" w:cs="宋体"/>
          <w:bCs/>
        </w:rPr>
        <w:t xml:space="preserve">4.本次招标</w:t>
      </w:r>
      <w:r>
        <w:rPr>
          <w:rFonts w:hint="eastAsia" w:ascii="宋体" w:hAnsi="宋体" w:cs="宋体"/>
          <w:b/>
        </w:rPr>
        <w:t xml:space="preserve">不收取</w:t>
      </w:r>
      <w:r>
        <w:rPr>
          <w:rFonts w:hint="eastAsia" w:ascii="宋体" w:hAnsi="宋体" w:cs="宋体"/>
          <w:bCs/>
        </w:rPr>
        <w:t xml:space="preserve">投标保证金。</w:t>
      </w:r>
      <w:bookmarkEnd w:id="92"/>
      <w:r/>
      <w:bookmarkEnd w:id="93"/>
      <w:r/>
      <w:r/>
    </w:p>
    <w:p>
      <w:pPr>
        <w:ind w:firstLine="420"/>
        <w:spacing w:line="360" w:lineRule="auto"/>
        <w:rPr>
          <w:rFonts w:ascii="宋体" w:hAnsi="宋体" w:cs="宋体"/>
          <w:bCs/>
        </w:rPr>
      </w:pPr>
      <w:r>
        <w:rPr>
          <w:rFonts w:hint="eastAsia" w:ascii="宋体" w:hAnsi="宋体" w:cs="宋体"/>
          <w:bCs/>
        </w:rPr>
        <w:t xml:space="preserve">5.有关本次招标的事项若存在变动或修改，敬请及时关注 “扬州市政府采购网”、“江苏省政府采购网”发布的信息。</w:t>
      </w:r>
      <w:r/>
    </w:p>
    <w:p>
      <w:pPr>
        <w:ind w:firstLine="420"/>
        <w:spacing w:line="360" w:lineRule="auto"/>
        <w:rPr>
          <w:rFonts w:ascii="宋体" w:hAnsi="宋体" w:cs="宋体"/>
          <w:bCs/>
        </w:rPr>
      </w:pPr>
      <w:r>
        <w:rPr>
          <w:rFonts w:hint="eastAsia" w:ascii="宋体" w:hAnsi="宋体" w:cs="宋体"/>
          <w:bCs/>
        </w:rPr>
        <w:t xml:space="preserve">6. 落实好政府采购履约资金扶持政策。中标/成交供应商可凭政府采购合同办理融资贷款，详见江苏政府采购网</w:t>
      </w:r>
      <w:r>
        <w:rPr>
          <w:rFonts w:ascii="宋体" w:hAnsi="宋体" w:cs="宋体"/>
          <w:bCs/>
        </w:rPr>
        <w:t xml:space="preserve">“</w:t>
      </w:r>
      <w:r>
        <w:rPr>
          <w:rFonts w:hint="eastAsia" w:ascii="宋体" w:hAnsi="宋体" w:cs="宋体"/>
          <w:bCs/>
        </w:rPr>
        <w:t xml:space="preserve">政采贷</w:t>
      </w:r>
      <w:r>
        <w:rPr>
          <w:rFonts w:ascii="宋体" w:hAnsi="宋体" w:cs="宋体"/>
          <w:bCs/>
        </w:rPr>
        <w:t xml:space="preserve">”</w:t>
      </w:r>
      <w:r>
        <w:rPr>
          <w:rFonts w:hint="eastAsia" w:ascii="宋体" w:hAnsi="宋体" w:cs="宋体"/>
          <w:bCs/>
        </w:rPr>
        <w:t xml:space="preserve">专栏。”</w:t>
      </w:r>
      <w:r/>
    </w:p>
    <w:p>
      <w:pPr>
        <w:ind w:firstLine="420"/>
        <w:spacing w:line="360" w:lineRule="auto"/>
        <w:rPr>
          <w:rFonts w:ascii="宋体" w:hAnsi="宋体" w:cs="宋体"/>
          <w:bCs/>
        </w:rPr>
      </w:pPr>
      <w:r/>
      <w:bookmarkStart w:id="94" w:name="_Toc383"/>
      <w:r/>
      <w:bookmarkStart w:id="95" w:name="_Toc3607"/>
      <w:r>
        <w:rPr>
          <w:rFonts w:hint="eastAsia" w:ascii="宋体" w:hAnsi="宋体" w:cs="宋体"/>
          <w:bCs/>
        </w:rPr>
        <w:t xml:space="preserve">7. 严格执行政府采购关于支持</w:t>
      </w:r>
      <w:r>
        <w:rPr>
          <w:rFonts w:hint="eastAsia" w:ascii="宋体" w:hAnsi="宋体" w:cs="宋体"/>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94"/>
      <w:r/>
      <w:bookmarkEnd w:id="95"/>
      <w:r/>
      <w:r/>
    </w:p>
    <w:p>
      <w:pPr>
        <w:ind w:firstLine="422"/>
        <w:spacing w:line="360" w:lineRule="auto"/>
        <w:rPr>
          <w:rFonts w:ascii="宋体" w:hAnsi="宋体"/>
          <w:b/>
          <w:bCs/>
          <w:color w:val="000000"/>
          <w:sz w:val="34"/>
          <w:szCs w:val="34"/>
        </w:rPr>
      </w:pPr>
      <w:r>
        <w:rPr>
          <w:rFonts w:hint="eastAsia" w:ascii="宋体" w:hAnsi="宋体" w:cs="宋体"/>
          <w:b/>
          <w:bCs/>
          <w:i/>
          <w:iCs/>
          <w:szCs w:val="21"/>
          <w:u w:val="single"/>
        </w:rPr>
        <w:t xml:space="preserve">8.本项目招标文件中所有斜体下划线部分为实质性条款，如不满足，则为无效投标。</w:t>
      </w:r>
      <w:r>
        <w:rPr>
          <w:rFonts w:hint="eastAsia" w:ascii="宋体" w:hAnsi="宋体" w:cs="宋体"/>
          <w:bCs/>
          <w:sz w:val="24"/>
          <w:szCs w:val="24"/>
        </w:rPr>
        <w:t xml:space="preserve">                                                 </w:t>
      </w:r>
      <w:bookmarkStart w:id="96" w:name="_Toc25974"/>
      <w:r>
        <w:rPr>
          <w:rFonts w:hint="eastAsia" w:ascii="宋体" w:hAnsi="宋体" w:cs="宋体"/>
          <w:bCs/>
          <w:sz w:val="24"/>
          <w:szCs w:val="24"/>
        </w:rPr>
        <w:t xml:space="preserve"> </w:t>
      </w:r>
      <w:r/>
    </w:p>
    <w:p>
      <w:pPr>
        <w:jc w:val="center"/>
        <w:rPr>
          <w:rFonts w:hint="eastAsia" w:ascii="宋体" w:hAnsi="宋体"/>
          <w:b/>
          <w:sz w:val="32"/>
          <w:szCs w:val="32"/>
        </w:rPr>
        <w:outlineLvl w:val="0"/>
      </w:pPr>
      <w:r/>
      <w:bookmarkStart w:id="97" w:name="_Toc31083"/>
      <w:r/>
      <w:r/>
    </w:p>
    <w:p>
      <w:pPr>
        <w:jc w:val="center"/>
        <w:rPr>
          <w:rFonts w:hint="eastAsia" w:ascii="宋体" w:hAnsi="宋体"/>
          <w:b/>
          <w:sz w:val="32"/>
          <w:szCs w:val="32"/>
        </w:rPr>
        <w:outlineLvl w:val="0"/>
      </w:pPr>
      <w:r>
        <w:rPr>
          <w:rFonts w:hint="eastAsia" w:ascii="宋体" w:hAnsi="宋体"/>
          <w:b/>
          <w:sz w:val="32"/>
          <w:szCs w:val="32"/>
        </w:rPr>
      </w:r>
      <w:r/>
    </w:p>
    <w:p>
      <w:pPr>
        <w:jc w:val="center"/>
        <w:rPr>
          <w:rFonts w:hint="eastAsia" w:ascii="宋体" w:hAnsi="宋体"/>
          <w:b/>
          <w:sz w:val="32"/>
          <w:szCs w:val="32"/>
        </w:rPr>
        <w:outlineLvl w:val="0"/>
      </w:pPr>
      <w:r>
        <w:rPr>
          <w:rFonts w:hint="eastAsia" w:ascii="宋体" w:hAnsi="宋体"/>
          <w:b/>
          <w:sz w:val="32"/>
          <w:szCs w:val="32"/>
        </w:rPr>
      </w:r>
      <w:r/>
    </w:p>
    <w:p>
      <w:pPr>
        <w:jc w:val="center"/>
        <w:rPr>
          <w:rFonts w:ascii="宋体" w:hAnsi="宋体"/>
          <w:b/>
          <w:sz w:val="32"/>
          <w:szCs w:val="32"/>
        </w:rPr>
        <w:outlineLvl w:val="0"/>
      </w:pPr>
      <w:r>
        <w:rPr>
          <w:rFonts w:hint="eastAsia" w:ascii="宋体" w:hAnsi="宋体"/>
          <w:b/>
          <w:sz w:val="32"/>
          <w:szCs w:val="32"/>
        </w:rPr>
        <w:t xml:space="preserve">第二章 </w:t>
      </w:r>
      <w:bookmarkStart w:id="98" w:name="_Toc27660"/>
      <w:r>
        <w:rPr>
          <w:rFonts w:hint="eastAsia" w:ascii="宋体" w:hAnsi="宋体"/>
          <w:b/>
          <w:sz w:val="32"/>
          <w:szCs w:val="32"/>
        </w:rPr>
        <w:t xml:space="preserve">投标人须知</w:t>
      </w:r>
      <w:bookmarkEnd w:id="98"/>
      <w:r/>
      <w:r/>
    </w:p>
    <w:p>
      <w:pPr>
        <w:ind w:firstLine="422"/>
        <w:spacing w:line="440" w:lineRule="exact"/>
        <w:rPr>
          <w:rFonts w:ascii="宋体" w:hAnsi="宋体"/>
          <w:b/>
          <w:szCs w:val="21"/>
        </w:rPr>
        <w:outlineLvl w:val="1"/>
      </w:pPr>
      <w:r/>
      <w:bookmarkStart w:id="99" w:name="_Toc4192"/>
      <w:r>
        <w:rPr>
          <w:rFonts w:hint="eastAsia" w:ascii="宋体" w:hAnsi="宋体"/>
          <w:b/>
          <w:szCs w:val="21"/>
        </w:rPr>
        <w:t xml:space="preserve">1、招标方式</w:t>
      </w:r>
      <w:bookmarkEnd w:id="96"/>
      <w:r/>
      <w:bookmarkEnd w:id="97"/>
      <w:r/>
      <w:bookmarkEnd w:id="99"/>
      <w:r/>
      <w:r/>
    </w:p>
    <w:p>
      <w:pPr>
        <w:ind w:firstLine="420"/>
        <w:spacing w:line="440" w:lineRule="exact"/>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lang w:eastAsia="zh-CN"/>
        </w:rPr>
        <w:t xml:space="preserve">JSZC-321084-YZHZ-G2026-0008</w:t>
      </w:r>
      <w:r>
        <w:rPr>
          <w:rFonts w:hint="eastAsia" w:ascii="宋体" w:hAnsi="宋体"/>
          <w:bCs/>
          <w:szCs w:val="21"/>
        </w:rPr>
        <w:t xml:space="preserve">项目。</w:t>
      </w:r>
      <w:r/>
    </w:p>
    <w:p>
      <w:pPr>
        <w:ind w:firstLine="422"/>
        <w:spacing w:line="440" w:lineRule="exact"/>
        <w:rPr>
          <w:rFonts w:ascii="宋体" w:hAnsi="宋体"/>
          <w:b/>
          <w:szCs w:val="21"/>
        </w:rPr>
        <w:outlineLvl w:val="1"/>
      </w:pPr>
      <w:r/>
      <w:bookmarkStart w:id="100" w:name="_Toc32763"/>
      <w:r/>
      <w:bookmarkStart w:id="101" w:name="_Toc32201"/>
      <w:r/>
      <w:bookmarkStart w:id="102" w:name="_Toc25258"/>
      <w:r>
        <w:rPr>
          <w:rFonts w:hint="eastAsia" w:ascii="宋体" w:hAnsi="宋体"/>
          <w:b/>
          <w:szCs w:val="21"/>
        </w:rPr>
        <w:t xml:space="preserve">2、投标人</w:t>
      </w:r>
      <w:bookmarkEnd w:id="100"/>
      <w:r/>
      <w:bookmarkEnd w:id="101"/>
      <w:r/>
      <w:bookmarkEnd w:id="102"/>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pPr>
      <w:r>
        <w:rPr>
          <w:rFonts w:hint="eastAsia" w:ascii="宋体" w:hAnsi="宋体"/>
          <w:bCs/>
          <w:szCs w:val="21"/>
        </w:rPr>
        <w:t xml:space="preserve">2.2.2 满足本文件实质性条款的规定。</w:t>
      </w:r>
      <w:r/>
    </w:p>
    <w:p>
      <w:pPr>
        <w:ind w:firstLine="420"/>
        <w:spacing w:line="440" w:lineRule="exact"/>
        <w:rPr>
          <w:rFonts w:ascii="宋体" w:hAnsi="宋体"/>
          <w:b/>
          <w:szCs w:val="21"/>
        </w:rPr>
      </w:pPr>
      <w:r>
        <w:rPr>
          <w:rFonts w:hint="eastAsia" w:ascii="宋体" w:hAnsi="宋体"/>
          <w:bCs/>
          <w:szCs w:val="21"/>
        </w:rPr>
        <w:t xml:space="preserve">2.2.3 </w:t>
      </w:r>
      <w:r>
        <w:rPr>
          <w:rFonts w:hint="eastAsia" w:ascii="宋体" w:hAnsi="宋体" w:cs="宋体"/>
        </w:rPr>
        <w:t xml:space="preserve">已为本项目提供过服务（项目管理、造价咨询、招标代理、工程监理等）的供应商，不得再参加该项目的采购活动</w:t>
      </w:r>
      <w:r>
        <w:rPr>
          <w:rFonts w:hint="eastAsia" w:ascii="宋体" w:hAnsi="宋体" w:cs="宋体"/>
          <w:b/>
          <w:bCs/>
        </w:rPr>
        <w:t xml:space="preserve">。</w:t>
      </w:r>
      <w:r>
        <w:rPr>
          <w:rFonts w:hint="eastAsia" w:ascii="宋体" w:hAnsi="宋体"/>
          <w:bCs/>
          <w:szCs w:val="21"/>
        </w:rPr>
        <w:t xml:space="preserve">如有发生应主动回避关联项目并在投标文件中作承诺说明。反之，作无效投标文件处理，若隐瞒事实，中标结果无效，同时承担相应后果。</w:t>
      </w:r>
      <w:r/>
    </w:p>
    <w:p>
      <w:pPr>
        <w:ind w:firstLine="422"/>
        <w:spacing w:line="360" w:lineRule="auto"/>
        <w:rPr>
          <w:rFonts w:ascii="宋体" w:hAnsi="宋体"/>
          <w:b/>
          <w:szCs w:val="21"/>
        </w:rPr>
        <w:outlineLvl w:val="1"/>
      </w:pPr>
      <w:r/>
      <w:bookmarkStart w:id="103" w:name="_Toc7771"/>
      <w:r/>
      <w:bookmarkStart w:id="104" w:name="_Toc25510"/>
      <w:r/>
      <w:bookmarkStart w:id="105" w:name="_Toc18196"/>
      <w:r>
        <w:rPr>
          <w:rFonts w:hint="eastAsia" w:ascii="宋体" w:hAnsi="宋体"/>
          <w:b/>
          <w:szCs w:val="21"/>
        </w:rPr>
        <w:t xml:space="preserve">3、适用法律</w:t>
      </w:r>
      <w:bookmarkEnd w:id="103"/>
      <w:r/>
      <w:bookmarkEnd w:id="104"/>
      <w:r/>
      <w:bookmarkEnd w:id="105"/>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outlineLvl w:val="1"/>
      </w:pPr>
      <w:r/>
      <w:bookmarkStart w:id="106" w:name="_Toc27897"/>
      <w:r/>
      <w:bookmarkStart w:id="107" w:name="_Toc12086"/>
      <w:r/>
      <w:bookmarkStart w:id="108" w:name="_Toc7547"/>
      <w:r>
        <w:rPr>
          <w:rFonts w:hint="eastAsia" w:ascii="宋体" w:hAnsi="宋体"/>
          <w:b/>
          <w:szCs w:val="21"/>
        </w:rPr>
        <w:t xml:space="preserve">4、投标费用</w:t>
      </w:r>
      <w:bookmarkEnd w:id="106"/>
      <w:r/>
      <w:bookmarkEnd w:id="107"/>
      <w:r/>
      <w:bookmarkEnd w:id="108"/>
      <w:r/>
      <w:r/>
    </w:p>
    <w:p>
      <w:pPr>
        <w:ind w:firstLine="420"/>
        <w:spacing w:line="360" w:lineRule="auto"/>
      </w:pPr>
      <w:r>
        <w:t xml:space="preserve">4.1 投标人应自行承担所有与参加投标有关的费用，无论投标过程中的做法和结果如何，代理机构在任何情况下均无义务和责任承担这些费用。 </w:t>
      </w:r>
      <w:r/>
    </w:p>
    <w:p>
      <w:pPr>
        <w:ind w:firstLine="420"/>
        <w:spacing w:line="360" w:lineRule="auto"/>
      </w:pPr>
      <w:r>
        <w:t xml:space="preserve">4.</w:t>
      </w:r>
      <w:r>
        <w:rPr>
          <w:rFonts w:hint="eastAsia"/>
        </w:rPr>
        <w:t xml:space="preserve">2本次采购招标代理费由中标人支付；招标代理费按照国家计委印发的《招标代理服务收费管理暂行办法》(计价格【2002】1980 号文)（服务类）的标准计取。</w:t>
      </w:r>
      <w:r/>
    </w:p>
    <w:p>
      <w:pPr>
        <w:ind w:firstLine="420"/>
        <w:spacing w:line="360" w:lineRule="auto"/>
      </w:pPr>
      <w:r>
        <w:t xml:space="preserve">（1）代理服务费以人民币支付； </w:t>
      </w:r>
      <w:r/>
    </w:p>
    <w:p>
      <w:pPr>
        <w:ind w:firstLine="420"/>
        <w:spacing w:line="360" w:lineRule="auto"/>
      </w:pPr>
      <w:r>
        <w:t xml:space="preserve">（2）代理服务费一次性以电汇、转账等非现金形式支付； </w:t>
      </w:r>
      <w:r/>
    </w:p>
    <w:p>
      <w:pPr>
        <w:ind w:firstLine="420"/>
        <w:spacing w:line="360" w:lineRule="auto"/>
      </w:pPr>
      <w:r>
        <w:t xml:space="preserve">（3）招标代理服务费不在投标报价中单列，包含在投标总价中，由中标单位支付给代理机构。 </w:t>
      </w:r>
      <w:r/>
    </w:p>
    <w:p>
      <w:pPr>
        <w:ind w:left="13" w:right="2" w:firstLine="475"/>
        <w:spacing w:line="360" w:lineRule="auto"/>
        <w:rPr>
          <w:rFonts w:ascii="宋体" w:hAnsi="宋体" w:cs="宋体"/>
          <w:sz w:val="23"/>
          <w:szCs w:val="23"/>
        </w:rPr>
      </w:pPr>
      <w:r>
        <w:t xml:space="preserve">4.</w:t>
      </w:r>
      <w:r>
        <w:rPr>
          <w:rFonts w:hint="eastAsia"/>
        </w:rPr>
        <w:t xml:space="preserve">3</w:t>
      </w:r>
      <w:r>
        <w:t xml:space="preserve">本次招标专家评审费由招标人支付。按邮财购【2020】287 号文《关于进一步规范高邮市政府采购专家评审费标准的通知》执行。</w:t>
      </w:r>
      <w:r/>
    </w:p>
    <w:p>
      <w:pPr>
        <w:ind w:firstLine="422"/>
        <w:spacing w:line="360" w:lineRule="auto"/>
        <w:rPr>
          <w:rFonts w:ascii="宋体" w:hAnsi="宋体"/>
          <w:b/>
          <w:szCs w:val="21"/>
        </w:rPr>
        <w:outlineLvl w:val="1"/>
      </w:pPr>
      <w:r/>
      <w:bookmarkStart w:id="109" w:name="_Toc4843"/>
      <w:r/>
      <w:bookmarkStart w:id="110" w:name="_Toc4840"/>
      <w:r/>
      <w:bookmarkStart w:id="111" w:name="_Toc25928"/>
      <w:r>
        <w:rPr>
          <w:rFonts w:hint="eastAsia" w:ascii="宋体" w:hAnsi="宋体"/>
          <w:b/>
          <w:szCs w:val="21"/>
        </w:rPr>
        <w:t xml:space="preserve">5、招标文件的约束力</w:t>
      </w:r>
      <w:bookmarkEnd w:id="109"/>
      <w:r/>
      <w:bookmarkEnd w:id="110"/>
      <w:r/>
      <w:bookmarkEnd w:id="111"/>
      <w:r/>
      <w:r/>
    </w:p>
    <w:p>
      <w:pPr>
        <w:ind w:firstLine="422"/>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outlineLvl w:val="1"/>
      </w:pPr>
      <w:r/>
      <w:bookmarkStart w:id="112" w:name="_Toc18248"/>
      <w:r/>
      <w:bookmarkStart w:id="113" w:name="_Toc16077"/>
      <w:r/>
      <w:bookmarkStart w:id="114" w:name="_Toc32433"/>
      <w:r>
        <w:rPr>
          <w:rFonts w:hint="eastAsia" w:ascii="宋体" w:hAnsi="宋体"/>
          <w:b/>
          <w:szCs w:val="21"/>
        </w:rPr>
        <w:t xml:space="preserve">6、招标文件构成</w:t>
      </w:r>
      <w:bookmarkEnd w:id="112"/>
      <w:r/>
      <w:bookmarkEnd w:id="113"/>
      <w:r/>
      <w:bookmarkEnd w:id="114"/>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outlineLvl w:val="1"/>
      </w:pPr>
      <w:r/>
      <w:bookmarkStart w:id="115" w:name="_Toc30611"/>
      <w:r/>
      <w:bookmarkStart w:id="116" w:name="_Toc6722"/>
      <w:r/>
      <w:bookmarkStart w:id="117" w:name="_Toc30023"/>
      <w:r>
        <w:rPr>
          <w:rFonts w:hint="eastAsia" w:ascii="宋体" w:hAnsi="宋体"/>
          <w:b/>
          <w:szCs w:val="21"/>
        </w:rPr>
        <w:t xml:space="preserve">7、招标文件的澄清</w:t>
      </w:r>
      <w:bookmarkEnd w:id="115"/>
      <w:r/>
      <w:bookmarkEnd w:id="116"/>
      <w:r/>
      <w:bookmarkEnd w:id="117"/>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w:t>
      </w:r>
      <w:r>
        <w:rPr>
          <w:rFonts w:hint="eastAsia" w:ascii="宋体" w:hAnsi="宋体"/>
          <w:b/>
          <w:bCs/>
          <w:i/>
          <w:szCs w:val="21"/>
        </w:rPr>
        <w:t xml:space="preserve">十日前</w:t>
      </w:r>
      <w:r>
        <w:rPr>
          <w:rFonts w:hint="eastAsia" w:ascii="宋体" w:hAnsi="宋体"/>
          <w:bCs/>
          <w:szCs w:val="21"/>
        </w:rPr>
        <w:t xml:space="preserve">按招标公告中的通讯地址，以书面形式通知代理机构。</w:t>
      </w:r>
      <w:r/>
    </w:p>
    <w:p>
      <w:pPr>
        <w:ind w:firstLine="422"/>
        <w:spacing w:line="360" w:lineRule="auto"/>
        <w:rPr>
          <w:rFonts w:ascii="宋体" w:hAnsi="宋体"/>
          <w:b/>
          <w:szCs w:val="21"/>
        </w:rPr>
        <w:outlineLvl w:val="1"/>
      </w:pPr>
      <w:r/>
      <w:bookmarkStart w:id="118" w:name="_Toc11169"/>
      <w:r/>
      <w:bookmarkStart w:id="119" w:name="_Toc5041"/>
      <w:r/>
      <w:bookmarkStart w:id="120" w:name="_Toc1752"/>
      <w:r>
        <w:rPr>
          <w:rFonts w:hint="eastAsia" w:ascii="宋体" w:hAnsi="宋体"/>
          <w:b/>
          <w:szCs w:val="21"/>
        </w:rPr>
        <w:t xml:space="preserve">8、招标文件的修改</w:t>
      </w:r>
      <w:bookmarkEnd w:id="118"/>
      <w:r/>
      <w:bookmarkEnd w:id="119"/>
      <w:r/>
      <w:bookmarkEnd w:id="120"/>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 “扬州市政府采购网”、“江苏省政府采购网”公布，补充文件将作为招标文件的组成部分，并对投标人具有约束力。</w:t>
      </w:r>
      <w:r/>
    </w:p>
    <w:p>
      <w:pPr>
        <w:ind w:firstLine="422"/>
        <w:spacing w:line="360" w:lineRule="auto"/>
        <w:rPr>
          <w:rFonts w:ascii="宋体" w:hAnsi="宋体"/>
          <w:b/>
          <w:szCs w:val="21"/>
        </w:rPr>
        <w:outlineLvl w:val="1"/>
      </w:pPr>
      <w:r/>
      <w:bookmarkStart w:id="121" w:name="_Toc8816"/>
      <w:r/>
      <w:bookmarkStart w:id="122" w:name="_Toc14587"/>
      <w:r/>
      <w:bookmarkStart w:id="123" w:name="_Toc24377"/>
      <w:r>
        <w:rPr>
          <w:rFonts w:hint="eastAsia" w:ascii="宋体" w:hAnsi="宋体"/>
          <w:b/>
          <w:szCs w:val="21"/>
        </w:rPr>
        <w:t xml:space="preserve">9、投标文件的语言、度量衡单位、货币</w:t>
      </w:r>
      <w:bookmarkEnd w:id="121"/>
      <w:r/>
      <w:bookmarkEnd w:id="122"/>
      <w:r/>
      <w:bookmarkEnd w:id="123"/>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rPr>
          <w:rFonts w:hint="eastAsia" w:ascii="宋体" w:hAnsi="宋体"/>
        </w:rPr>
        <w:t xml:space="preserve">招标文件中另有规定的按规定执行。</w:t>
      </w:r>
      <w:r/>
    </w:p>
    <w:p>
      <w:pPr>
        <w:ind w:firstLine="422"/>
        <w:spacing w:line="360" w:lineRule="auto"/>
        <w:rPr>
          <w:rFonts w:ascii="宋体" w:hAnsi="宋体"/>
          <w:b/>
          <w:szCs w:val="21"/>
        </w:rPr>
        <w:outlineLvl w:val="1"/>
      </w:pPr>
      <w:r/>
      <w:bookmarkStart w:id="124" w:name="_Toc13663"/>
      <w:r/>
      <w:bookmarkStart w:id="125" w:name="_Toc30688"/>
      <w:r/>
      <w:bookmarkStart w:id="126" w:name="_Toc20377"/>
      <w:r>
        <w:rPr>
          <w:rFonts w:hint="eastAsia" w:ascii="宋体" w:hAnsi="宋体"/>
          <w:b/>
          <w:szCs w:val="21"/>
        </w:rPr>
        <w:t xml:space="preserve">10、投标文件构成</w:t>
      </w:r>
      <w:bookmarkEnd w:id="124"/>
      <w:r/>
      <w:bookmarkEnd w:id="125"/>
      <w:r/>
      <w:bookmarkEnd w:id="126"/>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outlineLvl w:val="1"/>
      </w:pPr>
      <w:r/>
      <w:bookmarkStart w:id="127" w:name="_Toc22047"/>
      <w:r/>
      <w:bookmarkStart w:id="128" w:name="_Toc12252"/>
      <w:r/>
      <w:bookmarkStart w:id="129" w:name="_Toc29605"/>
      <w:r>
        <w:rPr>
          <w:rFonts w:hint="eastAsia" w:ascii="宋体" w:hAnsi="宋体"/>
          <w:b/>
          <w:szCs w:val="21"/>
        </w:rPr>
        <w:t xml:space="preserve">11、证明投标人资格及符合招标文件规定的文件</w:t>
      </w:r>
      <w:bookmarkEnd w:id="127"/>
      <w:r/>
      <w:bookmarkEnd w:id="128"/>
      <w:r/>
      <w:bookmarkEnd w:id="129"/>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ascii="宋体" w:hAnsi="宋体"/>
          <w:b/>
          <w:szCs w:val="21"/>
        </w:rPr>
        <w:outlineLvl w:val="1"/>
      </w:pPr>
      <w:r/>
      <w:bookmarkStart w:id="130" w:name="_Toc12043"/>
      <w:r/>
      <w:bookmarkStart w:id="131" w:name="_Toc5147"/>
      <w:r/>
      <w:bookmarkStart w:id="132" w:name="_Toc20234"/>
      <w:r>
        <w:rPr>
          <w:rFonts w:hint="eastAsia" w:ascii="宋体" w:hAnsi="宋体"/>
          <w:b/>
          <w:szCs w:val="21"/>
        </w:rPr>
        <w:t xml:space="preserve">12、</w:t>
      </w:r>
      <w:r>
        <w:rPr>
          <w:rFonts w:hint="eastAsia"/>
          <w:b/>
          <w:bCs/>
        </w:rPr>
        <w:t xml:space="preserve">分项报价表</w:t>
      </w:r>
      <w:bookmarkEnd w:id="130"/>
      <w:r/>
      <w:bookmarkEnd w:id="131"/>
      <w:r/>
      <w:bookmarkEnd w:id="132"/>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outlineLvl w:val="1"/>
      </w:pPr>
      <w:r/>
      <w:bookmarkStart w:id="133" w:name="_Toc18416"/>
      <w:r/>
      <w:bookmarkStart w:id="134" w:name="_Toc17453"/>
      <w:r/>
      <w:bookmarkStart w:id="135" w:name="_Toc17533"/>
      <w:r>
        <w:rPr>
          <w:rFonts w:hint="eastAsia" w:ascii="宋体" w:hAnsi="宋体"/>
          <w:b/>
          <w:szCs w:val="21"/>
        </w:rPr>
        <w:t xml:space="preserve">13、技术参数响应及偏离表、商务条款响应及偏离表及投标货物说明</w:t>
      </w:r>
      <w:bookmarkEnd w:id="133"/>
      <w:r/>
      <w:bookmarkEnd w:id="134"/>
      <w:r/>
      <w:bookmarkEnd w:id="135"/>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outlineLvl w:val="1"/>
      </w:pPr>
      <w:r/>
      <w:bookmarkStart w:id="136" w:name="_Toc21943"/>
      <w:r/>
      <w:bookmarkStart w:id="137" w:name="_Toc12914"/>
      <w:r/>
      <w:bookmarkStart w:id="138" w:name="_Toc5746"/>
      <w:r>
        <w:rPr>
          <w:rFonts w:hint="eastAsia" w:ascii="宋体" w:hAnsi="宋体"/>
          <w:b/>
          <w:szCs w:val="21"/>
        </w:rPr>
        <w:t xml:space="preserve">14、服务承诺及售后服务机构、人员的情况介绍</w:t>
      </w:r>
      <w:bookmarkEnd w:id="136"/>
      <w:r/>
      <w:bookmarkEnd w:id="137"/>
      <w:r/>
      <w:bookmarkEnd w:id="138"/>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outlineLvl w:val="1"/>
      </w:pPr>
      <w:r/>
      <w:bookmarkStart w:id="139" w:name="_Toc12286"/>
      <w:r/>
      <w:bookmarkStart w:id="140" w:name="_Toc28899"/>
      <w:r/>
      <w:bookmarkStart w:id="141" w:name="_Toc21324"/>
      <w:r>
        <w:rPr>
          <w:rFonts w:hint="eastAsia" w:ascii="宋体" w:hAnsi="宋体"/>
          <w:b/>
          <w:szCs w:val="21"/>
        </w:rPr>
        <w:t xml:space="preserve">15、投标函和开标一览表</w:t>
      </w:r>
      <w:bookmarkEnd w:id="139"/>
      <w:r/>
      <w:bookmarkEnd w:id="140"/>
      <w:r/>
      <w:bookmarkEnd w:id="141"/>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outlineLvl w:val="1"/>
      </w:pPr>
      <w:r/>
      <w:bookmarkStart w:id="142" w:name="_Toc8980"/>
      <w:r/>
      <w:bookmarkStart w:id="143" w:name="_Toc15779"/>
      <w:r/>
      <w:bookmarkStart w:id="144" w:name="_Toc530"/>
      <w:r>
        <w:rPr>
          <w:rFonts w:hint="eastAsia" w:ascii="宋体" w:hAnsi="宋体"/>
          <w:b/>
          <w:szCs w:val="21"/>
        </w:rPr>
        <w:t xml:space="preserve">16、投标有效期</w:t>
      </w:r>
      <w:bookmarkEnd w:id="142"/>
      <w:r/>
      <w:bookmarkEnd w:id="143"/>
      <w:r/>
      <w:bookmarkEnd w:id="144"/>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outlineLvl w:val="1"/>
      </w:pPr>
      <w:r/>
      <w:bookmarkStart w:id="145" w:name="_Toc462564084"/>
      <w:r/>
      <w:bookmarkStart w:id="146" w:name="_Toc513029225"/>
      <w:r/>
      <w:bookmarkStart w:id="147" w:name="_Toc16938541"/>
      <w:r/>
      <w:bookmarkStart w:id="148" w:name="_Toc20823297"/>
      <w:r/>
      <w:bookmarkStart w:id="149" w:name="_Toc28839"/>
      <w:r/>
      <w:bookmarkStart w:id="150" w:name="_Toc10310"/>
      <w:r/>
      <w:bookmarkStart w:id="151" w:name="_Toc26078"/>
      <w:r>
        <w:rPr>
          <w:rFonts w:hint="eastAsia" w:ascii="宋体" w:hAnsi="宋体"/>
          <w:b/>
          <w:szCs w:val="21"/>
        </w:rPr>
        <w:t xml:space="preserve">17、投标文件</w:t>
      </w:r>
      <w:bookmarkEnd w:id="145"/>
      <w:r/>
      <w:bookmarkEnd w:id="146"/>
      <w:r/>
      <w:bookmarkEnd w:id="147"/>
      <w:r/>
      <w:bookmarkEnd w:id="148"/>
      <w:r>
        <w:rPr>
          <w:rFonts w:hint="eastAsia" w:ascii="宋体" w:hAnsi="宋体"/>
          <w:b/>
          <w:szCs w:val="21"/>
        </w:rPr>
        <w:t xml:space="preserve">的递交</w:t>
      </w:r>
      <w:bookmarkEnd w:id="149"/>
      <w:r/>
      <w:bookmarkEnd w:id="150"/>
      <w:r/>
      <w:bookmarkEnd w:id="151"/>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152" w:name="_Toc20823298"/>
      <w:r/>
      <w:bookmarkStart w:id="153" w:name="_Toc513029226"/>
      <w:r/>
      <w:bookmarkStart w:id="154"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b/>
          <w:szCs w:val="21"/>
        </w:rPr>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outlineLvl w:val="1"/>
      </w:pPr>
      <w:r/>
      <w:bookmarkStart w:id="155" w:name="_Toc5485"/>
      <w:r/>
      <w:bookmarkStart w:id="156" w:name="_Toc12951"/>
      <w:r/>
      <w:bookmarkStart w:id="157" w:name="_Toc18897"/>
      <w:r>
        <w:rPr>
          <w:rFonts w:hint="eastAsia" w:ascii="宋体" w:hAnsi="宋体"/>
          <w:b/>
          <w:szCs w:val="21"/>
        </w:rPr>
        <w:t xml:space="preserve">18、投标截止日期</w:t>
      </w:r>
      <w:bookmarkEnd w:id="152"/>
      <w:r/>
      <w:bookmarkEnd w:id="153"/>
      <w:r/>
      <w:bookmarkEnd w:id="154"/>
      <w:r/>
      <w:bookmarkEnd w:id="155"/>
      <w:r/>
      <w:bookmarkEnd w:id="156"/>
      <w:r/>
      <w:bookmarkEnd w:id="157"/>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outlineLvl w:val="1"/>
      </w:pPr>
      <w:r/>
      <w:bookmarkStart w:id="158" w:name="_Toc16938543"/>
      <w:r/>
      <w:bookmarkStart w:id="159" w:name="_Toc513029227"/>
      <w:r/>
      <w:bookmarkStart w:id="160" w:name="_Toc20823299"/>
      <w:r/>
      <w:bookmarkStart w:id="161" w:name="_Toc8043"/>
      <w:r/>
      <w:bookmarkStart w:id="162" w:name="_Toc4302"/>
      <w:r/>
      <w:bookmarkStart w:id="163" w:name="_Toc22437"/>
      <w:r>
        <w:rPr>
          <w:rFonts w:hint="eastAsia" w:ascii="宋体" w:hAnsi="宋体"/>
          <w:b/>
          <w:szCs w:val="21"/>
        </w:rPr>
        <w:t xml:space="preserve">19、投标文件</w:t>
      </w:r>
      <w:bookmarkEnd w:id="158"/>
      <w:r/>
      <w:bookmarkEnd w:id="159"/>
      <w:r/>
      <w:bookmarkEnd w:id="160"/>
      <w:r>
        <w:rPr>
          <w:rFonts w:hint="eastAsia" w:ascii="宋体" w:hAnsi="宋体"/>
          <w:b/>
          <w:szCs w:val="21"/>
        </w:rPr>
        <w:t xml:space="preserve">的拒收</w:t>
      </w:r>
      <w:bookmarkEnd w:id="161"/>
      <w:r/>
      <w:bookmarkEnd w:id="162"/>
      <w:r/>
      <w:bookmarkEnd w:id="163"/>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outlineLvl w:val="1"/>
      </w:pPr>
      <w:r/>
      <w:bookmarkStart w:id="164" w:name="_Toc13895"/>
      <w:r/>
      <w:bookmarkStart w:id="165" w:name="_Toc513029228"/>
      <w:r/>
      <w:bookmarkStart w:id="166" w:name="_Toc20823300"/>
      <w:r/>
      <w:bookmarkStart w:id="167" w:name="_Toc2577"/>
      <w:r/>
      <w:bookmarkStart w:id="168" w:name="_Toc16938544"/>
      <w:r/>
      <w:bookmarkStart w:id="169" w:name="_Toc27392"/>
      <w:r>
        <w:rPr>
          <w:rFonts w:hint="eastAsia" w:ascii="宋体" w:hAnsi="宋体"/>
          <w:b/>
          <w:szCs w:val="21"/>
        </w:rPr>
        <w:t xml:space="preserve">20、投标文件的撤回和修改</w:t>
      </w:r>
      <w:bookmarkEnd w:id="164"/>
      <w:r/>
      <w:bookmarkEnd w:id="165"/>
      <w:r/>
      <w:bookmarkEnd w:id="166"/>
      <w:r/>
      <w:bookmarkEnd w:id="167"/>
      <w:r/>
      <w:bookmarkEnd w:id="168"/>
      <w:r/>
      <w:bookmarkEnd w:id="169"/>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outlineLvl w:val="1"/>
      </w:pPr>
      <w:r/>
      <w:bookmarkStart w:id="170" w:name="_Toc1094"/>
      <w:r/>
      <w:bookmarkStart w:id="171" w:name="_Toc6937"/>
      <w:r/>
      <w:bookmarkStart w:id="172" w:name="_Toc6046"/>
      <w:r>
        <w:rPr>
          <w:rFonts w:hint="eastAsia" w:ascii="宋体" w:hAnsi="宋体"/>
          <w:b/>
          <w:szCs w:val="21"/>
        </w:rPr>
        <w:t xml:space="preserve">21、开标</w:t>
      </w:r>
      <w:bookmarkEnd w:id="170"/>
      <w:r/>
      <w:bookmarkEnd w:id="171"/>
      <w:r/>
      <w:bookmarkEnd w:id="172"/>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Cs/>
          <w:color w:val="ff0000"/>
          <w:szCs w:val="21"/>
        </w:rPr>
        <w:t xml:space="preserve"> </w:t>
      </w: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outlineLvl w:val="1"/>
      </w:pPr>
      <w:r/>
      <w:bookmarkStart w:id="173" w:name="_Toc2052"/>
      <w:r/>
      <w:bookmarkStart w:id="174" w:name="_Toc12714"/>
      <w:r/>
      <w:bookmarkStart w:id="175" w:name="_Toc9134"/>
      <w:r>
        <w:rPr>
          <w:rFonts w:hint="eastAsia" w:ascii="宋体" w:hAnsi="宋体"/>
          <w:b/>
          <w:szCs w:val="21"/>
        </w:rPr>
        <w:t xml:space="preserve">22、评标委员会</w:t>
      </w:r>
      <w:bookmarkEnd w:id="173"/>
      <w:r/>
      <w:bookmarkEnd w:id="174"/>
      <w:r/>
      <w:bookmarkEnd w:id="175"/>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outlineLvl w:val="1"/>
      </w:pPr>
      <w:r/>
      <w:bookmarkStart w:id="176" w:name="_Toc132"/>
      <w:r/>
      <w:bookmarkStart w:id="177" w:name="_Toc9252"/>
      <w:r/>
      <w:bookmarkStart w:id="178" w:name="_Toc9981"/>
      <w:r>
        <w:rPr>
          <w:rFonts w:hint="eastAsia" w:ascii="宋体" w:hAnsi="宋体"/>
          <w:b/>
          <w:szCs w:val="21"/>
        </w:rPr>
        <w:t xml:space="preserve">23、评标过程的保密与公正</w:t>
      </w:r>
      <w:bookmarkEnd w:id="176"/>
      <w:r/>
      <w:bookmarkEnd w:id="177"/>
      <w:r/>
      <w:bookmarkEnd w:id="178"/>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outlineLvl w:val="1"/>
      </w:pPr>
      <w:r/>
      <w:bookmarkStart w:id="179" w:name="_Toc691"/>
      <w:r/>
      <w:bookmarkStart w:id="180" w:name="_Toc12474"/>
      <w:r/>
      <w:bookmarkStart w:id="181" w:name="_Toc12612"/>
      <w:r>
        <w:rPr>
          <w:rFonts w:hint="eastAsia" w:ascii="宋体" w:hAnsi="宋体"/>
          <w:b/>
          <w:szCs w:val="21"/>
        </w:rPr>
        <w:t xml:space="preserve">24、投标的澄清</w:t>
      </w:r>
      <w:bookmarkEnd w:id="179"/>
      <w:r/>
      <w:bookmarkEnd w:id="180"/>
      <w:r/>
      <w:bookmarkEnd w:id="181"/>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outlineLvl w:val="1"/>
      </w:pPr>
      <w:r/>
      <w:bookmarkStart w:id="182" w:name="_Toc8989"/>
      <w:r/>
      <w:bookmarkStart w:id="183" w:name="_Toc30154"/>
      <w:r/>
      <w:bookmarkStart w:id="184" w:name="_Toc31935"/>
      <w:r>
        <w:rPr>
          <w:rFonts w:hint="eastAsia" w:ascii="宋体" w:hAnsi="宋体"/>
          <w:b/>
          <w:szCs w:val="21"/>
        </w:rPr>
        <w:t xml:space="preserve">25、对投标文件的初审</w:t>
      </w:r>
      <w:bookmarkEnd w:id="182"/>
      <w:r/>
      <w:bookmarkEnd w:id="183"/>
      <w:r/>
      <w:bookmarkEnd w:id="184"/>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rPr>
      </w:pPr>
      <w:r>
        <w:rPr>
          <w:rFonts w:hint="eastAsia" w:ascii="宋体" w:hAnsi="宋体"/>
        </w:rPr>
        <w:t xml:space="preserve">25.7 投标人在开、评标全过程中应保持通讯畅通，并安排专人与代理机构及评委会联系。</w:t>
      </w:r>
      <w:r/>
    </w:p>
    <w:p>
      <w:pPr>
        <w:ind w:left="420" w:firstLine="0"/>
        <w:jc w:val="left"/>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25.</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 异常低价投标审查</w:t>
      </w:r>
      <w:r/>
    </w:p>
    <w:p>
      <w:pPr>
        <w:ind w:left="420" w:firstLine="0"/>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25.</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.1 评标过程中出现下列情形之一的，评标委员会应当启动异常低价投标审查程序：</w:t>
      </w:r>
      <w:r/>
    </w:p>
    <w:p>
      <w:pPr>
        <w:ind w:left="420" w:firstLine="0"/>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（1）投标（响应）报价低于全部通过符合性审查供应商投标（响应）报价平均值</w:t>
      </w:r>
      <w:r>
        <w:rPr>
          <w:rFonts w:hint="eastAsia" w:ascii="宋体" w:hAnsi="宋体" w:eastAsia="宋体" w:cs="宋体"/>
          <w:b/>
          <w:bCs/>
          <w:sz w:val="21"/>
          <w:szCs w:val="21"/>
          <w:highlight w:val="none"/>
          <w:lang w:val="en-US" w:eastAsia="zh-CN"/>
        </w:rPr>
        <w:t xml:space="preserve">65</w:t>
      </w:r>
      <w:r>
        <w:rPr>
          <w:rFonts w:hint="eastAsia" w:ascii="宋体" w:hAnsi="宋体" w:eastAsia="宋体" w:cs="宋体"/>
          <w:b/>
          <w:bCs/>
          <w:sz w:val="21"/>
          <w:szCs w:val="21"/>
          <w:highlight w:val="none"/>
        </w:rPr>
        <w:t xml:space="preserve">%的，即</w:t>
      </w:r>
      <w:r/>
    </w:p>
    <w:p>
      <w:pPr>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投标（响应）报价＜全部通过符合性审查供应商投标（响应）报价平均值×</w:t>
      </w:r>
      <w:r>
        <w:rPr>
          <w:rFonts w:hint="eastAsia" w:ascii="宋体" w:hAnsi="宋体" w:eastAsia="宋体" w:cs="宋体"/>
          <w:b/>
          <w:bCs/>
          <w:sz w:val="21"/>
          <w:szCs w:val="21"/>
          <w:highlight w:val="none"/>
          <w:lang w:val="en-US" w:eastAsia="zh-CN"/>
        </w:rPr>
        <w:t xml:space="preserve">65</w:t>
      </w:r>
      <w:r>
        <w:rPr>
          <w:rFonts w:hint="eastAsia" w:ascii="宋体" w:hAnsi="宋体" w:eastAsia="宋体" w:cs="宋体"/>
          <w:b/>
          <w:bCs/>
          <w:sz w:val="21"/>
          <w:szCs w:val="21"/>
          <w:highlight w:val="none"/>
        </w:rPr>
        <w:t xml:space="preserve">%；</w:t>
      </w:r>
      <w:r/>
    </w:p>
    <w:p>
      <w:pPr>
        <w:ind w:left="420" w:firstLine="0"/>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（2）投标（响应）报价低于通过符合性审查的次低报价供应商投标（响应）报价</w:t>
      </w:r>
      <w:r>
        <w:rPr>
          <w:rFonts w:hint="eastAsia" w:ascii="宋体" w:hAnsi="宋体" w:eastAsia="宋体" w:cs="宋体"/>
          <w:b/>
          <w:bCs/>
          <w:sz w:val="21"/>
          <w:szCs w:val="21"/>
          <w:highlight w:val="none"/>
          <w:lang w:val="en-US" w:eastAsia="zh-CN"/>
        </w:rPr>
        <w:t xml:space="preserve">65</w:t>
      </w:r>
      <w:r>
        <w:rPr>
          <w:rFonts w:hint="eastAsia" w:ascii="宋体" w:hAnsi="宋体" w:eastAsia="宋体" w:cs="宋体"/>
          <w:b/>
          <w:bCs/>
          <w:sz w:val="21"/>
          <w:szCs w:val="21"/>
          <w:highlight w:val="none"/>
        </w:rPr>
        <w:t xml:space="preserve">%的，即</w:t>
      </w:r>
      <w:r/>
    </w:p>
    <w:p>
      <w:pPr>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投标（响应）报价＜通过符合性审查的次低报价供应商投标（响应）报价×</w:t>
      </w:r>
      <w:r>
        <w:rPr>
          <w:rFonts w:hint="eastAsia" w:ascii="宋体" w:hAnsi="宋体" w:eastAsia="宋体" w:cs="宋体"/>
          <w:b/>
          <w:bCs/>
          <w:sz w:val="21"/>
          <w:szCs w:val="21"/>
          <w:highlight w:val="none"/>
          <w:lang w:val="en-US" w:eastAsia="zh-CN"/>
        </w:rPr>
        <w:t xml:space="preserve">65</w:t>
      </w:r>
      <w:r>
        <w:rPr>
          <w:rFonts w:hint="eastAsia" w:ascii="宋体" w:hAnsi="宋体" w:eastAsia="宋体" w:cs="宋体"/>
          <w:b/>
          <w:bCs/>
          <w:sz w:val="21"/>
          <w:szCs w:val="21"/>
          <w:highlight w:val="none"/>
        </w:rPr>
        <w:t xml:space="preserve">%；</w:t>
      </w:r>
      <w:r/>
    </w:p>
    <w:p>
      <w:pPr>
        <w:ind w:left="420" w:firstLine="0"/>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（3）投标（响应）报价低于采购项目最高限价</w:t>
      </w:r>
      <w:r>
        <w:rPr>
          <w:rFonts w:hint="eastAsia" w:ascii="宋体" w:hAnsi="宋体" w:eastAsia="宋体" w:cs="宋体"/>
          <w:b/>
          <w:bCs/>
          <w:sz w:val="21"/>
          <w:szCs w:val="21"/>
          <w:highlight w:val="none"/>
          <w:lang w:val="en-US" w:eastAsia="zh-CN"/>
        </w:rPr>
        <w:t xml:space="preserve">65</w:t>
      </w:r>
      <w:r>
        <w:rPr>
          <w:rFonts w:hint="eastAsia" w:ascii="宋体" w:hAnsi="宋体" w:eastAsia="宋体" w:cs="宋体"/>
          <w:b/>
          <w:bCs/>
          <w:sz w:val="21"/>
          <w:szCs w:val="21"/>
          <w:highlight w:val="none"/>
        </w:rPr>
        <w:t xml:space="preserve">%的，即投标（响应）报价＜采购项目最高</w:t>
      </w:r>
      <w:r/>
    </w:p>
    <w:p>
      <w:pPr>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限价×</w:t>
      </w:r>
      <w:r>
        <w:rPr>
          <w:rFonts w:hint="eastAsia" w:ascii="宋体" w:hAnsi="宋体" w:eastAsia="宋体" w:cs="宋体"/>
          <w:b/>
          <w:bCs/>
          <w:sz w:val="21"/>
          <w:szCs w:val="21"/>
          <w:highlight w:val="none"/>
          <w:lang w:val="en-US" w:eastAsia="zh-CN"/>
        </w:rPr>
        <w:t xml:space="preserve">65</w:t>
      </w:r>
      <w:r>
        <w:rPr>
          <w:rFonts w:hint="eastAsia" w:ascii="宋体" w:hAnsi="宋体" w:eastAsia="宋体" w:cs="宋体"/>
          <w:b/>
          <w:bCs/>
          <w:sz w:val="21"/>
          <w:szCs w:val="21"/>
          <w:highlight w:val="none"/>
        </w:rPr>
        <w:t xml:space="preserve">%；</w:t>
      </w:r>
      <w:r/>
    </w:p>
    <w:p>
      <w:pPr>
        <w:numPr>
          <w:ilvl w:val="0"/>
          <w:numId w:val="1"/>
        </w:numPr>
        <w:ind w:left="420" w:firstLine="0"/>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评标委员会基于专业判断，认为供应商报价过低、有可能影响产品质量或者不能诚信履</w:t>
      </w:r>
      <w:r/>
    </w:p>
    <w:p>
      <w:pPr>
        <w:numPr>
          <w:ilvl w:val="0"/>
          <w:numId w:val="0"/>
        </w:numPr>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约的其他情形。</w:t>
      </w:r>
      <w:r/>
    </w:p>
    <w:p>
      <w:pPr>
        <w:ind w:firstLine="420"/>
        <w:spacing w:line="360" w:lineRule="auto"/>
        <w:rPr>
          <w:rFonts w:hint="eastAsia" w:ascii="宋体" w:hAnsi="宋体"/>
          <w:bCs/>
          <w:szCs w:val="21"/>
        </w:rPr>
      </w:pPr>
      <w:r>
        <w:rPr>
          <w:rFonts w:hint="eastAsia" w:ascii="宋体" w:hAnsi="宋体"/>
          <w:bCs/>
          <w:szCs w:val="21"/>
        </w:rPr>
        <w:t xml:space="preserve">25.</w:t>
      </w:r>
      <w:r>
        <w:rPr>
          <w:rFonts w:hint="eastAsia" w:ascii="宋体" w:hAnsi="宋体"/>
          <w:bCs/>
          <w:szCs w:val="21"/>
          <w:lang w:val="en-US" w:eastAsia="zh-CN"/>
        </w:rPr>
        <w:t xml:space="preserve">8</w:t>
      </w:r>
      <w:r>
        <w:rPr>
          <w:rFonts w:hint="eastAsia" w:ascii="宋体" w:hAnsi="宋体"/>
          <w:bCs/>
          <w:szCs w:val="21"/>
        </w:rPr>
        <w:t xml:space="preserve">.2 评审委员会启动异常低价投标（响应）审查后，属于前述第1项至第4项情形的，应</w:t>
      </w:r>
      <w:r/>
    </w:p>
    <w:p>
      <w:pPr>
        <w:ind w:firstLine="420"/>
        <w:spacing w:line="360" w:lineRule="auto"/>
        <w:rPr>
          <w:rFonts w:hint="eastAsia" w:ascii="宋体" w:hAnsi="宋体"/>
          <w:bCs/>
          <w:szCs w:val="21"/>
        </w:rPr>
      </w:pPr>
      <w:r>
        <w:rPr>
          <w:rFonts w:hint="eastAsia" w:ascii="宋体" w:hAnsi="宋体"/>
          <w:bCs/>
          <w:szCs w:val="21"/>
        </w:rPr>
        <w:t xml:space="preserve">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宋体" w:hAnsi="宋体"/>
          <w:bCs/>
          <w:szCs w:val="21"/>
        </w:rPr>
      </w:pPr>
      <w:r>
        <w:rPr>
          <w:rFonts w:hint="eastAsia" w:ascii="宋体" w:hAnsi="宋体"/>
          <w:bCs/>
          <w:szCs w:val="21"/>
        </w:rPr>
        <w:t xml:space="preserve">评审委员会依据专业经验，参考同类项目中标（成交）价格、类似产品市场价格水平、行业</w:t>
      </w:r>
      <w:r/>
    </w:p>
    <w:p>
      <w:pPr>
        <w:ind w:firstLine="420"/>
        <w:spacing w:line="360" w:lineRule="auto"/>
        <w:rPr>
          <w:rFonts w:hint="eastAsia" w:ascii="宋体" w:hAnsi="宋体"/>
          <w:bCs/>
          <w:szCs w:val="21"/>
        </w:rPr>
      </w:pPr>
      <w:r>
        <w:rPr>
          <w:rFonts w:hint="eastAsia" w:ascii="宋体" w:hAnsi="宋体"/>
          <w:bCs/>
          <w:szCs w:val="21"/>
        </w:rPr>
        <w:t xml:space="preserve">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360" w:lineRule="auto"/>
        <w:rPr>
          <w:rFonts w:hint="eastAsia" w:ascii="宋体" w:hAnsi="宋体"/>
          <w:bCs/>
          <w:szCs w:val="21"/>
        </w:rPr>
      </w:pPr>
      <w:r>
        <w:rPr>
          <w:rFonts w:hint="eastAsia" w:ascii="宋体" w:hAnsi="宋体"/>
          <w:bCs/>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b/>
          <w:szCs w:val="21"/>
        </w:rPr>
        <w:outlineLvl w:val="1"/>
      </w:pPr>
      <w:r/>
      <w:bookmarkStart w:id="185" w:name="_Toc27845"/>
      <w:r/>
      <w:bookmarkStart w:id="186" w:name="_Toc29525"/>
      <w:r/>
      <w:bookmarkStart w:id="187" w:name="_Toc30449"/>
      <w:r>
        <w:rPr>
          <w:rFonts w:hint="eastAsia" w:ascii="宋体" w:hAnsi="宋体"/>
          <w:b/>
          <w:szCs w:val="21"/>
        </w:rPr>
        <w:t xml:space="preserve">26、无效投标、废标及投标人不足三家的处理</w:t>
      </w:r>
      <w:bookmarkEnd w:id="185"/>
      <w:r/>
      <w:bookmarkEnd w:id="186"/>
      <w:r/>
      <w:bookmarkEnd w:id="187"/>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p>
    <w:p>
      <w:pPr>
        <w:ind w:left="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outlineLvl w:val="1"/>
      </w:pPr>
      <w:r/>
      <w:bookmarkStart w:id="188" w:name="_Toc8804"/>
      <w:r/>
      <w:bookmarkStart w:id="189" w:name="_Toc31180"/>
      <w:r/>
      <w:bookmarkStart w:id="190" w:name="_Toc24621"/>
      <w:r>
        <w:rPr>
          <w:rFonts w:hint="eastAsia" w:ascii="宋体" w:hAnsi="宋体"/>
          <w:b/>
          <w:szCs w:val="21"/>
        </w:rPr>
        <w:t xml:space="preserve">27、确定中标单位</w:t>
      </w:r>
      <w:bookmarkEnd w:id="188"/>
      <w:r/>
      <w:bookmarkEnd w:id="189"/>
      <w:r/>
      <w:bookmarkEnd w:id="190"/>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outlineLvl w:val="1"/>
      </w:pPr>
      <w:r/>
      <w:bookmarkStart w:id="191" w:name="_Toc1346"/>
      <w:r/>
      <w:bookmarkStart w:id="192" w:name="_Toc2001"/>
      <w:r/>
      <w:bookmarkStart w:id="193" w:name="_Toc20452"/>
      <w:r>
        <w:rPr>
          <w:rFonts w:hint="eastAsia" w:ascii="宋体" w:hAnsi="宋体"/>
          <w:b/>
          <w:szCs w:val="21"/>
        </w:rPr>
        <w:t xml:space="preserve">28、质疑处理</w:t>
      </w:r>
      <w:bookmarkEnd w:id="191"/>
      <w:r/>
      <w:bookmarkEnd w:id="192"/>
      <w:r/>
      <w:bookmarkEnd w:id="193"/>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w:t>
      </w:r>
      <w:bookmarkStart w:id="194" w:name="_Toc23929"/>
      <w:r/>
      <w:bookmarkStart w:id="195" w:name="_Toc32253"/>
      <w:r>
        <w:rPr>
          <w:rFonts w:hint="eastAsia" w:ascii="宋体" w:hAnsi="宋体"/>
          <w:bCs/>
          <w:szCs w:val="21"/>
        </w:rPr>
        <w:t xml:space="preserve">7个工作日内提出。</w:t>
      </w:r>
      <w:bookmarkEnd w:id="194"/>
      <w:r/>
      <w:bookmarkEnd w:id="195"/>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    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outlineLvl w:val="1"/>
      </w:pPr>
      <w:r/>
      <w:bookmarkStart w:id="196" w:name="_Toc1747"/>
      <w:r/>
      <w:bookmarkStart w:id="197" w:name="_Toc29067"/>
      <w:r/>
      <w:bookmarkStart w:id="198" w:name="_Toc10965"/>
      <w:r>
        <w:rPr>
          <w:rFonts w:hint="eastAsia" w:ascii="宋体" w:hAnsi="宋体"/>
          <w:b/>
          <w:szCs w:val="21"/>
        </w:rPr>
        <w:t xml:space="preserve">29、中标通知书</w:t>
      </w:r>
      <w:bookmarkEnd w:id="196"/>
      <w:r/>
      <w:bookmarkEnd w:id="197"/>
      <w:r/>
      <w:bookmarkEnd w:id="198"/>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outlineLvl w:val="1"/>
      </w:pPr>
      <w:r/>
      <w:bookmarkStart w:id="199" w:name="_Toc31143"/>
      <w:r/>
      <w:bookmarkStart w:id="200" w:name="_Toc13861"/>
      <w:r/>
      <w:bookmarkStart w:id="201" w:name="_Toc11797"/>
      <w:r>
        <w:rPr>
          <w:rFonts w:hint="eastAsia" w:ascii="宋体" w:hAnsi="宋体"/>
          <w:b/>
          <w:szCs w:val="21"/>
        </w:rPr>
        <w:t xml:space="preserve">30、签订合同</w:t>
      </w:r>
      <w:bookmarkEnd w:id="199"/>
      <w:r/>
      <w:bookmarkEnd w:id="200"/>
      <w:r/>
      <w:bookmarkEnd w:id="201"/>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w:t>
      </w:r>
      <w:r>
        <w:rPr>
          <w:rFonts w:hint="eastAsia" w:ascii="宋体" w:hAnsi="宋体"/>
          <w:b/>
          <w:szCs w:val="21"/>
        </w:rPr>
        <w:t xml:space="preserve">中标人也不得采用分包的形式履行合同，</w:t>
      </w:r>
      <w:r>
        <w:rPr>
          <w:rFonts w:hint="eastAsia" w:ascii="宋体" w:hAnsi="宋体"/>
          <w:bCs/>
          <w:szCs w:val="21"/>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outlineLvl w:val="1"/>
      </w:pPr>
      <w:r/>
      <w:bookmarkStart w:id="202" w:name="_Toc18956"/>
      <w:r/>
      <w:bookmarkStart w:id="203" w:name="_Toc14697"/>
      <w:r/>
      <w:bookmarkStart w:id="204" w:name="_Toc14548"/>
      <w:r>
        <w:rPr>
          <w:rFonts w:hint="eastAsia" w:ascii="宋体" w:hAnsi="宋体"/>
          <w:b/>
          <w:szCs w:val="21"/>
        </w:rPr>
        <w:t xml:space="preserve">31、其他</w:t>
      </w:r>
      <w:bookmarkEnd w:id="202"/>
      <w:r/>
      <w:bookmarkEnd w:id="203"/>
      <w:r/>
      <w:bookmarkEnd w:id="204"/>
      <w:r/>
      <w:r/>
    </w:p>
    <w:p>
      <w:pPr>
        <w:ind w:firstLine="422"/>
        <w:spacing w:line="360" w:lineRule="auto"/>
        <w:rPr>
          <w:rFonts w:ascii="宋体" w:hAnsi="宋体"/>
          <w:bCs/>
          <w:szCs w:val="21"/>
        </w:rPr>
      </w:pPr>
      <w:r>
        <w:t xml:space="preserve">3</w:t>
      </w:r>
      <w:r>
        <w:rPr>
          <w:rFonts w:hint="eastAsia"/>
        </w:rPr>
        <w:t xml:space="preserve">1</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pPr>
      <w:r>
        <w:rPr>
          <w:rFonts w:hint="eastAsia"/>
        </w:rPr>
        <w:t xml:space="preserve">32.2.落实好政府采购履约资金扶持政策。中标/成交供应商可凭政府采购合同办理融资贷款，详见江苏政府采购网“政采贷”专栏。”</w:t>
      </w:r>
      <w:r/>
    </w:p>
    <w:p>
      <w:pPr>
        <w:ind w:firstLine="420"/>
        <w:spacing w:line="440" w:lineRule="exact"/>
      </w:pPr>
      <w:r>
        <w:rPr>
          <w:rFonts w:hint="eastAsia"/>
        </w:rPr>
        <w:t xml:space="preserve">32.3 严格执行政府采购关于支持</w:t>
      </w:r>
      <w:r>
        <w:rPr>
          <w:rFonts w:hint="eastAsi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09"/>
        <w:ind w:firstLine="683"/>
      </w:pPr>
      <w:r/>
      <w:bookmarkStart w:id="205" w:name="_Toc15772"/>
      <w:r/>
      <w:bookmarkStart w:id="206" w:name="_Toc150173459"/>
      <w:r/>
      <w:bookmarkStart w:id="207" w:name="_Toc229"/>
      <w:r/>
      <w:bookmarkStart w:id="208" w:name="_Toc14533"/>
      <w:r/>
      <w:bookmarkStart w:id="209" w:name="_Toc55204179"/>
      <w:r/>
      <w:bookmarkStart w:id="210" w:name="_Hlk69392822"/>
      <w:r>
        <w:rPr>
          <w:rFonts w:hint="eastAsia"/>
        </w:rPr>
        <w:t xml:space="preserve">第三章 合同条款及格式</w:t>
      </w:r>
      <w:bookmarkEnd w:id="205"/>
      <w:r/>
      <w:bookmarkEnd w:id="206"/>
      <w:r/>
      <w:bookmarkEnd w:id="207"/>
      <w:r/>
      <w:bookmarkEnd w:id="208"/>
      <w:r/>
      <w:bookmarkEnd w:id="209"/>
      <w:r/>
      <w:r/>
    </w:p>
    <w:p>
      <w:pPr>
        <w:pStyle w:val="822"/>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jc w:val="center"/>
        <w:rPr>
          <w:rFonts w:ascii="宋体" w:hAnsi="宋体" w:cs="宋体"/>
          <w:b/>
          <w:bCs/>
        </w:rPr>
      </w:pPr>
      <w:r/>
      <w:bookmarkStart w:id="211" w:name="_Toc13302"/>
      <w:r/>
      <w:bookmarkStart w:id="212" w:name="_Toc6112"/>
      <w:r>
        <w:rPr>
          <w:rFonts w:hint="eastAsia" w:ascii="宋体" w:hAnsi="宋体" w:cs="宋体"/>
          <w:b/>
          <w:bCs/>
        </w:rPr>
        <w:t xml:space="preserve">扬州市政府采购合同（服务)（合同编号）</w:t>
      </w:r>
      <w:bookmarkEnd w:id="211"/>
      <w:r/>
      <w:bookmarkEnd w:id="212"/>
      <w:r/>
      <w:r/>
    </w:p>
    <w:p>
      <w:pPr>
        <w:pStyle w:val="822"/>
        <w:ind w:firstLine="420"/>
        <w:spacing w:before="120" w:after="120" w:line="360" w:lineRule="auto"/>
        <w:rPr>
          <w:rFonts w:hAnsi="宋体"/>
          <w:sz w:val="21"/>
        </w:rPr>
      </w:pPr>
      <w:r>
        <w:rPr>
          <w:rFonts w:hint="eastAsia" w:hAnsi="宋体"/>
          <w:sz w:val="21"/>
        </w:rPr>
        <w:t xml:space="preserve">项目名称：</w:t>
      </w:r>
      <w:r>
        <w:rPr>
          <w:rFonts w:hint="eastAsia" w:hAnsi="宋体" w:cs="宋体"/>
          <w:u w:val="single"/>
          <w:lang w:eastAsia="zh-CN"/>
        </w:rPr>
        <w:t xml:space="preserve">高邮市智创园建设项目跟踪审计服务</w:t>
      </w:r>
      <w:r>
        <w:rPr>
          <w:rFonts w:hint="eastAsia" w:hAnsi="宋体"/>
          <w:sz w:val="21"/>
        </w:rPr>
        <w:t xml:space="preserve">     </w:t>
      </w:r>
      <w:r/>
    </w:p>
    <w:p>
      <w:pPr>
        <w:pStyle w:val="822"/>
        <w:ind w:firstLine="420"/>
        <w:spacing w:before="120" w:after="120" w:line="360" w:lineRule="auto"/>
        <w:rPr>
          <w:rFonts w:hAnsi="宋体"/>
          <w:sz w:val="21"/>
        </w:rPr>
      </w:pPr>
      <w:r>
        <w:rPr>
          <w:rFonts w:hint="eastAsia" w:hAnsi="宋体"/>
          <w:sz w:val="21"/>
        </w:rPr>
        <w:t xml:space="preserve">项目编号： </w:t>
      </w:r>
      <w:r/>
    </w:p>
    <w:p>
      <w:pPr>
        <w:pStyle w:val="822"/>
        <w:ind w:firstLine="420"/>
        <w:spacing w:before="120" w:after="120" w:line="360" w:lineRule="auto"/>
        <w:rPr>
          <w:rFonts w:hint="eastAsia" w:hAnsi="宋体" w:eastAsia="宋体"/>
          <w:sz w:val="21"/>
          <w:lang w:eastAsia="zh-CN"/>
        </w:rPr>
      </w:pPr>
      <w:r>
        <w:rPr>
          <w:rFonts w:hint="eastAsia" w:hAnsi="宋体"/>
          <w:sz w:val="21"/>
        </w:rPr>
        <w:t xml:space="preserve">甲方：（买方）</w:t>
      </w:r>
      <w:r>
        <w:rPr>
          <w:rFonts w:hint="eastAsia" w:hAnsi="宋体"/>
          <w:sz w:val="21"/>
          <w:lang w:eastAsia="zh-CN"/>
        </w:rPr>
        <w:t xml:space="preserve">高邮市审计局</w:t>
      </w:r>
      <w:r/>
    </w:p>
    <w:p>
      <w:pPr>
        <w:pStyle w:val="822"/>
        <w:ind w:firstLine="420"/>
        <w:spacing w:before="120" w:after="120" w:line="360" w:lineRule="auto"/>
        <w:rPr>
          <w:rFonts w:hAnsi="宋体"/>
          <w:sz w:val="21"/>
        </w:rPr>
      </w:pPr>
      <w:r>
        <w:rPr>
          <w:rFonts w:hint="eastAsia" w:hAnsi="宋体"/>
          <w:sz w:val="21"/>
        </w:rPr>
        <w:t xml:space="preserve">乙方：（卖方） </w:t>
      </w:r>
      <w:r/>
    </w:p>
    <w:p>
      <w:pPr>
        <w:pStyle w:val="822"/>
        <w:ind w:firstLine="420"/>
        <w:spacing w:before="120" w:after="120" w:line="360" w:lineRule="auto"/>
        <w:rPr>
          <w:rFonts w:hAnsi="宋体"/>
          <w:sz w:val="21"/>
        </w:rPr>
      </w:pPr>
      <w:r>
        <w:rPr>
          <w:rFonts w:hint="eastAsia" w:hAnsi="宋体" w:cs="宋体"/>
          <w:sz w:val="24"/>
          <w:szCs w:val="24"/>
        </w:rPr>
        <w:t xml:space="preserve">见证方：</w:t>
      </w:r>
      <w:r>
        <w:rPr>
          <w:rFonts w:hint="eastAsia" w:hAnsi="宋体"/>
          <w:sz w:val="21"/>
        </w:rPr>
        <w:t xml:space="preserve">扬州华泽工程项目管理咨询有限公司</w:t>
      </w:r>
      <w:r/>
    </w:p>
    <w:p>
      <w:pPr>
        <w:pStyle w:val="822"/>
        <w:ind w:firstLine="420"/>
        <w:spacing w:before="120" w:after="120" w:line="360" w:lineRule="auto"/>
        <w:rPr>
          <w:rFonts w:hAnsi="宋体"/>
          <w:sz w:val="21"/>
        </w:rPr>
      </w:pPr>
      <w:r>
        <w:rPr>
          <w:rFonts w:hint="eastAsia" w:hAnsi="宋体"/>
          <w:sz w:val="21"/>
        </w:rPr>
        <w:t xml:space="preserve">甲、乙双方根据（代理公司）</w:t>
      </w:r>
      <w:r>
        <w:rPr>
          <w:rFonts w:hint="eastAsia" w:hAnsi="宋体"/>
          <w:sz w:val="21"/>
          <w:u w:val="single"/>
        </w:rPr>
        <w:t xml:space="preserve">          </w:t>
      </w:r>
      <w:r>
        <w:rPr>
          <w:rFonts w:hint="eastAsia" w:hAnsi="宋体"/>
          <w:sz w:val="21"/>
        </w:rPr>
        <w:t xml:space="preserve">项目公开招标的结果，签署本合同。</w:t>
      </w:r>
      <w:r/>
    </w:p>
    <w:p>
      <w:pPr>
        <w:pStyle w:val="822"/>
        <w:ind w:firstLine="422"/>
        <w:spacing w:before="120" w:after="120" w:line="360" w:lineRule="auto"/>
        <w:rPr>
          <w:rFonts w:hAnsi="宋体"/>
          <w:b/>
          <w:bCs/>
          <w:sz w:val="21"/>
        </w:rPr>
        <w:outlineLvl w:val="1"/>
      </w:pPr>
      <w:r/>
      <w:bookmarkStart w:id="213" w:name="_Toc27745"/>
      <w:r/>
      <w:bookmarkStart w:id="214" w:name="_Toc13095"/>
      <w:r/>
      <w:bookmarkStart w:id="215" w:name="_Toc171"/>
      <w:r>
        <w:rPr>
          <w:rFonts w:hint="eastAsia" w:hAnsi="宋体"/>
          <w:b/>
          <w:bCs/>
          <w:sz w:val="21"/>
        </w:rPr>
        <w:t xml:space="preserve">一、服务及货物</w:t>
      </w:r>
      <w:bookmarkEnd w:id="213"/>
      <w:r/>
      <w:bookmarkEnd w:id="214"/>
      <w:r/>
      <w:bookmarkEnd w:id="215"/>
      <w:r/>
      <w:r/>
    </w:p>
    <w:p>
      <w:pPr>
        <w:pStyle w:val="822"/>
        <w:ind w:firstLine="420"/>
        <w:spacing w:before="120" w:after="120" w:line="360" w:lineRule="auto"/>
        <w:rPr>
          <w:rFonts w:hAnsi="宋体"/>
          <w:sz w:val="21"/>
        </w:rPr>
      </w:pPr>
      <w:r>
        <w:rPr>
          <w:rFonts w:hint="eastAsia" w:hAnsi="宋体"/>
          <w:sz w:val="21"/>
        </w:rPr>
        <w:t xml:space="preserve">1.1 服务及货物名称：</w:t>
      </w:r>
      <w:r/>
    </w:p>
    <w:p>
      <w:pPr>
        <w:pStyle w:val="822"/>
        <w:ind w:firstLine="420"/>
        <w:spacing w:before="120" w:after="120" w:line="360" w:lineRule="auto"/>
        <w:rPr>
          <w:rFonts w:hAnsi="宋体"/>
          <w:sz w:val="21"/>
        </w:rPr>
      </w:pPr>
      <w:r>
        <w:rPr>
          <w:rFonts w:hAnsi="宋体"/>
          <w:sz w:val="21"/>
        </w:rPr>
        <w:t xml:space="preserve">1.2 型号规格：</w:t>
      </w:r>
      <w:r/>
    </w:p>
    <w:p>
      <w:pPr>
        <w:pStyle w:val="822"/>
        <w:ind w:firstLine="420"/>
        <w:spacing w:before="120" w:after="120" w:line="360" w:lineRule="auto"/>
        <w:rPr>
          <w:rFonts w:hAnsi="宋体"/>
          <w:sz w:val="21"/>
        </w:rPr>
      </w:pPr>
      <w:r>
        <w:rPr>
          <w:rFonts w:hAnsi="宋体"/>
          <w:sz w:val="21"/>
        </w:rPr>
        <w:t xml:space="preserve">1.3 数量（单位）</w:t>
      </w:r>
      <w:r/>
    </w:p>
    <w:p>
      <w:pPr>
        <w:pStyle w:val="822"/>
        <w:ind w:firstLine="422"/>
        <w:spacing w:before="120" w:after="120" w:line="360" w:lineRule="auto"/>
        <w:rPr>
          <w:rFonts w:hAnsi="宋体"/>
          <w:b/>
          <w:bCs/>
          <w:sz w:val="21"/>
        </w:rPr>
        <w:outlineLvl w:val="1"/>
      </w:pPr>
      <w:r/>
      <w:bookmarkStart w:id="216" w:name="_Toc24277"/>
      <w:r/>
      <w:bookmarkStart w:id="217" w:name="_Toc23605"/>
      <w:r/>
      <w:bookmarkStart w:id="218" w:name="_Toc17333"/>
      <w:r>
        <w:rPr>
          <w:rFonts w:hint="eastAsia" w:hAnsi="宋体"/>
          <w:b/>
          <w:bCs/>
          <w:sz w:val="21"/>
        </w:rPr>
        <w:t xml:space="preserve">二、合同金额</w:t>
      </w:r>
      <w:bookmarkEnd w:id="216"/>
      <w:r/>
      <w:bookmarkEnd w:id="217"/>
      <w:r/>
      <w:bookmarkEnd w:id="218"/>
      <w:r/>
      <w:r/>
    </w:p>
    <w:p>
      <w:pPr>
        <w:pStyle w:val="822"/>
        <w:ind w:firstLine="420"/>
        <w:spacing w:before="120" w:after="120" w:line="360" w:lineRule="auto"/>
        <w:rPr>
          <w:rFonts w:hAnsi="宋体"/>
          <w:sz w:val="21"/>
        </w:rPr>
      </w:pPr>
      <w:r>
        <w:rPr>
          <w:rFonts w:hint="eastAsia" w:hAnsi="宋体"/>
          <w:sz w:val="21"/>
        </w:rPr>
        <w:t xml:space="preserve">2.1 本合同金额为（大写）：_________________圆（__________元）人民币。</w:t>
      </w:r>
      <w:r/>
    </w:p>
    <w:p>
      <w:pPr>
        <w:pStyle w:val="822"/>
        <w:ind w:firstLine="422"/>
        <w:spacing w:before="120" w:after="120" w:line="360" w:lineRule="auto"/>
        <w:rPr>
          <w:rFonts w:hAnsi="宋体"/>
          <w:b/>
          <w:bCs/>
          <w:sz w:val="21"/>
        </w:rPr>
        <w:outlineLvl w:val="1"/>
      </w:pPr>
      <w:r/>
      <w:bookmarkStart w:id="219" w:name="_Toc12028"/>
      <w:r/>
      <w:bookmarkStart w:id="220" w:name="_Toc20938"/>
      <w:r/>
      <w:bookmarkStart w:id="221" w:name="_Toc7086"/>
      <w:r>
        <w:rPr>
          <w:rFonts w:hint="eastAsia" w:hAnsi="宋体"/>
          <w:b/>
          <w:bCs/>
          <w:sz w:val="21"/>
        </w:rPr>
        <w:t xml:space="preserve">三、技术资料</w:t>
      </w:r>
      <w:bookmarkEnd w:id="219"/>
      <w:r/>
      <w:bookmarkEnd w:id="220"/>
      <w:r/>
      <w:bookmarkEnd w:id="221"/>
      <w:r/>
      <w:r/>
    </w:p>
    <w:p>
      <w:pPr>
        <w:pStyle w:val="822"/>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p>
    <w:p>
      <w:pPr>
        <w:pStyle w:val="822"/>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2"/>
        <w:ind w:firstLine="422"/>
        <w:spacing w:before="120" w:after="120" w:line="360" w:lineRule="auto"/>
        <w:rPr>
          <w:rFonts w:hAnsi="宋体"/>
          <w:b/>
          <w:bCs/>
          <w:sz w:val="21"/>
        </w:rPr>
        <w:outlineLvl w:val="1"/>
      </w:pPr>
      <w:r/>
      <w:bookmarkStart w:id="222" w:name="_Toc15011"/>
      <w:r/>
      <w:bookmarkStart w:id="223" w:name="_Toc6873"/>
      <w:r/>
      <w:bookmarkStart w:id="224" w:name="_Toc6629"/>
      <w:r>
        <w:rPr>
          <w:rFonts w:hint="eastAsia" w:hAnsi="宋体"/>
          <w:b/>
          <w:bCs/>
          <w:sz w:val="21"/>
        </w:rPr>
        <w:t xml:space="preserve">四、知识产权</w:t>
      </w:r>
      <w:bookmarkEnd w:id="222"/>
      <w:r/>
      <w:bookmarkEnd w:id="223"/>
      <w:r/>
      <w:bookmarkEnd w:id="224"/>
      <w:r/>
      <w:r/>
    </w:p>
    <w:p>
      <w:pPr>
        <w:pStyle w:val="822"/>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22"/>
        <w:ind w:firstLine="422"/>
        <w:spacing w:before="120" w:after="120" w:line="360" w:lineRule="auto"/>
        <w:rPr>
          <w:rFonts w:hAnsi="宋体"/>
          <w:b/>
          <w:bCs/>
          <w:sz w:val="21"/>
        </w:rPr>
        <w:outlineLvl w:val="1"/>
      </w:pPr>
      <w:r/>
      <w:bookmarkStart w:id="225" w:name="_Toc15553"/>
      <w:r/>
      <w:bookmarkStart w:id="226" w:name="_Toc2111"/>
      <w:r/>
      <w:bookmarkStart w:id="227" w:name="_Toc25927"/>
      <w:r>
        <w:rPr>
          <w:rFonts w:hint="eastAsia" w:hAnsi="宋体"/>
          <w:b/>
          <w:bCs/>
          <w:sz w:val="21"/>
        </w:rPr>
        <w:t xml:space="preserve">五、产权担保</w:t>
      </w:r>
      <w:bookmarkEnd w:id="225"/>
      <w:r/>
      <w:bookmarkEnd w:id="226"/>
      <w:r/>
      <w:bookmarkEnd w:id="227"/>
      <w:r/>
      <w:r/>
    </w:p>
    <w:p>
      <w:pPr>
        <w:pStyle w:val="822"/>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p>
    <w:p>
      <w:pPr>
        <w:pStyle w:val="822"/>
        <w:ind w:firstLine="422"/>
        <w:spacing w:before="120" w:after="120" w:line="360" w:lineRule="auto"/>
        <w:rPr>
          <w:rFonts w:hAnsi="宋体"/>
          <w:b/>
          <w:bCs/>
          <w:sz w:val="21"/>
        </w:rPr>
        <w:outlineLvl w:val="1"/>
      </w:pPr>
      <w:r/>
      <w:bookmarkStart w:id="228" w:name="_Toc29722"/>
      <w:r/>
      <w:bookmarkStart w:id="229" w:name="_Toc11363"/>
      <w:r/>
      <w:bookmarkStart w:id="230" w:name="_Toc22175"/>
      <w:r>
        <w:rPr>
          <w:rFonts w:hint="eastAsia" w:hAnsi="宋体"/>
          <w:b/>
          <w:bCs/>
          <w:sz w:val="21"/>
        </w:rPr>
        <w:t xml:space="preserve">六、履约保证金</w:t>
      </w:r>
      <w:bookmarkEnd w:id="228"/>
      <w:r/>
      <w:bookmarkEnd w:id="229"/>
      <w:r/>
      <w:bookmarkEnd w:id="230"/>
      <w:r/>
      <w:r/>
    </w:p>
    <w:p>
      <w:pPr>
        <w:pStyle w:val="822"/>
        <w:ind w:firstLine="420"/>
        <w:spacing w:before="120" w:after="120" w:line="360" w:lineRule="auto"/>
        <w:rPr>
          <w:rFonts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822"/>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22"/>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22"/>
        <w:ind w:firstLine="420"/>
        <w:spacing w:before="120" w:after="120" w:line="360" w:lineRule="auto"/>
        <w:rPr>
          <w:rFonts w:hAnsi="宋体" w:cs="宋体"/>
          <w:sz w:val="21"/>
        </w:rPr>
      </w:pPr>
      <w:r/>
      <w:bookmarkStart w:id="231" w:name="_Toc22369"/>
      <w:r/>
      <w:bookmarkStart w:id="232" w:name="_Toc31202"/>
      <w:r>
        <w:rPr>
          <w:rFonts w:hint="eastAsia" w:hAnsi="宋体" w:cs="宋体"/>
          <w:sz w:val="21"/>
        </w:rPr>
        <w:t xml:space="preserve">6.4 履约保证金收取：</w:t>
      </w:r>
      <w:bookmarkEnd w:id="231"/>
      <w:r/>
      <w:bookmarkEnd w:id="232"/>
      <w:r>
        <w:rPr>
          <w:rFonts w:hint="eastAsia" w:hAnsi="宋体" w:cs="宋体"/>
          <w:sz w:val="21"/>
        </w:rPr>
        <w:t xml:space="preserve">本项目不收取履约保证金。</w:t>
      </w:r>
      <w:r/>
    </w:p>
    <w:p>
      <w:pPr>
        <w:pStyle w:val="822"/>
        <w:ind w:firstLine="422"/>
        <w:spacing w:before="120" w:after="120" w:line="360" w:lineRule="auto"/>
        <w:rPr>
          <w:rFonts w:hAnsi="宋体"/>
          <w:b/>
          <w:bCs/>
          <w:sz w:val="21"/>
        </w:rPr>
        <w:outlineLvl w:val="1"/>
      </w:pPr>
      <w:r/>
      <w:bookmarkStart w:id="233" w:name="_Toc17067"/>
      <w:r/>
      <w:bookmarkStart w:id="234" w:name="_Toc30274"/>
      <w:r/>
      <w:bookmarkStart w:id="235" w:name="_Toc15631"/>
      <w:r>
        <w:rPr>
          <w:rFonts w:hint="eastAsia" w:hAnsi="宋体"/>
          <w:b/>
          <w:bCs/>
          <w:sz w:val="21"/>
        </w:rPr>
        <w:t xml:space="preserve">七、转包或分包</w:t>
      </w:r>
      <w:bookmarkEnd w:id="233"/>
      <w:r/>
      <w:bookmarkEnd w:id="234"/>
      <w:r/>
      <w:bookmarkEnd w:id="235"/>
      <w:r/>
      <w:r/>
    </w:p>
    <w:p>
      <w:pPr>
        <w:pStyle w:val="822"/>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p>
    <w:p>
      <w:pPr>
        <w:pStyle w:val="822"/>
        <w:ind w:firstLine="420"/>
        <w:spacing w:before="120" w:after="120" w:line="360" w:lineRule="auto"/>
        <w:rPr>
          <w:rFonts w:hAnsi="宋体" w:cs="宋体"/>
          <w:sz w:val="21"/>
        </w:rPr>
      </w:pPr>
      <w:r/>
      <w:bookmarkStart w:id="236" w:name="_Toc13387"/>
      <w:r/>
      <w:bookmarkStart w:id="237" w:name="_Toc25704"/>
      <w:r>
        <w:rPr>
          <w:rFonts w:hint="eastAsia" w:hAnsi="宋体" w:cs="宋体"/>
          <w:sz w:val="21"/>
        </w:rPr>
        <w:t xml:space="preserve">7.2 除非得到甲方的书面同意，乙方不得部分分包给他人供应。</w:t>
      </w:r>
      <w:bookmarkEnd w:id="236"/>
      <w:r/>
      <w:bookmarkEnd w:id="237"/>
      <w:r/>
      <w:r/>
    </w:p>
    <w:p>
      <w:pPr>
        <w:pStyle w:val="822"/>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822"/>
        <w:ind w:firstLine="422"/>
        <w:spacing w:before="120" w:after="120" w:line="360" w:lineRule="auto"/>
        <w:rPr>
          <w:rFonts w:hAnsi="宋体"/>
          <w:b/>
          <w:bCs/>
          <w:sz w:val="21"/>
        </w:rPr>
        <w:outlineLvl w:val="1"/>
      </w:pPr>
      <w:r/>
      <w:bookmarkStart w:id="238" w:name="_Toc29620"/>
      <w:r/>
      <w:bookmarkStart w:id="239" w:name="_Toc2770"/>
      <w:r/>
      <w:bookmarkStart w:id="240" w:name="_Toc4197"/>
      <w:r>
        <w:rPr>
          <w:rFonts w:hint="eastAsia" w:hAnsi="宋体"/>
          <w:b/>
          <w:bCs/>
          <w:sz w:val="21"/>
        </w:rPr>
        <w:t xml:space="preserve">八、质保期</w:t>
      </w:r>
      <w:bookmarkEnd w:id="238"/>
      <w:r/>
      <w:bookmarkEnd w:id="239"/>
      <w:r/>
      <w:bookmarkEnd w:id="240"/>
      <w:r/>
      <w:r/>
    </w:p>
    <w:p>
      <w:pPr>
        <w:pStyle w:val="822"/>
        <w:ind w:firstLine="420"/>
        <w:spacing w:before="120" w:after="120" w:line="360" w:lineRule="auto"/>
        <w:rPr>
          <w:rFonts w:hAnsi="宋体" w:cs="宋体"/>
          <w:sz w:val="21"/>
        </w:rPr>
      </w:pPr>
      <w:r/>
      <w:bookmarkStart w:id="241" w:name="_Toc13554"/>
      <w:r/>
      <w:bookmarkStart w:id="242" w:name="_Toc18134"/>
      <w:r>
        <w:rPr>
          <w:rFonts w:hint="eastAsia" w:hAnsi="宋体" w:cs="宋体"/>
          <w:sz w:val="21"/>
        </w:rPr>
        <w:t xml:space="preserve">8.1 质保期      年。（自交货验收合格之日起计）</w:t>
      </w:r>
      <w:bookmarkEnd w:id="241"/>
      <w:r/>
      <w:bookmarkEnd w:id="242"/>
      <w:r/>
      <w:r/>
    </w:p>
    <w:p>
      <w:pPr>
        <w:pStyle w:val="822"/>
        <w:ind w:firstLine="422"/>
        <w:spacing w:before="120" w:after="120" w:line="360" w:lineRule="auto"/>
        <w:rPr>
          <w:rFonts w:hAnsi="宋体"/>
          <w:b/>
          <w:bCs/>
          <w:sz w:val="21"/>
        </w:rPr>
        <w:outlineLvl w:val="1"/>
      </w:pPr>
      <w:r/>
      <w:bookmarkStart w:id="243" w:name="_Toc27195"/>
      <w:r/>
      <w:bookmarkStart w:id="244" w:name="_Toc13816"/>
      <w:r/>
      <w:bookmarkStart w:id="245" w:name="_Toc20137"/>
      <w:r>
        <w:rPr>
          <w:rFonts w:hint="eastAsia" w:hAnsi="宋体"/>
          <w:b/>
          <w:bCs/>
          <w:sz w:val="21"/>
        </w:rPr>
        <w:t xml:space="preserve">九、交付期、交付方式及交付地点</w:t>
      </w:r>
      <w:bookmarkEnd w:id="243"/>
      <w:r/>
      <w:bookmarkEnd w:id="244"/>
      <w:r/>
      <w:bookmarkEnd w:id="245"/>
      <w:r/>
      <w:r/>
    </w:p>
    <w:p>
      <w:pPr>
        <w:pStyle w:val="822"/>
        <w:ind w:firstLine="420"/>
        <w:spacing w:before="120" w:after="120" w:line="360" w:lineRule="auto"/>
        <w:rPr>
          <w:rFonts w:hAnsi="宋体"/>
          <w:sz w:val="21"/>
        </w:rPr>
      </w:pPr>
      <w:r>
        <w:rPr>
          <w:rFonts w:hint="eastAsia" w:hAnsi="宋体"/>
          <w:sz w:val="21"/>
        </w:rPr>
        <w:t xml:space="preserve">9.1 交付期：_________</w:t>
      </w:r>
      <w:r/>
    </w:p>
    <w:p>
      <w:pPr>
        <w:pStyle w:val="822"/>
        <w:ind w:firstLine="420"/>
        <w:spacing w:before="120" w:after="120" w:line="360" w:lineRule="auto"/>
        <w:rPr>
          <w:rFonts w:hAnsi="宋体"/>
          <w:sz w:val="21"/>
        </w:rPr>
      </w:pPr>
      <w:r>
        <w:rPr>
          <w:rFonts w:hint="eastAsia" w:hAnsi="宋体"/>
          <w:sz w:val="21"/>
        </w:rPr>
        <w:t xml:space="preserve">9.2 交付方式：_________</w:t>
      </w:r>
      <w:r/>
    </w:p>
    <w:p>
      <w:pPr>
        <w:pStyle w:val="822"/>
        <w:ind w:firstLine="420"/>
        <w:spacing w:before="120" w:after="120" w:line="360" w:lineRule="auto"/>
        <w:rPr>
          <w:rFonts w:hAnsi="宋体"/>
          <w:sz w:val="21"/>
        </w:rPr>
      </w:pPr>
      <w:r>
        <w:rPr>
          <w:rFonts w:hint="eastAsia" w:hAnsi="宋体"/>
          <w:sz w:val="21"/>
        </w:rPr>
        <w:t xml:space="preserve">9.3 交付地点：_________</w:t>
      </w:r>
      <w:r/>
    </w:p>
    <w:p>
      <w:pPr>
        <w:pStyle w:val="822"/>
        <w:ind w:firstLine="422"/>
        <w:spacing w:before="120" w:after="120" w:line="360" w:lineRule="auto"/>
        <w:rPr>
          <w:rFonts w:hAnsi="宋体"/>
          <w:b/>
          <w:bCs/>
          <w:sz w:val="21"/>
        </w:rPr>
        <w:outlineLvl w:val="1"/>
      </w:pPr>
      <w:r/>
      <w:bookmarkStart w:id="246" w:name="_Toc7176"/>
      <w:r/>
      <w:bookmarkStart w:id="247" w:name="_Toc30481"/>
      <w:r/>
      <w:bookmarkStart w:id="248" w:name="_Toc10421"/>
      <w:r>
        <w:rPr>
          <w:rFonts w:hint="eastAsia" w:hAnsi="宋体"/>
          <w:b/>
          <w:bCs/>
          <w:sz w:val="21"/>
        </w:rPr>
        <w:t xml:space="preserve">十、货款支付</w:t>
      </w:r>
      <w:bookmarkEnd w:id="246"/>
      <w:r/>
      <w:bookmarkEnd w:id="247"/>
      <w:r/>
      <w:bookmarkEnd w:id="248"/>
      <w:r/>
      <w:r/>
    </w:p>
    <w:p>
      <w:pPr>
        <w:pStyle w:val="822"/>
        <w:ind w:firstLine="420"/>
        <w:spacing w:before="120" w:after="120" w:line="360" w:lineRule="auto"/>
        <w:rPr>
          <w:rFonts w:hAnsi="宋体" w:cs="宋体"/>
          <w:sz w:val="21"/>
        </w:rPr>
      </w:pPr>
      <w:r/>
      <w:bookmarkStart w:id="249" w:name="_Toc18928"/>
      <w:r/>
      <w:bookmarkStart w:id="250" w:name="_Toc5806"/>
      <w:r>
        <w:rPr>
          <w:rFonts w:hint="eastAsia" w:hAnsi="宋体" w:cs="宋体"/>
          <w:sz w:val="21"/>
        </w:rPr>
        <w:t xml:space="preserve">10.1 本合同项下所有款项均以人民币支付。</w:t>
      </w:r>
      <w:bookmarkEnd w:id="249"/>
      <w:r/>
      <w:bookmarkEnd w:id="250"/>
      <w:r>
        <w:rPr>
          <w:rFonts w:hint="eastAsia" w:hAnsi="宋体" w:cs="宋体"/>
          <w:sz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p>
    <w:p>
      <w:pPr>
        <w:pStyle w:val="822"/>
        <w:ind w:firstLine="420"/>
        <w:spacing w:line="360" w:lineRule="auto"/>
        <w:rPr>
          <w:rFonts w:hAnsi="宋体" w:cs="宋体"/>
          <w:color w:val="000000"/>
          <w:sz w:val="21"/>
        </w:rPr>
      </w:pPr>
      <w:r>
        <w:rPr>
          <w:rFonts w:hint="eastAsia" w:hAnsi="宋体" w:cs="宋体"/>
          <w:sz w:val="21"/>
        </w:rPr>
        <w:t xml:space="preserve">10.3</w:t>
      </w:r>
      <w:r>
        <w:rPr>
          <w:rFonts w:hint="eastAsia" w:hAnsi="宋体" w:cs="宋体"/>
          <w:color w:val="000000"/>
          <w:sz w:val="21"/>
        </w:rPr>
        <w:t xml:space="preserve"> 甲方付款方式：乙方完成50%工作量后，经甲方审核后，在年中或年终按乙方实际完成工作量的70%支付合同款；乙方按合同要求交付所有审核报告，经甲方审核后，乙方开具发票，甲方在年中或年终支付乙方至合同金额的80%；工程结算审核工作完成并经甲方审核后，甲方支付乙方剩余合同款，其中工程结算审核结果较初步核对结果核减率不超过2.5%的，甲方支付所有剩余合同款；核减率超过2.5%的，扣除合同款10%后支付，核减率超过5%的，扣除全部剩余合同款。</w:t>
      </w:r>
      <w:r/>
    </w:p>
    <w:p>
      <w:pPr>
        <w:pStyle w:val="822"/>
        <w:ind w:firstLine="422"/>
        <w:spacing w:before="120" w:after="120" w:line="360" w:lineRule="auto"/>
        <w:rPr>
          <w:rFonts w:hAnsi="宋体"/>
          <w:b/>
          <w:bCs/>
          <w:sz w:val="21"/>
        </w:rPr>
        <w:outlineLvl w:val="1"/>
      </w:pPr>
      <w:r/>
      <w:bookmarkStart w:id="251" w:name="_Toc17239"/>
      <w:r/>
      <w:bookmarkStart w:id="252" w:name="_Toc2527"/>
      <w:r/>
      <w:bookmarkStart w:id="253" w:name="_Toc1267"/>
      <w:r>
        <w:rPr>
          <w:rFonts w:hint="eastAsia" w:hAnsi="宋体"/>
          <w:b/>
          <w:bCs/>
          <w:sz w:val="21"/>
        </w:rPr>
        <w:t xml:space="preserve">十一、税费</w:t>
      </w:r>
      <w:bookmarkEnd w:id="251"/>
      <w:r/>
      <w:bookmarkEnd w:id="252"/>
      <w:r/>
      <w:bookmarkEnd w:id="253"/>
      <w:r/>
      <w:r/>
    </w:p>
    <w:p>
      <w:pPr>
        <w:pStyle w:val="822"/>
        <w:ind w:firstLine="420"/>
        <w:spacing w:before="120" w:after="120" w:line="360" w:lineRule="auto"/>
        <w:rPr>
          <w:rFonts w:hAnsi="宋体" w:cs="宋体"/>
          <w:sz w:val="21"/>
        </w:rPr>
      </w:pPr>
      <w:r/>
      <w:bookmarkStart w:id="254" w:name="_Toc22730"/>
      <w:r/>
      <w:bookmarkStart w:id="255" w:name="_Toc29278"/>
      <w:r>
        <w:rPr>
          <w:rFonts w:hint="eastAsia" w:hAnsi="宋体" w:cs="宋体"/>
          <w:sz w:val="21"/>
        </w:rPr>
        <w:t xml:space="preserve">11.1本合同执行中相关的一切税费均由乙方负担。</w:t>
      </w:r>
      <w:bookmarkEnd w:id="254"/>
      <w:r/>
      <w:bookmarkEnd w:id="255"/>
      <w:r/>
      <w:r/>
    </w:p>
    <w:p>
      <w:pPr>
        <w:pStyle w:val="822"/>
        <w:ind w:firstLine="422"/>
        <w:spacing w:before="120" w:after="120" w:line="360" w:lineRule="auto"/>
        <w:rPr>
          <w:rFonts w:hAnsi="宋体"/>
          <w:b/>
          <w:bCs/>
          <w:sz w:val="21"/>
        </w:rPr>
        <w:outlineLvl w:val="1"/>
      </w:pPr>
      <w:r/>
      <w:bookmarkStart w:id="256" w:name="_Toc21460"/>
      <w:r/>
      <w:bookmarkStart w:id="257" w:name="_Toc2602"/>
      <w:r/>
      <w:bookmarkStart w:id="258" w:name="_Toc2199"/>
      <w:r>
        <w:rPr>
          <w:rFonts w:hint="eastAsia" w:hAnsi="宋体"/>
          <w:b/>
          <w:bCs/>
          <w:sz w:val="21"/>
        </w:rPr>
        <w:t xml:space="preserve">十二、质量保证及售后服务</w:t>
      </w:r>
      <w:bookmarkEnd w:id="256"/>
      <w:r/>
      <w:bookmarkEnd w:id="257"/>
      <w:r/>
      <w:bookmarkEnd w:id="258"/>
      <w:r/>
      <w:r/>
    </w:p>
    <w:p>
      <w:pPr>
        <w:pStyle w:val="822"/>
        <w:ind w:firstLine="420"/>
        <w:spacing w:before="120" w:after="120" w:line="360" w:lineRule="auto"/>
        <w:rPr>
          <w:rFonts w:hAnsi="宋体"/>
          <w:sz w:val="21"/>
        </w:rPr>
      </w:pPr>
      <w:r>
        <w:rPr>
          <w:rFonts w:hint="eastAsia" w:hAnsi="宋体"/>
          <w:sz w:val="21"/>
        </w:rPr>
        <w:t xml:space="preserve">12.1 乙方应按招标文件规定的货物及服务性能、技术要求、质量标准向甲方提供。</w:t>
      </w:r>
      <w:r/>
    </w:p>
    <w:p>
      <w:pPr>
        <w:pStyle w:val="822"/>
        <w:ind w:firstLine="420"/>
        <w:spacing w:before="120" w:after="120" w:line="360" w:lineRule="auto"/>
        <w:rPr>
          <w:rFonts w:hAnsi="宋体"/>
          <w:sz w:val="21"/>
        </w:rPr>
      </w:pPr>
      <w:r>
        <w:rPr>
          <w:rFonts w:hint="eastAsia" w:hAnsi="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822"/>
        <w:ind w:firstLine="420"/>
        <w:spacing w:before="120" w:after="120" w:line="360" w:lineRule="auto"/>
        <w:rPr>
          <w:rFonts w:hAnsi="宋体"/>
          <w:sz w:val="21"/>
        </w:rPr>
      </w:pPr>
      <w:r>
        <w:rPr>
          <w:rFonts w:hint="eastAsia" w:hAnsi="宋体"/>
          <w:sz w:val="21"/>
        </w:rPr>
        <w:t xml:space="preserve">⑴更换：由乙方承担所发生的全部费用。</w:t>
      </w:r>
      <w:r/>
    </w:p>
    <w:p>
      <w:pPr>
        <w:pStyle w:val="822"/>
        <w:ind w:firstLine="420"/>
        <w:spacing w:before="120" w:after="120" w:line="360" w:lineRule="auto"/>
        <w:rPr>
          <w:rFonts w:hAnsi="宋体"/>
          <w:sz w:val="21"/>
        </w:rPr>
      </w:pPr>
      <w:r>
        <w:rPr>
          <w:rFonts w:hint="eastAsia" w:hAnsi="宋体"/>
          <w:sz w:val="21"/>
        </w:rPr>
        <w:t xml:space="preserve">⑵贬值处理：由甲乙双方合议定价。</w:t>
      </w:r>
      <w:r/>
    </w:p>
    <w:p>
      <w:pPr>
        <w:pStyle w:val="822"/>
        <w:ind w:firstLine="420"/>
        <w:spacing w:before="120" w:after="120" w:line="360" w:lineRule="auto"/>
        <w:rPr>
          <w:rFonts w:hAnsi="宋体"/>
          <w:sz w:val="21"/>
        </w:rPr>
      </w:pPr>
      <w:r>
        <w:rPr>
          <w:rFonts w:hint="eastAsia" w:hAnsi="宋体"/>
          <w:sz w:val="21"/>
        </w:rPr>
        <w:t xml:space="preserve">⑶退还处理：乙方应退还甲方支付的合同款，同时应承担该货物及服务的直接费用（运输、保险、检验、款项利息及银行手续费等）。</w:t>
      </w:r>
      <w:r/>
    </w:p>
    <w:p>
      <w:pPr>
        <w:pStyle w:val="822"/>
        <w:ind w:firstLine="420"/>
        <w:spacing w:before="120" w:after="120" w:line="360" w:lineRule="auto"/>
        <w:rPr>
          <w:rFonts w:hAnsi="宋体"/>
          <w:sz w:val="21"/>
        </w:rPr>
      </w:pPr>
      <w:r>
        <w:rPr>
          <w:rFonts w:hint="eastAsia" w:hAnsi="宋体"/>
          <w:sz w:val="21"/>
        </w:rPr>
        <w:t xml:space="preserve">12.3 如在使用过程中发生质量问题，乙方在接到甲方通知后在______小时内到达甲方现场。</w:t>
      </w:r>
      <w:r/>
    </w:p>
    <w:p>
      <w:pPr>
        <w:pStyle w:val="822"/>
        <w:ind w:firstLine="420"/>
        <w:spacing w:before="120" w:after="120" w:line="360" w:lineRule="auto"/>
        <w:rPr>
          <w:rFonts w:hAnsi="宋体"/>
          <w:sz w:val="21"/>
        </w:rPr>
      </w:pPr>
      <w:r>
        <w:rPr>
          <w:rFonts w:hint="eastAsia" w:hAnsi="宋体"/>
          <w:sz w:val="21"/>
        </w:rPr>
        <w:t xml:space="preserve">12.4 在质保期内，乙方应对货物及服务出现的质量及安全问题负责处理解决并承担一切费用。</w:t>
      </w:r>
      <w:r/>
    </w:p>
    <w:p>
      <w:pPr>
        <w:pStyle w:val="822"/>
        <w:ind w:firstLine="420"/>
        <w:spacing w:before="120" w:after="120" w:line="360" w:lineRule="auto"/>
        <w:rPr>
          <w:rFonts w:hAnsi="宋体"/>
          <w:sz w:val="21"/>
        </w:rPr>
      </w:pPr>
      <w:r>
        <w:rPr>
          <w:rFonts w:hint="eastAsia" w:hAnsi="宋体"/>
          <w:sz w:val="21"/>
        </w:rPr>
        <w:t xml:space="preserve">12.5上述的货物及服务免费保修期为 </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p>
    <w:p>
      <w:pPr>
        <w:pStyle w:val="822"/>
        <w:ind w:firstLine="422"/>
        <w:spacing w:before="120" w:after="120" w:line="360" w:lineRule="auto"/>
        <w:rPr>
          <w:rFonts w:hAnsi="宋体"/>
          <w:b/>
          <w:bCs/>
          <w:sz w:val="21"/>
        </w:rPr>
        <w:outlineLvl w:val="1"/>
      </w:pPr>
      <w:r/>
      <w:bookmarkStart w:id="259" w:name="_Toc12377"/>
      <w:r/>
      <w:bookmarkStart w:id="260" w:name="_Toc31099"/>
      <w:r/>
      <w:bookmarkStart w:id="261" w:name="_Toc8557"/>
      <w:r>
        <w:rPr>
          <w:rFonts w:hint="eastAsia" w:hAnsi="宋体"/>
          <w:b/>
          <w:bCs/>
          <w:sz w:val="21"/>
        </w:rPr>
        <w:t xml:space="preserve">十三、调试和验收</w:t>
      </w:r>
      <w:bookmarkEnd w:id="259"/>
      <w:r/>
      <w:bookmarkEnd w:id="260"/>
      <w:r/>
      <w:bookmarkEnd w:id="261"/>
      <w:r/>
      <w:r/>
    </w:p>
    <w:p>
      <w:pPr>
        <w:pStyle w:val="822"/>
        <w:ind w:firstLine="420"/>
        <w:spacing w:before="120" w:after="120" w:line="360" w:lineRule="auto"/>
        <w:rPr>
          <w:rFonts w:hAnsi="宋体"/>
          <w:sz w:val="21"/>
        </w:rPr>
      </w:pPr>
      <w:r>
        <w:rPr>
          <w:rFonts w:hint="eastAsia" w:hAnsi="宋体"/>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22"/>
        <w:ind w:firstLine="420"/>
        <w:spacing w:before="120" w:after="120" w:line="360" w:lineRule="auto"/>
        <w:rPr>
          <w:rFonts w:hAnsi="宋体"/>
          <w:sz w:val="21"/>
        </w:rPr>
      </w:pPr>
      <w:r>
        <w:rPr>
          <w:rFonts w:hint="eastAsia" w:hAnsi="宋体"/>
          <w:sz w:val="21"/>
        </w:rPr>
        <w:t xml:space="preserve">13.2 乙方交付前应对货物及服务作出全面检查和对验收文件进行整理，并列出清单，作为甲方交付验收和使用的技术条件依据，检验的结果应随货物及服务交甲方。</w:t>
      </w:r>
      <w:r/>
    </w:p>
    <w:p>
      <w:pPr>
        <w:pStyle w:val="822"/>
        <w:ind w:firstLine="420"/>
        <w:spacing w:before="120" w:after="120" w:line="360" w:lineRule="auto"/>
        <w:rPr>
          <w:rFonts w:hAnsi="宋体"/>
          <w:sz w:val="21"/>
        </w:rPr>
      </w:pPr>
      <w:r>
        <w:rPr>
          <w:rFonts w:hint="eastAsia" w:hAnsi="宋体"/>
          <w:sz w:val="21"/>
        </w:rPr>
        <w:t xml:space="preserve">13.3 甲方对乙方提供的货物及服务在使用前进行调试时，乙方需负责安装并培训甲方的使用操作人员，并协助甲方一起调试，直到符合技术要求，甲方才做最终验收。</w:t>
      </w:r>
      <w:r/>
    </w:p>
    <w:p>
      <w:pPr>
        <w:pStyle w:val="822"/>
        <w:ind w:firstLine="420"/>
        <w:spacing w:before="120" w:after="120" w:line="360" w:lineRule="auto"/>
        <w:rPr>
          <w:rFonts w:hAnsi="宋体"/>
          <w:sz w:val="21"/>
        </w:rPr>
      </w:pPr>
      <w:r>
        <w:rPr>
          <w:rFonts w:hint="eastAsia" w:hAnsi="宋体"/>
          <w:sz w:val="21"/>
        </w:rPr>
        <w:t xml:space="preserve">13.4 对技术复杂的货物及服务，甲方可请国家认可的专业检测机构参与初步验收及最终验收，并由其出具质量检测报告。</w:t>
      </w:r>
      <w:r/>
    </w:p>
    <w:p>
      <w:pPr>
        <w:pStyle w:val="822"/>
        <w:ind w:firstLine="420"/>
        <w:spacing w:before="120" w:after="120" w:line="360" w:lineRule="auto"/>
        <w:rPr>
          <w:rFonts w:hAnsi="宋体"/>
          <w:sz w:val="21"/>
        </w:rPr>
      </w:pPr>
      <w:r>
        <w:rPr>
          <w:rFonts w:hint="eastAsia" w:hAnsi="宋体"/>
          <w:sz w:val="21"/>
        </w:rPr>
        <w:t xml:space="preserve">13.5 验收时乙方必须在现场，验收完毕后作出验收结果报告；验收费用由甲乙双方协商解决。</w:t>
      </w:r>
      <w:r/>
    </w:p>
    <w:p>
      <w:pPr>
        <w:pStyle w:val="822"/>
        <w:ind w:firstLine="422"/>
        <w:spacing w:before="120" w:after="120" w:line="360" w:lineRule="auto"/>
        <w:rPr>
          <w:rFonts w:hAnsi="宋体"/>
          <w:b/>
          <w:bCs/>
          <w:sz w:val="21"/>
        </w:rPr>
        <w:outlineLvl w:val="1"/>
      </w:pPr>
      <w:r/>
      <w:bookmarkStart w:id="262" w:name="_Toc1048"/>
      <w:r/>
      <w:bookmarkStart w:id="263" w:name="_Toc4291"/>
      <w:r/>
      <w:bookmarkStart w:id="264" w:name="_Toc13350"/>
      <w:r>
        <w:rPr>
          <w:rFonts w:hint="eastAsia" w:hAnsi="宋体"/>
          <w:b/>
          <w:bCs/>
          <w:sz w:val="21"/>
        </w:rPr>
        <w:t xml:space="preserve">十四、货物及服务包装、发运及运输</w:t>
      </w:r>
      <w:bookmarkEnd w:id="262"/>
      <w:r/>
      <w:bookmarkEnd w:id="263"/>
      <w:r/>
      <w:bookmarkEnd w:id="264"/>
      <w:r/>
      <w:r/>
    </w:p>
    <w:p>
      <w:pPr>
        <w:pStyle w:val="822"/>
        <w:ind w:firstLine="420"/>
        <w:spacing w:before="120" w:after="120" w:line="360" w:lineRule="auto"/>
        <w:rPr>
          <w:rFonts w:hAnsi="宋体"/>
          <w:sz w:val="21"/>
        </w:rPr>
      </w:pPr>
      <w:r>
        <w:rPr>
          <w:rFonts w:hint="eastAsia" w:hAnsi="宋体"/>
          <w:sz w:val="21"/>
        </w:rPr>
        <w:t xml:space="preserve">14.1 乙方应在货物及服务发运前对其进行满足运输距离、防潮、防震、防锈和防破损装卸等要求包装，以保证货物及服务安全运达甲方指定地点。</w:t>
      </w:r>
      <w:r/>
    </w:p>
    <w:p>
      <w:pPr>
        <w:pStyle w:val="822"/>
        <w:ind w:firstLine="420"/>
        <w:spacing w:before="120" w:after="120" w:line="360" w:lineRule="auto"/>
        <w:rPr>
          <w:rFonts w:hAnsi="宋体"/>
          <w:sz w:val="21"/>
        </w:rPr>
      </w:pPr>
      <w:r>
        <w:rPr>
          <w:rFonts w:hint="eastAsia" w:hAnsi="宋体"/>
          <w:sz w:val="21"/>
        </w:rPr>
        <w:t xml:space="preserve">14.2 使用说明书、质量检验证明书、随配附件和工具以及清单一并交付甲方。</w:t>
      </w:r>
      <w:r/>
    </w:p>
    <w:p>
      <w:pPr>
        <w:pStyle w:val="822"/>
        <w:ind w:firstLine="420"/>
        <w:spacing w:before="120" w:after="120" w:line="360" w:lineRule="auto"/>
        <w:rPr>
          <w:rFonts w:hAnsi="宋体"/>
          <w:sz w:val="21"/>
        </w:rPr>
      </w:pPr>
      <w:r>
        <w:rPr>
          <w:rFonts w:hint="eastAsia" w:hAnsi="宋体"/>
          <w:sz w:val="21"/>
        </w:rPr>
        <w:t xml:space="preserve">14.3 乙方在货物及服务发运手续办理完毕后24小时内或交付到甲方48小时前通知甲方，以准备接受交付。</w:t>
      </w:r>
      <w:r/>
    </w:p>
    <w:p>
      <w:pPr>
        <w:pStyle w:val="822"/>
        <w:ind w:firstLine="420"/>
        <w:spacing w:before="120" w:after="120" w:line="360" w:lineRule="auto"/>
        <w:rPr>
          <w:rFonts w:hAnsi="宋体" w:cs="宋体"/>
          <w:sz w:val="21"/>
        </w:rPr>
      </w:pPr>
      <w:r/>
      <w:bookmarkStart w:id="265" w:name="_Toc8829"/>
      <w:r/>
      <w:bookmarkStart w:id="266" w:name="_Toc25491"/>
      <w:r>
        <w:rPr>
          <w:rFonts w:hint="eastAsia" w:hAnsi="宋体" w:cs="宋体"/>
          <w:sz w:val="21"/>
        </w:rPr>
        <w:t xml:space="preserve">14.4 货物在交付甲方前发生的风险均由乙方负责。</w:t>
      </w:r>
      <w:bookmarkEnd w:id="265"/>
      <w:r/>
      <w:bookmarkEnd w:id="266"/>
      <w:r/>
      <w:r/>
    </w:p>
    <w:p>
      <w:pPr>
        <w:pStyle w:val="822"/>
        <w:ind w:firstLine="420"/>
        <w:spacing w:before="120" w:after="120" w:line="360" w:lineRule="auto"/>
        <w:rPr>
          <w:rFonts w:hAnsi="宋体"/>
          <w:sz w:val="21"/>
        </w:rPr>
      </w:pPr>
      <w:r>
        <w:rPr>
          <w:rFonts w:hint="eastAsia" w:hAnsi="宋体"/>
          <w:sz w:val="21"/>
        </w:rPr>
        <w:t xml:space="preserve">14.5 货物及服务在规定的交付期限内由乙方送达甲方指定的地点视为交付，乙方同时需通知甲方货物及服务已送达。</w:t>
      </w:r>
      <w:r/>
    </w:p>
    <w:p>
      <w:pPr>
        <w:pStyle w:val="822"/>
        <w:ind w:firstLine="422"/>
        <w:spacing w:before="120" w:after="120" w:line="360" w:lineRule="auto"/>
        <w:rPr>
          <w:rFonts w:hAnsi="宋体"/>
          <w:b/>
          <w:bCs/>
          <w:sz w:val="21"/>
        </w:rPr>
        <w:outlineLvl w:val="1"/>
      </w:pPr>
      <w:r/>
      <w:bookmarkStart w:id="267" w:name="_Toc2094"/>
      <w:r/>
      <w:bookmarkStart w:id="268" w:name="_Toc26976"/>
      <w:r/>
      <w:bookmarkStart w:id="269" w:name="_Toc6713"/>
      <w:r>
        <w:rPr>
          <w:rFonts w:hint="eastAsia" w:hAnsi="宋体"/>
          <w:b/>
          <w:bCs/>
          <w:sz w:val="21"/>
        </w:rPr>
        <w:t xml:space="preserve">十五、违约责任</w:t>
      </w:r>
      <w:bookmarkEnd w:id="267"/>
      <w:r/>
      <w:bookmarkEnd w:id="268"/>
      <w:r/>
      <w:bookmarkEnd w:id="269"/>
      <w:r/>
      <w:r/>
    </w:p>
    <w:p>
      <w:pPr>
        <w:pStyle w:val="822"/>
        <w:ind w:firstLine="420"/>
        <w:spacing w:before="120" w:after="120" w:line="360" w:lineRule="auto"/>
        <w:rPr>
          <w:rFonts w:hAnsi="宋体"/>
          <w:sz w:val="21"/>
        </w:rPr>
      </w:pPr>
      <w:r>
        <w:rPr>
          <w:rFonts w:hint="eastAsia" w:hAnsi="宋体"/>
          <w:sz w:val="21"/>
        </w:rPr>
        <w:t xml:space="preserve">15.1 甲方无正当理由拒收货物及服务的，甲方向乙方偿付拒收款项总值的百分之五违约金。</w:t>
      </w:r>
      <w:r/>
    </w:p>
    <w:p>
      <w:pPr>
        <w:pStyle w:val="822"/>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822"/>
        <w:ind w:firstLine="420"/>
        <w:spacing w:before="120" w:after="120" w:line="360" w:lineRule="auto"/>
        <w:rPr>
          <w:rFonts w:hAnsi="宋体"/>
          <w:sz w:val="21"/>
        </w:rPr>
      </w:pPr>
      <w:r>
        <w:rPr>
          <w:rFonts w:hint="eastAsia" w:hAnsi="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22"/>
        <w:ind w:firstLine="420"/>
        <w:spacing w:before="120" w:after="120" w:line="360" w:lineRule="auto"/>
        <w:rPr>
          <w:rFonts w:hAnsi="宋体"/>
          <w:sz w:val="21"/>
        </w:rPr>
      </w:pPr>
      <w:r>
        <w:rPr>
          <w:rFonts w:hint="eastAsia" w:hAnsi="宋体"/>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22"/>
        <w:ind w:firstLine="422"/>
        <w:spacing w:before="120" w:after="120" w:line="360" w:lineRule="auto"/>
        <w:rPr>
          <w:rFonts w:hAnsi="宋体"/>
          <w:b/>
          <w:bCs/>
          <w:sz w:val="21"/>
        </w:rPr>
        <w:outlineLvl w:val="1"/>
      </w:pPr>
      <w:r/>
      <w:bookmarkStart w:id="270" w:name="_Toc31708"/>
      <w:r/>
      <w:bookmarkStart w:id="271" w:name="_Toc6061"/>
      <w:r/>
      <w:bookmarkStart w:id="272" w:name="_Toc3759"/>
      <w:r>
        <w:rPr>
          <w:rFonts w:hint="eastAsia" w:hAnsi="宋体"/>
          <w:b/>
          <w:bCs/>
          <w:sz w:val="21"/>
        </w:rPr>
        <w:t xml:space="preserve">十六、不可抗力事件处理</w:t>
      </w:r>
      <w:bookmarkEnd w:id="270"/>
      <w:r/>
      <w:bookmarkEnd w:id="271"/>
      <w:r/>
      <w:bookmarkEnd w:id="272"/>
      <w:r/>
      <w:r/>
    </w:p>
    <w:p>
      <w:pPr>
        <w:pStyle w:val="822"/>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822"/>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822"/>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822"/>
        <w:ind w:firstLine="422"/>
        <w:spacing w:before="120" w:after="120" w:line="360" w:lineRule="auto"/>
        <w:rPr>
          <w:rFonts w:hAnsi="宋体"/>
          <w:b/>
          <w:bCs/>
          <w:sz w:val="21"/>
        </w:rPr>
        <w:outlineLvl w:val="1"/>
      </w:pPr>
      <w:r/>
      <w:bookmarkStart w:id="273" w:name="_Toc22801"/>
      <w:r/>
      <w:bookmarkStart w:id="274" w:name="_Toc13294"/>
      <w:r/>
      <w:bookmarkStart w:id="275" w:name="_Toc25035"/>
      <w:r>
        <w:rPr>
          <w:rFonts w:hint="eastAsia" w:hAnsi="宋体"/>
          <w:b/>
          <w:bCs/>
          <w:sz w:val="21"/>
        </w:rPr>
        <w:t xml:space="preserve">十七、诉讼</w:t>
      </w:r>
      <w:bookmarkEnd w:id="273"/>
      <w:r/>
      <w:bookmarkEnd w:id="274"/>
      <w:r/>
      <w:bookmarkEnd w:id="275"/>
      <w:r/>
      <w:r/>
    </w:p>
    <w:p>
      <w:pPr>
        <w:pStyle w:val="822"/>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双方在执行合同中所发生的一切争议，应通过协商解决。如协商不成，可向合同签订地法院起诉，合同签订地在此约定为高邮市。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822"/>
        <w:ind w:firstLine="422"/>
        <w:spacing w:before="120" w:after="120" w:line="360" w:lineRule="auto"/>
        <w:rPr>
          <w:rFonts w:hAnsi="宋体"/>
          <w:b/>
          <w:bCs/>
          <w:sz w:val="21"/>
        </w:rPr>
        <w:outlineLvl w:val="1"/>
      </w:pPr>
      <w:r/>
      <w:bookmarkStart w:id="276" w:name="_Toc19595"/>
      <w:r/>
      <w:bookmarkStart w:id="277" w:name="_Toc12423"/>
      <w:r/>
      <w:bookmarkStart w:id="278" w:name="_Toc30435"/>
      <w:r>
        <w:rPr>
          <w:rFonts w:hint="eastAsia" w:hAnsi="宋体"/>
          <w:b/>
          <w:bCs/>
          <w:sz w:val="21"/>
        </w:rPr>
        <w:t xml:space="preserve">十九、合同生效及其它</w:t>
      </w:r>
      <w:bookmarkEnd w:id="276"/>
      <w:r/>
      <w:bookmarkEnd w:id="277"/>
      <w:r/>
      <w:bookmarkEnd w:id="278"/>
      <w:r/>
      <w:bookmarkEnd w:id="210"/>
      <w:r/>
      <w:r/>
    </w:p>
    <w:p>
      <w:pPr>
        <w:pStyle w:val="822"/>
        <w:ind w:firstLine="420"/>
        <w:spacing w:before="120" w:after="120" w:line="360" w:lineRule="auto"/>
        <w:rPr>
          <w:rFonts w:hint="eastAsia" w:ascii="宋体" w:hAnsi="宋体" w:eastAsia="宋体" w:cs="Times New Roman"/>
          <w:sz w:val="21"/>
          <w:szCs w:val="21"/>
          <w:lang w:val="en-US" w:eastAsia="zh-CN" w:bidi="ar-SA"/>
        </w:rPr>
      </w:pPr>
      <w:r/>
      <w:bookmarkStart w:id="279" w:name="_Toc15511"/>
      <w:r/>
      <w:bookmarkStart w:id="280" w:name="_Toc9901"/>
      <w:r/>
      <w:bookmarkStart w:id="281" w:name="_Toc27373"/>
      <w:r/>
      <w:bookmarkStart w:id="282" w:name="_Toc150173460"/>
      <w:r>
        <w:rPr>
          <w:rFonts w:hint="eastAsia" w:ascii="宋体" w:hAnsi="宋体" w:eastAsia="宋体" w:cs="Times New Roman"/>
          <w:sz w:val="21"/>
          <w:szCs w:val="21"/>
          <w:lang w:val="en-US" w:eastAsia="zh-CN" w:bidi="ar-SA"/>
        </w:rPr>
        <w:t xml:space="preserve">19.1 合同经双方法定代表人签章并加盖单位公章，并经扬州华泽工程项目管理咨询有限公司见证盖章后生效。</w:t>
      </w:r>
      <w:r/>
    </w:p>
    <w:p>
      <w:pPr>
        <w:pStyle w:val="822"/>
        <w:ind w:firstLine="420"/>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19.2 本合同未尽事宜，遵照《民法典》有关条文执行。</w:t>
      </w:r>
      <w:r/>
    </w:p>
    <w:p>
      <w:pPr>
        <w:pStyle w:val="822"/>
        <w:ind w:firstLine="420"/>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19.3 本合同正本一式四份，具有同等法律效力，甲方、乙方、见证方及财政监管部门各执一份。  </w:t>
      </w:r>
      <w:r/>
    </w:p>
    <w:tbl>
      <w:tblPr>
        <w:tblStyle w:val="813"/>
        <w:tblW w:w="9110" w:type="dxa"/>
        <w:tblInd w:w="27" w:type="dxa"/>
        <w:tblLayout w:type="fixed"/>
        <w:tblCellMar>
          <w:left w:w="108" w:type="dxa"/>
          <w:top w:w="0" w:type="dxa"/>
          <w:right w:w="108" w:type="dxa"/>
          <w:bottom w:w="0" w:type="dxa"/>
        </w:tblCellMar>
        <w:tblLook w:val="04A0" w:firstRow="1" w:lastRow="0" w:firstColumn="1" w:lastColumn="0" w:noHBand="0" w:noVBand="1"/>
      </w:tblPr>
      <w:tblGrid>
        <w:gridCol w:w="4927"/>
        <w:gridCol w:w="4183"/>
      </w:tblGrid>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822"/>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甲方：</w:t>
            </w:r>
            <w:r>
              <w:rPr>
                <w:rFonts w:hint="eastAsia" w:hAnsi="宋体" w:cs="Times New Roman"/>
                <w:sz w:val="21"/>
                <w:szCs w:val="21"/>
                <w:lang w:val="en-US" w:eastAsia="zh-CN" w:bidi="ar-SA"/>
              </w:rPr>
              <w:t xml:space="preserve">高邮市审计局</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822"/>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乙方： </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822"/>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地址： </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822"/>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地址： </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822"/>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822"/>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822"/>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822"/>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822"/>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822"/>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日期：      年    月    日</w:t>
            </w:r>
            <w:r/>
          </w:p>
        </w:tc>
      </w:tr>
    </w:tbl>
    <w:p>
      <w:pPr>
        <w:pStyle w:val="822"/>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 </w:t>
      </w:r>
      <w:r/>
    </w:p>
    <w:p>
      <w:pPr>
        <w:pStyle w:val="822"/>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见证方：扬州华泽工程项目管理咨询有限公司</w:t>
      </w:r>
      <w:r/>
    </w:p>
    <w:p>
      <w:pPr>
        <w:pStyle w:val="822"/>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项目经办人： </w:t>
      </w:r>
      <w:r/>
    </w:p>
    <w:p>
      <w:pPr>
        <w:pStyle w:val="822"/>
        <w:spacing w:before="120" w:after="120"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日期：     年   月    日</w:t>
      </w:r>
      <w:r/>
    </w:p>
    <w:p>
      <w:pPr>
        <w:pStyle w:val="809"/>
        <w:rPr>
          <w:rFonts w:hint="eastAsia"/>
        </w:rPr>
        <w:sectPr>
          <w:footerReference w:type="default" r:id="rId15"/>
          <w:footnotePr/>
          <w:endnotePr/>
          <w:type w:val="nextPage"/>
          <w:pgSz w:w="11906" w:h="16838" w:orient="portrait"/>
          <w:pgMar w:top="1440" w:right="1440" w:bottom="1440" w:left="1440" w:header="851" w:footer="850" w:gutter="0"/>
          <w:pgNumType w:start="1"/>
          <w:cols w:num="1" w:sep="0" w:space="1701" w:equalWidth="1"/>
          <w:docGrid w:linePitch="360"/>
        </w:sectPr>
      </w:pPr>
      <w:r>
        <w:rPr>
          <w:rFonts w:hint="eastAsia"/>
        </w:rPr>
      </w:r>
      <w:r/>
    </w:p>
    <w:p>
      <w:pPr>
        <w:pStyle w:val="809"/>
      </w:pPr>
      <w:r>
        <w:rPr>
          <w:rFonts w:hint="eastAsia"/>
        </w:rPr>
        <w:t xml:space="preserve">第四章 项目需求</w:t>
      </w:r>
      <w:bookmarkEnd w:id="279"/>
      <w:r/>
      <w:bookmarkEnd w:id="280"/>
      <w:r/>
      <w:bookmarkEnd w:id="281"/>
      <w:r/>
      <w:bookmarkEnd w:id="282"/>
      <w:r/>
      <w:r/>
    </w:p>
    <w:p>
      <w:pPr>
        <w:spacing w:line="360" w:lineRule="auto"/>
        <w:rPr>
          <w:rFonts w:ascii="宋体" w:hAnsi="宋体"/>
          <w:b/>
          <w:bCs/>
          <w:sz w:val="24"/>
          <w:szCs w:val="21"/>
        </w:rPr>
        <w:outlineLvl w:val="1"/>
      </w:pPr>
      <w:r/>
      <w:bookmarkStart w:id="283" w:name="_Toc510"/>
      <w:r/>
      <w:bookmarkStart w:id="284" w:name="_Toc8688"/>
      <w:r/>
      <w:bookmarkStart w:id="285" w:name="_Toc29670"/>
      <w:r>
        <w:rPr>
          <w:rFonts w:hint="eastAsia" w:ascii="宋体" w:hAnsi="宋体"/>
          <w:b/>
          <w:bCs/>
          <w:sz w:val="24"/>
          <w:szCs w:val="21"/>
        </w:rPr>
        <w:t xml:space="preserve">一、项目情况</w:t>
      </w:r>
      <w:bookmarkEnd w:id="283"/>
      <w:r/>
      <w:r/>
    </w:p>
    <w:p>
      <w:pPr>
        <w:spacing w:line="360" w:lineRule="auto"/>
        <w:rPr>
          <w:rFonts w:ascii="宋体" w:hAnsi="宋体" w:cs="宋体"/>
          <w:sz w:val="24"/>
          <w:szCs w:val="24"/>
        </w:rPr>
      </w:pPr>
      <w:r>
        <w:rPr>
          <w:rFonts w:hint="eastAsia" w:ascii="宋体" w:hAnsi="宋体" w:cs="宋体"/>
          <w:sz w:val="24"/>
          <w:szCs w:val="24"/>
        </w:rPr>
        <w:t xml:space="preserve">  1、建设地点：本工程位于高邮市城南新区绿杨路东侧、渠南路南侧、邮都大道西侧、拟建中心大道北侧。</w:t>
      </w:r>
      <w:r/>
    </w:p>
    <w:p>
      <w:pPr>
        <w:spacing w:line="360" w:lineRule="auto"/>
        <w:rPr>
          <w:rFonts w:ascii="宋体" w:hAnsi="宋体" w:cs="宋体"/>
          <w:sz w:val="24"/>
          <w:szCs w:val="24"/>
        </w:rPr>
      </w:pPr>
      <w:r>
        <w:rPr>
          <w:rFonts w:hint="eastAsia" w:ascii="宋体" w:hAnsi="宋体" w:cs="宋体"/>
          <w:sz w:val="24"/>
          <w:szCs w:val="24"/>
        </w:rPr>
        <w:t xml:space="preserve">  2、建设规模：</w:t>
      </w:r>
      <w:bookmarkEnd w:id="284"/>
      <w:r/>
      <w:bookmarkEnd w:id="285"/>
      <w:r/>
      <w:bookmarkStart w:id="286" w:name="_Toc9739"/>
      <w:r/>
      <w:bookmarkStart w:id="287" w:name="_Toc2821"/>
      <w:r>
        <w:rPr>
          <w:rFonts w:hint="eastAsia" w:ascii="宋体" w:hAnsi="宋体" w:cs="宋体"/>
          <w:sz w:val="24"/>
          <w:szCs w:val="24"/>
        </w:rPr>
        <w:t xml:space="preserve">本工程建设项目用地面积约237.94亩。主要建设多层标准化厂房总建筑面积约212380.00平方米，建设科研综合楼总建筑面积约19820.00平方米，配套建设室外道路、雨污水管网、绿化、供配电等其他附属配套设施。</w:t>
      </w:r>
      <w:r/>
    </w:p>
    <w:p>
      <w:pPr>
        <w:ind w:firstLine="480"/>
        <w:spacing w:line="360" w:lineRule="auto"/>
        <w:rPr>
          <w:rFonts w:hint="eastAsia" w:ascii="宋体" w:hAnsi="宋体" w:cs="宋体"/>
          <w:sz w:val="24"/>
          <w:szCs w:val="24"/>
          <w:lang w:eastAsia="zh-CN"/>
        </w:rPr>
      </w:pPr>
      <w:r>
        <w:rPr>
          <w:rFonts w:hint="eastAsia" w:ascii="宋体" w:hAnsi="宋体" w:cs="宋体"/>
          <w:sz w:val="24"/>
          <w:szCs w:val="24"/>
        </w:rPr>
        <w:t xml:space="preserve">3、总投资：</w:t>
      </w:r>
      <w:r>
        <w:rPr>
          <w:rFonts w:hint="eastAsia" w:ascii="宋体" w:hAnsi="宋体" w:cs="宋体"/>
          <w:sz w:val="24"/>
          <w:szCs w:val="24"/>
          <w:lang w:val="en-US" w:eastAsia="zh-CN"/>
        </w:rPr>
        <w:t xml:space="preserve">约72000</w:t>
      </w:r>
      <w:r>
        <w:rPr>
          <w:rFonts w:hint="eastAsia" w:ascii="宋体" w:hAnsi="宋体" w:cs="宋体"/>
          <w:sz w:val="24"/>
          <w:szCs w:val="24"/>
        </w:rPr>
        <w:t xml:space="preserve">万元</w:t>
      </w:r>
      <w:bookmarkEnd w:id="286"/>
      <w:r/>
      <w:bookmarkEnd w:id="287"/>
      <w:r/>
      <w:bookmarkStart w:id="288" w:name="_Toc3996"/>
      <w:r/>
      <w:bookmarkStart w:id="289" w:name="_Toc6805"/>
      <w:r>
        <w:rPr>
          <w:rFonts w:hint="eastAsia" w:ascii="宋体" w:hAnsi="宋体" w:cs="宋体"/>
          <w:sz w:val="24"/>
          <w:szCs w:val="24"/>
          <w:lang w:eastAsia="zh-CN"/>
        </w:rPr>
        <w:t xml:space="preserve">。</w:t>
      </w:r>
      <w:r/>
    </w:p>
    <w:p>
      <w:pPr>
        <w:ind w:firstLine="480"/>
        <w:spacing w:line="36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4、预算金额</w:t>
      </w:r>
      <w:r>
        <w:rPr>
          <w:rFonts w:hint="eastAsia" w:ascii="宋体" w:hAnsi="宋体" w:cs="宋体"/>
          <w:sz w:val="24"/>
          <w:szCs w:val="24"/>
        </w:rPr>
        <w:t xml:space="preserve">：</w:t>
      </w:r>
      <w:r>
        <w:rPr>
          <w:rFonts w:hint="eastAsia" w:ascii="宋体" w:hAnsi="宋体" w:cs="宋体"/>
          <w:sz w:val="24"/>
          <w:szCs w:val="24"/>
          <w:lang w:val="en-US" w:eastAsia="zh-CN"/>
        </w:rPr>
        <w:t xml:space="preserve">176.5万元</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最高限价：176.5万元（报价超过最高限价为无效响应）。</w:t>
      </w:r>
      <w:bookmarkEnd w:id="288"/>
      <w:r/>
      <w:bookmarkEnd w:id="289"/>
      <w:r/>
      <w:r/>
    </w:p>
    <w:p>
      <w:pPr>
        <w:spacing w:line="360" w:lineRule="auto"/>
        <w:rPr>
          <w:rFonts w:ascii="宋体" w:hAnsi="宋体" w:cs="宋体"/>
          <w:b/>
          <w:bCs/>
          <w:sz w:val="24"/>
          <w:szCs w:val="24"/>
        </w:rPr>
      </w:pPr>
      <w:r/>
      <w:bookmarkStart w:id="290" w:name="_Toc14630"/>
      <w:r/>
      <w:bookmarkStart w:id="291" w:name="_Toc138777686"/>
      <w:r/>
      <w:bookmarkStart w:id="292" w:name="_Toc23897"/>
      <w:r>
        <w:rPr>
          <w:rFonts w:hint="eastAsia" w:ascii="宋体" w:hAnsi="宋体" w:cs="宋体"/>
          <w:b/>
          <w:bCs/>
          <w:sz w:val="24"/>
          <w:szCs w:val="24"/>
        </w:rPr>
        <w:t xml:space="preserve">已为本项目提供过服务(项目管理、造价咨询、招标代理、工程监理等)的供应商，不得再参加该项目的采购活动。如有发生应主动回避关联项目并在投标文件中作承诺说明。反之，作无效投标文件处理，若隐瞒事实，中标结果无效，同时承担相应后果。</w:t>
      </w:r>
      <w:bookmarkEnd w:id="290"/>
      <w:r/>
      <w:bookmarkEnd w:id="291"/>
      <w:r/>
      <w:bookmarkEnd w:id="292"/>
      <w:r/>
      <w:r/>
    </w:p>
    <w:p>
      <w:pPr>
        <w:spacing w:line="360" w:lineRule="auto"/>
        <w:rPr>
          <w:rFonts w:hint="eastAsia" w:ascii="宋体" w:hAnsi="宋体"/>
          <w:b/>
          <w:bCs/>
          <w:sz w:val="24"/>
          <w:szCs w:val="21"/>
        </w:rPr>
        <w:outlineLvl w:val="1"/>
      </w:pPr>
      <w:r>
        <w:rPr>
          <w:rFonts w:hint="eastAsia" w:ascii="宋体" w:hAnsi="宋体"/>
          <w:b/>
          <w:bCs/>
          <w:sz w:val="24"/>
          <w:szCs w:val="21"/>
          <w:lang w:val="en-US" w:eastAsia="zh-CN"/>
        </w:rPr>
        <w:t xml:space="preserve">二、</w:t>
      </w:r>
      <w:r>
        <w:rPr>
          <w:rFonts w:hint="eastAsia" w:ascii="宋体" w:hAnsi="宋体"/>
          <w:b/>
          <w:bCs/>
          <w:sz w:val="24"/>
          <w:szCs w:val="21"/>
        </w:rPr>
        <w:t xml:space="preserve">协审费用</w:t>
      </w:r>
      <w:r/>
    </w:p>
    <w:p>
      <w:pPr>
        <w:ind w:firstLine="480"/>
        <w:jc w:val="left"/>
        <w:spacing w:line="360" w:lineRule="auto"/>
        <w:rPr>
          <w:rFonts w:ascii="宋体" w:hAnsi="宋体"/>
          <w:sz w:val="24"/>
          <w:szCs w:val="21"/>
        </w:rPr>
      </w:pPr>
      <w:r>
        <w:rPr>
          <w:rFonts w:hint="eastAsia" w:ascii="宋体" w:hAnsi="宋体"/>
          <w:sz w:val="24"/>
          <w:szCs w:val="21"/>
          <w:highlight w:val="none"/>
        </w:rPr>
        <w:t xml:space="preserve">中标供应商的服务费的收取，按邮审发〔2023〕4号文规定的结算标准</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费率（中标价/预算价）。</w:t>
      </w:r>
      <w:r>
        <mc:AlternateContent>
          <mc:Choice Requires="wpg">
            <w:drawing>
              <wp:inline xmlns:wp="http://schemas.openxmlformats.org/drawingml/2006/wordprocessingDrawing" distT="0" distB="0" distL="0" distR="0">
                <wp:extent cx="5726430" cy="2813050"/>
                <wp:effectExtent l="0" t="0" r="5715" b="44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9"/>
                        <a:stretch/>
                      </pic:blipFill>
                      <pic:spPr bwMode="auto">
                        <a:xfrm>
                          <a:off x="0" y="0"/>
                          <a:ext cx="5726430" cy="2813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0.9pt;height:221.5pt;mso-wrap-distance-left:0.0pt;mso-wrap-distance-top:0.0pt;mso-wrap-distance-right:0.0pt;mso-wrap-distance-bottom:0.0pt;" stroked="f">
                <v:path textboxrect="0,0,0,0"/>
                <v:imagedata r:id="rId19" o:title=""/>
              </v:shape>
            </w:pict>
          </mc:Fallback>
        </mc:AlternateContent>
      </w:r>
      <w:r/>
    </w:p>
    <w:p>
      <w:pPr>
        <w:ind w:firstLine="482"/>
        <w:spacing w:line="360" w:lineRule="auto"/>
        <w:rPr>
          <w:rFonts w:ascii="宋体" w:hAnsi="宋体"/>
          <w:b/>
          <w:bCs/>
          <w:color w:val="00b050"/>
          <w:sz w:val="24"/>
          <w:szCs w:val="21"/>
        </w:rPr>
      </w:pPr>
      <w:r>
        <w:rPr>
          <w:rFonts w:hint="eastAsia" w:ascii="宋体" w:hAnsi="宋体"/>
          <w:b/>
          <w:bCs/>
          <w:color w:val="00b050"/>
          <w:sz w:val="24"/>
          <w:szCs w:val="21"/>
        </w:rPr>
        <w:t xml:space="preserve">暂以工程费用</w:t>
      </w:r>
      <w:r>
        <w:rPr>
          <w:rFonts w:hint="eastAsia" w:ascii="宋体" w:hAnsi="宋体"/>
          <w:b/>
          <w:bCs/>
          <w:color w:val="00b050"/>
          <w:sz w:val="24"/>
          <w:szCs w:val="21"/>
          <w:lang w:val="en-US" w:eastAsia="zh-CN"/>
        </w:rPr>
        <w:t xml:space="preserve">72000</w:t>
      </w:r>
      <w:r>
        <w:rPr>
          <w:rFonts w:hint="eastAsia" w:ascii="宋体" w:hAnsi="宋体"/>
          <w:b/>
          <w:bCs/>
          <w:color w:val="00b050"/>
          <w:sz w:val="24"/>
          <w:szCs w:val="21"/>
        </w:rPr>
        <w:t xml:space="preserve">万元为计费基数，则跟踪造价咨询费约</w:t>
      </w:r>
      <w:r>
        <w:rPr>
          <w:rFonts w:hint="eastAsia" w:ascii="宋体" w:hAnsi="宋体"/>
          <w:b/>
          <w:bCs/>
          <w:color w:val="00b050"/>
          <w:sz w:val="24"/>
          <w:szCs w:val="21"/>
          <w:lang w:val="en-US" w:eastAsia="zh-CN"/>
        </w:rPr>
        <w:t xml:space="preserve">176.5万元</w:t>
      </w:r>
      <w:r>
        <w:rPr>
          <w:rFonts w:hint="eastAsia" w:ascii="宋体" w:hAnsi="宋体"/>
          <w:b/>
          <w:bCs/>
          <w:color w:val="00b050"/>
          <w:sz w:val="24"/>
          <w:szCs w:val="21"/>
        </w:rPr>
        <w:t xml:space="preserve">。</w:t>
      </w:r>
      <w:r/>
    </w:p>
    <w:p>
      <w:pPr>
        <w:ind w:firstLine="482"/>
        <w:spacing w:line="360" w:lineRule="auto"/>
        <w:rPr>
          <w:rFonts w:ascii="宋体" w:hAnsi="宋体"/>
          <w:b/>
          <w:bCs/>
          <w:color w:val="00b050"/>
          <w:sz w:val="24"/>
          <w:szCs w:val="21"/>
        </w:rPr>
      </w:pPr>
      <w:r>
        <w:rPr>
          <w:rFonts w:hint="eastAsia" w:ascii="宋体" w:hAnsi="宋体"/>
          <w:b/>
          <w:bCs/>
          <w:color w:val="00b050"/>
          <w:sz w:val="24"/>
          <w:szCs w:val="21"/>
        </w:rPr>
        <w:t xml:space="preserve">计算如下：</w:t>
      </w:r>
      <w:r/>
    </w:p>
    <w:p>
      <w:pPr>
        <w:ind w:firstLine="482"/>
        <w:spacing w:line="360" w:lineRule="auto"/>
        <w:rPr>
          <w:rFonts w:ascii="宋体" w:hAnsi="宋体"/>
          <w:b/>
          <w:bCs/>
          <w:sz w:val="24"/>
          <w:szCs w:val="21"/>
        </w:rPr>
      </w:pPr>
      <w:r>
        <w:rPr>
          <w:rFonts w:hint="eastAsia" w:ascii="宋体" w:hAnsi="宋体"/>
          <w:b/>
          <w:bCs/>
          <w:color w:val="00b050"/>
          <w:sz w:val="24"/>
          <w:szCs w:val="21"/>
        </w:rPr>
        <w:t xml:space="preserve">（5000*4‰+（10000-5000）*3.5‰+（20000-10000）*3‰+（30000-20000）*2.5‰+（</w:t>
      </w:r>
      <w:r>
        <w:rPr>
          <w:rFonts w:hint="eastAsia" w:ascii="宋体" w:hAnsi="宋体"/>
          <w:b/>
          <w:bCs/>
          <w:color w:val="00b050"/>
          <w:sz w:val="24"/>
          <w:szCs w:val="21"/>
          <w:lang w:val="en-US" w:eastAsia="zh-CN"/>
        </w:rPr>
        <w:t xml:space="preserve">72000</w:t>
      </w:r>
      <w:r>
        <w:rPr>
          <w:rFonts w:hint="eastAsia" w:ascii="宋体" w:hAnsi="宋体"/>
          <w:b/>
          <w:bCs/>
          <w:color w:val="00b050"/>
          <w:sz w:val="24"/>
          <w:szCs w:val="21"/>
        </w:rPr>
        <w:t xml:space="preserve">-30000）*2‰）=</w:t>
      </w:r>
      <w:r>
        <w:rPr>
          <w:rFonts w:hint="eastAsia" w:ascii="宋体" w:hAnsi="宋体"/>
          <w:b/>
          <w:bCs/>
          <w:color w:val="00b050"/>
          <w:sz w:val="24"/>
          <w:szCs w:val="21"/>
          <w:lang w:val="en-US" w:eastAsia="zh-CN"/>
        </w:rPr>
        <w:t xml:space="preserve">176.5万元</w:t>
      </w:r>
      <w:r>
        <w:rPr>
          <w:rFonts w:hint="eastAsia" w:ascii="宋体" w:hAnsi="宋体"/>
          <w:b/>
          <w:bCs/>
          <w:color w:val="00b050"/>
          <w:sz w:val="24"/>
          <w:szCs w:val="21"/>
        </w:rPr>
        <w:t xml:space="preserve">。</w:t>
      </w:r>
      <w:r/>
    </w:p>
    <w:p>
      <w:pPr>
        <w:spacing w:line="360" w:lineRule="auto"/>
        <w:rPr>
          <w:rFonts w:ascii="宋体" w:hAnsi="宋体"/>
          <w:b/>
          <w:bCs/>
          <w:sz w:val="24"/>
          <w:szCs w:val="21"/>
        </w:rPr>
        <w:outlineLvl w:val="1"/>
      </w:pPr>
      <w:r/>
      <w:bookmarkStart w:id="293" w:name="_Toc32731"/>
      <w:r/>
      <w:bookmarkStart w:id="294" w:name="_Toc10413"/>
      <w:r/>
      <w:bookmarkStart w:id="295" w:name="_Toc1757"/>
      <w:r>
        <w:rPr>
          <w:rFonts w:hint="eastAsia" w:ascii="宋体" w:hAnsi="宋体"/>
          <w:b/>
          <w:bCs/>
          <w:sz w:val="24"/>
          <w:szCs w:val="21"/>
        </w:rPr>
        <w:t xml:space="preserve">三、合同履行期限</w:t>
      </w:r>
      <w:bookmarkEnd w:id="293"/>
      <w:r/>
      <w:bookmarkEnd w:id="294"/>
      <w:r/>
      <w:bookmarkEnd w:id="295"/>
      <w:r/>
      <w:r/>
    </w:p>
    <w:p>
      <w:pPr>
        <w:ind w:firstLine="480"/>
        <w:spacing w:line="360" w:lineRule="auto"/>
        <w:rPr>
          <w:rFonts w:ascii="宋体" w:hAnsi="宋体"/>
          <w:sz w:val="24"/>
          <w:szCs w:val="21"/>
        </w:rPr>
      </w:pPr>
      <w:r>
        <w:rPr>
          <w:rFonts w:hint="eastAsia" w:ascii="宋体" w:hAnsi="宋体"/>
          <w:sz w:val="24"/>
          <w:szCs w:val="21"/>
        </w:rPr>
        <w:t xml:space="preserve">合同履行期限：自合同签订之日起至项目竣工结算初审完成、档案整理完毕且通过验收。</w:t>
      </w:r>
      <w:r/>
    </w:p>
    <w:p>
      <w:pPr>
        <w:spacing w:line="360" w:lineRule="auto"/>
        <w:rPr>
          <w:rFonts w:ascii="宋体" w:hAnsi="宋体"/>
          <w:b/>
          <w:bCs/>
          <w:sz w:val="24"/>
          <w:szCs w:val="21"/>
        </w:rPr>
        <w:outlineLvl w:val="1"/>
      </w:pPr>
      <w:r/>
      <w:bookmarkStart w:id="296" w:name="_Toc27518"/>
      <w:r/>
      <w:bookmarkStart w:id="297" w:name="_Toc5784"/>
      <w:r/>
      <w:bookmarkStart w:id="298" w:name="_Toc27554"/>
      <w:r>
        <w:rPr>
          <w:rFonts w:hint="eastAsia" w:ascii="宋体" w:hAnsi="宋体"/>
          <w:b/>
          <w:bCs/>
          <w:sz w:val="24"/>
          <w:szCs w:val="21"/>
        </w:rPr>
        <w:t xml:space="preserve">四、职责范围</w:t>
      </w:r>
      <w:bookmarkEnd w:id="296"/>
      <w:r/>
      <w:bookmarkEnd w:id="297"/>
      <w:r/>
      <w:bookmarkEnd w:id="298"/>
      <w:r/>
      <w:r/>
    </w:p>
    <w:p>
      <w:pPr>
        <w:ind w:firstLine="480"/>
        <w:spacing w:line="360" w:lineRule="auto"/>
        <w:rPr>
          <w:rFonts w:ascii="宋体" w:hAnsi="宋体"/>
          <w:sz w:val="24"/>
          <w:szCs w:val="21"/>
        </w:rPr>
      </w:pPr>
      <w:r>
        <w:rPr>
          <w:rFonts w:hint="eastAsia" w:ascii="宋体" w:hAnsi="宋体"/>
          <w:sz w:val="24"/>
          <w:szCs w:val="21"/>
        </w:rPr>
        <w:t xml:space="preserve">1.调查了解被审计项目的基本情况，编制《跟踪审计实施方案》并按照审定的实施方案开展工作。</w:t>
      </w:r>
      <w:r/>
    </w:p>
    <w:p>
      <w:pPr>
        <w:ind w:firstLine="480"/>
        <w:spacing w:line="360" w:lineRule="auto"/>
        <w:rPr>
          <w:rFonts w:ascii="宋体" w:hAnsi="宋体"/>
          <w:sz w:val="24"/>
          <w:szCs w:val="21"/>
        </w:rPr>
      </w:pPr>
      <w:r>
        <w:rPr>
          <w:rFonts w:hint="eastAsia" w:ascii="宋体" w:hAnsi="宋体"/>
          <w:sz w:val="24"/>
          <w:szCs w:val="21"/>
        </w:rPr>
        <w:t xml:space="preserve">2.检查建设项目前期准备阶段、建设实施阶段以及竣工交付阶段相关程序和文件，针对发现的问题，编写《跟踪审计意见单》。审计事项复杂或取得审计证据数量较大时进行审计取证，编制《审计取证单》，并要求被审计单位对跟踪审计意见单发现的问题及时回复。</w:t>
      </w:r>
      <w:r/>
    </w:p>
    <w:p>
      <w:pPr>
        <w:ind w:firstLine="480"/>
        <w:spacing w:line="360" w:lineRule="auto"/>
        <w:rPr>
          <w:rFonts w:ascii="宋体" w:hAnsi="宋体"/>
          <w:sz w:val="24"/>
          <w:szCs w:val="21"/>
        </w:rPr>
      </w:pPr>
      <w:r>
        <w:rPr>
          <w:rFonts w:hint="eastAsia" w:ascii="宋体" w:hAnsi="宋体"/>
          <w:sz w:val="24"/>
          <w:szCs w:val="21"/>
        </w:rPr>
        <w:t xml:space="preserve">3.参加审计协调会、工程例会等与项目建设相关的会议。</w:t>
      </w:r>
      <w:r/>
    </w:p>
    <w:p>
      <w:pPr>
        <w:ind w:firstLine="480"/>
        <w:spacing w:line="360" w:lineRule="auto"/>
        <w:rPr>
          <w:rFonts w:ascii="宋体" w:hAnsi="宋体"/>
          <w:sz w:val="24"/>
          <w:szCs w:val="21"/>
        </w:rPr>
      </w:pPr>
      <w:r>
        <w:rPr>
          <w:rFonts w:hint="eastAsia" w:ascii="宋体" w:hAnsi="宋体"/>
          <w:sz w:val="24"/>
          <w:szCs w:val="21"/>
        </w:rPr>
        <w:t xml:space="preserve">4.编写《跟踪审计记录》，详细记录跟踪审计的工作内容。</w:t>
      </w:r>
      <w:r/>
    </w:p>
    <w:p>
      <w:pPr>
        <w:ind w:firstLine="480"/>
        <w:spacing w:line="360" w:lineRule="auto"/>
        <w:rPr>
          <w:rFonts w:ascii="宋体" w:hAnsi="宋体"/>
          <w:sz w:val="24"/>
          <w:szCs w:val="21"/>
        </w:rPr>
      </w:pPr>
      <w:r>
        <w:rPr>
          <w:rFonts w:hint="eastAsia" w:ascii="宋体" w:hAnsi="宋体"/>
          <w:sz w:val="24"/>
          <w:szCs w:val="21"/>
        </w:rPr>
        <w:t xml:space="preserve">5.及时核查变更项目、合同外新增项目、隐蔽工程的工程量，编写《跟踪审计现场测量记录》、《跟踪审计意见单》等。</w:t>
      </w:r>
      <w:r/>
    </w:p>
    <w:p>
      <w:pPr>
        <w:ind w:firstLine="480"/>
        <w:spacing w:line="360" w:lineRule="auto"/>
        <w:rPr>
          <w:rFonts w:ascii="宋体" w:hAnsi="宋体"/>
          <w:sz w:val="24"/>
          <w:szCs w:val="21"/>
        </w:rPr>
      </w:pPr>
      <w:r/>
      <w:bookmarkStart w:id="299" w:name="_Toc16622"/>
      <w:r/>
      <w:bookmarkStart w:id="300" w:name="_Toc27805"/>
      <w:r>
        <w:rPr>
          <w:rFonts w:hint="eastAsia" w:ascii="宋体" w:hAnsi="宋体"/>
          <w:sz w:val="24"/>
          <w:szCs w:val="21"/>
        </w:rPr>
        <w:t xml:space="preserve">6.收集并整理跟踪审计相关资料，隐蔽工程要附图片或影像资料。</w:t>
      </w:r>
      <w:bookmarkEnd w:id="299"/>
      <w:r/>
      <w:bookmarkEnd w:id="300"/>
      <w:r/>
      <w:r/>
    </w:p>
    <w:p>
      <w:pPr>
        <w:ind w:firstLine="480"/>
        <w:spacing w:line="360" w:lineRule="auto"/>
        <w:rPr>
          <w:rFonts w:ascii="宋体" w:hAnsi="宋体"/>
          <w:sz w:val="24"/>
          <w:szCs w:val="21"/>
        </w:rPr>
      </w:pPr>
      <w:r>
        <w:rPr>
          <w:rFonts w:hint="eastAsia" w:ascii="宋体" w:hAnsi="宋体"/>
          <w:sz w:val="24"/>
          <w:szCs w:val="21"/>
        </w:rPr>
        <w:t xml:space="preserve">7.编写《跟踪审计月报》，向审计组组长或主审书面汇报跟踪审计情况，遇重大变更或需要集体讨论的事项，应及时向审计组组长或主审汇报，由审计组组长或主审召集相关人员进行会商。</w:t>
      </w:r>
      <w:r/>
    </w:p>
    <w:p>
      <w:pPr>
        <w:spacing w:line="360" w:lineRule="auto"/>
        <w:rPr>
          <w:rFonts w:ascii="宋体" w:hAnsi="宋体"/>
          <w:b/>
          <w:bCs/>
          <w:sz w:val="24"/>
          <w:szCs w:val="21"/>
        </w:rPr>
        <w:outlineLvl w:val="1"/>
      </w:pPr>
      <w:r/>
      <w:bookmarkStart w:id="301" w:name="_Toc3670"/>
      <w:r/>
      <w:bookmarkStart w:id="302" w:name="_Toc32429"/>
      <w:r/>
      <w:bookmarkStart w:id="303" w:name="_Toc25831"/>
      <w:r>
        <w:rPr>
          <w:rFonts w:hint="eastAsia" w:ascii="宋体" w:hAnsi="宋体"/>
          <w:b/>
          <w:bCs/>
          <w:sz w:val="24"/>
          <w:szCs w:val="21"/>
        </w:rPr>
        <w:t xml:space="preserve">五、人员要求</w:t>
      </w:r>
      <w:bookmarkEnd w:id="301"/>
      <w:r/>
      <w:bookmarkEnd w:id="302"/>
      <w:r/>
      <w:bookmarkEnd w:id="303"/>
      <w:r/>
      <w:r/>
    </w:p>
    <w:p>
      <w:pPr>
        <w:ind w:firstLine="480"/>
        <w:spacing w:line="360" w:lineRule="auto"/>
        <w:rPr>
          <w:rFonts w:ascii="宋体" w:hAnsi="宋体"/>
          <w:sz w:val="24"/>
        </w:rPr>
      </w:pPr>
      <w:r>
        <w:rPr>
          <w:rFonts w:hint="eastAsia" w:ascii="宋体" w:hAnsi="宋体"/>
          <w:sz w:val="24"/>
        </w:rPr>
        <w:t xml:space="preserve">中标单位拟投入人员名单必须和实际开展工作的人员完全一致，不得变更。</w:t>
      </w:r>
      <w:r/>
    </w:p>
    <w:p>
      <w:pPr>
        <w:spacing w:line="360" w:lineRule="auto"/>
        <w:rPr>
          <w:rFonts w:ascii="宋体" w:hAnsi="宋体"/>
          <w:b/>
          <w:bCs/>
          <w:sz w:val="24"/>
          <w:szCs w:val="21"/>
        </w:rPr>
        <w:outlineLvl w:val="1"/>
      </w:pPr>
      <w:r/>
      <w:bookmarkStart w:id="304" w:name="_Toc30180"/>
      <w:r/>
      <w:bookmarkStart w:id="305" w:name="_Toc9129"/>
      <w:r/>
      <w:bookmarkStart w:id="306" w:name="_Toc11766"/>
      <w:r>
        <w:rPr>
          <w:rFonts w:hint="eastAsia" w:ascii="宋体" w:hAnsi="宋体"/>
          <w:b/>
          <w:bCs/>
          <w:sz w:val="24"/>
          <w:szCs w:val="21"/>
        </w:rPr>
        <w:t xml:space="preserve">六、监督检查</w:t>
      </w:r>
      <w:bookmarkEnd w:id="304"/>
      <w:r/>
      <w:bookmarkEnd w:id="305"/>
      <w:r/>
      <w:bookmarkEnd w:id="306"/>
      <w:r/>
      <w:r/>
    </w:p>
    <w:p>
      <w:pPr>
        <w:ind w:firstLine="480"/>
        <w:spacing w:line="360" w:lineRule="auto"/>
        <w:rPr>
          <w:rFonts w:ascii="宋体" w:hAnsi="宋体"/>
          <w:sz w:val="24"/>
          <w:szCs w:val="21"/>
        </w:rPr>
      </w:pPr>
      <w:r>
        <w:rPr>
          <w:rFonts w:hint="eastAsia" w:ascii="宋体" w:hAnsi="宋体"/>
          <w:sz w:val="24"/>
          <w:szCs w:val="21"/>
        </w:rPr>
        <w:t xml:space="preserve">职能科室根据项目采购需求将考核要点在服务合同中明确和细化，由科室根据服务合同履约情况进行检查考核，并提出考核意见。</w:t>
      </w:r>
      <w:r/>
    </w:p>
    <w:p>
      <w:pPr>
        <w:spacing w:line="360" w:lineRule="auto"/>
        <w:rPr>
          <w:rFonts w:ascii="宋体" w:hAnsi="宋体"/>
          <w:b/>
          <w:bCs/>
          <w:sz w:val="24"/>
          <w:szCs w:val="21"/>
        </w:rPr>
        <w:outlineLvl w:val="1"/>
      </w:pPr>
      <w:r/>
      <w:bookmarkStart w:id="307" w:name="_Toc582"/>
      <w:r/>
      <w:bookmarkStart w:id="308" w:name="_Toc25887"/>
      <w:r/>
      <w:bookmarkStart w:id="309" w:name="_Toc5275"/>
      <w:r>
        <w:rPr>
          <w:rFonts w:hint="eastAsia" w:ascii="宋体" w:hAnsi="宋体"/>
          <w:b/>
          <w:bCs/>
          <w:sz w:val="24"/>
          <w:szCs w:val="21"/>
        </w:rPr>
        <w:t xml:space="preserve">七、考核管理办法</w:t>
      </w:r>
      <w:bookmarkEnd w:id="307"/>
      <w:r/>
      <w:bookmarkEnd w:id="308"/>
      <w:r/>
      <w:bookmarkEnd w:id="309"/>
      <w:r/>
      <w:r/>
    </w:p>
    <w:p>
      <w:pPr>
        <w:ind w:firstLine="480"/>
        <w:spacing w:line="360" w:lineRule="auto"/>
        <w:rPr>
          <w:rFonts w:ascii="宋体" w:hAnsi="宋体"/>
          <w:sz w:val="24"/>
          <w:szCs w:val="21"/>
        </w:rPr>
      </w:pPr>
      <w:r>
        <w:rPr>
          <w:rFonts w:hint="eastAsia" w:ascii="宋体" w:hAnsi="宋体"/>
          <w:sz w:val="24"/>
          <w:szCs w:val="21"/>
        </w:rPr>
        <w:t xml:space="preserve">考核办法按照高邮市审计局关于《高邮市审计局政府投资项目跟踪审计操作规程（试行）》的通知（邮审发〔2023〕4号）执行，《高邮市审计局政府投资项目协审工作考核办法（试行）》（邮审发〔2021〕24号）审计管理办法按照高邮市审计局关于印发《高邮市审计局政府投资项目审计管理办法（试行）》的通知（邮审发〔2021〕25号）执行。</w:t>
      </w:r>
      <w:r/>
    </w:p>
    <w:p>
      <w:pPr>
        <w:spacing w:line="360" w:lineRule="auto"/>
        <w:rPr>
          <w:rFonts w:ascii="宋体" w:hAnsi="宋体"/>
          <w:b/>
          <w:bCs/>
          <w:sz w:val="24"/>
          <w:szCs w:val="21"/>
        </w:rPr>
        <w:outlineLvl w:val="1"/>
      </w:pPr>
      <w:r/>
      <w:bookmarkStart w:id="310" w:name="_Toc9774"/>
      <w:r/>
      <w:bookmarkStart w:id="311" w:name="_Toc3521"/>
      <w:r/>
      <w:bookmarkStart w:id="312" w:name="_Toc21650"/>
      <w:r>
        <w:rPr>
          <w:rFonts w:hint="eastAsia" w:ascii="宋体" w:hAnsi="宋体"/>
          <w:b/>
          <w:bCs/>
          <w:sz w:val="24"/>
          <w:szCs w:val="21"/>
        </w:rPr>
        <w:t xml:space="preserve">八、其他</w:t>
      </w:r>
      <w:bookmarkEnd w:id="310"/>
      <w:r/>
      <w:bookmarkEnd w:id="311"/>
      <w:r/>
      <w:bookmarkEnd w:id="312"/>
      <w:r/>
      <w:r/>
    </w:p>
    <w:p>
      <w:pPr>
        <w:ind w:firstLine="482"/>
        <w:spacing w:line="360" w:lineRule="auto"/>
        <w:rPr>
          <w:rFonts w:ascii="宋体" w:hAnsi="宋体"/>
          <w:b/>
          <w:sz w:val="24"/>
          <w:szCs w:val="21"/>
        </w:rPr>
      </w:pPr>
      <w:r>
        <w:rPr>
          <w:rFonts w:hint="eastAsia" w:ascii="宋体" w:hAnsi="宋体"/>
          <w:b/>
          <w:sz w:val="24"/>
          <w:szCs w:val="21"/>
        </w:rPr>
        <w:t xml:space="preserve">1、中标人除不可抗力因素外不得变更项目组成员的，如确需变更的，须具有同等以上条件且经招标人同意。项目负责人更换扣跟踪审计总费用的10%，各专业人员更换扣跟踪审计总费用的5%。</w:t>
      </w:r>
      <w:r/>
    </w:p>
    <w:p>
      <w:pPr>
        <w:ind w:firstLine="482"/>
        <w:spacing w:line="360" w:lineRule="auto"/>
        <w:rPr>
          <w:rFonts w:ascii="宋体" w:hAnsi="宋体"/>
          <w:b/>
          <w:sz w:val="24"/>
          <w:szCs w:val="21"/>
        </w:rPr>
      </w:pPr>
      <w:r>
        <w:rPr>
          <w:rFonts w:hint="eastAsia" w:ascii="宋体" w:hAnsi="宋体"/>
          <w:b/>
          <w:sz w:val="24"/>
          <w:szCs w:val="21"/>
        </w:rPr>
        <w:t xml:space="preserve">2、施工阶段，除不可抗力原因外，因跟踪审计人员违反考勤、廉政、进度、成果深度等要求达三次以上，招标人要求跟踪审计单位更换人员，并扣除相应费用。</w:t>
      </w:r>
      <w:r/>
    </w:p>
    <w:p>
      <w:pPr>
        <w:ind w:firstLine="482"/>
        <w:spacing w:line="360" w:lineRule="auto"/>
        <w:rPr>
          <w:rFonts w:ascii="宋体" w:hAnsi="宋体"/>
          <w:b/>
          <w:sz w:val="24"/>
          <w:szCs w:val="21"/>
        </w:rPr>
      </w:pPr>
      <w:r>
        <w:rPr>
          <w:rFonts w:hint="eastAsia" w:ascii="宋体" w:hAnsi="宋体"/>
          <w:b/>
          <w:sz w:val="24"/>
          <w:szCs w:val="21"/>
        </w:rPr>
        <w:t xml:space="preserve">3、现场跟踪审计人员不得向施工单位推销材料和施工机械，凡施工单位举报，经委托查实，委托人有权中止合同，并处5万元违约赔偿，同时报建设行政主管部门，将该行为列入不良行为记录。</w:t>
      </w:r>
      <w:r/>
    </w:p>
    <w:p>
      <w:pPr>
        <w:ind w:firstLine="482"/>
        <w:spacing w:line="360" w:lineRule="auto"/>
        <w:rPr>
          <w:rFonts w:ascii="宋体" w:hAnsi="宋体"/>
          <w:b/>
          <w:sz w:val="24"/>
          <w:szCs w:val="21"/>
        </w:rPr>
      </w:pPr>
      <w:r>
        <w:rPr>
          <w:rFonts w:hint="eastAsia" w:ascii="宋体" w:hAnsi="宋体"/>
          <w:b/>
          <w:sz w:val="24"/>
          <w:szCs w:val="21"/>
        </w:rPr>
        <w:t xml:space="preserve">4、跟踪审计需提供月、季、年度等中间审计资料（包括工程签证、设计变更、政策性调整等造成造价变化的原始资料），工程竣工验收合格后需提供完整合法的跟踪审计报告，并将所有资料刻录成光盘交给招标单位，且按照招标单位的要求免费提供相关后续服务。</w:t>
      </w:r>
      <w:r/>
    </w:p>
    <w:p>
      <w:pPr>
        <w:ind w:firstLine="482"/>
        <w:spacing w:line="360" w:lineRule="auto"/>
        <w:rPr>
          <w:rFonts w:ascii="宋体" w:hAnsi="宋体"/>
          <w:b/>
          <w:sz w:val="24"/>
          <w:szCs w:val="21"/>
        </w:rPr>
      </w:pPr>
      <w:r>
        <w:rPr>
          <w:rFonts w:hint="eastAsia" w:ascii="宋体" w:hAnsi="宋体"/>
          <w:b/>
          <w:sz w:val="24"/>
          <w:szCs w:val="21"/>
        </w:rPr>
        <w:t xml:space="preserve">5、投标报价是投标人按照招标文件的要求完成施工阶段全过程造价控制工作所需的费用。包括正常跟踪审计服务、加班、加点工作等均认为己包括在跟踪审计服务的总报价中，不再获得额外的支付。若工期超过招标文件工期，不再另外增加费用。</w:t>
      </w:r>
      <w:r/>
    </w:p>
    <w:p>
      <w:pPr>
        <w:ind w:firstLine="482"/>
        <w:spacing w:line="360" w:lineRule="auto"/>
        <w:rPr>
          <w:rFonts w:ascii="宋体" w:hAnsi="宋体"/>
          <w:b/>
          <w:sz w:val="24"/>
          <w:szCs w:val="21"/>
        </w:rPr>
      </w:pPr>
      <w:r/>
      <w:bookmarkStart w:id="313" w:name="_Toc1559"/>
      <w:r/>
      <w:bookmarkStart w:id="314" w:name="_Toc14889"/>
      <w:r>
        <w:rPr>
          <w:rFonts w:hint="eastAsia" w:ascii="宋体" w:hAnsi="宋体"/>
          <w:b/>
          <w:sz w:val="24"/>
          <w:szCs w:val="21"/>
        </w:rPr>
        <w:t xml:space="preserve">6、驻场要求</w:t>
      </w:r>
      <w:bookmarkEnd w:id="313"/>
      <w:r/>
      <w:bookmarkEnd w:id="314"/>
      <w:r/>
      <w:r/>
    </w:p>
    <w:p>
      <w:pPr>
        <w:ind w:firstLine="482"/>
        <w:spacing w:line="360" w:lineRule="auto"/>
        <w:rPr>
          <w:rFonts w:ascii="宋体" w:hAnsi="宋体"/>
          <w:b/>
          <w:sz w:val="24"/>
          <w:szCs w:val="21"/>
        </w:rPr>
      </w:pPr>
      <w:r>
        <w:rPr>
          <w:rFonts w:hint="eastAsia" w:ascii="宋体" w:hAnsi="宋体"/>
          <w:b/>
          <w:sz w:val="24"/>
          <w:szCs w:val="21"/>
        </w:rPr>
        <w:t xml:space="preserve">中标人后项目组成员</w:t>
      </w:r>
      <w:r>
        <w:rPr>
          <w:rFonts w:hint="eastAsia" w:ascii="宋体" w:hAnsi="宋体"/>
          <w:b/>
          <w:color w:val="0000ff"/>
          <w:sz w:val="24"/>
          <w:szCs w:val="21"/>
        </w:rPr>
        <w:t xml:space="preserve">至少2人每周驻场时间不得少于4天</w:t>
      </w:r>
      <w:r>
        <w:rPr>
          <w:rFonts w:hint="eastAsia" w:ascii="宋体" w:hAnsi="宋体"/>
          <w:b/>
          <w:sz w:val="24"/>
          <w:szCs w:val="21"/>
        </w:rPr>
        <w:t xml:space="preserve">（须按招标文件所附格式提供承诺函），</w:t>
      </w:r>
      <w:r>
        <w:rPr>
          <w:rFonts w:hint="eastAsia" w:ascii="宋体" w:hAnsi="宋体"/>
          <w:b/>
          <w:color w:val="0000ff"/>
          <w:sz w:val="24"/>
          <w:szCs w:val="21"/>
        </w:rPr>
        <w:t xml:space="preserve">其中项目负责人每周至少驻场1天</w:t>
      </w:r>
      <w:r>
        <w:rPr>
          <w:rFonts w:hint="eastAsia" w:ascii="宋体" w:hAnsi="宋体"/>
          <w:b/>
          <w:sz w:val="24"/>
          <w:szCs w:val="21"/>
        </w:rPr>
        <w:t xml:space="preserve">。在履约过程中采购人将对驻场服务情况进行考勤，若未按要求进行全程驻场服务，视同违约，采购人有权扣减服务费用，出现三次考勤不合格的，采购人有权单方面取消采购合同，追偿中标人因违约给采购人造成的经济损失，并可在一定范围内通报相关事实和情况。工程结算审核项目无须提供驻场服务承诺。</w:t>
      </w:r>
      <w:r/>
    </w:p>
    <w:p>
      <w:pPr>
        <w:pStyle w:val="1016"/>
        <w:ind w:left="0" w:firstLine="480"/>
        <w:spacing w:line="360" w:lineRule="auto"/>
        <w:rPr>
          <w:rFonts w:ascii="宋体" w:hAnsi="宋体"/>
          <w:b/>
          <w:bCs/>
          <w:sz w:val="24"/>
          <w:szCs w:val="21"/>
        </w:rPr>
      </w:pPr>
      <w:r>
        <w:rPr>
          <w:rFonts w:ascii="宋体" w:hAnsi="宋体"/>
          <w:b/>
          <w:bCs/>
          <w:sz w:val="24"/>
          <w:szCs w:val="21"/>
        </w:rPr>
      </w:r>
      <w:r/>
    </w:p>
    <w:p>
      <w:pPr>
        <w:rPr>
          <w:rFonts w:ascii="宋体" w:hAnsi="宋体"/>
          <w:b/>
          <w:bCs/>
          <w:color w:val="0000ff"/>
          <w:sz w:val="24"/>
          <w:szCs w:val="21"/>
        </w:rPr>
      </w:pPr>
      <w:r>
        <w:rPr>
          <w:rFonts w:ascii="宋体" w:hAnsi="宋体"/>
          <w:b/>
          <w:bCs/>
          <w:color w:val="0000ff"/>
          <w:sz w:val="24"/>
          <w:szCs w:val="21"/>
        </w:rPr>
      </w:r>
      <w:r/>
    </w:p>
    <w:p>
      <w:pPr>
        <w:ind w:right="69"/>
        <w:spacing w:line="640" w:lineRule="exact"/>
        <w:rPr>
          <w:rFonts w:ascii="黑体" w:hAnsi="宋体" w:eastAsia="黑体"/>
          <w:color w:val="000000"/>
          <w:sz w:val="32"/>
          <w:szCs w:val="20"/>
        </w:rPr>
      </w:pPr>
      <w:r/>
      <w:bookmarkStart w:id="315" w:name="_Toc55204181"/>
      <w:r/>
      <w:r/>
    </w:p>
    <w:p>
      <w:pPr>
        <w:ind w:right="69"/>
        <w:spacing w:line="640" w:lineRule="exact"/>
        <w:rPr>
          <w:rFonts w:ascii="黑体" w:hAnsi="宋体" w:eastAsia="黑体"/>
          <w:color w:val="000000"/>
          <w:sz w:val="32"/>
          <w:szCs w:val="20"/>
        </w:rPr>
      </w:pPr>
      <w:r>
        <w:rPr>
          <w:rFonts w:ascii="黑体" w:hAnsi="宋体" w:eastAsia="黑体"/>
          <w:color w:val="000000"/>
          <w:sz w:val="32"/>
          <w:szCs w:val="20"/>
        </w:rPr>
      </w:r>
      <w:r/>
    </w:p>
    <w:p>
      <w:pPr>
        <w:rPr>
          <w:rFonts w:ascii="黑体" w:hAnsi="宋体" w:eastAsia="黑体"/>
          <w:color w:val="000000"/>
          <w:sz w:val="32"/>
          <w:szCs w:val="20"/>
        </w:rPr>
      </w:pPr>
      <w:r>
        <w:rPr>
          <w:rFonts w:ascii="黑体" w:hAnsi="宋体" w:eastAsia="黑体"/>
          <w:color w:val="000000"/>
          <w:sz w:val="32"/>
          <w:szCs w:val="20"/>
        </w:rPr>
      </w:r>
      <w:r/>
    </w:p>
    <w:p>
      <w:pPr>
        <w:rPr>
          <w:rFonts w:ascii="黑体" w:hAnsi="宋体" w:eastAsia="黑体"/>
          <w:color w:val="000000"/>
          <w:sz w:val="32"/>
          <w:szCs w:val="20"/>
        </w:rPr>
      </w:pPr>
      <w:r>
        <w:rPr>
          <w:rFonts w:ascii="黑体" w:hAnsi="宋体" w:eastAsia="黑体"/>
          <w:color w:val="000000"/>
          <w:sz w:val="32"/>
          <w:szCs w:val="20"/>
        </w:rPr>
      </w:r>
      <w:r/>
    </w:p>
    <w:p>
      <w:r/>
      <w:r/>
    </w:p>
    <w:p>
      <w:pPr>
        <w:pStyle w:val="845"/>
        <w:rPr>
          <w:rFonts w:ascii="黑体" w:hAnsi="宋体" w:eastAsia="黑体"/>
          <w:color w:val="000000"/>
        </w:rPr>
      </w:pPr>
      <w:r>
        <w:rPr>
          <w:rFonts w:ascii="黑体" w:hAnsi="宋体" w:eastAsia="黑体"/>
          <w:color w:val="000000"/>
        </w:rPr>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26430" cy="5968365"/>
                <wp:effectExtent l="0" t="0" r="5715" b="127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r/>
                      </pic:nvPicPr>
                      <pic:blipFill>
                        <a:blip r:embed="rId20"/>
                        <a:stretch/>
                      </pic:blipFill>
                      <pic:spPr bwMode="auto">
                        <a:xfrm>
                          <a:off x="0" y="0"/>
                          <a:ext cx="5726430" cy="5968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0.9pt;height:469.9pt;mso-wrap-distance-left:0.0pt;mso-wrap-distance-top:0.0pt;mso-wrap-distance-right:0.0pt;mso-wrap-distance-bottom:0.0pt;" stroked="f">
                <v:path textboxrect="0,0,0,0"/>
                <v:imagedata r:id="rId20" o:title=""/>
              </v:shape>
            </w:pict>
          </mc:Fallback>
        </mc:AlternateContent>
      </w:r>
      <w:r/>
    </w:p>
    <w:p>
      <w:pPr>
        <w:ind w:firstLine="482"/>
        <w:jc w:val="center"/>
        <w:spacing w:before="120" w:after="120" w:line="360" w:lineRule="auto"/>
      </w:pPr>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30240" cy="8592820"/>
                <wp:effectExtent l="0" t="0" r="1905" b="0"/>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r/>
                      </pic:nvPicPr>
                      <pic:blipFill>
                        <a:blip r:embed="rId21"/>
                        <a:stretch/>
                      </pic:blipFill>
                      <pic:spPr bwMode="auto">
                        <a:xfrm>
                          <a:off x="0" y="0"/>
                          <a:ext cx="5730240" cy="8592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1.2pt;height:676.6pt;mso-wrap-distance-left:0.0pt;mso-wrap-distance-top:0.0pt;mso-wrap-distance-right:0.0pt;mso-wrap-distance-bottom:0.0pt;" stroked="f">
                <v:path textboxrect="0,0,0,0"/>
                <v:imagedata r:id="rId21"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30875" cy="8702040"/>
                <wp:effectExtent l="0" t="0" r="1270" b="952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r/>
                      </pic:nvPicPr>
                      <pic:blipFill>
                        <a:blip r:embed="rId22"/>
                        <a:stretch/>
                      </pic:blipFill>
                      <pic:spPr bwMode="auto">
                        <a:xfrm>
                          <a:off x="0" y="0"/>
                          <a:ext cx="5730875" cy="870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1.2pt;height:685.2pt;mso-wrap-distance-left:0.0pt;mso-wrap-distance-top:0.0pt;mso-wrap-distance-right:0.0pt;mso-wrap-distance-bottom:0.0pt;" stroked="f">
                <v:path textboxrect="0,0,0,0"/>
                <v:imagedata r:id="rId22"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25795" cy="8365490"/>
                <wp:effectExtent l="0" t="0" r="6350" b="635"/>
                <wp:docPr id="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r/>
                      </pic:nvPicPr>
                      <pic:blipFill>
                        <a:blip r:embed="rId23"/>
                        <a:stretch/>
                      </pic:blipFill>
                      <pic:spPr bwMode="auto">
                        <a:xfrm>
                          <a:off x="0" y="0"/>
                          <a:ext cx="5725795" cy="8365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0.8pt;height:658.7pt;mso-wrap-distance-left:0.0pt;mso-wrap-distance-top:0.0pt;mso-wrap-distance-right:0.0pt;mso-wrap-distance-bottom:0.0pt;" stroked="f">
                <v:path textboxrect="0,0,0,0"/>
                <v:imagedata r:id="rId23"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30240" cy="8625840"/>
                <wp:effectExtent l="0" t="0" r="1905" b="10160"/>
                <wp:docPr id="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pic:cNvPicPr>
                          <a:picLocks noChangeAspect="1"/>
                        </pic:cNvPicPr>
                        <pic:nvPr/>
                      </pic:nvPicPr>
                      <pic:blipFill>
                        <a:blip r:embed="rId24"/>
                        <a:stretch/>
                      </pic:blipFill>
                      <pic:spPr bwMode="auto">
                        <a:xfrm>
                          <a:off x="0" y="0"/>
                          <a:ext cx="5730240" cy="8625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1.2pt;height:679.2pt;mso-wrap-distance-left:0.0pt;mso-wrap-distance-top:0.0pt;mso-wrap-distance-right:0.0pt;mso-wrap-distance-bottom:0.0pt;" stroked="f">
                <v:path textboxrect="0,0,0,0"/>
                <v:imagedata r:id="rId24"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28970" cy="9005570"/>
                <wp:effectExtent l="0" t="0" r="3175" b="8255"/>
                <wp:docPr id="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r/>
                      </pic:nvPicPr>
                      <pic:blipFill>
                        <a:blip r:embed="rId25"/>
                        <a:stretch/>
                      </pic:blipFill>
                      <pic:spPr bwMode="auto">
                        <a:xfrm>
                          <a:off x="0" y="0"/>
                          <a:ext cx="5728970" cy="9005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1.1pt;height:709.1pt;mso-wrap-distance-left:0.0pt;mso-wrap-distance-top:0.0pt;mso-wrap-distance-right:0.0pt;mso-wrap-distance-bottom:0.0pt;" stroked="f">
                <v:path textboxrect="0,0,0,0"/>
                <v:imagedata r:id="rId25"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31510" cy="8721090"/>
                <wp:effectExtent l="0" t="0" r="635" b="1270"/>
                <wp:docPr id="1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r/>
                      </pic:nvPicPr>
                      <pic:blipFill>
                        <a:blip r:embed="rId26"/>
                        <a:stretch/>
                      </pic:blipFill>
                      <pic:spPr bwMode="auto">
                        <a:xfrm>
                          <a:off x="0" y="0"/>
                          <a:ext cx="5731510" cy="8721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1.3pt;height:686.7pt;mso-wrap-distance-left:0.0pt;mso-wrap-distance-top:0.0pt;mso-wrap-distance-right:0.0pt;mso-wrap-distance-bottom:0.0pt;" stroked="f">
                <v:path textboxrect="0,0,0,0"/>
                <v:imagedata r:id="rId26"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30875" cy="8847455"/>
                <wp:effectExtent l="0" t="0" r="1270" b="4445"/>
                <wp:docPr id="1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pic:cNvPicPr>
                          <a:picLocks noChangeAspect="1"/>
                        </pic:cNvPicPr>
                        <pic:nvPr/>
                      </pic:nvPicPr>
                      <pic:blipFill>
                        <a:blip r:embed="rId27"/>
                        <a:stretch/>
                      </pic:blipFill>
                      <pic:spPr bwMode="auto">
                        <a:xfrm>
                          <a:off x="0" y="0"/>
                          <a:ext cx="5730875" cy="8847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1.2pt;height:696.6pt;mso-wrap-distance-left:0.0pt;mso-wrap-distance-top:0.0pt;mso-wrap-distance-right:0.0pt;mso-wrap-distance-bottom:0.0pt;" stroked="f">
                <v:path textboxrect="0,0,0,0"/>
                <v:imagedata r:id="rId27"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27700" cy="8996045"/>
                <wp:effectExtent l="0" t="0" r="4445" b="6985"/>
                <wp:docPr id="1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pic:cNvPicPr>
                          <a:picLocks noChangeAspect="1"/>
                        </pic:cNvPicPr>
                        <pic:nvPr/>
                      </pic:nvPicPr>
                      <pic:blipFill>
                        <a:blip r:embed="rId28"/>
                        <a:stretch/>
                      </pic:blipFill>
                      <pic:spPr bwMode="auto">
                        <a:xfrm>
                          <a:off x="0" y="0"/>
                          <a:ext cx="5727700" cy="8996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1.0pt;height:708.3pt;mso-wrap-distance-left:0.0pt;mso-wrap-distance-top:0.0pt;mso-wrap-distance-right:0.0pt;mso-wrap-distance-bottom:0.0pt;" stroked="f">
                <v:path textboxrect="0,0,0,0"/>
                <v:imagedata r:id="rId28"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27065" cy="8939530"/>
                <wp:effectExtent l="0" t="0" r="5080" b="9525"/>
                <wp:docPr id="1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pic:cNvPicPr>
                          <a:picLocks noChangeAspect="1"/>
                        </pic:cNvPicPr>
                        <pic:nvPr/>
                      </pic:nvPicPr>
                      <pic:blipFill>
                        <a:blip r:embed="rId29"/>
                        <a:stretch/>
                      </pic:blipFill>
                      <pic:spPr bwMode="auto">
                        <a:xfrm>
                          <a:off x="0" y="0"/>
                          <a:ext cx="5727065" cy="893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0.9pt;height:703.9pt;mso-wrap-distance-left:0.0pt;mso-wrap-distance-top:0.0pt;mso-wrap-distance-right:0.0pt;mso-wrap-distance-bottom:0.0pt;" stroked="f">
                <v:path textboxrect="0,0,0,0"/>
                <v:imagedata r:id="rId29"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26430" cy="8905240"/>
                <wp:effectExtent l="0" t="0" r="5715" b="635"/>
                <wp:docPr id="1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6"/>
                        <pic:cNvPicPr>
                          <a:picLocks noChangeAspect="1"/>
                        </pic:cNvPicPr>
                        <pic:nvPr/>
                      </pic:nvPicPr>
                      <pic:blipFill>
                        <a:blip r:embed="rId30"/>
                        <a:stretch/>
                      </pic:blipFill>
                      <pic:spPr bwMode="auto">
                        <a:xfrm>
                          <a:off x="0" y="0"/>
                          <a:ext cx="5726430" cy="8905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0.9pt;height:701.2pt;mso-wrap-distance-left:0.0pt;mso-wrap-distance-top:0.0pt;mso-wrap-distance-right:0.0pt;mso-wrap-distance-bottom:0.0pt;" stroked="f">
                <v:path textboxrect="0,0,0,0"/>
                <v:imagedata r:id="rId30"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26430" cy="8706485"/>
                <wp:effectExtent l="0" t="0" r="5715" b="5080"/>
                <wp:docPr id="1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7"/>
                        <pic:cNvPicPr>
                          <a:picLocks noChangeAspect="1"/>
                        </pic:cNvPicPr>
                        <pic:nvPr/>
                      </pic:nvPicPr>
                      <pic:blipFill>
                        <a:blip r:embed="rId31"/>
                        <a:stretch/>
                      </pic:blipFill>
                      <pic:spPr bwMode="auto">
                        <a:xfrm>
                          <a:off x="0" y="0"/>
                          <a:ext cx="5726430" cy="8706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0.9pt;height:685.5pt;mso-wrap-distance-left:0.0pt;mso-wrap-distance-top:0.0pt;mso-wrap-distance-right:0.0pt;mso-wrap-distance-bottom:0.0pt;" stroked="f">
                <v:path textboxrect="0,0,0,0"/>
                <v:imagedata r:id="rId31"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30875" cy="8949055"/>
                <wp:effectExtent l="0" t="0" r="1270" b="0"/>
                <wp:docPr id="1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8"/>
                        <pic:cNvPicPr>
                          <a:picLocks noChangeAspect="1"/>
                        </pic:cNvPicPr>
                        <pic:nvPr/>
                      </pic:nvPicPr>
                      <pic:blipFill>
                        <a:blip r:embed="rId32"/>
                        <a:stretch/>
                      </pic:blipFill>
                      <pic:spPr bwMode="auto">
                        <a:xfrm>
                          <a:off x="0" y="0"/>
                          <a:ext cx="5730875" cy="8949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1.2pt;height:704.6pt;mso-wrap-distance-left:0.0pt;mso-wrap-distance-top:0.0pt;mso-wrap-distance-right:0.0pt;mso-wrap-distance-bottom:0.0pt;" stroked="f">
                <v:path textboxrect="0,0,0,0"/>
                <v:imagedata r:id="rId32"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30875" cy="8763635"/>
                <wp:effectExtent l="0" t="0" r="1270" b="1905"/>
                <wp:docPr id="1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9"/>
                        <pic:cNvPicPr>
                          <a:picLocks noChangeAspect="1"/>
                        </pic:cNvPicPr>
                        <pic:nvPr/>
                      </pic:nvPicPr>
                      <pic:blipFill>
                        <a:blip r:embed="rId33"/>
                        <a:stretch/>
                      </pic:blipFill>
                      <pic:spPr bwMode="auto">
                        <a:xfrm>
                          <a:off x="0" y="0"/>
                          <a:ext cx="5730875" cy="8763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1.2pt;height:690.0pt;mso-wrap-distance-left:0.0pt;mso-wrap-distance-top:0.0pt;mso-wrap-distance-right:0.0pt;mso-wrap-distance-bottom:0.0pt;" stroked="f">
                <v:path textboxrect="0,0,0,0"/>
                <v:imagedata r:id="rId33"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31510" cy="8788400"/>
                <wp:effectExtent l="0" t="0" r="635" b="9525"/>
                <wp:docPr id="1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0"/>
                        <pic:cNvPicPr>
                          <a:picLocks noChangeAspect="1"/>
                        </pic:cNvPicPr>
                        <pic:nvPr/>
                      </pic:nvPicPr>
                      <pic:blipFill>
                        <a:blip r:embed="rId34"/>
                        <a:stretch/>
                      </pic:blipFill>
                      <pic:spPr bwMode="auto">
                        <a:xfrm>
                          <a:off x="0" y="0"/>
                          <a:ext cx="5731510" cy="8788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51.3pt;height:692.0pt;mso-wrap-distance-left:0.0pt;mso-wrap-distance-top:0.0pt;mso-wrap-distance-right:0.0pt;mso-wrap-distance-bottom:0.0pt;" stroked="f">
                <v:path textboxrect="0,0,0,0"/>
                <v:imagedata r:id="rId34"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514975" cy="8859520"/>
                <wp:effectExtent l="0" t="0" r="1270" b="3175"/>
                <wp:docPr id="1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1"/>
                        <pic:cNvPicPr>
                          <a:picLocks noChangeAspect="1"/>
                        </pic:cNvPicPr>
                        <pic:nvPr/>
                      </pic:nvPicPr>
                      <pic:blipFill>
                        <a:blip r:embed="rId35"/>
                        <a:stretch/>
                      </pic:blipFill>
                      <pic:spPr bwMode="auto">
                        <a:xfrm>
                          <a:off x="0" y="0"/>
                          <a:ext cx="5514975" cy="8859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34.2pt;height:697.6pt;mso-wrap-distance-left:0.0pt;mso-wrap-distance-top:0.0pt;mso-wrap-distance-right:0.0pt;mso-wrap-distance-bottom:0.0pt;" stroked="f">
                <v:path textboxrect="0,0,0,0"/>
                <v:imagedata r:id="rId35"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26430" cy="8634730"/>
                <wp:effectExtent l="0" t="0" r="5715" b="1270"/>
                <wp:docPr id="2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2"/>
                        <pic:cNvPicPr>
                          <a:picLocks noChangeAspect="1"/>
                        </pic:cNvPicPr>
                        <pic:nvPr/>
                      </pic:nvPicPr>
                      <pic:blipFill>
                        <a:blip r:embed="rId36"/>
                        <a:stretch/>
                      </pic:blipFill>
                      <pic:spPr bwMode="auto">
                        <a:xfrm>
                          <a:off x="0" y="0"/>
                          <a:ext cx="5726430" cy="8634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50.9pt;height:679.9pt;mso-wrap-distance-left:0.0pt;mso-wrap-distance-top:0.0pt;mso-wrap-distance-right:0.0pt;mso-wrap-distance-bottom:0.0pt;" stroked="f">
                <v:path textboxrect="0,0,0,0"/>
                <v:imagedata r:id="rId36"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31510" cy="8776335"/>
                <wp:effectExtent l="0" t="0" r="635" b="0"/>
                <wp:docPr id="2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3"/>
                        <pic:cNvPicPr>
                          <a:picLocks noChangeAspect="1"/>
                        </pic:cNvPicPr>
                        <pic:nvPr/>
                      </pic:nvPicPr>
                      <pic:blipFill>
                        <a:blip r:embed="rId37"/>
                        <a:stretch/>
                      </pic:blipFill>
                      <pic:spPr bwMode="auto">
                        <a:xfrm>
                          <a:off x="0" y="0"/>
                          <a:ext cx="5731510" cy="8776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51.3pt;height:691.0pt;mso-wrap-distance-left:0.0pt;mso-wrap-distance-top:0.0pt;mso-wrap-distance-right:0.0pt;mso-wrap-distance-bottom:0.0pt;" stroked="f">
                <v:path textboxrect="0,0,0,0"/>
                <v:imagedata r:id="rId37"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727065" cy="8612505"/>
                <wp:effectExtent l="0" t="0" r="5080" b="1905"/>
                <wp:docPr id="22"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4"/>
                        <pic:cNvPicPr>
                          <a:picLocks noChangeAspect="1"/>
                        </pic:cNvPicPr>
                        <pic:nvPr/>
                      </pic:nvPicPr>
                      <pic:blipFill>
                        <a:blip r:embed="rId38"/>
                        <a:stretch/>
                      </pic:blipFill>
                      <pic:spPr bwMode="auto">
                        <a:xfrm>
                          <a:off x="0" y="0"/>
                          <a:ext cx="5727065" cy="8612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0.9pt;height:678.1pt;mso-wrap-distance-left:0.0pt;mso-wrap-distance-top:0.0pt;mso-wrap-distance-right:0.0pt;mso-wrap-distance-bottom:0.0pt;" stroked="f">
                <v:path textboxrect="0,0,0,0"/>
                <v:imagedata r:id="rId38" o:title=""/>
              </v:shape>
            </w:pict>
          </mc:Fallback>
        </mc:AlternateContent>
      </w:r>
      <w:r/>
    </w:p>
    <w:p>
      <w:pPr>
        <w:ind w:firstLine="482"/>
        <w:jc w:val="center"/>
        <w:spacing w:before="120" w:after="120" w:line="360" w:lineRule="auto"/>
      </w:pPr>
      <w:r>
        <mc:AlternateContent>
          <mc:Choice Requires="wpg">
            <w:drawing>
              <wp:inline xmlns:wp="http://schemas.openxmlformats.org/drawingml/2006/wordprocessingDrawing" distT="0" distB="0" distL="0" distR="0">
                <wp:extent cx="5398770" cy="8855710"/>
                <wp:effectExtent l="0" t="0" r="9525" b="6985"/>
                <wp:docPr id="2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5"/>
                        <pic:cNvPicPr>
                          <a:picLocks noChangeAspect="1"/>
                        </pic:cNvPicPr>
                        <pic:nvPr/>
                      </pic:nvPicPr>
                      <pic:blipFill>
                        <a:blip r:embed="rId39"/>
                        <a:stretch/>
                      </pic:blipFill>
                      <pic:spPr bwMode="auto">
                        <a:xfrm>
                          <a:off x="0" y="0"/>
                          <a:ext cx="5398770" cy="8855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25.1pt;height:697.3pt;mso-wrap-distance-left:0.0pt;mso-wrap-distance-top:0.0pt;mso-wrap-distance-right:0.0pt;mso-wrap-distance-bottom:0.0pt;" stroked="f">
                <v:path textboxrect="0,0,0,0"/>
                <v:imagedata r:id="rId39" o:title=""/>
              </v:shape>
            </w:pict>
          </mc:Fallback>
        </mc:AlternateContent>
      </w:r>
      <w:r/>
    </w:p>
    <w:p>
      <w:pPr>
        <w:jc w:val="center"/>
      </w:pPr>
      <w:r>
        <mc:AlternateContent>
          <mc:Choice Requires="wpg">
            <w:drawing>
              <wp:inline xmlns:wp="http://schemas.openxmlformats.org/drawingml/2006/wordprocessingDrawing" distT="0" distB="0" distL="0" distR="0">
                <wp:extent cx="5730240" cy="8576945"/>
                <wp:effectExtent l="0" t="0" r="1905" b="5080"/>
                <wp:docPr id="2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6"/>
                        <pic:cNvPicPr>
                          <a:picLocks noChangeAspect="1"/>
                        </pic:cNvPicPr>
                        <pic:nvPr/>
                      </pic:nvPicPr>
                      <pic:blipFill>
                        <a:blip r:embed="rId40"/>
                        <a:stretch/>
                      </pic:blipFill>
                      <pic:spPr bwMode="auto">
                        <a:xfrm>
                          <a:off x="0" y="0"/>
                          <a:ext cx="5730240" cy="8576945"/>
                        </a:xfrm>
                        <a:prstGeom prst="rect">
                          <a:avLst/>
                        </a:prstGeom>
                        <a:noFill/>
                        <a:ln>
                          <a:noFill/>
                          <a:beve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1.2pt;height:675.4pt;mso-wrap-distance-left:0.0pt;mso-wrap-distance-top:0.0pt;mso-wrap-distance-right:0.0pt;mso-wrap-distance-bottom:0.0pt;" stroked="f">
                <v:path textboxrect="0,0,0,0"/>
                <v:imagedata r:id="rId40" o:title=""/>
              </v:shape>
            </w:pict>
          </mc:Fallback>
        </mc:AlternateContent>
      </w:r>
      <w:r/>
    </w:p>
    <w:p>
      <w:pPr>
        <w:jc w:val="center"/>
      </w:pPr>
      <w:r>
        <mc:AlternateContent>
          <mc:Choice Requires="wpg">
            <w:drawing>
              <wp:inline xmlns:wp="http://schemas.openxmlformats.org/drawingml/2006/wordprocessingDrawing" distT="0" distB="0" distL="0" distR="0">
                <wp:extent cx="5723890" cy="3849370"/>
                <wp:effectExtent l="0" t="0" r="8255" b="4445"/>
                <wp:docPr id="2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7"/>
                        <pic:cNvPicPr>
                          <a:picLocks noChangeAspect="1"/>
                        </pic:cNvPicPr>
                        <pic:nvPr/>
                      </pic:nvPicPr>
                      <pic:blipFill>
                        <a:blip r:embed="rId41"/>
                        <a:stretch/>
                      </pic:blipFill>
                      <pic:spPr bwMode="auto">
                        <a:xfrm>
                          <a:off x="0" y="0"/>
                          <a:ext cx="5723890" cy="3849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50.7pt;height:303.1pt;mso-wrap-distance-left:0.0pt;mso-wrap-distance-top:0.0pt;mso-wrap-distance-right:0.0pt;mso-wrap-distance-bottom:0.0pt;" stroked="f">
                <v:path textboxrect="0,0,0,0"/>
                <v:imagedata r:id="rId41" o:title=""/>
              </v:shape>
            </w:pict>
          </mc:Fallback>
        </mc:AlternateContent>
      </w:r>
      <w:r/>
    </w:p>
    <w:p>
      <w:pPr>
        <w:jc w:val="center"/>
      </w:pPr>
      <w:r>
        <mc:AlternateContent>
          <mc:Choice Requires="wpg">
            <w:drawing>
              <wp:inline xmlns:wp="http://schemas.openxmlformats.org/drawingml/2006/wordprocessingDrawing" distT="0" distB="0" distL="0" distR="0">
                <wp:extent cx="5726430" cy="8528685"/>
                <wp:effectExtent l="0" t="0" r="5715" b="10160"/>
                <wp:docPr id="2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8"/>
                        <pic:cNvPicPr>
                          <a:picLocks noChangeAspect="1"/>
                        </pic:cNvPicPr>
                        <pic:nvPr/>
                      </pic:nvPicPr>
                      <pic:blipFill>
                        <a:blip r:embed="rId42"/>
                        <a:stretch/>
                      </pic:blipFill>
                      <pic:spPr bwMode="auto">
                        <a:xfrm>
                          <a:off x="0" y="0"/>
                          <a:ext cx="5726430" cy="8528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50.9pt;height:671.5pt;mso-wrap-distance-left:0.0pt;mso-wrap-distance-top:0.0pt;mso-wrap-distance-right:0.0pt;mso-wrap-distance-bottom:0.0pt;" stroked="f">
                <v:path textboxrect="0,0,0,0"/>
                <v:imagedata r:id="rId42" o:title=""/>
              </v:shape>
            </w:pict>
          </mc:Fallback>
        </mc:AlternateContent>
      </w:r>
      <w:r/>
    </w:p>
    <w:p>
      <w:pPr>
        <w:jc w:val="center"/>
      </w:pPr>
      <w:r>
        <mc:AlternateContent>
          <mc:Choice Requires="wpg">
            <w:drawing>
              <wp:inline xmlns:wp="http://schemas.openxmlformats.org/drawingml/2006/wordprocessingDrawing" distT="0" distB="0" distL="0" distR="0">
                <wp:extent cx="5725795" cy="8547100"/>
                <wp:effectExtent l="0" t="0" r="6350" b="2540"/>
                <wp:docPr id="2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9"/>
                        <pic:cNvPicPr>
                          <a:picLocks noChangeAspect="1"/>
                        </pic:cNvPicPr>
                        <pic:nvPr/>
                      </pic:nvPicPr>
                      <pic:blipFill>
                        <a:blip r:embed="rId43"/>
                        <a:stretch/>
                      </pic:blipFill>
                      <pic:spPr bwMode="auto">
                        <a:xfrm>
                          <a:off x="0" y="0"/>
                          <a:ext cx="5725795" cy="8547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50.8pt;height:673.0pt;mso-wrap-distance-left:0.0pt;mso-wrap-distance-top:0.0pt;mso-wrap-distance-right:0.0pt;mso-wrap-distance-bottom:0.0pt;" stroked="f">
                <v:path textboxrect="0,0,0,0"/>
                <v:imagedata r:id="rId43" o:title=""/>
              </v:shape>
            </w:pict>
          </mc:Fallback>
        </mc:AlternateContent>
      </w:r>
      <w:r/>
    </w:p>
    <w:p>
      <w:pPr>
        <w:jc w:val="center"/>
      </w:pPr>
      <w:r>
        <mc:AlternateContent>
          <mc:Choice Requires="wpg">
            <w:drawing>
              <wp:inline xmlns:wp="http://schemas.openxmlformats.org/drawingml/2006/wordprocessingDrawing" distT="0" distB="0" distL="0" distR="0">
                <wp:extent cx="5731510" cy="9159240"/>
                <wp:effectExtent l="0" t="0" r="635" b="5715"/>
                <wp:docPr id="28"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0"/>
                        <pic:cNvPicPr>
                          <a:picLocks noChangeAspect="1"/>
                        </pic:cNvPicPr>
                        <pic:nvPr/>
                      </pic:nvPicPr>
                      <pic:blipFill>
                        <a:blip r:embed="rId44"/>
                        <a:stretch/>
                      </pic:blipFill>
                      <pic:spPr bwMode="auto">
                        <a:xfrm>
                          <a:off x="0" y="0"/>
                          <a:ext cx="5731510" cy="9159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51.3pt;height:721.2pt;mso-wrap-distance-left:0.0pt;mso-wrap-distance-top:0.0pt;mso-wrap-distance-right:0.0pt;mso-wrap-distance-bottom:0.0pt;" stroked="f">
                <v:path textboxrect="0,0,0,0"/>
                <v:imagedata r:id="rId44" o:title=""/>
              </v:shape>
            </w:pict>
          </mc:Fallback>
        </mc:AlternateContent>
      </w:r>
      <w:r/>
    </w:p>
    <w:p>
      <w:pPr>
        <w:jc w:val="center"/>
      </w:pPr>
      <w:r>
        <mc:AlternateContent>
          <mc:Choice Requires="wpg">
            <w:drawing>
              <wp:inline xmlns:wp="http://schemas.openxmlformats.org/drawingml/2006/wordprocessingDrawing" distT="0" distB="0" distL="0" distR="0">
                <wp:extent cx="5728970" cy="8848090"/>
                <wp:effectExtent l="0" t="0" r="3175" b="3810"/>
                <wp:docPr id="2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1"/>
                        <pic:cNvPicPr>
                          <a:picLocks noChangeAspect="1"/>
                        </pic:cNvPicPr>
                        <pic:nvPr/>
                      </pic:nvPicPr>
                      <pic:blipFill>
                        <a:blip r:embed="rId45"/>
                        <a:stretch/>
                      </pic:blipFill>
                      <pic:spPr bwMode="auto">
                        <a:xfrm>
                          <a:off x="0" y="0"/>
                          <a:ext cx="5728970" cy="8848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51.1pt;height:696.7pt;mso-wrap-distance-left:0.0pt;mso-wrap-distance-top:0.0pt;mso-wrap-distance-right:0.0pt;mso-wrap-distance-bottom:0.0pt;" stroked="f">
                <v:path textboxrect="0,0,0,0"/>
                <v:imagedata r:id="rId45" o:title=""/>
              </v:shape>
            </w:pict>
          </mc:Fallback>
        </mc:AlternateContent>
      </w:r>
      <w:r/>
    </w:p>
    <w:p>
      <w:pPr>
        <w:jc w:val="center"/>
      </w:pPr>
      <w:r>
        <mc:AlternateContent>
          <mc:Choice Requires="wpg">
            <w:drawing>
              <wp:inline xmlns:wp="http://schemas.openxmlformats.org/drawingml/2006/wordprocessingDrawing" distT="0" distB="0" distL="0" distR="0">
                <wp:extent cx="5725795" cy="8503285"/>
                <wp:effectExtent l="0" t="0" r="6350" b="3175"/>
                <wp:docPr id="30"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2"/>
                        <pic:cNvPicPr>
                          <a:picLocks noChangeAspect="1"/>
                        </pic:cNvPicPr>
                        <pic:nvPr/>
                      </pic:nvPicPr>
                      <pic:blipFill>
                        <a:blip r:embed="rId46"/>
                        <a:stretch/>
                      </pic:blipFill>
                      <pic:spPr bwMode="auto">
                        <a:xfrm>
                          <a:off x="0" y="0"/>
                          <a:ext cx="5725795" cy="8503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50.8pt;height:669.5pt;mso-wrap-distance-left:0.0pt;mso-wrap-distance-top:0.0pt;mso-wrap-distance-right:0.0pt;mso-wrap-distance-bottom:0.0pt;" stroked="f">
                <v:path textboxrect="0,0,0,0"/>
                <v:imagedata r:id="rId46" o:title=""/>
              </v:shape>
            </w:pict>
          </mc:Fallback>
        </mc:AlternateContent>
      </w:r>
      <w:r/>
    </w:p>
    <w:p>
      <w:pPr>
        <w:jc w:val="center"/>
      </w:pPr>
      <w:r>
        <mc:AlternateContent>
          <mc:Choice Requires="wpg">
            <w:drawing>
              <wp:inline xmlns:wp="http://schemas.openxmlformats.org/drawingml/2006/wordprocessingDrawing" distT="0" distB="0" distL="0" distR="0">
                <wp:extent cx="5725160" cy="8402955"/>
                <wp:effectExtent l="0" t="0" r="6985" b="6350"/>
                <wp:docPr id="31"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3"/>
                        <pic:cNvPicPr>
                          <a:picLocks noChangeAspect="1"/>
                        </pic:cNvPicPr>
                        <pic:nvPr/>
                      </pic:nvPicPr>
                      <pic:blipFill>
                        <a:blip r:embed="rId47"/>
                        <a:stretch/>
                      </pic:blipFill>
                      <pic:spPr bwMode="auto">
                        <a:xfrm>
                          <a:off x="0" y="0"/>
                          <a:ext cx="5725160" cy="8402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50.8pt;height:661.6pt;mso-wrap-distance-left:0.0pt;mso-wrap-distance-top:0.0pt;mso-wrap-distance-right:0.0pt;mso-wrap-distance-bottom:0.0pt;" stroked="f">
                <v:path textboxrect="0,0,0,0"/>
                <v:imagedata r:id="rId47" o:title=""/>
              </v:shape>
            </w:pict>
          </mc:Fallback>
        </mc:AlternateContent>
      </w:r>
      <w:r/>
    </w:p>
    <w:p>
      <w:pPr>
        <w:jc w:val="center"/>
      </w:pPr>
      <w:r/>
      <w:r/>
    </w:p>
    <w:p>
      <w:pPr>
        <w:jc w:val="center"/>
      </w:pPr>
      <w:r/>
      <w:r/>
    </w:p>
    <w:p>
      <w:pPr>
        <w:jc w:val="center"/>
      </w:pPr>
      <w:r>
        <mc:AlternateContent>
          <mc:Choice Requires="wpg">
            <w:drawing>
              <wp:inline xmlns:wp="http://schemas.openxmlformats.org/drawingml/2006/wordprocessingDrawing" distT="0" distB="0" distL="0" distR="0">
                <wp:extent cx="5730240" cy="8506460"/>
                <wp:effectExtent l="0" t="0" r="1905" b="0"/>
                <wp:docPr id="32"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4"/>
                        <pic:cNvPicPr>
                          <a:picLocks noChangeAspect="1"/>
                        </pic:cNvPicPr>
                        <pic:nvPr/>
                      </pic:nvPicPr>
                      <pic:blipFill>
                        <a:blip r:embed="rId48"/>
                        <a:stretch/>
                      </pic:blipFill>
                      <pic:spPr bwMode="auto">
                        <a:xfrm>
                          <a:off x="0" y="0"/>
                          <a:ext cx="5730240" cy="8506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51.2pt;height:669.8pt;mso-wrap-distance-left:0.0pt;mso-wrap-distance-top:0.0pt;mso-wrap-distance-right:0.0pt;mso-wrap-distance-bottom:0.0pt;" stroked="f">
                <v:path textboxrect="0,0,0,0"/>
                <v:imagedata r:id="rId48" o:title=""/>
              </v:shape>
            </w:pict>
          </mc:Fallback>
        </mc:AlternateContent>
      </w:r>
      <w:r/>
    </w:p>
    <w:p>
      <w:pPr>
        <w:jc w:val="center"/>
      </w:pPr>
      <w:r/>
      <w:r/>
    </w:p>
    <w:p>
      <w:pPr>
        <w:jc w:val="center"/>
      </w:pPr>
      <w:r>
        <mc:AlternateContent>
          <mc:Choice Requires="wpg">
            <w:drawing>
              <wp:inline xmlns:wp="http://schemas.openxmlformats.org/drawingml/2006/wordprocessingDrawing" distT="0" distB="0" distL="0" distR="0">
                <wp:extent cx="5725795" cy="8079105"/>
                <wp:effectExtent l="0" t="0" r="6350" b="6350"/>
                <wp:docPr id="33"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5"/>
                        <pic:cNvPicPr>
                          <a:picLocks noChangeAspect="1"/>
                        </pic:cNvPicPr>
                        <pic:nvPr/>
                      </pic:nvPicPr>
                      <pic:blipFill>
                        <a:blip r:embed="rId49"/>
                        <a:stretch/>
                      </pic:blipFill>
                      <pic:spPr bwMode="auto">
                        <a:xfrm>
                          <a:off x="0" y="0"/>
                          <a:ext cx="5725795" cy="8079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50.8pt;height:636.1pt;mso-wrap-distance-left:0.0pt;mso-wrap-distance-top:0.0pt;mso-wrap-distance-right:0.0pt;mso-wrap-distance-bottom:0.0pt;" stroked="f">
                <v:path textboxrect="0,0,0,0"/>
                <v:imagedata r:id="rId49" o:title=""/>
              </v:shape>
            </w:pict>
          </mc:Fallback>
        </mc:AlternateContent>
      </w:r>
      <w:r/>
    </w:p>
    <w:p>
      <w:pPr>
        <w:jc w:val="center"/>
      </w:pPr>
      <w:r/>
      <w:r/>
    </w:p>
    <w:p>
      <w:pPr>
        <w:jc w:val="center"/>
      </w:pPr>
      <w:r/>
      <w:r/>
    </w:p>
    <w:p>
      <w:pPr>
        <w:jc w:val="center"/>
      </w:pPr>
      <w:r>
        <mc:AlternateContent>
          <mc:Choice Requires="wpg">
            <w:drawing>
              <wp:inline xmlns:wp="http://schemas.openxmlformats.org/drawingml/2006/wordprocessingDrawing" distT="0" distB="0" distL="0" distR="0">
                <wp:extent cx="5727065" cy="8713470"/>
                <wp:effectExtent l="0" t="0" r="5080" b="8890"/>
                <wp:docPr id="34"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6"/>
                        <pic:cNvPicPr>
                          <a:picLocks noChangeAspect="1"/>
                        </pic:cNvPicPr>
                        <pic:nvPr/>
                      </pic:nvPicPr>
                      <pic:blipFill>
                        <a:blip r:embed="rId50"/>
                        <a:stretch/>
                      </pic:blipFill>
                      <pic:spPr bwMode="auto">
                        <a:xfrm>
                          <a:off x="0" y="0"/>
                          <a:ext cx="5727065" cy="8713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50.9pt;height:686.1pt;mso-wrap-distance-left:0.0pt;mso-wrap-distance-top:0.0pt;mso-wrap-distance-right:0.0pt;mso-wrap-distance-bottom:0.0pt;" stroked="f">
                <v:path textboxrect="0,0,0,0"/>
                <v:imagedata r:id="rId50" o:title=""/>
              </v:shape>
            </w:pict>
          </mc:Fallback>
        </mc:AlternateContent>
      </w:r>
      <w:r/>
    </w:p>
    <w:p>
      <w:pPr>
        <w:jc w:val="center"/>
      </w:pPr>
      <w:r>
        <mc:AlternateContent>
          <mc:Choice Requires="wpg">
            <w:drawing>
              <wp:inline xmlns:wp="http://schemas.openxmlformats.org/drawingml/2006/wordprocessingDrawing" distT="0" distB="0" distL="0" distR="0">
                <wp:extent cx="5730875" cy="8726805"/>
                <wp:effectExtent l="0" t="0" r="1270" b="6350"/>
                <wp:docPr id="35"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7"/>
                        <pic:cNvPicPr>
                          <a:picLocks noChangeAspect="1"/>
                        </pic:cNvPicPr>
                        <pic:nvPr/>
                      </pic:nvPicPr>
                      <pic:blipFill>
                        <a:blip r:embed="rId51"/>
                        <a:stretch/>
                      </pic:blipFill>
                      <pic:spPr bwMode="auto">
                        <a:xfrm>
                          <a:off x="0" y="0"/>
                          <a:ext cx="5730875" cy="8726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51.2pt;height:687.1pt;mso-wrap-distance-left:0.0pt;mso-wrap-distance-top:0.0pt;mso-wrap-distance-right:0.0pt;mso-wrap-distance-bottom:0.0pt;" stroked="f">
                <v:path textboxrect="0,0,0,0"/>
                <v:imagedata r:id="rId51" o:title=""/>
              </v:shape>
            </w:pict>
          </mc:Fallback>
        </mc:AlternateContent>
      </w:r>
      <w:r/>
    </w:p>
    <w:p>
      <w:pPr>
        <w:jc w:val="center"/>
      </w:pPr>
      <w:r>
        <mc:AlternateContent>
          <mc:Choice Requires="wpg">
            <w:drawing>
              <wp:inline xmlns:wp="http://schemas.openxmlformats.org/drawingml/2006/wordprocessingDrawing" distT="0" distB="0" distL="0" distR="0">
                <wp:extent cx="5730875" cy="9076055"/>
                <wp:effectExtent l="0" t="0" r="1270" b="2540"/>
                <wp:docPr id="36"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8"/>
                        <pic:cNvPicPr>
                          <a:picLocks noChangeAspect="1"/>
                        </pic:cNvPicPr>
                        <pic:nvPr/>
                      </pic:nvPicPr>
                      <pic:blipFill>
                        <a:blip r:embed="rId52"/>
                        <a:stretch/>
                      </pic:blipFill>
                      <pic:spPr bwMode="auto">
                        <a:xfrm>
                          <a:off x="0" y="0"/>
                          <a:ext cx="5730875" cy="9076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51.2pt;height:714.6pt;mso-wrap-distance-left:0.0pt;mso-wrap-distance-top:0.0pt;mso-wrap-distance-right:0.0pt;mso-wrap-distance-bottom:0.0pt;" stroked="f">
                <v:path textboxrect="0,0,0,0"/>
                <v:imagedata r:id="rId52" o:title=""/>
              </v:shape>
            </w:pict>
          </mc:Fallback>
        </mc:AlternateContent>
      </w:r>
      <w:r/>
    </w:p>
    <w:p>
      <w:pPr>
        <w:jc w:val="center"/>
      </w:pPr>
      <w:r>
        <mc:AlternateContent>
          <mc:Choice Requires="wpg">
            <w:drawing>
              <wp:inline xmlns:wp="http://schemas.openxmlformats.org/drawingml/2006/wordprocessingDrawing" distT="0" distB="0" distL="0" distR="0">
                <wp:extent cx="5727065" cy="8682990"/>
                <wp:effectExtent l="0" t="0" r="5080" b="6985"/>
                <wp:docPr id="37"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9"/>
                        <pic:cNvPicPr>
                          <a:picLocks noChangeAspect="1"/>
                        </pic:cNvPicPr>
                        <pic:nvPr/>
                      </pic:nvPicPr>
                      <pic:blipFill>
                        <a:blip r:embed="rId53"/>
                        <a:stretch/>
                      </pic:blipFill>
                      <pic:spPr bwMode="auto">
                        <a:xfrm>
                          <a:off x="0" y="0"/>
                          <a:ext cx="5727065" cy="8682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50.9pt;height:683.7pt;mso-wrap-distance-left:0.0pt;mso-wrap-distance-top:0.0pt;mso-wrap-distance-right:0.0pt;mso-wrap-distance-bottom:0.0pt;" stroked="f">
                <v:path textboxrect="0,0,0,0"/>
                <v:imagedata r:id="rId53" o:title=""/>
              </v:shape>
            </w:pict>
          </mc:Fallback>
        </mc:AlternateContent>
      </w:r>
      <w:r/>
    </w:p>
    <w:p>
      <w:pPr>
        <w:rPr>
          <w:rFonts w:ascii="黑体" w:hAnsi="宋体" w:eastAsia="黑体"/>
          <w:color w:val="000000"/>
          <w:sz w:val="32"/>
          <w:szCs w:val="20"/>
        </w:rPr>
      </w:pPr>
      <w:r/>
      <w:bookmarkStart w:id="316" w:name="_Toc29485"/>
      <w:r/>
      <w:bookmarkStart w:id="317" w:name="_Toc10527"/>
      <w:r>
        <mc:AlternateContent>
          <mc:Choice Requires="wpg">
            <w:drawing>
              <wp:inline xmlns:wp="http://schemas.openxmlformats.org/drawingml/2006/wordprocessingDrawing" distT="0" distB="0" distL="0" distR="0">
                <wp:extent cx="5727700" cy="8680450"/>
                <wp:effectExtent l="0" t="0" r="4445" b="9525"/>
                <wp:docPr id="38"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0"/>
                        <pic:cNvPicPr>
                          <a:picLocks noChangeAspect="1"/>
                        </pic:cNvPicPr>
                        <pic:nvPr/>
                      </pic:nvPicPr>
                      <pic:blipFill>
                        <a:blip r:embed="rId54"/>
                        <a:stretch/>
                      </pic:blipFill>
                      <pic:spPr bwMode="auto">
                        <a:xfrm>
                          <a:off x="0" y="0"/>
                          <a:ext cx="5727700" cy="8680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51.0pt;height:683.5pt;mso-wrap-distance-left:0.0pt;mso-wrap-distance-top:0.0pt;mso-wrap-distance-right:0.0pt;mso-wrap-distance-bottom:0.0pt;" stroked="f">
                <v:path textboxrect="0,0,0,0"/>
                <v:imagedata r:id="rId54" o:title=""/>
              </v:shape>
            </w:pict>
          </mc:Fallback>
        </mc:AlternateContent>
      </w:r>
      <w:r>
        <mc:AlternateContent>
          <mc:Choice Requires="wpg">
            <w:drawing>
              <wp:inline xmlns:wp="http://schemas.openxmlformats.org/drawingml/2006/wordprocessingDrawing" distT="0" distB="0" distL="0" distR="0">
                <wp:extent cx="5729605" cy="8544560"/>
                <wp:effectExtent l="0" t="0" r="2540" b="5080"/>
                <wp:docPr id="39"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1"/>
                        <pic:cNvPicPr>
                          <a:picLocks noChangeAspect="1"/>
                        </pic:cNvPicPr>
                        <pic:nvPr/>
                      </pic:nvPicPr>
                      <pic:blipFill>
                        <a:blip r:embed="rId55"/>
                        <a:stretch/>
                      </pic:blipFill>
                      <pic:spPr bwMode="auto">
                        <a:xfrm>
                          <a:off x="0" y="0"/>
                          <a:ext cx="5729605" cy="8544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51.1pt;height:672.8pt;mso-wrap-distance-left:0.0pt;mso-wrap-distance-top:0.0pt;mso-wrap-distance-right:0.0pt;mso-wrap-distance-bottom:0.0pt;" stroked="f">
                <v:path textboxrect="0,0,0,0"/>
                <v:imagedata r:id="rId55" o:title=""/>
              </v:shape>
            </w:pict>
          </mc:Fallback>
        </mc:AlternateContent>
      </w:r>
      <w:r>
        <mc:AlternateContent>
          <mc:Choice Requires="wpg">
            <w:drawing>
              <wp:inline xmlns:wp="http://schemas.openxmlformats.org/drawingml/2006/wordprocessingDrawing" distT="0" distB="0" distL="0" distR="0">
                <wp:extent cx="5725795" cy="9113520"/>
                <wp:effectExtent l="0" t="0" r="6350" b="8255"/>
                <wp:docPr id="40"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2"/>
                        <pic:cNvPicPr>
                          <a:picLocks noChangeAspect="1"/>
                        </pic:cNvPicPr>
                        <pic:nvPr/>
                      </pic:nvPicPr>
                      <pic:blipFill>
                        <a:blip r:embed="rId56"/>
                        <a:stretch/>
                      </pic:blipFill>
                      <pic:spPr bwMode="auto">
                        <a:xfrm>
                          <a:off x="0" y="0"/>
                          <a:ext cx="5725795" cy="9113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50.8pt;height:717.6pt;mso-wrap-distance-left:0.0pt;mso-wrap-distance-top:0.0pt;mso-wrap-distance-right:0.0pt;mso-wrap-distance-bottom:0.0pt;" stroked="f">
                <v:path textboxrect="0,0,0,0"/>
                <v:imagedata r:id="rId56" o:title=""/>
              </v:shape>
            </w:pict>
          </mc:Fallback>
        </mc:AlternateContent>
      </w:r>
      <w:bookmarkEnd w:id="316"/>
      <w:r/>
      <w:bookmarkEnd w:id="317"/>
      <w:r/>
      <w:r/>
    </w:p>
    <w:p>
      <w:pPr>
        <w:ind w:left="563" w:right="315" w:hanging="280"/>
        <w:jc w:val="center"/>
        <w:spacing w:line="1600" w:lineRule="exact"/>
        <w:rPr>
          <w:rFonts w:ascii="长城小标宋体" w:hAnsi="宋体" w:eastAsia="长城小标宋体"/>
          <w:color w:val="ff0000"/>
          <w:sz w:val="100"/>
          <w:szCs w:val="100"/>
        </w:rPr>
      </w:pPr>
      <w:r>
        <w:rPr>
          <w:rFonts w:hint="eastAsia" w:ascii="华文中宋" w:hAnsi="华文中宋" w:eastAsia="华文中宋" w:cs="华文中宋"/>
          <w:color w:val="ff0000"/>
          <w:spacing w:val="-20"/>
          <w:sz w:val="144"/>
          <w:szCs w:val="132"/>
        </w:rPr>
        <w:t xml:space="preserve">高邮市审计局文件</w:t>
      </w:r>
      <w:r/>
    </w:p>
    <w:p>
      <w:pPr>
        <w:ind w:right="69"/>
        <w:spacing w:line="348" w:lineRule="auto"/>
        <w:rPr>
          <w:rFonts w:ascii="仿宋_GB2312" w:hAnsi="宋体" w:eastAsia="仿宋_GB2312"/>
          <w:color w:val="000000"/>
          <w:sz w:val="32"/>
          <w:szCs w:val="20"/>
        </w:rPr>
      </w:pPr>
      <w:r>
        <w:rPr>
          <w:rFonts w:ascii="仿宋_GB2312" w:hAnsi="宋体" w:eastAsia="仿宋_GB2312"/>
          <w:color w:val="000000"/>
          <w:sz w:val="32"/>
          <w:szCs w:val="20"/>
        </w:rPr>
      </w:r>
      <w:r/>
    </w:p>
    <w:p>
      <w:pPr>
        <w:ind w:left="197" w:right="31"/>
        <w:jc w:val="center"/>
        <w:rPr>
          <w:rFonts w:ascii="Times New Roman" w:hAnsi="Times New Roman" w:eastAsia="楷体_GB2312"/>
          <w:color w:val="000000"/>
          <w:sz w:val="28"/>
          <w:szCs w:val="20"/>
        </w:rPr>
      </w:pPr>
      <w:r>
        <w:rPr>
          <w:rFonts w:ascii="Times New Roman" w:hAnsi="Times New Roman" w:eastAsia="仿宋_GB2312"/>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-10160</wp:posOffset>
                </wp:positionH>
                <wp:positionV relativeFrom="paragraph">
                  <wp:posOffset>472440</wp:posOffset>
                </wp:positionV>
                <wp:extent cx="5615940" cy="0"/>
                <wp:effectExtent l="0" t="12700" r="8255" b="19685"/>
                <wp:wrapNone/>
                <wp:docPr id="41" name="shape 0"/>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ln w="25400" cap="flat" cmpd="sng">
                          <a:solidFill>
                            <a:srgbClr val="FF0000"/>
                          </a:solidFill>
                          <a:prstDash val="solid"/>
                          <a:headEnd type="none" w="med" len="med"/>
                          <a:tailEnd type="none" w="med" len="med"/>
                        </a:ln>
                      </wps:spPr>
                      <wps:bodyPr rot="0">
                        <a:prstTxWarp prst="textNoShape">
                          <a:avLst/>
                        </a:prstTxWarp>
                        <a:noAutofit/>
                      </wps:bodyPr>
                    </wps:wsp>
                  </a:graphicData>
                </a:graphic>
              </wp:anchor>
            </w:drawing>
          </mc:Choice>
          <mc:Fallback>
            <w:pict>
              <v:line id="shape 40" o:spid="_x0000_s40" style="position:absolute;left:0;text-align:left;z-index:251659264;mso-wrap-distance-left:9.0pt;mso-wrap-distance-top:0.0pt;mso-wrap-distance-right:9.0pt;mso-wrap-distance-bottom:0.0pt;visibility:visible;" from="-0.8pt,37.2pt" to="441.4pt,37.2pt" filled="f" strokecolor="#FF0000" strokeweight="2.00pt">
                <v:stroke dashstyle="solid"/>
              </v:line>
            </w:pict>
          </mc:Fallback>
        </mc:AlternateContent>
      </w:r>
      <w:r>
        <w:rPr>
          <w:rFonts w:hint="eastAsia" w:ascii="Times New Roman" w:hAnsi="Times New Roman" w:eastAsia="楷体_GB2312"/>
          <w:color w:val="000000"/>
          <w:sz w:val="32"/>
          <w:szCs w:val="20"/>
        </w:rPr>
        <w:t xml:space="preserve">邮审发〔2021〕24号</w:t>
      </w:r>
      <w:r/>
    </w:p>
    <w:p>
      <w:pPr>
        <w:ind w:right="69" w:firstLine="312"/>
        <w:spacing w:after="227" w:line="348" w:lineRule="auto"/>
        <w:tabs>
          <w:tab w:val="left" w:pos="8505" w:leader="none"/>
        </w:tabs>
        <w:rPr>
          <w:rFonts w:ascii="Times New Roman" w:hAnsi="Times New Roman" w:eastAsia="仿宋_GB2312"/>
          <w:color w:val="000000"/>
          <w:spacing w:val="-4"/>
          <w:sz w:val="32"/>
          <w:szCs w:val="20"/>
        </w:rPr>
      </w:pPr>
      <w:r>
        <w:rPr>
          <w:rFonts w:hint="eastAsia" w:ascii="楷体_GB2312" w:hAnsi="Times New Roman" w:eastAsia="楷体_GB2312"/>
          <w:color w:val="ffffff"/>
          <w:spacing w:val="-4"/>
          <w:sz w:val="32"/>
          <w:szCs w:val="20"/>
        </w:rPr>
        <w:t xml:space="preserve">好</w:t>
      </w:r>
      <w:r/>
    </w:p>
    <w:p>
      <w:pPr>
        <w:jc w:val="center"/>
        <w:spacing w:line="600" w:lineRule="exact"/>
        <w:rPr>
          <w:rFonts w:ascii="黑体" w:hAnsi="黑体" w:eastAsia="黑体" w:cs="黑体"/>
          <w:sz w:val="44"/>
          <w:szCs w:val="44"/>
        </w:rPr>
      </w:pPr>
      <w:r/>
      <w:bookmarkStart w:id="318" w:name="主送机关"/>
      <w:r/>
      <w:bookmarkEnd w:id="318"/>
      <w:r/>
      <w:bookmarkStart w:id="319" w:name="文件标题"/>
      <w:r/>
      <w:bookmarkEnd w:id="319"/>
      <w:r>
        <w:rPr>
          <w:rFonts w:hint="eastAsia" w:ascii="黑体" w:hAnsi="黑体" w:eastAsia="黑体" w:cs="黑体"/>
          <w:sz w:val="44"/>
          <w:szCs w:val="44"/>
        </w:rPr>
        <w:t xml:space="preserve">高邮市审计局关于</w:t>
      </w:r>
      <w:r/>
    </w:p>
    <w:p>
      <w:pPr>
        <w:jc w:val="center"/>
        <w:spacing w:line="600" w:lineRule="exact"/>
        <w:rPr>
          <w:rFonts w:ascii="黑体" w:hAnsi="黑体" w:eastAsia="黑体" w:cs="黑体"/>
          <w:sz w:val="44"/>
          <w:szCs w:val="44"/>
        </w:rPr>
      </w:pPr>
      <w:r>
        <w:rPr>
          <w:rFonts w:hint="eastAsia" w:ascii="黑体" w:hAnsi="黑体" w:eastAsia="黑体" w:cs="黑体"/>
          <w:sz w:val="44"/>
          <w:szCs w:val="44"/>
        </w:rPr>
        <w:t xml:space="preserve">印发《高邮市审计局政府投资</w:t>
      </w:r>
      <w:r/>
    </w:p>
    <w:p>
      <w:pPr>
        <w:jc w:val="center"/>
        <w:spacing w:line="600" w:lineRule="exact"/>
        <w:rPr>
          <w:rFonts w:ascii="黑体" w:hAnsi="黑体" w:eastAsia="黑体" w:cs="黑体"/>
          <w:sz w:val="44"/>
          <w:szCs w:val="44"/>
        </w:rPr>
      </w:pPr>
      <w:r>
        <w:rPr>
          <w:rFonts w:hint="eastAsia" w:ascii="黑体" w:hAnsi="黑体" w:eastAsia="黑体" w:cs="黑体"/>
          <w:sz w:val="44"/>
          <w:szCs w:val="44"/>
        </w:rPr>
        <w:t xml:space="preserve">项目协审工作考核办法（试行）》的通知</w:t>
      </w:r>
      <w:r/>
    </w:p>
    <w:p>
      <w:pPr>
        <w:rPr>
          <w:rFonts w:ascii="方正楷体_GBK" w:hAnsi="方正楷体_GBK" w:eastAsia="方正楷体_GBK" w:cs="方正楷体_GBK"/>
          <w:sz w:val="32"/>
          <w:szCs w:val="32"/>
        </w:rPr>
      </w:pPr>
      <w:r>
        <w:rPr>
          <w:rFonts w:ascii="方正楷体_GBK" w:hAnsi="方正楷体_GBK" w:eastAsia="方正楷体_GBK" w:cs="方正楷体_GBK"/>
          <w:sz w:val="32"/>
          <w:szCs w:val="32"/>
        </w:rPr>
      </w:r>
      <w:r/>
    </w:p>
    <w:p>
      <w:pPr>
        <w:spacing w:line="560" w:lineRule="exact"/>
        <w:rPr>
          <w:rFonts w:ascii="仿宋" w:hAnsi="仿宋" w:eastAsia="仿宋" w:cs="仿宋"/>
          <w:sz w:val="32"/>
          <w:szCs w:val="32"/>
        </w:rPr>
      </w:pPr>
      <w:r>
        <w:rPr>
          <w:rFonts w:hint="eastAsia" w:ascii="仿宋" w:hAnsi="仿宋" w:eastAsia="仿宋" w:cs="仿宋"/>
          <w:sz w:val="32"/>
          <w:szCs w:val="32"/>
        </w:rPr>
        <w:t xml:space="preserve">各科室，市固定资产投资审计中心、任期经济责任审计中心：</w:t>
      </w:r>
      <w:r/>
    </w:p>
    <w:p>
      <w:pPr>
        <w:ind w:firstLine="640"/>
        <w:spacing w:line="560" w:lineRule="exact"/>
        <w:rPr>
          <w:rFonts w:ascii="仿宋" w:hAnsi="仿宋" w:eastAsia="仿宋" w:cs="仿宋"/>
          <w:sz w:val="32"/>
          <w:szCs w:val="32"/>
        </w:rPr>
      </w:pPr>
      <w:r>
        <w:rPr>
          <w:rFonts w:hint="eastAsia" w:ascii="仿宋" w:hAnsi="仿宋" w:eastAsia="仿宋" w:cs="仿宋"/>
          <w:sz w:val="32"/>
          <w:szCs w:val="32"/>
        </w:rPr>
        <w:t xml:space="preserve">为进一步加强协审中介机构参与政府投资项目审计的管理，提高协审中介机构审计质量，经研究，制定《高邮市审计局政府投资项目协审工作考核办法（试行）》，现印发给你们，请遵照执行。</w:t>
      </w:r>
      <w:r/>
    </w:p>
    <w:p>
      <w:pPr>
        <w:ind w:firstLine="640"/>
        <w:jc w:val="left"/>
        <w:spacing w:line="560" w:lineRule="exact"/>
        <w:rPr>
          <w:rFonts w:ascii="仿宋" w:hAnsi="仿宋" w:eastAsia="仿宋" w:cs="仿宋"/>
          <w:sz w:val="32"/>
          <w:szCs w:val="32"/>
        </w:rPr>
      </w:pPr>
      <w:r>
        <w:rPr>
          <w:rFonts w:hint="eastAsia" w:ascii="仿宋" w:hAnsi="仿宋" w:eastAsia="仿宋" w:cs="仿宋"/>
          <w:sz w:val="32"/>
          <w:szCs w:val="32"/>
        </w:rPr>
        <w:t xml:space="preserve">附件：高邮市审计局政府投资项目审计管理办法（试行）</w:t>
      </w:r>
      <w:r/>
    </w:p>
    <w:p>
      <w:pPr>
        <w:spacing w:line="560" w:lineRule="exact"/>
        <w:rPr>
          <w:rFonts w:ascii="仿宋" w:hAnsi="仿宋" w:eastAsia="仿宋" w:cs="仿宋"/>
          <w:sz w:val="32"/>
          <w:szCs w:val="32"/>
        </w:rPr>
      </w:pPr>
      <w:r>
        <w:rPr>
          <w:rFonts w:hint="eastAsia" w:ascii="仿宋" w:hAnsi="仿宋" w:eastAsia="仿宋" w:cs="仿宋"/>
          <w:sz w:val="32"/>
          <w:szCs w:val="32"/>
        </w:rPr>
        <w:t xml:space="preserve">                              </w:t>
      </w:r>
      <w:r/>
    </w:p>
    <w:p>
      <w:pPr>
        <w:ind w:firstLine="4800"/>
        <w:spacing w:line="560" w:lineRule="exact"/>
        <w:rPr>
          <w:rFonts w:ascii="仿宋" w:hAnsi="仿宋" w:eastAsia="仿宋" w:cs="仿宋"/>
          <w:sz w:val="32"/>
          <w:szCs w:val="32"/>
        </w:rPr>
      </w:pPr>
      <w:r>
        <w:rPr>
          <w:rFonts w:hint="eastAsia" w:ascii="仿宋" w:hAnsi="仿宋" w:eastAsia="仿宋" w:cs="仿宋"/>
          <w:sz w:val="32"/>
          <w:szCs w:val="32"/>
        </w:rPr>
        <w:t xml:space="preserve">   高邮市审计局</w:t>
      </w:r>
      <w:r/>
    </w:p>
    <w:p>
      <w:pPr>
        <w:ind w:firstLine="5120"/>
        <w:spacing w:line="560" w:lineRule="exact"/>
        <w:rPr>
          <w:rFonts w:ascii="仿宋" w:hAnsi="仿宋" w:eastAsia="仿宋" w:cs="仿宋"/>
          <w:sz w:val="32"/>
          <w:szCs w:val="32"/>
        </w:rPr>
      </w:pPr>
      <w:r/>
      <w:bookmarkStart w:id="320" w:name="_Toc24508"/>
      <w:r/>
      <w:bookmarkStart w:id="321" w:name="_Toc2218"/>
      <w:r>
        <w:rPr>
          <w:rFonts w:hint="eastAsia" w:ascii="仿宋" w:hAnsi="仿宋" w:eastAsia="仿宋" w:cs="仿宋"/>
          <w:sz w:val="32"/>
          <w:szCs w:val="32"/>
        </w:rPr>
        <w:t xml:space="preserve">2021年11月1日</w:t>
      </w:r>
      <w:bookmarkEnd w:id="320"/>
      <w:r/>
      <w:bookmarkEnd w:id="321"/>
      <w:r>
        <w:rPr>
          <w:rFonts w:hint="eastAsia" w:ascii="仿宋" w:hAnsi="仿宋" w:eastAsia="仿宋" w:cs="仿宋"/>
          <w:sz w:val="32"/>
          <w:szCs w:val="32"/>
        </w:rPr>
        <w:t xml:space="preserve">  </w:t>
      </w:r>
      <w:r/>
    </w:p>
    <w:p>
      <w:pPr>
        <w:jc w:val="center"/>
        <w:spacing w:line="540" w:lineRule="exact"/>
        <w:tabs>
          <w:tab w:val="left" w:pos="7371" w:leader="none"/>
          <w:tab w:val="left" w:pos="7513" w:leader="none"/>
        </w:tabs>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jc w:val="center"/>
        <w:spacing w:line="540" w:lineRule="exact"/>
        <w:tabs>
          <w:tab w:val="left" w:pos="7371" w:leader="none"/>
          <w:tab w:val="left" w:pos="7513" w:leader="none"/>
        </w:tabs>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jc w:val="center"/>
        <w:spacing w:line="540" w:lineRule="exact"/>
        <w:tabs>
          <w:tab w:val="left" w:pos="7371" w:leader="none"/>
          <w:tab w:val="left" w:pos="7513" w:leader="none"/>
        </w:tabs>
        <w:rPr>
          <w:rFonts w:ascii="华文中宋" w:hAnsi="华文中宋" w:eastAsia="华文中宋" w:cs="华文中宋"/>
          <w:color w:val="000000"/>
          <w:sz w:val="44"/>
          <w:szCs w:val="44"/>
        </w:rPr>
      </w:pPr>
      <w:r>
        <w:rPr>
          <w:rFonts w:ascii="华文中宋" w:hAnsi="华文中宋" w:eastAsia="华文中宋" w:cs="华文中宋"/>
          <w:color w:val="000000"/>
          <w:sz w:val="44"/>
          <w:szCs w:val="44"/>
        </w:rPr>
      </w:r>
      <w:r/>
    </w:p>
    <w:p>
      <w:pPr>
        <w:jc w:val="center"/>
        <w:spacing w:line="540" w:lineRule="exact"/>
        <w:tabs>
          <w:tab w:val="left" w:pos="7371" w:leader="none"/>
          <w:tab w:val="left" w:pos="7513" w:leader="none"/>
        </w:tabs>
        <w:rPr>
          <w:rFonts w:ascii="华文中宋" w:hAnsi="华文中宋" w:eastAsia="华文中宋" w:cs="华文中宋"/>
          <w:color w:val="000000"/>
          <w:sz w:val="44"/>
          <w:szCs w:val="44"/>
        </w:rPr>
      </w:pPr>
      <w:r>
        <w:rPr>
          <w:rFonts w:hint="eastAsia" w:ascii="华文中宋" w:hAnsi="华文中宋" w:eastAsia="华文中宋" w:cs="华文中宋"/>
          <w:color w:val="000000"/>
          <w:sz w:val="44"/>
          <w:szCs w:val="44"/>
        </w:rPr>
        <w:t xml:space="preserve">高邮市审计局政府投资项目</w:t>
      </w:r>
      <w:r/>
    </w:p>
    <w:p>
      <w:pPr>
        <w:jc w:val="center"/>
        <w:spacing w:line="540" w:lineRule="exact"/>
        <w:tabs>
          <w:tab w:val="left" w:pos="7371" w:leader="none"/>
          <w:tab w:val="left" w:pos="7513" w:leader="none"/>
        </w:tabs>
        <w:rPr>
          <w:rFonts w:ascii="华文中宋" w:hAnsi="华文中宋" w:eastAsia="华文中宋" w:cs="华文中宋"/>
          <w:color w:val="000000"/>
          <w:sz w:val="44"/>
          <w:szCs w:val="44"/>
        </w:rPr>
      </w:pPr>
      <w:r>
        <w:rPr>
          <w:rFonts w:hint="eastAsia" w:ascii="华文中宋" w:hAnsi="华文中宋" w:eastAsia="华文中宋" w:cs="华文中宋"/>
          <w:color w:val="000000"/>
          <w:sz w:val="44"/>
          <w:szCs w:val="44"/>
        </w:rPr>
        <w:t xml:space="preserve">协审工作考核办法（试行）</w:t>
      </w:r>
      <w:r/>
    </w:p>
    <w:p>
      <w:pPr>
        <w:jc w:val="center"/>
        <w:spacing w:line="540" w:lineRule="exact"/>
        <w:rPr>
          <w:rFonts w:ascii="方正小标宋简体" w:hAnsi="宋体" w:eastAsia="方正小标宋简体"/>
          <w:color w:val="000000"/>
          <w:sz w:val="32"/>
          <w:szCs w:val="44"/>
        </w:rPr>
      </w:pPr>
      <w:r>
        <w:rPr>
          <w:rFonts w:ascii="方正小标宋简体" w:hAnsi="宋体" w:eastAsia="方正小标宋简体"/>
          <w:color w:val="000000"/>
          <w:sz w:val="32"/>
          <w:szCs w:val="44"/>
        </w:rPr>
      </w:r>
      <w:r/>
    </w:p>
    <w:p>
      <w:pPr>
        <w:ind w:firstLine="640"/>
        <w:spacing w:line="540" w:lineRule="exact"/>
        <w:rPr>
          <w:rFonts w:ascii="宋体" w:hAnsi="宋体" w:cs="宋体"/>
          <w:sz w:val="24"/>
          <w:szCs w:val="24"/>
        </w:rPr>
      </w:pPr>
      <w:r>
        <w:rPr>
          <w:rFonts w:hint="eastAsia" w:ascii="宋体" w:hAnsi="宋体" w:cs="宋体"/>
          <w:sz w:val="24"/>
          <w:szCs w:val="24"/>
        </w:rPr>
        <w:t xml:space="preserve">为进一步规范协审社会中介机构（以下简称中介机构）及协审人员参与</w:t>
      </w:r>
      <w:r>
        <w:rPr>
          <w:rFonts w:hint="eastAsia" w:ascii="宋体" w:hAnsi="宋体" w:cs="宋体"/>
          <w:sz w:val="24"/>
          <w:szCs w:val="24"/>
          <w:lang w:eastAsia="zh-CN"/>
        </w:rPr>
        <w:t xml:space="preserve">高邮市审计局</w:t>
      </w:r>
      <w:r>
        <w:rPr>
          <w:rFonts w:hint="eastAsia" w:ascii="宋体" w:hAnsi="宋体" w:cs="宋体"/>
          <w:sz w:val="24"/>
          <w:szCs w:val="24"/>
        </w:rPr>
        <w:t xml:space="preserve">（以下简称固投中心）组织的政府投资项目审计行为，明确审计责任，保证审计质量，规避审计风险，根据《高邮市政府投资项目审计监督办法》等文件和有关规定，制订本考核办法。</w:t>
      </w:r>
      <w:r/>
    </w:p>
    <w:p>
      <w:pPr>
        <w:ind w:firstLine="640"/>
        <w:spacing w:line="540" w:lineRule="exact"/>
        <w:rPr>
          <w:rFonts w:ascii="宋体" w:hAnsi="宋体" w:cs="宋体"/>
          <w:sz w:val="24"/>
          <w:szCs w:val="24"/>
        </w:rPr>
      </w:pPr>
      <w:r>
        <w:rPr>
          <w:rFonts w:hint="eastAsia" w:ascii="宋体" w:hAnsi="宋体" w:cs="宋体"/>
          <w:sz w:val="24"/>
          <w:szCs w:val="24"/>
        </w:rPr>
        <w:t xml:space="preserve">第一条 考核对象 </w:t>
      </w:r>
      <w:r/>
    </w:p>
    <w:p>
      <w:pPr>
        <w:ind w:firstLine="640"/>
        <w:spacing w:line="540" w:lineRule="exact"/>
        <w:rPr>
          <w:rFonts w:ascii="宋体" w:hAnsi="宋体" w:cs="宋体"/>
          <w:sz w:val="24"/>
          <w:szCs w:val="24"/>
        </w:rPr>
      </w:pPr>
      <w:r>
        <w:rPr>
          <w:rFonts w:hint="eastAsia" w:ascii="宋体" w:hAnsi="宋体" w:cs="宋体"/>
          <w:sz w:val="24"/>
          <w:szCs w:val="24"/>
        </w:rPr>
        <w:t xml:space="preserve">（一）协审机构，即参与高邮市政府投资项目协审工作的社会中介机构； </w:t>
      </w:r>
      <w:r/>
    </w:p>
    <w:p>
      <w:pPr>
        <w:ind w:firstLine="640"/>
        <w:spacing w:line="540" w:lineRule="exact"/>
        <w:rPr>
          <w:rFonts w:ascii="宋体" w:hAnsi="宋体" w:cs="宋体"/>
          <w:sz w:val="24"/>
          <w:szCs w:val="24"/>
        </w:rPr>
      </w:pPr>
      <w:r>
        <w:rPr>
          <w:rFonts w:hint="eastAsia" w:ascii="宋体" w:hAnsi="宋体" w:cs="宋体"/>
          <w:sz w:val="24"/>
          <w:szCs w:val="24"/>
        </w:rPr>
        <w:t xml:space="preserve">（二）协审人员，由协审机构委派具有相应造价专业审核资格的人员。</w:t>
      </w:r>
      <w:r/>
    </w:p>
    <w:p>
      <w:pPr>
        <w:ind w:firstLine="640"/>
        <w:spacing w:line="540" w:lineRule="exact"/>
        <w:rPr>
          <w:rFonts w:ascii="宋体" w:hAnsi="宋体" w:cs="宋体"/>
          <w:sz w:val="24"/>
          <w:szCs w:val="24"/>
        </w:rPr>
      </w:pPr>
      <w:r>
        <w:rPr>
          <w:rFonts w:hint="eastAsia" w:ascii="宋体" w:hAnsi="宋体" w:cs="宋体"/>
          <w:sz w:val="24"/>
          <w:szCs w:val="24"/>
        </w:rPr>
        <w:t xml:space="preserve">第二条 考核范围</w:t>
      </w:r>
      <w:r/>
    </w:p>
    <w:p>
      <w:pPr>
        <w:ind w:firstLine="640"/>
        <w:spacing w:line="540" w:lineRule="exact"/>
        <w:rPr>
          <w:rFonts w:ascii="宋体" w:hAnsi="宋体" w:cs="宋体"/>
          <w:sz w:val="24"/>
          <w:szCs w:val="24"/>
        </w:rPr>
      </w:pPr>
      <w:r>
        <w:rPr>
          <w:rFonts w:hint="eastAsia" w:ascii="宋体" w:hAnsi="宋体" w:cs="宋体"/>
          <w:sz w:val="24"/>
          <w:szCs w:val="24"/>
        </w:rPr>
        <w:t xml:space="preserve">固投中心委托协审的政府投资项目，具体包括考核年度内工程竣工决算项目或工程竣工结算项目，实行一项目一考核，基础分100分，扣完为止。</w:t>
      </w:r>
      <w:r/>
    </w:p>
    <w:p>
      <w:pPr>
        <w:ind w:firstLine="640"/>
        <w:spacing w:line="540" w:lineRule="exact"/>
        <w:rPr>
          <w:rFonts w:ascii="宋体" w:hAnsi="宋体" w:cs="宋体"/>
          <w:sz w:val="24"/>
          <w:szCs w:val="24"/>
        </w:rPr>
      </w:pPr>
      <w:r>
        <w:rPr>
          <w:rFonts w:hint="eastAsia" w:ascii="宋体" w:hAnsi="宋体" w:cs="宋体"/>
          <w:sz w:val="24"/>
          <w:szCs w:val="24"/>
        </w:rPr>
        <w:t xml:space="preserve">第三条 工程竣工决（结）算协审工作考核</w:t>
      </w:r>
      <w:r/>
    </w:p>
    <w:p>
      <w:pPr>
        <w:ind w:firstLine="640"/>
        <w:spacing w:line="540" w:lineRule="exact"/>
        <w:rPr>
          <w:rFonts w:ascii="宋体" w:hAnsi="宋体" w:cs="宋体"/>
          <w:sz w:val="24"/>
          <w:szCs w:val="24"/>
        </w:rPr>
      </w:pPr>
      <w:r>
        <w:rPr>
          <w:rFonts w:hint="eastAsia" w:ascii="宋体" w:hAnsi="宋体" w:cs="宋体"/>
          <w:sz w:val="24"/>
          <w:szCs w:val="24"/>
        </w:rPr>
        <w:t xml:space="preserve">固投中心一般在项目审计结束收到审核资料后5个工作日内，对工程竣工结算协审工作进行考核。考核主要由四方面内容组成：协审质量、协审程序、协审进度、协审纪律。具体扣分标准如下：</w:t>
      </w:r>
      <w:r/>
    </w:p>
    <w:p>
      <w:pPr>
        <w:ind w:firstLine="640"/>
        <w:spacing w:line="540" w:lineRule="exact"/>
        <w:rPr>
          <w:rFonts w:ascii="宋体" w:hAnsi="宋体" w:cs="宋体"/>
          <w:sz w:val="24"/>
          <w:szCs w:val="24"/>
        </w:rPr>
      </w:pPr>
      <w:r>
        <w:rPr>
          <w:rFonts w:hint="eastAsia" w:ascii="宋体" w:hAnsi="宋体" w:cs="宋体"/>
          <w:sz w:val="24"/>
          <w:szCs w:val="24"/>
        </w:rPr>
        <w:t xml:space="preserve">（一）协审质量</w:t>
      </w:r>
      <w:r/>
    </w:p>
    <w:p>
      <w:pPr>
        <w:ind w:firstLine="640"/>
        <w:spacing w:line="540" w:lineRule="exact"/>
        <w:rPr>
          <w:rFonts w:ascii="宋体" w:hAnsi="宋体" w:cs="宋体"/>
          <w:sz w:val="24"/>
          <w:szCs w:val="24"/>
        </w:rPr>
      </w:pPr>
      <w:r>
        <w:rPr>
          <w:rFonts w:hint="eastAsia" w:ascii="宋体" w:hAnsi="宋体" w:cs="宋体"/>
          <w:sz w:val="24"/>
          <w:szCs w:val="24"/>
        </w:rPr>
        <w:t xml:space="preserve">1.出具的初审报告、定案结果报告及所附证据中出现明显错误，发现一处扣2分；</w:t>
      </w:r>
      <w:r/>
    </w:p>
    <w:p>
      <w:pPr>
        <w:ind w:firstLine="640"/>
        <w:spacing w:line="540" w:lineRule="exact"/>
        <w:rPr>
          <w:rFonts w:ascii="宋体" w:hAnsi="宋体" w:cs="宋体"/>
          <w:sz w:val="24"/>
          <w:szCs w:val="24"/>
        </w:rPr>
      </w:pPr>
      <w:r>
        <w:rPr>
          <w:rFonts w:hint="eastAsia" w:ascii="宋体" w:hAnsi="宋体" w:cs="宋体"/>
          <w:sz w:val="24"/>
          <w:szCs w:val="24"/>
        </w:rPr>
        <w:t xml:space="preserve">2.经过必要审计程序应当发现而未发现管理或造价方面问题的，有一处扣3分，造成严重后果的，暂停或取消该单位参与固投中心项目的投标资格（具体视情节严重确定）；</w:t>
      </w:r>
      <w:r/>
    </w:p>
    <w:p>
      <w:pPr>
        <w:ind w:firstLine="640"/>
        <w:spacing w:line="540" w:lineRule="exact"/>
        <w:rPr>
          <w:rFonts w:ascii="宋体" w:hAnsi="宋体" w:cs="宋体"/>
          <w:sz w:val="24"/>
          <w:szCs w:val="24"/>
        </w:rPr>
      </w:pPr>
      <w:r/>
      <w:bookmarkStart w:id="322" w:name="_Toc3990"/>
      <w:r/>
      <w:bookmarkStart w:id="323" w:name="_Toc18769"/>
      <w:r>
        <w:rPr>
          <w:rFonts w:hint="eastAsia" w:ascii="宋体" w:hAnsi="宋体" w:cs="宋体"/>
          <w:sz w:val="24"/>
          <w:szCs w:val="24"/>
        </w:rPr>
        <w:t xml:space="preserve">3.审计存在问题应当上报未上报的，有一个扣5分；</w:t>
      </w:r>
      <w:bookmarkEnd w:id="322"/>
      <w:r/>
      <w:bookmarkEnd w:id="323"/>
      <w:r/>
      <w:r/>
    </w:p>
    <w:p>
      <w:pPr>
        <w:ind w:firstLine="640"/>
        <w:spacing w:line="540" w:lineRule="exact"/>
        <w:rPr>
          <w:rFonts w:ascii="宋体" w:hAnsi="宋体" w:cs="宋体"/>
          <w:sz w:val="24"/>
          <w:szCs w:val="24"/>
        </w:rPr>
      </w:pPr>
      <w:r>
        <w:rPr>
          <w:rFonts w:hint="eastAsia" w:ascii="宋体" w:hAnsi="宋体" w:cs="宋体"/>
          <w:sz w:val="24"/>
          <w:szCs w:val="24"/>
        </w:rPr>
        <w:t xml:space="preserve">4.最终审核结果与初审结果误差率达到20%以上的，每次扣5分；</w:t>
      </w:r>
      <w:r/>
    </w:p>
    <w:p>
      <w:pPr>
        <w:ind w:firstLine="640"/>
        <w:spacing w:line="540" w:lineRule="exact"/>
        <w:rPr>
          <w:rFonts w:ascii="宋体" w:hAnsi="宋体" w:cs="宋体"/>
          <w:sz w:val="24"/>
          <w:szCs w:val="24"/>
        </w:rPr>
      </w:pPr>
      <w:r/>
      <w:bookmarkStart w:id="324" w:name="_Toc29689"/>
      <w:r/>
      <w:bookmarkStart w:id="325" w:name="_Toc26081"/>
      <w:r>
        <w:rPr>
          <w:rFonts w:hint="eastAsia" w:ascii="宋体" w:hAnsi="宋体" w:cs="宋体"/>
          <w:sz w:val="24"/>
          <w:szCs w:val="24"/>
        </w:rPr>
        <w:t xml:space="preserve">5.发送到邮箱的最终审核资料中缺少相关内容的，少一个扣2分；</w:t>
      </w:r>
      <w:bookmarkEnd w:id="324"/>
      <w:r/>
      <w:bookmarkEnd w:id="325"/>
      <w:r/>
      <w:r/>
    </w:p>
    <w:p>
      <w:pPr>
        <w:ind w:firstLine="640"/>
        <w:spacing w:line="540" w:lineRule="exact"/>
        <w:rPr>
          <w:rFonts w:ascii="宋体" w:hAnsi="宋体" w:cs="宋体"/>
          <w:sz w:val="24"/>
          <w:szCs w:val="24"/>
        </w:rPr>
      </w:pPr>
      <w:r>
        <w:rPr>
          <w:rFonts w:hint="eastAsia" w:ascii="宋体" w:hAnsi="宋体" w:cs="宋体"/>
          <w:sz w:val="24"/>
          <w:szCs w:val="24"/>
        </w:rPr>
        <w:t xml:space="preserve">6.建设、施工等单位对协审人员的专业性提出质疑且合理的，有一次扣10分。</w:t>
      </w:r>
      <w:r/>
    </w:p>
    <w:p>
      <w:pPr>
        <w:ind w:firstLine="640"/>
        <w:spacing w:line="540" w:lineRule="exact"/>
        <w:rPr>
          <w:rFonts w:ascii="宋体" w:hAnsi="宋体" w:cs="宋体"/>
          <w:sz w:val="24"/>
          <w:szCs w:val="24"/>
        </w:rPr>
      </w:pPr>
      <w:r/>
      <w:bookmarkStart w:id="326" w:name="_Toc21740"/>
      <w:r/>
      <w:bookmarkStart w:id="327" w:name="_Toc11222"/>
      <w:r>
        <w:rPr>
          <w:rFonts w:hint="eastAsia" w:ascii="宋体" w:hAnsi="宋体" w:cs="宋体"/>
          <w:sz w:val="24"/>
          <w:szCs w:val="24"/>
        </w:rPr>
        <w:t xml:space="preserve">（二）协审程序</w:t>
      </w:r>
      <w:bookmarkEnd w:id="326"/>
      <w:r/>
      <w:bookmarkEnd w:id="327"/>
      <w:r/>
      <w:r/>
    </w:p>
    <w:p>
      <w:pPr>
        <w:ind w:firstLine="640"/>
        <w:spacing w:line="540" w:lineRule="exact"/>
        <w:rPr>
          <w:rFonts w:ascii="宋体" w:hAnsi="宋体" w:cs="宋体"/>
          <w:sz w:val="24"/>
          <w:szCs w:val="24"/>
        </w:rPr>
      </w:pPr>
      <w:r>
        <w:rPr>
          <w:rFonts w:hint="eastAsia" w:ascii="宋体" w:hAnsi="宋体" w:cs="宋体"/>
          <w:sz w:val="24"/>
          <w:szCs w:val="24"/>
        </w:rPr>
        <w:t xml:space="preserve">1.未按规定要求提供有关资料或资料提供不齐全的，发生一次扣1分；</w:t>
      </w:r>
      <w:r/>
    </w:p>
    <w:p>
      <w:pPr>
        <w:ind w:firstLine="640"/>
        <w:spacing w:line="540" w:lineRule="exact"/>
        <w:rPr>
          <w:rFonts w:ascii="宋体" w:hAnsi="宋体" w:cs="宋体"/>
          <w:sz w:val="24"/>
          <w:szCs w:val="24"/>
        </w:rPr>
      </w:pPr>
      <w:r>
        <w:rPr>
          <w:rFonts w:hint="eastAsia" w:ascii="宋体" w:hAnsi="宋体" w:cs="宋体"/>
          <w:sz w:val="24"/>
          <w:szCs w:val="24"/>
        </w:rPr>
        <w:t xml:space="preserve">2.项目中标后，中介机构未在规定时间内与固投中心签订合同的，一次扣5分；</w:t>
      </w:r>
      <w:r/>
    </w:p>
    <w:p>
      <w:pPr>
        <w:ind w:firstLine="640"/>
        <w:spacing w:line="540" w:lineRule="exact"/>
        <w:rPr>
          <w:rFonts w:ascii="宋体" w:hAnsi="宋体" w:cs="宋体"/>
          <w:sz w:val="24"/>
          <w:szCs w:val="24"/>
        </w:rPr>
      </w:pPr>
      <w:r>
        <w:rPr>
          <w:rFonts w:hint="eastAsia" w:ascii="宋体" w:hAnsi="宋体" w:cs="宋体"/>
          <w:sz w:val="24"/>
          <w:szCs w:val="24"/>
        </w:rPr>
        <w:t xml:space="preserve">3.中介机构领取资料后未按要求提交缺项资料清单，在审计过程中要求补充审计必需资料的，每补充一次扣3分；</w:t>
      </w:r>
      <w:r/>
    </w:p>
    <w:p>
      <w:pPr>
        <w:ind w:firstLine="640"/>
        <w:spacing w:line="540" w:lineRule="exact"/>
        <w:rPr>
          <w:rFonts w:ascii="宋体" w:hAnsi="宋体" w:cs="宋体"/>
          <w:sz w:val="24"/>
          <w:szCs w:val="24"/>
        </w:rPr>
      </w:pPr>
      <w:r>
        <w:rPr>
          <w:rFonts w:hint="eastAsia" w:ascii="宋体" w:hAnsi="宋体" w:cs="宋体"/>
          <w:sz w:val="24"/>
          <w:szCs w:val="24"/>
        </w:rPr>
        <w:t xml:space="preserve">4.私下约施工单位复勘现场未向固投中心负责人员报备的，发生一次扣2分；</w:t>
      </w:r>
      <w:r/>
    </w:p>
    <w:p>
      <w:pPr>
        <w:ind w:firstLine="640"/>
        <w:spacing w:line="540" w:lineRule="exact"/>
        <w:rPr>
          <w:rFonts w:ascii="宋体" w:hAnsi="宋体" w:cs="宋体"/>
          <w:sz w:val="24"/>
          <w:szCs w:val="24"/>
        </w:rPr>
      </w:pPr>
      <w:r>
        <w:rPr>
          <w:rFonts w:hint="eastAsia" w:ascii="宋体" w:hAnsi="宋体" w:cs="宋体"/>
          <w:sz w:val="24"/>
          <w:szCs w:val="24"/>
        </w:rPr>
        <w:t xml:space="preserve">5.初审结果未报送至固投中心负责人员就擅自和施工单位展开对接的，发生一次扣3分；</w:t>
      </w:r>
      <w:r/>
    </w:p>
    <w:p>
      <w:pPr>
        <w:ind w:firstLine="640"/>
        <w:spacing w:line="540" w:lineRule="exact"/>
        <w:rPr>
          <w:rFonts w:ascii="宋体" w:hAnsi="宋体" w:cs="宋体"/>
          <w:sz w:val="24"/>
          <w:szCs w:val="24"/>
        </w:rPr>
      </w:pPr>
      <w:r>
        <w:rPr>
          <w:rFonts w:hint="eastAsia" w:ascii="宋体" w:hAnsi="宋体" w:cs="宋体"/>
          <w:sz w:val="24"/>
          <w:szCs w:val="24"/>
        </w:rPr>
        <w:t xml:space="preserve">6.中介机构与施工单位当面对接应到固投中心指定场所，发现未到指定场所对接的，一次扣3分。</w:t>
      </w:r>
      <w:r/>
    </w:p>
    <w:p>
      <w:pPr>
        <w:ind w:firstLine="640"/>
        <w:spacing w:line="540" w:lineRule="exact"/>
        <w:rPr>
          <w:rFonts w:ascii="宋体" w:hAnsi="宋体" w:cs="宋体"/>
          <w:sz w:val="24"/>
          <w:szCs w:val="24"/>
        </w:rPr>
      </w:pPr>
      <w:r/>
      <w:bookmarkStart w:id="328" w:name="_Toc2544"/>
      <w:r/>
      <w:bookmarkStart w:id="329" w:name="_Toc8571"/>
      <w:r>
        <w:rPr>
          <w:rFonts w:hint="eastAsia" w:ascii="宋体" w:hAnsi="宋体" w:cs="宋体"/>
          <w:sz w:val="24"/>
          <w:szCs w:val="24"/>
        </w:rPr>
        <w:t xml:space="preserve">（三）协审进度</w:t>
      </w:r>
      <w:bookmarkEnd w:id="328"/>
      <w:r/>
      <w:bookmarkEnd w:id="329"/>
      <w:r/>
      <w:r/>
    </w:p>
    <w:p>
      <w:pPr>
        <w:ind w:firstLine="640"/>
        <w:spacing w:line="540" w:lineRule="exact"/>
        <w:rPr>
          <w:rFonts w:ascii="宋体" w:hAnsi="宋体" w:cs="宋体"/>
          <w:sz w:val="24"/>
          <w:szCs w:val="24"/>
        </w:rPr>
      </w:pPr>
      <w:r>
        <w:rPr>
          <w:rFonts w:hint="eastAsia" w:ascii="宋体" w:hAnsi="宋体" w:cs="宋体"/>
          <w:sz w:val="24"/>
          <w:szCs w:val="24"/>
        </w:rPr>
        <w:t xml:space="preserve">审计时限按合同规定执行。</w:t>
      </w:r>
      <w:r/>
    </w:p>
    <w:p>
      <w:pPr>
        <w:ind w:firstLine="640"/>
        <w:spacing w:line="540" w:lineRule="exact"/>
        <w:rPr>
          <w:rFonts w:ascii="宋体" w:hAnsi="宋体" w:cs="宋体"/>
          <w:sz w:val="24"/>
          <w:szCs w:val="24"/>
        </w:rPr>
      </w:pPr>
      <w:r>
        <w:rPr>
          <w:rFonts w:hint="eastAsia" w:ascii="宋体" w:hAnsi="宋体" w:cs="宋体"/>
          <w:sz w:val="24"/>
          <w:szCs w:val="24"/>
        </w:rPr>
        <w:t xml:space="preserve">1.无正当理由，未能按时完成协审工作的，滞后5个工作日以上的每个工作日扣1分；</w:t>
      </w:r>
      <w:r/>
    </w:p>
    <w:p>
      <w:pPr>
        <w:ind w:firstLine="480"/>
        <w:spacing w:line="540" w:lineRule="exact"/>
        <w:rPr>
          <w:rFonts w:ascii="宋体" w:hAnsi="宋体" w:cs="宋体"/>
          <w:sz w:val="24"/>
          <w:szCs w:val="24"/>
        </w:rPr>
      </w:pPr>
      <w:r>
        <w:rPr>
          <w:rFonts w:hint="eastAsia" w:ascii="宋体" w:hAnsi="宋体" w:cs="宋体"/>
          <w:sz w:val="24"/>
          <w:szCs w:val="24"/>
        </w:rPr>
        <w:t xml:space="preserve"> 2.协审机构在规定时间到期前3个工作日未向固投中心提交《协审机构申请延期审批单》的，每发生一次扣3分;</w:t>
      </w:r>
      <w:r/>
    </w:p>
    <w:p>
      <w:pPr>
        <w:ind w:firstLine="640"/>
        <w:spacing w:line="540" w:lineRule="exact"/>
        <w:rPr>
          <w:rFonts w:ascii="宋体" w:hAnsi="宋体" w:cs="宋体"/>
          <w:sz w:val="24"/>
          <w:szCs w:val="24"/>
        </w:rPr>
      </w:pPr>
      <w:r>
        <w:rPr>
          <w:rFonts w:hint="eastAsia" w:ascii="宋体" w:hAnsi="宋体" w:cs="宋体"/>
          <w:sz w:val="24"/>
          <w:szCs w:val="24"/>
        </w:rPr>
        <w:t xml:space="preserve">3.延期超过一次，期间未积极主动联系固投中心协调解决的，每多延期一次扣5分。</w:t>
      </w:r>
      <w:r/>
    </w:p>
    <w:p>
      <w:pPr>
        <w:ind w:firstLine="640"/>
        <w:spacing w:line="540" w:lineRule="exact"/>
        <w:rPr>
          <w:rFonts w:ascii="宋体" w:hAnsi="宋体" w:cs="宋体"/>
          <w:sz w:val="24"/>
          <w:szCs w:val="24"/>
        </w:rPr>
      </w:pPr>
      <w:r/>
      <w:bookmarkStart w:id="330" w:name="_Toc7349"/>
      <w:r/>
      <w:bookmarkStart w:id="331" w:name="_Toc23216"/>
      <w:r>
        <w:rPr>
          <w:rFonts w:hint="eastAsia" w:ascii="宋体" w:hAnsi="宋体" w:cs="宋体"/>
          <w:sz w:val="24"/>
          <w:szCs w:val="24"/>
        </w:rPr>
        <w:t xml:space="preserve">（四）协审纪律</w:t>
      </w:r>
      <w:bookmarkEnd w:id="330"/>
      <w:r/>
      <w:bookmarkEnd w:id="331"/>
      <w:r/>
      <w:r/>
    </w:p>
    <w:p>
      <w:pPr>
        <w:ind w:firstLine="640"/>
        <w:spacing w:line="540" w:lineRule="exact"/>
        <w:rPr>
          <w:rFonts w:ascii="宋体" w:hAnsi="宋体" w:cs="宋体"/>
          <w:sz w:val="24"/>
          <w:szCs w:val="24"/>
        </w:rPr>
      </w:pPr>
      <w:r>
        <w:rPr>
          <w:rFonts w:hint="eastAsia" w:ascii="宋体" w:hAnsi="宋体" w:cs="宋体"/>
          <w:sz w:val="24"/>
          <w:szCs w:val="24"/>
        </w:rPr>
        <w:t xml:space="preserve">1.法定代表人未经请假批准，未委托其他负责人参加会议的，一次扣5分，迟到的一次扣2分；</w:t>
      </w:r>
      <w:r/>
    </w:p>
    <w:p>
      <w:pPr>
        <w:ind w:firstLine="640"/>
        <w:spacing w:line="540" w:lineRule="exact"/>
        <w:rPr>
          <w:rFonts w:ascii="宋体" w:hAnsi="宋体" w:cs="宋体"/>
          <w:sz w:val="24"/>
          <w:szCs w:val="24"/>
        </w:rPr>
      </w:pPr>
      <w:r>
        <w:rPr>
          <w:rFonts w:hint="eastAsia" w:ascii="宋体" w:hAnsi="宋体" w:cs="宋体"/>
          <w:sz w:val="24"/>
          <w:szCs w:val="24"/>
        </w:rPr>
        <w:t xml:space="preserve">2.初审结果核对等事项不按约定时间参加或无故迟到的，以每15分钟扣1分累加扣分，导致当天直接取消的，扣20分；</w:t>
      </w:r>
      <w:r/>
    </w:p>
    <w:p>
      <w:pPr>
        <w:ind w:firstLine="640"/>
        <w:spacing w:line="540" w:lineRule="exact"/>
        <w:rPr>
          <w:rFonts w:ascii="宋体" w:hAnsi="宋体" w:cs="宋体"/>
          <w:sz w:val="24"/>
          <w:szCs w:val="24"/>
        </w:rPr>
      </w:pPr>
      <w:r>
        <w:rPr>
          <w:rFonts w:hint="eastAsia" w:ascii="宋体" w:hAnsi="宋体" w:cs="宋体"/>
          <w:sz w:val="24"/>
          <w:szCs w:val="24"/>
        </w:rPr>
        <w:t xml:space="preserve">3.中介机构擅自接收建设单位提供资料的一次扣1分，擅自接收施工单位提供资料的一次扣3分；</w:t>
      </w:r>
      <w:r/>
    </w:p>
    <w:p>
      <w:pPr>
        <w:ind w:firstLine="640"/>
        <w:spacing w:line="540" w:lineRule="exact"/>
        <w:rPr>
          <w:rFonts w:ascii="宋体" w:hAnsi="宋体" w:cs="宋体"/>
          <w:sz w:val="24"/>
          <w:szCs w:val="24"/>
        </w:rPr>
      </w:pPr>
      <w:r/>
      <w:bookmarkStart w:id="332" w:name="_Toc25251"/>
      <w:r/>
      <w:bookmarkStart w:id="333" w:name="_Toc20119"/>
      <w:r>
        <w:rPr>
          <w:rFonts w:hint="eastAsia" w:ascii="宋体" w:hAnsi="宋体" w:cs="宋体"/>
          <w:sz w:val="24"/>
          <w:szCs w:val="24"/>
        </w:rPr>
        <w:t xml:space="preserve">4.中介机构协审人员应到场未到场的，一次扣10分；</w:t>
      </w:r>
      <w:bookmarkEnd w:id="332"/>
      <w:r/>
      <w:bookmarkEnd w:id="333"/>
      <w:r>
        <w:rPr>
          <w:rFonts w:hint="eastAsia" w:ascii="宋体" w:hAnsi="宋体" w:cs="宋体"/>
          <w:sz w:val="24"/>
          <w:szCs w:val="24"/>
        </w:rPr>
        <w:t xml:space="preserve"> </w:t>
      </w:r>
      <w:r/>
    </w:p>
    <w:p>
      <w:pPr>
        <w:ind w:firstLine="640"/>
        <w:spacing w:line="540" w:lineRule="exact"/>
        <w:rPr>
          <w:rFonts w:ascii="宋体" w:hAnsi="宋体" w:cs="宋体"/>
          <w:sz w:val="24"/>
          <w:szCs w:val="24"/>
        </w:rPr>
      </w:pPr>
      <w:r>
        <w:rPr>
          <w:rFonts w:hint="eastAsia" w:ascii="宋体" w:hAnsi="宋体" w:cs="宋体"/>
          <w:sz w:val="24"/>
          <w:szCs w:val="24"/>
        </w:rPr>
        <w:t xml:space="preserve">5.中介机构于每月25-30日报送审计项目实施进度表到固投中心邮箱，未按规定时间报送，超过1个工作日的扣1分，逾期3个工作日不报送的扣5分；</w:t>
      </w:r>
      <w:r/>
    </w:p>
    <w:p>
      <w:pPr>
        <w:ind w:firstLine="640"/>
        <w:spacing w:line="540" w:lineRule="exact"/>
        <w:rPr>
          <w:rFonts w:ascii="宋体" w:hAnsi="宋体" w:cs="宋体"/>
          <w:sz w:val="24"/>
          <w:szCs w:val="24"/>
        </w:rPr>
      </w:pPr>
      <w:r>
        <w:rPr>
          <w:rFonts w:hint="eastAsia" w:ascii="宋体" w:hAnsi="宋体" w:cs="宋体"/>
          <w:sz w:val="24"/>
          <w:szCs w:val="24"/>
        </w:rPr>
        <w:t xml:space="preserve">6.接固投中心通知需送还全部资料的，7个工作日内将审计资料整理后送还；未按规定时间送还资料，每超过1个工作日的扣1分；</w:t>
      </w:r>
      <w:r/>
    </w:p>
    <w:p>
      <w:pPr>
        <w:ind w:firstLine="640"/>
        <w:spacing w:line="540" w:lineRule="exact"/>
        <w:rPr>
          <w:rFonts w:ascii="宋体" w:hAnsi="宋体" w:cs="宋体"/>
          <w:sz w:val="24"/>
          <w:szCs w:val="24"/>
        </w:rPr>
      </w:pPr>
      <w:r/>
      <w:bookmarkStart w:id="334" w:name="_Toc2684"/>
      <w:r/>
      <w:bookmarkStart w:id="335" w:name="_Toc6933"/>
      <w:r>
        <w:rPr>
          <w:rFonts w:hint="eastAsia" w:ascii="宋体" w:hAnsi="宋体" w:cs="宋体"/>
          <w:sz w:val="24"/>
          <w:szCs w:val="24"/>
        </w:rPr>
        <w:t xml:space="preserve">7.因保管不严导致审计资料丢失，扣10分。</w:t>
      </w:r>
      <w:bookmarkEnd w:id="334"/>
      <w:r/>
      <w:bookmarkEnd w:id="335"/>
      <w:r/>
      <w:r/>
    </w:p>
    <w:p>
      <w:pPr>
        <w:ind w:firstLine="640"/>
        <w:spacing w:line="540" w:lineRule="exact"/>
        <w:rPr>
          <w:rFonts w:ascii="宋体" w:hAnsi="宋体" w:cs="宋体"/>
          <w:sz w:val="24"/>
          <w:szCs w:val="24"/>
        </w:rPr>
      </w:pPr>
      <w:r/>
      <w:bookmarkStart w:id="336" w:name="_Toc1086"/>
      <w:r/>
      <w:bookmarkStart w:id="337" w:name="_Toc28018"/>
      <w:r>
        <w:rPr>
          <w:rFonts w:hint="eastAsia" w:ascii="宋体" w:hAnsi="宋体" w:cs="宋体"/>
          <w:sz w:val="24"/>
          <w:szCs w:val="24"/>
        </w:rPr>
        <w:t xml:space="preserve">第四条 协审成效</w:t>
      </w:r>
      <w:bookmarkEnd w:id="336"/>
      <w:r/>
      <w:bookmarkEnd w:id="337"/>
      <w:r/>
      <w:r/>
    </w:p>
    <w:p>
      <w:pPr>
        <w:ind w:firstLine="640"/>
        <w:spacing w:line="540" w:lineRule="exact"/>
        <w:rPr>
          <w:rFonts w:ascii="宋体" w:hAnsi="宋体" w:cs="宋体"/>
          <w:sz w:val="24"/>
          <w:szCs w:val="24"/>
        </w:rPr>
      </w:pPr>
      <w:r>
        <w:rPr>
          <w:rFonts w:hint="eastAsia" w:ascii="宋体" w:hAnsi="宋体" w:cs="宋体"/>
          <w:sz w:val="24"/>
          <w:szCs w:val="24"/>
        </w:rPr>
        <w:t xml:space="preserve">（一）发现案件线索移送有关部门的，1条加10分； </w:t>
      </w:r>
      <w:r/>
    </w:p>
    <w:p>
      <w:pPr>
        <w:ind w:firstLine="640"/>
        <w:spacing w:line="540" w:lineRule="exact"/>
        <w:rPr>
          <w:rFonts w:ascii="宋体" w:hAnsi="宋体" w:cs="宋体"/>
          <w:sz w:val="24"/>
          <w:szCs w:val="24"/>
        </w:rPr>
      </w:pPr>
      <w:r>
        <w:rPr>
          <w:rFonts w:hint="eastAsia" w:ascii="宋体" w:hAnsi="宋体" w:cs="宋体"/>
          <w:sz w:val="24"/>
          <w:szCs w:val="24"/>
        </w:rPr>
        <w:t xml:space="preserve">（二）审计核减率超过15%，低于30%的，每个项目加5分；超过30%的加10分。</w:t>
      </w:r>
      <w:r/>
    </w:p>
    <w:p>
      <w:pPr>
        <w:ind w:firstLine="640"/>
        <w:spacing w:line="540" w:lineRule="exact"/>
        <w:rPr>
          <w:rFonts w:ascii="宋体" w:hAnsi="宋体" w:cs="宋体"/>
          <w:sz w:val="24"/>
          <w:szCs w:val="24"/>
        </w:rPr>
      </w:pPr>
      <w:r/>
      <w:bookmarkStart w:id="338" w:name="_Toc15795"/>
      <w:r/>
      <w:bookmarkStart w:id="339" w:name="_Toc10317"/>
      <w:r>
        <w:rPr>
          <w:rFonts w:hint="eastAsia" w:ascii="宋体" w:hAnsi="宋体" w:cs="宋体"/>
          <w:sz w:val="24"/>
          <w:szCs w:val="24"/>
        </w:rPr>
        <w:t xml:space="preserve">第五条 考核结果的应用</w:t>
      </w:r>
      <w:bookmarkEnd w:id="338"/>
      <w:r/>
      <w:bookmarkEnd w:id="339"/>
      <w:r>
        <w:rPr>
          <w:rFonts w:hint="eastAsia" w:ascii="宋体" w:hAnsi="宋体" w:cs="宋体"/>
          <w:sz w:val="24"/>
          <w:szCs w:val="24"/>
        </w:rPr>
        <w:t xml:space="preserve"> </w:t>
      </w:r>
      <w:r/>
    </w:p>
    <w:p>
      <w:pPr>
        <w:ind w:firstLine="640"/>
        <w:spacing w:line="540" w:lineRule="exact"/>
        <w:rPr>
          <w:rFonts w:ascii="宋体" w:hAnsi="宋体" w:cs="宋体"/>
          <w:sz w:val="24"/>
          <w:szCs w:val="24"/>
        </w:rPr>
      </w:pPr>
      <w:r>
        <w:rPr>
          <w:rFonts w:hint="eastAsia" w:ascii="宋体" w:hAnsi="宋体" w:cs="宋体"/>
          <w:sz w:val="24"/>
          <w:szCs w:val="24"/>
        </w:rPr>
        <w:t xml:space="preserve">考核结果将作为评优评先和暂停以及取消中介机构投标资格的主要依据。</w:t>
      </w:r>
      <w:r/>
    </w:p>
    <w:p>
      <w:pPr>
        <w:ind w:firstLine="640"/>
        <w:spacing w:line="540" w:lineRule="exact"/>
        <w:rPr>
          <w:rFonts w:ascii="宋体" w:hAnsi="宋体" w:cs="宋体"/>
          <w:sz w:val="24"/>
          <w:szCs w:val="24"/>
        </w:rPr>
      </w:pPr>
      <w:r/>
      <w:bookmarkStart w:id="340" w:name="_Toc27960"/>
      <w:r/>
      <w:bookmarkStart w:id="341" w:name="_Toc5494"/>
      <w:r>
        <w:rPr>
          <w:rFonts w:hint="eastAsia" w:ascii="宋体" w:hAnsi="宋体" w:cs="宋体"/>
          <w:sz w:val="24"/>
          <w:szCs w:val="24"/>
        </w:rPr>
        <w:t xml:space="preserve">第六条 附则</w:t>
      </w:r>
      <w:bookmarkEnd w:id="340"/>
      <w:r/>
      <w:bookmarkEnd w:id="341"/>
      <w:r/>
      <w:r/>
    </w:p>
    <w:p>
      <w:pPr>
        <w:ind w:firstLine="640"/>
        <w:spacing w:line="540" w:lineRule="exact"/>
        <w:rPr>
          <w:rFonts w:ascii="宋体" w:hAnsi="宋体" w:cs="宋体"/>
          <w:sz w:val="24"/>
          <w:szCs w:val="24"/>
        </w:rPr>
      </w:pPr>
      <w:r>
        <w:rPr>
          <w:rFonts w:hint="eastAsia" w:ascii="宋体" w:hAnsi="宋体" w:cs="宋体"/>
          <w:sz w:val="24"/>
          <w:szCs w:val="24"/>
        </w:rPr>
        <w:t xml:space="preserve">本办法适用于中介机构参与固投中心组织的政府投资项目审计工作考核，考核结果应用与《高邮市审计局政府投资项目审计管理办法（试行）》、《高邮市审计局政府投资项目审计复核管理办法（试行）》等文件结合执行。</w:t>
      </w:r>
      <w:r/>
    </w:p>
    <w:p>
      <w:pPr>
        <w:spacing w:line="540" w:lineRule="exact"/>
        <w:rPr>
          <w:rFonts w:ascii="宋体" w:hAnsi="宋体" w:cs="宋体"/>
          <w:sz w:val="24"/>
          <w:szCs w:val="24"/>
        </w:rPr>
      </w:pPr>
      <w:r>
        <w:rPr>
          <w:rFonts w:ascii="宋体" w:hAnsi="宋体" w:cs="宋体"/>
          <w:sz w:val="24"/>
          <w:szCs w:val="24"/>
        </w:rPr>
      </w:r>
      <w:r/>
    </w:p>
    <w:p>
      <w:pPr>
        <w:ind w:firstLine="640"/>
        <w:spacing w:line="540" w:lineRule="exact"/>
        <w:rPr>
          <w:rFonts w:ascii="宋体" w:hAnsi="宋体" w:cs="宋体"/>
          <w:sz w:val="24"/>
          <w:szCs w:val="24"/>
        </w:rPr>
      </w:pPr>
      <w:r>
        <w:rPr>
          <w:rFonts w:hint="eastAsia" w:ascii="宋体" w:hAnsi="宋体" w:cs="宋体"/>
          <w:sz w:val="24"/>
          <w:szCs w:val="24"/>
        </w:rPr>
        <w:t xml:space="preserve">附件：政府投资审计项目日常考核记录</w:t>
      </w:r>
      <w:r/>
    </w:p>
    <w:p>
      <w:pPr>
        <w:spacing w:line="540" w:lineRule="exact"/>
        <w:rPr>
          <w:rFonts w:ascii="仿宋_GB2312" w:hAnsi="Times New Roman" w:eastAsia="仿宋_GB2312"/>
          <w:sz w:val="32"/>
          <w:szCs w:val="32"/>
        </w:rPr>
      </w:pPr>
      <w:r>
        <w:rPr>
          <w:rFonts w:hint="eastAsia" w:ascii="仿宋_GB2312" w:hAnsi="Times New Roman" w:eastAsia="仿宋_GB2312"/>
          <w:sz w:val="32"/>
          <w:szCs w:val="32"/>
        </w:rPr>
        <w:t xml:space="preserve">    </w:t>
      </w:r>
      <w:r/>
    </w:p>
    <w:p>
      <w:pPr>
        <w:spacing w:line="540" w:lineRule="exact"/>
        <w:rPr>
          <w:rFonts w:ascii="仿宋_GB2312" w:hAnsi="Times New Roman" w:eastAsia="仿宋_GB2312"/>
          <w:sz w:val="32"/>
          <w:szCs w:val="32"/>
        </w:rPr>
      </w:pPr>
      <w:r>
        <w:rPr>
          <w:rFonts w:ascii="仿宋_GB2312" w:hAnsi="Times New Roman" w:eastAsia="仿宋_GB2312"/>
          <w:sz w:val="32"/>
          <w:szCs w:val="32"/>
        </w:rPr>
      </w:r>
      <w:r/>
    </w:p>
    <w:p>
      <w:pPr>
        <w:spacing w:line="540" w:lineRule="exact"/>
        <w:rPr>
          <w:rFonts w:ascii="仿宋_GB2312" w:hAnsi="Times New Roman" w:eastAsia="仿宋_GB2312"/>
          <w:sz w:val="32"/>
          <w:szCs w:val="32"/>
        </w:rPr>
      </w:pPr>
      <w:r>
        <w:rPr>
          <w:rFonts w:ascii="仿宋_GB2312" w:hAnsi="Times New Roman" w:eastAsia="仿宋_GB2312"/>
          <w:sz w:val="32"/>
          <w:szCs w:val="32"/>
        </w:rPr>
      </w:r>
      <w:r/>
    </w:p>
    <w:p>
      <w:pPr>
        <w:spacing w:line="540" w:lineRule="exact"/>
        <w:rPr>
          <w:rFonts w:ascii="黑体" w:hAnsi="黑体" w:eastAsia="黑体"/>
          <w:sz w:val="32"/>
          <w:szCs w:val="32"/>
        </w:rPr>
      </w:pPr>
      <w:r>
        <w:rPr>
          <w:rFonts w:ascii="黑体" w:hAnsi="黑体" w:eastAsia="黑体"/>
          <w:sz w:val="32"/>
          <w:szCs w:val="32"/>
        </w:rPr>
      </w:r>
      <w:r/>
    </w:p>
    <w:p>
      <w:pPr>
        <w:spacing w:line="540" w:lineRule="exact"/>
        <w:rPr>
          <w:rFonts w:ascii="黑体" w:hAnsi="黑体" w:eastAsia="黑体"/>
          <w:sz w:val="32"/>
          <w:szCs w:val="32"/>
        </w:rPr>
      </w:pPr>
      <w:r>
        <w:rPr>
          <w:rFonts w:ascii="黑体" w:hAnsi="黑体" w:eastAsia="黑体"/>
          <w:sz w:val="32"/>
          <w:szCs w:val="32"/>
        </w:rPr>
      </w:r>
      <w:r/>
    </w:p>
    <w:p>
      <w:pPr>
        <w:spacing w:line="540" w:lineRule="exact"/>
        <w:rPr>
          <w:rFonts w:ascii="黑体" w:hAnsi="黑体" w:eastAsia="黑体"/>
          <w:sz w:val="32"/>
          <w:szCs w:val="32"/>
        </w:rPr>
      </w:pPr>
      <w:r>
        <w:rPr>
          <w:rFonts w:hint="eastAsia" w:ascii="黑体" w:hAnsi="黑体" w:eastAsia="黑体"/>
          <w:sz w:val="32"/>
          <w:szCs w:val="32"/>
        </w:rPr>
        <w:t xml:space="preserve">附件</w:t>
      </w:r>
      <w:r/>
    </w:p>
    <w:tbl>
      <w:tblPr>
        <w:tblStyle w:val="813"/>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520"/>
        <w:gridCol w:w="3455"/>
        <w:gridCol w:w="1800"/>
        <w:gridCol w:w="1260"/>
        <w:gridCol w:w="1769"/>
      </w:tblGrid>
      <w:tr>
        <w:trPr>
          <w:trHeight w:val="675"/>
        </w:trPr>
        <w:tc>
          <w:tcPr>
            <w:gridSpan w:val="5"/>
            <w:tcBorders>
              <w:top w:val="none" w:color="000000" w:sz="4" w:space="0"/>
              <w:left w:val="none" w:color="000000" w:sz="4" w:space="0"/>
              <w:bottom w:val="none" w:color="000000" w:sz="4" w:space="0"/>
              <w:right w:val="none" w:color="000000" w:sz="4" w:space="0"/>
            </w:tcBorders>
            <w:tcW w:w="8804" w:type="dxa"/>
            <w:vAlign w:val="center"/>
            <w:textDirection w:val="lrTb"/>
            <w:noWrap w:val="false"/>
          </w:tcPr>
          <w:p>
            <w:pPr>
              <w:jc w:val="center"/>
              <w:spacing w:line="540" w:lineRule="exact"/>
              <w:rPr>
                <w:rFonts w:ascii="黑体" w:hAnsi="黑体" w:eastAsia="黑体"/>
                <w:spacing w:val="30"/>
                <w:sz w:val="32"/>
                <w:szCs w:val="32"/>
              </w:rPr>
            </w:pPr>
            <w:r>
              <w:rPr>
                <w:rFonts w:hint="eastAsia" w:ascii="黑体" w:hAnsi="黑体" w:eastAsia="黑体"/>
                <w:spacing w:val="30"/>
                <w:sz w:val="32"/>
                <w:szCs w:val="32"/>
              </w:rPr>
              <w:t xml:space="preserve">政府投资审计项目考核记录</w:t>
            </w:r>
            <w:r/>
          </w:p>
        </w:tc>
      </w:tr>
      <w:tr>
        <w:trPr>
          <w:trHeight w:val="600"/>
        </w:trPr>
        <w:tc>
          <w:tcPr>
            <w:gridSpan w:val="5"/>
            <w:tcBorders>
              <w:top w:val="none" w:color="000000" w:sz="4" w:space="0"/>
              <w:left w:val="none" w:color="000000" w:sz="4" w:space="0"/>
              <w:bottom w:val="none" w:color="000000" w:sz="4" w:space="0"/>
              <w:right w:val="none" w:color="000000" w:sz="4" w:space="0"/>
            </w:tcBorders>
            <w:tcW w:w="8804" w:type="dxa"/>
            <w:vAlign w:val="center"/>
            <w:textDirection w:val="lrTb"/>
            <w:noWrap w:val="false"/>
          </w:tcPr>
          <w:p>
            <w:pPr>
              <w:jc w:val="left"/>
              <w:spacing w:line="540" w:lineRule="exact"/>
              <w:widowControl/>
              <w:rPr>
                <w:rFonts w:ascii="宋体" w:hAnsi="宋体" w:cs="宋体"/>
                <w:sz w:val="32"/>
                <w:szCs w:val="28"/>
              </w:rPr>
            </w:pPr>
            <w:r>
              <w:rPr>
                <w:rFonts w:hint="eastAsia" w:ascii="宋体" w:hAnsi="宋体" w:cs="宋体"/>
                <w:sz w:val="32"/>
                <w:szCs w:val="28"/>
              </w:rPr>
              <w:t xml:space="preserve">项目名称：</w:t>
            </w:r>
            <w:r/>
          </w:p>
          <w:p>
            <w:pPr>
              <w:jc w:val="left"/>
              <w:spacing w:line="540" w:lineRule="exact"/>
              <w:widowControl/>
              <w:rPr>
                <w:rFonts w:ascii="宋体" w:hAnsi="宋体" w:cs="宋体"/>
                <w:sz w:val="32"/>
                <w:szCs w:val="21"/>
              </w:rPr>
            </w:pPr>
            <w:r>
              <w:rPr>
                <w:rFonts w:hint="eastAsia" w:ascii="宋体" w:hAnsi="宋体" w:cs="宋体"/>
                <w:sz w:val="32"/>
                <w:szCs w:val="28"/>
              </w:rPr>
              <w:t xml:space="preserve">项目年度：   </w:t>
            </w:r>
            <w:r>
              <w:rPr>
                <w:rFonts w:hint="eastAsia" w:ascii="宋体" w:hAnsi="宋体" w:cs="宋体"/>
                <w:sz w:val="32"/>
                <w:szCs w:val="21"/>
              </w:rPr>
              <w:t xml:space="preserve">      </w:t>
            </w:r>
            <w:r/>
          </w:p>
        </w:tc>
      </w:tr>
      <w:tr>
        <w:trPr>
          <w:trHeight w:val="1195" w:hRule="exact"/>
        </w:trPr>
        <w:tc>
          <w:tcPr>
            <w:tcBorders>
              <w:top w:val="single" w:color="000000" w:sz="8" w:space="0"/>
              <w:left w:val="single" w:color="000000" w:sz="8" w:space="0"/>
              <w:bottom w:val="single" w:color="000000" w:sz="4" w:space="0"/>
              <w:right w:val="single" w:color="000000" w:sz="4" w:space="0"/>
            </w:tcBorders>
            <w:tcW w:w="520" w:type="dxa"/>
            <w:vAlign w:val="center"/>
            <w:textDirection w:val="lrTb"/>
            <w:noWrap w:val="false"/>
          </w:tcPr>
          <w:p>
            <w:pPr>
              <w:jc w:val="center"/>
              <w:spacing w:line="540" w:lineRule="exact"/>
              <w:widowControl/>
              <w:rPr>
                <w:rFonts w:ascii="宋体" w:hAnsi="宋体" w:cs="宋体"/>
                <w:sz w:val="24"/>
                <w:szCs w:val="24"/>
              </w:rPr>
            </w:pPr>
            <w:r>
              <w:rPr>
                <w:rFonts w:hint="eastAsia" w:ascii="宋体" w:hAnsi="宋体" w:cs="宋体"/>
                <w:sz w:val="24"/>
                <w:szCs w:val="24"/>
              </w:rPr>
              <w:t xml:space="preserve">序号</w:t>
            </w:r>
            <w:r/>
          </w:p>
        </w:tc>
        <w:tc>
          <w:tcPr>
            <w:tcBorders>
              <w:top w:val="single" w:color="000000" w:sz="8" w:space="0"/>
              <w:left w:val="none" w:color="000000" w:sz="4" w:space="0"/>
              <w:bottom w:val="single" w:color="000000" w:sz="4" w:space="0"/>
              <w:right w:val="single" w:color="000000" w:sz="4" w:space="0"/>
            </w:tcBorders>
            <w:tcW w:w="3455" w:type="dxa"/>
            <w:vAlign w:val="center"/>
            <w:textDirection w:val="lrTb"/>
            <w:noWrap w:val="false"/>
          </w:tcPr>
          <w:p>
            <w:pPr>
              <w:jc w:val="center"/>
              <w:spacing w:line="540" w:lineRule="exact"/>
              <w:widowControl/>
              <w:rPr>
                <w:rFonts w:ascii="宋体" w:hAnsi="宋体" w:cs="宋体"/>
                <w:sz w:val="24"/>
                <w:szCs w:val="24"/>
              </w:rPr>
            </w:pPr>
            <w:r>
              <w:rPr>
                <w:rFonts w:hint="eastAsia" w:ascii="宋体" w:hAnsi="宋体" w:cs="宋体"/>
                <w:sz w:val="24"/>
                <w:szCs w:val="24"/>
              </w:rPr>
              <w:t xml:space="preserve">扣分(加分)原因</w:t>
            </w:r>
            <w:r/>
          </w:p>
        </w:tc>
        <w:tc>
          <w:tcPr>
            <w:tcBorders>
              <w:top w:val="single" w:color="000000" w:sz="8" w:space="0"/>
              <w:left w:val="none" w:color="000000" w:sz="4" w:space="0"/>
              <w:bottom w:val="single" w:color="000000" w:sz="4" w:space="0"/>
              <w:right w:val="single" w:color="000000" w:sz="4" w:space="0"/>
            </w:tcBorders>
            <w:tcW w:w="1800" w:type="dxa"/>
            <w:vAlign w:val="center"/>
            <w:textDirection w:val="lrTb"/>
            <w:noWrap w:val="false"/>
          </w:tcPr>
          <w:p>
            <w:pPr>
              <w:jc w:val="center"/>
              <w:spacing w:line="540" w:lineRule="exact"/>
              <w:widowControl/>
              <w:rPr>
                <w:rFonts w:ascii="宋体" w:hAnsi="宋体" w:cs="宋体"/>
                <w:sz w:val="24"/>
                <w:szCs w:val="24"/>
              </w:rPr>
            </w:pPr>
            <w:r>
              <w:rPr>
                <w:rFonts w:hint="eastAsia" w:ascii="宋体" w:hAnsi="宋体" w:cs="宋体"/>
                <w:sz w:val="24"/>
                <w:szCs w:val="24"/>
              </w:rPr>
              <w:t xml:space="preserve">扣分"-"（加分"+"）分数</w:t>
            </w:r>
            <w:r/>
          </w:p>
        </w:tc>
        <w:tc>
          <w:tcPr>
            <w:tcBorders>
              <w:top w:val="single" w:color="000000" w:sz="8" w:space="0"/>
              <w:left w:val="none" w:color="000000" w:sz="4" w:space="0"/>
              <w:bottom w:val="single" w:color="000000" w:sz="4" w:space="0"/>
              <w:right w:val="single" w:color="000000" w:sz="4" w:space="0"/>
            </w:tcBorders>
            <w:tcW w:w="1260" w:type="dxa"/>
            <w:vAlign w:val="center"/>
            <w:textDirection w:val="lrTb"/>
            <w:noWrap w:val="false"/>
          </w:tcPr>
          <w:p>
            <w:pPr>
              <w:jc w:val="center"/>
              <w:spacing w:line="540" w:lineRule="exact"/>
              <w:widowControl/>
              <w:rPr>
                <w:rFonts w:ascii="宋体" w:hAnsi="宋体" w:cs="宋体"/>
                <w:sz w:val="24"/>
                <w:szCs w:val="24"/>
              </w:rPr>
            </w:pPr>
            <w:r>
              <w:rPr>
                <w:rFonts w:hint="eastAsia" w:ascii="宋体" w:hAnsi="宋体" w:cs="宋体"/>
                <w:sz w:val="24"/>
                <w:szCs w:val="24"/>
              </w:rPr>
              <w:t xml:space="preserve">协审人员   签字确认</w:t>
            </w:r>
            <w:r/>
          </w:p>
        </w:tc>
        <w:tc>
          <w:tcPr>
            <w:tcBorders>
              <w:top w:val="single" w:color="000000" w:sz="8" w:space="0"/>
              <w:left w:val="none" w:color="000000" w:sz="4" w:space="0"/>
              <w:bottom w:val="single" w:color="000000" w:sz="4" w:space="0"/>
              <w:right w:val="single" w:color="000000" w:sz="8" w:space="0"/>
            </w:tcBorders>
            <w:tcW w:w="1769" w:type="dxa"/>
            <w:vAlign w:val="center"/>
            <w:textDirection w:val="lrTb"/>
            <w:noWrap w:val="false"/>
          </w:tcPr>
          <w:p>
            <w:pPr>
              <w:jc w:val="center"/>
              <w:spacing w:line="540" w:lineRule="exact"/>
              <w:widowControl/>
              <w:rPr>
                <w:rFonts w:ascii="宋体" w:hAnsi="宋体" w:cs="宋体"/>
                <w:sz w:val="24"/>
                <w:szCs w:val="24"/>
              </w:rPr>
            </w:pPr>
            <w:r>
              <w:rPr>
                <w:rFonts w:hint="eastAsia" w:ascii="宋体" w:hAnsi="宋体" w:cs="宋体"/>
                <w:sz w:val="24"/>
                <w:szCs w:val="24"/>
              </w:rPr>
              <w:t xml:space="preserve">备注</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9</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11</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12</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13</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14</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15</w:t>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p>
        </w:tc>
      </w:tr>
      <w:tr>
        <w:trPr>
          <w:trHeight w:val="594" w:hRule="exact"/>
        </w:trPr>
        <w:tc>
          <w:tcPr>
            <w:gridSpan w:val="2"/>
            <w:tcBorders>
              <w:top w:val="single" w:color="000000" w:sz="4" w:space="0"/>
              <w:left w:val="single" w:color="000000" w:sz="8" w:space="0"/>
              <w:bottom w:val="single" w:color="000000" w:sz="4" w:space="0"/>
              <w:right w:val="single" w:color="000000" w:sz="4" w:space="0"/>
            </w:tcBorders>
            <w:tcW w:w="3975"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合计考核扣分（加分）：</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　</w:t>
            </w:r>
            <w:r/>
          </w:p>
        </w:tc>
      </w:tr>
      <w:tr>
        <w:trPr>
          <w:trHeight w:val="560" w:hRule="exact"/>
        </w:trPr>
        <w:tc>
          <w:tcPr>
            <w:gridSpan w:val="2"/>
            <w:tcBorders>
              <w:top w:val="single" w:color="000000" w:sz="4" w:space="0"/>
              <w:left w:val="single" w:color="000000" w:sz="8" w:space="0"/>
              <w:bottom w:val="single" w:color="000000" w:sz="8" w:space="0"/>
              <w:right w:val="single" w:color="000000" w:sz="4" w:space="0"/>
            </w:tcBorders>
            <w:tcW w:w="3975"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考核得分：</w:t>
            </w:r>
            <w:r/>
          </w:p>
        </w:tc>
        <w:tc>
          <w:tcPr>
            <w:tcBorders>
              <w:top w:val="none" w:color="000000" w:sz="4" w:space="0"/>
              <w:left w:val="none" w:color="000000" w:sz="4" w:space="0"/>
              <w:bottom w:val="single" w:color="000000" w:sz="8" w:space="0"/>
              <w:right w:val="single" w:color="000000" w:sz="4" w:space="0"/>
            </w:tcBorders>
            <w:tcW w:w="1800"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4" w:space="0"/>
            </w:tcBorders>
            <w:tcW w:w="1260"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769" w:type="dxa"/>
            <w:vAlign w:val="center"/>
            <w:textDirection w:val="lrTb"/>
            <w:noWrap w:val="false"/>
          </w:tcPr>
          <w:p>
            <w:pPr>
              <w:jc w:val="left"/>
              <w:spacing w:line="540" w:lineRule="exact"/>
              <w:widowControl/>
              <w:rPr>
                <w:rFonts w:ascii="宋体" w:hAnsi="宋体" w:cs="宋体"/>
                <w:sz w:val="24"/>
                <w:szCs w:val="24"/>
              </w:rPr>
            </w:pPr>
            <w:r>
              <w:rPr>
                <w:rFonts w:hint="eastAsia" w:ascii="宋体" w:hAnsi="宋体" w:cs="宋体"/>
                <w:sz w:val="24"/>
                <w:szCs w:val="24"/>
              </w:rPr>
              <w:t xml:space="preserve">　</w:t>
            </w:r>
            <w:r/>
          </w:p>
        </w:tc>
      </w:tr>
      <w:tr>
        <w:trPr>
          <w:trHeight w:val="600"/>
        </w:trPr>
        <w:tc>
          <w:tcPr>
            <w:gridSpan w:val="4"/>
            <w:tcBorders>
              <w:top w:val="none" w:color="000000" w:sz="4" w:space="0"/>
              <w:left w:val="none" w:color="000000" w:sz="4" w:space="0"/>
              <w:bottom w:val="none" w:color="000000" w:sz="4" w:space="0"/>
              <w:right w:val="none" w:color="000000" w:sz="4" w:space="0"/>
            </w:tcBorders>
            <w:tcW w:w="7035" w:type="dxa"/>
            <w:vAlign w:val="center"/>
            <w:textDirection w:val="lrTb"/>
            <w:noWrap w:val="false"/>
          </w:tcPr>
          <w:p>
            <w:pPr>
              <w:jc w:val="left"/>
              <w:spacing w:line="540" w:lineRule="exact"/>
              <w:widowControl/>
              <w:rPr>
                <w:rFonts w:ascii="宋体" w:hAnsi="宋体" w:eastAsia="仿宋_GB2312" w:cs="宋体"/>
                <w:sz w:val="32"/>
                <w:szCs w:val="20"/>
              </w:rPr>
            </w:pPr>
            <w:r>
              <w:rPr>
                <w:rFonts w:hint="eastAsia" w:ascii="宋体" w:hAnsi="宋体" w:eastAsia="仿宋_GB2312" w:cs="宋体"/>
                <w:sz w:val="32"/>
                <w:szCs w:val="20"/>
              </w:rPr>
              <w:t xml:space="preserve">考核人：                    中心负责人：</w:t>
            </w:r>
            <w:r/>
          </w:p>
        </w:tc>
        <w:tc>
          <w:tcPr>
            <w:tcBorders>
              <w:top w:val="none" w:color="000000" w:sz="4" w:space="0"/>
              <w:left w:val="none" w:color="000000" w:sz="4" w:space="0"/>
              <w:bottom w:val="none" w:color="000000" w:sz="4" w:space="0"/>
              <w:right w:val="none" w:color="000000" w:sz="4" w:space="0"/>
            </w:tcBorders>
            <w:tcW w:w="1769" w:type="dxa"/>
            <w:vAlign w:val="center"/>
            <w:textDirection w:val="lrTb"/>
            <w:noWrap w:val="false"/>
          </w:tcPr>
          <w:p>
            <w:pPr>
              <w:jc w:val="left"/>
              <w:spacing w:line="540" w:lineRule="exact"/>
              <w:widowControl/>
              <w:rPr>
                <w:rFonts w:ascii="宋体" w:hAnsi="宋体" w:eastAsia="仿宋_GB2312" w:cs="宋体"/>
                <w:sz w:val="32"/>
                <w:szCs w:val="20"/>
              </w:rPr>
            </w:pPr>
            <w:r>
              <w:rPr>
                <w:rFonts w:ascii="宋体" w:hAnsi="宋体" w:eastAsia="仿宋_GB2312" w:cs="宋体"/>
                <w:sz w:val="32"/>
                <w:szCs w:val="20"/>
              </w:rPr>
            </w:r>
            <w:r/>
          </w:p>
        </w:tc>
      </w:tr>
      <w:tr>
        <w:trPr>
          <w:trHeight w:val="600"/>
        </w:trPr>
        <w:tc>
          <w:tcPr>
            <w:gridSpan w:val="4"/>
            <w:tcBorders>
              <w:top w:val="none" w:color="000000" w:sz="4" w:space="0"/>
              <w:left w:val="none" w:color="000000" w:sz="4" w:space="0"/>
              <w:bottom w:val="none" w:color="000000" w:sz="4" w:space="0"/>
              <w:right w:val="none" w:color="000000" w:sz="4" w:space="0"/>
            </w:tcBorders>
            <w:tcW w:w="7035" w:type="dxa"/>
            <w:vAlign w:val="center"/>
            <w:textDirection w:val="lrTb"/>
            <w:noWrap w:val="false"/>
          </w:tcPr>
          <w:p>
            <w:pPr>
              <w:jc w:val="left"/>
              <w:spacing w:line="540" w:lineRule="exact"/>
              <w:widowControl/>
              <w:rPr>
                <w:rFonts w:ascii="宋体" w:hAnsi="宋体" w:eastAsia="仿宋_GB2312" w:cs="宋体"/>
                <w:sz w:val="32"/>
                <w:szCs w:val="20"/>
              </w:rPr>
            </w:pPr>
            <w:r>
              <w:rPr>
                <w:rFonts w:hint="eastAsia" w:ascii="宋体" w:hAnsi="宋体" w:eastAsia="仿宋_GB2312" w:cs="宋体"/>
                <w:sz w:val="32"/>
                <w:szCs w:val="20"/>
              </w:rPr>
              <w:t xml:space="preserve">分管局长意见：</w:t>
            </w:r>
            <w:r/>
          </w:p>
        </w:tc>
        <w:tc>
          <w:tcPr>
            <w:tcBorders>
              <w:top w:val="none" w:color="000000" w:sz="4" w:space="0"/>
              <w:left w:val="none" w:color="000000" w:sz="4" w:space="0"/>
              <w:bottom w:val="none" w:color="000000" w:sz="4" w:space="0"/>
              <w:right w:val="none" w:color="000000" w:sz="4" w:space="0"/>
            </w:tcBorders>
            <w:tcW w:w="1769" w:type="dxa"/>
            <w:vAlign w:val="center"/>
            <w:textDirection w:val="lrTb"/>
            <w:noWrap w:val="false"/>
          </w:tcPr>
          <w:p>
            <w:pPr>
              <w:jc w:val="left"/>
              <w:spacing w:line="540" w:lineRule="exact"/>
              <w:widowControl/>
              <w:rPr>
                <w:rFonts w:ascii="宋体" w:hAnsi="宋体" w:eastAsia="仿宋_GB2312" w:cs="宋体"/>
                <w:sz w:val="32"/>
                <w:szCs w:val="20"/>
              </w:rPr>
            </w:pPr>
            <w:r>
              <w:rPr>
                <w:rFonts w:ascii="宋体" w:hAnsi="宋体" w:eastAsia="仿宋_GB2312" w:cs="宋体"/>
                <w:sz w:val="32"/>
                <w:szCs w:val="20"/>
              </w:rPr>
            </w:r>
            <w:r/>
          </w:p>
        </w:tc>
      </w:tr>
    </w:tbl>
    <w:p>
      <w:pPr>
        <w:ind w:right="31"/>
        <w:spacing w:line="348" w:lineRule="auto"/>
        <w:rPr>
          <w:rFonts w:ascii="仿宋_GB2312" w:hAnsi="Times New Roman" w:eastAsia="仿宋_GB2312"/>
          <w:sz w:val="32"/>
          <w:szCs w:val="20"/>
        </w:rPr>
      </w:pPr>
      <w:r/>
      <w:bookmarkStart w:id="342" w:name="成文日期"/>
      <w:r/>
      <w:bookmarkEnd w:id="342"/>
      <w:r/>
      <w:r/>
    </w:p>
    <w:p>
      <w:pPr>
        <w:ind w:right="31"/>
        <w:spacing w:line="40" w:lineRule="exact"/>
        <w:rPr>
          <w:rFonts w:ascii="黑体" w:hAnsi="Times New Roman" w:eastAsia="黑体"/>
          <w:strike/>
          <w:sz w:val="28"/>
          <w:szCs w:val="20"/>
          <w:u w:val="single"/>
        </w:rPr>
        <w:pBdr>
          <w:bottom w:val="single" w:color="000000" w:sz="12" w:space="1"/>
        </w:pBdr>
      </w:pPr>
      <w:r/>
      <w:bookmarkStart w:id="343" w:name="主题词"/>
      <w:r/>
      <w:bookmarkEnd w:id="343"/>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firstLine="280"/>
        <w:jc w:val="left"/>
        <w:spacing w:line="500" w:lineRule="exact"/>
        <w:rPr>
          <w:rFonts w:ascii="Times New Roman" w:hAnsi="Times New Roman" w:eastAsia="仿宋_GB2312"/>
          <w:sz w:val="28"/>
          <w:szCs w:val="28"/>
        </w:rPr>
        <w:pBdr>
          <w:bottom w:val="single" w:color="000000" w:sz="8" w:space="1"/>
          <w:between w:val="single" w:color="000000" w:sz="8" w:space="1"/>
        </w:pBdr>
      </w:pPr>
      <w:r/>
      <w:bookmarkStart w:id="344" w:name="分送"/>
      <w:r/>
      <w:bookmarkEnd w:id="344"/>
      <w:r/>
      <w:bookmarkStart w:id="345" w:name="抄送"/>
      <w:r/>
      <w:bookmarkEnd w:id="345"/>
      <w:r/>
      <w:bookmarkStart w:id="346" w:name="_Toc23279"/>
      <w:r/>
      <w:bookmarkStart w:id="347" w:name="_Toc23043"/>
      <w:r>
        <w:rPr>
          <w:rFonts w:ascii="Times New Roman" w:hAnsi="Times New Roman" w:eastAsia="仿宋_GB2312"/>
          <w:sz w:val="28"/>
          <w:szCs w:val="28"/>
        </w:rPr>
        <w:t xml:space="preserve">局内分送：</w:t>
      </w:r>
      <w:r>
        <w:rPr>
          <w:rFonts w:hint="eastAsia" w:ascii="Times New Roman" w:hAnsi="Times New Roman" w:eastAsia="仿宋_GB2312"/>
          <w:sz w:val="28"/>
          <w:szCs w:val="28"/>
        </w:rPr>
        <w:t xml:space="preserve">局领导，存（2）。</w:t>
      </w:r>
      <w:bookmarkEnd w:id="346"/>
      <w:r/>
      <w:bookmarkEnd w:id="347"/>
      <w:r/>
      <w:r/>
    </w:p>
    <w:p>
      <w:pPr>
        <w:ind w:right="69" w:firstLine="280"/>
        <w:spacing w:line="500" w:lineRule="exact"/>
        <w:rPr>
          <w:rFonts w:ascii="Times New Roman" w:hAnsi="Times New Roman" w:eastAsia="仿宋_GB2312"/>
          <w:spacing w:val="30"/>
          <w:sz w:val="28"/>
          <w:szCs w:val="28"/>
        </w:rPr>
      </w:pPr>
      <w:r/>
      <w:bookmarkStart w:id="348" w:name="发文部门和时间"/>
      <w:r/>
      <w:bookmarkEnd w:id="348"/>
      <w:r>
        <w:rPr>
          <w:rFonts w:hint="eastAsia" w:ascii="Times New Roman" w:hAnsi="Times New Roman" w:eastAsia="仿宋_GB2312"/>
          <w:sz w:val="28"/>
          <w:szCs w:val="28"/>
        </w:rPr>
        <w:t xml:space="preserve">高邮</w:t>
      </w:r>
      <w:r>
        <w:rPr>
          <w:rFonts w:ascii="Times New Roman" w:hAnsi="Times New Roman" w:eastAsia="仿宋_GB2312"/>
          <w:sz w:val="28"/>
          <w:szCs w:val="28"/>
        </w:rPr>
        <w:t xml:space="preserve">市审计局办公室</w:t>
      </w:r>
      <w:r>
        <w:rPr>
          <w:rFonts w:ascii="Times New Roman" w:hAnsi="Times New Roman" w:eastAsia="仿宋_GB2312"/>
          <w:spacing w:val="-30"/>
          <w:sz w:val="28"/>
          <w:szCs w:val="28"/>
        </w:rPr>
        <w:t xml:space="preserve">　　　 　　</w:t>
      </w:r>
      <w:r>
        <w:rPr>
          <w:rFonts w:hint="eastAsia" w:ascii="Times New Roman" w:hAnsi="Times New Roman" w:eastAsia="仿宋_GB2312"/>
          <w:spacing w:val="-30"/>
          <w:sz w:val="28"/>
          <w:szCs w:val="28"/>
        </w:rPr>
        <w:t xml:space="preserve">           </w:t>
      </w:r>
      <w:r>
        <w:rPr>
          <w:rFonts w:ascii="Times New Roman" w:hAnsi="Times New Roman" w:eastAsia="仿宋_GB2312"/>
          <w:spacing w:val="-30"/>
          <w:sz w:val="28"/>
          <w:szCs w:val="28"/>
        </w:rPr>
        <w:t xml:space="preserve">　　</w:t>
      </w:r>
      <w:r>
        <w:rPr>
          <w:rFonts w:ascii="Times New Roman" w:hAnsi="Times New Roman" w:eastAsia="仿宋_GB2312"/>
          <w:spacing w:val="30"/>
          <w:sz w:val="28"/>
          <w:szCs w:val="28"/>
        </w:rPr>
        <w:fldChar w:fldCharType="begin"/>
      </w:r>
      <w:r>
        <w:rPr>
          <w:rFonts w:ascii="Times New Roman" w:hAnsi="Times New Roman" w:eastAsia="仿宋_GB2312"/>
          <w:spacing w:val="30"/>
          <w:sz w:val="28"/>
          <w:szCs w:val="28"/>
        </w:rPr>
        <w:instrText xml:space="preserve"> FORMTEXT </w:instrText>
      </w:r>
      <w:r>
        <w:rPr>
          <w:rFonts w:ascii="Times New Roman" w:hAnsi="Times New Roman" w:eastAsia="仿宋_GB2312"/>
          <w:spacing w:val="30"/>
          <w:sz w:val="28"/>
          <w:szCs w:val="28"/>
        </w:rPr>
        <w:fldChar w:fldCharType="separate"/>
      </w:r>
      <w:r>
        <w:rPr>
          <w:rFonts w:hint="eastAsia" w:ascii="Times New Roman" w:hAnsi="Times New Roman" w:eastAsia="仿宋_GB2312"/>
          <w:spacing w:val="30"/>
          <w:sz w:val="28"/>
          <w:szCs w:val="28"/>
        </w:rPr>
        <w:t xml:space="preserve">2021年11月1日印发</w:t>
      </w:r>
      <w:r>
        <w:rPr>
          <w:rFonts w:ascii="Times New Roman" w:hAnsi="Times New Roman" w:eastAsia="仿宋_GB2312"/>
          <w:spacing w:val="30"/>
          <w:sz w:val="28"/>
          <w:szCs w:val="28"/>
        </w:rPr>
        <w:fldChar w:fldCharType="end"/>
      </w:r>
      <w:r/>
    </w:p>
    <w:p>
      <w:pPr>
        <w:ind w:left="563" w:right="315" w:hanging="280"/>
        <w:jc w:val="center"/>
        <w:spacing w:line="1600" w:lineRule="exact"/>
        <w:rPr>
          <w:rFonts w:ascii="黑体" w:hAnsi="黑体" w:eastAsia="黑体" w:cs="黑体"/>
          <w:color w:val="ff0000"/>
          <w:sz w:val="100"/>
          <w:szCs w:val="100"/>
        </w:rPr>
      </w:pPr>
      <w:r>
        <w:rPr>
          <w:rFonts w:hint="eastAsia" w:ascii="黑体" w:hAnsi="黑体" w:eastAsia="黑体" w:cs="黑体"/>
          <w:color w:val="ff0000"/>
          <w:spacing w:val="-20"/>
          <w:sz w:val="144"/>
          <w:szCs w:val="132"/>
        </w:rPr>
        <w:t xml:space="preserve">高邮市审计局文件</w:t>
      </w:r>
      <w:r/>
    </w:p>
    <w:p>
      <w:pPr>
        <w:ind w:right="69"/>
        <w:spacing w:line="348" w:lineRule="auto"/>
        <w:rPr>
          <w:rFonts w:ascii="仿宋_GB2312" w:hAnsi="宋体" w:eastAsia="仿宋_GB2312"/>
          <w:color w:val="000000"/>
          <w:sz w:val="32"/>
          <w:szCs w:val="20"/>
        </w:rPr>
      </w:pPr>
      <w:r>
        <w:rPr>
          <w:rFonts w:ascii="仿宋_GB2312" w:hAnsi="宋体" w:eastAsia="仿宋_GB2312"/>
          <w:color w:val="000000"/>
          <w:sz w:val="32"/>
          <w:szCs w:val="20"/>
        </w:rPr>
      </w:r>
      <w:r/>
    </w:p>
    <w:p>
      <w:pPr>
        <w:ind w:left="197" w:right="31"/>
        <w:jc w:val="center"/>
        <w:rPr>
          <w:rFonts w:ascii="Times New Roman" w:hAnsi="Times New Roman" w:eastAsia="楷体_GB2312"/>
          <w:color w:val="000000"/>
          <w:sz w:val="28"/>
          <w:szCs w:val="20"/>
        </w:rPr>
      </w:pPr>
      <w:r>
        <w:rPr>
          <w:rFonts w:ascii="Times New Roman" w:hAnsi="Times New Roman" w:eastAsia="仿宋_GB2312"/>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-10160</wp:posOffset>
                </wp:positionH>
                <wp:positionV relativeFrom="paragraph">
                  <wp:posOffset>472440</wp:posOffset>
                </wp:positionV>
                <wp:extent cx="5615940" cy="0"/>
                <wp:effectExtent l="0" t="12700" r="8255" b="19685"/>
                <wp:wrapNone/>
                <wp:docPr id="42" name="shape 1"/>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ln w="25400" cap="flat" cmpd="sng">
                          <a:solidFill>
                            <a:srgbClr val="FF0000"/>
                          </a:solidFill>
                          <a:prstDash val="solid"/>
                          <a:headEnd type="none" w="med" len="med"/>
                          <a:tailEnd type="none" w="med" len="med"/>
                        </a:ln>
                      </wps:spPr>
                      <wps:bodyPr rot="0">
                        <a:prstTxWarp prst="textNoShape">
                          <a:avLst/>
                        </a:prstTxWarp>
                        <a:noAutofit/>
                      </wps:bodyPr>
                    </wps:wsp>
                  </a:graphicData>
                </a:graphic>
              </wp:anchor>
            </w:drawing>
          </mc:Choice>
          <mc:Fallback>
            <w:pict>
              <v:line id="shape 41" o:spid="_x0000_s41" style="position:absolute;left:0;text-align:left;z-index:251660288;mso-wrap-distance-left:9.0pt;mso-wrap-distance-top:0.0pt;mso-wrap-distance-right:9.0pt;mso-wrap-distance-bottom:0.0pt;visibility:visible;" from="-0.8pt,37.2pt" to="441.4pt,37.2pt" filled="f" strokecolor="#FF0000" strokeweight="2.00pt">
                <v:stroke dashstyle="solid"/>
              </v:line>
            </w:pict>
          </mc:Fallback>
        </mc:AlternateContent>
      </w:r>
      <w:r>
        <w:rPr>
          <w:rFonts w:hint="eastAsia" w:ascii="Times New Roman" w:hAnsi="Times New Roman" w:eastAsia="楷体_GB2312"/>
          <w:color w:val="000000"/>
          <w:sz w:val="32"/>
          <w:szCs w:val="20"/>
        </w:rPr>
        <w:t xml:space="preserve">邮审发〔2021〕25号</w:t>
      </w:r>
      <w:r/>
    </w:p>
    <w:p>
      <w:pPr>
        <w:ind w:right="69" w:firstLine="312"/>
        <w:spacing w:after="227" w:line="348" w:lineRule="auto"/>
        <w:tabs>
          <w:tab w:val="left" w:pos="8505" w:leader="none"/>
        </w:tabs>
        <w:rPr>
          <w:rFonts w:ascii="仿宋_GB2312" w:hAnsi="华文中宋" w:eastAsia="仿宋_GB2312"/>
          <w:color w:val="000000"/>
          <w:sz w:val="32"/>
          <w:szCs w:val="32"/>
        </w:rPr>
      </w:pPr>
      <w:r>
        <w:rPr>
          <w:rFonts w:hint="eastAsia" w:ascii="楷体_GB2312" w:hAnsi="Times New Roman" w:eastAsia="楷体_GB2312"/>
          <w:color w:val="ffffff"/>
          <w:spacing w:val="-4"/>
          <w:sz w:val="32"/>
          <w:szCs w:val="20"/>
        </w:rPr>
        <w:t xml:space="preserve">好</w:t>
      </w:r>
      <w:r/>
    </w:p>
    <w:p>
      <w:pPr>
        <w:jc w:val="center"/>
        <w:spacing w:line="600" w:lineRule="exact"/>
        <w:rPr>
          <w:rFonts w:ascii="黑体" w:hAnsi="黑体" w:eastAsia="黑体" w:cs="黑体"/>
          <w:sz w:val="44"/>
          <w:szCs w:val="44"/>
        </w:rPr>
      </w:pPr>
      <w:r>
        <w:rPr>
          <w:rFonts w:hint="eastAsia" w:ascii="黑体" w:hAnsi="黑体" w:eastAsia="黑体" w:cs="黑体"/>
          <w:sz w:val="44"/>
          <w:szCs w:val="44"/>
        </w:rPr>
        <w:t xml:space="preserve">高邮市审计局关于</w:t>
      </w:r>
      <w:r/>
    </w:p>
    <w:p>
      <w:pPr>
        <w:jc w:val="center"/>
        <w:spacing w:line="600" w:lineRule="exact"/>
        <w:rPr>
          <w:rFonts w:ascii="黑体" w:hAnsi="黑体" w:eastAsia="黑体" w:cs="黑体"/>
          <w:sz w:val="44"/>
          <w:szCs w:val="44"/>
        </w:rPr>
      </w:pPr>
      <w:r>
        <w:rPr>
          <w:rFonts w:hint="eastAsia" w:ascii="黑体" w:hAnsi="黑体" w:eastAsia="黑体" w:cs="黑体"/>
          <w:sz w:val="44"/>
          <w:szCs w:val="44"/>
        </w:rPr>
        <w:t xml:space="preserve">印发《高邮市审计局政府投资</w:t>
      </w:r>
      <w:r/>
    </w:p>
    <w:p>
      <w:pPr>
        <w:jc w:val="center"/>
        <w:spacing w:line="600" w:lineRule="exact"/>
        <w:rPr>
          <w:rFonts w:ascii="黑体" w:hAnsi="黑体" w:eastAsia="黑体" w:cs="黑体"/>
          <w:sz w:val="44"/>
          <w:szCs w:val="44"/>
        </w:rPr>
      </w:pPr>
      <w:r>
        <w:rPr>
          <w:rFonts w:hint="eastAsia" w:ascii="黑体" w:hAnsi="黑体" w:eastAsia="黑体" w:cs="黑体"/>
          <w:sz w:val="44"/>
          <w:szCs w:val="44"/>
        </w:rPr>
        <w:t xml:space="preserve">项目审计管理办法（试行）》的通知</w:t>
      </w:r>
      <w:r/>
    </w:p>
    <w:p>
      <w:pPr>
        <w:rPr>
          <w:rFonts w:ascii="方正楷体_GBK" w:hAnsi="方正楷体_GBK" w:eastAsia="方正楷体_GBK" w:cs="方正楷体_GBK"/>
          <w:sz w:val="32"/>
          <w:szCs w:val="32"/>
        </w:rPr>
      </w:pPr>
      <w:r>
        <w:rPr>
          <w:rFonts w:ascii="方正楷体_GBK" w:hAnsi="方正楷体_GBK" w:eastAsia="方正楷体_GBK" w:cs="方正楷体_GBK"/>
          <w:sz w:val="32"/>
          <w:szCs w:val="32"/>
        </w:rPr>
      </w:r>
      <w:r/>
    </w:p>
    <w:p>
      <w:pPr>
        <w:spacing w:line="560" w:lineRule="exact"/>
        <w:rPr>
          <w:rFonts w:ascii="仿宋" w:hAnsi="仿宋" w:eastAsia="仿宋" w:cs="仿宋"/>
          <w:sz w:val="32"/>
          <w:szCs w:val="32"/>
        </w:rPr>
      </w:pPr>
      <w:r>
        <w:rPr>
          <w:rFonts w:hint="eastAsia" w:ascii="仿宋" w:hAnsi="仿宋" w:eastAsia="仿宋" w:cs="仿宋"/>
          <w:sz w:val="32"/>
          <w:szCs w:val="32"/>
        </w:rPr>
        <w:t xml:space="preserve">各科室，市固定资产投资审计中心、任期经济责任审计中心：</w:t>
      </w:r>
      <w:r/>
    </w:p>
    <w:p>
      <w:pPr>
        <w:ind w:firstLine="640"/>
        <w:spacing w:line="560" w:lineRule="exact"/>
        <w:rPr>
          <w:rFonts w:ascii="仿宋" w:hAnsi="仿宋" w:eastAsia="仿宋" w:cs="仿宋"/>
          <w:sz w:val="32"/>
          <w:szCs w:val="32"/>
        </w:rPr>
      </w:pPr>
      <w:r>
        <w:rPr>
          <w:rFonts w:hint="eastAsia" w:ascii="仿宋" w:hAnsi="仿宋" w:eastAsia="仿宋" w:cs="仿宋"/>
          <w:sz w:val="32"/>
          <w:szCs w:val="32"/>
        </w:rPr>
        <w:t xml:space="preserve">为进一步加强政府投资项目审计的全流程管理，经研究，制定《高邮市审计局政府投资项目审计管理办法（试行）》，现印发给你们，请遵照执行。</w:t>
      </w:r>
      <w:r/>
    </w:p>
    <w:p>
      <w:pPr>
        <w:ind w:firstLine="640"/>
        <w:jc w:val="left"/>
        <w:spacing w:line="560" w:lineRule="exact"/>
        <w:rPr>
          <w:rFonts w:ascii="仿宋" w:hAnsi="仿宋" w:eastAsia="仿宋" w:cs="仿宋"/>
          <w:sz w:val="32"/>
          <w:szCs w:val="32"/>
        </w:rPr>
      </w:pPr>
      <w:r>
        <w:rPr>
          <w:rFonts w:hint="eastAsia" w:ascii="仿宋" w:hAnsi="仿宋" w:eastAsia="仿宋" w:cs="仿宋"/>
          <w:sz w:val="32"/>
          <w:szCs w:val="32"/>
        </w:rPr>
        <w:t xml:space="preserve">附件：高邮市审计局政府投资项目审计管理办法（试行）</w:t>
      </w:r>
      <w:r/>
    </w:p>
    <w:p>
      <w:pPr>
        <w:spacing w:line="560" w:lineRule="exact"/>
        <w:rPr>
          <w:rFonts w:ascii="仿宋" w:hAnsi="仿宋" w:eastAsia="仿宋" w:cs="仿宋"/>
          <w:sz w:val="32"/>
          <w:szCs w:val="32"/>
        </w:rPr>
      </w:pPr>
      <w:r>
        <w:rPr>
          <w:rFonts w:hint="eastAsia" w:ascii="仿宋" w:hAnsi="仿宋" w:eastAsia="仿宋" w:cs="仿宋"/>
          <w:sz w:val="32"/>
          <w:szCs w:val="32"/>
        </w:rPr>
        <w:t xml:space="preserve"> </w:t>
      </w:r>
      <w:r/>
    </w:p>
    <w:p>
      <w:pPr>
        <w:spacing w:line="560" w:lineRule="exact"/>
        <w:rPr>
          <w:rFonts w:ascii="仿宋" w:hAnsi="仿宋" w:eastAsia="仿宋" w:cs="仿宋"/>
          <w:sz w:val="32"/>
          <w:szCs w:val="32"/>
        </w:rPr>
      </w:pPr>
      <w:r>
        <w:rPr>
          <w:rFonts w:hint="eastAsia" w:ascii="仿宋" w:hAnsi="仿宋" w:eastAsia="仿宋" w:cs="仿宋"/>
          <w:sz w:val="32"/>
          <w:szCs w:val="32"/>
        </w:rPr>
        <w:t xml:space="preserve">                               </w:t>
      </w:r>
      <w:r/>
    </w:p>
    <w:p>
      <w:pPr>
        <w:pStyle w:val="814"/>
      </w:pPr>
      <w:r/>
      <w:r/>
    </w:p>
    <w:p>
      <w:pPr>
        <w:jc w:val="center"/>
        <w:spacing w:line="560" w:lineRule="exact"/>
        <w:rPr>
          <w:rFonts w:ascii="仿宋" w:hAnsi="仿宋" w:eastAsia="仿宋" w:cs="仿宋"/>
          <w:sz w:val="32"/>
          <w:szCs w:val="32"/>
        </w:rPr>
      </w:pPr>
      <w:r>
        <w:rPr>
          <w:rFonts w:hint="eastAsia" w:ascii="仿宋" w:hAnsi="仿宋" w:eastAsia="仿宋" w:cs="仿宋"/>
          <w:sz w:val="32"/>
          <w:szCs w:val="32"/>
        </w:rPr>
        <w:t xml:space="preserve">                </w:t>
      </w:r>
      <w:bookmarkStart w:id="349" w:name="_Toc30895"/>
      <w:r/>
      <w:bookmarkStart w:id="350" w:name="_Toc11558"/>
      <w:r>
        <w:rPr>
          <w:rFonts w:hint="eastAsia" w:ascii="仿宋" w:hAnsi="仿宋" w:eastAsia="仿宋" w:cs="仿宋"/>
          <w:sz w:val="32"/>
          <w:szCs w:val="32"/>
        </w:rPr>
        <w:t xml:space="preserve">高邮市审计局</w:t>
      </w:r>
      <w:bookmarkEnd w:id="349"/>
      <w:r/>
      <w:bookmarkEnd w:id="350"/>
      <w:r/>
      <w:r/>
    </w:p>
    <w:p>
      <w:pPr>
        <w:jc w:val="center"/>
        <w:spacing w:line="560" w:lineRule="exact"/>
        <w:rPr>
          <w:rFonts w:ascii="仿宋" w:hAnsi="仿宋" w:eastAsia="仿宋" w:cs="仿宋"/>
          <w:sz w:val="44"/>
          <w:szCs w:val="44"/>
        </w:rPr>
      </w:pPr>
      <w:r>
        <w:rPr>
          <w:rFonts w:hint="eastAsia" w:ascii="仿宋" w:hAnsi="仿宋" w:eastAsia="仿宋" w:cs="仿宋"/>
          <w:sz w:val="32"/>
          <w:szCs w:val="32"/>
        </w:rPr>
        <w:t xml:space="preserve">                 </w:t>
      </w:r>
      <w:bookmarkStart w:id="351" w:name="_Toc29659"/>
      <w:r/>
      <w:bookmarkStart w:id="352" w:name="_Toc26207"/>
      <w:r>
        <w:rPr>
          <w:rFonts w:hint="eastAsia" w:ascii="仿宋" w:hAnsi="仿宋" w:eastAsia="仿宋" w:cs="仿宋"/>
          <w:sz w:val="32"/>
          <w:szCs w:val="32"/>
        </w:rPr>
        <w:t xml:space="preserve">2021年11月1日</w:t>
      </w:r>
      <w:bookmarkEnd w:id="351"/>
      <w:r/>
      <w:bookmarkEnd w:id="352"/>
      <w:r>
        <w:rPr>
          <w:rFonts w:hint="eastAsia" w:ascii="仿宋" w:hAnsi="仿宋" w:eastAsia="仿宋" w:cs="仿宋"/>
          <w:sz w:val="32"/>
          <w:szCs w:val="32"/>
        </w:rPr>
        <w:t xml:space="preserve">  </w:t>
      </w:r>
      <w:r/>
    </w:p>
    <w:p>
      <w:pPr>
        <w:jc w:val="center"/>
        <w:spacing w:line="600" w:lineRule="exact"/>
        <w:rPr>
          <w:rFonts w:ascii="黑体" w:hAnsi="黑体" w:eastAsia="黑体" w:cs="黑体"/>
          <w:color w:val="000000"/>
          <w:sz w:val="44"/>
          <w:szCs w:val="44"/>
        </w:rPr>
      </w:pPr>
      <w:r>
        <w:rPr>
          <w:rFonts w:hint="eastAsia" w:ascii="黑体" w:hAnsi="黑体" w:eastAsia="黑体" w:cs="黑体"/>
          <w:color w:val="000000"/>
          <w:sz w:val="44"/>
          <w:szCs w:val="44"/>
        </w:rPr>
        <w:t xml:space="preserve">高邮市审计局政府投资项目</w:t>
      </w:r>
      <w:r/>
    </w:p>
    <w:p>
      <w:pPr>
        <w:jc w:val="center"/>
        <w:spacing w:line="600" w:lineRule="exact"/>
        <w:rPr>
          <w:rFonts w:ascii="黑体" w:hAnsi="黑体" w:eastAsia="黑体" w:cs="黑体"/>
          <w:color w:val="000000"/>
          <w:sz w:val="44"/>
          <w:szCs w:val="44"/>
        </w:rPr>
      </w:pPr>
      <w:r>
        <w:rPr>
          <w:rFonts w:hint="eastAsia" w:ascii="黑体" w:hAnsi="黑体" w:eastAsia="黑体" w:cs="黑体"/>
          <w:color w:val="000000"/>
          <w:sz w:val="44"/>
          <w:szCs w:val="44"/>
        </w:rPr>
        <w:t xml:space="preserve">审计管理办法（试行）</w:t>
      </w:r>
      <w:r/>
    </w:p>
    <w:p>
      <w:pPr>
        <w:ind w:firstLine="640"/>
        <w:jc w:val="center"/>
        <w:spacing w:before="120" w:after="120" w:line="480" w:lineRule="exact"/>
        <w:widowControl/>
        <w:rPr>
          <w:rFonts w:ascii="宋体" w:hAnsi="宋体" w:cs="宋体"/>
          <w:bCs/>
          <w:sz w:val="32"/>
          <w:szCs w:val="32"/>
        </w:rPr>
      </w:pPr>
      <w:r/>
      <w:bookmarkStart w:id="353" w:name="_Toc21538"/>
      <w:r/>
      <w:bookmarkStart w:id="354" w:name="_Toc31072"/>
      <w:r>
        <w:rPr>
          <w:rFonts w:hint="eastAsia" w:ascii="宋体" w:hAnsi="宋体" w:cs="宋体"/>
          <w:bCs/>
          <w:sz w:val="32"/>
          <w:szCs w:val="32"/>
        </w:rPr>
        <w:t xml:space="preserve">第一章  总则</w:t>
      </w:r>
      <w:bookmarkEnd w:id="353"/>
      <w:r/>
      <w:bookmarkEnd w:id="354"/>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第一条</w:t>
      </w:r>
      <w:r>
        <w:rPr>
          <w:rFonts w:hint="eastAsia" w:ascii="仿宋" w:hAnsi="仿宋" w:eastAsia="仿宋" w:cs="仿宋"/>
          <w:sz w:val="32"/>
          <w:szCs w:val="32"/>
        </w:rPr>
        <w:t xml:space="preserve"> 为规范政府投资建设项目管理，保证审计质量，防范审计风险，根据《中华人民共和国审计法》《中华人民共和国国家审计准则》 《政府投资项目审计规定》《高邮市政府投资项目审计监督办法》及有关法律、法规的规定，结合我市实际，制定本办法。</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第二条 </w:t>
      </w:r>
      <w:r>
        <w:rPr>
          <w:rFonts w:hint="eastAsia" w:ascii="仿宋" w:hAnsi="仿宋" w:eastAsia="仿宋" w:cs="仿宋"/>
          <w:sz w:val="32"/>
          <w:szCs w:val="32"/>
        </w:rPr>
        <w:t xml:space="preserve">由</w:t>
      </w:r>
      <w:r>
        <w:rPr>
          <w:rFonts w:hint="eastAsia" w:ascii="仿宋" w:hAnsi="仿宋" w:eastAsia="仿宋" w:cs="仿宋"/>
          <w:sz w:val="32"/>
          <w:szCs w:val="32"/>
          <w:lang w:eastAsia="zh-CN"/>
        </w:rPr>
        <w:t xml:space="preserve">高邮市审计局</w:t>
      </w:r>
      <w:r>
        <w:rPr>
          <w:rFonts w:hint="eastAsia" w:ascii="仿宋" w:hAnsi="仿宋" w:eastAsia="仿宋" w:cs="仿宋"/>
          <w:sz w:val="32"/>
          <w:szCs w:val="32"/>
        </w:rPr>
        <w:t xml:space="preserve">（以下简称固投中心）委托协审的社会中介机构及其人员，适用本办法。</w:t>
      </w:r>
      <w:r/>
    </w:p>
    <w:p>
      <w:pPr>
        <w:ind w:firstLine="640"/>
        <w:jc w:val="center"/>
        <w:spacing w:before="120" w:after="120" w:line="480" w:lineRule="exact"/>
        <w:widowControl/>
        <w:rPr>
          <w:rFonts w:ascii="仿宋" w:hAnsi="仿宋" w:eastAsia="仿宋" w:cs="仿宋"/>
          <w:bCs/>
          <w:sz w:val="32"/>
          <w:szCs w:val="32"/>
        </w:rPr>
      </w:pPr>
      <w:r/>
      <w:bookmarkStart w:id="355" w:name="_Toc26321"/>
      <w:r/>
      <w:bookmarkStart w:id="356" w:name="_Toc27280"/>
      <w:r>
        <w:rPr>
          <w:rFonts w:hint="eastAsia" w:ascii="仿宋" w:hAnsi="仿宋" w:eastAsia="仿宋" w:cs="仿宋"/>
          <w:bCs/>
          <w:sz w:val="32"/>
          <w:szCs w:val="32"/>
        </w:rPr>
        <w:t xml:space="preserve">第二章 中介机构及派出人员管理</w:t>
      </w:r>
      <w:bookmarkEnd w:id="355"/>
      <w:r/>
      <w:bookmarkEnd w:id="356"/>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第三条 </w:t>
      </w:r>
      <w:r>
        <w:rPr>
          <w:rFonts w:hint="eastAsia" w:ascii="仿宋" w:hAnsi="仿宋" w:eastAsia="仿宋" w:cs="仿宋"/>
          <w:sz w:val="32"/>
          <w:szCs w:val="32"/>
        </w:rPr>
        <w:t xml:space="preserve">中介机构参与政府投资建设项目审计，必须按照《中华人民共和国审计法》、《中华人民共和国国家审计准则》等国家有关法律法规的要求进行审计，对出具的审核报告的真实性、合法性负责。</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第四条 </w:t>
      </w:r>
      <w:r>
        <w:rPr>
          <w:rFonts w:hint="eastAsia" w:ascii="仿宋" w:hAnsi="仿宋" w:eastAsia="仿宋" w:cs="仿宋"/>
          <w:sz w:val="32"/>
          <w:szCs w:val="32"/>
        </w:rPr>
        <w:t xml:space="preserve">中介机构在报名参加项目投标时，应按要求配备相应专业的一级造价师，同时确保报名造价师能按相关要求开展中标项目的审计工作。</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第五条 </w:t>
      </w:r>
      <w:r>
        <w:rPr>
          <w:rFonts w:hint="eastAsia" w:ascii="仿宋" w:hAnsi="仿宋" w:eastAsia="仿宋" w:cs="仿宋"/>
          <w:sz w:val="32"/>
          <w:szCs w:val="32"/>
        </w:rPr>
        <w:t xml:space="preserve">审计项目中标后，中介机构应安排人员在规定时间内携带中标通知书等材料与固投中心相关人员对接，签订合同以及资料交接等工作事宜。</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第六条</w:t>
      </w:r>
      <w:r>
        <w:rPr>
          <w:rFonts w:hint="eastAsia" w:ascii="仿宋" w:hAnsi="仿宋" w:eastAsia="仿宋" w:cs="仿宋"/>
          <w:b/>
          <w:sz w:val="32"/>
          <w:szCs w:val="32"/>
        </w:rPr>
        <w:t xml:space="preserve"> </w:t>
      </w:r>
      <w:r>
        <w:rPr>
          <w:rFonts w:hint="eastAsia" w:ascii="仿宋" w:hAnsi="仿宋" w:eastAsia="仿宋" w:cs="仿宋"/>
          <w:sz w:val="32"/>
          <w:szCs w:val="32"/>
        </w:rPr>
        <w:t xml:space="preserve">中介机构收到审计项目资料应及时对资料的完整性进行审查，发现项目资料不全的，应在收到审计资料后7日内将缺少资料清单以书面形式提交固投中心。</w:t>
      </w:r>
      <w:r/>
    </w:p>
    <w:p>
      <w:pPr>
        <w:ind w:firstLine="640"/>
        <w:jc w:val="left"/>
        <w:spacing w:before="120" w:after="120" w:line="480" w:lineRule="exact"/>
        <w:rPr>
          <w:rFonts w:ascii="仿宋" w:hAnsi="仿宋" w:eastAsia="仿宋" w:cs="仿宋"/>
          <w:sz w:val="32"/>
          <w:szCs w:val="32"/>
        </w:rPr>
      </w:pPr>
      <w:r>
        <w:rPr>
          <w:rFonts w:hint="eastAsia" w:ascii="仿宋" w:hAnsi="仿宋" w:eastAsia="仿宋" w:cs="仿宋"/>
          <w:b/>
          <w:bCs/>
          <w:sz w:val="32"/>
          <w:szCs w:val="32"/>
        </w:rPr>
        <w:t xml:space="preserve">第七条 </w:t>
      </w:r>
      <w:r>
        <w:rPr>
          <w:rFonts w:hint="eastAsia" w:ascii="仿宋" w:hAnsi="仿宋" w:eastAsia="仿宋" w:cs="仿宋"/>
          <w:sz w:val="32"/>
          <w:szCs w:val="32"/>
        </w:rPr>
        <w:t xml:space="preserve">中介机构在规定期限内到工程现场勘查，现场勘查由固投中心人员组织并全程参与监督，建设、监理及施工等单位项目负责人参加。中介机构勘查现场的主要技术人员必须与合同上保持一致。中介机构人员不得私下与上述单位人员单独联系勘查现场，不得要求施工单位擅自补充签证资料，不得私下接收来自建设、施工等单位的审计资料。</w:t>
      </w:r>
      <w:r/>
    </w:p>
    <w:p>
      <w:pPr>
        <w:ind w:firstLine="640"/>
        <w:jc w:val="left"/>
        <w:spacing w:before="120" w:after="120" w:line="480" w:lineRule="exact"/>
        <w:rPr>
          <w:rFonts w:ascii="仿宋" w:hAnsi="仿宋" w:eastAsia="仿宋" w:cs="仿宋"/>
          <w:sz w:val="32"/>
          <w:szCs w:val="32"/>
        </w:rPr>
      </w:pPr>
      <w:r>
        <w:rPr>
          <w:rFonts w:hint="eastAsia" w:ascii="仿宋" w:hAnsi="仿宋" w:eastAsia="仿宋" w:cs="仿宋"/>
          <w:b/>
          <w:sz w:val="32"/>
          <w:szCs w:val="32"/>
        </w:rPr>
        <w:t xml:space="preserve">第八</w:t>
      </w:r>
      <w:r>
        <w:rPr>
          <w:rFonts w:hint="eastAsia" w:ascii="仿宋" w:hAnsi="仿宋" w:eastAsia="仿宋" w:cs="仿宋"/>
          <w:b/>
          <w:bCs/>
          <w:sz w:val="32"/>
          <w:szCs w:val="32"/>
        </w:rPr>
        <w:t xml:space="preserve">条 </w:t>
      </w:r>
      <w:r>
        <w:rPr>
          <w:rFonts w:hint="eastAsia" w:ascii="仿宋" w:hAnsi="仿宋" w:eastAsia="仿宋" w:cs="仿宋"/>
          <w:sz w:val="32"/>
          <w:szCs w:val="32"/>
        </w:rPr>
        <w:t xml:space="preserve">审核对接工作由中介机构提出申请，固投中心人员负责协调联系，对接前由中介机构汇报初审结果，以电子档形式发给固投中心项目负责人，项目负责人有权退回不符合要求的审核初稿，中介机构应当按照要求进行修改。中介机构与施工单位当面对接必须在固投中心办公场所完成。</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第九条 </w:t>
      </w:r>
      <w:r>
        <w:rPr>
          <w:rFonts w:hint="eastAsia" w:ascii="仿宋" w:hAnsi="仿宋" w:eastAsia="仿宋" w:cs="仿宋"/>
          <w:sz w:val="32"/>
          <w:szCs w:val="32"/>
        </w:rPr>
        <w:t xml:space="preserve">对接后存在的问题由中介机构以书面形式提交给固投中心负责人员，协调会由固投中心召集建设、监理、施工等单位的项目负责人，开会解决审计发现问题。</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第十条 </w:t>
      </w:r>
      <w:r>
        <w:rPr>
          <w:rFonts w:hint="eastAsia" w:ascii="仿宋" w:hAnsi="仿宋" w:eastAsia="仿宋" w:cs="仿宋"/>
          <w:sz w:val="32"/>
          <w:szCs w:val="32"/>
        </w:rPr>
        <w:t xml:space="preserve">中介机构在审核过程中发现重大违规线索和问题，应及时以书面形式向固投中心负责人报告。</w:t>
      </w:r>
      <w:r/>
    </w:p>
    <w:p>
      <w:pPr>
        <w:ind w:firstLine="640"/>
        <w:jc w:val="left"/>
        <w:spacing w:before="120" w:after="120" w:line="480" w:lineRule="exact"/>
        <w:rPr>
          <w:rFonts w:ascii="仿宋" w:hAnsi="仿宋" w:eastAsia="仿宋" w:cs="仿宋"/>
          <w:sz w:val="32"/>
          <w:szCs w:val="32"/>
        </w:rPr>
      </w:pPr>
      <w:r>
        <w:rPr>
          <w:rFonts w:hint="eastAsia" w:ascii="仿宋" w:hAnsi="仿宋" w:eastAsia="仿宋" w:cs="仿宋"/>
          <w:b/>
          <w:sz w:val="32"/>
          <w:szCs w:val="32"/>
        </w:rPr>
        <w:t xml:space="preserve">第十一条 </w:t>
      </w:r>
      <w:r>
        <w:rPr>
          <w:rFonts w:hint="eastAsia" w:ascii="仿宋" w:hAnsi="仿宋" w:eastAsia="仿宋" w:cs="仿宋"/>
          <w:sz w:val="32"/>
          <w:szCs w:val="32"/>
        </w:rPr>
        <w:t xml:space="preserve">中介机构初审结果与最终审核结果差距较大的，需书面说明原因。</w:t>
      </w:r>
      <w:r/>
    </w:p>
    <w:p>
      <w:pPr>
        <w:ind w:firstLine="640"/>
        <w:jc w:val="left"/>
        <w:spacing w:before="120" w:after="120" w:line="480" w:lineRule="exact"/>
        <w:rPr>
          <w:rFonts w:ascii="仿宋" w:hAnsi="仿宋" w:eastAsia="仿宋" w:cs="仿宋"/>
          <w:sz w:val="32"/>
          <w:szCs w:val="32"/>
        </w:rPr>
      </w:pPr>
      <w:r>
        <w:rPr>
          <w:rFonts w:hint="eastAsia" w:ascii="仿宋" w:hAnsi="仿宋" w:eastAsia="仿宋" w:cs="仿宋"/>
          <w:b/>
          <w:sz w:val="32"/>
          <w:szCs w:val="32"/>
        </w:rPr>
        <w:t xml:space="preserve">第十二条 </w:t>
      </w:r>
      <w:r>
        <w:rPr>
          <w:rFonts w:hint="eastAsia" w:ascii="仿宋" w:hAnsi="仿宋" w:eastAsia="仿宋" w:cs="仿宋"/>
          <w:sz w:val="32"/>
          <w:szCs w:val="32"/>
        </w:rPr>
        <w:t xml:space="preserve">中介机构于每月25-30日报送审计项目实施进度表，审计项目实施进度表由中介机构负责人签字并盖章，不得延迟报送。</w:t>
      </w:r>
      <w:r/>
    </w:p>
    <w:p>
      <w:pPr>
        <w:ind w:firstLine="640"/>
        <w:jc w:val="left"/>
        <w:spacing w:before="120" w:after="120" w:line="480" w:lineRule="exact"/>
        <w:rPr>
          <w:rFonts w:ascii="仿宋" w:hAnsi="仿宋" w:eastAsia="仿宋" w:cs="仿宋"/>
          <w:sz w:val="32"/>
          <w:szCs w:val="32"/>
        </w:rPr>
      </w:pPr>
      <w:r>
        <w:rPr>
          <w:rFonts w:hint="eastAsia" w:ascii="仿宋" w:hAnsi="仿宋" w:eastAsia="仿宋" w:cs="仿宋"/>
          <w:b/>
          <w:bCs/>
          <w:sz w:val="32"/>
          <w:szCs w:val="32"/>
        </w:rPr>
        <w:t xml:space="preserve">第十三条 </w:t>
      </w:r>
      <w:r>
        <w:rPr>
          <w:rFonts w:hint="eastAsia" w:ascii="仿宋" w:hAnsi="仿宋" w:eastAsia="仿宋" w:cs="仿宋"/>
          <w:sz w:val="32"/>
          <w:szCs w:val="32"/>
        </w:rPr>
        <w:t xml:space="preserve">未能按合同约定时间完成审计任务的，应当在协审时间到期前3个工作日按规定向固投中心项目负责人提交《协审机构申请延期审批单》，每次申请延期时间为15个工作日。</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第十四条 </w:t>
      </w:r>
      <w:r>
        <w:rPr>
          <w:rFonts w:hint="eastAsia" w:ascii="仿宋" w:hAnsi="仿宋" w:eastAsia="仿宋" w:cs="仿宋"/>
          <w:color w:val="000000"/>
          <w:sz w:val="32"/>
          <w:szCs w:val="32"/>
        </w:rPr>
        <w:t xml:space="preserve">中介机构应当严格执行三级复核机制。</w:t>
      </w:r>
      <w:r>
        <w:rPr>
          <w:rFonts w:hint="eastAsia" w:ascii="仿宋" w:hAnsi="仿宋" w:eastAsia="仿宋" w:cs="仿宋"/>
          <w:sz w:val="32"/>
          <w:szCs w:val="32"/>
        </w:rPr>
        <w:t xml:space="preserve">最终提交固投中心的审核资料应包含建设单位报送的所有资料以及审核报告、审计核定书、审定结算、三级复核流程单等，审核报告中应至少包含项目基本情况、项目审核情况、核减原因分析以及审定价超合同价原因分析等。</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第十五条</w:t>
      </w:r>
      <w:r>
        <w:rPr>
          <w:rFonts w:hint="eastAsia" w:ascii="仿宋" w:hAnsi="仿宋" w:eastAsia="仿宋" w:cs="仿宋"/>
          <w:sz w:val="32"/>
          <w:szCs w:val="32"/>
        </w:rPr>
        <w:t xml:space="preserve"> 报告提交审核后，按固投中心的要求及时提交所有的审计资料，填写资料交接清单。如审计项目被选中复核的，初审中介机构应当主动配合固投中心和复核单位的相关工作，同时无条件遵守复核管理办法的相关规定。</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第十六条 </w:t>
      </w:r>
      <w:r>
        <w:rPr>
          <w:rFonts w:hint="eastAsia" w:ascii="仿宋" w:hAnsi="仿宋" w:eastAsia="仿宋" w:cs="仿宋"/>
          <w:sz w:val="32"/>
          <w:szCs w:val="32"/>
        </w:rPr>
        <w:t xml:space="preserve">中介机构应加强内部专业技术人员及其工作人员的教育和管理，遵守国家法律法规，严守职业道德准则，因自身原因给固投中心、被审计单位造成负面影响或经济损失的，应承担相应责任。</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第十七条 </w:t>
      </w:r>
      <w:r>
        <w:rPr>
          <w:rFonts w:hint="eastAsia" w:ascii="仿宋" w:hAnsi="仿宋" w:eastAsia="仿宋" w:cs="仿宋"/>
          <w:sz w:val="32"/>
          <w:szCs w:val="32"/>
        </w:rPr>
        <w:t xml:space="preserve">中介机构有下列情形之一的，固投中心将暂停其参与本中心下一轮项目的投标资格：</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（一）勘查现场、初审对接、协调会议等情况下，合同签订的一级造价师未能按要求到场的；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（二）勘查现场、初审对接、协调会议等情况下，合同签订的一级造价师存在走过场行为的；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（三）私自接受建设、监理及施工等单位送审资料；</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（四）未按审计机关要求及时报送审计过程资料的；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（五）因自身原因导致审计项目进度未达到合同约定要求的；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（六）项目考核打分在90分以下的，有一个算一次，叠加顺延；</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（七）违反本办法其他规定，情节较轻的。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第十八条 </w:t>
      </w:r>
      <w:r>
        <w:rPr>
          <w:rFonts w:hint="eastAsia" w:ascii="仿宋" w:hAnsi="仿宋" w:eastAsia="仿宋" w:cs="仿宋"/>
          <w:sz w:val="32"/>
          <w:szCs w:val="32"/>
        </w:rPr>
        <w:t xml:space="preserve">中介机构有下列情形之一的，固投中心将暂停其一年内参与本中心项目的投标资格：</w:t>
      </w:r>
      <w:r/>
    </w:p>
    <w:p>
      <w:pPr>
        <w:ind w:firstLine="640"/>
        <w:jc w:val="left"/>
        <w:spacing w:before="120" w:after="120" w:line="480" w:lineRule="exact"/>
        <w:widowControl/>
        <w:rPr>
          <w:rFonts w:ascii="仿宋" w:hAnsi="仿宋" w:eastAsia="仿宋" w:cs="仿宋"/>
          <w:sz w:val="32"/>
          <w:szCs w:val="32"/>
        </w:rPr>
      </w:pPr>
      <w:r/>
      <w:bookmarkStart w:id="357" w:name="_Toc15253"/>
      <w:r/>
      <w:bookmarkStart w:id="358" w:name="_Toc17332"/>
      <w:r>
        <w:rPr>
          <w:rFonts w:hint="eastAsia" w:ascii="仿宋" w:hAnsi="仿宋" w:eastAsia="仿宋" w:cs="仿宋"/>
          <w:sz w:val="32"/>
          <w:szCs w:val="32"/>
        </w:rPr>
        <w:t xml:space="preserve">（一）将审计项目转包或分包给其他单位或个人的；</w:t>
      </w:r>
      <w:bookmarkEnd w:id="357"/>
      <w:r/>
      <w:bookmarkEnd w:id="358"/>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（二）不服从固投中心人员管理，同一项目出现第十七条列出情形两次及以上的；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（三）遗失审计资料的；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（四）项目考核打分在80分以下的，有一个算一次，叠加顺延；</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（五）其他违法违规行为。</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第十九条</w:t>
      </w:r>
      <w:r>
        <w:rPr>
          <w:rFonts w:hint="eastAsia" w:ascii="仿宋" w:hAnsi="仿宋" w:eastAsia="仿宋" w:cs="仿宋"/>
          <w:sz w:val="32"/>
          <w:szCs w:val="32"/>
        </w:rPr>
        <w:t xml:space="preserve"> 中介机构必须严格遵守审计纪律，有下列行为之一的，立即停止其审计业务，中介机构五年内不得参与固投中心的任何审计业务，直接责任人员终身不得参与固投中心协审任务；造成经济损失的，承担相应的赔偿责任；构成犯罪的，依法移送司法机关追究责任：</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（一）重大违纪违规问题应当报告而未报告的；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（二）向被审计单位“吃”、“拿”、“卡”、“要”的；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（三）在办理审核事项时，弄虚作假、徇私舞弊与第三方串通的；</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（四）不遵守审计纪律、泄露审计秘密的。</w:t>
      </w:r>
      <w:r/>
    </w:p>
    <w:p>
      <w:pPr>
        <w:ind w:firstLine="640"/>
        <w:jc w:val="center"/>
        <w:spacing w:before="120" w:after="120" w:line="480" w:lineRule="exact"/>
        <w:widowControl/>
        <w:rPr>
          <w:rFonts w:ascii="仿宋" w:hAnsi="仿宋" w:eastAsia="仿宋" w:cs="仿宋"/>
          <w:bCs/>
          <w:sz w:val="32"/>
          <w:szCs w:val="32"/>
        </w:rPr>
      </w:pPr>
      <w:r/>
      <w:bookmarkStart w:id="359" w:name="_Toc12620"/>
      <w:r/>
      <w:bookmarkStart w:id="360" w:name="_Toc8152"/>
      <w:r>
        <w:rPr>
          <w:rFonts w:hint="eastAsia" w:ascii="仿宋" w:hAnsi="仿宋" w:eastAsia="仿宋" w:cs="仿宋"/>
          <w:bCs/>
          <w:sz w:val="32"/>
          <w:szCs w:val="32"/>
        </w:rPr>
        <w:t xml:space="preserve">第三章 附则</w:t>
      </w:r>
      <w:bookmarkEnd w:id="359"/>
      <w:r/>
      <w:bookmarkEnd w:id="360"/>
      <w:r/>
      <w:r/>
    </w:p>
    <w:p>
      <w:pPr>
        <w:ind w:firstLine="640"/>
        <w:jc w:val="left"/>
        <w:spacing w:line="540" w:lineRule="exact"/>
        <w:rPr>
          <w:rFonts w:ascii="仿宋" w:hAnsi="仿宋" w:eastAsia="仿宋" w:cs="仿宋"/>
          <w:bCs/>
          <w:sz w:val="32"/>
          <w:szCs w:val="32"/>
        </w:rPr>
      </w:pPr>
      <w:r>
        <w:rPr>
          <w:rFonts w:hint="eastAsia" w:ascii="仿宋" w:hAnsi="仿宋" w:eastAsia="仿宋" w:cs="仿宋"/>
          <w:b/>
          <w:bCs/>
          <w:sz w:val="32"/>
          <w:szCs w:val="32"/>
        </w:rPr>
        <w:t xml:space="preserve">第二十条 </w:t>
      </w:r>
      <w:r>
        <w:rPr>
          <w:rFonts w:hint="eastAsia" w:ascii="仿宋" w:hAnsi="仿宋" w:eastAsia="仿宋" w:cs="仿宋"/>
          <w:sz w:val="32"/>
          <w:szCs w:val="32"/>
        </w:rPr>
        <w:t xml:space="preserve">本办法未提及但在《高邮市审计局政府投资项目审计复核管理办法（试行）》中有明确规定的，按复核办法规定执行。</w:t>
      </w:r>
      <w:r/>
    </w:p>
    <w:p>
      <w:pPr>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第二十一条</w:t>
      </w:r>
      <w:r>
        <w:rPr>
          <w:rFonts w:hint="eastAsia" w:ascii="仿宋" w:hAnsi="仿宋" w:eastAsia="仿宋" w:cs="仿宋"/>
          <w:sz w:val="32"/>
          <w:szCs w:val="32"/>
        </w:rPr>
        <w:t xml:space="preserve"> 本办法由</w:t>
      </w:r>
      <w:r>
        <w:rPr>
          <w:rFonts w:hint="eastAsia" w:ascii="仿宋" w:hAnsi="仿宋" w:eastAsia="仿宋" w:cs="仿宋"/>
          <w:sz w:val="32"/>
          <w:szCs w:val="32"/>
          <w:lang w:eastAsia="zh-CN"/>
        </w:rPr>
        <w:t xml:space="preserve">高邮市审计局</w:t>
      </w:r>
      <w:r>
        <w:rPr>
          <w:rFonts w:hint="eastAsia" w:ascii="仿宋" w:hAnsi="仿宋" w:eastAsia="仿宋" w:cs="仿宋"/>
          <w:sz w:val="32"/>
          <w:szCs w:val="32"/>
        </w:rPr>
        <w:t xml:space="preserve">负责解释，自发布之日起实施。</w:t>
      </w:r>
      <w:r/>
    </w:p>
    <w:p>
      <w:pPr>
        <w:ind w:left="197" w:right="31"/>
        <w:spacing w:line="348" w:lineRule="auto"/>
        <w:tabs>
          <w:tab w:val="left" w:pos="7925" w:leader="none"/>
        </w:tabs>
        <w:rPr>
          <w:rFonts w:ascii="仿宋_GB2312" w:hAnsi="Times New Roman" w:eastAsia="仿宋_GB2312"/>
          <w:sz w:val="32"/>
          <w:szCs w:val="20"/>
        </w:rPr>
      </w:pPr>
      <w:r>
        <w:rPr>
          <w:rFonts w:ascii="仿宋_GB2312" w:hAnsi="Times New Roman" w:eastAsia="仿宋_GB2312"/>
          <w:sz w:val="32"/>
          <w:szCs w:val="20"/>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ind w:right="31" w:firstLine="280"/>
        <w:jc w:val="left"/>
        <w:spacing w:line="500" w:lineRule="exact"/>
        <w:rPr>
          <w:rFonts w:ascii="Times New Roman" w:hAnsi="Times New Roman" w:eastAsia="仿宋_GB2312"/>
          <w:sz w:val="28"/>
          <w:szCs w:val="28"/>
        </w:rPr>
        <w:pBdr>
          <w:bottom w:val="single" w:color="000000" w:sz="8" w:space="1"/>
          <w:between w:val="single" w:color="000000" w:sz="8" w:space="1"/>
        </w:pBdr>
      </w:pPr>
      <w:r/>
      <w:bookmarkStart w:id="361" w:name="_Toc25793"/>
      <w:r/>
      <w:bookmarkStart w:id="362" w:name="_Toc19378"/>
      <w:r>
        <w:rPr>
          <w:rFonts w:ascii="Times New Roman" w:hAnsi="Times New Roman" w:eastAsia="仿宋_GB2312"/>
          <w:sz w:val="28"/>
          <w:szCs w:val="28"/>
        </w:rPr>
        <w:t xml:space="preserve">局内分送：</w:t>
      </w:r>
      <w:r>
        <w:rPr>
          <w:rFonts w:hint="eastAsia" w:ascii="Times New Roman" w:hAnsi="Times New Roman" w:eastAsia="仿宋_GB2312"/>
          <w:sz w:val="28"/>
          <w:szCs w:val="28"/>
        </w:rPr>
        <w:t xml:space="preserve">局领导，存（2）。</w:t>
      </w:r>
      <w:bookmarkEnd w:id="361"/>
      <w:r/>
      <w:bookmarkEnd w:id="362"/>
      <w:r/>
      <w:r/>
    </w:p>
    <w:p>
      <w:pPr>
        <w:ind w:right="69" w:firstLine="280"/>
        <w:spacing w:line="500" w:lineRule="exact"/>
        <w:rPr>
          <w:rFonts w:ascii="Times New Roman" w:hAnsi="Times New Roman" w:eastAsia="仿宋_GB2312"/>
          <w:spacing w:val="-30"/>
          <w:sz w:val="28"/>
          <w:szCs w:val="28"/>
        </w:rPr>
      </w:pPr>
      <w:r>
        <w:rPr>
          <w:rFonts w:hint="eastAsia" w:ascii="Times New Roman" w:hAnsi="Times New Roman" w:eastAsia="仿宋_GB2312"/>
          <w:sz w:val="28"/>
          <w:szCs w:val="28"/>
        </w:rPr>
        <w:t xml:space="preserve">高邮</w:t>
      </w:r>
      <w:r>
        <w:rPr>
          <w:rFonts w:ascii="Times New Roman" w:hAnsi="Times New Roman" w:eastAsia="仿宋_GB2312"/>
          <w:sz w:val="28"/>
          <w:szCs w:val="28"/>
        </w:rPr>
        <w:t xml:space="preserve">市审计局办公室</w:t>
      </w:r>
      <w:r>
        <w:rPr>
          <w:rFonts w:ascii="Times New Roman" w:hAnsi="Times New Roman" w:eastAsia="仿宋_GB2312"/>
          <w:spacing w:val="-30"/>
          <w:sz w:val="28"/>
          <w:szCs w:val="28"/>
        </w:rPr>
        <w:t xml:space="preserve">　　　 　　　</w:t>
      </w:r>
      <w:r>
        <w:rPr>
          <w:rFonts w:hint="eastAsia" w:ascii="Times New Roman" w:hAnsi="Times New Roman" w:eastAsia="仿宋_GB2312"/>
          <w:spacing w:val="-30"/>
          <w:sz w:val="28"/>
          <w:szCs w:val="28"/>
        </w:rPr>
        <w:t xml:space="preserve">       </w:t>
      </w:r>
      <w:r>
        <w:rPr>
          <w:rFonts w:ascii="Times New Roman" w:hAnsi="Times New Roman" w:eastAsia="仿宋_GB2312"/>
          <w:spacing w:val="-30"/>
          <w:sz w:val="28"/>
          <w:szCs w:val="28"/>
        </w:rPr>
        <w:t xml:space="preserve">　</w:t>
      </w:r>
      <w:r>
        <w:rPr>
          <w:rFonts w:ascii="Times New Roman" w:hAnsi="Times New Roman" w:eastAsia="仿宋_GB2312"/>
          <w:spacing w:val="30"/>
          <w:sz w:val="28"/>
          <w:szCs w:val="28"/>
        </w:rPr>
        <w:fldChar w:fldCharType="begin"/>
      </w:r>
      <w:r>
        <w:rPr>
          <w:rFonts w:ascii="Times New Roman" w:hAnsi="Times New Roman" w:eastAsia="仿宋_GB2312"/>
          <w:spacing w:val="30"/>
          <w:sz w:val="28"/>
          <w:szCs w:val="28"/>
        </w:rPr>
        <w:instrText xml:space="preserve"> FORMTEXT </w:instrText>
      </w:r>
      <w:r>
        <w:rPr>
          <w:rFonts w:ascii="Times New Roman" w:hAnsi="Times New Roman" w:eastAsia="仿宋_GB2312"/>
          <w:spacing w:val="30"/>
          <w:sz w:val="28"/>
          <w:szCs w:val="28"/>
        </w:rPr>
        <w:fldChar w:fldCharType="separate"/>
      </w:r>
      <w:r>
        <w:rPr>
          <w:rFonts w:hint="eastAsia" w:ascii="Times New Roman" w:hAnsi="Times New Roman" w:eastAsia="仿宋_GB2312"/>
          <w:spacing w:val="30"/>
          <w:sz w:val="28"/>
          <w:szCs w:val="28"/>
        </w:rPr>
        <w:t xml:space="preserve">2021年11月1日印发</w:t>
      </w:r>
      <w:r>
        <w:rPr>
          <w:rFonts w:ascii="Times New Roman" w:hAnsi="Times New Roman" w:eastAsia="仿宋_GB2312"/>
          <w:spacing w:val="30"/>
          <w:sz w:val="28"/>
          <w:szCs w:val="28"/>
        </w:rPr>
        <w:fldChar w:fldCharType="end"/>
      </w:r>
      <w:r/>
    </w:p>
    <w:p>
      <w:pPr>
        <w:ind w:right="69"/>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jc w:val="left"/>
        <w:widowControl/>
        <w:rPr>
          <w:rFonts w:ascii="宋体" w:hAnsi="宋体"/>
          <w:color w:val="000000"/>
        </w:rPr>
      </w:pPr>
      <w:r>
        <w:rPr>
          <w:rFonts w:ascii="宋体" w:hAnsi="宋体"/>
          <w:color w:val="000000"/>
        </w:rPr>
      </w:r>
      <w:r/>
    </w:p>
    <w:p>
      <w:pPr>
        <w:pStyle w:val="809"/>
      </w:pPr>
      <w:r/>
      <w:bookmarkStart w:id="363" w:name="_Toc32069"/>
      <w:r/>
      <w:bookmarkStart w:id="364" w:name="_Toc5863"/>
      <w:r/>
      <w:bookmarkStart w:id="365" w:name="_Toc24514"/>
      <w:r/>
      <w:bookmarkStart w:id="366" w:name="_Toc150173461"/>
      <w:r>
        <w:rPr>
          <w:rFonts w:hint="eastAsia"/>
        </w:rPr>
        <w:t xml:space="preserve">第五章 评标方法及评标标准</w:t>
      </w:r>
      <w:bookmarkEnd w:id="315"/>
      <w:r/>
      <w:bookmarkEnd w:id="363"/>
      <w:r/>
      <w:bookmarkEnd w:id="364"/>
      <w:r/>
      <w:bookmarkEnd w:id="365"/>
      <w:r/>
      <w:bookmarkEnd w:id="366"/>
      <w:r/>
      <w:r/>
    </w:p>
    <w:p>
      <w:pPr>
        <w:pStyle w:val="1010"/>
        <w:ind w:firstLine="422"/>
        <w:rPr>
          <w:rFonts w:ascii="宋体" w:hAnsi="宋体"/>
          <w:b/>
          <w:sz w:val="21"/>
          <w:szCs w:val="21"/>
        </w:rPr>
        <w:outlineLvl w:val="1"/>
      </w:pPr>
      <w:r/>
      <w:bookmarkStart w:id="367" w:name="_Toc10072"/>
      <w:r/>
      <w:bookmarkStart w:id="368" w:name="_Toc29971"/>
      <w:r/>
      <w:bookmarkStart w:id="369" w:name="_Toc28525"/>
      <w:r>
        <w:rPr>
          <w:rFonts w:hint="eastAsia" w:ascii="宋体" w:hAnsi="宋体"/>
          <w:b/>
          <w:sz w:val="21"/>
          <w:szCs w:val="21"/>
        </w:rPr>
        <w:t xml:space="preserve">一、评标方法</w:t>
      </w:r>
      <w:bookmarkEnd w:id="367"/>
      <w:r/>
      <w:bookmarkEnd w:id="368"/>
      <w:r/>
      <w:bookmarkEnd w:id="369"/>
      <w:r/>
      <w:r/>
    </w:p>
    <w:p>
      <w:pPr>
        <w:pStyle w:val="1010"/>
        <w:spacing w:before="0" w:after="0"/>
        <w:rPr>
          <w:rFonts w:ascii="宋体" w:hAnsi="宋体"/>
          <w:szCs w:val="21"/>
        </w:rPr>
      </w:pPr>
      <w:r>
        <w:rPr>
          <w:rFonts w:hint="eastAsia" w:ascii="宋体" w:hAnsi="宋体"/>
          <w:sz w:val="21"/>
          <w:szCs w:val="21"/>
        </w:rPr>
        <w:t xml:space="preserve">1、</w:t>
      </w:r>
      <w:r>
        <w:rPr>
          <w:rFonts w:hint="eastAsia" w:ascii="Calibri" w:hAnsi="Calibri"/>
          <w:sz w:val="21"/>
          <w:szCs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outlineLvl w:val="1"/>
      </w:pPr>
      <w:r/>
      <w:bookmarkStart w:id="370" w:name="_Toc449016388"/>
      <w:r/>
      <w:bookmarkStart w:id="371" w:name="_Toc449017024"/>
      <w:r/>
      <w:bookmarkStart w:id="372" w:name="_Toc3797"/>
      <w:r/>
      <w:bookmarkStart w:id="373" w:name="_Toc4655"/>
      <w:r/>
      <w:bookmarkStart w:id="374" w:name="_Toc26045"/>
      <w:r>
        <w:rPr>
          <w:rFonts w:ascii="宋体" w:hAnsi="宋体"/>
          <w:b/>
          <w:szCs w:val="21"/>
        </w:rPr>
        <w:t xml:space="preserve">二、</w:t>
      </w:r>
      <w:r>
        <w:rPr>
          <w:rFonts w:hint="eastAsia" w:ascii="宋体" w:hAnsi="宋体"/>
          <w:b/>
          <w:szCs w:val="21"/>
        </w:rPr>
        <w:t xml:space="preserve">政府采购政策功能落实</w:t>
      </w:r>
      <w:bookmarkEnd w:id="370"/>
      <w:r/>
      <w:bookmarkEnd w:id="371"/>
      <w:r/>
      <w:bookmarkEnd w:id="372"/>
      <w:r/>
      <w:bookmarkEnd w:id="373"/>
      <w:r/>
      <w:bookmarkEnd w:id="374"/>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0"/>
        <w:ind w:firstLine="420"/>
        <w:rPr>
          <w:rFonts w:ascii="宋体" w:hAnsi="宋体"/>
          <w:sz w:val="21"/>
          <w:szCs w:val="21"/>
        </w:rPr>
      </w:pPr>
      <w:r/>
      <w:bookmarkStart w:id="375" w:name="_Toc11869"/>
      <w:r/>
      <w:bookmarkStart w:id="376" w:name="_Toc26152"/>
      <w:r>
        <w:rPr>
          <w:rFonts w:hint="eastAsia" w:ascii="宋体" w:hAnsi="宋体"/>
          <w:sz w:val="21"/>
          <w:szCs w:val="21"/>
        </w:rPr>
        <w:t xml:space="preserve">1、小微型企业价格扣除</w:t>
      </w:r>
      <w:bookmarkEnd w:id="375"/>
      <w:r/>
      <w:bookmarkEnd w:id="376"/>
      <w:r/>
      <w:r/>
    </w:p>
    <w:p>
      <w:pPr>
        <w:pStyle w:val="1010"/>
        <w:ind w:firstLine="420"/>
        <w:rPr>
          <w:rFonts w:ascii="宋体" w:hAnsi="宋体"/>
          <w:sz w:val="21"/>
          <w:szCs w:val="21"/>
        </w:rPr>
      </w:pPr>
      <w:r>
        <w:rPr>
          <w:rFonts w:hint="eastAsia" w:ascii="宋体" w:hAnsi="宋体"/>
          <w:sz w:val="21"/>
          <w:szCs w:val="21"/>
        </w:rPr>
        <w:t xml:space="preserve">（1）本项目对小型和微型企业产品给予20%的扣除价格，用扣除后的价格参与评审。</w:t>
      </w:r>
      <w:r/>
    </w:p>
    <w:p>
      <w:pPr>
        <w:pStyle w:val="1010"/>
        <w:ind w:firstLine="420"/>
        <w:rPr>
          <w:rFonts w:ascii="宋体" w:hAnsi="宋体"/>
          <w:sz w:val="21"/>
          <w:szCs w:val="21"/>
        </w:rPr>
      </w:pPr>
      <w:r>
        <w:rPr>
          <w:rFonts w:hint="eastAsia" w:ascii="宋体" w:hAnsi="宋体"/>
          <w:sz w:val="21"/>
          <w:szCs w:val="21"/>
        </w:rPr>
        <w:t xml:space="preserve">（2）供应商需按照采购文件的要求提供相应的《企业声明函》。</w:t>
      </w:r>
      <w:r/>
    </w:p>
    <w:p>
      <w:pPr>
        <w:pStyle w:val="1010"/>
        <w:ind w:firstLine="420"/>
        <w:rPr>
          <w:rFonts w:ascii="宋体" w:hAnsi="宋体"/>
          <w:sz w:val="21"/>
          <w:szCs w:val="21"/>
        </w:rPr>
      </w:pPr>
      <w:r/>
      <w:bookmarkStart w:id="377" w:name="_Toc23434"/>
      <w:r/>
      <w:bookmarkStart w:id="378" w:name="_Toc32176"/>
      <w:r>
        <w:rPr>
          <w:rFonts w:hint="eastAsia" w:ascii="宋体" w:hAnsi="宋体"/>
          <w:sz w:val="21"/>
          <w:szCs w:val="21"/>
        </w:rPr>
        <w:t xml:space="preserve">2、残疾人福利单位价格扣除</w:t>
      </w:r>
      <w:bookmarkEnd w:id="377"/>
      <w:r/>
      <w:bookmarkEnd w:id="378"/>
      <w:r/>
      <w:r/>
    </w:p>
    <w:p>
      <w:pPr>
        <w:pStyle w:val="1010"/>
        <w:ind w:firstLine="420"/>
        <w:rPr>
          <w:rFonts w:ascii="宋体" w:hAnsi="宋体"/>
          <w:sz w:val="21"/>
          <w:szCs w:val="21"/>
        </w:rPr>
      </w:pPr>
      <w:r>
        <w:rPr>
          <w:rFonts w:hint="eastAsia" w:ascii="宋体" w:hAnsi="宋体"/>
          <w:sz w:val="21"/>
          <w:szCs w:val="21"/>
        </w:rPr>
        <w:t xml:space="preserve">（1）本项目对残疾人福利性单位视同小型、微型企业，给予20%的价格扣除，用扣除后的价格参与评审。</w:t>
      </w:r>
      <w:r/>
    </w:p>
    <w:p>
      <w:pPr>
        <w:pStyle w:val="1010"/>
        <w:ind w:firstLine="42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010"/>
        <w:ind w:firstLine="420"/>
        <w:rPr>
          <w:rFonts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1010"/>
        <w:ind w:firstLine="420"/>
        <w:rPr>
          <w:rFonts w:ascii="宋体" w:hAnsi="宋体"/>
          <w:sz w:val="21"/>
          <w:szCs w:val="21"/>
        </w:rPr>
      </w:pPr>
      <w:r/>
      <w:bookmarkStart w:id="379" w:name="_Toc31272"/>
      <w:r/>
      <w:bookmarkStart w:id="380" w:name="_Toc18929"/>
      <w:r>
        <w:rPr>
          <w:rFonts w:hint="eastAsia" w:ascii="宋体" w:hAnsi="宋体"/>
          <w:sz w:val="21"/>
          <w:szCs w:val="21"/>
        </w:rPr>
        <w:t xml:space="preserve">3、监狱和戒毒企业价格扣除</w:t>
      </w:r>
      <w:bookmarkEnd w:id="379"/>
      <w:r/>
      <w:bookmarkEnd w:id="380"/>
      <w:r/>
      <w:r/>
    </w:p>
    <w:p>
      <w:pPr>
        <w:pStyle w:val="1010"/>
        <w:ind w:firstLine="420"/>
        <w:rPr>
          <w:rFonts w:ascii="宋体" w:hAnsi="宋体"/>
          <w:sz w:val="21"/>
          <w:szCs w:val="21"/>
        </w:rPr>
      </w:pPr>
      <w:r>
        <w:rPr>
          <w:rFonts w:hint="eastAsia" w:ascii="宋体" w:hAnsi="宋体"/>
          <w:sz w:val="21"/>
          <w:szCs w:val="21"/>
        </w:rPr>
        <w:t xml:space="preserve">（1）本项目对监狱和戒毒企业（简称监狱企业）视同小型、微型企业，给予20%的价格扣除，用扣除后的价格参与评审。</w:t>
      </w:r>
      <w:r/>
    </w:p>
    <w:p>
      <w:pPr>
        <w:pStyle w:val="1010"/>
        <w:ind w:firstLine="42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0"/>
        <w:ind w:firstLine="420"/>
        <w:rPr>
          <w:rFonts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1010"/>
        <w:ind w:firstLine="420"/>
        <w:rPr>
          <w:rFonts w:ascii="宋体" w:hAnsi="宋体"/>
          <w:sz w:val="21"/>
          <w:szCs w:val="21"/>
        </w:rPr>
      </w:pPr>
      <w:r>
        <w:rPr>
          <w:rFonts w:hint="eastAsia" w:ascii="宋体" w:hAnsi="宋体"/>
          <w:sz w:val="21"/>
          <w:szCs w:val="21"/>
        </w:rPr>
        <w:t xml:space="preserve">4、残疾人福利单位、监狱企业属于小型、微型企业的，不重复享受政策。</w:t>
      </w:r>
      <w:r/>
    </w:p>
    <w:p>
      <w:pPr>
        <w:pStyle w:val="1010"/>
        <w:ind w:firstLine="420"/>
        <w:rPr>
          <w:rFonts w:ascii="宋体" w:hAnsi="宋体"/>
          <w:sz w:val="21"/>
          <w:szCs w:val="21"/>
        </w:rPr>
      </w:pPr>
      <w:r>
        <w:rPr>
          <w:rFonts w:hint="eastAsia"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spacing w:line="480" w:lineRule="auto"/>
        <w:rPr>
          <w:rFonts w:ascii="宋体" w:hAnsi="宋体"/>
          <w:szCs w:val="21"/>
        </w:rPr>
      </w:pPr>
      <w:r>
        <w:rPr>
          <w:rFonts w:hint="eastAsia" w:ascii="宋体" w:hAnsi="宋体" w:cs="宋体"/>
          <w:b/>
          <w:szCs w:val="21"/>
        </w:rPr>
        <w:t xml:space="preserve">注：本项目专门面对中小企业采购，故对小微、残疾人和监狱戒毒企业不做价格扣除优惠。</w:t>
      </w:r>
      <w:r/>
    </w:p>
    <w:p>
      <w:pPr>
        <w:pStyle w:val="1010"/>
        <w:ind w:firstLine="422"/>
        <w:rPr>
          <w:rFonts w:ascii="宋体" w:hAnsi="宋体"/>
          <w:b/>
          <w:sz w:val="21"/>
          <w:szCs w:val="21"/>
        </w:rPr>
        <w:outlineLvl w:val="1"/>
      </w:pPr>
      <w:r/>
      <w:bookmarkStart w:id="381" w:name="_Toc3982"/>
      <w:r/>
      <w:bookmarkStart w:id="382" w:name="_Toc1293"/>
      <w:r/>
      <w:bookmarkStart w:id="383" w:name="_Toc10201"/>
      <w:r>
        <w:rPr>
          <w:rFonts w:hint="eastAsia" w:ascii="宋体" w:hAnsi="宋体"/>
          <w:b/>
          <w:sz w:val="21"/>
          <w:szCs w:val="21"/>
        </w:rPr>
        <w:t xml:space="preserve">三、评标标准</w:t>
      </w:r>
      <w:bookmarkEnd w:id="381"/>
      <w:r/>
      <w:bookmarkEnd w:id="382"/>
      <w:r/>
      <w:bookmarkEnd w:id="383"/>
      <w:r/>
      <w:r/>
    </w:p>
    <w:tbl>
      <w:tblPr>
        <w:tblStyle w:val="813"/>
        <w:tblW w:w="9556" w:type="dxa"/>
        <w:tblInd w:w="-284"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88"/>
        <w:gridCol w:w="1180"/>
        <w:gridCol w:w="1593"/>
        <w:gridCol w:w="6295"/>
      </w:tblGrid>
      <w:tr>
        <w:trPr>
          <w:trHeight w:val="698"/>
        </w:trPr>
        <w:tc>
          <w:tcPr>
            <w:tcW w:w="488" w:type="dxa"/>
            <w:vAlign w:val="center"/>
            <w:textDirection w:val="lrTb"/>
            <w:noWrap w:val="false"/>
          </w:tcPr>
          <w:p>
            <w:pPr>
              <w:spacing w:line="320" w:lineRule="exact"/>
              <w:widowControl/>
              <w:rPr>
                <w:rFonts w:ascii="宋体" w:hAnsi="宋体"/>
              </w:rPr>
            </w:pPr>
            <w:r/>
            <w:bookmarkStart w:id="384" w:name="_Hlk201534898"/>
            <w:r/>
            <w:bookmarkStart w:id="385" w:name="OLE_LINK8"/>
            <w:r>
              <w:rPr>
                <w:rFonts w:hint="eastAsia" w:ascii="宋体" w:hAnsi="宋体"/>
              </w:rPr>
              <w:t xml:space="preserve">序号</w:t>
            </w:r>
            <w:r/>
          </w:p>
        </w:tc>
        <w:tc>
          <w:tcPr>
            <w:tcW w:w="1180" w:type="dxa"/>
            <w:vAlign w:val="center"/>
            <w:textDirection w:val="lrTb"/>
            <w:noWrap w:val="false"/>
          </w:tcPr>
          <w:p>
            <w:pPr>
              <w:jc w:val="center"/>
              <w:spacing w:line="320" w:lineRule="exact"/>
              <w:widowControl/>
              <w:rPr>
                <w:rFonts w:ascii="宋体" w:hAnsi="宋体"/>
              </w:rPr>
            </w:pPr>
            <w:r>
              <w:rPr>
                <w:rFonts w:hint="eastAsia" w:ascii="宋体" w:hAnsi="宋体"/>
              </w:rPr>
              <w:t xml:space="preserve">评分因素</w:t>
            </w:r>
            <w:r/>
          </w:p>
        </w:tc>
        <w:tc>
          <w:tcPr>
            <w:tcW w:w="1593" w:type="dxa"/>
            <w:vAlign w:val="center"/>
            <w:textDirection w:val="lrTb"/>
            <w:noWrap w:val="false"/>
          </w:tcPr>
          <w:p>
            <w:pPr>
              <w:jc w:val="center"/>
              <w:spacing w:line="320" w:lineRule="exact"/>
              <w:widowControl/>
              <w:rPr>
                <w:rFonts w:ascii="宋体" w:hAnsi="宋体"/>
              </w:rPr>
            </w:pPr>
            <w:r>
              <w:rPr>
                <w:rFonts w:hint="eastAsia" w:ascii="宋体" w:hAnsi="宋体"/>
              </w:rPr>
              <w:t xml:space="preserve">分值分配</w:t>
            </w:r>
            <w:r/>
          </w:p>
        </w:tc>
        <w:tc>
          <w:tcPr>
            <w:tcW w:w="6295" w:type="dxa"/>
            <w:vAlign w:val="center"/>
            <w:textDirection w:val="lrTb"/>
            <w:noWrap w:val="false"/>
          </w:tcPr>
          <w:p>
            <w:pPr>
              <w:jc w:val="center"/>
              <w:spacing w:line="320" w:lineRule="exact"/>
              <w:widowControl/>
              <w:rPr>
                <w:rFonts w:ascii="宋体" w:hAnsi="宋体"/>
              </w:rPr>
            </w:pPr>
            <w:r>
              <w:rPr>
                <w:rFonts w:hint="eastAsia" w:ascii="宋体" w:hAnsi="宋体"/>
              </w:rPr>
              <w:t xml:space="preserve">评分内容及办法</w:t>
            </w:r>
            <w:r/>
          </w:p>
        </w:tc>
      </w:tr>
      <w:tr>
        <w:trPr>
          <w:trHeight w:val="698"/>
        </w:trPr>
        <w:tc>
          <w:tcPr>
            <w:tcW w:w="488" w:type="dxa"/>
            <w:vAlign w:val="center"/>
            <w:textDirection w:val="lrTb"/>
            <w:noWrap w:val="false"/>
          </w:tcPr>
          <w:p>
            <w:pPr>
              <w:spacing w:line="360" w:lineRule="auto"/>
              <w:rPr>
                <w:rFonts w:hint="eastAsia" w:ascii="宋体" w:hAnsi="宋体"/>
              </w:rPr>
            </w:pPr>
            <w:r>
              <w:rPr>
                <w:rFonts w:hint="eastAsia" w:ascii="宋体" w:hAnsi="宋体"/>
                <w:lang w:val="en-US" w:eastAsia="zh-CN"/>
              </w:rPr>
              <w:t xml:space="preserve">1</w:t>
            </w:r>
            <w:r/>
          </w:p>
        </w:tc>
        <w:tc>
          <w:tcPr>
            <w:gridSpan w:val="2"/>
            <w:tcW w:w="2773" w:type="dxa"/>
            <w:vAlign w:val="center"/>
            <w:textDirection w:val="lrTb"/>
            <w:noWrap w:val="false"/>
          </w:tcPr>
          <w:p>
            <w:pPr>
              <w:spacing w:line="360" w:lineRule="auto"/>
              <w:rPr>
                <w:rFonts w:hint="eastAsia" w:ascii="宋体" w:hAnsi="宋体"/>
              </w:rPr>
            </w:pPr>
            <w:r>
              <w:rPr>
                <w:rFonts w:hint="eastAsia" w:ascii="宋体" w:hAnsi="宋体"/>
                <w:lang w:val="en-US" w:eastAsia="zh-CN"/>
              </w:rPr>
              <w:t xml:space="preserve">价格部分（10分）</w:t>
            </w:r>
            <w:r/>
          </w:p>
        </w:tc>
        <w:tc>
          <w:tcPr>
            <w:tcW w:w="6295" w:type="dxa"/>
            <w:vAlign w:val="center"/>
            <w:textDirection w:val="lrTb"/>
            <w:noWrap w:val="false"/>
          </w:tcPr>
          <w:p>
            <w:pPr>
              <w:spacing w:line="360" w:lineRule="auto"/>
              <w:rPr>
                <w:rFonts w:hint="eastAsia" w:ascii="宋体" w:hAnsi="宋体"/>
              </w:rPr>
            </w:pPr>
            <w:r>
              <w:rPr>
                <w:rFonts w:hint="eastAsia" w:ascii="宋体" w:hAnsi="宋体"/>
              </w:rPr>
              <w:t xml:space="preserve">本项目价格分采用低价优先法计算，即满足招标文件要求且投标价格最低的投标报价为评标基准价，其价格分为满分。其他投标人的价格分按照下列公式计算</w:t>
            </w:r>
            <w:r>
              <w:rPr>
                <w:rFonts w:hint="eastAsia" w:ascii="宋体" w:hAnsi="宋体"/>
                <w:lang w:eastAsia="zh-CN"/>
              </w:rPr>
              <w:t xml:space="preserve">：</w:t>
            </w:r>
            <w:r>
              <w:rPr>
                <w:rFonts w:hint="eastAsia" w:ascii="宋体" w:hAnsi="宋体"/>
              </w:rPr>
              <w:t xml:space="preserve">投标报价得分=(评标基准价</w:t>
            </w:r>
            <w:r>
              <w:rPr>
                <w:rFonts w:hint="eastAsia" w:ascii="宋体" w:hAnsi="宋体"/>
                <w:lang w:val="en-US" w:eastAsia="zh-CN"/>
              </w:rPr>
              <w:t xml:space="preserve">/</w:t>
            </w:r>
            <w:r>
              <w:rPr>
                <w:rFonts w:hint="eastAsia" w:ascii="宋体" w:hAnsi="宋体"/>
              </w:rPr>
              <w:t xml:space="preserve">投标报价)×</w:t>
            </w:r>
            <w:r>
              <w:rPr>
                <w:rFonts w:hint="eastAsia" w:ascii="宋体" w:hAnsi="宋体"/>
                <w:lang w:val="en-US" w:eastAsia="zh-CN"/>
              </w:rPr>
              <w:t xml:space="preserve">10</w:t>
            </w:r>
            <w:r>
              <w:rPr>
                <w:rFonts w:hint="eastAsia" w:ascii="宋体" w:hAnsi="宋体"/>
              </w:rPr>
              <w:t xml:space="preserve">×100%（保留两位小数）</w:t>
            </w:r>
            <w:r/>
          </w:p>
        </w:tc>
      </w:tr>
      <w:tr>
        <w:trPr>
          <w:trHeight w:val="1492"/>
        </w:trPr>
        <w:tc>
          <w:tcPr>
            <w:tcW w:w="488" w:type="dxa"/>
            <w:vAlign w:val="center"/>
            <w:vMerge w:val="restart"/>
            <w:textDirection w:val="lrTb"/>
            <w:noWrap w:val="false"/>
          </w:tcPr>
          <w:p>
            <w:pPr>
              <w:jc w:val="center"/>
              <w:spacing w:line="320" w:lineRule="exact"/>
              <w:widowControl/>
              <w:rPr>
                <w:rFonts w:hint="eastAsia" w:ascii="宋体" w:hAnsi="宋体" w:eastAsia="宋体"/>
                <w:lang w:eastAsia="zh-CN"/>
              </w:rPr>
            </w:pPr>
            <w:r>
              <w:rPr>
                <w:rFonts w:hint="eastAsia" w:ascii="宋体" w:hAnsi="宋体"/>
                <w:lang w:val="en-US" w:eastAsia="zh-CN"/>
              </w:rPr>
              <w:t xml:space="preserve">2</w:t>
            </w:r>
            <w:r/>
          </w:p>
        </w:tc>
        <w:tc>
          <w:tcPr>
            <w:tcW w:w="1180" w:type="dxa"/>
            <w:vAlign w:val="center"/>
            <w:vMerge w:val="restart"/>
            <w:textDirection w:val="lrTb"/>
            <w:noWrap w:val="false"/>
          </w:tcPr>
          <w:p>
            <w:pPr>
              <w:jc w:val="center"/>
              <w:spacing w:line="320" w:lineRule="exact"/>
              <w:widowControl/>
              <w:rPr>
                <w:rFonts w:ascii="宋体" w:hAnsi="宋体"/>
              </w:rPr>
            </w:pPr>
            <w:r>
              <w:rPr>
                <w:rFonts w:hint="eastAsia" w:ascii="宋体" w:hAnsi="宋体"/>
              </w:rPr>
              <w:t xml:space="preserve">技术部分（</w:t>
            </w:r>
            <w:r>
              <w:rPr>
                <w:rFonts w:hint="eastAsia" w:ascii="宋体" w:hAnsi="宋体"/>
                <w:lang w:val="en-US" w:eastAsia="zh-CN"/>
              </w:rPr>
              <w:t xml:space="preserve">2</w:t>
            </w:r>
            <w:r>
              <w:rPr>
                <w:rFonts w:hint="eastAsia" w:ascii="宋体" w:hAnsi="宋体"/>
              </w:rPr>
              <w:t xml:space="preserve">8分）</w:t>
            </w:r>
            <w:r/>
          </w:p>
        </w:tc>
        <w:tc>
          <w:tcPr>
            <w:tcW w:w="1593" w:type="dxa"/>
            <w:vAlign w:val="center"/>
            <w:textDirection w:val="lrTb"/>
            <w:noWrap w:val="false"/>
          </w:tcPr>
          <w:p>
            <w:pPr>
              <w:jc w:val="center"/>
              <w:widowControl/>
              <w:rPr>
                <w:rFonts w:ascii="宋体" w:hAnsi="宋体"/>
              </w:rPr>
            </w:pPr>
            <w:r>
              <w:rPr>
                <w:rFonts w:hint="eastAsia" w:ascii="宋体" w:hAnsi="宋体"/>
              </w:rPr>
              <w:t xml:space="preserve">组织实施方案</w:t>
            </w:r>
            <w:r/>
          </w:p>
          <w:p>
            <w:pPr>
              <w:jc w:val="center"/>
              <w:widowControl/>
              <w:rPr>
                <w:rFonts w:ascii="宋体" w:hAnsi="宋体"/>
                <w:sz w:val="18"/>
                <w:szCs w:val="18"/>
              </w:rPr>
            </w:pPr>
            <w:r>
              <w:rPr>
                <w:rFonts w:hint="eastAsia" w:ascii="宋体" w:hAnsi="宋体"/>
              </w:rPr>
              <w:t xml:space="preserve">（</w:t>
            </w:r>
            <w:r>
              <w:rPr>
                <w:rFonts w:hint="eastAsia" w:ascii="宋体" w:hAnsi="宋体"/>
                <w:lang w:val="en-US" w:eastAsia="zh-CN"/>
              </w:rPr>
              <w:t xml:space="preserve">6</w:t>
            </w:r>
            <w:r>
              <w:rPr>
                <w:rFonts w:hint="eastAsia" w:ascii="宋体" w:hAnsi="宋体"/>
              </w:rPr>
              <w:t xml:space="preserve">分）</w:t>
            </w:r>
            <w:r/>
          </w:p>
        </w:tc>
        <w:tc>
          <w:tcPr>
            <w:tcW w:w="6295" w:type="dxa"/>
            <w:vAlign w:val="center"/>
            <w:textDirection w:val="lrTb"/>
            <w:noWrap w:val="false"/>
          </w:tcPr>
          <w:p>
            <w:pPr>
              <w:spacing w:line="360" w:lineRule="auto"/>
              <w:rPr>
                <w:rFonts w:ascii="宋体" w:hAnsi="宋体"/>
              </w:rPr>
            </w:pPr>
            <w:r>
              <w:rPr>
                <w:rFonts w:hint="eastAsia" w:ascii="宋体" w:hAnsi="宋体"/>
              </w:rPr>
              <w:t xml:space="preserve">对各投标人的组织实施方案（工作程序、工作标准、工作方法、工作内容）的完整性、合理性、科学性、严密性、可行性进行评价，内容明确详细且满足项目需求的得</w:t>
            </w:r>
            <w:r>
              <w:rPr>
                <w:rFonts w:hint="eastAsia" w:ascii="宋体" w:hAnsi="宋体"/>
                <w:lang w:val="en-US" w:eastAsia="zh-CN"/>
              </w:rPr>
              <w:t xml:space="preserve">6</w:t>
            </w:r>
            <w:r>
              <w:rPr>
                <w:rFonts w:hint="eastAsia" w:ascii="宋体" w:hAnsi="宋体"/>
              </w:rPr>
              <w:t xml:space="preserve">分，描述一般得</w:t>
            </w:r>
            <w:r>
              <w:rPr>
                <w:rFonts w:hint="eastAsia" w:ascii="宋体" w:hAnsi="宋体"/>
                <w:lang w:val="en-US" w:eastAsia="zh-CN"/>
              </w:rPr>
              <w:t xml:space="preserve">4</w:t>
            </w:r>
            <w:r>
              <w:rPr>
                <w:rFonts w:hint="eastAsia" w:ascii="宋体" w:hAnsi="宋体"/>
              </w:rPr>
              <w:t xml:space="preserve">分，描述有欠缺得</w:t>
            </w:r>
            <w:r>
              <w:rPr>
                <w:rFonts w:hint="eastAsia" w:ascii="宋体" w:hAnsi="宋体"/>
                <w:lang w:val="en-US" w:eastAsia="zh-CN"/>
              </w:rPr>
              <w:t xml:space="preserve">2</w:t>
            </w:r>
            <w:r>
              <w:rPr>
                <w:rFonts w:hint="eastAsia" w:ascii="宋体" w:hAnsi="宋体"/>
              </w:rPr>
              <w:t xml:space="preserve">分，描述缺漏严重或严重不对应不得分。</w:t>
            </w:r>
            <w:r/>
          </w:p>
        </w:tc>
      </w:tr>
      <w:tr>
        <w:trPr>
          <w:trHeight w:val="921"/>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风险和质量控制</w:t>
            </w:r>
            <w:r/>
          </w:p>
          <w:p>
            <w:pPr>
              <w:pStyle w:val="1019"/>
              <w:ind w:left="0" w:firstLine="0"/>
              <w:jc w:val="center"/>
              <w:rPr>
                <w:rFonts w:ascii="宋体" w:hAnsi="宋体"/>
              </w:rPr>
            </w:pPr>
            <w:r>
              <w:rPr>
                <w:rFonts w:hint="eastAsia" w:ascii="宋体" w:hAnsi="宋体"/>
              </w:rPr>
              <w:t xml:space="preserve">（</w:t>
            </w:r>
            <w:r>
              <w:rPr>
                <w:rFonts w:hint="eastAsia" w:ascii="宋体" w:hAnsi="宋体"/>
                <w:lang w:val="en-US" w:eastAsia="zh-CN"/>
              </w:rPr>
              <w:t xml:space="preserve">6</w:t>
            </w:r>
            <w:r>
              <w:rPr>
                <w:rFonts w:hint="eastAsia" w:ascii="宋体" w:hAnsi="宋体"/>
              </w:rPr>
              <w:t xml:space="preserve">分）</w:t>
            </w:r>
            <w:r/>
          </w:p>
        </w:tc>
        <w:tc>
          <w:tcPr>
            <w:tcW w:w="6295" w:type="dxa"/>
            <w:vAlign w:val="center"/>
            <w:textDirection w:val="lrTb"/>
            <w:noWrap w:val="false"/>
          </w:tcPr>
          <w:p>
            <w:pPr>
              <w:spacing w:line="360" w:lineRule="auto"/>
              <w:rPr>
                <w:rFonts w:ascii="宋体" w:hAnsi="宋体"/>
              </w:rPr>
            </w:pPr>
            <w:r>
              <w:rPr>
                <w:rFonts w:hint="eastAsia" w:ascii="宋体" w:hAnsi="宋体"/>
              </w:rPr>
              <w:t xml:space="preserve">对各供投标人的风险和质量控制措施（风险预判及应对措施、审计工作中关键点的质量控制等）的完整性、合理性、科学性、严密性、可行性进行评价，内容明确详细且满足项目需求的得</w:t>
            </w:r>
            <w:r>
              <w:rPr>
                <w:rFonts w:hint="eastAsia" w:ascii="宋体" w:hAnsi="宋体"/>
                <w:lang w:val="en-US" w:eastAsia="zh-CN"/>
              </w:rPr>
              <w:t xml:space="preserve">6</w:t>
            </w:r>
            <w:r>
              <w:rPr>
                <w:rFonts w:hint="eastAsia" w:ascii="宋体" w:hAnsi="宋体"/>
              </w:rPr>
              <w:t xml:space="preserve">分，描述一般得</w:t>
            </w:r>
            <w:r>
              <w:rPr>
                <w:rFonts w:hint="eastAsia" w:ascii="宋体" w:hAnsi="宋体"/>
                <w:lang w:val="en-US" w:eastAsia="zh-CN"/>
              </w:rPr>
              <w:t xml:space="preserve">4</w:t>
            </w:r>
            <w:r>
              <w:rPr>
                <w:rFonts w:hint="eastAsia" w:ascii="宋体" w:hAnsi="宋体"/>
              </w:rPr>
              <w:t xml:space="preserve">分，描述有欠缺得</w:t>
            </w:r>
            <w:r>
              <w:rPr>
                <w:rFonts w:hint="eastAsia" w:ascii="宋体" w:hAnsi="宋体"/>
                <w:lang w:val="en-US" w:eastAsia="zh-CN"/>
              </w:rPr>
              <w:t xml:space="preserve">2</w:t>
            </w:r>
            <w:r>
              <w:rPr>
                <w:rFonts w:hint="eastAsia" w:ascii="宋体" w:hAnsi="宋体"/>
              </w:rPr>
              <w:t xml:space="preserve">分，描述缺漏严重或严重不对应不得分。</w:t>
            </w:r>
            <w:r/>
          </w:p>
        </w:tc>
      </w:tr>
      <w:tr>
        <w:trPr>
          <w:trHeight w:val="1091"/>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widowControl/>
              <w:rPr>
                <w:rFonts w:ascii="宋体" w:hAnsi="宋体"/>
              </w:rPr>
            </w:pPr>
            <w:r>
              <w:rPr>
                <w:rFonts w:hint="eastAsia" w:ascii="宋体" w:hAnsi="宋体"/>
              </w:rPr>
              <w:t xml:space="preserve">重点、难点和解决方案</w:t>
            </w:r>
            <w:r/>
          </w:p>
          <w:p>
            <w:pPr>
              <w:jc w:val="center"/>
              <w:widowControl/>
              <w:rPr>
                <w:rFonts w:ascii="宋体" w:hAnsi="宋体"/>
              </w:rPr>
            </w:pPr>
            <w:r>
              <w:rPr>
                <w:rFonts w:hint="eastAsia" w:ascii="宋体" w:hAnsi="宋体"/>
              </w:rPr>
              <w:t xml:space="preserve">（</w:t>
            </w:r>
            <w:r>
              <w:rPr>
                <w:rFonts w:hint="eastAsia" w:ascii="宋体" w:hAnsi="宋体"/>
                <w:lang w:val="en-US" w:eastAsia="zh-CN"/>
              </w:rPr>
              <w:t xml:space="preserve">6</w:t>
            </w:r>
            <w:r>
              <w:rPr>
                <w:rFonts w:hint="eastAsia" w:ascii="宋体" w:hAnsi="宋体"/>
              </w:rPr>
              <w:t xml:space="preserve">分）</w:t>
            </w:r>
            <w:r/>
          </w:p>
        </w:tc>
        <w:tc>
          <w:tcPr>
            <w:tcW w:w="6295" w:type="dxa"/>
            <w:vAlign w:val="center"/>
            <w:textDirection w:val="lrTb"/>
            <w:noWrap w:val="false"/>
          </w:tcPr>
          <w:p>
            <w:pPr>
              <w:spacing w:line="360" w:lineRule="auto"/>
              <w:rPr>
                <w:rFonts w:ascii="宋体" w:hAnsi="宋体"/>
              </w:rPr>
            </w:pPr>
            <w:r>
              <w:rPr>
                <w:rFonts w:hint="eastAsia" w:ascii="宋体" w:hAnsi="宋体"/>
              </w:rPr>
              <w:t xml:space="preserve">对各投标人针对本项目的重点、难点和解决方案的完整性、合理性、科学性、严密性、可行性进行综合评价，内容明确详细且满足项目需求的得</w:t>
            </w:r>
            <w:r>
              <w:rPr>
                <w:rFonts w:hint="eastAsia" w:ascii="宋体" w:hAnsi="宋体"/>
                <w:lang w:val="en-US" w:eastAsia="zh-CN"/>
              </w:rPr>
              <w:t xml:space="preserve">6</w:t>
            </w:r>
            <w:r>
              <w:rPr>
                <w:rFonts w:hint="eastAsia" w:ascii="宋体" w:hAnsi="宋体"/>
              </w:rPr>
              <w:t xml:space="preserve">分，描述一般得</w:t>
            </w:r>
            <w:r>
              <w:rPr>
                <w:rFonts w:hint="eastAsia" w:ascii="宋体" w:hAnsi="宋体"/>
                <w:lang w:val="en-US" w:eastAsia="zh-CN"/>
              </w:rPr>
              <w:t xml:space="preserve">4</w:t>
            </w:r>
            <w:r>
              <w:rPr>
                <w:rFonts w:hint="eastAsia" w:ascii="宋体" w:hAnsi="宋体"/>
              </w:rPr>
              <w:t xml:space="preserve">分，描述有欠缺得</w:t>
            </w:r>
            <w:r>
              <w:rPr>
                <w:rFonts w:hint="eastAsia" w:ascii="宋体" w:hAnsi="宋体"/>
                <w:lang w:val="en-US" w:eastAsia="zh-CN"/>
              </w:rPr>
              <w:t xml:space="preserve">2</w:t>
            </w:r>
            <w:r>
              <w:rPr>
                <w:rFonts w:hint="eastAsia" w:ascii="宋体" w:hAnsi="宋体"/>
              </w:rPr>
              <w:t xml:space="preserve">分，描述缺漏严重或严重不对应不得分。</w:t>
            </w:r>
            <w:r/>
          </w:p>
        </w:tc>
      </w:tr>
      <w:tr>
        <w:trPr>
          <w:trHeight w:val="423"/>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widowControl/>
              <w:rPr>
                <w:rFonts w:ascii="宋体" w:hAnsi="宋体"/>
              </w:rPr>
            </w:pPr>
            <w:r>
              <w:rPr>
                <w:rFonts w:hint="eastAsia" w:ascii="宋体" w:hAnsi="宋体"/>
              </w:rPr>
              <w:t xml:space="preserve">突发事件的处理协调方案</w:t>
            </w:r>
            <w:r/>
          </w:p>
          <w:p>
            <w:pPr>
              <w:jc w:val="center"/>
              <w:widowControl/>
              <w:rPr>
                <w:rFonts w:ascii="宋体" w:hAnsi="宋体"/>
              </w:rPr>
            </w:pPr>
            <w:r>
              <w:rPr>
                <w:rFonts w:hint="eastAsia" w:ascii="宋体" w:hAnsi="宋体"/>
              </w:rPr>
              <w:t xml:space="preserve">（</w:t>
            </w:r>
            <w:r>
              <w:rPr>
                <w:rFonts w:hint="eastAsia" w:ascii="宋体" w:hAnsi="宋体"/>
                <w:lang w:val="en-US" w:eastAsia="zh-CN"/>
              </w:rPr>
              <w:t xml:space="preserve">5</w:t>
            </w:r>
            <w:r>
              <w:rPr>
                <w:rFonts w:hint="eastAsia" w:ascii="宋体" w:hAnsi="宋体"/>
              </w:rPr>
              <w:t xml:space="preserve">分）</w:t>
            </w:r>
            <w:r/>
          </w:p>
        </w:tc>
        <w:tc>
          <w:tcPr>
            <w:tcW w:w="6295" w:type="dxa"/>
            <w:vAlign w:val="center"/>
            <w:textDirection w:val="lrTb"/>
            <w:noWrap w:val="false"/>
          </w:tcPr>
          <w:p>
            <w:pPr>
              <w:spacing w:line="360" w:lineRule="auto"/>
              <w:rPr>
                <w:rFonts w:ascii="宋体" w:hAnsi="宋体"/>
              </w:rPr>
            </w:pPr>
            <w:r>
              <w:rPr>
                <w:rFonts w:hint="eastAsia" w:ascii="宋体" w:hAnsi="宋体"/>
              </w:rPr>
              <w:t xml:space="preserve">对各投标人针对本项目的突发事件的处理协调方案完整性、合理性、科学性、严密性、可行性进行综合评价，内容明确详细且满足项目需求的得</w:t>
            </w:r>
            <w:r>
              <w:rPr>
                <w:rFonts w:hint="eastAsia" w:ascii="宋体" w:hAnsi="宋体"/>
                <w:lang w:val="en-US" w:eastAsia="zh-CN"/>
              </w:rPr>
              <w:t xml:space="preserve">5</w:t>
            </w:r>
            <w:r>
              <w:rPr>
                <w:rFonts w:hint="eastAsia" w:ascii="宋体" w:hAnsi="宋体"/>
              </w:rPr>
              <w:t xml:space="preserve">分，描述一般得</w:t>
            </w:r>
            <w:r>
              <w:rPr>
                <w:rFonts w:hint="eastAsia" w:ascii="宋体" w:hAnsi="宋体"/>
                <w:lang w:val="en-US" w:eastAsia="zh-CN"/>
              </w:rPr>
              <w:t xml:space="preserve">3</w:t>
            </w:r>
            <w:r>
              <w:rPr>
                <w:rFonts w:hint="eastAsia" w:ascii="宋体" w:hAnsi="宋体"/>
              </w:rPr>
              <w:t xml:space="preserve">分，描述有欠缺得</w:t>
            </w:r>
            <w:r>
              <w:rPr>
                <w:rFonts w:hint="eastAsia" w:ascii="宋体" w:hAnsi="宋体"/>
                <w:lang w:val="en-US" w:eastAsia="zh-CN"/>
              </w:rPr>
              <w:t xml:space="preserve">1</w:t>
            </w:r>
            <w:r>
              <w:rPr>
                <w:rFonts w:hint="eastAsia" w:ascii="宋体" w:hAnsi="宋体"/>
              </w:rPr>
              <w:t xml:space="preserve">分，描述缺漏严重或严重不对应不得分。</w:t>
            </w:r>
            <w:r/>
          </w:p>
        </w:tc>
      </w:tr>
      <w:tr>
        <w:trPr>
          <w:trHeight w:val="423"/>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pStyle w:val="1019"/>
              <w:ind w:firstLine="0"/>
              <w:jc w:val="center"/>
              <w:rPr>
                <w:rFonts w:ascii="宋体" w:hAnsi="宋体"/>
              </w:rPr>
            </w:pPr>
            <w:r>
              <w:rPr>
                <w:rFonts w:hint="eastAsia" w:ascii="宋体" w:hAnsi="宋体"/>
              </w:rPr>
              <w:t xml:space="preserve">项目进度计划安排</w:t>
            </w:r>
            <w:r/>
          </w:p>
          <w:p>
            <w:pPr>
              <w:pStyle w:val="1019"/>
              <w:ind w:firstLine="0"/>
              <w:jc w:val="center"/>
              <w:rPr>
                <w:rFonts w:ascii="宋体" w:hAnsi="宋体"/>
              </w:rPr>
            </w:pPr>
            <w:r>
              <w:rPr>
                <w:rFonts w:hint="eastAsia" w:ascii="宋体" w:hAnsi="宋体"/>
              </w:rPr>
              <w:t xml:space="preserve">（</w:t>
            </w:r>
            <w:r>
              <w:rPr>
                <w:rFonts w:hint="eastAsia" w:ascii="宋体" w:hAnsi="宋体"/>
                <w:lang w:val="en-US" w:eastAsia="zh-CN"/>
              </w:rPr>
              <w:t xml:space="preserve">5</w:t>
            </w:r>
            <w:r>
              <w:rPr>
                <w:rFonts w:hint="eastAsia" w:ascii="宋体" w:hAnsi="宋体"/>
              </w:rPr>
              <w:t xml:space="preserve">分）</w:t>
            </w:r>
            <w:r/>
          </w:p>
        </w:tc>
        <w:tc>
          <w:tcPr>
            <w:tcW w:w="6295" w:type="dxa"/>
            <w:vAlign w:val="center"/>
            <w:textDirection w:val="lrTb"/>
            <w:noWrap w:val="false"/>
          </w:tcPr>
          <w:p>
            <w:pPr>
              <w:spacing w:line="360" w:lineRule="auto"/>
              <w:rPr>
                <w:rFonts w:ascii="宋体" w:hAnsi="宋体"/>
              </w:rPr>
            </w:pPr>
            <w:r>
              <w:rPr>
                <w:rFonts w:hint="eastAsia" w:ascii="宋体" w:hAnsi="宋体"/>
              </w:rPr>
              <w:t xml:space="preserve">对各投标人提供的项目进度计划安排的连续性、与项目的契合度、与项目建设参与方的配合度、各节点的安排进行综合评价，内容明确详细且满足项目需求的得</w:t>
            </w:r>
            <w:r>
              <w:rPr>
                <w:rFonts w:hint="eastAsia" w:ascii="宋体" w:hAnsi="宋体"/>
                <w:lang w:val="en-US" w:eastAsia="zh-CN"/>
              </w:rPr>
              <w:t xml:space="preserve">5</w:t>
            </w:r>
            <w:r>
              <w:rPr>
                <w:rFonts w:hint="eastAsia" w:ascii="宋体" w:hAnsi="宋体"/>
              </w:rPr>
              <w:t xml:space="preserve">分，描述一般得</w:t>
            </w:r>
            <w:r>
              <w:rPr>
                <w:rFonts w:hint="eastAsia" w:ascii="宋体" w:hAnsi="宋体"/>
                <w:lang w:val="en-US" w:eastAsia="zh-CN"/>
              </w:rPr>
              <w:t xml:space="preserve">3</w:t>
            </w:r>
            <w:r>
              <w:rPr>
                <w:rFonts w:hint="eastAsia" w:ascii="宋体" w:hAnsi="宋体"/>
              </w:rPr>
              <w:t xml:space="preserve">分，描述有欠缺得</w:t>
            </w:r>
            <w:r>
              <w:rPr>
                <w:rFonts w:hint="eastAsia" w:ascii="宋体" w:hAnsi="宋体"/>
                <w:lang w:val="en-US" w:eastAsia="zh-CN"/>
              </w:rPr>
              <w:t xml:space="preserve">1</w:t>
            </w:r>
            <w:r>
              <w:rPr>
                <w:rFonts w:hint="eastAsia" w:ascii="宋体" w:hAnsi="宋体"/>
              </w:rPr>
              <w:t xml:space="preserve">分，描述缺漏严重或严重不对应不得分。</w:t>
            </w:r>
            <w:r/>
          </w:p>
        </w:tc>
      </w:tr>
      <w:tr>
        <w:trPr>
          <w:trHeight w:val="2766"/>
        </w:trPr>
        <w:tc>
          <w:tcPr>
            <w:tcW w:w="488" w:type="dxa"/>
            <w:vAlign w:val="center"/>
            <w:vMerge w:val="restart"/>
            <w:textDirection w:val="lrTb"/>
            <w:noWrap w:val="false"/>
          </w:tcPr>
          <w:p>
            <w:pPr>
              <w:jc w:val="center"/>
              <w:spacing w:line="320" w:lineRule="exact"/>
              <w:widowControl/>
              <w:rPr>
                <w:rFonts w:hint="eastAsia" w:ascii="宋体" w:hAnsi="宋体" w:eastAsia="宋体"/>
                <w:lang w:eastAsia="zh-CN"/>
              </w:rPr>
            </w:pPr>
            <w:r/>
            <w:bookmarkStart w:id="386" w:name="_Hlk201534607"/>
            <w:r>
              <w:rPr>
                <w:rFonts w:hint="eastAsia" w:ascii="宋体" w:hAnsi="宋体"/>
                <w:lang w:val="en-US" w:eastAsia="zh-CN"/>
              </w:rPr>
              <w:t xml:space="preserve">3</w:t>
            </w:r>
            <w:r/>
          </w:p>
        </w:tc>
        <w:tc>
          <w:tcPr>
            <w:tcW w:w="1180" w:type="dxa"/>
            <w:vAlign w:val="center"/>
            <w:vMerge w:val="restart"/>
            <w:textDirection w:val="lrTb"/>
            <w:noWrap w:val="false"/>
          </w:tcPr>
          <w:p>
            <w:pPr>
              <w:jc w:val="center"/>
              <w:spacing w:line="320" w:lineRule="exact"/>
              <w:widowControl/>
              <w:rPr>
                <w:rFonts w:ascii="宋体" w:hAnsi="宋体"/>
              </w:rPr>
            </w:pPr>
            <w:r>
              <w:rPr>
                <w:rFonts w:ascii="宋体" w:hAnsi="宋体"/>
              </w:rPr>
            </w:r>
            <w:r/>
          </w:p>
          <w:p>
            <w:pPr>
              <w:jc w:val="center"/>
              <w:spacing w:line="320" w:lineRule="exact"/>
              <w:widowControl/>
              <w:rPr>
                <w:rFonts w:ascii="宋体" w:hAnsi="宋体"/>
              </w:rPr>
            </w:pPr>
            <w:r>
              <w:rPr>
                <w:rFonts w:ascii="宋体" w:hAnsi="宋体"/>
              </w:rPr>
            </w:r>
            <w:r/>
          </w:p>
          <w:p>
            <w:pPr>
              <w:pStyle w:val="814"/>
              <w:rPr>
                <w:rFonts w:ascii="宋体" w:hAnsi="宋体"/>
              </w:rPr>
            </w:pPr>
            <w:r>
              <w:rPr>
                <w:rFonts w:ascii="宋体" w:hAnsi="宋体"/>
              </w:rPr>
            </w:r>
            <w:r/>
          </w:p>
          <w:p>
            <w:pPr>
              <w:rPr>
                <w:rFonts w:ascii="宋体" w:hAnsi="宋体"/>
              </w:rPr>
            </w:pPr>
            <w:r>
              <w:rPr>
                <w:rFonts w:ascii="宋体" w:hAnsi="宋体"/>
              </w:rPr>
            </w:r>
            <w:r/>
          </w:p>
          <w:p>
            <w:pPr>
              <w:pStyle w:val="814"/>
              <w:rPr>
                <w:rFonts w:ascii="宋体" w:hAnsi="宋体"/>
              </w:rPr>
            </w:pPr>
            <w:r>
              <w:rPr>
                <w:rFonts w:ascii="宋体" w:hAnsi="宋体"/>
              </w:rPr>
            </w:r>
            <w:r/>
          </w:p>
          <w:p>
            <w:pPr>
              <w:rPr>
                <w:rFonts w:ascii="宋体" w:hAnsi="宋体"/>
              </w:rPr>
            </w:pPr>
            <w:r>
              <w:rPr>
                <w:rFonts w:ascii="宋体" w:hAnsi="宋体"/>
              </w:rPr>
            </w:r>
            <w:r/>
          </w:p>
          <w:p>
            <w:pPr>
              <w:pStyle w:val="814"/>
            </w:pPr>
            <w:r/>
            <w:r/>
          </w:p>
          <w:p>
            <w:pPr>
              <w:jc w:val="center"/>
              <w:spacing w:line="320" w:lineRule="exact"/>
              <w:widowControl/>
              <w:rPr>
                <w:rFonts w:ascii="宋体" w:hAnsi="宋体"/>
              </w:rPr>
            </w:pPr>
            <w:r>
              <w:rPr>
                <w:rFonts w:ascii="宋体" w:hAnsi="宋体"/>
              </w:rPr>
            </w:r>
            <w:r/>
          </w:p>
          <w:p>
            <w:pPr>
              <w:jc w:val="center"/>
              <w:spacing w:line="320" w:lineRule="exact"/>
              <w:widowControl/>
              <w:rPr>
                <w:rFonts w:ascii="宋体" w:hAnsi="宋体"/>
              </w:rPr>
            </w:pPr>
            <w:r>
              <w:rPr>
                <w:rFonts w:ascii="宋体" w:hAnsi="宋体"/>
              </w:rPr>
            </w:r>
            <w:r/>
          </w:p>
          <w:p>
            <w:pPr>
              <w:jc w:val="center"/>
              <w:spacing w:line="320" w:lineRule="exact"/>
              <w:widowControl/>
              <w:rPr>
                <w:rFonts w:ascii="宋体" w:hAnsi="宋体"/>
              </w:rPr>
            </w:pPr>
            <w:r>
              <w:rPr>
                <w:rFonts w:hint="eastAsia" w:ascii="宋体" w:hAnsi="宋体"/>
              </w:rPr>
              <w:t xml:space="preserve">商务部分（62分）</w:t>
            </w:r>
            <w:r/>
          </w:p>
        </w:tc>
        <w:tc>
          <w:tcPr>
            <w:tcW w:w="1593" w:type="dxa"/>
            <w:vAlign w:val="center"/>
            <w:textDirection w:val="lrTb"/>
            <w:noWrap w:val="false"/>
          </w:tcPr>
          <w:p>
            <w:pPr>
              <w:jc w:val="center"/>
              <w:widowControl/>
              <w:rPr>
                <w:rFonts w:ascii="宋体" w:hAnsi="宋体"/>
              </w:rPr>
            </w:pPr>
            <w:r>
              <w:rPr>
                <w:rFonts w:ascii="宋体" w:hAnsi="宋体"/>
              </w:rPr>
            </w:r>
            <w:r/>
          </w:p>
          <w:p>
            <w:pPr>
              <w:jc w:val="center"/>
              <w:widowControl/>
              <w:rPr>
                <w:rFonts w:ascii="宋体" w:hAnsi="宋体"/>
              </w:rPr>
            </w:pPr>
            <w:r>
              <w:rPr>
                <w:rFonts w:ascii="宋体" w:hAnsi="宋体"/>
              </w:rPr>
            </w:r>
            <w:r/>
          </w:p>
          <w:p>
            <w:pPr>
              <w:jc w:val="center"/>
              <w:widowControl/>
              <w:rPr>
                <w:rFonts w:ascii="宋体" w:hAnsi="宋体"/>
              </w:rPr>
            </w:pPr>
            <w:r>
              <w:rPr>
                <w:rFonts w:ascii="宋体" w:hAnsi="宋体"/>
              </w:rPr>
            </w:r>
            <w:r/>
          </w:p>
          <w:p>
            <w:pPr>
              <w:jc w:val="center"/>
              <w:widowControl/>
              <w:rPr>
                <w:rFonts w:ascii="宋体" w:hAnsi="宋体"/>
              </w:rPr>
            </w:pPr>
            <w:r>
              <w:rPr>
                <w:rFonts w:ascii="宋体" w:hAnsi="宋体"/>
              </w:rPr>
            </w:r>
            <w:r/>
          </w:p>
          <w:p>
            <w:pPr>
              <w:jc w:val="center"/>
              <w:widowControl/>
              <w:rPr>
                <w:rFonts w:ascii="宋体" w:hAnsi="宋体"/>
              </w:rPr>
            </w:pPr>
            <w:r>
              <w:rPr>
                <w:rFonts w:ascii="宋体" w:hAnsi="宋体"/>
              </w:rPr>
            </w:r>
            <w:r/>
          </w:p>
          <w:p>
            <w:pPr>
              <w:jc w:val="center"/>
              <w:widowControl/>
              <w:rPr>
                <w:rFonts w:ascii="宋体" w:hAnsi="宋体"/>
              </w:rPr>
            </w:pPr>
            <w:r>
              <w:rPr>
                <w:rFonts w:hint="eastAsia" w:ascii="宋体" w:hAnsi="宋体"/>
              </w:rPr>
              <w:t xml:space="preserve">企业业绩</w:t>
            </w:r>
            <w:r/>
          </w:p>
          <w:p>
            <w:pPr>
              <w:jc w:val="center"/>
              <w:widowControl/>
              <w:rPr>
                <w:rFonts w:ascii="宋体" w:hAnsi="宋体"/>
              </w:rPr>
            </w:pPr>
            <w:r>
              <w:rPr>
                <w:rFonts w:hint="eastAsia" w:ascii="宋体" w:hAnsi="宋体"/>
              </w:rPr>
              <w:t xml:space="preserve">（</w:t>
            </w:r>
            <w:r>
              <w:rPr>
                <w:rFonts w:hint="eastAsia" w:ascii="宋体" w:hAnsi="宋体"/>
                <w:highlight w:val="none"/>
              </w:rPr>
              <w:t xml:space="preserve">8分</w:t>
            </w:r>
            <w:r>
              <w:rPr>
                <w:rFonts w:hint="eastAsia" w:ascii="宋体" w:hAnsi="宋体"/>
              </w:rPr>
              <w:t xml:space="preserve">）</w:t>
            </w:r>
            <w:r/>
          </w:p>
        </w:tc>
        <w:tc>
          <w:tcPr>
            <w:tcW w:w="629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投标人近3年（202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月1日至今）承担过</w:t>
            </w:r>
            <w:r>
              <w:rPr>
                <w:rFonts w:hint="eastAsia" w:ascii="宋体" w:hAnsi="宋体" w:cs="宋体"/>
                <w:szCs w:val="21"/>
                <w:highlight w:val="none"/>
                <w:lang w:val="en-US" w:eastAsia="zh-CN"/>
              </w:rPr>
              <w:t xml:space="preserve">类似</w:t>
            </w:r>
            <w:r>
              <w:rPr>
                <w:rFonts w:hint="eastAsia" w:ascii="宋体" w:hAnsi="宋体"/>
                <w:highlight w:val="none"/>
              </w:rPr>
              <w:t xml:space="preserve">项目</w:t>
            </w:r>
            <w:r>
              <w:rPr>
                <w:rFonts w:hint="eastAsia" w:ascii="宋体" w:hAnsi="宋体" w:cs="宋体"/>
                <w:szCs w:val="21"/>
                <w:highlight w:val="none"/>
              </w:rPr>
              <w:t xml:space="preserve">工程结算审核服务或跟踪审计服务</w:t>
            </w:r>
            <w:r>
              <w:rPr>
                <w:rFonts w:hint="eastAsia" w:ascii="宋体" w:hAnsi="宋体" w:cs="宋体"/>
                <w:b w:val="0"/>
                <w:bCs/>
                <w:szCs w:val="21"/>
                <w:highlight w:val="none"/>
              </w:rPr>
              <w:t xml:space="preserve">（含结算初审）</w:t>
            </w:r>
            <w:r>
              <w:rPr>
                <w:rFonts w:hint="eastAsia" w:ascii="宋体" w:hAnsi="宋体" w:cs="宋体"/>
                <w:szCs w:val="21"/>
                <w:highlight w:val="none"/>
              </w:rPr>
              <w:t xml:space="preserve">的业绩，每个得2分，此项满分8分。</w:t>
            </w:r>
            <w:r/>
          </w:p>
          <w:p>
            <w:pPr>
              <w:jc w:val="left"/>
              <w:spacing w:line="360" w:lineRule="auto"/>
              <w:rPr>
                <w:rFonts w:ascii="宋体" w:hAnsi="宋体"/>
                <w:b/>
              </w:rPr>
            </w:pPr>
            <w:r>
              <w:rPr>
                <w:rFonts w:hint="eastAsia" w:ascii="宋体" w:hAnsi="宋体"/>
                <w:b/>
                <w:bCs/>
                <w:highlight w:val="none"/>
              </w:rPr>
              <w:t xml:space="preserve">【</w:t>
            </w:r>
            <w:r>
              <w:rPr>
                <w:rFonts w:hint="eastAsia" w:ascii="宋体" w:hAnsi="宋体" w:cs="宋体"/>
                <w:b/>
                <w:szCs w:val="21"/>
                <w:highlight w:val="none"/>
              </w:rPr>
              <w:t xml:space="preserve">结算审核提供咨询合同、工程竣工结算审计审定单及其他证明材料</w:t>
            </w:r>
            <w:r>
              <w:rPr>
                <w:rFonts w:hint="eastAsia" w:ascii="宋体" w:hAnsi="宋体" w:cs="宋体"/>
                <w:b/>
                <w:szCs w:val="21"/>
                <w:highlight w:val="none"/>
                <w:lang w:val="en-US" w:eastAsia="zh-CN"/>
              </w:rPr>
              <w:t xml:space="preserve">原件扫描件</w:t>
            </w:r>
            <w:r>
              <w:rPr>
                <w:rFonts w:hint="eastAsia" w:ascii="宋体" w:hAnsi="宋体" w:cs="宋体"/>
                <w:b/>
                <w:szCs w:val="21"/>
                <w:highlight w:val="none"/>
              </w:rPr>
              <w:t xml:space="preserve">；跟踪审计</w:t>
            </w:r>
            <w:r>
              <w:rPr>
                <w:rFonts w:hint="eastAsia" w:ascii="宋体" w:hAnsi="宋体" w:cs="宋体"/>
                <w:b/>
                <w:bCs w:val="0"/>
                <w:szCs w:val="21"/>
                <w:highlight w:val="none"/>
              </w:rPr>
              <w:t xml:space="preserve">（含结算初审）</w:t>
            </w:r>
            <w:r>
              <w:rPr>
                <w:rFonts w:hint="eastAsia" w:ascii="宋体" w:hAnsi="宋体" w:cs="宋体"/>
                <w:b/>
                <w:szCs w:val="21"/>
                <w:highlight w:val="none"/>
              </w:rPr>
              <w:t xml:space="preserve">提供咨询合同、委托人盖章的咨询成果文件。结算审核业绩时间以竣工结算审计审定单或其他证明材料中说明时间为准；跟踪审计</w:t>
            </w:r>
            <w:r>
              <w:rPr>
                <w:rFonts w:hint="eastAsia" w:ascii="宋体" w:hAnsi="宋体" w:cs="宋体"/>
                <w:b/>
                <w:bCs w:val="0"/>
                <w:szCs w:val="21"/>
                <w:highlight w:val="none"/>
              </w:rPr>
              <w:t xml:space="preserve">（含结算初审）</w:t>
            </w:r>
            <w:bookmarkStart w:id="436" w:name="_GoBack"/>
            <w:r/>
            <w:bookmarkEnd w:id="436"/>
            <w:r>
              <w:rPr>
                <w:rFonts w:hint="eastAsia" w:ascii="宋体" w:hAnsi="宋体" w:cs="宋体"/>
                <w:b/>
                <w:szCs w:val="21"/>
                <w:highlight w:val="none"/>
              </w:rPr>
              <w:t xml:space="preserve">以委托人盖章的咨询成果文件出稿时间为准，</w:t>
            </w:r>
            <w:r>
              <w:rPr>
                <w:rFonts w:hint="eastAsia" w:ascii="宋体" w:hAnsi="宋体" w:cs="宋体"/>
                <w:b/>
                <w:szCs w:val="21"/>
                <w:highlight w:val="none"/>
                <w:lang w:val="en-US" w:eastAsia="zh-CN"/>
              </w:rPr>
              <w:t xml:space="preserve">提供原件扫描件</w:t>
            </w:r>
            <w:r>
              <w:rPr>
                <w:rFonts w:hint="eastAsia" w:ascii="宋体" w:hAnsi="宋体"/>
                <w:b/>
                <w:bCs/>
                <w:highlight w:val="none"/>
              </w:rPr>
              <w:t xml:space="preserve">】</w:t>
            </w:r>
            <w:bookmarkEnd w:id="386"/>
            <w:r/>
            <w:r/>
          </w:p>
        </w:tc>
      </w:tr>
      <w:tr>
        <w:trPr>
          <w:trHeight w:val="2185"/>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rPr>
                <w:rFonts w:ascii="宋体" w:hAnsi="宋体"/>
              </w:rPr>
            </w:pPr>
            <w:r>
              <w:rPr>
                <w:rFonts w:hint="eastAsia" w:ascii="宋体" w:hAnsi="宋体"/>
              </w:rPr>
              <w:t xml:space="preserve">企业奖项</w:t>
            </w:r>
            <w:r/>
          </w:p>
          <w:p>
            <w:pPr>
              <w:jc w:val="center"/>
              <w:rPr>
                <w:rFonts w:ascii="宋体" w:hAnsi="宋体"/>
              </w:rPr>
            </w:pPr>
            <w:r>
              <w:rPr>
                <w:rFonts w:hint="eastAsia" w:ascii="宋体" w:hAnsi="宋体"/>
              </w:rPr>
              <w:t xml:space="preserve">（10分）</w:t>
            </w:r>
            <w:r/>
          </w:p>
        </w:tc>
        <w:tc>
          <w:tcPr>
            <w:tcW w:w="6295" w:type="dxa"/>
            <w:vAlign w:val="center"/>
            <w:textDirection w:val="lrTb"/>
            <w:noWrap w:val="false"/>
          </w:tcPr>
          <w:p>
            <w:pPr>
              <w:spacing w:line="360" w:lineRule="auto"/>
              <w:rPr>
                <w:rFonts w:ascii="宋体" w:hAnsi="宋体"/>
              </w:rPr>
            </w:pPr>
            <w:r>
              <w:rPr>
                <w:rFonts w:hint="eastAsia" w:ascii="宋体" w:hAnsi="宋体"/>
              </w:rPr>
              <w:t xml:space="preserve">投标人近3年(202</w:t>
            </w:r>
            <w:r>
              <w:rPr>
                <w:rFonts w:hint="eastAsia" w:ascii="宋体" w:hAnsi="宋体"/>
                <w:lang w:val="en-US" w:eastAsia="zh-CN"/>
              </w:rPr>
              <w:t xml:space="preserve">3</w:t>
            </w:r>
            <w:r>
              <w:rPr>
                <w:rFonts w:hint="eastAsia" w:ascii="宋体" w:hAnsi="宋体"/>
              </w:rPr>
              <w:t xml:space="preserve">年</w:t>
            </w:r>
            <w:r>
              <w:rPr>
                <w:rFonts w:hint="eastAsia" w:ascii="宋体" w:hAnsi="宋体"/>
                <w:lang w:val="en-US" w:eastAsia="zh-CN"/>
              </w:rPr>
              <w:t xml:space="preserve">9</w:t>
            </w:r>
            <w:r>
              <w:rPr>
                <w:rFonts w:hint="eastAsia" w:ascii="宋体" w:hAnsi="宋体"/>
              </w:rPr>
              <w:t xml:space="preserve">月1日至今)造价咨询业务获得行政主管部门</w:t>
            </w:r>
            <w:r>
              <w:rPr>
                <w:rFonts w:hint="eastAsia" w:ascii="宋体" w:hAnsi="宋体"/>
                <w:lang w:val="en-US" w:eastAsia="zh-CN"/>
              </w:rPr>
              <w:t xml:space="preserve">或行业协会</w:t>
            </w:r>
            <w:r>
              <w:rPr>
                <w:rFonts w:hint="eastAsia" w:ascii="宋体" w:hAnsi="宋体"/>
              </w:rPr>
              <w:t xml:space="preserve">表彰奖励的 (不同年度或不同类型的奖项可叠加)，有一个加</w:t>
            </w:r>
            <w:r>
              <w:rPr>
                <w:rFonts w:hint="eastAsia" w:ascii="宋体" w:hAnsi="宋体"/>
                <w:lang w:val="en-US" w:eastAsia="zh-CN"/>
              </w:rPr>
              <w:t xml:space="preserve">2</w:t>
            </w:r>
            <w:r>
              <w:rPr>
                <w:rFonts w:hint="eastAsia" w:ascii="宋体" w:hAnsi="宋体"/>
              </w:rPr>
              <w:t xml:space="preserve">分，企业奖项满分10分。</w:t>
            </w:r>
            <w:r/>
          </w:p>
          <w:p>
            <w:pPr>
              <w:spacing w:line="360" w:lineRule="auto"/>
            </w:pPr>
            <w:r>
              <w:rPr>
                <w:rFonts w:hint="eastAsia" w:ascii="宋体" w:hAnsi="宋体"/>
                <w:b/>
                <w:bCs/>
              </w:rPr>
              <w:t xml:space="preserve">【提供获奖证明材料原件扫描件，与造价业务无关的奖项不能得分】</w:t>
            </w:r>
            <w:r/>
          </w:p>
        </w:tc>
      </w:tr>
      <w:tr>
        <w:trPr>
          <w:trHeight w:val="490"/>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rPr>
                <w:rFonts w:ascii="宋体" w:hAnsi="宋体"/>
              </w:rPr>
            </w:pPr>
            <w:r>
              <w:rPr>
                <w:rFonts w:hint="eastAsia" w:ascii="宋体" w:hAnsi="宋体"/>
              </w:rPr>
              <w:t xml:space="preserve">项目组成员</w:t>
            </w:r>
            <w:r/>
          </w:p>
          <w:p>
            <w:pPr>
              <w:jc w:val="center"/>
              <w:rPr>
                <w:rFonts w:ascii="宋体" w:hAnsi="宋体"/>
              </w:rPr>
            </w:pPr>
            <w:r>
              <w:rPr>
                <w:rFonts w:hint="eastAsia" w:ascii="宋体" w:hAnsi="宋体"/>
              </w:rPr>
              <w:t xml:space="preserve">奖项</w:t>
            </w:r>
            <w:r/>
          </w:p>
          <w:p>
            <w:pPr>
              <w:jc w:val="center"/>
              <w:rPr>
                <w:rFonts w:ascii="宋体" w:hAnsi="宋体"/>
              </w:rPr>
            </w:pPr>
            <w:r>
              <w:rPr>
                <w:rFonts w:hint="eastAsia" w:ascii="宋体" w:hAnsi="宋体"/>
              </w:rPr>
              <w:t xml:space="preserve">（9分）</w:t>
            </w:r>
            <w:r/>
          </w:p>
        </w:tc>
        <w:tc>
          <w:tcPr>
            <w:tcW w:w="6295" w:type="dxa"/>
            <w:vAlign w:val="center"/>
            <w:textDirection w:val="lrTb"/>
            <w:noWrap w:val="false"/>
          </w:tcPr>
          <w:p>
            <w:pPr>
              <w:spacing w:line="360" w:lineRule="auto"/>
            </w:pPr>
            <w:r>
              <w:rPr>
                <w:rFonts w:hint="eastAsia" w:ascii="宋体" w:hAnsi="宋体"/>
              </w:rPr>
              <w:t xml:space="preserve">本次投标拟投入项目组成员(含项目负责人) 造价咨询类成果近3年(202</w:t>
            </w:r>
            <w:r>
              <w:rPr>
                <w:rFonts w:hint="eastAsia" w:ascii="宋体" w:hAnsi="宋体"/>
                <w:lang w:val="en-US" w:eastAsia="zh-CN"/>
              </w:rPr>
              <w:t xml:space="preserve">3</w:t>
            </w:r>
            <w:r>
              <w:rPr>
                <w:rFonts w:hint="eastAsia" w:ascii="宋体" w:hAnsi="宋体"/>
              </w:rPr>
              <w:t xml:space="preserve">年</w:t>
            </w:r>
            <w:r>
              <w:rPr>
                <w:rFonts w:hint="eastAsia" w:ascii="宋体" w:hAnsi="宋体"/>
                <w:lang w:val="en-US" w:eastAsia="zh-CN"/>
              </w:rPr>
              <w:t xml:space="preserve">9</w:t>
            </w:r>
            <w:r>
              <w:rPr>
                <w:rFonts w:hint="eastAsia" w:ascii="宋体" w:hAnsi="宋体"/>
              </w:rPr>
              <w:t xml:space="preserve">月1日至今)获得行政主管部门</w:t>
            </w:r>
            <w:r>
              <w:rPr>
                <w:rFonts w:hint="eastAsia" w:ascii="宋体" w:hAnsi="宋体"/>
                <w:lang w:val="en-US" w:eastAsia="zh-CN"/>
              </w:rPr>
              <w:t xml:space="preserve">或行业协会</w:t>
            </w:r>
            <w:r>
              <w:rPr>
                <w:rFonts w:hint="eastAsia" w:ascii="宋体" w:hAnsi="宋体"/>
              </w:rPr>
              <w:t xml:space="preserve">表彰奖励的，有一个加</w:t>
            </w:r>
            <w:r>
              <w:rPr>
                <w:rFonts w:hint="eastAsia" w:ascii="宋体" w:hAnsi="宋体"/>
                <w:lang w:val="en-US" w:eastAsia="zh-CN"/>
              </w:rPr>
              <w:t xml:space="preserve">1</w:t>
            </w:r>
            <w:r>
              <w:rPr>
                <w:rFonts w:hint="eastAsia" w:ascii="宋体" w:hAnsi="宋体"/>
              </w:rPr>
              <w:t xml:space="preserve">分，奖项按年度计取，若202</w:t>
            </w:r>
            <w:r>
              <w:rPr>
                <w:rFonts w:hint="eastAsia" w:ascii="宋体" w:hAnsi="宋体"/>
                <w:lang w:val="en-US" w:eastAsia="zh-CN"/>
              </w:rPr>
              <w:t xml:space="preserve">3</w:t>
            </w:r>
            <w:r>
              <w:rPr>
                <w:rFonts w:hint="eastAsia" w:ascii="宋体" w:hAnsi="宋体"/>
              </w:rPr>
              <w:t xml:space="preserve">年、202</w:t>
            </w:r>
            <w:r>
              <w:rPr>
                <w:rFonts w:hint="eastAsia" w:ascii="宋体" w:hAnsi="宋体"/>
                <w:lang w:val="en-US" w:eastAsia="zh-CN"/>
              </w:rPr>
              <w:t xml:space="preserve">4</w:t>
            </w:r>
            <w:r>
              <w:rPr>
                <w:rFonts w:hint="eastAsia" w:ascii="宋体" w:hAnsi="宋体"/>
              </w:rPr>
              <w:t xml:space="preserve">年、202</w:t>
            </w:r>
            <w:r>
              <w:rPr>
                <w:rFonts w:hint="eastAsia" w:ascii="宋体" w:hAnsi="宋体"/>
                <w:lang w:val="en-US" w:eastAsia="zh-CN"/>
              </w:rPr>
              <w:t xml:space="preserve">5</w:t>
            </w:r>
            <w:r>
              <w:rPr>
                <w:rFonts w:hint="eastAsia" w:ascii="宋体" w:hAnsi="宋体"/>
              </w:rPr>
              <w:t xml:space="preserve">年分别获奖，则分别计分。同一人每年度同一类型奖项只计取一次，不同年度或不同类型的奖项可叠加。此项满分9分。</w:t>
            </w:r>
            <w:r>
              <w:rPr>
                <w:rFonts w:hint="eastAsia" w:ascii="宋体" w:hAnsi="宋体"/>
                <w:b/>
                <w:bCs/>
              </w:rPr>
              <w:t xml:space="preserve">【提供获奖证明材料原件扫描件，与造价业务无关的奖项不得分；项目组成员（含总项目负责人）奖项与企业奖项不重复计分】</w:t>
            </w:r>
            <w:r/>
          </w:p>
        </w:tc>
      </w:tr>
      <w:tr>
        <w:trPr>
          <w:trHeight w:val="8400"/>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项目负责人</w:t>
            </w:r>
            <w:r/>
          </w:p>
          <w:p>
            <w:pPr>
              <w:jc w:val="center"/>
              <w:rPr>
                <w:rFonts w:ascii="宋体" w:hAnsi="宋体"/>
              </w:rPr>
            </w:pPr>
            <w:r>
              <w:rPr>
                <w:rFonts w:hint="eastAsia" w:ascii="宋体" w:hAnsi="宋体"/>
              </w:rPr>
              <w:t xml:space="preserve">（</w:t>
            </w:r>
            <w:r>
              <w:rPr>
                <w:rFonts w:hint="eastAsia" w:ascii="宋体" w:hAnsi="宋体"/>
                <w:highlight w:val="none"/>
              </w:rPr>
              <w:t xml:space="preserve">19分</w:t>
            </w:r>
            <w:r>
              <w:rPr>
                <w:rFonts w:hint="eastAsia" w:ascii="宋体" w:hAnsi="宋体"/>
              </w:rPr>
              <w:t xml:space="preserve">）</w:t>
            </w:r>
            <w:r/>
          </w:p>
        </w:tc>
        <w:tc>
          <w:tcPr>
            <w:tcW w:w="6295"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1、具备有效的国家注册一级造价工程师</w:t>
            </w:r>
            <w:r>
              <w:rPr>
                <w:rFonts w:hint="eastAsia" w:ascii="宋体" w:hAnsi="宋体" w:cs="宋体"/>
                <w:szCs w:val="21"/>
                <w:lang w:val="en-US" w:eastAsia="zh-CN"/>
              </w:rPr>
              <w:t xml:space="preserve">土建</w:t>
            </w:r>
            <w:r>
              <w:rPr>
                <w:rFonts w:hint="eastAsia" w:ascii="宋体" w:hAnsi="宋体" w:cs="宋体"/>
                <w:szCs w:val="21"/>
              </w:rPr>
              <w:t xml:space="preserve">专业证书，得3分，且同时具备国家注册一级造价工程师</w:t>
            </w:r>
            <w:r>
              <w:rPr>
                <w:rFonts w:hint="eastAsia" w:ascii="宋体" w:hAnsi="宋体" w:cs="宋体"/>
                <w:szCs w:val="21"/>
                <w:lang w:val="en-US" w:eastAsia="zh-CN"/>
              </w:rPr>
              <w:t xml:space="preserve">安装</w:t>
            </w:r>
            <w:r>
              <w:rPr>
                <w:rFonts w:hint="eastAsia" w:ascii="宋体" w:hAnsi="宋体" w:cs="宋体"/>
                <w:szCs w:val="21"/>
              </w:rPr>
              <w:t xml:space="preserve">专业的加2分，此项满分5分。</w:t>
            </w:r>
            <w:r/>
          </w:p>
          <w:p>
            <w:pPr>
              <w:jc w:val="left"/>
              <w:spacing w:line="360" w:lineRule="auto"/>
              <w:rPr>
                <w:rFonts w:ascii="宋体" w:hAnsi="宋体" w:cs="宋体"/>
                <w:szCs w:val="21"/>
              </w:rPr>
            </w:pPr>
            <w:r>
              <w:rPr>
                <w:rFonts w:hint="eastAsia" w:ascii="宋体" w:hAnsi="宋体" w:cs="宋体"/>
                <w:szCs w:val="21"/>
              </w:rPr>
              <w:t xml:space="preserve">2、具有工程类工程师职称的，得1分，具有工程类高级工程师</w:t>
            </w:r>
            <w:r>
              <w:rPr>
                <w:rFonts w:hint="eastAsia" w:ascii="宋体" w:hAnsi="宋体"/>
              </w:rPr>
              <w:t xml:space="preserve">及以上</w:t>
            </w:r>
            <w:r>
              <w:rPr>
                <w:rFonts w:hint="eastAsia" w:ascii="宋体" w:hAnsi="宋体" w:cs="宋体"/>
                <w:szCs w:val="21"/>
              </w:rPr>
              <w:t xml:space="preserve">职称，得2分。此项满分2分。</w:t>
            </w:r>
            <w:r/>
          </w:p>
          <w:p>
            <w:pPr>
              <w:jc w:val="left"/>
              <w:spacing w:line="360" w:lineRule="auto"/>
              <w:rPr>
                <w:rFonts w:ascii="宋体" w:hAnsi="宋体" w:cs="宋体"/>
                <w:szCs w:val="21"/>
                <w:highlight w:val="none"/>
              </w:rPr>
            </w:pPr>
            <w:r>
              <w:rPr>
                <w:rFonts w:hint="eastAsia" w:ascii="宋体" w:hAnsi="宋体" w:cs="宋体"/>
                <w:szCs w:val="21"/>
              </w:rPr>
              <w:t xml:space="preserve">3、具有国家一级注册建造师或国家注册监理工程师的，有一个得</w:t>
            </w:r>
            <w:r>
              <w:rPr>
                <w:rFonts w:hint="eastAsia" w:ascii="宋体" w:hAnsi="宋体" w:cs="宋体"/>
                <w:szCs w:val="21"/>
                <w:lang w:val="en-US" w:eastAsia="zh-CN"/>
              </w:rPr>
              <w:t xml:space="preserve">1</w:t>
            </w:r>
            <w:r>
              <w:rPr>
                <w:rFonts w:hint="eastAsia" w:ascii="宋体" w:hAnsi="宋体" w:cs="宋体"/>
                <w:szCs w:val="21"/>
                <w:highlight w:val="none"/>
              </w:rPr>
              <w:t xml:space="preserve">分，此项满分2分。</w:t>
            </w:r>
            <w:r/>
          </w:p>
          <w:p>
            <w:pPr>
              <w:jc w:val="left"/>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4、近3年（202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月1日至今）承担过</w:t>
            </w:r>
            <w:r>
              <w:rPr>
                <w:rFonts w:hint="eastAsia" w:ascii="宋体" w:hAnsi="宋体"/>
                <w:highlight w:val="none"/>
                <w:lang w:val="en-US" w:eastAsia="zh-CN"/>
              </w:rPr>
              <w:t xml:space="preserve">类似工程</w:t>
            </w:r>
            <w:r>
              <w:rPr>
                <w:rFonts w:hint="eastAsia" w:ascii="宋体" w:hAnsi="宋体" w:cs="宋体"/>
                <w:szCs w:val="21"/>
                <w:highlight w:val="none"/>
              </w:rPr>
              <w:t xml:space="preserve">结算审核服务或跟踪审计服务</w:t>
            </w:r>
            <w:r>
              <w:rPr>
                <w:rFonts w:hint="eastAsia" w:ascii="宋体" w:hAnsi="宋体" w:cs="宋体"/>
                <w:b w:val="0"/>
                <w:bCs/>
                <w:szCs w:val="21"/>
                <w:highlight w:val="none"/>
              </w:rPr>
              <w:t xml:space="preserve">（含结算初审）</w:t>
            </w:r>
            <w:r>
              <w:rPr>
                <w:rFonts w:hint="eastAsia" w:ascii="宋体" w:hAnsi="宋体" w:cs="宋体"/>
                <w:szCs w:val="21"/>
                <w:highlight w:val="none"/>
              </w:rPr>
              <w:t xml:space="preserve">的项目负责人，每个得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分，最高得8分；若该业绩</w:t>
            </w:r>
            <w:r>
              <w:rPr>
                <w:rFonts w:hint="eastAsia" w:ascii="宋体" w:hAnsi="宋体" w:cs="宋体"/>
                <w:b/>
                <w:szCs w:val="21"/>
                <w:highlight w:val="none"/>
              </w:rPr>
              <w:t xml:space="preserve">为工程总承包项目</w:t>
            </w:r>
            <w:r>
              <w:rPr>
                <w:rFonts w:hint="eastAsia" w:ascii="宋体" w:hAnsi="宋体" w:cs="宋体"/>
                <w:szCs w:val="21"/>
                <w:highlight w:val="none"/>
              </w:rPr>
              <w:t xml:space="preserve">，有1个加2分，最高加2分。此项满分10分。</w:t>
            </w:r>
            <w:r/>
          </w:p>
          <w:p>
            <w:pPr>
              <w:jc w:val="left"/>
              <w:keepLines w:val="0"/>
              <w:keepNext w:val="0"/>
              <w:pageBreakBefore w:val="0"/>
              <w:spacing w:line="360" w:lineRule="auto"/>
              <w:rPr>
                <w:rFonts w:ascii="宋体" w:hAnsi="宋体" w:cs="宋体"/>
                <w:b/>
                <w:szCs w:val="21"/>
              </w:rPr>
            </w:pPr>
            <w:r>
              <w:rPr>
                <w:rFonts w:hint="eastAsia" w:ascii="宋体" w:hAnsi="宋体"/>
                <w:b/>
                <w:bCs/>
              </w:rPr>
              <w:t xml:space="preserve">【</w:t>
            </w:r>
            <w:r>
              <w:rPr>
                <w:rFonts w:hint="eastAsia" w:ascii="宋体" w:hAnsi="宋体" w:cs="宋体"/>
                <w:b/>
                <w:szCs w:val="21"/>
              </w:rPr>
              <w:t xml:space="preserve">结算审核提供咨询合同、工程竣工结算审计审定单及其他证明材料</w:t>
            </w:r>
            <w:r>
              <w:rPr>
                <w:rFonts w:hint="eastAsia" w:ascii="宋体" w:hAnsi="宋体" w:cs="宋体"/>
                <w:b/>
                <w:szCs w:val="21"/>
                <w:lang w:val="en-US" w:eastAsia="zh-CN"/>
              </w:rPr>
              <w:t xml:space="preserve">原件扫描件</w:t>
            </w:r>
            <w:r>
              <w:rPr>
                <w:rFonts w:hint="eastAsia" w:ascii="宋体" w:hAnsi="宋体" w:cs="宋体"/>
                <w:b/>
                <w:szCs w:val="21"/>
              </w:rPr>
              <w:t xml:space="preserve">；跟踪审计</w:t>
            </w:r>
            <w:r>
              <w:rPr>
                <w:rFonts w:hint="eastAsia" w:ascii="宋体" w:hAnsi="宋体" w:cs="宋体"/>
                <w:b/>
                <w:bCs w:val="0"/>
                <w:szCs w:val="21"/>
                <w:highlight w:val="none"/>
              </w:rPr>
              <w:t xml:space="preserve">（含结算初审）</w:t>
            </w:r>
            <w:r>
              <w:rPr>
                <w:rFonts w:hint="eastAsia" w:ascii="宋体" w:hAnsi="宋体" w:cs="宋体"/>
                <w:b/>
                <w:szCs w:val="21"/>
              </w:rPr>
              <w:t xml:space="preserve">提供咨询合同、委托人盖章的咨询成果文件。同时提供类似</w:t>
            </w:r>
            <w:r>
              <w:rPr>
                <w:rFonts w:hint="eastAsia" w:ascii="宋体" w:hAnsi="宋体" w:cs="宋体"/>
                <w:b/>
                <w:szCs w:val="21"/>
                <w:highlight w:val="none"/>
                <w:shd w:val="clear" w:color="auto"/>
              </w:rPr>
              <w:t xml:space="preserve">工程总承包</w:t>
            </w:r>
            <w:r>
              <w:rPr>
                <w:rFonts w:hint="eastAsia" w:ascii="宋体" w:hAnsi="宋体" w:cs="宋体"/>
                <w:b/>
                <w:szCs w:val="21"/>
                <w:shd w:val="clear" w:color="auto"/>
              </w:rPr>
              <w:t xml:space="preserve">项目</w:t>
            </w:r>
            <w:r>
              <w:rPr>
                <w:rFonts w:hint="eastAsia" w:ascii="宋体" w:hAnsi="宋体" w:cs="宋体"/>
                <w:b/>
                <w:szCs w:val="21"/>
              </w:rPr>
              <w:t xml:space="preserve">招标公告和中标公告网站截图（截图须将网站网址包含在内，否则不予认可）。结算审核业绩时间以竣工结算审计审定单或其他证明材料中说明时间为准；跟踪审计</w:t>
            </w:r>
            <w:r>
              <w:rPr>
                <w:rFonts w:hint="eastAsia" w:ascii="宋体" w:hAnsi="宋体" w:cs="宋体"/>
                <w:b/>
                <w:bCs w:val="0"/>
                <w:szCs w:val="21"/>
                <w:highlight w:val="none"/>
              </w:rPr>
              <w:t xml:space="preserve">（含结算初审）</w:t>
            </w:r>
            <w:r>
              <w:rPr>
                <w:rFonts w:hint="eastAsia" w:ascii="宋体" w:hAnsi="宋体" w:cs="宋体"/>
                <w:b/>
                <w:szCs w:val="21"/>
              </w:rPr>
              <w:t xml:space="preserve">以委托人盖章的咨询成果文件出稿时间为准，</w:t>
            </w:r>
            <w:r>
              <w:rPr>
                <w:rFonts w:hint="eastAsia" w:ascii="宋体" w:hAnsi="宋体" w:cs="宋体"/>
                <w:b/>
                <w:szCs w:val="21"/>
                <w:lang w:val="en-US" w:eastAsia="zh-CN"/>
              </w:rPr>
              <w:t xml:space="preserve">提供原件扫描件</w:t>
            </w:r>
            <w:r>
              <w:rPr>
                <w:rFonts w:hint="eastAsia" w:ascii="宋体" w:hAnsi="宋体"/>
                <w:b/>
                <w:bCs/>
              </w:rPr>
              <w:t xml:space="preserve">】</w:t>
            </w:r>
            <w:r/>
          </w:p>
          <w:p>
            <w:pPr>
              <w:jc w:val="left"/>
              <w:spacing w:line="360" w:lineRule="auto"/>
              <w:rPr>
                <w:rFonts w:ascii="宋体" w:hAnsi="宋体" w:cs="宋体"/>
                <w:b/>
                <w:color w:val="ff0000"/>
                <w:szCs w:val="21"/>
              </w:rPr>
            </w:pPr>
            <w:r>
              <w:rPr>
                <w:rFonts w:hint="eastAsia" w:ascii="宋体" w:hAnsi="宋体" w:cs="宋体"/>
                <w:b/>
                <w:color w:val="ff0000"/>
                <w:szCs w:val="21"/>
              </w:rPr>
              <w:t xml:space="preserve">项目负责人与企业的业绩不重复计分。</w:t>
            </w:r>
            <w:r/>
          </w:p>
          <w:p>
            <w:pPr>
              <w:pStyle w:val="1019"/>
              <w:ind w:firstLine="0"/>
              <w:spacing w:line="360" w:lineRule="auto"/>
              <w:rPr>
                <w:rFonts w:ascii="宋体" w:hAnsi="宋体"/>
              </w:rPr>
            </w:pPr>
            <w:r>
              <w:rPr>
                <w:rFonts w:hint="eastAsia" w:ascii="宋体" w:hAnsi="宋体"/>
                <w:b/>
                <w:bCs/>
              </w:rPr>
              <w:t xml:space="preserve">【</w:t>
            </w:r>
            <w:r>
              <w:rPr>
                <w:rFonts w:hint="eastAsia" w:ascii="宋体" w:hAnsi="宋体"/>
                <w:bCs/>
              </w:rPr>
              <w:t xml:space="preserve">提供项目组负责人相关证书及近三个月</w:t>
            </w:r>
            <w:r>
              <w:rPr>
                <w:rFonts w:hint="eastAsia" w:ascii="宋体" w:hAnsi="宋体"/>
                <w:b/>
              </w:rPr>
              <w:t xml:space="preserve">（</w:t>
            </w:r>
            <w:r>
              <w:rPr>
                <w:rFonts w:hint="eastAsia" w:ascii="宋体" w:hAnsi="宋体"/>
                <w:b/>
                <w:lang w:eastAsia="zh-CN"/>
              </w:rPr>
              <w:t xml:space="preserve">2026年7月-2026年9月</w:t>
            </w:r>
            <w:r>
              <w:rPr>
                <w:rFonts w:hint="eastAsia" w:ascii="宋体" w:hAnsi="宋体"/>
                <w:b/>
              </w:rPr>
              <w:t xml:space="preserve">）</w:t>
            </w:r>
            <w:r>
              <w:rPr>
                <w:rFonts w:hint="eastAsia" w:ascii="宋体" w:hAnsi="宋体"/>
                <w:bCs/>
              </w:rPr>
              <w:t xml:space="preserve">任意一个月社保缴纳证明材料原件扫描件</w:t>
            </w:r>
            <w:r>
              <w:rPr>
                <w:rFonts w:hint="eastAsia" w:ascii="宋体" w:hAnsi="宋体"/>
              </w:rPr>
              <w:t xml:space="preserve">，否则不计分</w:t>
            </w:r>
            <w:r>
              <w:rPr>
                <w:rFonts w:hint="eastAsia" w:ascii="宋体" w:hAnsi="宋体"/>
                <w:b/>
                <w:bCs/>
              </w:rPr>
              <w:t xml:space="preserve">】</w:t>
            </w:r>
            <w:r/>
          </w:p>
        </w:tc>
      </w:tr>
      <w:tr>
        <w:trPr>
          <w:trHeight w:val="5150"/>
        </w:trPr>
        <w:tc>
          <w:tcPr>
            <w:tcW w:w="488" w:type="dxa"/>
            <w:vAlign w:val="center"/>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rPr>
                <w:rFonts w:ascii="宋体" w:hAnsi="宋体"/>
              </w:rPr>
            </w:pPr>
            <w:r>
              <w:rPr>
                <w:rFonts w:hint="eastAsia" w:ascii="宋体" w:hAnsi="宋体"/>
              </w:rPr>
              <w:t xml:space="preserve">项目组其他</w:t>
            </w:r>
            <w:r/>
          </w:p>
          <w:p>
            <w:pPr>
              <w:jc w:val="center"/>
              <w:rPr>
                <w:rFonts w:ascii="宋体" w:hAnsi="宋体"/>
              </w:rPr>
            </w:pPr>
            <w:r>
              <w:rPr>
                <w:rFonts w:hint="eastAsia" w:ascii="宋体" w:hAnsi="宋体"/>
              </w:rPr>
              <w:t xml:space="preserve">成员</w:t>
            </w:r>
            <w:r/>
          </w:p>
          <w:p>
            <w:pPr>
              <w:jc w:val="center"/>
              <w:rPr>
                <w:rFonts w:ascii="宋体" w:hAnsi="宋体"/>
              </w:rPr>
            </w:pPr>
            <w:r>
              <w:rPr>
                <w:rFonts w:hint="eastAsia" w:ascii="宋体" w:hAnsi="宋体"/>
              </w:rPr>
              <w:t xml:space="preserve">（12分）</w:t>
            </w:r>
            <w:r/>
          </w:p>
        </w:tc>
        <w:tc>
          <w:tcPr>
            <w:tcW w:w="6295" w:type="dxa"/>
            <w:vAlign w:val="center"/>
            <w:textDirection w:val="lrTb"/>
            <w:noWrap w:val="false"/>
          </w:tcPr>
          <w:p>
            <w:pPr>
              <w:jc w:val="left"/>
              <w:spacing w:line="360" w:lineRule="auto"/>
              <w:rPr>
                <w:rFonts w:hint="eastAsia" w:ascii="宋体" w:hAnsi="宋体"/>
                <w:b/>
                <w:bCs/>
              </w:rPr>
            </w:pPr>
            <w:r>
              <w:rPr>
                <w:rFonts w:hint="eastAsia" w:ascii="宋体" w:hAnsi="宋体"/>
                <w:b/>
                <w:bCs/>
              </w:rPr>
              <w:t xml:space="preserve">项目组其他成员（不包含项目负责人，限4人）</w:t>
            </w:r>
            <w:r/>
          </w:p>
          <w:p>
            <w:pPr>
              <w:jc w:val="left"/>
              <w:spacing w:line="360" w:lineRule="auto"/>
              <w:rPr>
                <w:rFonts w:ascii="宋体" w:hAnsi="宋体"/>
                <w:bCs/>
              </w:rPr>
            </w:pPr>
            <w:r>
              <w:rPr>
                <w:rFonts w:hint="eastAsia" w:ascii="宋体" w:hAnsi="宋体"/>
                <w:bCs/>
              </w:rPr>
              <w:t xml:space="preserve">1、项目组其他成员</w:t>
            </w:r>
            <w:r>
              <w:rPr>
                <w:rFonts w:hint="eastAsia" w:ascii="宋体" w:hAnsi="宋体"/>
                <w:bCs/>
                <w:lang w:val="en-US" w:eastAsia="zh-CN"/>
              </w:rPr>
              <w:t xml:space="preserve">具</w:t>
            </w:r>
            <w:r>
              <w:rPr>
                <w:rFonts w:hint="eastAsia" w:ascii="宋体" w:hAnsi="宋体"/>
                <w:bCs/>
              </w:rPr>
              <w:t xml:space="preserve">备国家注册一级造价工程师（专业为土建或安装，至少有一人为安装专业），有一个得1分。此项满分4分。</w:t>
            </w:r>
            <w:r/>
          </w:p>
          <w:p>
            <w:pPr>
              <w:jc w:val="left"/>
              <w:spacing w:line="360" w:lineRule="auto"/>
              <w:rPr>
                <w:rFonts w:ascii="宋体" w:hAnsi="宋体"/>
                <w:bCs/>
              </w:rPr>
            </w:pPr>
            <w:r>
              <w:rPr>
                <w:rFonts w:hint="eastAsia" w:ascii="宋体" w:hAnsi="宋体"/>
                <w:bCs/>
              </w:rPr>
              <w:t xml:space="preserve">2、项目组成员中，具有工程类工程师职称的，有1人加0.5分，具有工程类高级工程师及以上职称的，有1人加1分，此项满分4分。</w:t>
            </w:r>
            <w:r/>
          </w:p>
          <w:p>
            <w:pPr>
              <w:spacing w:line="360" w:lineRule="auto"/>
              <w:rPr>
                <w:rFonts w:ascii="宋体" w:hAnsi="宋体"/>
                <w:bCs/>
              </w:rPr>
            </w:pPr>
            <w:r>
              <w:rPr>
                <w:rFonts w:hint="eastAsia" w:ascii="宋体" w:hAnsi="宋体"/>
              </w:rPr>
              <w:t xml:space="preserve">3、</w:t>
            </w:r>
            <w:r>
              <w:rPr>
                <w:rFonts w:hint="eastAsia" w:ascii="宋体" w:hAnsi="宋体"/>
                <w:szCs w:val="21"/>
              </w:rPr>
              <w:t xml:space="preserve">项目组</w:t>
            </w:r>
            <w:r>
              <w:rPr>
                <w:rFonts w:hint="eastAsia" w:ascii="宋体" w:hAnsi="宋体"/>
                <w:bCs/>
              </w:rPr>
              <w:t xml:space="preserve">成员具备国家注册监理工程师或国家注册一级建造师的，有一人得1分。此项满分4分。</w:t>
            </w:r>
            <w:r/>
          </w:p>
          <w:p>
            <w:pPr>
              <w:spacing w:line="360" w:lineRule="auto"/>
              <w:rPr>
                <w:rFonts w:ascii="宋体" w:hAnsi="宋体"/>
                <w:b/>
              </w:rPr>
            </w:pPr>
            <w:r>
              <w:rPr>
                <w:rFonts w:hint="eastAsia" w:ascii="宋体" w:hAnsi="宋体"/>
                <w:b/>
                <w:bCs/>
              </w:rPr>
              <w:t xml:space="preserve">【</w:t>
            </w:r>
            <w:r>
              <w:rPr>
                <w:rFonts w:hint="eastAsia" w:ascii="宋体" w:hAnsi="宋体"/>
                <w:b/>
              </w:rPr>
              <w:t xml:space="preserve">提供项目组成员相关证书及近三个月（</w:t>
            </w:r>
            <w:r>
              <w:rPr>
                <w:rFonts w:hint="eastAsia" w:ascii="宋体" w:hAnsi="宋体"/>
                <w:b/>
                <w:lang w:eastAsia="zh-CN"/>
              </w:rPr>
              <w:t xml:space="preserve">2026年7月-2026年9月</w:t>
            </w:r>
            <w:r>
              <w:rPr>
                <w:rFonts w:hint="eastAsia" w:ascii="宋体" w:hAnsi="宋体"/>
                <w:b/>
              </w:rPr>
              <w:t xml:space="preserve">）任意一个月社保缴纳证明材料原件扫描件，否则不计分</w:t>
            </w:r>
            <w:r>
              <w:rPr>
                <w:rFonts w:hint="eastAsia" w:ascii="宋体" w:hAnsi="宋体"/>
                <w:b/>
                <w:bCs/>
              </w:rPr>
              <w:t xml:space="preserve">】</w:t>
            </w:r>
            <w:r/>
          </w:p>
        </w:tc>
      </w:tr>
      <w:tr>
        <w:trPr>
          <w:trHeight w:val="3682"/>
        </w:trPr>
        <w:tc>
          <w:tcPr>
            <w:tcW w:w="488" w:type="dxa"/>
            <w:vAlign w:val="center"/>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spacing w:line="300" w:lineRule="exact"/>
              <w:rPr>
                <w:rFonts w:ascii="宋体" w:hAnsi="宋体"/>
              </w:rPr>
            </w:pPr>
            <w:r>
              <w:rPr>
                <w:rFonts w:ascii="宋体" w:hAnsi="宋体"/>
              </w:rPr>
            </w:r>
            <w:r/>
          </w:p>
          <w:p>
            <w:pPr>
              <w:jc w:val="center"/>
              <w:spacing w:line="300" w:lineRule="exact"/>
              <w:rPr>
                <w:rFonts w:ascii="宋体" w:hAnsi="宋体"/>
              </w:rPr>
            </w:pPr>
            <w:r>
              <w:rPr>
                <w:rFonts w:ascii="宋体" w:hAnsi="宋体"/>
              </w:rPr>
            </w:r>
            <w:r/>
          </w:p>
          <w:p>
            <w:pPr>
              <w:jc w:val="center"/>
              <w:spacing w:line="300" w:lineRule="exact"/>
              <w:rPr>
                <w:rFonts w:ascii="宋体" w:hAnsi="宋体"/>
              </w:rPr>
            </w:pPr>
            <w:r>
              <w:rPr>
                <w:rFonts w:ascii="宋体" w:hAnsi="宋体"/>
              </w:rPr>
            </w:r>
            <w:r/>
          </w:p>
          <w:p>
            <w:pPr>
              <w:jc w:val="center"/>
              <w:spacing w:line="300" w:lineRule="exact"/>
              <w:rPr>
                <w:rFonts w:ascii="宋体" w:hAnsi="宋体"/>
              </w:rPr>
            </w:pPr>
            <w:r>
              <w:rPr>
                <w:rFonts w:hint="eastAsia" w:ascii="宋体" w:hAnsi="宋体"/>
              </w:rPr>
              <w:t xml:space="preserve">服务响应 </w:t>
            </w:r>
            <w:r/>
          </w:p>
          <w:p>
            <w:pPr>
              <w:jc w:val="center"/>
              <w:spacing w:line="300" w:lineRule="exact"/>
              <w:rPr>
                <w:rFonts w:ascii="宋体" w:hAnsi="宋体"/>
              </w:rPr>
            </w:pPr>
            <w:r>
              <w:rPr>
                <w:rFonts w:hint="eastAsia" w:ascii="宋体" w:hAnsi="宋体"/>
              </w:rPr>
              <w:t xml:space="preserve">（4分）</w:t>
            </w:r>
            <w:r/>
          </w:p>
        </w:tc>
        <w:tc>
          <w:tcPr>
            <w:tcW w:w="6295" w:type="dxa"/>
            <w:vAlign w:val="center"/>
            <w:textDirection w:val="lrTb"/>
            <w:noWrap w:val="false"/>
          </w:tcPr>
          <w:p>
            <w:pPr>
              <w:jc w:val="left"/>
              <w:spacing w:line="360" w:lineRule="auto"/>
            </w:pPr>
            <w:r>
              <w:rPr>
                <w:rFonts w:hint="eastAsia" w:ascii="宋体" w:hAnsi="宋体" w:cs="宋体"/>
                <w:szCs w:val="21"/>
              </w:rPr>
              <w:t xml:space="preserve">供应商应具备应急响应能力，当发生应急事件时能在1.5小时内到达现场响应得4分，2小时内到达现场响应得2分，3小时内到达现场响应得1分，超过3小时到达现场响应不得分。提供应急响应承诺函。</w:t>
            </w:r>
            <w:r/>
          </w:p>
        </w:tc>
      </w:tr>
      <w:tr>
        <w:trPr>
          <w:trHeight w:val="730"/>
        </w:trPr>
        <w:tc>
          <w:tcPr>
            <w:gridSpan w:val="2"/>
            <w:tcW w:w="1668" w:type="dxa"/>
            <w:vAlign w:val="center"/>
            <w:textDirection w:val="lrTb"/>
            <w:noWrap w:val="false"/>
          </w:tcPr>
          <w:p>
            <w:pPr>
              <w:jc w:val="center"/>
              <w:spacing w:line="320" w:lineRule="exact"/>
              <w:widowControl/>
              <w:rPr>
                <w:rFonts w:ascii="宋体" w:hAnsi="宋体"/>
              </w:rPr>
            </w:pPr>
            <w:r>
              <w:rPr>
                <w:rFonts w:hint="eastAsia" w:ascii="宋体" w:hAnsi="宋体"/>
              </w:rPr>
              <w:t xml:space="preserve">合计</w:t>
            </w:r>
            <w:r/>
          </w:p>
        </w:tc>
        <w:tc>
          <w:tcPr>
            <w:gridSpan w:val="2"/>
            <w:tcW w:w="7888" w:type="dxa"/>
            <w:vAlign w:val="center"/>
            <w:textDirection w:val="lrTb"/>
            <w:noWrap w:val="false"/>
          </w:tcPr>
          <w:p>
            <w:pPr>
              <w:jc w:val="center"/>
              <w:spacing w:line="320" w:lineRule="exact"/>
              <w:widowControl/>
              <w:rPr>
                <w:rFonts w:ascii="宋体" w:hAnsi="宋体"/>
              </w:rPr>
            </w:pPr>
            <w:r>
              <w:rPr>
                <w:rFonts w:ascii="宋体" w:hAnsi="宋体"/>
                <w:b/>
                <w:bCs/>
              </w:rPr>
              <w:t xml:space="preserve">100</w:t>
            </w:r>
            <w:r>
              <w:rPr>
                <w:rFonts w:hint="eastAsia" w:ascii="宋体" w:hAnsi="宋体"/>
                <w:b/>
                <w:bCs/>
              </w:rPr>
              <w:t xml:space="preserve">分</w:t>
            </w:r>
            <w:bookmarkEnd w:id="384"/>
            <w:r/>
            <w:r/>
          </w:p>
        </w:tc>
      </w:tr>
    </w:tbl>
    <w:p>
      <w:pPr>
        <w:jc w:val="left"/>
        <w:spacing w:line="320" w:lineRule="exact"/>
        <w:widowControl/>
        <w:rPr>
          <w:rFonts w:ascii="宋体" w:hAnsi="宋体" w:cs="宋体"/>
          <w:b/>
          <w:bCs/>
        </w:rPr>
      </w:pPr>
      <w:r>
        <w:rPr>
          <w:rFonts w:ascii="宋体" w:hAnsi="宋体" w:cs="宋体"/>
          <w:b/>
          <w:bCs/>
        </w:rPr>
      </w:r>
      <w:r/>
    </w:p>
    <w:p>
      <w:pPr>
        <w:jc w:val="left"/>
        <w:spacing w:line="320" w:lineRule="exact"/>
        <w:widowControl/>
        <w:rPr>
          <w:rFonts w:ascii="宋体" w:hAnsi="宋体" w:cs="宋体"/>
          <w:b/>
          <w:bCs/>
        </w:rPr>
      </w:pPr>
      <w:r>
        <w:rPr>
          <w:rFonts w:hint="eastAsia" w:ascii="宋体" w:hAnsi="宋体" w:cs="宋体"/>
          <w:b/>
          <w:bCs/>
        </w:rPr>
        <w:t xml:space="preserve">注：</w:t>
      </w:r>
      <w:r>
        <w:rPr>
          <w:rFonts w:hint="eastAsia" w:ascii="宋体" w:hAnsi="宋体"/>
          <w:b/>
        </w:rPr>
        <w:t xml:space="preserve">1、</w:t>
      </w:r>
      <w:bookmarkEnd w:id="385"/>
      <w:r>
        <w:rPr>
          <w:rFonts w:hint="eastAsia" w:ascii="宋体" w:hAnsi="宋体"/>
          <w:b/>
        </w:rPr>
        <w:t xml:space="preserve">中标供应商的服务费的收取，按邮</w:t>
      </w:r>
      <w:r>
        <w:rPr>
          <w:rFonts w:hint="eastAsia" w:ascii="宋体" w:hAnsi="宋体"/>
          <w:b/>
          <w:lang w:val="en-US" w:eastAsia="zh-CN"/>
        </w:rPr>
        <w:t xml:space="preserve">审</w:t>
      </w:r>
      <w:r>
        <w:rPr>
          <w:rFonts w:hint="eastAsia" w:ascii="宋体" w:hAnsi="宋体"/>
          <w:b/>
        </w:rPr>
        <w:t xml:space="preserve">发〔2023〕4号文</w:t>
      </w:r>
      <w:r>
        <w:rPr>
          <w:rFonts w:hint="eastAsia" w:ascii="宋体" w:hAnsi="宋体"/>
          <w:b/>
          <w:lang w:val="en-US" w:eastAsia="zh-CN"/>
        </w:rPr>
        <w:t xml:space="preserve">规定的结算标准*费率（中标价/预算价）</w:t>
      </w:r>
      <w:r>
        <w:rPr>
          <w:rFonts w:hint="eastAsia" w:ascii="宋体" w:hAnsi="宋体"/>
          <w:b/>
        </w:rPr>
        <w:t xml:space="preserve">。</w:t>
      </w:r>
      <w:r/>
    </w:p>
    <w:p>
      <w:pPr>
        <w:ind w:firstLine="422"/>
        <w:jc w:val="left"/>
        <w:spacing w:line="320" w:lineRule="exact"/>
        <w:widowControl/>
        <w:rPr>
          <w:rFonts w:ascii="宋体" w:hAnsi="宋体" w:cs="宋体"/>
          <w:b/>
          <w:bCs/>
        </w:rPr>
      </w:pPr>
      <w:r>
        <w:rPr>
          <w:rFonts w:hint="eastAsia" w:ascii="宋体" w:hAnsi="宋体" w:cs="宋体"/>
          <w:b/>
          <w:bCs/>
        </w:rPr>
        <w:t xml:space="preserve">2、如核查后，投标人提供资料不实，不得参加以后本单位的所有投标。</w:t>
      </w:r>
      <w:r/>
    </w:p>
    <w:p>
      <w:pPr>
        <w:ind w:firstLine="422"/>
        <w:jc w:val="left"/>
        <w:spacing w:line="320" w:lineRule="exact"/>
        <w:widowControl/>
        <w:rPr>
          <w:rFonts w:hint="eastAsia" w:ascii="宋体" w:hAnsi="宋体" w:cs="宋体"/>
          <w:b/>
          <w:bCs/>
        </w:rPr>
      </w:pPr>
      <w:r>
        <w:rPr>
          <w:rFonts w:hint="eastAsia" w:ascii="宋体" w:hAnsi="宋体" w:cs="宋体"/>
          <w:b/>
          <w:bCs/>
        </w:rPr>
        <w:t xml:space="preserve">3、中标单位拟投入人员名单必须和实际开展工作的人员完全一致，不得变更。</w:t>
      </w:r>
      <w:r/>
    </w:p>
    <w:p>
      <w:pPr>
        <w:ind w:firstLine="422"/>
        <w:jc w:val="left"/>
        <w:spacing w:line="320" w:lineRule="exact"/>
        <w:widowControl/>
        <w:rPr>
          <w:rFonts w:hint="eastAsia" w:ascii="宋体" w:hAnsi="宋体" w:cs="宋体"/>
          <w:b/>
          <w:bCs/>
          <w:lang w:val="en-US" w:eastAsia="zh-CN"/>
        </w:rPr>
      </w:pPr>
      <w:r>
        <w:rPr>
          <w:rFonts w:hint="eastAsia" w:ascii="宋体" w:hAnsi="宋体" w:cs="宋体"/>
          <w:b/>
          <w:bCs/>
          <w:lang w:val="en-US" w:eastAsia="zh-CN"/>
        </w:rPr>
        <w:t xml:space="preserve">4、</w:t>
      </w:r>
      <w:r>
        <w:rPr>
          <w:rFonts w:hint="eastAsia" w:ascii="宋体" w:hAnsi="宋体" w:cs="宋体"/>
          <w:b/>
          <w:bCs/>
        </w:rPr>
        <w:t xml:space="preserve">扬州内河港高邮港区城北作业区码头一期工程EPC总承包项目、2025年高邮经济开发区标准化厂房及基础设施项目、龙虬标准化厂房二期工程、甘垛食品冷链科技示范产业园一期项目、高邮绿色产业园项目，在以上项目担当项目组负责人的人员不得作为项目负责人参加本项目投标。</w:t>
      </w:r>
      <w:r/>
    </w:p>
    <w:p>
      <w:pPr>
        <w:jc w:val="left"/>
        <w:spacing w:line="320" w:lineRule="exact"/>
        <w:widowControl/>
        <w:rPr>
          <w:rFonts w:ascii="宋体" w:hAnsi="宋体" w:cs="宋体"/>
          <w:b/>
          <w:bCs/>
        </w:rPr>
      </w:pPr>
      <w:r>
        <w:rPr>
          <w:rFonts w:hint="eastAsia" w:ascii="宋体" w:hAnsi="宋体" w:cs="宋体"/>
          <w:b/>
          <w:bCs/>
        </w:rPr>
        <w:t xml:space="preserve">    </w:t>
      </w:r>
      <w:r/>
    </w:p>
    <w:p>
      <w:pPr>
        <w:ind w:firstLine="420"/>
      </w:pPr>
      <w:r>
        <w:br w:type="page" w:clear="all"/>
      </w:r>
      <w:r/>
    </w:p>
    <w:p>
      <w:pPr>
        <w:pStyle w:val="809"/>
      </w:pPr>
      <w:r>
        <w:rPr>
          <w:rFonts w:hint="eastAsia"/>
        </w:rPr>
        <w:t xml:space="preserve"> </w:t>
      </w:r>
      <w:bookmarkStart w:id="387" w:name="_Toc17490"/>
      <w:r/>
      <w:bookmarkStart w:id="388" w:name="_Toc150173462"/>
      <w:r/>
      <w:bookmarkStart w:id="389" w:name="_Toc4233"/>
      <w:r/>
      <w:bookmarkStart w:id="390" w:name="_Toc10959"/>
      <w:r>
        <w:rPr>
          <w:rFonts w:hint="eastAsia"/>
        </w:rPr>
        <w:t xml:space="preserve">第六章 投标文件格式</w:t>
      </w:r>
      <w:bookmarkEnd w:id="387"/>
      <w:r/>
      <w:bookmarkEnd w:id="388"/>
      <w:r/>
      <w:bookmarkEnd w:id="389"/>
      <w:r/>
      <w:bookmarkEnd w:id="390"/>
      <w:r>
        <w:rPr>
          <w:rFonts w:hint="eastAsia"/>
        </w:rPr>
        <w:t xml:space="preserve"> </w:t>
      </w:r>
      <w:r/>
    </w:p>
    <w:p>
      <w:pPr>
        <w:rPr>
          <w:rFonts w:ascii="黑体" w:eastAsia="黑体"/>
          <w:bCs/>
          <w:sz w:val="44"/>
        </w:rPr>
      </w:pPr>
      <w:r>
        <w:rPr>
          <w:rFonts w:ascii="黑体" w:eastAsia="黑体"/>
          <w:bCs/>
          <w:sz w:val="44"/>
        </w:rPr>
      </w:r>
      <w:r/>
    </w:p>
    <w:p>
      <w:pPr>
        <w:pStyle w:val="811"/>
      </w:p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bookmarkStart w:id="391" w:name="_Toc19261"/>
      <w:r/>
      <w:bookmarkStart w:id="392" w:name="_Toc20534"/>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bookmarkEnd w:id="391"/>
      <w:r/>
      <w:bookmarkEnd w:id="392"/>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pStyle w:val="811"/>
      </w:pPr>
      <w:r/>
      <w:r/>
    </w:p>
    <w:p>
      <w:pP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hint="eastAsia" w:ascii="宋体" w:hAnsi="宋体"/>
          <w:sz w:val="32"/>
          <w:szCs w:val="32"/>
        </w:rPr>
        <w:br w:type="page" w:clear="all"/>
      </w:r>
      <w:bookmarkStart w:id="393" w:name="_Toc138777689"/>
      <w:r>
        <w:rPr>
          <w:rFonts w:hint="eastAsia" w:ascii="宋体" w:hAnsi="宋体"/>
          <w:b/>
          <w:sz w:val="32"/>
          <w:szCs w:val="32"/>
        </w:rPr>
        <w:t xml:space="preserve">一、资格审查响应对照表</w:t>
      </w:r>
      <w:bookmarkEnd w:id="393"/>
      <w:r/>
      <w:r/>
    </w:p>
    <w:tbl>
      <w:tblPr>
        <w:tblStyle w:val="813"/>
        <w:tblW w:w="84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543"/>
        <w:gridCol w:w="1257"/>
      </w:tblGrid>
      <w:tr>
        <w:trPr>
          <w:jc w:val="cente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6543"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125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jc w:val="center"/>
          <w:trHeight w:val="335"/>
        </w:trPr>
        <w:tc>
          <w:tcPr>
            <w:gridSpan w:val="3"/>
            <w:tcW w:w="8446"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jc w:val="center"/>
          <w:trHeight w:val="622"/>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6543" w:type="dxa"/>
            <w:vAlign w:val="center"/>
            <w:textDirection w:val="lrTb"/>
            <w:noWrap w:val="false"/>
          </w:tcPr>
          <w:p>
            <w:pPr>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1257" w:type="dxa"/>
            <w:vAlign w:val="center"/>
            <w:textDirection w:val="lrTb"/>
            <w:noWrap w:val="false"/>
          </w:tcPr>
          <w:p>
            <w:pPr>
              <w:rPr>
                <w:rFonts w:ascii="宋体" w:hAnsi="宋体"/>
                <w:b/>
                <w:szCs w:val="21"/>
              </w:rPr>
            </w:pPr>
            <w:r>
              <w:rPr>
                <w:rFonts w:ascii="宋体" w:hAnsi="宋体"/>
                <w:b/>
                <w:szCs w:val="21"/>
              </w:rPr>
            </w:r>
            <w:r/>
          </w:p>
        </w:tc>
      </w:tr>
      <w:tr>
        <w:trPr>
          <w:jc w:val="cente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6543" w:type="dxa"/>
            <w:vAlign w:val="center"/>
            <w:textDirection w:val="lrTb"/>
            <w:noWrap w:val="false"/>
          </w:tcPr>
          <w:p>
            <w:pPr>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1257" w:type="dxa"/>
            <w:vAlign w:val="center"/>
            <w:textDirection w:val="lrTb"/>
            <w:noWrap w:val="false"/>
          </w:tcPr>
          <w:p>
            <w:pPr>
              <w:rPr>
                <w:rFonts w:ascii="宋体" w:hAnsi="宋体"/>
                <w:szCs w:val="21"/>
              </w:rPr>
            </w:pPr>
            <w:r>
              <w:rPr>
                <w:rFonts w:ascii="宋体" w:hAnsi="宋体"/>
                <w:szCs w:val="21"/>
              </w:rPr>
            </w:r>
            <w:r/>
          </w:p>
        </w:tc>
      </w:tr>
      <w:tr>
        <w:trPr>
          <w:jc w:val="center"/>
          <w:trHeight w:val="49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6543" w:type="dxa"/>
            <w:vAlign w:val="center"/>
            <w:textDirection w:val="lrTb"/>
            <w:noWrap w:val="false"/>
          </w:tcPr>
          <w:p>
            <w:pPr>
              <w:rPr>
                <w:rFonts w:ascii="宋体" w:hAnsi="宋体"/>
                <w:iCs/>
                <w:szCs w:val="21"/>
              </w:rPr>
            </w:pPr>
            <w:r>
              <w:rPr>
                <w:rFonts w:hint="eastAsia" w:ascii="宋体" w:hAnsi="宋体" w:cs="宋体"/>
                <w:szCs w:val="21"/>
              </w:rPr>
              <w:t xml:space="preserve">投标人近三个月内任意一份依法纳税的缴款凭证</w:t>
            </w:r>
            <w:r/>
          </w:p>
        </w:tc>
        <w:tc>
          <w:tcPr>
            <w:tcW w:w="1257" w:type="dxa"/>
            <w:vAlign w:val="center"/>
            <w:textDirection w:val="lrTb"/>
            <w:noWrap w:val="false"/>
          </w:tcPr>
          <w:p>
            <w:pPr>
              <w:rPr>
                <w:rFonts w:ascii="宋体" w:hAnsi="宋体"/>
                <w:szCs w:val="21"/>
              </w:rPr>
            </w:pPr>
            <w:r>
              <w:rPr>
                <w:rFonts w:ascii="宋体" w:hAnsi="宋体"/>
                <w:szCs w:val="21"/>
              </w:rPr>
            </w:r>
            <w:r/>
          </w:p>
        </w:tc>
      </w:tr>
      <w:tr>
        <w:trPr>
          <w:jc w:val="cente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6543" w:type="dxa"/>
            <w:vAlign w:val="center"/>
            <w:textDirection w:val="lrTb"/>
            <w:noWrap w:val="false"/>
          </w:tcPr>
          <w:p>
            <w:pPr>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1257" w:type="dxa"/>
            <w:vAlign w:val="center"/>
            <w:textDirection w:val="lrTb"/>
            <w:noWrap w:val="false"/>
          </w:tcPr>
          <w:p>
            <w:pPr>
              <w:rPr>
                <w:rFonts w:ascii="宋体" w:hAnsi="宋体"/>
                <w:szCs w:val="21"/>
              </w:rPr>
            </w:pPr>
            <w:r>
              <w:rPr>
                <w:rFonts w:ascii="宋体" w:hAnsi="宋体"/>
                <w:szCs w:val="21"/>
              </w:rPr>
            </w:r>
            <w:r/>
          </w:p>
        </w:tc>
      </w:tr>
      <w:tr>
        <w:trPr>
          <w:jc w:val="center"/>
          <w:trHeight w:val="443"/>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6543" w:type="dxa"/>
            <w:vAlign w:val="center"/>
            <w:textDirection w:val="lrTb"/>
            <w:noWrap w:val="false"/>
          </w:tcPr>
          <w:p>
            <w:pPr>
              <w:rPr>
                <w:rFonts w:ascii="宋体" w:hAnsi="宋体"/>
                <w:iCs/>
                <w:szCs w:val="21"/>
              </w:rPr>
            </w:pPr>
            <w:r>
              <w:rPr>
                <w:rFonts w:hint="eastAsia" w:ascii="宋体" w:hAnsi="宋体" w:cs="宋体"/>
                <w:szCs w:val="21"/>
              </w:rPr>
              <w:t xml:space="preserve">具备履行合同所必需的设备和专业技术能力的证明材料</w:t>
            </w:r>
            <w:r/>
          </w:p>
        </w:tc>
        <w:tc>
          <w:tcPr>
            <w:tcW w:w="1257" w:type="dxa"/>
            <w:vAlign w:val="center"/>
            <w:textDirection w:val="lrTb"/>
            <w:noWrap w:val="false"/>
          </w:tcPr>
          <w:p>
            <w:pPr>
              <w:rPr>
                <w:rFonts w:ascii="宋体" w:hAnsi="宋体"/>
                <w:szCs w:val="21"/>
              </w:rPr>
            </w:pPr>
            <w:r>
              <w:rPr>
                <w:rFonts w:ascii="宋体" w:hAnsi="宋体"/>
                <w:szCs w:val="21"/>
              </w:rPr>
            </w:r>
            <w:r/>
          </w:p>
        </w:tc>
      </w:tr>
      <w:tr>
        <w:trPr>
          <w:jc w:val="center"/>
          <w:trHeight w:val="678"/>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6543" w:type="dxa"/>
            <w:vAlign w:val="center"/>
            <w:textDirection w:val="lrTb"/>
            <w:noWrap w:val="false"/>
          </w:tcPr>
          <w:p>
            <w:pPr>
              <w:rPr>
                <w:rFonts w:ascii="宋体" w:hAnsi="宋体"/>
                <w:iCs/>
                <w:szCs w:val="21"/>
              </w:rPr>
            </w:pPr>
            <w:r>
              <w:rPr>
                <w:rFonts w:hint="eastAsia" w:ascii="宋体" w:hAnsi="宋体" w:cs="宋体"/>
                <w:szCs w:val="21"/>
              </w:rPr>
              <w:t xml:space="preserve">参加本次政府采购活动前3年内在经营活动中没有重大违法记录的书面声明</w:t>
            </w:r>
            <w:r/>
          </w:p>
        </w:tc>
        <w:tc>
          <w:tcPr>
            <w:tcW w:w="1257" w:type="dxa"/>
            <w:vAlign w:val="center"/>
            <w:textDirection w:val="lrTb"/>
            <w:noWrap w:val="false"/>
          </w:tcPr>
          <w:p>
            <w:pPr>
              <w:rPr>
                <w:rFonts w:ascii="宋体" w:hAnsi="宋体"/>
                <w:szCs w:val="21"/>
              </w:rPr>
            </w:pPr>
            <w:r>
              <w:rPr>
                <w:rFonts w:ascii="宋体" w:hAnsi="宋体"/>
                <w:szCs w:val="21"/>
              </w:rPr>
            </w:r>
            <w:r/>
          </w:p>
        </w:tc>
      </w:tr>
      <w:tr>
        <w:trPr>
          <w:jc w:val="center"/>
          <w:trHeight w:val="1004"/>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6543" w:type="dxa"/>
            <w:vAlign w:val="center"/>
            <w:textDirection w:val="lrTb"/>
            <w:noWrap w:val="false"/>
          </w:tcPr>
          <w:p>
            <w:pPr>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1257" w:type="dxa"/>
            <w:vAlign w:val="center"/>
            <w:textDirection w:val="lrTb"/>
            <w:noWrap w:val="false"/>
          </w:tcPr>
          <w:p>
            <w:pPr>
              <w:rPr>
                <w:rFonts w:ascii="宋体" w:hAnsi="宋体"/>
                <w:szCs w:val="21"/>
              </w:rPr>
            </w:pPr>
            <w:r>
              <w:rPr>
                <w:rFonts w:ascii="宋体" w:hAnsi="宋体"/>
                <w:szCs w:val="21"/>
              </w:rPr>
            </w:r>
            <w:r/>
          </w:p>
        </w:tc>
      </w:tr>
      <w:tr>
        <w:trPr>
          <w:jc w:val="center"/>
          <w:trHeight w:val="449"/>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8</w:t>
            </w:r>
            <w:r/>
          </w:p>
        </w:tc>
        <w:tc>
          <w:tcPr>
            <w:tcW w:w="6543"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供应商信用承诺函</w:t>
            </w:r>
            <w:r/>
          </w:p>
        </w:tc>
        <w:tc>
          <w:tcPr>
            <w:tcW w:w="1257" w:type="dxa"/>
            <w:vAlign w:val="center"/>
            <w:textDirection w:val="lrTb"/>
            <w:noWrap w:val="false"/>
          </w:tcPr>
          <w:p>
            <w:pPr>
              <w:rPr>
                <w:rFonts w:ascii="宋体" w:hAnsi="宋体"/>
                <w:szCs w:val="21"/>
              </w:rPr>
            </w:pPr>
            <w:r>
              <w:rPr>
                <w:rFonts w:ascii="宋体" w:hAnsi="宋体"/>
                <w:szCs w:val="21"/>
              </w:rPr>
            </w:r>
            <w:r/>
          </w:p>
        </w:tc>
      </w:tr>
      <w:tr>
        <w:trPr>
          <w:jc w:val="center"/>
          <w:trHeight w:val="90"/>
        </w:trPr>
        <w:tc>
          <w:tcPr>
            <w:gridSpan w:val="3"/>
            <w:tcW w:w="8446"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jc w:val="center"/>
          <w:trHeight w:val="1112"/>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9</w:t>
            </w:r>
            <w:r/>
          </w:p>
        </w:tc>
        <w:tc>
          <w:tcPr>
            <w:tcW w:w="6543" w:type="dxa"/>
            <w:vAlign w:val="center"/>
            <w:textDirection w:val="lrTb"/>
            <w:noWrap w:val="false"/>
          </w:tcPr>
          <w:p>
            <w:pPr>
              <w:jc w:val="left"/>
            </w:pPr>
            <w:r>
              <w:rPr>
                <w:rFonts w:hint="eastAsia" w:ascii="宋体" w:hAnsi="宋体" w:cs="宋体"/>
                <w:szCs w:val="21"/>
              </w:rPr>
              <w:t xml:space="preserve">本项目专门面向中小企业采购；投标人须提供《中小企业声明函》，项目类型为租赁和商务服务业。《中小企业声明函》不符合要求或未提供的，投标文件无效。</w:t>
            </w:r>
            <w:r/>
          </w:p>
        </w:tc>
        <w:tc>
          <w:tcPr>
            <w:tcW w:w="1257" w:type="dxa"/>
            <w:vAlign w:val="center"/>
            <w:textDirection w:val="lrTb"/>
            <w:noWrap w:val="false"/>
          </w:tcPr>
          <w:p>
            <w:pPr>
              <w:rPr>
                <w:rFonts w:ascii="宋体" w:hAnsi="宋体"/>
                <w:szCs w:val="21"/>
              </w:rPr>
            </w:pPr>
            <w:r>
              <w:rPr>
                <w:rFonts w:ascii="宋体" w:hAnsi="宋体"/>
                <w:szCs w:val="21"/>
              </w:rPr>
            </w:r>
            <w:r/>
          </w:p>
        </w:tc>
      </w:tr>
      <w:tr>
        <w:trPr>
          <w:jc w:val="center"/>
          <w:trHeight w:val="400"/>
        </w:trPr>
        <w:tc>
          <w:tcPr>
            <w:gridSpan w:val="3"/>
            <w:tcW w:w="8446"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jc w:val="center"/>
          <w:trHeight w:val="389"/>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10</w:t>
            </w:r>
            <w:r/>
          </w:p>
        </w:tc>
        <w:tc>
          <w:tcPr>
            <w:tcW w:w="6543" w:type="dxa"/>
            <w:vAlign w:val="center"/>
            <w:textDirection w:val="lrTb"/>
            <w:noWrap w:val="false"/>
          </w:tcPr>
          <w:p>
            <w:pPr>
              <w:jc w:val="left"/>
              <w:spacing w:line="0" w:lineRule="atLeast"/>
              <w:rPr>
                <w:rFonts w:ascii="宋体" w:hAnsi="宋体" w:cs="宋体"/>
                <w:szCs w:val="21"/>
              </w:rPr>
            </w:pPr>
            <w:r>
              <w:rPr>
                <w:rFonts w:hint="eastAsia" w:ascii="宋体" w:hAnsi="宋体"/>
                <w:iCs/>
                <w:szCs w:val="21"/>
              </w:rPr>
              <w:t xml:space="preserve">无</w:t>
            </w:r>
            <w:r/>
          </w:p>
        </w:tc>
        <w:tc>
          <w:tcPr>
            <w:tcW w:w="1257" w:type="dxa"/>
            <w:vAlign w:val="center"/>
            <w:textDirection w:val="lrTb"/>
            <w:noWrap w:val="false"/>
          </w:tcPr>
          <w:p>
            <w:pPr>
              <w:rPr>
                <w:rFonts w:ascii="宋体" w:hAnsi="宋体"/>
                <w:szCs w:val="21"/>
              </w:rPr>
            </w:pPr>
            <w:r>
              <w:rPr>
                <w:rFonts w:ascii="宋体" w:hAnsi="宋体"/>
                <w:szCs w:val="21"/>
              </w:rPr>
            </w:r>
            <w:r/>
          </w:p>
        </w:tc>
      </w:tr>
      <w:tr>
        <w:trPr>
          <w:jc w:val="center"/>
          <w:trHeight w:val="400"/>
        </w:trPr>
        <w:tc>
          <w:tcPr>
            <w:gridSpan w:val="3"/>
            <w:tcW w:w="8446"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jc w:val="cente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11</w:t>
            </w:r>
            <w:r/>
          </w:p>
        </w:tc>
        <w:tc>
          <w:tcPr>
            <w:tcW w:w="6543" w:type="dxa"/>
            <w:vAlign w:val="center"/>
            <w:textDirection w:val="lrTb"/>
            <w:noWrap w:val="false"/>
          </w:tcPr>
          <w:p>
            <w:pPr>
              <w:jc w:val="left"/>
              <w:rPr>
                <w:rFonts w:ascii="宋体" w:hAnsi="宋体"/>
                <w:iCs/>
                <w:szCs w:val="21"/>
              </w:rPr>
            </w:pPr>
            <w:r>
              <w:rPr>
                <w:rFonts w:hint="eastAsia" w:ascii="宋体" w:hAnsi="宋体"/>
                <w:iCs/>
                <w:szCs w:val="21"/>
              </w:rPr>
              <w:t xml:space="preserve">投标函</w:t>
            </w:r>
            <w:r/>
          </w:p>
        </w:tc>
        <w:tc>
          <w:tcPr>
            <w:tcW w:w="1257" w:type="dxa"/>
            <w:vAlign w:val="center"/>
            <w:textDirection w:val="lrTb"/>
            <w:noWrap w:val="false"/>
          </w:tcPr>
          <w:p>
            <w:pPr>
              <w:rPr>
                <w:rFonts w:ascii="宋体" w:hAnsi="宋体"/>
                <w:szCs w:val="21"/>
              </w:rPr>
            </w:pPr>
            <w:r>
              <w:rPr>
                <w:rFonts w:ascii="宋体" w:hAnsi="宋体"/>
                <w:szCs w:val="21"/>
              </w:rPr>
            </w:r>
            <w:r/>
          </w:p>
        </w:tc>
      </w:tr>
      <w:tr>
        <w:trPr>
          <w:jc w:val="cente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12</w:t>
            </w:r>
            <w:r/>
          </w:p>
        </w:tc>
        <w:tc>
          <w:tcPr>
            <w:tcW w:w="6543" w:type="dxa"/>
            <w:vAlign w:val="center"/>
            <w:textDirection w:val="lrTb"/>
            <w:noWrap w:val="false"/>
          </w:tcPr>
          <w:p>
            <w:pPr>
              <w:jc w:val="left"/>
              <w:rPr>
                <w:rFonts w:ascii="宋体" w:hAnsi="宋体"/>
                <w:iCs/>
                <w:szCs w:val="21"/>
              </w:rPr>
            </w:pPr>
            <w:r>
              <w:rPr>
                <w:rFonts w:hint="eastAsia" w:ascii="宋体" w:hAnsi="宋体"/>
                <w:iCs/>
                <w:szCs w:val="21"/>
              </w:rPr>
              <w:t xml:space="preserve">法人授权书</w:t>
            </w:r>
            <w:r/>
          </w:p>
        </w:tc>
        <w:tc>
          <w:tcPr>
            <w:tcW w:w="1257" w:type="dxa"/>
            <w:vAlign w:val="center"/>
            <w:textDirection w:val="lrTb"/>
            <w:noWrap w:val="false"/>
          </w:tcPr>
          <w:p>
            <w:pPr>
              <w:rPr>
                <w:rFonts w:ascii="宋体" w:hAnsi="宋体"/>
                <w:szCs w:val="21"/>
              </w:rPr>
            </w:pPr>
            <w:r>
              <w:rPr>
                <w:rFonts w:ascii="宋体" w:hAnsi="宋体"/>
                <w:szCs w:val="21"/>
              </w:rPr>
            </w:r>
            <w:r/>
          </w:p>
        </w:tc>
      </w:tr>
      <w:tr>
        <w:trPr>
          <w:jc w:val="cente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13</w:t>
            </w:r>
            <w:r/>
          </w:p>
        </w:tc>
        <w:tc>
          <w:tcPr>
            <w:tcW w:w="6543" w:type="dxa"/>
            <w:vAlign w:val="center"/>
            <w:textDirection w:val="lrTb"/>
            <w:noWrap w:val="false"/>
          </w:tcPr>
          <w:p>
            <w:pPr>
              <w:jc w:val="left"/>
              <w:rPr>
                <w:rFonts w:ascii="宋体" w:hAnsi="宋体"/>
                <w:iCs/>
                <w:szCs w:val="21"/>
              </w:rPr>
            </w:pPr>
            <w:r>
              <w:rPr>
                <w:rFonts w:hint="eastAsia" w:ascii="宋体" w:hAnsi="宋体"/>
                <w:iCs/>
                <w:szCs w:val="21"/>
              </w:rPr>
              <w:t xml:space="preserve">关联项目承诺书</w:t>
            </w:r>
            <w:r/>
          </w:p>
        </w:tc>
        <w:tc>
          <w:tcPr>
            <w:tcW w:w="1257" w:type="dxa"/>
            <w:vAlign w:val="center"/>
            <w:textDirection w:val="lrTb"/>
            <w:noWrap w:val="false"/>
          </w:tcPr>
          <w:p>
            <w:pPr>
              <w:rPr>
                <w:rFonts w:ascii="宋体" w:hAnsi="宋体"/>
                <w:szCs w:val="21"/>
              </w:rPr>
            </w:pPr>
            <w:r>
              <w:rPr>
                <w:rFonts w:ascii="宋体" w:hAnsi="宋体"/>
                <w:szCs w:val="21"/>
              </w:rPr>
            </w:r>
            <w:r/>
          </w:p>
        </w:tc>
      </w:tr>
      <w:tr>
        <w:trPr>
          <w:jc w:val="cente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14</w:t>
            </w:r>
            <w:r/>
          </w:p>
        </w:tc>
        <w:tc>
          <w:tcPr>
            <w:tcW w:w="6543" w:type="dxa"/>
            <w:vAlign w:val="center"/>
            <w:textDirection w:val="lrTb"/>
            <w:noWrap w:val="false"/>
          </w:tcPr>
          <w:p>
            <w:pPr>
              <w:jc w:val="left"/>
              <w:rPr>
                <w:rFonts w:ascii="宋体" w:hAnsi="宋体"/>
                <w:iCs/>
                <w:szCs w:val="21"/>
              </w:rPr>
            </w:pPr>
            <w:r>
              <w:rPr>
                <w:rFonts w:hint="eastAsia" w:ascii="宋体" w:hAnsi="宋体"/>
                <w:iCs/>
                <w:szCs w:val="21"/>
              </w:rPr>
              <w:t xml:space="preserve">驻场服务承诺</w:t>
            </w:r>
            <w:r/>
          </w:p>
        </w:tc>
        <w:tc>
          <w:tcPr>
            <w:tcW w:w="1257" w:type="dxa"/>
            <w:vAlign w:val="center"/>
            <w:textDirection w:val="lrTb"/>
            <w:noWrap w:val="false"/>
          </w:tcPr>
          <w:p>
            <w:pPr>
              <w:rPr>
                <w:rFonts w:ascii="宋体" w:hAnsi="宋体"/>
                <w:szCs w:val="21"/>
              </w:rPr>
            </w:pPr>
            <w:r>
              <w:rPr>
                <w:rFonts w:ascii="宋体" w:hAnsi="宋体"/>
                <w:szCs w:val="21"/>
              </w:rPr>
            </w:r>
            <w:r/>
          </w:p>
        </w:tc>
      </w:tr>
    </w:tbl>
    <w:p>
      <w:pPr>
        <w:ind w:firstLine="1476"/>
        <w:spacing w:before="120" w:after="120" w:line="360" w:lineRule="auto"/>
        <w:rPr>
          <w:rFonts w:ascii="宋体" w:hAnsi="宋体"/>
          <w:b/>
          <w:bCs/>
        </w:rPr>
      </w:pPr>
      <w:r>
        <w:rPr>
          <w:rFonts w:ascii="宋体" w:hAnsi="宋体"/>
          <w:b/>
          <w:bCs/>
        </w:rPr>
      </w:r>
      <w:r/>
    </w:p>
    <w:p>
      <w:pPr>
        <w:ind w:firstLine="1476"/>
        <w:spacing w:before="120" w:after="120" w:line="360" w:lineRule="auto"/>
        <w:rPr>
          <w:rFonts w:ascii="宋体" w:hAnsi="宋体"/>
          <w:b/>
          <w:bCs/>
        </w:rPr>
      </w:pPr>
      <w:r>
        <w:rPr>
          <w:rFonts w:ascii="宋体" w:hAnsi="宋体"/>
          <w:b/>
          <w:bCs/>
        </w:rPr>
      </w:r>
      <w:r/>
    </w:p>
    <w:p>
      <w:pPr>
        <w:pStyle w:val="844"/>
        <w:rPr>
          <w:rFonts w:hAnsi="宋体"/>
          <w:b/>
          <w:bCs/>
        </w:rPr>
      </w:pPr>
      <w:r>
        <w:rPr>
          <w:rFonts w:hAnsi="宋体"/>
          <w:b/>
          <w:bCs/>
        </w:rPr>
      </w:r>
      <w:r/>
    </w:p>
    <w:p>
      <w:pPr>
        <w:pStyle w:val="845"/>
      </w:pPr>
      <w:r/>
      <w:r/>
    </w:p>
    <w:p>
      <w:pPr>
        <w:jc w:val="center"/>
        <w:spacing w:before="120" w:after="120" w:line="360" w:lineRule="auto"/>
        <w:rPr>
          <w:rFonts w:ascii="宋体" w:hAnsi="宋体"/>
          <w:b/>
          <w:bCs/>
        </w:rPr>
      </w:pPr>
      <w:r>
        <w:rPr>
          <w:rFonts w:ascii="宋体" w:hAnsi="宋体"/>
          <w:b/>
          <w:bCs/>
        </w:rPr>
      </w:r>
      <w:r/>
    </w:p>
    <w:p>
      <w:pPr>
        <w:jc w:val="center"/>
        <w:spacing w:before="120" w:after="120"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240"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            </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500" w:lineRule="exact"/>
        <w:rPr>
          <w:rFonts w:ascii="方正仿宋_GBK"/>
          <w:szCs w:val="32"/>
        </w:rPr>
      </w:pPr>
      <w:r>
        <w:rPr>
          <w:rFonts w:ascii="方正仿宋_GBK"/>
          <w:szCs w:val="32"/>
        </w:rPr>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ind w:firstLine="420"/>
        <w:spacing w:line="48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48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480" w:lineRule="exact"/>
        <w:rPr>
          <w:rFonts w:ascii="宋体" w:hAnsi="宋体"/>
          <w:szCs w:val="21"/>
        </w:rPr>
      </w:pPr>
      <w:r/>
      <w:bookmarkStart w:id="394" w:name="_Toc7846"/>
      <w:r/>
      <w:bookmarkStart w:id="395" w:name="_Toc2091"/>
      <w:r>
        <w:rPr>
          <w:rFonts w:hint="eastAsia" w:ascii="宋体" w:hAnsi="宋体"/>
          <w:szCs w:val="21"/>
        </w:rPr>
        <w:t xml:space="preserve">七、严格遵守信用信息公示相关规定，向社会公示信用信息；</w:t>
      </w:r>
      <w:bookmarkEnd w:id="394"/>
      <w:r/>
      <w:bookmarkEnd w:id="395"/>
      <w:r/>
      <w:r/>
    </w:p>
    <w:p>
      <w:pPr>
        <w:ind w:firstLine="420"/>
        <w:spacing w:line="48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48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ascii="宋体" w:hAnsi="宋体"/>
          <w:szCs w:val="21"/>
        </w:rPr>
      </w:pPr>
      <w:r/>
      <w:bookmarkStart w:id="396" w:name="_Toc9362"/>
      <w:r/>
      <w:bookmarkStart w:id="397" w:name="_Toc25411"/>
      <w:r>
        <w:rPr>
          <w:rFonts w:hint="eastAsia" w:ascii="宋体" w:hAnsi="宋体"/>
          <w:szCs w:val="21"/>
        </w:rPr>
        <w:t xml:space="preserve">十、本承诺书自签订之日起生效。</w:t>
      </w:r>
      <w:bookmarkEnd w:id="396"/>
      <w:r/>
      <w:bookmarkEnd w:id="397"/>
      <w:r/>
      <w:r/>
    </w:p>
    <w:p>
      <w:pPr>
        <w:ind w:firstLine="420"/>
        <w:spacing w:line="480" w:lineRule="exact"/>
        <w:rPr>
          <w:rFonts w:ascii="宋体" w:hAnsi="宋体"/>
          <w:szCs w:val="21"/>
        </w:rPr>
      </w:pPr>
      <w:r>
        <w:rPr>
          <w:rFonts w:hint="eastAsia" w:ascii="宋体" w:hAnsi="宋体"/>
          <w:szCs w:val="21"/>
        </w:rPr>
        <w:t xml:space="preserve"> （注：法定代表人或负责人、主体名称发生变更的应当重新做出承诺。）</w:t>
      </w:r>
      <w:r/>
    </w:p>
    <w:p>
      <w:pPr>
        <w:spacing w:line="480" w:lineRule="exact"/>
        <w:rPr>
          <w:rFonts w:ascii="宋体" w:hAnsi="宋体"/>
          <w:szCs w:val="21"/>
        </w:rPr>
      </w:pPr>
      <w:r>
        <w:rPr>
          <w:rFonts w:ascii="宋体" w:hAnsi="宋体"/>
          <w:szCs w:val="21"/>
        </w:rPr>
      </w:r>
      <w:r/>
    </w:p>
    <w:p>
      <w:pPr>
        <w:jc w:val="center"/>
        <w:spacing w:line="480" w:lineRule="exact"/>
        <w:rPr>
          <w:rFonts w:ascii="宋体" w:hAnsi="宋体"/>
          <w:szCs w:val="21"/>
        </w:rPr>
      </w:pPr>
      <w:r>
        <w:rPr>
          <w:rFonts w:hint="eastAsia" w:ascii="宋体" w:hAnsi="宋体"/>
          <w:szCs w:val="21"/>
        </w:rPr>
        <w:t xml:space="preserve">　　　　　　　　　　                     承诺单位（签章）：           </w:t>
      </w:r>
      <w:r/>
    </w:p>
    <w:p>
      <w:pPr>
        <w:jc w:val="center"/>
        <w:spacing w:line="480" w:lineRule="exact"/>
        <w:rPr>
          <w:rFonts w:ascii="宋体" w:hAnsi="宋体"/>
          <w:szCs w:val="21"/>
        </w:rPr>
      </w:pPr>
      <w:r>
        <w:rPr>
          <w:rFonts w:hint="eastAsia" w:ascii="宋体" w:hAnsi="宋体"/>
          <w:szCs w:val="21"/>
        </w:rPr>
        <w:t xml:space="preserve">　　　　　　　　　   　  法定代表人（负责人）：</w:t>
      </w:r>
      <w:r/>
    </w:p>
    <w:p>
      <w:pPr>
        <w:jc w:val="center"/>
        <w:spacing w:line="480" w:lineRule="exact"/>
        <w:rPr>
          <w:rFonts w:ascii="宋体" w:hAnsi="宋体" w:cs="宋体"/>
          <w:szCs w:val="21"/>
        </w:rPr>
      </w:pPr>
      <w:r>
        <w:rPr>
          <w:rFonts w:hint="eastAsia" w:ascii="宋体" w:hAnsi="宋体"/>
          <w:szCs w:val="21"/>
        </w:rPr>
        <w:t xml:space="preserve">　　　　　　　　　      　          年    月    日</w:t>
      </w:r>
      <w:r/>
    </w:p>
    <w:p>
      <w:pP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t xml:space="preserve">投标函格式</w:t>
      </w:r>
      <w:r/>
    </w:p>
    <w:p>
      <w:pPr>
        <w:pStyle w:val="1010"/>
        <w:ind w:firstLine="0"/>
        <w:spacing w:before="0" w:after="0"/>
        <w:rPr>
          <w:rFonts w:ascii="宋体" w:hAnsi="宋体"/>
          <w:sz w:val="21"/>
          <w:szCs w:val="21"/>
        </w:rPr>
      </w:pPr>
      <w:r>
        <w:rPr>
          <w:rFonts w:ascii="宋体" w:hAnsi="宋体"/>
          <w:sz w:val="21"/>
          <w:szCs w:val="21"/>
        </w:rPr>
      </w:r>
      <w:r/>
    </w:p>
    <w:p>
      <w:pPr>
        <w:pStyle w:val="1010"/>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扬州华泽工程项目管理咨询有限公司</w:t>
      </w:r>
      <w:r/>
    </w:p>
    <w:p>
      <w:pPr>
        <w:pStyle w:val="1010"/>
        <w:ind w:firstLine="420"/>
        <w:spacing w:before="0" w:after="0"/>
        <w:rPr>
          <w:rFonts w:ascii="宋体" w:hAnsi="宋体"/>
          <w:sz w:val="21"/>
          <w:szCs w:val="21"/>
        </w:rPr>
      </w:pPr>
      <w:r>
        <w:rPr>
          <w:rFonts w:hint="eastAsia" w:ascii="宋体" w:hAnsi="宋体"/>
          <w:sz w:val="21"/>
          <w:szCs w:val="21"/>
        </w:rPr>
        <w:t xml:space="preserve">根据贵方的（         ）</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p>
    <w:p>
      <w:pPr>
        <w:pStyle w:val="1010"/>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1010"/>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1010"/>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1010"/>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010"/>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010"/>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1010"/>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1010"/>
        <w:ind w:left="425" w:firstLine="105"/>
        <w:spacing w:before="0" w:after="0"/>
        <w:rPr>
          <w:rFonts w:ascii="宋体" w:hAnsi="宋体"/>
          <w:sz w:val="21"/>
          <w:szCs w:val="21"/>
        </w:rPr>
      </w:pPr>
      <w:r/>
      <w:bookmarkStart w:id="398" w:name="_Toc12872"/>
      <w:r/>
      <w:bookmarkStart w:id="399" w:name="_Toc5827"/>
      <w:r>
        <w:rPr>
          <w:rFonts w:hint="eastAsia" w:ascii="宋体" w:hAnsi="宋体"/>
          <w:sz w:val="21"/>
          <w:szCs w:val="21"/>
        </w:rPr>
        <w:t xml:space="preserve">7.与本投标有关的正式通讯地址为：</w:t>
      </w:r>
      <w:bookmarkEnd w:id="398"/>
      <w:r/>
      <w:bookmarkEnd w:id="399"/>
      <w:r/>
      <w:r/>
    </w:p>
    <w:p>
      <w:pPr>
        <w:pStyle w:val="1010"/>
        <w:ind w:firstLine="478"/>
        <w:spacing w:before="0" w:after="0"/>
        <w:rPr>
          <w:rFonts w:ascii="宋体" w:hAnsi="宋体"/>
          <w:sz w:val="21"/>
          <w:szCs w:val="21"/>
        </w:rPr>
      </w:pPr>
      <w:r>
        <w:rPr>
          <w:rFonts w:hint="eastAsia" w:ascii="宋体" w:hAnsi="宋体"/>
          <w:sz w:val="21"/>
          <w:szCs w:val="21"/>
        </w:rPr>
        <w:t xml:space="preserve">地 址：</w:t>
      </w:r>
      <w:r/>
    </w:p>
    <w:p>
      <w:pPr>
        <w:pStyle w:val="1010"/>
        <w:ind w:firstLine="478"/>
        <w:spacing w:before="0" w:after="0"/>
        <w:rPr>
          <w:rFonts w:ascii="宋体" w:hAnsi="宋体"/>
          <w:sz w:val="21"/>
          <w:szCs w:val="21"/>
        </w:rPr>
      </w:pPr>
      <w:r>
        <w:rPr>
          <w:rFonts w:hint="eastAsia" w:ascii="宋体" w:hAnsi="宋体"/>
          <w:sz w:val="21"/>
          <w:szCs w:val="21"/>
        </w:rPr>
        <w:t xml:space="preserve">邮 编：</w:t>
      </w:r>
      <w:r/>
    </w:p>
    <w:p>
      <w:pPr>
        <w:pStyle w:val="1010"/>
        <w:ind w:firstLine="478"/>
        <w:spacing w:before="0" w:after="0"/>
        <w:rPr>
          <w:rFonts w:ascii="宋体" w:hAnsi="宋体"/>
          <w:sz w:val="21"/>
          <w:szCs w:val="21"/>
        </w:rPr>
      </w:pPr>
      <w:r>
        <w:rPr>
          <w:rFonts w:hint="eastAsia" w:ascii="宋体" w:hAnsi="宋体"/>
          <w:sz w:val="21"/>
          <w:szCs w:val="21"/>
        </w:rPr>
        <w:t xml:space="preserve">电 话： </w:t>
      </w:r>
      <w:r/>
    </w:p>
    <w:p>
      <w:pPr>
        <w:pStyle w:val="1010"/>
        <w:ind w:firstLine="478"/>
        <w:spacing w:before="0" w:after="0"/>
        <w:rPr>
          <w:rFonts w:ascii="宋体" w:hAnsi="宋体"/>
          <w:sz w:val="21"/>
          <w:szCs w:val="21"/>
        </w:rPr>
      </w:pPr>
      <w:r>
        <w:rPr>
          <w:rFonts w:hint="eastAsia" w:ascii="宋体" w:hAnsi="宋体"/>
          <w:sz w:val="21"/>
          <w:szCs w:val="21"/>
        </w:rPr>
        <w:t xml:space="preserve">传 真： </w:t>
      </w:r>
      <w:r/>
    </w:p>
    <w:p>
      <w:pPr>
        <w:pStyle w:val="1010"/>
        <w:ind w:firstLine="478"/>
        <w:spacing w:before="0" w:after="0"/>
        <w:rPr>
          <w:rFonts w:ascii="宋体" w:hAnsi="宋体"/>
          <w:sz w:val="21"/>
          <w:szCs w:val="21"/>
        </w:rPr>
      </w:pPr>
      <w:r>
        <w:rPr>
          <w:rFonts w:hint="eastAsia" w:ascii="宋体" w:hAnsi="宋体"/>
          <w:sz w:val="21"/>
          <w:szCs w:val="21"/>
        </w:rPr>
        <w:t xml:space="preserve">投标人开户行：</w:t>
      </w:r>
      <w:r/>
    </w:p>
    <w:p>
      <w:pPr>
        <w:pStyle w:val="1010"/>
        <w:ind w:firstLine="478"/>
        <w:spacing w:before="0" w:after="0"/>
        <w:rPr>
          <w:rFonts w:ascii="宋体" w:hAnsi="宋体"/>
          <w:sz w:val="21"/>
          <w:szCs w:val="21"/>
        </w:rPr>
      </w:pPr>
      <w:r>
        <w:rPr>
          <w:rFonts w:hint="eastAsia" w:ascii="宋体" w:hAnsi="宋体"/>
          <w:sz w:val="21"/>
          <w:szCs w:val="21"/>
        </w:rPr>
        <w:t xml:space="preserve">账 户： </w:t>
      </w:r>
      <w:r/>
    </w:p>
    <w:p>
      <w:pPr>
        <w:pStyle w:val="1010"/>
        <w:ind w:firstLine="478"/>
        <w:spacing w:before="0" w:after="0"/>
        <w:rPr>
          <w:rFonts w:ascii="宋体" w:hAnsi="宋体"/>
          <w:sz w:val="21"/>
          <w:szCs w:val="21"/>
        </w:rPr>
      </w:pPr>
      <w:r>
        <w:rPr>
          <w:rFonts w:hint="eastAsia" w:ascii="宋体" w:hAnsi="宋体"/>
          <w:sz w:val="21"/>
          <w:szCs w:val="21"/>
        </w:rPr>
        <w:t xml:space="preserve">行 号：</w:t>
      </w:r>
      <w:r/>
    </w:p>
    <w:p>
      <w:pPr>
        <w:pStyle w:val="1010"/>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sz w:val="32"/>
          <w:szCs w:val="32"/>
        </w:rPr>
      </w:pPr>
      <w:r>
        <w:rPr>
          <w:rFonts w:hint="eastAsia" w:ascii="宋体" w:hAnsi="宋体"/>
          <w:b/>
          <w:sz w:val="32"/>
          <w:szCs w:val="32"/>
        </w:rPr>
        <w:br w:type="page" w:clear="all"/>
      </w:r>
      <w:r/>
    </w:p>
    <w:p>
      <w:pPr>
        <w:pStyle w:val="1011"/>
        <w:ind w:firstLine="422"/>
        <w:jc w:val="center"/>
        <w:spacing w:after="240" w:line="360" w:lineRule="auto"/>
        <w:rPr>
          <w:rFonts w:ascii="宋体" w:hAnsi="宋体"/>
          <w:b/>
          <w:sz w:val="21"/>
          <w:szCs w:val="21"/>
        </w:rPr>
      </w:pPr>
      <w:r/>
      <w:bookmarkStart w:id="400" w:name="_Toc2791"/>
      <w:r/>
      <w:bookmarkStart w:id="401" w:name="_Toc1240"/>
      <w:r>
        <w:rPr>
          <w:rFonts w:hint="eastAsia" w:ascii="宋体" w:hAnsi="宋体"/>
          <w:b/>
          <w:sz w:val="21"/>
          <w:szCs w:val="21"/>
        </w:rPr>
        <w:t xml:space="preserve">法人授权书</w:t>
      </w:r>
      <w:bookmarkEnd w:id="400"/>
      <w:r/>
      <w:bookmarkEnd w:id="401"/>
      <w:r/>
      <w:r/>
    </w:p>
    <w:p>
      <w:pPr>
        <w:pStyle w:val="1011"/>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  </w:t>
      </w:r>
      <w:r>
        <w:rPr>
          <w:rFonts w:hint="eastAsia" w:ascii="宋体" w:hAnsi="宋体"/>
          <w:sz w:val="21"/>
          <w:szCs w:val="21"/>
        </w:rPr>
        <w:t xml:space="preserve">号（项目名称）项目采购活动的合法代理人，以本公司名义全权处理一切与该项目采购有关的事务。</w:t>
      </w:r>
      <w:r/>
    </w:p>
    <w:p>
      <w:pPr>
        <w:pStyle w:val="1011"/>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11"/>
        <w:ind w:firstLine="0"/>
        <w:spacing w:line="360" w:lineRule="auto"/>
        <w:rPr>
          <w:rFonts w:ascii="宋体" w:hAnsi="宋体"/>
          <w:sz w:val="21"/>
          <w:szCs w:val="21"/>
        </w:rPr>
      </w:pPr>
      <w:r>
        <w:rPr>
          <w:rFonts w:ascii="宋体" w:hAnsi="宋体"/>
          <w:sz w:val="21"/>
          <w:szCs w:val="21"/>
        </w:rPr>
        <w:t xml:space="preserve">    </w:t>
      </w:r>
      <w:r/>
    </w:p>
    <w:p>
      <w:pPr>
        <w:pStyle w:val="1011"/>
        <w:ind w:firstLine="420"/>
        <w:spacing w:line="360" w:lineRule="auto"/>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t xml:space="preserve">   </w:t>
      </w:r>
      <w:r/>
    </w:p>
    <w:p>
      <w:pPr>
        <w:pStyle w:val="1011"/>
        <w:ind w:firstLine="420"/>
        <w:spacing w:line="360" w:lineRule="auto"/>
        <w:rPr>
          <w:rFonts w:ascii="宋体" w:hAnsi="宋体"/>
          <w:sz w:val="21"/>
          <w:szCs w:val="21"/>
        </w:rPr>
      </w:pPr>
      <w:r>
        <w:rPr>
          <w:rFonts w:hint="eastAsia" w:ascii="宋体" w:hAnsi="宋体"/>
          <w:sz w:val="21"/>
          <w:szCs w:val="21"/>
        </w:rPr>
        <w:t xml:space="preserve">  </w:t>
      </w:r>
      <w:r/>
    </w:p>
    <w:p>
      <w:pPr>
        <w:pStyle w:val="1011"/>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011"/>
        <w:ind w:firstLine="420"/>
        <w:spacing w:line="360" w:lineRule="auto"/>
        <w:rPr>
          <w:rFonts w:ascii="宋体" w:hAnsi="宋体"/>
          <w:sz w:val="21"/>
          <w:szCs w:val="21"/>
          <w:u w:val="single"/>
        </w:rPr>
      </w:pPr>
      <w:r>
        <w:rPr>
          <w:rFonts w:ascii="宋体" w:hAnsi="宋体"/>
          <w:sz w:val="21"/>
          <w:szCs w:val="21"/>
          <w:u w:val="single"/>
        </w:rPr>
      </w:r>
      <w:r/>
    </w:p>
    <w:p>
      <w:pPr>
        <w:pStyle w:val="1011"/>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w:t>
      </w:r>
      <w:r/>
    </w:p>
    <w:p>
      <w:pPr>
        <w:pStyle w:val="1011"/>
        <w:ind w:firstLine="420"/>
        <w:spacing w:line="360" w:lineRule="auto"/>
        <w:rPr>
          <w:rFonts w:ascii="宋体" w:hAnsi="宋体"/>
          <w:sz w:val="21"/>
          <w:szCs w:val="21"/>
        </w:rPr>
      </w:pPr>
      <w:r>
        <w:rPr>
          <w:rFonts w:ascii="宋体" w:hAnsi="宋体"/>
          <w:sz w:val="21"/>
          <w:szCs w:val="21"/>
        </w:rPr>
      </w:r>
      <w:r/>
    </w:p>
    <w:p>
      <w:pPr>
        <w:pStyle w:val="1011"/>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rPr>
          <w:rFonts w:hint="eastAsia"/>
          <w:sz w:val="21"/>
          <w:szCs w:val="21"/>
          <w:u w:val="single"/>
        </w:rPr>
        <w:t xml:space="preserve"> </w:t>
      </w:r>
      <w:r>
        <w:rPr>
          <w:sz w:val="21"/>
          <w:szCs w:val="21"/>
          <w:u w:val="single"/>
        </w:rPr>
        <w:t xml:space="preserve">    </w:t>
      </w:r>
      <w:r/>
    </w:p>
    <w:p>
      <w:pPr>
        <w:pStyle w:val="1011"/>
        <w:ind w:firstLine="420"/>
        <w:spacing w:line="360" w:lineRule="auto"/>
        <w:rPr>
          <w:sz w:val="21"/>
          <w:szCs w:val="21"/>
          <w:u w:val="single"/>
        </w:rPr>
      </w:pPr>
      <w:r>
        <w:rPr>
          <w:sz w:val="21"/>
          <w:szCs w:val="21"/>
          <w:u w:val="single"/>
        </w:rPr>
      </w:r>
      <w:r/>
    </w:p>
    <w:p>
      <w:pPr>
        <w:pStyle w:val="1011"/>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hint="eastAsia" w:ascii="宋体" w:hAnsi="宋体" w:eastAsia="宋体"/>
          <w:bCs/>
          <w:lang w:eastAsia="zh-CN"/>
        </w:rPr>
      </w:pPr>
      <w:r>
        <w:rPr>
          <w:rFonts w:hint="eastAsia" w:ascii="宋体" w:hAnsi="宋体"/>
          <w:bCs/>
        </w:rPr>
        <w:t xml:space="preserve">被授权人身份证</w:t>
      </w:r>
      <w:r>
        <w:rPr>
          <w:rFonts w:hint="eastAsia" w:ascii="宋体" w:hAnsi="宋体"/>
          <w:bCs/>
          <w:lang w:eastAsia="zh-CN"/>
        </w:rPr>
        <w:t xml:space="preserve">原件扫描件</w:t>
      </w:r>
      <w:r/>
    </w:p>
    <w:p>
      <w:pPr>
        <w:pStyle w:val="811"/>
        <w:rPr>
          <w:rFonts w:ascii="宋体" w:hAnsi="宋体"/>
        </w:rPr>
      </w:pPr>
      <w:r>
        <w:rPr>
          <w:rFonts w:ascii="宋体" w:hAnsi="宋体"/>
        </w:rPr>
      </w:r>
      <w:r/>
    </w:p>
    <w:p>
      <w:pPr>
        <w:rPr>
          <w:rFonts w:ascii="宋体" w:hAnsi="宋体"/>
          <w:bCs/>
        </w:rPr>
      </w:pPr>
      <w:r>
        <w:rPr>
          <w:rFonts w:ascii="宋体" w:hAnsi="宋体"/>
          <w:bCs/>
        </w:rPr>
      </w:r>
      <w:r/>
    </w:p>
    <w:p>
      <w:pPr>
        <w:pStyle w:val="811"/>
        <w:rPr>
          <w:rFonts w:ascii="宋体" w:hAnsi="宋体"/>
        </w:rPr>
      </w:pPr>
      <w:r>
        <w:rPr>
          <w:rFonts w:ascii="宋体" w:hAnsi="宋体"/>
        </w:rPr>
      </w:r>
      <w:r/>
    </w:p>
    <w:p>
      <w:pPr>
        <w:rPr>
          <w:rFonts w:ascii="宋体" w:hAnsi="宋体"/>
          <w:bCs/>
        </w:rPr>
      </w:pPr>
      <w:r>
        <w:rPr>
          <w:rFonts w:ascii="宋体" w:hAnsi="宋体"/>
          <w:bCs/>
        </w:rPr>
      </w:r>
      <w:r/>
    </w:p>
    <w:p>
      <w:pPr>
        <w:pStyle w:val="811"/>
        <w:rPr>
          <w:rFonts w:ascii="宋体" w:hAnsi="宋体"/>
        </w:rPr>
      </w:pPr>
      <w:r>
        <w:rPr>
          <w:rFonts w:ascii="宋体" w:hAnsi="宋体"/>
        </w:rPr>
      </w:r>
      <w:r/>
    </w:p>
    <w:p>
      <w:pPr>
        <w:rPr>
          <w:rFonts w:ascii="宋体" w:hAnsi="宋体"/>
          <w:bCs/>
        </w:rPr>
      </w:pPr>
      <w:r>
        <w:rPr>
          <w:rFonts w:ascii="宋体" w:hAnsi="宋体"/>
          <w:bCs/>
        </w:rPr>
      </w:r>
      <w:r/>
    </w:p>
    <w:p>
      <w:r/>
      <w:r/>
    </w:p>
    <w:p>
      <w:pPr>
        <w:rPr>
          <w:rFonts w:ascii="宋体" w:hAnsi="宋体"/>
          <w:bCs/>
        </w:rPr>
      </w:pPr>
      <w:r>
        <w:rPr>
          <w:rFonts w:ascii="宋体" w:hAnsi="宋体"/>
          <w:bCs/>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hint="eastAsia" w:ascii="宋体" w:hAnsi="宋体"/>
          <w:b/>
          <w:bCs/>
          <w:szCs w:val="21"/>
        </w:rPr>
        <w:t xml:space="preserve">关联项目承诺书</w:t>
      </w:r>
      <w:r/>
    </w:p>
    <w:p>
      <w:pPr>
        <w:jc w:val="left"/>
        <w:rPr>
          <w:rFonts w:ascii="宋体" w:hAnsi="宋体" w:cs="宋体"/>
          <w:sz w:val="28"/>
          <w:szCs w:val="28"/>
        </w:rPr>
      </w:pPr>
      <w:r>
        <w:rPr>
          <w:rFonts w:ascii="宋体" w:hAnsi="宋体" w:cs="宋体"/>
          <w:sz w:val="28"/>
          <w:szCs w:val="28"/>
        </w:rPr>
      </w:r>
      <w:r/>
    </w:p>
    <w:p>
      <w:pPr>
        <w:jc w:val="left"/>
        <w:spacing w:line="360" w:lineRule="auto"/>
        <w:rPr>
          <w:rFonts w:ascii="宋体" w:hAnsi="宋体" w:cs="宋体"/>
          <w:szCs w:val="21"/>
        </w:rPr>
      </w:pPr>
      <w:r>
        <w:rPr>
          <w:rFonts w:hint="eastAsia" w:ascii="宋体" w:hAnsi="宋体" w:cs="宋体"/>
          <w:szCs w:val="21"/>
          <w:lang w:eastAsia="zh-CN"/>
        </w:rPr>
        <w:t xml:space="preserve">高邮市审计局</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szCs w:val="21"/>
        </w:rPr>
        <w:t xml:space="preserve">我方就“</w:t>
      </w:r>
      <w:r>
        <w:rPr>
          <w:rFonts w:hint="eastAsia" w:ascii="宋体" w:hAnsi="宋体" w:cs="宋体"/>
          <w:lang w:eastAsia="zh-CN"/>
        </w:rPr>
        <w:t xml:space="preserve">高邮市智创园建设项目跟踪审计服务</w:t>
      </w:r>
      <w:r>
        <w:rPr>
          <w:rFonts w:hint="eastAsia" w:ascii="宋体" w:hAnsi="宋体" w:cs="宋体"/>
          <w:szCs w:val="21"/>
        </w:rPr>
        <w:t xml:space="preserve">”投标活动，作如下承诺：</w:t>
      </w:r>
      <w:r/>
    </w:p>
    <w:p>
      <w:pPr>
        <w:ind w:firstLine="420"/>
        <w:spacing w:line="360" w:lineRule="auto"/>
        <w:rPr>
          <w:rFonts w:ascii="宋体" w:hAnsi="宋体" w:cs="宋体"/>
        </w:rPr>
      </w:pPr>
      <w:r>
        <w:rPr>
          <w:rFonts w:hint="eastAsia" w:ascii="宋体" w:hAnsi="宋体" w:cs="宋体"/>
          <w:b/>
          <w:bCs/>
          <w:szCs w:val="21"/>
        </w:rPr>
        <w:t xml:space="preserve">我单位未</w:t>
      </w:r>
      <w:r>
        <w:rPr>
          <w:rFonts w:hint="eastAsia" w:ascii="宋体" w:hAnsi="宋体" w:cs="宋体"/>
          <w:b/>
          <w:bCs/>
          <w:color w:val="000000"/>
          <w:szCs w:val="21"/>
        </w:rPr>
        <w:t xml:space="preserve">为</w:t>
      </w:r>
      <w:r>
        <w:rPr>
          <w:rFonts w:hint="eastAsia" w:ascii="宋体" w:hAnsi="宋体" w:cs="宋体"/>
          <w:lang w:eastAsia="zh-CN"/>
        </w:rPr>
        <w:t xml:space="preserve">高邮市智创园建设项目跟踪审计服务</w:t>
      </w:r>
      <w:r>
        <w:rPr>
          <w:rFonts w:hint="eastAsia" w:ascii="宋体" w:hAnsi="宋体" w:cs="宋体"/>
          <w:b/>
          <w:color w:val="000000"/>
          <w:szCs w:val="21"/>
        </w:rPr>
        <w:t xml:space="preserve">项目</w:t>
      </w:r>
      <w:r>
        <w:rPr>
          <w:rFonts w:hint="eastAsia" w:ascii="宋体" w:hAnsi="宋体" w:cs="宋体"/>
          <w:b/>
          <w:bCs/>
          <w:color w:val="000000"/>
          <w:szCs w:val="21"/>
        </w:rPr>
        <w:t xml:space="preserve">主</w:t>
      </w:r>
      <w:r>
        <w:rPr>
          <w:rFonts w:hint="eastAsia" w:ascii="宋体" w:hAnsi="宋体" w:cs="宋体"/>
          <w:b/>
          <w:bCs/>
          <w:szCs w:val="21"/>
        </w:rPr>
        <w:t xml:space="preserve">体工程提供</w:t>
      </w:r>
      <w:r>
        <w:rPr>
          <w:rFonts w:ascii="宋体" w:hAnsi="宋体" w:cs="宋体"/>
          <w:b/>
          <w:bCs/>
          <w:szCs w:val="21"/>
        </w:rPr>
        <w:t xml:space="preserve">项目管理、造价</w:t>
      </w:r>
      <w:r>
        <w:rPr>
          <w:rFonts w:hint="eastAsia" w:ascii="宋体" w:hAnsi="宋体" w:cs="宋体"/>
          <w:b/>
          <w:bCs/>
          <w:szCs w:val="21"/>
        </w:rPr>
        <w:t xml:space="preserve">咨</w:t>
      </w:r>
      <w:r>
        <w:rPr>
          <w:rFonts w:ascii="宋体" w:hAnsi="宋体" w:cs="宋体"/>
          <w:b/>
          <w:bCs/>
          <w:szCs w:val="21"/>
        </w:rPr>
        <w:t xml:space="preserve">询、招标代理</w:t>
      </w:r>
      <w:r>
        <w:rPr>
          <w:rFonts w:hint="eastAsia" w:ascii="宋体" w:hAnsi="宋体" w:cs="宋体"/>
          <w:b/>
          <w:bCs/>
          <w:szCs w:val="21"/>
        </w:rPr>
        <w:t xml:space="preserve">、</w:t>
      </w:r>
      <w:r>
        <w:rPr>
          <w:rFonts w:ascii="宋体" w:hAnsi="宋体" w:cs="宋体"/>
          <w:b/>
          <w:bCs/>
          <w:szCs w:val="21"/>
        </w:rPr>
        <w:t xml:space="preserve">工程监理</w:t>
      </w:r>
      <w:r>
        <w:rPr>
          <w:rFonts w:hint="eastAsia" w:ascii="宋体" w:hAnsi="宋体" w:cs="宋体"/>
          <w:b/>
          <w:bCs/>
          <w:szCs w:val="21"/>
        </w:rPr>
        <w:t xml:space="preserve">等服务。</w:t>
      </w:r>
      <w:r/>
    </w:p>
    <w:p>
      <w:pPr>
        <w:ind w:firstLine="480"/>
        <w:jc w:val="left"/>
        <w:spacing w:line="360" w:lineRule="auto"/>
        <w:rPr>
          <w:rFonts w:ascii="宋体" w:hAnsi="宋体" w:cs="宋体"/>
          <w:bCs/>
          <w:szCs w:val="21"/>
        </w:rPr>
      </w:pPr>
      <w:r>
        <w:rPr>
          <w:rFonts w:hint="eastAsia" w:ascii="宋体" w:hAnsi="宋体" w:cs="宋体"/>
          <w:bCs/>
          <w:szCs w:val="21"/>
        </w:rPr>
        <w:t xml:space="preserve">我方对承诺的真实性承担一切责任后果，若隐瞒事实，中标结果无效，且三年内不得再参与招标人类似的相关招投标活动。</w:t>
      </w:r>
      <w:r/>
    </w:p>
    <w:p>
      <w:pPr>
        <w:ind w:firstLine="420"/>
        <w:jc w:val="left"/>
        <w:spacing w:line="360" w:lineRule="auto"/>
        <w:rPr>
          <w:rFonts w:ascii="宋体" w:hAnsi="宋体" w:cs="宋体"/>
          <w:szCs w:val="21"/>
        </w:rPr>
      </w:pPr>
      <w:r>
        <w:rPr>
          <w:rFonts w:hint="eastAsia" w:ascii="宋体" w:hAnsi="宋体" w:cs="宋体"/>
          <w:szCs w:val="21"/>
        </w:rPr>
        <w:t xml:space="preserve">我方对承诺的真实性承担一切责任后果，若隐瞒事实，中标结果无效，且三年内不得再参与招标人类似的相关招投标活动。</w:t>
      </w:r>
      <w:r/>
    </w:p>
    <w:p>
      <w:pPr>
        <w:ind w:firstLine="420"/>
        <w:jc w:val="left"/>
        <w:spacing w:line="360" w:lineRule="auto"/>
        <w:rPr>
          <w:rFonts w:ascii="宋体" w:hAnsi="宋体" w:cs="宋体"/>
          <w:szCs w:val="21"/>
        </w:rPr>
      </w:pPr>
      <w:r>
        <w:rPr>
          <w:rFonts w:ascii="宋体" w:hAnsi="宋体" w:cs="宋体"/>
          <w:szCs w:val="21"/>
        </w:rPr>
      </w:r>
      <w:r/>
    </w:p>
    <w:p>
      <w:pPr>
        <w:pStyle w:val="1019"/>
        <w:ind w:firstLine="420"/>
        <w:jc w:val="right"/>
      </w:pPr>
      <w:r/>
      <w:r/>
    </w:p>
    <w:p>
      <w:pPr>
        <w:ind w:firstLine="420"/>
        <w:jc w:val="center"/>
        <w:spacing w:line="360" w:lineRule="auto"/>
        <w:rPr>
          <w:rFonts w:ascii="宋体" w:hAnsi="宋体" w:cs="宋体"/>
          <w:szCs w:val="21"/>
        </w:rPr>
      </w:pPr>
      <w:r>
        <w:rPr>
          <w:rFonts w:hint="eastAsia" w:ascii="宋体" w:hAnsi="宋体" w:cs="宋体"/>
          <w:szCs w:val="21"/>
        </w:rPr>
        <w:t xml:space="preserve">        承诺单位（盖章）：</w:t>
      </w:r>
      <w:r/>
    </w:p>
    <w:p>
      <w:pPr>
        <w:pStyle w:val="844"/>
      </w:pPr>
      <w:r/>
      <w:r/>
    </w:p>
    <w:p>
      <w:pPr>
        <w:ind w:firstLine="420"/>
        <w:jc w:val="center"/>
        <w:spacing w:line="360" w:lineRule="auto"/>
        <w:rPr>
          <w:rFonts w:ascii="宋体" w:hAnsi="宋体" w:cs="宋体"/>
          <w:szCs w:val="21"/>
        </w:rPr>
      </w:pPr>
      <w:r>
        <w:rPr>
          <w:rFonts w:hint="eastAsia" w:ascii="宋体" w:hAnsi="宋体" w:cs="宋体"/>
          <w:szCs w:val="21"/>
        </w:rPr>
        <w:t xml:space="preserve">法定代表人（签字并盖章）：</w:t>
      </w:r>
      <w:r/>
    </w:p>
    <w:p>
      <w:pPr>
        <w:pStyle w:val="844"/>
      </w:pPr>
      <w:r/>
      <w:r/>
    </w:p>
    <w:p>
      <w:pPr>
        <w:ind w:firstLine="630"/>
        <w:jc w:val="center"/>
        <w:spacing w:line="360" w:lineRule="auto"/>
        <w:rPr>
          <w:rFonts w:ascii="宋体" w:hAnsi="宋体" w:cs="宋体"/>
          <w:szCs w:val="21"/>
        </w:rPr>
      </w:pPr>
      <w:r>
        <w:rPr>
          <w:rFonts w:hint="eastAsia" w:ascii="宋体" w:hAnsi="宋体" w:cs="宋体"/>
          <w:szCs w:val="21"/>
        </w:rPr>
        <w:t xml:space="preserve">             日期:    年    月    日</w:t>
      </w:r>
      <w:r/>
    </w:p>
    <w:p>
      <w:pPr>
        <w:pStyle w:val="844"/>
        <w:rPr>
          <w:rFonts w:hAnsi="宋体" w:cs="宋体"/>
          <w:szCs w:val="21"/>
        </w:rPr>
      </w:pPr>
      <w:r>
        <w:rPr>
          <w:rFonts w:hAnsi="宋体" w:cs="宋体"/>
          <w:szCs w:val="21"/>
        </w:rPr>
      </w:r>
      <w:r/>
    </w:p>
    <w:p>
      <w:pPr>
        <w:pStyle w:val="845"/>
        <w:rPr>
          <w:rFonts w:hAnsi="宋体" w:cs="宋体"/>
          <w:szCs w:val="21"/>
          <w:lang w:eastAsia="zh-CN"/>
        </w:rPr>
      </w:pPr>
      <w:r>
        <w:rPr>
          <w:rFonts w:hAnsi="宋体" w:cs="宋体"/>
          <w:szCs w:val="21"/>
          <w:lang w:eastAsia="zh-CN"/>
        </w:rPr>
      </w:r>
      <w:r/>
    </w:p>
    <w:p>
      <w:pPr>
        <w:pStyle w:val="846"/>
        <w:rPr>
          <w:rFonts w:ascii="宋体" w:cs="宋体"/>
          <w:szCs w:val="21"/>
        </w:rPr>
        <w:outlineLvl w:val="9"/>
      </w:pPr>
      <w:r>
        <w:rPr>
          <w:rFonts w:ascii="宋体" w:cs="宋体"/>
          <w:szCs w:val="21"/>
        </w:rPr>
      </w:r>
      <w:r/>
    </w:p>
    <w:p>
      <w:pPr>
        <w:pStyle w:val="848"/>
        <w:rPr>
          <w:rFonts w:hAnsi="宋体" w:cs="宋体"/>
          <w:szCs w:val="21"/>
        </w:rPr>
      </w:pPr>
      <w:r>
        <w:rPr>
          <w:rFonts w:hAnsi="宋体" w:cs="宋体"/>
          <w:szCs w:val="21"/>
        </w:rPr>
      </w:r>
      <w:r/>
    </w:p>
    <w:p>
      <w:pPr>
        <w:rPr>
          <w:rFonts w:ascii="宋体" w:hAnsi="宋体" w:cs="宋体"/>
          <w:szCs w:val="21"/>
        </w:rPr>
      </w:pPr>
      <w:r>
        <w:rPr>
          <w:rFonts w:ascii="宋体" w:hAnsi="宋体" w:cs="宋体"/>
          <w:szCs w:val="21"/>
        </w:rPr>
      </w:r>
      <w:r/>
    </w:p>
    <w:p>
      <w:pPr>
        <w:pStyle w:val="844"/>
        <w:rPr>
          <w:rFonts w:hAnsi="宋体" w:cs="宋体"/>
          <w:szCs w:val="21"/>
        </w:rPr>
      </w:pPr>
      <w:r>
        <w:rPr>
          <w:rFonts w:hAnsi="宋体" w:cs="宋体"/>
          <w:szCs w:val="21"/>
        </w:rPr>
      </w:r>
      <w:r/>
    </w:p>
    <w:p>
      <w:pPr>
        <w:pStyle w:val="845"/>
        <w:rPr>
          <w:rFonts w:hAnsi="宋体" w:cs="宋体"/>
          <w:szCs w:val="21"/>
          <w:lang w:eastAsia="zh-CN"/>
        </w:rPr>
      </w:pPr>
      <w:r>
        <w:rPr>
          <w:rFonts w:hAnsi="宋体" w:cs="宋体"/>
          <w:szCs w:val="21"/>
          <w:lang w:eastAsia="zh-CN"/>
        </w:rPr>
      </w:r>
      <w:r/>
    </w:p>
    <w:p>
      <w:pPr>
        <w:pStyle w:val="846"/>
        <w:rPr>
          <w:rFonts w:ascii="宋体" w:cs="宋体"/>
          <w:szCs w:val="21"/>
        </w:rPr>
        <w:outlineLvl w:val="9"/>
      </w:pPr>
      <w:r>
        <w:rPr>
          <w:rFonts w:ascii="宋体" w:cs="宋体"/>
          <w:szCs w:val="21"/>
        </w:rPr>
      </w:r>
      <w:r/>
    </w:p>
    <w:p>
      <w:pPr>
        <w:pStyle w:val="848"/>
        <w:rPr>
          <w:rFonts w:hAnsi="宋体" w:cs="宋体"/>
          <w:szCs w:val="21"/>
        </w:rPr>
      </w:pPr>
      <w:r>
        <w:rPr>
          <w:rFonts w:hAnsi="宋体" w:cs="宋体"/>
          <w:szCs w:val="21"/>
        </w:rPr>
      </w:r>
      <w:r/>
    </w:p>
    <w:p>
      <w:pPr>
        <w:rPr>
          <w:rFonts w:ascii="宋体" w:hAnsi="宋体" w:cs="宋体"/>
          <w:szCs w:val="21"/>
        </w:rPr>
      </w:pPr>
      <w:r>
        <w:rPr>
          <w:rFonts w:ascii="宋体" w:hAnsi="宋体" w:cs="宋体"/>
          <w:szCs w:val="21"/>
        </w:rPr>
      </w:r>
      <w:r/>
    </w:p>
    <w:p>
      <w:pPr>
        <w:pStyle w:val="844"/>
        <w:rPr>
          <w:rFonts w:hAnsi="宋体" w:cs="宋体"/>
          <w:szCs w:val="21"/>
        </w:rPr>
      </w:pPr>
      <w:r>
        <w:rPr>
          <w:rFonts w:hAnsi="宋体" w:cs="宋体"/>
          <w:szCs w:val="21"/>
        </w:rPr>
      </w:r>
      <w:r/>
    </w:p>
    <w:p>
      <w:pPr>
        <w:pStyle w:val="845"/>
        <w:rPr>
          <w:rFonts w:hAnsi="宋体" w:cs="宋体"/>
          <w:szCs w:val="21"/>
          <w:lang w:eastAsia="zh-CN"/>
        </w:rPr>
      </w:pPr>
      <w:r>
        <w:rPr>
          <w:rFonts w:hAnsi="宋体" w:cs="宋体"/>
          <w:szCs w:val="21"/>
          <w:lang w:eastAsia="zh-CN"/>
        </w:rPr>
      </w:r>
      <w:r/>
    </w:p>
    <w:p>
      <w:pPr>
        <w:pStyle w:val="846"/>
        <w:rPr>
          <w:rFonts w:ascii="宋体" w:cs="宋体"/>
          <w:szCs w:val="21"/>
        </w:rPr>
        <w:outlineLvl w:val="9"/>
      </w:pPr>
      <w:r>
        <w:rPr>
          <w:rFonts w:ascii="宋体" w:cs="宋体"/>
          <w:szCs w:val="21"/>
        </w:rPr>
      </w:r>
      <w:r/>
    </w:p>
    <w:p>
      <w:pPr>
        <w:pStyle w:val="848"/>
        <w:rPr>
          <w:rFonts w:hAnsi="宋体" w:cs="宋体"/>
          <w:szCs w:val="21"/>
        </w:rPr>
      </w:pPr>
      <w:r>
        <w:rPr>
          <w:rFonts w:hAnsi="宋体" w:cs="宋体"/>
          <w:szCs w:val="21"/>
        </w:rPr>
      </w:r>
      <w:r/>
    </w:p>
    <w:p>
      <w:pPr>
        <w:rPr>
          <w:rFonts w:hAnsi="宋体" w:cs="宋体"/>
          <w:szCs w:val="21"/>
        </w:rPr>
      </w:pPr>
      <w:r>
        <w:rPr>
          <w:rFonts w:hAnsi="宋体" w:cs="宋体"/>
          <w:szCs w:val="21"/>
        </w:rPr>
      </w:r>
      <w:r/>
    </w:p>
    <w:p>
      <w:pPr>
        <w:pStyle w:val="814"/>
      </w:pPr>
      <w:r/>
      <w:r/>
    </w:p>
    <w:p>
      <w:pPr>
        <w:rPr>
          <w:rFonts w:ascii="宋体" w:hAnsi="宋体" w:cs="宋体"/>
          <w:szCs w:val="21"/>
        </w:rPr>
      </w:pPr>
      <w:r>
        <w:rPr>
          <w:rFonts w:ascii="宋体" w:hAnsi="宋体" w:cs="宋体"/>
          <w:szCs w:val="21"/>
        </w:rPr>
      </w:r>
      <w:r/>
    </w:p>
    <w:p>
      <w:pPr>
        <w:jc w:val="left"/>
        <w:widowControl/>
        <w:rPr>
          <w:rFonts w:ascii="宋体"/>
          <w:sz w:val="24"/>
          <w:szCs w:val="20"/>
        </w:rPr>
      </w:pPr>
      <w:r>
        <w:br w:type="page" w:clear="all"/>
      </w:r>
      <w:r/>
    </w:p>
    <w:p>
      <w:pPr>
        <w:jc w:val="center"/>
        <w:spacing w:line="360" w:lineRule="auto"/>
        <w:rPr>
          <w:rFonts w:ascii="宋体" w:hAnsi="宋体"/>
          <w:b/>
          <w:bCs/>
          <w:sz w:val="32"/>
        </w:rPr>
      </w:pPr>
      <w:r>
        <w:rPr>
          <w:rFonts w:hint="eastAsia" w:ascii="宋体" w:hAnsi="宋体"/>
          <w:b/>
          <w:bCs/>
          <w:sz w:val="32"/>
        </w:rPr>
        <w:t xml:space="preserve">驻场服务承诺</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 w:val="24"/>
          <w:szCs w:val="21"/>
        </w:rPr>
      </w:pPr>
      <w:r>
        <w:rPr>
          <w:rFonts w:hint="eastAsia" w:ascii="宋体" w:hAnsi="宋体" w:cs="宋体"/>
          <w:sz w:val="24"/>
          <w:szCs w:val="21"/>
          <w:lang w:eastAsia="zh-CN"/>
        </w:rPr>
        <w:t xml:space="preserve">高邮市审计局</w:t>
      </w:r>
      <w:r>
        <w:rPr>
          <w:rFonts w:hint="eastAsia" w:ascii="宋体" w:hAnsi="宋体" w:cs="宋体"/>
          <w:sz w:val="24"/>
          <w:szCs w:val="21"/>
        </w:rPr>
        <w:t xml:space="preserve">：</w:t>
      </w:r>
      <w:r/>
    </w:p>
    <w:p>
      <w:pPr>
        <w:ind w:firstLine="470"/>
        <w:spacing w:line="360" w:lineRule="auto"/>
        <w:rPr>
          <w:rFonts w:ascii="宋体" w:hAnsi="宋体" w:cs="宋体"/>
          <w:color w:val="000000"/>
          <w:sz w:val="24"/>
          <w:szCs w:val="21"/>
        </w:rPr>
      </w:pPr>
      <w:r>
        <w:rPr>
          <w:rFonts w:hint="eastAsia" w:ascii="宋体" w:hAnsi="宋体" w:cs="宋体"/>
          <w:color w:val="000000"/>
          <w:sz w:val="24"/>
          <w:szCs w:val="21"/>
        </w:rPr>
        <w:t xml:space="preserve">我公司已认真阅读招标文件，完全理解并接受招标文件中关于驻场服务的要求，现就驻场服务作如下承诺：</w:t>
      </w:r>
      <w:r/>
    </w:p>
    <w:p>
      <w:pPr>
        <w:ind w:firstLine="470"/>
        <w:spacing w:line="360" w:lineRule="auto"/>
        <w:rPr>
          <w:rFonts w:ascii="宋体" w:hAnsi="宋体" w:cs="宋体"/>
          <w:color w:val="000000"/>
          <w:sz w:val="24"/>
          <w:szCs w:val="21"/>
        </w:rPr>
      </w:pPr>
      <w:r>
        <w:rPr>
          <w:rFonts w:hint="eastAsia" w:ascii="宋体" w:hAnsi="宋体" w:cs="宋体"/>
          <w:color w:val="000000"/>
          <w:sz w:val="24"/>
          <w:szCs w:val="21"/>
        </w:rPr>
        <w:t xml:space="preserve">我公司如果中标，将严格执行招标文件中关于驻场服务的要求，我公司投标文件中所列项目组成员（除项目负责人）</w:t>
      </w:r>
      <w:r>
        <w:rPr>
          <w:rFonts w:hint="eastAsia" w:ascii="宋体" w:hAnsi="宋体" w:cs="宋体"/>
          <w:b/>
          <w:i/>
          <w:color w:val="0000ff"/>
          <w:sz w:val="24"/>
          <w:szCs w:val="21"/>
        </w:rPr>
        <w:t xml:space="preserve">至少2人每周驻场时间不得少于4天</w:t>
      </w:r>
      <w:r>
        <w:rPr>
          <w:rFonts w:hint="eastAsia" w:ascii="宋体" w:hAnsi="宋体" w:cs="宋体"/>
          <w:color w:val="000000"/>
          <w:sz w:val="24"/>
          <w:szCs w:val="21"/>
        </w:rPr>
        <w:t xml:space="preserve">。在履约过程中，接受采购人采用人脸识别系统或其他有效手段对我公司驻场服务情况进行考勤。若未按要求进行全程驻场服务，即视为我公司失信违约，无条件接受采购人扣减我公司的服务费用，如果出现三次考勤不合格，我公司无条件接受采购人解除采购合同的决定，承担相应违约责任和因此而造成的经济损失并及时做好相关工作的交接。同时，我公司无条件接受采购人将违约情况通报相关行业主管和监管部门和将失信行为推送给社会信用体系，纳入红黑名单管理的做法。</w:t>
      </w:r>
      <w:r/>
    </w:p>
    <w:p>
      <w:pPr>
        <w:ind w:firstLine="211"/>
        <w:spacing w:line="360" w:lineRule="auto"/>
        <w:rPr>
          <w:rFonts w:ascii="宋体"/>
          <w:b/>
          <w:szCs w:val="21"/>
        </w:rPr>
      </w:pPr>
      <w:r>
        <w:rPr>
          <w:rFonts w:ascii="宋体"/>
          <w:b/>
          <w:szCs w:val="21"/>
        </w:rPr>
      </w:r>
      <w:r/>
    </w:p>
    <w:p>
      <w:pPr>
        <w:ind w:firstLine="480"/>
        <w:jc w:val="left"/>
        <w:spacing w:line="360" w:lineRule="auto"/>
        <w:rPr>
          <w:sz w:val="24"/>
        </w:rPr>
      </w:pPr>
      <w:r>
        <w:rPr>
          <w:rFonts w:hint="eastAsia"/>
          <w:sz w:val="24"/>
        </w:rPr>
        <w:t xml:space="preserve">投标人：（单位公章）</w:t>
      </w:r>
      <w:r/>
    </w:p>
    <w:p>
      <w:pPr>
        <w:pStyle w:val="844"/>
      </w:pPr>
      <w:r/>
      <w:r/>
    </w:p>
    <w:p>
      <w:pPr>
        <w:ind w:firstLine="480"/>
        <w:jc w:val="left"/>
        <w:spacing w:line="360" w:lineRule="auto"/>
        <w:rPr>
          <w:sz w:val="24"/>
        </w:rPr>
      </w:pPr>
      <w:r>
        <w:rPr>
          <w:rFonts w:hint="eastAsia"/>
          <w:sz w:val="24"/>
        </w:rPr>
        <w:t xml:space="preserve">法定代表人</w:t>
      </w:r>
      <w:r>
        <w:rPr>
          <w:rFonts w:hint="eastAsia" w:ascii="宋体" w:hAnsi="宋体"/>
          <w:bCs/>
          <w:sz w:val="24"/>
        </w:rPr>
        <w:t xml:space="preserve">（投标单位负责人）</w:t>
      </w:r>
      <w:r>
        <w:rPr>
          <w:rFonts w:hint="eastAsia"/>
          <w:sz w:val="24"/>
        </w:rPr>
        <w:t xml:space="preserve">（签字）：</w:t>
      </w:r>
      <w:r/>
    </w:p>
    <w:p>
      <w:pPr>
        <w:pStyle w:val="844"/>
      </w:pPr>
      <w:r/>
      <w:r/>
    </w:p>
    <w:p>
      <w:pPr>
        <w:ind w:firstLine="480"/>
        <w:jc w:val="left"/>
        <w:spacing w:line="360" w:lineRule="auto"/>
        <w:rPr>
          <w:sz w:val="24"/>
        </w:rPr>
      </w:pPr>
      <w:r>
        <w:rPr>
          <w:rFonts w:hint="eastAsia"/>
          <w:sz w:val="24"/>
        </w:rPr>
        <w:t xml:space="preserve">日期：</w:t>
      </w:r>
      <w:r/>
    </w:p>
    <w:p>
      <w:pPr>
        <w:pStyle w:val="848"/>
      </w:pPr>
      <w:r/>
      <w:r/>
    </w:p>
    <w:p>
      <w:r/>
      <w:r/>
    </w:p>
    <w:p>
      <w:r/>
      <w:r/>
    </w:p>
    <w:p>
      <w:r/>
      <w:r/>
    </w:p>
    <w:p>
      <w:r/>
      <w:r/>
    </w:p>
    <w:p>
      <w:r/>
      <w:r/>
    </w:p>
    <w:p>
      <w:r/>
      <w:r/>
    </w:p>
    <w:p>
      <w:r/>
      <w:r/>
    </w:p>
    <w:p>
      <w:r/>
      <w:r/>
    </w:p>
    <w:p>
      <w:r/>
      <w:r/>
    </w:p>
    <w:p>
      <w:r/>
      <w:r/>
    </w:p>
    <w:p>
      <w:pPr>
        <w:jc w:val="left"/>
        <w:tabs>
          <w:tab w:val="left" w:pos="1213" w:leader="none"/>
        </w:tabs>
        <w:sectPr>
          <w:footnotePr/>
          <w:endnotePr/>
          <w:type w:val="nextPage"/>
          <w:pgSz w:w="11906" w:h="16838" w:orient="portrait"/>
          <w:pgMar w:top="1440" w:right="1440" w:bottom="1440" w:left="1440" w:header="851" w:footer="850" w:gutter="0"/>
          <w:cols w:num="1" w:sep="0" w:space="1701" w:equalWidth="1"/>
          <w:docGrid w:linePitch="360"/>
        </w:sectPr>
      </w:pPr>
      <w:r>
        <w:rPr>
          <w:rFonts w:hint="eastAsia"/>
        </w:rPr>
        <w:tab/>
      </w:r>
      <w:r/>
    </w:p>
    <w:p>
      <w:pPr>
        <w:jc w:val="center"/>
        <w:spacing w:before="240" w:line="360" w:lineRule="auto"/>
        <w:rPr>
          <w:rFonts w:ascii="宋体" w:hAnsi="宋体"/>
          <w:b/>
          <w:sz w:val="32"/>
          <w:szCs w:val="32"/>
        </w:rPr>
      </w:pPr>
      <w:r/>
      <w:bookmarkStart w:id="402" w:name="_Toc138777691"/>
      <w:r>
        <w:rPr>
          <w:rFonts w:hint="eastAsia" w:ascii="宋体" w:hAnsi="宋体"/>
          <w:b/>
          <w:sz w:val="32"/>
          <w:szCs w:val="32"/>
        </w:rPr>
        <w:t xml:space="preserve">二、符合性审查响应对照表</w:t>
      </w:r>
      <w:bookmarkEnd w:id="402"/>
      <w:r/>
      <w:r/>
    </w:p>
    <w:tbl>
      <w:tblPr>
        <w:tblStyle w:val="813"/>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16"/>
        <w:gridCol w:w="1747"/>
        <w:gridCol w:w="1154"/>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21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747"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154"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216"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747" w:type="dxa"/>
            <w:vAlign w:val="center"/>
            <w:textDirection w:val="lrTb"/>
            <w:noWrap w:val="false"/>
          </w:tcPr>
          <w:p>
            <w:pPr>
              <w:rPr>
                <w:rFonts w:ascii="宋体" w:hAnsi="宋体"/>
                <w:b/>
                <w:szCs w:val="21"/>
              </w:rPr>
            </w:pPr>
            <w:r>
              <w:rPr>
                <w:rFonts w:ascii="宋体" w:hAnsi="宋体"/>
                <w:b/>
                <w:szCs w:val="21"/>
              </w:rPr>
            </w:r>
            <w:r/>
          </w:p>
        </w:tc>
        <w:tc>
          <w:tcPr>
            <w:tcW w:w="1154"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jc w:val="center"/>
        <w:spacing w:before="240" w:line="360" w:lineRule="auto"/>
        <w:rPr>
          <w:rFonts w:ascii="宋体" w:hAnsi="宋体"/>
          <w:b/>
          <w:sz w:val="32"/>
          <w:szCs w:val="32"/>
        </w:rPr>
      </w:pPr>
      <w:r/>
      <w:bookmarkStart w:id="403" w:name="_Toc138777692"/>
      <w:r/>
      <w:r/>
    </w:p>
    <w:p>
      <w:pPr>
        <w:jc w:val="center"/>
        <w:spacing w:before="240" w:line="360" w:lineRule="auto"/>
        <w:rPr>
          <w:rFonts w:ascii="宋体" w:hAnsi="宋体"/>
          <w:b/>
          <w:sz w:val="32"/>
          <w:szCs w:val="32"/>
        </w:rPr>
      </w:pPr>
      <w:r>
        <w:rPr>
          <w:rFonts w:hint="eastAsia" w:ascii="宋体" w:hAnsi="宋体"/>
          <w:b/>
          <w:sz w:val="32"/>
          <w:szCs w:val="32"/>
        </w:rPr>
        <w:t xml:space="preserve">三、非实质性响应对照表</w:t>
      </w:r>
      <w:bookmarkEnd w:id="403"/>
      <w:r/>
      <w:r/>
    </w:p>
    <w:tbl>
      <w:tblPr>
        <w:tblStyle w:val="813"/>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rPr>
      </w:pPr>
      <w:r>
        <w:rPr>
          <w:b/>
          <w:bCs/>
        </w:rPr>
      </w:r>
      <w:r/>
    </w:p>
    <w:p>
      <w:pPr>
        <w:jc w:val="center"/>
        <w:spacing w:before="312" w:after="312" w:line="360" w:lineRule="auto"/>
        <w:rPr>
          <w:b/>
          <w:bCs/>
        </w:rPr>
      </w:pPr>
      <w:r>
        <w:rPr>
          <w:rFonts w:hint="eastAsia"/>
          <w:b/>
          <w:bCs/>
        </w:rPr>
        <w:t xml:space="preserve">中小企业声明函（工程、服务）</w:t>
      </w:r>
      <w:r/>
    </w:p>
    <w:p>
      <w:pPr>
        <w:ind w:firstLine="420"/>
        <w:jc w:val="left"/>
        <w:spacing w:line="420" w:lineRule="exact"/>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20" w:lineRule="exact"/>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（租赁和商务服务业）</w:t>
      </w:r>
      <w:r>
        <w:rPr>
          <w:rFonts w:hint="eastAsia" w:ascii="宋体" w:hAnsi="宋体"/>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（租赁和商务服务业）（不得对行业类别修改）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420" w:lineRule="exact"/>
      </w:pPr>
      <w:r>
        <w:rPr>
          <w:rFonts w:hint="eastAsia"/>
        </w:rPr>
        <w:t xml:space="preserve">……</w:t>
      </w:r>
      <w:r/>
    </w:p>
    <w:p>
      <w:pPr>
        <w:ind w:firstLine="420"/>
        <w:jc w:val="left"/>
        <w:spacing w:line="42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20" w:lineRule="exact"/>
      </w:pPr>
      <w:r>
        <w:rPr>
          <w:rFonts w:hint="eastAsia"/>
        </w:rPr>
        <w:t xml:space="preserve">本企业对上述声明内容的真实性负责。如有虚假，将依法承担相应责任。</w:t>
      </w:r>
      <w:r/>
    </w:p>
    <w:p>
      <w:pPr>
        <w:ind w:firstLine="420"/>
        <w:jc w:val="left"/>
        <w:spacing w:line="420" w:lineRule="exact"/>
      </w:pPr>
      <w:r/>
      <w:r/>
    </w:p>
    <w:p>
      <w:pPr>
        <w:spacing w:line="420" w:lineRule="exact"/>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420" w:lineRule="exact"/>
        <w:rPr>
          <w:rFonts w:ascii="宋体" w:hAnsi="宋体"/>
        </w:rPr>
      </w:pPr>
      <w:r>
        <w:rPr>
          <w:rFonts w:hint="eastAsia" w:ascii="宋体" w:hAnsi="宋体"/>
        </w:rPr>
        <w:t xml:space="preserve">2、供应商如不提供此声明函，价格将不做相应扣除。</w:t>
      </w:r>
      <w:r/>
    </w:p>
    <w:p>
      <w:pPr>
        <w:spacing w:line="420" w:lineRule="exact"/>
        <w:rPr>
          <w:rFonts w:ascii="宋体" w:hAnsi="宋体"/>
        </w:rPr>
      </w:pPr>
      <w:r>
        <w:rPr>
          <w:rFonts w:hint="eastAsia" w:ascii="宋体" w:hAnsi="宋体"/>
        </w:rPr>
        <w:t xml:space="preserve">    3、企业声明函请完整填写，中标后将公示。</w:t>
      </w:r>
      <w:r/>
    </w:p>
    <w:p>
      <w:pPr>
        <w:ind w:firstLine="420"/>
        <w:jc w:val="left"/>
        <w:spacing w:line="420" w:lineRule="exact"/>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pPr>
      <w:r>
        <w:rPr>
          <w:rFonts w:hint="eastAsia"/>
        </w:rPr>
        <w:t xml:space="preserve">5、中小企业不得属于大企业的分支机构，不得存在控股股东为大企业的情形，不得存在与大企业的负责人为同一人的情形。</w:t>
      </w:r>
      <w:r/>
    </w:p>
    <w:p>
      <w:pPr>
        <w:ind w:firstLine="420"/>
        <w:jc w:val="left"/>
        <w:spacing w:line="420" w:lineRule="exact"/>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20" w:lineRule="exact"/>
      </w:pPr>
      <w:r>
        <w:rPr>
          <w:rFonts w:hint="eastAsia"/>
        </w:rPr>
        <w:t xml:space="preserve">企业名称（盖章）：</w:t>
      </w:r>
      <w:r/>
    </w:p>
    <w:p>
      <w:pPr>
        <w:ind w:firstLine="4620"/>
        <w:jc w:val="left"/>
        <w:spacing w:line="420" w:lineRule="exact"/>
        <w:rPr>
          <w:rFonts w:ascii="宋体" w:hAnsi="宋体" w:cs="微软雅黑"/>
          <w:bCs/>
          <w:color w:val="333333"/>
          <w:szCs w:val="21"/>
        </w:rPr>
      </w:pPr>
      <w:r>
        <w:rPr>
          <w:rFonts w:hint="eastAsia"/>
        </w:rPr>
        <w:t xml:space="preserve">日 期：</w:t>
      </w:r>
      <w:r/>
    </w:p>
    <w:p>
      <w:pPr>
        <w:jc w:val="center"/>
        <w:rPr>
          <w:rFonts w:hint="eastAsia" w:ascii="宋体" w:hAnsi="宋体"/>
          <w:b/>
          <w:bCs/>
          <w:sz w:val="24"/>
          <w:szCs w:val="24"/>
        </w:rPr>
      </w:pPr>
      <w:r/>
      <w:bookmarkStart w:id="404" w:name="_Toc138777693"/>
      <w:r/>
      <w:r/>
    </w:p>
    <w:p>
      <w:pPr>
        <w:jc w:val="center"/>
        <w:rPr>
          <w:rFonts w:hint="eastAsia" w:ascii="宋体" w:hAnsi="宋体"/>
          <w:b/>
          <w:bCs/>
          <w:sz w:val="24"/>
          <w:szCs w:val="24"/>
        </w:rPr>
      </w:pPr>
      <w:r>
        <w:rPr>
          <w:rFonts w:hint="eastAsia" w:ascii="宋体" w:hAnsi="宋体"/>
          <w:b/>
          <w:bCs/>
          <w:sz w:val="24"/>
          <w:szCs w:val="24"/>
        </w:rPr>
      </w:r>
      <w:r/>
    </w:p>
    <w:p>
      <w:pPr>
        <w:jc w:val="center"/>
        <w:rPr>
          <w:rFonts w:ascii="宋体" w:hAnsi="宋体"/>
          <w:b/>
          <w:bCs/>
          <w:sz w:val="24"/>
          <w:szCs w:val="24"/>
        </w:rPr>
      </w:pPr>
      <w:r>
        <w:rPr>
          <w:rFonts w:hint="eastAsia" w:ascii="宋体" w:hAnsi="宋体"/>
          <w:b/>
          <w:bCs/>
          <w:sz w:val="24"/>
          <w:szCs w:val="24"/>
        </w:rPr>
        <w:t xml:space="preserve">中小微企业划型标准</w:t>
      </w:r>
      <w:bookmarkEnd w:id="404"/>
      <w:r/>
      <w:r/>
    </w:p>
    <w:p>
      <w:pPr>
        <w:pStyle w:val="836"/>
        <w:ind w:firstLine="420"/>
        <w:spacing w:line="360" w:lineRule="auto"/>
        <w:widowControl/>
        <w:rPr>
          <w:rFonts w:ascii="宋体" w:hAnsi="宋体" w:cs="仿宋"/>
          <w:color w:val="666666"/>
          <w:sz w:val="21"/>
          <w:szCs w:val="21"/>
        </w:rPr>
      </w:pPr>
      <w:r>
        <w:rPr>
          <w:rFonts w:ascii="宋体" w:hAnsi="宋体" w:cs="仿宋"/>
          <w:color w:val="666666"/>
          <w:sz w:val="21"/>
          <w:szCs w:val="21"/>
        </w:rPr>
      </w:r>
      <w:r/>
    </w:p>
    <w:p>
      <w:pPr>
        <w:pStyle w:val="836"/>
        <w:ind w:firstLine="420"/>
        <w:spacing w:line="360" w:lineRule="auto"/>
        <w:widowControl/>
        <w:rPr>
          <w:rStyle w:val="839"/>
          <w:rFonts w:ascii="宋体" w:hAnsi="宋体" w:cs="仿宋"/>
          <w:color w:val="666666"/>
          <w:sz w:val="21"/>
          <w:szCs w:val="21"/>
        </w:rPr>
      </w:pPr>
      <w:r>
        <w:rPr>
          <w:rStyle w:val="839"/>
          <w:rFonts w:hint="eastAsia" w:ascii="宋体" w:hAnsi="宋体" w:cs="仿宋"/>
          <w:color w:val="666666"/>
          <w:sz w:val="21"/>
          <w:szCs w:val="21"/>
        </w:rPr>
        <w:t xml:space="preserve">中小微企业划型标准如下：</w:t>
      </w:r>
      <w:r/>
    </w:p>
    <w:tbl>
      <w:tblPr>
        <w:tblStyle w:val="813"/>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36"/>
              <w:jc w:val="center"/>
              <w:rPr>
                <w:rFonts w:ascii="宋体" w:hAnsi="宋体"/>
                <w:sz w:val="21"/>
              </w:rPr>
            </w:pPr>
            <w:r>
              <w:rPr>
                <w:rStyle w:val="839"/>
                <w:rFonts w:hint="eastAsia" w:ascii="宋体" w:hAnsi="宋体" w:cs="宋体"/>
                <w:sz w:val="21"/>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jc w:val="center"/>
              <w:rPr>
                <w:rFonts w:ascii="宋体" w:hAnsi="宋体"/>
                <w:sz w:val="21"/>
              </w:rPr>
            </w:pPr>
            <w:r>
              <w:rPr>
                <w:rStyle w:val="839"/>
                <w:rFonts w:hint="eastAsia" w:ascii="宋体" w:hAnsi="宋体" w:cs="宋体"/>
                <w:sz w:val="21"/>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jc w:val="center"/>
              <w:rPr>
                <w:rFonts w:ascii="宋体" w:hAnsi="宋体"/>
                <w:sz w:val="21"/>
              </w:rPr>
            </w:pPr>
            <w:r>
              <w:rPr>
                <w:rStyle w:val="839"/>
                <w:rFonts w:hint="eastAsia" w:ascii="宋体" w:hAnsi="宋体" w:cs="宋体"/>
                <w:sz w:val="21"/>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宋体"/>
                <w:sz w:val="21"/>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宋体"/>
                <w:sz w:val="21"/>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36"/>
              <w:jc w:val="center"/>
              <w:rPr>
                <w:rFonts w:ascii="宋体" w:hAnsi="宋体"/>
                <w:sz w:val="21"/>
              </w:rPr>
            </w:pPr>
            <w:r>
              <w:rPr>
                <w:rStyle w:val="839"/>
                <w:rFonts w:hint="eastAsia" w:ascii="宋体" w:hAnsi="宋体" w:cs="宋体"/>
                <w:sz w:val="21"/>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500≤Y</w:t>
            </w:r>
            <w:r>
              <w:rPr>
                <w:rStyle w:val="839"/>
                <w:rFonts w:hint="eastAsia" w:ascii="宋体" w:hAnsi="宋体" w:cs="宋体"/>
                <w:sz w:val="21"/>
              </w:rPr>
              <w:t xml:space="preserve">＜</w:t>
            </w:r>
            <w:r>
              <w:rPr>
                <w:rStyle w:val="839"/>
                <w:rFonts w:hint="eastAsia" w:ascii="宋体" w:hAnsi="宋体" w:cs="仿宋"/>
                <w:sz w:val="21"/>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50≤Y</w:t>
            </w:r>
            <w:r>
              <w:rPr>
                <w:rStyle w:val="839"/>
                <w:rFonts w:hint="eastAsia" w:ascii="宋体" w:hAnsi="宋体" w:cs="宋体"/>
                <w:sz w:val="21"/>
              </w:rPr>
              <w:t xml:space="preserve">＜</w:t>
            </w:r>
            <w:r>
              <w:rPr>
                <w:rStyle w:val="839"/>
                <w:rFonts w:hint="eastAsia" w:ascii="宋体" w:hAnsi="宋体" w:cs="仿宋"/>
                <w:sz w:val="21"/>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6"/>
              <w:jc w:val="center"/>
              <w:rPr>
                <w:rFonts w:ascii="宋体" w:hAnsi="宋体"/>
                <w:sz w:val="21"/>
              </w:rPr>
            </w:pPr>
            <w:r>
              <w:rPr>
                <w:rStyle w:val="839"/>
                <w:rFonts w:hint="eastAsia" w:ascii="宋体" w:hAnsi="宋体" w:cs="宋体"/>
                <w:sz w:val="21"/>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300≤X</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20≤X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2000≤Y</w:t>
            </w:r>
            <w:r>
              <w:rPr>
                <w:rStyle w:val="839"/>
                <w:rFonts w:hint="eastAsia" w:ascii="宋体" w:hAnsi="宋体" w:cs="宋体"/>
                <w:sz w:val="21"/>
              </w:rPr>
              <w:t xml:space="preserve">＜</w:t>
            </w:r>
            <w:r>
              <w:rPr>
                <w:rStyle w:val="839"/>
                <w:rFonts w:hint="eastAsia" w:ascii="宋体" w:hAnsi="宋体" w:cs="仿宋"/>
                <w:sz w:val="21"/>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300≤Y</w:t>
            </w:r>
            <w:r>
              <w:rPr>
                <w:rStyle w:val="839"/>
                <w:rFonts w:hint="eastAsia" w:ascii="宋体" w:hAnsi="宋体" w:cs="宋体"/>
                <w:sz w:val="21"/>
              </w:rPr>
              <w:t xml:space="preserve">＜</w:t>
            </w:r>
            <w:r>
              <w:rPr>
                <w:rStyle w:val="839"/>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6"/>
              <w:jc w:val="center"/>
              <w:rPr>
                <w:rFonts w:ascii="宋体" w:hAnsi="宋体"/>
                <w:sz w:val="21"/>
              </w:rPr>
            </w:pPr>
            <w:r>
              <w:rPr>
                <w:rStyle w:val="839"/>
                <w:rFonts w:hint="eastAsia" w:ascii="宋体" w:hAnsi="宋体" w:cs="宋体"/>
                <w:sz w:val="21"/>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6000≤Y</w:t>
            </w:r>
            <w:r>
              <w:rPr>
                <w:rStyle w:val="839"/>
                <w:rFonts w:hint="eastAsia" w:ascii="宋体" w:hAnsi="宋体" w:cs="宋体"/>
                <w:sz w:val="21"/>
              </w:rPr>
              <w:t xml:space="preserve">＜</w:t>
            </w:r>
            <w:r>
              <w:rPr>
                <w:rStyle w:val="839"/>
                <w:rFonts w:hint="eastAsia" w:ascii="宋体" w:hAnsi="宋体" w:cs="仿宋"/>
                <w:sz w:val="21"/>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300≤Y</w:t>
            </w:r>
            <w:r>
              <w:rPr>
                <w:rStyle w:val="839"/>
                <w:rFonts w:hint="eastAsia" w:ascii="宋体" w:hAnsi="宋体" w:cs="宋体"/>
                <w:sz w:val="21"/>
              </w:rPr>
              <w:t xml:space="preserve">＜</w:t>
            </w:r>
            <w:r>
              <w:rPr>
                <w:rStyle w:val="839"/>
                <w:rFonts w:hint="eastAsia" w:ascii="宋体" w:hAnsi="宋体" w:cs="仿宋"/>
                <w:sz w:val="21"/>
              </w:rPr>
              <w:t xml:space="preserve">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资产总额（</w:t>
            </w:r>
            <w:r>
              <w:rPr>
                <w:rStyle w:val="839"/>
                <w:rFonts w:hint="eastAsia" w:ascii="宋体" w:hAnsi="宋体" w:cs="仿宋"/>
                <w:sz w:val="21"/>
              </w:rPr>
              <w:t xml:space="preserve">Z</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5000≤Z</w:t>
            </w:r>
            <w:r>
              <w:rPr>
                <w:rStyle w:val="839"/>
                <w:rFonts w:hint="eastAsia" w:ascii="宋体" w:hAnsi="宋体" w:cs="宋体"/>
                <w:sz w:val="21"/>
              </w:rPr>
              <w:t xml:space="preserve">＜</w:t>
            </w:r>
            <w:r>
              <w:rPr>
                <w:rStyle w:val="839"/>
                <w:rFonts w:hint="eastAsia" w:ascii="宋体" w:hAnsi="宋体" w:cs="仿宋"/>
                <w:sz w:val="21"/>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300≤Z</w:t>
            </w:r>
            <w:r>
              <w:rPr>
                <w:rStyle w:val="839"/>
                <w:rFonts w:hint="eastAsia" w:ascii="宋体" w:hAnsi="宋体" w:cs="宋体"/>
                <w:sz w:val="21"/>
              </w:rPr>
              <w:t xml:space="preserve">＜</w:t>
            </w:r>
            <w:r>
              <w:rPr>
                <w:rStyle w:val="839"/>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Z</w:t>
            </w:r>
            <w:r>
              <w:rPr>
                <w:rStyle w:val="839"/>
                <w:rFonts w:hint="eastAsia" w:ascii="宋体" w:hAnsi="宋体" w:cs="宋体"/>
                <w:sz w:val="21"/>
              </w:rPr>
              <w:t xml:space="preserve">＜</w:t>
            </w:r>
            <w:r>
              <w:rPr>
                <w:rStyle w:val="839"/>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6"/>
              <w:jc w:val="center"/>
              <w:rPr>
                <w:rFonts w:ascii="宋体" w:hAnsi="宋体"/>
                <w:sz w:val="21"/>
              </w:rPr>
            </w:pPr>
            <w:r>
              <w:rPr>
                <w:rStyle w:val="839"/>
                <w:rFonts w:hint="eastAsia" w:ascii="宋体" w:hAnsi="宋体" w:cs="宋体"/>
                <w:sz w:val="21"/>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20≤X</w:t>
            </w:r>
            <w:r>
              <w:rPr>
                <w:rStyle w:val="839"/>
                <w:rFonts w:hint="eastAsia" w:ascii="宋体" w:hAnsi="宋体" w:cs="宋体"/>
                <w:sz w:val="21"/>
              </w:rPr>
              <w:t xml:space="preserve">＜</w:t>
            </w:r>
            <w:r>
              <w:rPr>
                <w:rStyle w:val="839"/>
                <w:rFonts w:hint="eastAsia" w:ascii="宋体" w:hAnsi="宋体" w:cs="仿宋"/>
                <w:sz w:val="21"/>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5≤X</w:t>
            </w:r>
            <w:r>
              <w:rPr>
                <w:rStyle w:val="839"/>
                <w:rFonts w:hint="eastAsia" w:ascii="宋体" w:hAnsi="宋体" w:cs="宋体"/>
                <w:sz w:val="21"/>
              </w:rPr>
              <w:t xml:space="preserve">＜</w:t>
            </w:r>
            <w:r>
              <w:rPr>
                <w:rStyle w:val="839"/>
                <w:rFonts w:hint="eastAsia" w:ascii="宋体" w:hAnsi="宋体" w:cs="仿宋"/>
                <w:sz w:val="21"/>
              </w:rPr>
              <w:t xml:space="preserve">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5000≤Y</w:t>
            </w:r>
            <w:r>
              <w:rPr>
                <w:rStyle w:val="839"/>
                <w:rFonts w:hint="eastAsia" w:ascii="宋体" w:hAnsi="宋体" w:cs="宋体"/>
                <w:sz w:val="21"/>
              </w:rPr>
              <w:t xml:space="preserve">＜</w:t>
            </w:r>
            <w:r>
              <w:rPr>
                <w:rStyle w:val="839"/>
                <w:rFonts w:hint="eastAsia" w:ascii="宋体" w:hAnsi="宋体" w:cs="仿宋"/>
                <w:sz w:val="21"/>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1000≤Y</w:t>
            </w:r>
            <w:r>
              <w:rPr>
                <w:rStyle w:val="839"/>
                <w:rFonts w:hint="eastAsia" w:ascii="宋体" w:hAnsi="宋体" w:cs="宋体"/>
                <w:sz w:val="21"/>
              </w:rPr>
              <w:t xml:space="preserve">＜</w:t>
            </w:r>
            <w:r>
              <w:rPr>
                <w:rStyle w:val="839"/>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6"/>
              <w:jc w:val="center"/>
              <w:rPr>
                <w:rFonts w:ascii="宋体" w:hAnsi="宋体"/>
                <w:sz w:val="21"/>
              </w:rPr>
            </w:pPr>
            <w:r>
              <w:rPr>
                <w:rStyle w:val="839"/>
                <w:rFonts w:hint="eastAsia" w:ascii="宋体" w:hAnsi="宋体" w:cs="宋体"/>
                <w:sz w:val="21"/>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50≤X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10≤X</w:t>
            </w:r>
            <w:r>
              <w:rPr>
                <w:rStyle w:val="839"/>
                <w:rFonts w:hint="eastAsia" w:ascii="宋体" w:hAnsi="宋体" w:cs="宋体"/>
                <w:sz w:val="21"/>
              </w:rPr>
              <w:t xml:space="preserve">＜</w:t>
            </w:r>
            <w:r>
              <w:rPr>
                <w:rStyle w:val="839"/>
                <w:rFonts w:hint="eastAsia" w:ascii="宋体" w:hAnsi="宋体" w:cs="仿宋"/>
                <w:sz w:val="21"/>
              </w:rPr>
              <w:t xml:space="preserve">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500≤Y</w:t>
            </w:r>
            <w:r>
              <w:rPr>
                <w:rStyle w:val="839"/>
                <w:rFonts w:hint="eastAsia" w:ascii="宋体" w:hAnsi="宋体" w:cs="宋体"/>
                <w:sz w:val="21"/>
              </w:rPr>
              <w:t xml:space="preserve">＜</w:t>
            </w:r>
            <w:r>
              <w:rPr>
                <w:rStyle w:val="839"/>
                <w:rFonts w:hint="eastAsia" w:ascii="宋体" w:hAnsi="宋体" w:cs="仿宋"/>
                <w:sz w:val="21"/>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100≤Y</w:t>
            </w:r>
            <w:r>
              <w:rPr>
                <w:rStyle w:val="839"/>
                <w:rFonts w:hint="eastAsia" w:ascii="宋体" w:hAnsi="宋体" w:cs="宋体"/>
                <w:sz w:val="21"/>
              </w:rPr>
              <w:t xml:space="preserve">＜</w:t>
            </w:r>
            <w:r>
              <w:rPr>
                <w:rStyle w:val="839"/>
                <w:rFonts w:hint="eastAsia" w:ascii="宋体" w:hAnsi="宋体" w:cs="仿宋"/>
                <w:sz w:val="21"/>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6"/>
              <w:jc w:val="center"/>
              <w:rPr>
                <w:rFonts w:ascii="宋体" w:hAnsi="宋体"/>
                <w:sz w:val="21"/>
              </w:rPr>
            </w:pPr>
            <w:r>
              <w:rPr>
                <w:rStyle w:val="839"/>
                <w:rFonts w:hint="eastAsia" w:ascii="宋体" w:hAnsi="宋体" w:cs="宋体"/>
                <w:sz w:val="21"/>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300≤X</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20≤X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3000≤Y</w:t>
            </w:r>
            <w:r>
              <w:rPr>
                <w:rStyle w:val="839"/>
                <w:rFonts w:hint="eastAsia" w:ascii="宋体" w:hAnsi="宋体" w:cs="宋体"/>
                <w:sz w:val="21"/>
              </w:rPr>
              <w:t xml:space="preserve">＜</w:t>
            </w:r>
            <w:r>
              <w:rPr>
                <w:rStyle w:val="839"/>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200≤Y</w:t>
            </w:r>
            <w:r>
              <w:rPr>
                <w:rStyle w:val="839"/>
                <w:rFonts w:hint="eastAsia" w:ascii="宋体" w:hAnsi="宋体" w:cs="宋体"/>
                <w:sz w:val="21"/>
              </w:rPr>
              <w:t xml:space="preserve">＜</w:t>
            </w:r>
            <w:r>
              <w:rPr>
                <w:rStyle w:val="839"/>
                <w:rFonts w:hint="eastAsia" w:ascii="宋体" w:hAnsi="宋体" w:cs="仿宋"/>
                <w:sz w:val="21"/>
              </w:rPr>
              <w:t xml:space="preserve">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6"/>
              <w:jc w:val="center"/>
              <w:rPr>
                <w:rFonts w:ascii="宋体" w:hAnsi="宋体"/>
                <w:sz w:val="21"/>
              </w:rPr>
            </w:pPr>
            <w:r>
              <w:rPr>
                <w:rStyle w:val="839"/>
                <w:rFonts w:hint="eastAsia" w:ascii="宋体" w:hAnsi="宋体" w:cs="宋体"/>
                <w:sz w:val="21"/>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20≤X</w:t>
            </w:r>
            <w:r>
              <w:rPr>
                <w:rStyle w:val="839"/>
                <w:rFonts w:hint="eastAsia" w:ascii="宋体" w:hAnsi="宋体" w:cs="宋体"/>
                <w:sz w:val="21"/>
              </w:rPr>
              <w:t xml:space="preserve">＜</w:t>
            </w:r>
            <w:r>
              <w:rPr>
                <w:rStyle w:val="83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1000≤Y</w:t>
            </w:r>
            <w:r>
              <w:rPr>
                <w:rStyle w:val="839"/>
                <w:rFonts w:hint="eastAsia" w:ascii="宋体" w:hAnsi="宋体" w:cs="宋体"/>
                <w:sz w:val="21"/>
              </w:rPr>
              <w:t xml:space="preserve">＜</w:t>
            </w:r>
            <w:r>
              <w:rPr>
                <w:rStyle w:val="839"/>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100≤Y</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6"/>
              <w:jc w:val="center"/>
              <w:rPr>
                <w:rFonts w:ascii="宋体" w:hAnsi="宋体"/>
                <w:sz w:val="21"/>
              </w:rPr>
            </w:pPr>
            <w:r>
              <w:rPr>
                <w:rStyle w:val="839"/>
                <w:rFonts w:hint="eastAsia" w:ascii="宋体" w:hAnsi="宋体" w:cs="宋体"/>
                <w:sz w:val="21"/>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300≤X</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20≤X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2000≤Y</w:t>
            </w:r>
            <w:r>
              <w:rPr>
                <w:rStyle w:val="839"/>
                <w:rFonts w:hint="eastAsia" w:ascii="宋体" w:hAnsi="宋体" w:cs="宋体"/>
                <w:sz w:val="21"/>
              </w:rPr>
              <w:t xml:space="preserve">＜</w:t>
            </w:r>
            <w:r>
              <w:rPr>
                <w:rStyle w:val="839"/>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100≤Y</w:t>
            </w:r>
            <w:r>
              <w:rPr>
                <w:rStyle w:val="839"/>
                <w:rFonts w:hint="eastAsia" w:ascii="宋体" w:hAnsi="宋体" w:cs="宋体"/>
                <w:sz w:val="21"/>
              </w:rPr>
              <w:t xml:space="preserve">＜</w:t>
            </w:r>
            <w:r>
              <w:rPr>
                <w:rStyle w:val="839"/>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6"/>
              <w:jc w:val="center"/>
              <w:rPr>
                <w:rFonts w:ascii="宋体" w:hAnsi="宋体"/>
                <w:sz w:val="21"/>
              </w:rPr>
            </w:pPr>
            <w:r>
              <w:rPr>
                <w:rStyle w:val="839"/>
                <w:rFonts w:hint="eastAsia" w:ascii="宋体" w:hAnsi="宋体" w:cs="宋体"/>
                <w:sz w:val="21"/>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10≤X</w:t>
            </w:r>
            <w:r>
              <w:rPr>
                <w:rStyle w:val="839"/>
                <w:rFonts w:hint="eastAsia" w:ascii="宋体" w:hAnsi="宋体" w:cs="宋体"/>
                <w:sz w:val="21"/>
              </w:rPr>
              <w:t xml:space="preserve">＜</w:t>
            </w:r>
            <w:r>
              <w:rPr>
                <w:rStyle w:val="83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2000≤Y</w:t>
            </w:r>
            <w:r>
              <w:rPr>
                <w:rStyle w:val="839"/>
                <w:rFonts w:hint="eastAsia" w:ascii="宋体" w:hAnsi="宋体" w:cs="宋体"/>
                <w:sz w:val="21"/>
              </w:rPr>
              <w:t xml:space="preserve">＜</w:t>
            </w:r>
            <w:r>
              <w:rPr>
                <w:rStyle w:val="839"/>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100≤Y</w:t>
            </w:r>
            <w:r>
              <w:rPr>
                <w:rStyle w:val="839"/>
                <w:rFonts w:hint="eastAsia" w:ascii="宋体" w:hAnsi="宋体" w:cs="宋体"/>
                <w:sz w:val="21"/>
              </w:rPr>
              <w:t xml:space="preserve">＜</w:t>
            </w:r>
            <w:r>
              <w:rPr>
                <w:rStyle w:val="839"/>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6"/>
              <w:jc w:val="center"/>
              <w:rPr>
                <w:rFonts w:ascii="宋体" w:hAnsi="宋体"/>
                <w:sz w:val="21"/>
              </w:rPr>
            </w:pPr>
            <w:r>
              <w:rPr>
                <w:rStyle w:val="839"/>
                <w:rFonts w:hint="eastAsia" w:ascii="宋体" w:hAnsi="宋体" w:cs="宋体"/>
                <w:sz w:val="21"/>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10≤X</w:t>
            </w:r>
            <w:r>
              <w:rPr>
                <w:rStyle w:val="839"/>
                <w:rFonts w:hint="eastAsia" w:ascii="宋体" w:hAnsi="宋体" w:cs="宋体"/>
                <w:sz w:val="21"/>
              </w:rPr>
              <w:t xml:space="preserve">＜</w:t>
            </w:r>
            <w:r>
              <w:rPr>
                <w:rStyle w:val="83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2000≤Y</w:t>
            </w:r>
            <w:r>
              <w:rPr>
                <w:rStyle w:val="839"/>
                <w:rFonts w:hint="eastAsia" w:ascii="宋体" w:hAnsi="宋体" w:cs="宋体"/>
                <w:sz w:val="21"/>
              </w:rPr>
              <w:t xml:space="preserve">＜</w:t>
            </w:r>
            <w:r>
              <w:rPr>
                <w:rStyle w:val="839"/>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100≤Y</w:t>
            </w:r>
            <w:r>
              <w:rPr>
                <w:rStyle w:val="839"/>
                <w:rFonts w:hint="eastAsia" w:ascii="宋体" w:hAnsi="宋体" w:cs="宋体"/>
                <w:sz w:val="21"/>
              </w:rPr>
              <w:t xml:space="preserve">＜</w:t>
            </w:r>
            <w:r>
              <w:rPr>
                <w:rStyle w:val="839"/>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6"/>
              <w:jc w:val="center"/>
              <w:rPr>
                <w:rFonts w:ascii="宋体" w:hAnsi="宋体"/>
                <w:sz w:val="21"/>
              </w:rPr>
            </w:pPr>
            <w:r>
              <w:rPr>
                <w:rStyle w:val="839"/>
                <w:rFonts w:hint="eastAsia" w:ascii="宋体" w:hAnsi="宋体" w:cs="宋体"/>
                <w:sz w:val="21"/>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10≤X</w:t>
            </w:r>
            <w:r>
              <w:rPr>
                <w:rStyle w:val="839"/>
                <w:rFonts w:hint="eastAsia" w:ascii="宋体" w:hAnsi="宋体" w:cs="宋体"/>
                <w:sz w:val="21"/>
              </w:rPr>
              <w:t xml:space="preserve">＜</w:t>
            </w:r>
            <w:r>
              <w:rPr>
                <w:rStyle w:val="83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1000≤Y</w:t>
            </w:r>
            <w:r>
              <w:rPr>
                <w:rStyle w:val="839"/>
                <w:rFonts w:hint="eastAsia" w:ascii="宋体" w:hAnsi="宋体" w:cs="宋体"/>
                <w:sz w:val="21"/>
              </w:rPr>
              <w:t xml:space="preserve">＜</w:t>
            </w:r>
            <w:r>
              <w:rPr>
                <w:rStyle w:val="839"/>
                <w:rFonts w:hint="eastAsia" w:ascii="宋体" w:hAnsi="宋体" w:cs="仿宋"/>
                <w:sz w:val="21"/>
              </w:rPr>
              <w:t xml:space="preserve">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100≤Y</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6"/>
              <w:jc w:val="center"/>
              <w:rPr>
                <w:rFonts w:ascii="宋体" w:hAnsi="宋体"/>
                <w:sz w:val="21"/>
              </w:rPr>
            </w:pPr>
            <w:r>
              <w:rPr>
                <w:rStyle w:val="839"/>
                <w:rFonts w:hint="eastAsia" w:ascii="宋体" w:hAnsi="宋体" w:cs="宋体"/>
                <w:sz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10≤X</w:t>
            </w:r>
            <w:r>
              <w:rPr>
                <w:rStyle w:val="839"/>
                <w:rFonts w:hint="eastAsia" w:ascii="宋体" w:hAnsi="宋体" w:cs="宋体"/>
                <w:sz w:val="21"/>
              </w:rPr>
              <w:t xml:space="preserve">＜</w:t>
            </w:r>
            <w:r>
              <w:rPr>
                <w:rStyle w:val="83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1000≤Y</w:t>
            </w:r>
            <w:r>
              <w:rPr>
                <w:rStyle w:val="839"/>
                <w:rFonts w:hint="eastAsia" w:ascii="宋体" w:hAnsi="宋体" w:cs="宋体"/>
                <w:sz w:val="21"/>
              </w:rPr>
              <w:t xml:space="preserve">＜</w:t>
            </w:r>
            <w:r>
              <w:rPr>
                <w:rStyle w:val="839"/>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50≤Y</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6"/>
              <w:jc w:val="center"/>
              <w:rPr>
                <w:rFonts w:ascii="宋体" w:hAnsi="宋体"/>
                <w:sz w:val="21"/>
              </w:rPr>
            </w:pPr>
            <w:r>
              <w:rPr>
                <w:rStyle w:val="839"/>
                <w:rFonts w:hint="eastAsia" w:ascii="宋体" w:hAnsi="宋体" w:cs="宋体"/>
                <w:sz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1000≤Y</w:t>
            </w:r>
            <w:r>
              <w:rPr>
                <w:rStyle w:val="839"/>
                <w:rFonts w:hint="eastAsia" w:ascii="宋体" w:hAnsi="宋体" w:cs="宋体"/>
                <w:sz w:val="21"/>
              </w:rPr>
              <w:t xml:space="preserve">＜</w:t>
            </w:r>
            <w:r>
              <w:rPr>
                <w:rStyle w:val="839"/>
                <w:rFonts w:hint="eastAsia" w:ascii="宋体" w:hAnsi="宋体" w:cs="仿宋"/>
                <w:sz w:val="21"/>
              </w:rPr>
              <w:t xml:space="preserve">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资产总额（</w:t>
            </w:r>
            <w:r>
              <w:rPr>
                <w:rStyle w:val="839"/>
                <w:rFonts w:hint="eastAsia" w:ascii="宋体" w:hAnsi="宋体" w:cs="仿宋"/>
                <w:sz w:val="21"/>
              </w:rPr>
              <w:t xml:space="preserve">Z</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5000≤Z</w:t>
            </w:r>
            <w:r>
              <w:rPr>
                <w:rStyle w:val="839"/>
                <w:rFonts w:hint="eastAsia" w:ascii="宋体" w:hAnsi="宋体" w:cs="宋体"/>
                <w:sz w:val="21"/>
              </w:rPr>
              <w:t xml:space="preserve">＜</w:t>
            </w:r>
            <w:r>
              <w:rPr>
                <w:rStyle w:val="839"/>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2000≤Y</w:t>
            </w:r>
            <w:r>
              <w:rPr>
                <w:rStyle w:val="839"/>
                <w:rFonts w:hint="eastAsia" w:ascii="宋体" w:hAnsi="宋体" w:cs="宋体"/>
                <w:sz w:val="21"/>
              </w:rPr>
              <w:t xml:space="preserve">＜</w:t>
            </w:r>
            <w:r>
              <w:rPr>
                <w:rStyle w:val="839"/>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6"/>
              <w:jc w:val="center"/>
              <w:rPr>
                <w:rFonts w:ascii="宋体" w:hAnsi="宋体"/>
                <w:sz w:val="21"/>
              </w:rPr>
            </w:pPr>
            <w:r>
              <w:rPr>
                <w:rStyle w:val="839"/>
                <w:rFonts w:hint="eastAsia" w:ascii="宋体" w:hAnsi="宋体" w:cs="宋体"/>
                <w:sz w:val="21"/>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300≤X</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营业收入（</w:t>
            </w:r>
            <w:r>
              <w:rPr>
                <w:rStyle w:val="839"/>
                <w:rFonts w:hint="eastAsia" w:ascii="宋体" w:hAnsi="宋体" w:cs="仿宋"/>
                <w:sz w:val="21"/>
              </w:rPr>
              <w:t xml:space="preserve">Y</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1000≤Y</w:t>
            </w:r>
            <w:r>
              <w:rPr>
                <w:rStyle w:val="839"/>
                <w:rFonts w:hint="eastAsia" w:ascii="宋体" w:hAnsi="宋体" w:cs="宋体"/>
                <w:sz w:val="21"/>
              </w:rPr>
              <w:t xml:space="preserve">＜</w:t>
            </w:r>
            <w:r>
              <w:rPr>
                <w:rStyle w:val="839"/>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500≤Y</w:t>
            </w:r>
            <w:r>
              <w:rPr>
                <w:rStyle w:val="839"/>
                <w:rFonts w:hint="eastAsia" w:ascii="宋体" w:hAnsi="宋体" w:cs="宋体"/>
                <w:sz w:val="21"/>
              </w:rPr>
              <w:t xml:space="preserve">＜</w:t>
            </w:r>
            <w:r>
              <w:rPr>
                <w:rStyle w:val="839"/>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36"/>
              <w:jc w:val="center"/>
              <w:rPr>
                <w:rFonts w:ascii="宋体" w:hAnsi="宋体"/>
                <w:sz w:val="21"/>
              </w:rPr>
            </w:pPr>
            <w:r>
              <w:rPr>
                <w:rStyle w:val="839"/>
                <w:rFonts w:hint="eastAsia" w:ascii="宋体" w:hAnsi="宋体" w:cs="宋体"/>
                <w:sz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10≤X</w:t>
            </w:r>
            <w:r>
              <w:rPr>
                <w:rStyle w:val="839"/>
                <w:rFonts w:hint="eastAsia" w:ascii="宋体" w:hAnsi="宋体" w:cs="宋体"/>
                <w:sz w:val="21"/>
              </w:rPr>
              <w:t xml:space="preserve">＜</w:t>
            </w:r>
            <w:r>
              <w:rPr>
                <w:rStyle w:val="83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资产总额（</w:t>
            </w:r>
            <w:r>
              <w:rPr>
                <w:rStyle w:val="839"/>
                <w:rFonts w:hint="eastAsia" w:ascii="宋体" w:hAnsi="宋体" w:cs="仿宋"/>
                <w:sz w:val="21"/>
              </w:rPr>
              <w:t xml:space="preserve">Z</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8000≤Z</w:t>
            </w:r>
            <w:r>
              <w:rPr>
                <w:rStyle w:val="839"/>
                <w:rFonts w:hint="eastAsia" w:ascii="宋体" w:hAnsi="宋体" w:cs="宋体"/>
                <w:sz w:val="21"/>
              </w:rPr>
              <w:t xml:space="preserve">＜</w:t>
            </w:r>
            <w:r>
              <w:rPr>
                <w:rStyle w:val="839"/>
                <w:rFonts w:hint="eastAsia" w:ascii="宋体" w:hAnsi="宋体" w:cs="仿宋"/>
                <w:sz w:val="21"/>
              </w:rPr>
              <w:t xml:space="preserve">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100≤Z</w:t>
            </w:r>
            <w:r>
              <w:rPr>
                <w:rStyle w:val="839"/>
                <w:rFonts w:hint="eastAsia" w:ascii="宋体" w:hAnsi="宋体" w:cs="宋体"/>
                <w:sz w:val="21"/>
              </w:rPr>
              <w:t xml:space="preserve">＜</w:t>
            </w:r>
            <w:r>
              <w:rPr>
                <w:rStyle w:val="839"/>
                <w:rFonts w:hint="eastAsia" w:ascii="宋体" w:hAnsi="宋体" w:cs="仿宋"/>
                <w:sz w:val="21"/>
              </w:rPr>
              <w:t xml:space="preserve">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Y</w:t>
            </w:r>
            <w:r>
              <w:rPr>
                <w:rStyle w:val="839"/>
                <w:rFonts w:hint="eastAsia" w:ascii="宋体" w:hAnsi="宋体" w:cs="宋体"/>
                <w:sz w:val="21"/>
              </w:rPr>
              <w:t xml:space="preserve">＜</w:t>
            </w:r>
            <w:r>
              <w:rPr>
                <w:rStyle w:val="839"/>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36"/>
              <w:jc w:val="center"/>
              <w:rPr>
                <w:rFonts w:ascii="宋体" w:hAnsi="宋体"/>
                <w:sz w:val="21"/>
              </w:rPr>
            </w:pPr>
            <w:r>
              <w:rPr>
                <w:rStyle w:val="839"/>
                <w:rFonts w:hint="eastAsia" w:ascii="宋体" w:hAnsi="宋体" w:cs="宋体"/>
                <w:sz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36"/>
              <w:rPr>
                <w:rFonts w:ascii="宋体" w:hAnsi="宋体"/>
                <w:sz w:val="21"/>
              </w:rPr>
            </w:pPr>
            <w:r>
              <w:rPr>
                <w:rStyle w:val="839"/>
                <w:rFonts w:hint="eastAsia" w:ascii="宋体" w:hAnsi="宋体" w:cs="宋体"/>
                <w:sz w:val="21"/>
              </w:rPr>
              <w:t xml:space="preserve">从业人员（</w:t>
            </w:r>
            <w:r>
              <w:rPr>
                <w:rStyle w:val="839"/>
                <w:rFonts w:hint="eastAsia" w:ascii="宋体" w:hAnsi="宋体" w:cs="仿宋"/>
                <w:sz w:val="21"/>
              </w:rPr>
              <w:t xml:space="preserve">X</w:t>
            </w:r>
            <w:r>
              <w:rPr>
                <w:rStyle w:val="839"/>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36"/>
              <w:rPr>
                <w:rFonts w:ascii="宋体" w:hAnsi="宋体"/>
                <w:sz w:val="21"/>
              </w:rPr>
            </w:pPr>
            <w:r>
              <w:rPr>
                <w:rStyle w:val="839"/>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36"/>
              <w:rPr>
                <w:rFonts w:ascii="宋体" w:hAnsi="宋体"/>
                <w:sz w:val="21"/>
              </w:rPr>
            </w:pPr>
            <w:r>
              <w:rPr>
                <w:rStyle w:val="839"/>
                <w:rFonts w:hint="eastAsia" w:ascii="宋体" w:hAnsi="宋体" w:cs="仿宋"/>
                <w:sz w:val="21"/>
              </w:rPr>
              <w:t xml:space="preserve">100≤X</w:t>
            </w:r>
            <w:r>
              <w:rPr>
                <w:rStyle w:val="839"/>
                <w:rFonts w:hint="eastAsia" w:ascii="宋体" w:hAnsi="宋体" w:cs="宋体"/>
                <w:sz w:val="21"/>
              </w:rPr>
              <w:t xml:space="preserve">＜</w:t>
            </w:r>
            <w:r>
              <w:rPr>
                <w:rStyle w:val="839"/>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36"/>
              <w:jc w:val="center"/>
              <w:rPr>
                <w:rFonts w:ascii="宋体" w:hAnsi="宋体"/>
                <w:sz w:val="21"/>
              </w:rPr>
            </w:pPr>
            <w:r>
              <w:rPr>
                <w:rStyle w:val="839"/>
                <w:rFonts w:hint="eastAsia" w:ascii="宋体" w:hAnsi="宋体" w:cs="仿宋"/>
                <w:sz w:val="21"/>
              </w:rPr>
              <w:t xml:space="preserve">10≤X</w:t>
            </w:r>
            <w:r>
              <w:rPr>
                <w:rStyle w:val="839"/>
                <w:rFonts w:hint="eastAsia" w:ascii="宋体" w:hAnsi="宋体" w:cs="宋体"/>
                <w:sz w:val="21"/>
              </w:rPr>
              <w:t xml:space="preserve">＜</w:t>
            </w:r>
            <w:r>
              <w:rPr>
                <w:rStyle w:val="839"/>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36"/>
              <w:rPr>
                <w:rFonts w:ascii="宋体" w:hAnsi="宋体"/>
                <w:sz w:val="21"/>
              </w:rPr>
            </w:pPr>
            <w:r>
              <w:rPr>
                <w:rStyle w:val="839"/>
                <w:rFonts w:hint="eastAsia" w:ascii="宋体" w:hAnsi="宋体" w:cs="仿宋"/>
                <w:sz w:val="21"/>
              </w:rPr>
              <w:t xml:space="preserve">X</w:t>
            </w:r>
            <w:r>
              <w:rPr>
                <w:rStyle w:val="839"/>
                <w:rFonts w:hint="eastAsia" w:ascii="宋体" w:hAnsi="宋体" w:cs="宋体"/>
                <w:sz w:val="21"/>
              </w:rPr>
              <w:t xml:space="preserve">＜</w:t>
            </w:r>
            <w:r>
              <w:rPr>
                <w:rStyle w:val="839"/>
                <w:rFonts w:hint="eastAsia" w:ascii="宋体" w:hAnsi="宋体" w:cs="仿宋"/>
                <w:sz w:val="21"/>
              </w:rPr>
              <w:t xml:space="preserve">10</w:t>
            </w:r>
            <w:r/>
          </w:p>
        </w:tc>
      </w:tr>
    </w:tbl>
    <w:p>
      <w:pPr>
        <w:pStyle w:val="836"/>
        <w:ind w:firstLine="422"/>
        <w:spacing w:before="300" w:after="452" w:line="360" w:lineRule="auto"/>
        <w:widowControl/>
        <w:rPr>
          <w:rStyle w:val="839"/>
          <w:rFonts w:ascii="宋体" w:hAnsi="宋体" w:cs="仿宋"/>
          <w:color w:val="666666"/>
          <w:sz w:val="21"/>
          <w:szCs w:val="21"/>
        </w:rPr>
      </w:pPr>
      <w:r>
        <w:rPr>
          <w:rStyle w:val="839"/>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36"/>
        <w:ind w:firstLine="422"/>
        <w:spacing w:before="300" w:after="452" w:line="360" w:lineRule="auto"/>
        <w:widowControl/>
        <w:rPr>
          <w:rStyle w:val="839"/>
          <w:rFonts w:cs="仿宋"/>
          <w:color w:val="666666"/>
          <w:sz w:val="21"/>
          <w:szCs w:val="21"/>
        </w:rPr>
      </w:pPr>
      <w:r>
        <w:rPr>
          <w:rStyle w:val="839"/>
          <w:rFonts w:ascii="宋体" w:hAnsi="宋体" w:cs="仿宋"/>
          <w:color w:val="666666"/>
          <w:sz w:val="21"/>
          <w:szCs w:val="21"/>
        </w:rPr>
        <w:br w:type="page" w:clear="all"/>
      </w:r>
      <w:r/>
    </w:p>
    <w:p>
      <w:pPr>
        <w:jc w:val="cente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Fonts w:ascii="宋体" w:hAnsi="宋体"/>
          <w:sz w:val="32"/>
          <w:szCs w:val="32"/>
        </w:rPr>
      </w:pPr>
      <w:r>
        <w:rPr>
          <w:rFonts w:ascii="宋体" w:hAnsi="宋体"/>
          <w:sz w:val="32"/>
          <w:szCs w:val="32"/>
        </w:rPr>
      </w:r>
      <w:r/>
    </w:p>
    <w:p>
      <w:pPr>
        <w:jc w:val="center"/>
        <w:spacing w:before="240" w:line="360" w:lineRule="auto"/>
        <w:rPr>
          <w:rFonts w:ascii="宋体" w:hAnsi="宋体"/>
          <w:b/>
          <w:sz w:val="32"/>
          <w:szCs w:val="32"/>
        </w:rPr>
      </w:pPr>
      <w:r/>
      <w:bookmarkStart w:id="405" w:name="_Toc138777694"/>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bookmarkStart w:id="406" w:name="_Toc6966"/>
      <w:r/>
      <w:bookmarkStart w:id="407" w:name="_Toc23563"/>
      <w:r>
        <w:rPr>
          <w:rFonts w:hint="eastAsia" w:ascii="宋体" w:hAnsi="宋体"/>
          <w:b/>
          <w:sz w:val="32"/>
          <w:szCs w:val="32"/>
        </w:rPr>
        <w:t xml:space="preserve">四、开标一览表</w:t>
      </w:r>
      <w:bookmarkEnd w:id="405"/>
      <w:r/>
      <w:bookmarkEnd w:id="406"/>
      <w:r/>
      <w:bookmarkEnd w:id="407"/>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813"/>
        <w:tblW w:w="92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1"/>
        <w:gridCol w:w="5953"/>
      </w:tblGrid>
      <w:tr>
        <w:trPr>
          <w:cantSplit/>
          <w:trHeight w:val="1098"/>
        </w:trPr>
        <w:tc>
          <w:tcPr>
            <w:tcW w:w="3261" w:type="dxa"/>
            <w:vAlign w:val="center"/>
            <w:textDirection w:val="lrTb"/>
            <w:noWrap w:val="false"/>
          </w:tcPr>
          <w:p>
            <w:pPr>
              <w:pStyle w:val="818"/>
              <w:jc w:val="center"/>
              <w:spacing w:line="300" w:lineRule="auto"/>
              <w:rPr>
                <w:rFonts w:ascii="宋体" w:hAnsi="宋体" w:eastAsia="宋体" w:cs="宋体"/>
                <w:sz w:val="24"/>
                <w:szCs w:val="21"/>
              </w:rPr>
            </w:pPr>
            <w:r>
              <w:rPr>
                <w:rFonts w:hint="eastAsia" w:ascii="宋体" w:hAnsi="宋体" w:eastAsia="宋体" w:cs="宋体"/>
                <w:sz w:val="24"/>
                <w:szCs w:val="21"/>
              </w:rPr>
              <w:t xml:space="preserve">投标服务或产品名称</w:t>
            </w:r>
            <w:r/>
          </w:p>
        </w:tc>
        <w:tc>
          <w:tcPr>
            <w:tcW w:w="5953" w:type="dxa"/>
            <w:vAlign w:val="center"/>
            <w:textDirection w:val="lrTb"/>
            <w:noWrap w:val="false"/>
          </w:tcPr>
          <w:p>
            <w:pPr>
              <w:pStyle w:val="818"/>
              <w:jc w:val="center"/>
              <w:spacing w:line="300" w:lineRule="auto"/>
              <w:rPr>
                <w:rFonts w:ascii="宋体" w:hAnsi="宋体" w:eastAsia="宋体" w:cs="宋体"/>
                <w:sz w:val="24"/>
                <w:szCs w:val="21"/>
              </w:rPr>
            </w:pPr>
            <w:r>
              <w:rPr>
                <w:rFonts w:hint="eastAsia" w:ascii="宋体" w:hAnsi="宋体" w:eastAsia="宋体" w:cs="宋体"/>
                <w:sz w:val="24"/>
                <w:szCs w:val="21"/>
              </w:rPr>
              <w:t xml:space="preserve">投标报价（万元）</w:t>
            </w:r>
            <w:r/>
          </w:p>
          <w:p>
            <w:pPr>
              <w:pStyle w:val="818"/>
              <w:jc w:val="center"/>
              <w:spacing w:line="300" w:lineRule="auto"/>
              <w:rPr>
                <w:rFonts w:ascii="宋体" w:hAnsi="宋体" w:eastAsia="宋体" w:cs="宋体"/>
                <w:sz w:val="24"/>
                <w:szCs w:val="21"/>
              </w:rPr>
            </w:pPr>
            <w:r>
              <w:rPr>
                <w:rFonts w:ascii="宋体" w:hAnsi="宋体" w:eastAsia="宋体" w:cs="宋体"/>
                <w:sz w:val="24"/>
                <w:szCs w:val="21"/>
              </w:rPr>
            </w:r>
            <w:r/>
          </w:p>
        </w:tc>
      </w:tr>
      <w:tr>
        <w:trPr>
          <w:cantSplit/>
          <w:trHeight w:val="1697"/>
        </w:trPr>
        <w:tc>
          <w:tcPr>
            <w:tcW w:w="3261" w:type="dxa"/>
            <w:vAlign w:val="center"/>
            <w:textDirection w:val="lrTb"/>
            <w:noWrap w:val="false"/>
          </w:tcPr>
          <w:p>
            <w:pPr>
              <w:pStyle w:val="818"/>
              <w:rPr>
                <w:rFonts w:ascii="宋体" w:hAnsi="宋体" w:eastAsia="宋体" w:cs="宋体"/>
                <w:sz w:val="24"/>
                <w:szCs w:val="21"/>
              </w:rPr>
            </w:pPr>
            <w:r>
              <w:rPr>
                <w:rFonts w:ascii="宋体" w:hAnsi="宋体" w:eastAsia="宋体" w:cs="宋体"/>
                <w:sz w:val="24"/>
                <w:szCs w:val="21"/>
              </w:rPr>
            </w:r>
            <w:r/>
          </w:p>
        </w:tc>
        <w:tc>
          <w:tcPr>
            <w:tcW w:w="5953" w:type="dxa"/>
            <w:vAlign w:val="center"/>
            <w:textDirection w:val="lrTb"/>
            <w:noWrap w:val="false"/>
          </w:tcPr>
          <w:p>
            <w:pPr>
              <w:pStyle w:val="818"/>
              <w:jc w:val="both"/>
              <w:spacing w:line="300" w:lineRule="auto"/>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 xml:space="preserve">小写：               （人民币：元）</w:t>
            </w:r>
            <w:r/>
          </w:p>
          <w:p>
            <w:pPr>
              <w:rPr>
                <w:rFonts w:ascii="宋体" w:hAnsi="宋体"/>
                <w:szCs w:val="21"/>
                <w:u w:val="single"/>
              </w:rPr>
            </w:pPr>
            <w:r>
              <w:rPr>
                <w:rFonts w:hint="eastAsia" w:ascii="仿宋" w:hAnsi="仿宋" w:eastAsia="仿宋" w:cs="仿宋"/>
                <w:sz w:val="24"/>
                <w:szCs w:val="21"/>
                <w:lang w:val="en-US" w:eastAsia="zh-CN"/>
              </w:rPr>
              <w:t xml:space="preserve">大写：</w:t>
            </w:r>
            <w:r/>
          </w:p>
        </w:tc>
      </w:tr>
    </w:tbl>
    <w:p>
      <w:pPr>
        <w:rPr>
          <w:rFonts w:ascii="宋体" w:hAnsi="宋体"/>
          <w:sz w:val="24"/>
          <w:szCs w:val="21"/>
        </w:rPr>
      </w:pPr>
      <w:r>
        <w:rPr>
          <w:rFonts w:ascii="宋体" w:hAnsi="宋体"/>
          <w:sz w:val="24"/>
          <w:szCs w:val="21"/>
        </w:rPr>
      </w:r>
      <w:r/>
    </w:p>
    <w:p>
      <w:pPr>
        <w:ind w:firstLine="480"/>
        <w:rPr>
          <w:rFonts w:ascii="宋体" w:hAnsi="宋体"/>
          <w:sz w:val="24"/>
          <w:szCs w:val="21"/>
        </w:rPr>
      </w:pPr>
      <w:r>
        <w:rPr>
          <w:rFonts w:hint="eastAsia" w:ascii="宋体" w:hAnsi="宋体"/>
          <w:sz w:val="24"/>
          <w:szCs w:val="21"/>
        </w:rPr>
        <w:t xml:space="preserve">                                              日期：  年  月  日</w:t>
      </w:r>
      <w:r/>
    </w:p>
    <w:p>
      <w:pPr>
        <w:pStyle w:val="815"/>
        <w:ind w:firstLine="640"/>
        <w:rPr>
          <w:rFonts w:ascii="宋体" w:hAnsi="宋体"/>
          <w:sz w:val="32"/>
          <w:szCs w:val="32"/>
        </w:rPr>
      </w:pPr>
      <w:r>
        <w:rPr>
          <w:rFonts w:ascii="宋体" w:hAnsi="宋体"/>
          <w:sz w:val="32"/>
          <w:szCs w:val="32"/>
        </w:rPr>
      </w:r>
      <w:r/>
    </w:p>
    <w:p>
      <w:pPr>
        <w:rPr>
          <w:rFonts w:ascii="宋体" w:hAnsi="宋体" w:cs="Arial"/>
          <w:b/>
          <w:bCs/>
          <w:color w:val="000000"/>
        </w:rPr>
      </w:pPr>
      <w:r>
        <w:rPr>
          <w:rFonts w:hint="eastAsia" w:ascii="宋体" w:hAnsi="宋体"/>
          <w:sz w:val="32"/>
          <w:szCs w:val="32"/>
        </w:rPr>
        <w:br w:type="page" w:clear="all"/>
      </w:r>
      <w:r/>
    </w:p>
    <w:p>
      <w:pPr>
        <w:pStyle w:val="1022"/>
        <w:ind w:firstLine="3213"/>
        <w:jc w:val="both"/>
        <w:rPr>
          <w:rFonts w:ascii="宋体" w:hAnsi="宋体" w:eastAsia="宋体" w:cs="Times New Roman"/>
          <w:bCs w:val="0"/>
          <w:sz w:val="32"/>
          <w:szCs w:val="32"/>
        </w:rPr>
        <w:outlineLvl w:val="9"/>
      </w:pPr>
      <w:r/>
      <w:bookmarkStart w:id="408" w:name="_Toc143"/>
      <w:r/>
      <w:bookmarkStart w:id="409" w:name="_Toc113352361"/>
      <w:r/>
      <w:bookmarkStart w:id="410" w:name="_Toc4272"/>
      <w:r/>
      <w:bookmarkStart w:id="411" w:name="_Toc32116"/>
      <w:r/>
      <w:bookmarkStart w:id="412" w:name="_Toc131770118"/>
      <w:r/>
      <w:bookmarkStart w:id="413" w:name="_Toc138777695"/>
      <w:r>
        <w:rPr>
          <w:rFonts w:hint="eastAsia" w:ascii="宋体" w:hAnsi="宋体" w:eastAsia="宋体" w:cs="Times New Roman"/>
          <w:bCs w:val="0"/>
          <w:sz w:val="32"/>
          <w:szCs w:val="32"/>
        </w:rPr>
        <w:t xml:space="preserve">五、分项报价表</w:t>
      </w:r>
      <w:bookmarkEnd w:id="408"/>
      <w:r/>
      <w:bookmarkEnd w:id="409"/>
      <w:r/>
      <w:bookmarkEnd w:id="410"/>
      <w:r/>
      <w:bookmarkEnd w:id="411"/>
      <w:r/>
      <w:bookmarkEnd w:id="412"/>
      <w:r/>
      <w:r/>
    </w:p>
    <w:tbl>
      <w:tblPr>
        <w:tblStyle w:val="813"/>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5"/>
        <w:gridCol w:w="2224"/>
        <w:gridCol w:w="2224"/>
        <w:gridCol w:w="2224"/>
      </w:tblGrid>
      <w:tr>
        <w:trPr>
          <w:cantSplit/>
          <w:trHeight w:val="851"/>
        </w:trPr>
        <w:tc>
          <w:tcPr>
            <w:tcW w:w="2773" w:type="dxa"/>
            <w:vAlign w:val="center"/>
            <w:textDirection w:val="lrTb"/>
            <w:noWrap w:val="false"/>
          </w:tcPr>
          <w:p>
            <w:pPr>
              <w:jc w:val="center"/>
              <w:rPr>
                <w:rFonts w:ascii="宋体" w:hAnsi="宋体"/>
                <w:sz w:val="24"/>
                <w:szCs w:val="21"/>
              </w:rPr>
            </w:pPr>
            <w:r>
              <w:rPr>
                <w:rFonts w:hint="eastAsia" w:ascii="宋体" w:hAnsi="宋体"/>
                <w:sz w:val="24"/>
                <w:szCs w:val="21"/>
              </w:rPr>
              <w:t xml:space="preserve">1</w:t>
            </w:r>
            <w:r/>
          </w:p>
        </w:tc>
        <w:tc>
          <w:tcPr>
            <w:tcW w:w="2773" w:type="dxa"/>
            <w:vAlign w:val="center"/>
            <w:textDirection w:val="lrTb"/>
            <w:noWrap w:val="false"/>
          </w:tcPr>
          <w:p>
            <w:pPr>
              <w:jc w:val="center"/>
              <w:rPr>
                <w:rFonts w:ascii="宋体" w:hAnsi="宋体"/>
                <w:sz w:val="24"/>
                <w:szCs w:val="21"/>
              </w:rPr>
            </w:pPr>
            <w:r>
              <w:rPr>
                <w:rFonts w:hint="eastAsia" w:ascii="宋体" w:hAnsi="宋体"/>
                <w:sz w:val="24"/>
                <w:szCs w:val="21"/>
              </w:rPr>
              <w:t xml:space="preserve">2</w:t>
            </w:r>
            <w:r/>
          </w:p>
        </w:tc>
        <w:tc>
          <w:tcPr>
            <w:tcW w:w="2773" w:type="dxa"/>
            <w:vAlign w:val="center"/>
            <w:textDirection w:val="lrTb"/>
            <w:noWrap w:val="false"/>
          </w:tcPr>
          <w:p>
            <w:pPr>
              <w:jc w:val="center"/>
              <w:rPr>
                <w:rFonts w:ascii="宋体" w:hAnsi="宋体"/>
                <w:sz w:val="24"/>
                <w:szCs w:val="21"/>
              </w:rPr>
            </w:pPr>
            <w:r>
              <w:rPr>
                <w:rFonts w:hint="eastAsia" w:ascii="宋体" w:hAnsi="宋体"/>
                <w:sz w:val="24"/>
                <w:szCs w:val="21"/>
              </w:rPr>
              <w:t xml:space="preserve">3</w:t>
            </w:r>
            <w:r/>
          </w:p>
        </w:tc>
        <w:tc>
          <w:tcPr>
            <w:tcW w:w="2773" w:type="dxa"/>
            <w:vAlign w:val="center"/>
            <w:textDirection w:val="lrTb"/>
            <w:noWrap w:val="false"/>
          </w:tcPr>
          <w:p>
            <w:pPr>
              <w:jc w:val="center"/>
              <w:rPr>
                <w:rFonts w:ascii="宋体" w:hAnsi="宋体"/>
                <w:sz w:val="24"/>
                <w:szCs w:val="21"/>
              </w:rPr>
            </w:pPr>
            <w:r>
              <w:rPr>
                <w:rFonts w:hint="eastAsia" w:ascii="宋体" w:hAnsi="宋体"/>
                <w:sz w:val="24"/>
                <w:szCs w:val="21"/>
              </w:rPr>
              <w:t xml:space="preserve">4</w:t>
            </w:r>
            <w:r/>
          </w:p>
        </w:tc>
      </w:tr>
      <w:tr>
        <w:trPr>
          <w:cantSplit/>
          <w:trHeight w:val="851"/>
        </w:trPr>
        <w:tc>
          <w:tcPr>
            <w:tcW w:w="2773" w:type="dxa"/>
            <w:vAlign w:val="center"/>
            <w:textDirection w:val="lrTb"/>
            <w:noWrap w:val="false"/>
          </w:tcPr>
          <w:p>
            <w:pPr>
              <w:jc w:val="center"/>
              <w:rPr>
                <w:rFonts w:ascii="宋体" w:hAnsi="宋体"/>
                <w:sz w:val="24"/>
                <w:szCs w:val="21"/>
              </w:rPr>
            </w:pPr>
            <w:r>
              <w:rPr>
                <w:rFonts w:hint="eastAsia" w:ascii="宋体" w:hAnsi="宋体"/>
                <w:sz w:val="24"/>
                <w:szCs w:val="21"/>
              </w:rPr>
              <w:t xml:space="preserve">名称</w:t>
            </w:r>
            <w:r/>
          </w:p>
        </w:tc>
        <w:tc>
          <w:tcPr>
            <w:tcW w:w="2773" w:type="dxa"/>
            <w:vAlign w:val="center"/>
            <w:textDirection w:val="lrTb"/>
            <w:noWrap w:val="false"/>
          </w:tcPr>
          <w:p>
            <w:pPr>
              <w:jc w:val="center"/>
              <w:rPr>
                <w:rFonts w:ascii="宋体" w:hAnsi="宋体"/>
                <w:sz w:val="24"/>
                <w:szCs w:val="21"/>
              </w:rPr>
            </w:pPr>
            <w:r>
              <w:rPr>
                <w:rFonts w:hint="eastAsia" w:ascii="宋体" w:hAnsi="宋体"/>
                <w:sz w:val="24"/>
                <w:szCs w:val="21"/>
              </w:rPr>
              <w:t xml:space="preserve">数量</w:t>
            </w:r>
            <w:r/>
          </w:p>
        </w:tc>
        <w:tc>
          <w:tcPr>
            <w:tcW w:w="2773" w:type="dxa"/>
            <w:vAlign w:val="center"/>
            <w:textDirection w:val="lrTb"/>
            <w:noWrap w:val="false"/>
          </w:tcPr>
          <w:p>
            <w:pPr>
              <w:jc w:val="center"/>
              <w:rPr>
                <w:rFonts w:ascii="宋体" w:hAnsi="宋体"/>
                <w:sz w:val="24"/>
                <w:szCs w:val="21"/>
              </w:rPr>
            </w:pPr>
            <w:r>
              <w:rPr>
                <w:rFonts w:hint="eastAsia" w:ascii="宋体" w:hAnsi="宋体"/>
                <w:sz w:val="24"/>
                <w:szCs w:val="21"/>
              </w:rPr>
              <w:t xml:space="preserve">单价</w:t>
            </w:r>
            <w:r/>
          </w:p>
        </w:tc>
        <w:tc>
          <w:tcPr>
            <w:tcW w:w="2773" w:type="dxa"/>
            <w:vAlign w:val="center"/>
            <w:textDirection w:val="lrTb"/>
            <w:noWrap w:val="false"/>
          </w:tcPr>
          <w:p>
            <w:pPr>
              <w:jc w:val="center"/>
              <w:rPr>
                <w:rFonts w:ascii="宋体" w:hAnsi="宋体"/>
                <w:sz w:val="24"/>
                <w:szCs w:val="21"/>
              </w:rPr>
            </w:pPr>
            <w:r>
              <w:rPr>
                <w:rFonts w:hint="eastAsia" w:ascii="宋体" w:hAnsi="宋体"/>
                <w:sz w:val="24"/>
                <w:szCs w:val="21"/>
              </w:rPr>
              <w:t xml:space="preserve">总价</w:t>
            </w:r>
            <w:r/>
          </w:p>
        </w:tc>
      </w:tr>
      <w:tr>
        <w:trPr>
          <w:cantSplit/>
          <w:trHeight w:val="851"/>
        </w:trPr>
        <w:tc>
          <w:tcPr>
            <w:tcW w:w="2773" w:type="dxa"/>
            <w:vAlign w:val="center"/>
            <w:textDirection w:val="lrTb"/>
            <w:noWrap w:val="false"/>
          </w:tcPr>
          <w:p>
            <w:pPr>
              <w:rPr>
                <w:rFonts w:ascii="宋体" w:hAnsi="宋体"/>
                <w:sz w:val="24"/>
                <w:szCs w:val="21"/>
              </w:rPr>
            </w:pPr>
            <w:r>
              <w:rPr>
                <w:rFonts w:ascii="宋体" w:hAnsi="宋体"/>
                <w:sz w:val="24"/>
                <w:szCs w:val="21"/>
              </w:rPr>
            </w:r>
            <w:r/>
          </w:p>
        </w:tc>
        <w:tc>
          <w:tcPr>
            <w:tcW w:w="2773" w:type="dxa"/>
            <w:vAlign w:val="center"/>
            <w:textDirection w:val="lrTb"/>
            <w:noWrap w:val="false"/>
          </w:tcPr>
          <w:p>
            <w:pPr>
              <w:rPr>
                <w:rFonts w:ascii="宋体" w:hAnsi="宋体"/>
                <w:sz w:val="24"/>
                <w:szCs w:val="21"/>
              </w:rPr>
            </w:pPr>
            <w:r>
              <w:rPr>
                <w:rFonts w:ascii="宋体" w:hAnsi="宋体"/>
                <w:sz w:val="24"/>
                <w:szCs w:val="21"/>
              </w:rPr>
            </w:r>
            <w:r/>
          </w:p>
        </w:tc>
        <w:tc>
          <w:tcPr>
            <w:tcW w:w="2773" w:type="dxa"/>
            <w:vAlign w:val="center"/>
            <w:textDirection w:val="lrTb"/>
            <w:noWrap w:val="false"/>
          </w:tcPr>
          <w:p>
            <w:pPr>
              <w:rPr>
                <w:rFonts w:ascii="宋体" w:hAnsi="宋体"/>
                <w:sz w:val="24"/>
                <w:szCs w:val="21"/>
              </w:rPr>
            </w:pPr>
            <w:r>
              <w:rPr>
                <w:rFonts w:ascii="宋体" w:hAnsi="宋体"/>
                <w:sz w:val="24"/>
                <w:szCs w:val="21"/>
              </w:rPr>
            </w:r>
            <w:r/>
          </w:p>
        </w:tc>
        <w:tc>
          <w:tcPr>
            <w:tcW w:w="2773" w:type="dxa"/>
            <w:vAlign w:val="center"/>
            <w:textDirection w:val="lrTb"/>
            <w:noWrap w:val="false"/>
          </w:tcPr>
          <w:p>
            <w:pPr>
              <w:rPr>
                <w:rFonts w:ascii="宋体" w:hAnsi="宋体"/>
                <w:sz w:val="24"/>
                <w:szCs w:val="21"/>
              </w:rPr>
            </w:pPr>
            <w:r>
              <w:rPr>
                <w:rFonts w:ascii="宋体" w:hAnsi="宋体"/>
                <w:sz w:val="24"/>
                <w:szCs w:val="21"/>
              </w:rPr>
            </w:r>
            <w:r/>
          </w:p>
        </w:tc>
      </w:tr>
      <w:tr>
        <w:trPr>
          <w:cantSplit/>
          <w:trHeight w:val="851"/>
        </w:trPr>
        <w:tc>
          <w:tcPr>
            <w:tcW w:w="2773" w:type="dxa"/>
            <w:vAlign w:val="center"/>
            <w:textDirection w:val="lrTb"/>
            <w:noWrap w:val="false"/>
          </w:tcPr>
          <w:p>
            <w:pPr>
              <w:rPr>
                <w:rFonts w:ascii="宋体" w:hAnsi="宋体"/>
                <w:sz w:val="24"/>
                <w:szCs w:val="21"/>
              </w:rPr>
            </w:pPr>
            <w:r>
              <w:rPr>
                <w:rFonts w:ascii="宋体" w:hAnsi="宋体"/>
                <w:sz w:val="24"/>
                <w:szCs w:val="21"/>
              </w:rPr>
            </w:r>
            <w:r/>
          </w:p>
        </w:tc>
        <w:tc>
          <w:tcPr>
            <w:tcW w:w="2773" w:type="dxa"/>
            <w:vAlign w:val="center"/>
            <w:textDirection w:val="lrTb"/>
            <w:noWrap w:val="false"/>
          </w:tcPr>
          <w:p>
            <w:pPr>
              <w:rPr>
                <w:rFonts w:ascii="宋体" w:hAnsi="宋体"/>
                <w:sz w:val="24"/>
                <w:szCs w:val="21"/>
              </w:rPr>
            </w:pPr>
            <w:r>
              <w:rPr>
                <w:rFonts w:ascii="宋体" w:hAnsi="宋体"/>
                <w:sz w:val="24"/>
                <w:szCs w:val="21"/>
              </w:rPr>
            </w:r>
            <w:r/>
          </w:p>
        </w:tc>
        <w:tc>
          <w:tcPr>
            <w:tcW w:w="2773" w:type="dxa"/>
            <w:vAlign w:val="center"/>
            <w:textDirection w:val="lrTb"/>
            <w:noWrap w:val="false"/>
          </w:tcPr>
          <w:p>
            <w:pPr>
              <w:rPr>
                <w:rFonts w:ascii="宋体" w:hAnsi="宋体"/>
                <w:sz w:val="24"/>
                <w:szCs w:val="21"/>
              </w:rPr>
            </w:pPr>
            <w:r>
              <w:rPr>
                <w:rFonts w:ascii="宋体" w:hAnsi="宋体"/>
                <w:sz w:val="24"/>
                <w:szCs w:val="21"/>
              </w:rPr>
            </w:r>
            <w:r/>
          </w:p>
        </w:tc>
        <w:tc>
          <w:tcPr>
            <w:tcW w:w="2773" w:type="dxa"/>
            <w:vAlign w:val="center"/>
            <w:textDirection w:val="lrTb"/>
            <w:noWrap w:val="false"/>
          </w:tcPr>
          <w:p>
            <w:pPr>
              <w:rPr>
                <w:rFonts w:ascii="宋体" w:hAnsi="宋体"/>
                <w:sz w:val="24"/>
                <w:szCs w:val="21"/>
              </w:rPr>
            </w:pPr>
            <w:r>
              <w:rPr>
                <w:rFonts w:ascii="宋体" w:hAnsi="宋体"/>
                <w:sz w:val="24"/>
                <w:szCs w:val="21"/>
              </w:rPr>
            </w:r>
            <w:r/>
          </w:p>
        </w:tc>
      </w:tr>
      <w:tr>
        <w:trPr>
          <w:cantSplit/>
          <w:trHeight w:val="851"/>
        </w:trPr>
        <w:tc>
          <w:tcPr>
            <w:tcW w:w="2773" w:type="dxa"/>
            <w:vAlign w:val="center"/>
            <w:textDirection w:val="lrTb"/>
            <w:noWrap w:val="false"/>
          </w:tcPr>
          <w:p>
            <w:pPr>
              <w:rPr>
                <w:rFonts w:ascii="宋体" w:hAnsi="宋体"/>
                <w:sz w:val="24"/>
                <w:szCs w:val="21"/>
              </w:rPr>
            </w:pPr>
            <w:r>
              <w:rPr>
                <w:rFonts w:ascii="宋体" w:hAnsi="宋体"/>
                <w:sz w:val="24"/>
                <w:szCs w:val="21"/>
              </w:rPr>
            </w:r>
            <w:r/>
          </w:p>
        </w:tc>
        <w:tc>
          <w:tcPr>
            <w:tcW w:w="2773" w:type="dxa"/>
            <w:vAlign w:val="center"/>
            <w:textDirection w:val="lrTb"/>
            <w:noWrap w:val="false"/>
          </w:tcPr>
          <w:p>
            <w:pPr>
              <w:rPr>
                <w:rFonts w:ascii="宋体" w:hAnsi="宋体"/>
                <w:sz w:val="24"/>
                <w:szCs w:val="21"/>
              </w:rPr>
            </w:pPr>
            <w:r>
              <w:rPr>
                <w:rFonts w:ascii="宋体" w:hAnsi="宋体"/>
                <w:sz w:val="24"/>
                <w:szCs w:val="21"/>
              </w:rPr>
            </w:r>
            <w:r/>
          </w:p>
        </w:tc>
        <w:tc>
          <w:tcPr>
            <w:tcW w:w="2773" w:type="dxa"/>
            <w:vAlign w:val="center"/>
            <w:textDirection w:val="lrTb"/>
            <w:noWrap w:val="false"/>
          </w:tcPr>
          <w:p>
            <w:pPr>
              <w:rPr>
                <w:rFonts w:ascii="宋体" w:hAnsi="宋体"/>
                <w:sz w:val="24"/>
                <w:szCs w:val="21"/>
              </w:rPr>
            </w:pPr>
            <w:r>
              <w:rPr>
                <w:rFonts w:ascii="宋体" w:hAnsi="宋体"/>
                <w:sz w:val="24"/>
                <w:szCs w:val="21"/>
              </w:rPr>
            </w:r>
            <w:r/>
          </w:p>
        </w:tc>
        <w:tc>
          <w:tcPr>
            <w:tcW w:w="2773" w:type="dxa"/>
            <w:vAlign w:val="center"/>
            <w:textDirection w:val="lrTb"/>
            <w:noWrap w:val="false"/>
          </w:tcPr>
          <w:p>
            <w:pPr>
              <w:rPr>
                <w:rFonts w:ascii="宋体" w:hAnsi="宋体"/>
                <w:sz w:val="24"/>
                <w:szCs w:val="21"/>
              </w:rPr>
            </w:pPr>
            <w:r>
              <w:rPr>
                <w:rFonts w:ascii="宋体" w:hAnsi="宋体"/>
                <w:sz w:val="24"/>
                <w:szCs w:val="21"/>
              </w:rPr>
            </w:r>
            <w:r/>
          </w:p>
        </w:tc>
      </w:tr>
      <w:tr>
        <w:trPr>
          <w:cantSplit/>
          <w:trHeight w:val="851"/>
        </w:trPr>
        <w:tc>
          <w:tcPr>
            <w:tcW w:w="2773" w:type="dxa"/>
            <w:vAlign w:val="center"/>
            <w:textDirection w:val="lrTb"/>
            <w:noWrap w:val="false"/>
          </w:tcPr>
          <w:p>
            <w:pPr>
              <w:rPr>
                <w:rFonts w:ascii="宋体" w:hAnsi="宋体"/>
                <w:sz w:val="24"/>
                <w:szCs w:val="21"/>
              </w:rPr>
            </w:pPr>
            <w:r>
              <w:rPr>
                <w:rFonts w:ascii="宋体" w:hAnsi="宋体"/>
                <w:sz w:val="24"/>
                <w:szCs w:val="21"/>
              </w:rPr>
            </w:r>
            <w:r/>
          </w:p>
        </w:tc>
        <w:tc>
          <w:tcPr>
            <w:tcW w:w="2773" w:type="dxa"/>
            <w:vAlign w:val="center"/>
            <w:textDirection w:val="lrTb"/>
            <w:noWrap w:val="false"/>
          </w:tcPr>
          <w:p>
            <w:pPr>
              <w:rPr>
                <w:rFonts w:ascii="宋体" w:hAnsi="宋体"/>
                <w:sz w:val="24"/>
                <w:szCs w:val="21"/>
              </w:rPr>
            </w:pPr>
            <w:r>
              <w:rPr>
                <w:rFonts w:ascii="宋体" w:hAnsi="宋体"/>
                <w:sz w:val="24"/>
                <w:szCs w:val="21"/>
              </w:rPr>
            </w:r>
            <w:r/>
          </w:p>
        </w:tc>
        <w:tc>
          <w:tcPr>
            <w:tcW w:w="2773" w:type="dxa"/>
            <w:vAlign w:val="center"/>
            <w:textDirection w:val="lrTb"/>
            <w:noWrap w:val="false"/>
          </w:tcPr>
          <w:p>
            <w:pPr>
              <w:rPr>
                <w:rFonts w:ascii="宋体" w:hAnsi="宋体"/>
                <w:sz w:val="24"/>
                <w:szCs w:val="21"/>
              </w:rPr>
            </w:pPr>
            <w:r>
              <w:rPr>
                <w:rFonts w:ascii="宋体" w:hAnsi="宋体"/>
                <w:sz w:val="24"/>
                <w:szCs w:val="21"/>
              </w:rPr>
            </w:r>
            <w:r/>
          </w:p>
        </w:tc>
        <w:tc>
          <w:tcPr>
            <w:tcW w:w="2773" w:type="dxa"/>
            <w:vAlign w:val="center"/>
            <w:textDirection w:val="lrTb"/>
            <w:noWrap w:val="false"/>
          </w:tcPr>
          <w:p>
            <w:pPr>
              <w:rPr>
                <w:rFonts w:ascii="宋体" w:hAnsi="宋体"/>
                <w:sz w:val="24"/>
                <w:szCs w:val="21"/>
              </w:rPr>
            </w:pPr>
            <w:r>
              <w:rPr>
                <w:rFonts w:ascii="宋体" w:hAnsi="宋体"/>
                <w:sz w:val="24"/>
                <w:szCs w:val="21"/>
              </w:rPr>
            </w:r>
            <w:r/>
          </w:p>
        </w:tc>
      </w:tr>
      <w:tr>
        <w:trPr>
          <w:cantSplit/>
          <w:trHeight w:val="851"/>
        </w:trPr>
        <w:tc>
          <w:tcPr>
            <w:tcW w:w="2773" w:type="dxa"/>
            <w:vAlign w:val="center"/>
            <w:textDirection w:val="lrTb"/>
            <w:noWrap w:val="false"/>
          </w:tcPr>
          <w:p>
            <w:pPr>
              <w:rPr>
                <w:rFonts w:ascii="宋体" w:hAnsi="宋体"/>
                <w:sz w:val="24"/>
                <w:szCs w:val="21"/>
              </w:rPr>
            </w:pPr>
            <w:r>
              <w:rPr>
                <w:rFonts w:hint="eastAsia" w:ascii="宋体" w:hAnsi="宋体"/>
                <w:sz w:val="24"/>
                <w:szCs w:val="21"/>
              </w:rPr>
              <w:t xml:space="preserve">合计</w:t>
            </w:r>
            <w:r/>
          </w:p>
        </w:tc>
        <w:tc>
          <w:tcPr>
            <w:gridSpan w:val="3"/>
            <w:tcW w:w="6672" w:type="dxa"/>
            <w:vAlign w:val="center"/>
            <w:textDirection w:val="lrTb"/>
            <w:noWrap w:val="false"/>
          </w:tcPr>
          <w:p>
            <w:pPr>
              <w:rPr>
                <w:rFonts w:ascii="宋体" w:hAnsi="宋体"/>
                <w:sz w:val="24"/>
                <w:szCs w:val="21"/>
              </w:rPr>
            </w:pPr>
            <w:r>
              <w:rPr>
                <w:rFonts w:ascii="宋体" w:hAnsi="宋体"/>
                <w:sz w:val="24"/>
                <w:szCs w:val="21"/>
              </w:rPr>
            </w:r>
            <w:r/>
          </w:p>
        </w:tc>
      </w:tr>
    </w:tbl>
    <w:p>
      <w:pPr>
        <w:jc w:val="left"/>
        <w:widowControl/>
        <w:rPr>
          <w:rFonts w:ascii="宋体" w:hAnsi="宋体" w:cs="Arial"/>
          <w:b/>
          <w:bCs/>
          <w:color w:val="000000"/>
        </w:rPr>
      </w:pPr>
      <w:r>
        <w:rPr>
          <w:rFonts w:ascii="宋体" w:hAnsi="宋体" w:cs="Arial"/>
          <w:b/>
          <w:bCs/>
          <w:color w:val="000000"/>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bookmarkStart w:id="414" w:name="_Toc14378"/>
      <w:r/>
      <w:bookmarkStart w:id="415" w:name="_Toc10587"/>
      <w:r>
        <w:rPr>
          <w:rFonts w:hint="eastAsia" w:ascii="宋体" w:hAnsi="宋体"/>
          <w:b/>
          <w:sz w:val="32"/>
          <w:szCs w:val="32"/>
        </w:rPr>
        <w:t xml:space="preserve">六、技术参数响应及偏离表</w:t>
      </w:r>
      <w:bookmarkEnd w:id="413"/>
      <w:r/>
      <w:bookmarkEnd w:id="414"/>
      <w:r/>
      <w:bookmarkEnd w:id="415"/>
      <w:r/>
      <w:r/>
    </w:p>
    <w:tbl>
      <w:tblPr>
        <w:tblStyle w:val="81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bookmarkStart w:id="416" w:name="_Toc28127"/>
      <w:r/>
      <w:bookmarkStart w:id="417" w:name="_Toc21219"/>
      <w:r>
        <w:rPr>
          <w:rFonts w:hint="eastAsia" w:ascii="宋体" w:hAnsi="宋体"/>
          <w:sz w:val="24"/>
          <w:szCs w:val="24"/>
        </w:rPr>
        <w:t xml:space="preserve">2、行数不够，可自行添加。</w:t>
      </w:r>
      <w:bookmarkEnd w:id="416"/>
      <w:r/>
      <w:bookmarkEnd w:id="417"/>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hint="eastAsia" w:ascii="黑体" w:hAnsi="Arial" w:eastAsia="黑体"/>
          <w:sz w:val="32"/>
        </w:rPr>
        <w:br w:type="page" w:clear="all"/>
      </w:r>
      <w:r/>
    </w:p>
    <w:p>
      <w:pPr>
        <w:jc w:val="center"/>
        <w:spacing w:before="240" w:line="360" w:lineRule="auto"/>
        <w:rPr>
          <w:rFonts w:ascii="宋体" w:hAnsi="宋体"/>
          <w:b/>
          <w:sz w:val="32"/>
          <w:szCs w:val="32"/>
        </w:rPr>
      </w:pPr>
      <w:r/>
      <w:bookmarkStart w:id="418" w:name="_Hlt26955054"/>
      <w:r/>
      <w:bookmarkEnd w:id="418"/>
      <w:r/>
      <w:bookmarkStart w:id="419" w:name="_Toc138777696"/>
      <w:r/>
      <w:bookmarkStart w:id="420" w:name="_Toc113352363"/>
      <w:r>
        <w:rPr>
          <w:rFonts w:hint="eastAsia" w:ascii="宋体" w:hAnsi="宋体"/>
          <w:b/>
          <w:sz w:val="32"/>
          <w:szCs w:val="32"/>
        </w:rPr>
        <w:t xml:space="preserve">技术文件</w:t>
      </w:r>
      <w:r/>
    </w:p>
    <w:p>
      <w:pPr>
        <w:jc w:val="center"/>
        <w:widowControl/>
      </w:pPr>
      <w:r/>
      <w:bookmarkStart w:id="421" w:name="_Toc7624"/>
      <w:r/>
      <w:bookmarkStart w:id="422" w:name="_Toc5276"/>
      <w:r>
        <w:rPr>
          <w:rFonts w:hint="eastAsia" w:ascii="宋体" w:hAnsi="宋体" w:cs="宋体"/>
          <w:sz w:val="28"/>
          <w:szCs w:val="28"/>
        </w:rPr>
        <w:t xml:space="preserve">投标人自拟格式与内容</w:t>
      </w:r>
      <w:bookmarkEnd w:id="421"/>
      <w:r/>
      <w:bookmarkEnd w:id="422"/>
      <w:r/>
      <w:r/>
    </w:p>
    <w:p>
      <w:pPr>
        <w:pStyle w:val="810"/>
        <w:rPr>
          <w:rFonts w:ascii="宋体" w:hAnsi="宋体" w:eastAsia="宋体" w:cs="Times New Roman"/>
          <w:bCs w:val="0"/>
          <w:sz w:val="32"/>
          <w:szCs w:val="32"/>
        </w:rPr>
      </w:pPr>
      <w:r>
        <w:rPr>
          <w:rFonts w:ascii="宋体" w:hAnsi="宋体" w:eastAsia="宋体" w:cs="Times New Roman"/>
          <w:bCs w:val="0"/>
          <w:sz w:val="32"/>
          <w:szCs w:val="32"/>
        </w:rPr>
      </w:r>
      <w:r/>
    </w:p>
    <w:p>
      <w:pPr>
        <w:jc w:val="center"/>
        <w:spacing w:before="240" w:line="360" w:lineRule="auto"/>
      </w:pPr>
      <w:r>
        <w:br w:type="page" w:clear="all"/>
      </w:r>
      <w:bookmarkStart w:id="423" w:name="_Toc10013"/>
      <w:r/>
      <w:bookmarkStart w:id="424" w:name="_Toc633"/>
      <w:r>
        <w:rPr>
          <w:rFonts w:hint="eastAsia" w:ascii="宋体" w:hAnsi="宋体"/>
          <w:b/>
          <w:sz w:val="32"/>
          <w:szCs w:val="32"/>
          <w:lang w:val="en-US" w:eastAsia="zh-CN"/>
        </w:rPr>
        <w:t xml:space="preserve">七</w:t>
      </w:r>
      <w:r>
        <w:rPr>
          <w:rFonts w:hint="eastAsia" w:ascii="宋体" w:hAnsi="宋体"/>
          <w:b/>
          <w:sz w:val="32"/>
          <w:szCs w:val="32"/>
        </w:rPr>
        <w:t xml:space="preserve">、商务条款响应及偏离表</w:t>
      </w:r>
      <w:bookmarkEnd w:id="419"/>
      <w:r/>
      <w:bookmarkEnd w:id="420"/>
      <w:r/>
      <w:bookmarkEnd w:id="423"/>
      <w:r/>
      <w:bookmarkEnd w:id="424"/>
      <w:r/>
      <w:r/>
    </w:p>
    <w:tbl>
      <w:tblPr>
        <w:tblStyle w:val="813"/>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Cs w:val="21"/>
              </w:rPr>
            </w:pPr>
            <w:r/>
            <w:bookmarkStart w:id="425" w:name="_Hlt26955066"/>
            <w:r/>
            <w:bookmarkEnd w:id="425"/>
            <w:r/>
            <w:bookmarkStart w:id="426" w:name="_Hlt26671374"/>
            <w:r/>
            <w:bookmarkEnd w:id="426"/>
            <w:r/>
            <w:bookmarkStart w:id="427" w:name="_Hlt26609389"/>
            <w:r/>
            <w:bookmarkEnd w:id="427"/>
            <w:r/>
            <w:bookmarkStart w:id="428" w:name="_Toc462564146"/>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投标人的承诺或说明</w:t>
            </w:r>
            <w:r/>
          </w:p>
        </w:tc>
      </w:tr>
      <w:tr>
        <w:trPr>
          <w:trHeight w:val="564"/>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r>
    </w:tbl>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hint="eastAsia" w:ascii="宋体" w:hAnsi="宋体"/>
          <w:sz w:val="24"/>
        </w:rPr>
        <w:t xml:space="preserve">.</w:t>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r/>
    </w:p>
    <w:p>
      <w:pPr>
        <w:pStyle w:val="815"/>
        <w:ind w:firstLine="480"/>
        <w:rPr>
          <w:rFonts w:ascii="宋体" w:hAnsi="宋体"/>
          <w:sz w:val="24"/>
        </w:rPr>
      </w:pPr>
      <w:r>
        <w:rPr>
          <w:rFonts w:ascii="宋体" w:hAnsi="宋体"/>
          <w:sz w:val="24"/>
        </w:rPr>
      </w:r>
      <w:bookmarkEnd w:id="428"/>
      <w:r/>
      <w:r/>
    </w:p>
    <w:p>
      <w:pPr>
        <w:jc w:val="left"/>
        <w:widowControl/>
        <w:rPr>
          <w:rFonts w:ascii="宋体" w:hAnsi="宋体"/>
          <w:b/>
        </w:rPr>
      </w:pPr>
      <w:r/>
      <w:bookmarkStart w:id="429" w:name="_格式2__法定代表人授权书"/>
      <w:r/>
      <w:bookmarkEnd w:id="429"/>
      <w:r>
        <w:rPr>
          <w:rFonts w:ascii="宋体" w:hAnsi="宋体"/>
          <w:b/>
        </w:rPr>
        <w:br w:type="page" w:clear="all"/>
      </w:r>
      <w:r/>
    </w:p>
    <w:p>
      <w:pPr>
        <w:jc w:val="center"/>
        <w:spacing w:before="240" w:line="360" w:lineRule="auto"/>
        <w:rPr>
          <w:rFonts w:ascii="宋体" w:hAnsi="宋体"/>
          <w:b/>
          <w:sz w:val="32"/>
          <w:szCs w:val="32"/>
        </w:rPr>
      </w:pPr>
      <w:r>
        <w:rPr>
          <w:rFonts w:hint="eastAsia" w:ascii="宋体" w:hAnsi="宋体"/>
          <w:b/>
          <w:sz w:val="32"/>
          <w:szCs w:val="32"/>
        </w:rPr>
        <w:t xml:space="preserve">商务文件</w:t>
      </w:r>
      <w:r/>
    </w:p>
    <w:p>
      <w:pPr>
        <w:jc w:val="center"/>
        <w:widowControl/>
      </w:pPr>
      <w:r/>
      <w:bookmarkStart w:id="430" w:name="_Toc9656"/>
      <w:r/>
      <w:bookmarkStart w:id="431" w:name="_Toc19361"/>
      <w:r>
        <w:rPr>
          <w:rFonts w:hint="eastAsia" w:ascii="宋体" w:hAnsi="宋体" w:cs="宋体"/>
          <w:sz w:val="28"/>
          <w:szCs w:val="28"/>
        </w:rPr>
        <w:t xml:space="preserve">投标人自拟格式与内容</w:t>
      </w:r>
      <w:bookmarkEnd w:id="430"/>
      <w:r/>
      <w:bookmarkEnd w:id="431"/>
      <w:r/>
      <w:r/>
    </w:p>
    <w:p>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before="240" w:line="360" w:lineRule="auto"/>
        <w:rPr>
          <w:rFonts w:ascii="宋体" w:hAnsi="宋体"/>
          <w:b/>
          <w:sz w:val="32"/>
          <w:szCs w:val="32"/>
        </w:rPr>
      </w:pPr>
      <w:r/>
      <w:bookmarkStart w:id="432" w:name="_Toc9128"/>
      <w:r/>
      <w:bookmarkStart w:id="433" w:name="_Toc14718"/>
      <w:r>
        <w:rPr>
          <w:rFonts w:hint="eastAsia" w:ascii="宋体" w:hAnsi="宋体"/>
          <w:b/>
          <w:sz w:val="32"/>
          <w:szCs w:val="32"/>
        </w:rPr>
        <w:t xml:space="preserve">服务响应承诺</w:t>
      </w:r>
      <w:bookmarkEnd w:id="432"/>
      <w:r/>
      <w:bookmarkEnd w:id="433"/>
      <w:r/>
      <w:r/>
    </w:p>
    <w:p>
      <w:pPr>
        <w:ind w:firstLine="470"/>
        <w:spacing w:line="360" w:lineRule="auto"/>
        <w:rPr>
          <w:rFonts w:ascii="宋体" w:hAnsi="宋体" w:cs="宋体"/>
          <w:bCs/>
          <w:sz w:val="24"/>
          <w:szCs w:val="24"/>
        </w:rPr>
      </w:pPr>
      <w:r>
        <w:rPr>
          <w:rFonts w:hint="eastAsia" w:ascii="宋体" w:hAnsi="宋体" w:cs="宋体"/>
          <w:bCs/>
          <w:sz w:val="24"/>
          <w:szCs w:val="24"/>
        </w:rPr>
        <w:t xml:space="preserve">我公司已认真阅读招标文件，完全理解并接受招标文件中关于后续服务响应的要求，现就后续服务响应作如下承诺：</w:t>
      </w:r>
      <w:r/>
    </w:p>
    <w:p>
      <w:pPr>
        <w:pStyle w:val="1016"/>
        <w:ind w:left="0" w:firstLine="480"/>
        <w:spacing w:line="360" w:lineRule="auto"/>
        <w:rPr>
          <w:rFonts w:ascii="宋体" w:hAnsi="宋体" w:cs="宋体"/>
          <w:bCs/>
          <w:sz w:val="24"/>
          <w:szCs w:val="24"/>
        </w:rPr>
      </w:pPr>
      <w:r>
        <w:rPr>
          <w:rFonts w:hint="eastAsia" w:ascii="宋体" w:hAnsi="宋体" w:cs="宋体"/>
          <w:bCs/>
          <w:sz w:val="24"/>
          <w:szCs w:val="24"/>
        </w:rPr>
        <w:t xml:space="preserve">我公司如果成交，将严格执行招标文件中关于服务响应的要求。</w:t>
      </w:r>
      <w:r>
        <w:rPr>
          <w:rFonts w:hint="eastAsia" w:ascii="宋体" w:hAnsi="宋体"/>
          <w:bCs/>
          <w:sz w:val="24"/>
          <w:szCs w:val="24"/>
        </w:rPr>
        <w:t xml:space="preserve">拟投入人员名单必须和实际开展工作的人员完全一致，不得变更。</w:t>
      </w:r>
      <w:r>
        <w:rPr>
          <w:rFonts w:hint="eastAsia" w:ascii="宋体" w:hAnsi="宋体" w:cs="宋体"/>
          <w:bCs/>
          <w:sz w:val="24"/>
          <w:szCs w:val="24"/>
        </w:rPr>
        <w:t xml:space="preserve">在履约过程中，接到采购人通知后项目负责人及相关专业组员在</w:t>
      </w:r>
      <w:r>
        <w:rPr>
          <w:rFonts w:hint="eastAsia" w:ascii="宋体" w:hAnsi="宋体" w:cs="宋体"/>
          <w:bCs/>
          <w:sz w:val="24"/>
          <w:szCs w:val="24"/>
          <w:u w:val="single"/>
        </w:rPr>
        <w:t xml:space="preserve">      </w:t>
      </w:r>
      <w:r>
        <w:rPr>
          <w:rFonts w:hint="eastAsia" w:ascii="宋体" w:hAnsi="宋体" w:cs="宋体"/>
          <w:bCs/>
          <w:sz w:val="24"/>
          <w:szCs w:val="24"/>
        </w:rPr>
        <w:t xml:space="preserve">小时内到达项目协调会现场。若未按要求及时到达协调会现场，迟到一次，无条件接受采购人扣减我公司服务费用的10%，如果出现三次未按时到达协调会现场，我公司无条件接受采购人解除采购合同的决定，承担相应违约责任和因此而造成的经济损失并及时做好相关工作的交接。同时，我公司无条件接受采购人将违约情况通报相关行业主管和监管部门和将失信行为推送给社会信用体系，</w:t>
      </w:r>
      <w:r>
        <w:rPr>
          <w:rFonts w:hint="eastAsia" w:ascii="宋体" w:cs="宋体"/>
          <w:bCs/>
          <w:sz w:val="24"/>
          <w:szCs w:val="24"/>
        </w:rPr>
        <w:t xml:space="preserve">纳入红黑名单管理的做法并且</w:t>
      </w:r>
      <w:r>
        <w:rPr>
          <w:rFonts w:hint="eastAsia" w:ascii="宋体" w:hAnsi="宋体" w:cs="宋体"/>
          <w:bCs/>
          <w:sz w:val="24"/>
          <w:szCs w:val="24"/>
        </w:rPr>
        <w:t xml:space="preserve">不得参加以后本采购单位的所有投标。</w:t>
      </w:r>
      <w:r/>
    </w:p>
    <w:p>
      <w:pPr>
        <w:ind w:firstLine="470"/>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jc w:val="left"/>
        <w:spacing w:line="360" w:lineRule="auto"/>
        <w:rPr>
          <w:bCs/>
          <w:color w:val="000000"/>
          <w:sz w:val="24"/>
          <w:szCs w:val="24"/>
        </w:rPr>
      </w:pPr>
      <w:r>
        <w:rPr>
          <w:bCs/>
          <w:color w:val="000000"/>
          <w:sz w:val="24"/>
          <w:szCs w:val="24"/>
        </w:rPr>
      </w:r>
      <w:r/>
    </w:p>
    <w:p>
      <w:pPr>
        <w:ind w:firstLine="480"/>
        <w:jc w:val="left"/>
        <w:spacing w:line="360" w:lineRule="auto"/>
        <w:rPr>
          <w:bCs/>
          <w:color w:val="000000"/>
          <w:sz w:val="24"/>
          <w:szCs w:val="24"/>
        </w:rPr>
      </w:pPr>
      <w:r>
        <w:rPr>
          <w:bCs/>
          <w:color w:val="000000"/>
          <w:sz w:val="24"/>
          <w:szCs w:val="24"/>
        </w:rPr>
      </w:r>
      <w:r/>
    </w:p>
    <w:p>
      <w:r/>
      <w:r/>
    </w:p>
    <w:p>
      <w:pPr>
        <w:ind w:firstLine="480"/>
        <w:jc w:val="left"/>
        <w:spacing w:line="360" w:lineRule="auto"/>
        <w:rPr>
          <w:bCs/>
          <w:color w:val="000000"/>
          <w:sz w:val="24"/>
          <w:szCs w:val="24"/>
        </w:rPr>
      </w:pPr>
      <w:r>
        <w:rPr>
          <w:bCs/>
          <w:color w:val="000000"/>
          <w:sz w:val="24"/>
          <w:szCs w:val="24"/>
        </w:rPr>
      </w:r>
      <w:r/>
    </w:p>
    <w:p>
      <w:pPr>
        <w:ind w:firstLine="1920"/>
        <w:jc w:val="left"/>
        <w:spacing w:line="360" w:lineRule="auto"/>
        <w:rPr>
          <w:bCs/>
          <w:color w:val="000000"/>
          <w:sz w:val="24"/>
          <w:szCs w:val="24"/>
        </w:rPr>
      </w:pPr>
      <w:r>
        <w:rPr>
          <w:rFonts w:hint="eastAsia"/>
          <w:bCs/>
          <w:color w:val="000000"/>
          <w:sz w:val="24"/>
          <w:szCs w:val="24"/>
        </w:rPr>
        <w:t xml:space="preserve">投标人：（单位公章）</w:t>
      </w:r>
      <w:r/>
    </w:p>
    <w:p>
      <w:pPr>
        <w:pStyle w:val="844"/>
      </w:pPr>
      <w:r/>
      <w:r/>
    </w:p>
    <w:p>
      <w:pPr>
        <w:ind w:firstLine="1920"/>
        <w:jc w:val="left"/>
        <w:spacing w:line="360" w:lineRule="auto"/>
        <w:rPr>
          <w:bCs/>
          <w:color w:val="000000"/>
          <w:sz w:val="24"/>
          <w:szCs w:val="24"/>
        </w:rPr>
      </w:pPr>
      <w:r>
        <w:rPr>
          <w:rFonts w:hint="eastAsia"/>
          <w:bCs/>
          <w:color w:val="000000"/>
          <w:sz w:val="24"/>
          <w:szCs w:val="24"/>
        </w:rPr>
        <w:t xml:space="preserve">法定代表人</w:t>
      </w:r>
      <w:r>
        <w:rPr>
          <w:rFonts w:hint="eastAsia" w:ascii="宋体" w:hAnsi="宋体"/>
          <w:bCs/>
          <w:color w:val="000000"/>
          <w:sz w:val="24"/>
          <w:szCs w:val="24"/>
        </w:rPr>
        <w:t xml:space="preserve">（投标单位负责人）</w:t>
      </w:r>
      <w:r>
        <w:rPr>
          <w:rFonts w:hint="eastAsia"/>
          <w:bCs/>
          <w:color w:val="000000"/>
          <w:sz w:val="24"/>
          <w:szCs w:val="24"/>
        </w:rPr>
        <w:t xml:space="preserve">（签字）：</w:t>
      </w:r>
      <w:r/>
    </w:p>
    <w:p>
      <w:pPr>
        <w:pStyle w:val="844"/>
      </w:pPr>
      <w:r/>
      <w:r/>
    </w:p>
    <w:p>
      <w:pPr>
        <w:ind w:firstLine="1920"/>
        <w:jc w:val="left"/>
        <w:spacing w:line="360" w:lineRule="auto"/>
        <w:rPr>
          <w:bCs/>
          <w:color w:val="000000"/>
          <w:sz w:val="24"/>
          <w:szCs w:val="24"/>
        </w:rPr>
      </w:pPr>
      <w:r>
        <w:rPr>
          <w:rFonts w:hint="eastAsia"/>
          <w:bCs/>
          <w:color w:val="000000"/>
          <w:sz w:val="24"/>
          <w:szCs w:val="24"/>
        </w:rPr>
        <w:t xml:space="preserve">日期：</w:t>
      </w:r>
      <w:r/>
    </w:p>
    <w:p>
      <w:pPr>
        <w:pStyle w:val="814"/>
      </w:pPr>
      <w:r/>
      <w:r/>
    </w:p>
    <w:p>
      <w:r/>
      <w:r/>
    </w:p>
    <w:p>
      <w:pPr>
        <w:pStyle w:val="814"/>
      </w:pPr>
      <w:r/>
      <w:r/>
    </w:p>
    <w:p>
      <w:r/>
      <w:r/>
    </w:p>
    <w:p>
      <w:pPr>
        <w:pStyle w:val="814"/>
      </w:pPr>
      <w:r/>
      <w:r/>
    </w:p>
    <w:p>
      <w:pPr>
        <w:jc w:val="center"/>
        <w:spacing w:before="240" w:line="360" w:lineRule="auto"/>
        <w:rPr>
          <w:rFonts w:ascii="宋体" w:hAnsi="宋体"/>
          <w:b/>
          <w:sz w:val="32"/>
          <w:szCs w:val="32"/>
        </w:rPr>
      </w:pPr>
      <w:r>
        <w:br w:type="page" w:clear="all"/>
      </w:r>
      <w:bookmarkStart w:id="434" w:name="_Toc18141"/>
      <w:r/>
      <w:bookmarkStart w:id="435" w:name="_Toc10300"/>
      <w:r>
        <w:rPr>
          <w:rFonts w:hint="eastAsia" w:ascii="宋体" w:hAnsi="宋体"/>
          <w:b/>
          <w:sz w:val="32"/>
          <w:szCs w:val="32"/>
        </w:rPr>
        <w:t xml:space="preserve">主要标的信息（中标后将公示）</w:t>
      </w:r>
      <w:bookmarkEnd w:id="434"/>
      <w:r/>
      <w:bookmarkEnd w:id="435"/>
      <w:r/>
      <w:r/>
    </w:p>
    <w:p>
      <w:pPr>
        <w:spacing w:after="240" w:line="360" w:lineRule="auto"/>
        <w:rPr>
          <w:rFonts w:ascii="宋体" w:hAnsi="宋体"/>
          <w:sz w:val="24"/>
          <w:szCs w:val="24"/>
        </w:rPr>
      </w:pPr>
      <w:r>
        <w:rPr>
          <w:rFonts w:ascii="宋体" w:hAnsi="宋体"/>
          <w:sz w:val="24"/>
          <w:szCs w:val="24"/>
        </w:rPr>
      </w:r>
      <w:r/>
    </w:p>
    <w:p>
      <w:pPr>
        <w:ind w:firstLine="240"/>
        <w:spacing w:after="240" w:line="360" w:lineRule="auto"/>
        <w:rPr>
          <w:rFonts w:ascii="宋体" w:hAnsi="宋体"/>
          <w:b/>
          <w:sz w:val="24"/>
          <w:szCs w:val="24"/>
        </w:rPr>
      </w:pPr>
      <w:r>
        <w:rPr>
          <w:rFonts w:hint="eastAsia" w:ascii="宋体" w:hAnsi="宋体"/>
          <w:sz w:val="24"/>
          <w:szCs w:val="24"/>
        </w:rPr>
        <w:t xml:space="preserve">投标人全称：</w:t>
      </w:r>
      <w:r/>
    </w:p>
    <w:tbl>
      <w:tblPr>
        <w:tblStyle w:val="813"/>
        <w:tblW w:w="7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1"/>
      </w:tblGrid>
      <w:tr>
        <w:trPr>
          <w:jc w:val="center"/>
          <w:trHeight w:val="564"/>
        </w:trPr>
        <w:tc>
          <w:tcPr>
            <w:tcW w:w="378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jc w:val="center"/>
          <w:trHeight w:val="2032"/>
        </w:trPr>
        <w:tc>
          <w:tcPr>
            <w:tcW w:w="3780"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11"/>
      </w:pPr>
      <w:r/>
      <w:r/>
    </w:p>
    <w:p>
      <w:pPr>
        <w:pStyle w:val="811"/>
      </w:pPr>
      <w:r/>
      <w:r/>
    </w:p>
    <w:sectPr>
      <w:footerReference w:type="default" r:id="rId16"/>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Courier New">
    <w:panose1 w:val="02070309020205020404"/>
  </w:font>
  <w:font w:name="长城小标宋体">
    <w:panose1 w:val="020B0503020202020204"/>
  </w:font>
  <w:font w:name="楷体_GB2312">
    <w:panose1 w:val="02010609060101010101"/>
  </w:font>
  <w:font w:name="华文中宋">
    <w:panose1 w:val="02010600040101010101"/>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rPr>
        <w:rFonts w:ascii="宋体" w:hAnsi="宋体"/>
        <w:sz w:val="21"/>
        <w:szCs w:val="21"/>
      </w:rPr>
    </w:pPr>
    <w:r>
      <w:rPr>
        <w:rFonts w:ascii="宋体" w:hAnsi="宋体"/>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 xml:space="preserve">26</w:t>
    </w:r>
    <w:r>
      <w:rPr>
        <w:rFonts w:ascii="宋体" w:hAnsi="宋体"/>
        <w:sz w:val="21"/>
        <w:szCs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rPr>
        <w:rFonts w:ascii="宋体" w:hAnsi="宋体"/>
        <w:sz w:val="21"/>
      </w:rPr>
    </w:pPr>
    <w:r>
      <w:rPr>
        <w:rFonts w:ascii="宋体" w:hAnsi="宋体"/>
        <w:sz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rPr>
        <w:rFonts w:ascii="宋体" w:hAnsi="宋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pPr>
    <w:r>
      <w:rPr>
        <w:rFonts w:hint="eastAsia"/>
      </w:rPr>
      <w:t xml:space="preserve">GYZHLX-G-202401                                                            中慧力祥项目管理有限公司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Pr>
        <w:rFonts w:hint="eastAsia"/>
      </w:rPr>
      <w:t xml:space="preserve">高邮北高铁站站前广场和道路工程（高铁广场）项目等项目竣工结算审计服务招标文件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both"/>
      <w:rPr>
        <w:sz w:val="10"/>
        <w:szCs w:val="10"/>
      </w:rPr>
    </w:pPr>
    <w:r>
      <w:rPr>
        <w:rFonts w:hint="eastAsia" w:ascii="宋体" w:hAnsi="宋体" w:cs="宋体"/>
        <w:color w:val="000000"/>
        <w:sz w:val="16"/>
        <w:szCs w:val="10"/>
        <w:lang w:eastAsia="zh-CN"/>
      </w:rPr>
      <w:t xml:space="preserve">JSZC-321084-YZHZ-G2026-0008</w:t>
    </w:r>
    <w:r>
      <w:rPr>
        <w:rFonts w:hint="eastAsia" w:ascii="宋体" w:hAnsi="宋体" w:cs="宋体"/>
        <w:color w:val="000000"/>
        <w:sz w:val="16"/>
        <w:szCs w:val="10"/>
      </w:rPr>
      <w:t xml:space="preserve">                                                    扬州华泽工程项目管理咨询有限公司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Heading 4"/>
    <w:basedOn w:val="808"/>
    <w:next w:val="808"/>
    <w:link w:val="856"/>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808"/>
    <w:next w:val="808"/>
    <w:link w:val="858"/>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808"/>
    <w:next w:val="808"/>
    <w:link w:val="860"/>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808"/>
    <w:next w:val="808"/>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808"/>
    <w:next w:val="808"/>
    <w:link w:val="864"/>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808"/>
    <w:next w:val="808"/>
    <w:link w:val="866"/>
    <w:uiPriority w:val="9"/>
    <w:unhideWhenUsed/>
    <w:qFormat/>
    <w:pPr>
      <w:keepLines/>
      <w:keepNext/>
      <w:spacing w:before="320" w:after="200"/>
      <w:outlineLvl w:val="8"/>
    </w:pPr>
    <w:rPr>
      <w:rFonts w:ascii="Arial" w:hAnsi="Arial" w:eastAsia="Arial" w:cs="Arial"/>
      <w:i/>
      <w:iCs/>
      <w:sz w:val="21"/>
      <w:szCs w:val="21"/>
    </w:rPr>
  </w:style>
  <w:style w:type="character" w:styleId="781">
    <w:name w:val="Title Char"/>
    <w:basedOn w:val="812"/>
    <w:link w:val="837"/>
    <w:uiPriority w:val="10"/>
    <w:rPr>
      <w:sz w:val="48"/>
      <w:szCs w:val="48"/>
    </w:rPr>
  </w:style>
  <w:style w:type="character" w:styleId="782">
    <w:name w:val="Subtitle Char"/>
    <w:basedOn w:val="812"/>
    <w:link w:val="830"/>
    <w:uiPriority w:val="11"/>
    <w:rPr>
      <w:sz w:val="24"/>
      <w:szCs w:val="24"/>
    </w:rPr>
  </w:style>
  <w:style w:type="character" w:styleId="783">
    <w:name w:val="Quote Char"/>
    <w:link w:val="871"/>
    <w:uiPriority w:val="29"/>
    <w:rPr>
      <w:i/>
    </w:rPr>
  </w:style>
  <w:style w:type="character" w:styleId="784">
    <w:name w:val="Intense Quote Char"/>
    <w:link w:val="873"/>
    <w:uiPriority w:val="30"/>
    <w:rPr>
      <w:i/>
    </w:rPr>
  </w:style>
  <w:style w:type="paragraph" w:styleId="785">
    <w:name w:val="Caption"/>
    <w:basedOn w:val="808"/>
    <w:next w:val="808"/>
    <w:uiPriority w:val="35"/>
    <w:semiHidden/>
    <w:unhideWhenUsed/>
    <w:qFormat/>
    <w:pPr>
      <w:spacing w:line="276" w:lineRule="auto"/>
    </w:pPr>
    <w:rPr>
      <w:b/>
      <w:bCs/>
      <w:color w:val="4f81bd" w:themeColor="accent1"/>
      <w:sz w:val="18"/>
      <w:szCs w:val="18"/>
    </w:rPr>
  </w:style>
  <w:style w:type="table" w:styleId="786">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5">
    <w:name w:val="Footnote Text Char"/>
    <w:link w:val="831"/>
    <w:uiPriority w:val="99"/>
    <w:rPr>
      <w:sz w:val="18"/>
    </w:rPr>
  </w:style>
  <w:style w:type="character" w:styleId="806">
    <w:name w:val="Endnote Text Char"/>
    <w:link w:val="824"/>
    <w:uiPriority w:val="99"/>
    <w:rPr>
      <w:sz w:val="20"/>
    </w:rPr>
  </w:style>
  <w:style w:type="paragraph" w:styleId="807">
    <w:name w:val="TOC Heading"/>
    <w:uiPriority w:val="39"/>
    <w:unhideWhenUsed/>
  </w:style>
  <w:style w:type="paragraph" w:styleId="808" w:default="1">
    <w:name w:val="Normal"/>
    <w:next w:val="814"/>
    <w:uiPriority w:val="0"/>
    <w:qFormat/>
    <w:pPr>
      <w:jc w:val="both"/>
      <w:widowControl w:val="off"/>
    </w:pPr>
    <w:rPr>
      <w:rFonts w:ascii="Calibri" w:hAnsi="Calibri" w:eastAsia="宋体" w:cs="Times New Roman"/>
      <w:sz w:val="21"/>
      <w:szCs w:val="22"/>
      <w:lang w:val="en-US" w:eastAsia="zh-CN" w:bidi="ar-SA"/>
    </w:rPr>
  </w:style>
  <w:style w:type="paragraph" w:styleId="809">
    <w:name w:val="Heading 1"/>
    <w:basedOn w:val="808"/>
    <w:next w:val="808"/>
    <w:uiPriority w:val="9"/>
    <w:qFormat/>
    <w:pPr>
      <w:jc w:val="center"/>
      <w:keepLines/>
      <w:keepNext/>
      <w:spacing w:before="340" w:after="330" w:line="360" w:lineRule="auto"/>
      <w:outlineLvl w:val="0"/>
    </w:pPr>
    <w:rPr>
      <w:rFonts w:ascii="宋体" w:hAnsi="宋体"/>
      <w:b/>
      <w:bCs/>
      <w:color w:val="000000"/>
      <w:sz w:val="34"/>
      <w:szCs w:val="34"/>
    </w:rPr>
  </w:style>
  <w:style w:type="paragraph" w:styleId="810">
    <w:name w:val="Heading 2"/>
    <w:basedOn w:val="808"/>
    <w:next w:val="81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11">
    <w:name w:val="Heading 3"/>
    <w:basedOn w:val="808"/>
    <w:next w:val="808"/>
    <w:uiPriority w:val="0"/>
    <w:qFormat/>
    <w:pPr>
      <w:keepLines/>
      <w:keepNext/>
      <w:spacing w:before="260" w:after="260" w:line="416" w:lineRule="auto"/>
      <w:outlineLvl w:val="2"/>
    </w:pPr>
    <w:rPr>
      <w:b/>
      <w:bCs/>
      <w:sz w:val="32"/>
      <w:szCs w:val="32"/>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customStyle="1">
    <w:name w:val="标题 31"/>
    <w:basedOn w:val="808"/>
    <w:next w:val="808"/>
    <w:uiPriority w:val="0"/>
    <w:qFormat/>
    <w:pPr>
      <w:keepLines/>
      <w:keepNext/>
      <w:spacing w:before="260" w:after="260" w:line="416" w:lineRule="auto"/>
      <w:outlineLvl w:val="2"/>
    </w:pPr>
    <w:rPr>
      <w:b/>
      <w:bCs/>
      <w:sz w:val="32"/>
      <w:szCs w:val="32"/>
    </w:rPr>
  </w:style>
  <w:style w:type="paragraph" w:styleId="815">
    <w:name w:val="Normal Indent"/>
    <w:basedOn w:val="808"/>
    <w:uiPriority w:val="0"/>
    <w:unhideWhenUsed/>
    <w:qFormat/>
    <w:pPr>
      <w:ind w:firstLine="420"/>
    </w:pPr>
  </w:style>
  <w:style w:type="paragraph" w:styleId="816">
    <w:name w:val="toc 7"/>
    <w:basedOn w:val="808"/>
    <w:next w:val="808"/>
    <w:uiPriority w:val="39"/>
    <w:unhideWhenUsed/>
    <w:qFormat/>
    <w:pPr>
      <w:ind w:left="1701"/>
      <w:spacing w:after="57"/>
    </w:pPr>
  </w:style>
  <w:style w:type="paragraph" w:styleId="817">
    <w:name w:val="annotation text"/>
    <w:basedOn w:val="808"/>
    <w:uiPriority w:val="0"/>
    <w:qFormat/>
    <w:pPr>
      <w:jc w:val="left"/>
    </w:pPr>
  </w:style>
  <w:style w:type="paragraph" w:styleId="818">
    <w:name w:val="Body Text"/>
    <w:basedOn w:val="808"/>
    <w:link w:val="1026"/>
    <w:uiPriority w:val="0"/>
    <w:qFormat/>
    <w:rPr>
      <w:rFonts w:ascii="楷体_GB2312" w:hAnsi="Arial" w:eastAsia="楷体_GB2312"/>
      <w:sz w:val="28"/>
      <w:szCs w:val="28"/>
    </w:rPr>
  </w:style>
  <w:style w:type="paragraph" w:styleId="819">
    <w:name w:val="Body Text Indent"/>
    <w:basedOn w:val="808"/>
    <w:uiPriority w:val="99"/>
    <w:unhideWhenUsed/>
    <w:qFormat/>
    <w:pPr>
      <w:ind w:left="420"/>
      <w:spacing w:after="120"/>
    </w:pPr>
  </w:style>
  <w:style w:type="paragraph" w:styleId="820">
    <w:name w:val="toc 5"/>
    <w:basedOn w:val="808"/>
    <w:next w:val="808"/>
    <w:uiPriority w:val="39"/>
    <w:unhideWhenUsed/>
    <w:qFormat/>
    <w:pPr>
      <w:ind w:left="1134"/>
      <w:spacing w:after="57"/>
    </w:pPr>
  </w:style>
  <w:style w:type="paragraph" w:styleId="821">
    <w:name w:val="toc 3"/>
    <w:basedOn w:val="808"/>
    <w:next w:val="808"/>
    <w:uiPriority w:val="39"/>
    <w:qFormat/>
    <w:pPr>
      <w:ind w:left="840"/>
    </w:pPr>
  </w:style>
  <w:style w:type="paragraph" w:styleId="822">
    <w:name w:val="Plain Text"/>
    <w:basedOn w:val="808"/>
    <w:uiPriority w:val="99"/>
    <w:qFormat/>
    <w:rPr>
      <w:rFonts w:ascii="宋体" w:hAnsi="Courier New"/>
      <w:sz w:val="20"/>
      <w:szCs w:val="21"/>
    </w:rPr>
  </w:style>
  <w:style w:type="paragraph" w:styleId="823">
    <w:name w:val="toc 8"/>
    <w:basedOn w:val="808"/>
    <w:next w:val="808"/>
    <w:uiPriority w:val="39"/>
    <w:unhideWhenUsed/>
    <w:qFormat/>
    <w:pPr>
      <w:ind w:left="1984"/>
      <w:spacing w:after="57"/>
    </w:pPr>
  </w:style>
  <w:style w:type="paragraph" w:styleId="824">
    <w:name w:val="endnote text"/>
    <w:basedOn w:val="808"/>
    <w:link w:val="1007"/>
    <w:uiPriority w:val="99"/>
    <w:semiHidden/>
    <w:unhideWhenUsed/>
    <w:qFormat/>
    <w:rPr>
      <w:rFonts w:ascii="Times New Roman" w:hAnsi="Times New Roman"/>
      <w:sz w:val="20"/>
      <w:szCs w:val="20"/>
    </w:rPr>
  </w:style>
  <w:style w:type="paragraph" w:styleId="825">
    <w:name w:val="Balloon Text"/>
    <w:basedOn w:val="808"/>
    <w:link w:val="1009"/>
    <w:uiPriority w:val="0"/>
    <w:qFormat/>
    <w:rPr>
      <w:rFonts w:ascii="Times New Roman" w:hAnsi="Times New Roman"/>
      <w:sz w:val="18"/>
      <w:szCs w:val="18"/>
    </w:rPr>
  </w:style>
  <w:style w:type="paragraph" w:styleId="826">
    <w:name w:val="Footer"/>
    <w:basedOn w:val="808"/>
    <w:link w:val="1021"/>
    <w:uiPriority w:val="99"/>
    <w:unhideWhenUsed/>
    <w:qFormat/>
    <w:pPr>
      <w:jc w:val="left"/>
      <w:tabs>
        <w:tab w:val="center" w:pos="4153" w:leader="none"/>
        <w:tab w:val="right" w:pos="8306" w:leader="none"/>
      </w:tabs>
    </w:pPr>
    <w:rPr>
      <w:sz w:val="18"/>
      <w:szCs w:val="18"/>
    </w:rPr>
  </w:style>
  <w:style w:type="paragraph" w:styleId="827">
    <w:name w:val="Header"/>
    <w:basedOn w:val="808"/>
    <w:link w:val="102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28">
    <w:name w:val="toc 1"/>
    <w:basedOn w:val="808"/>
    <w:next w:val="808"/>
    <w:uiPriority w:val="39"/>
    <w:unhideWhenUsed/>
    <w:qFormat/>
  </w:style>
  <w:style w:type="paragraph" w:styleId="829">
    <w:name w:val="toc 4"/>
    <w:basedOn w:val="808"/>
    <w:next w:val="808"/>
    <w:uiPriority w:val="39"/>
    <w:unhideWhenUsed/>
    <w:qFormat/>
    <w:pPr>
      <w:ind w:left="850"/>
      <w:spacing w:after="57"/>
    </w:pPr>
  </w:style>
  <w:style w:type="paragraph" w:styleId="830">
    <w:name w:val="Subtitle"/>
    <w:basedOn w:val="808"/>
    <w:next w:val="808"/>
    <w:link w:val="870"/>
    <w:uiPriority w:val="11"/>
    <w:qFormat/>
    <w:pPr>
      <w:spacing w:before="200" w:after="200"/>
    </w:pPr>
    <w:rPr>
      <w:rFonts w:ascii="Times New Roman" w:hAnsi="Times New Roman"/>
      <w:sz w:val="24"/>
      <w:szCs w:val="24"/>
    </w:rPr>
  </w:style>
  <w:style w:type="paragraph" w:styleId="831">
    <w:name w:val="footnote text"/>
    <w:basedOn w:val="808"/>
    <w:link w:val="1006"/>
    <w:uiPriority w:val="99"/>
    <w:semiHidden/>
    <w:unhideWhenUsed/>
    <w:qFormat/>
    <w:pPr>
      <w:spacing w:after="40"/>
    </w:pPr>
    <w:rPr>
      <w:rFonts w:ascii="Times New Roman" w:hAnsi="Times New Roman"/>
      <w:sz w:val="18"/>
      <w:szCs w:val="20"/>
    </w:rPr>
  </w:style>
  <w:style w:type="paragraph" w:styleId="832">
    <w:name w:val="toc 6"/>
    <w:basedOn w:val="808"/>
    <w:next w:val="808"/>
    <w:uiPriority w:val="39"/>
    <w:unhideWhenUsed/>
    <w:qFormat/>
    <w:pPr>
      <w:ind w:left="1417"/>
      <w:spacing w:after="57"/>
    </w:pPr>
  </w:style>
  <w:style w:type="paragraph" w:styleId="833">
    <w:name w:val="table of figures"/>
    <w:basedOn w:val="808"/>
    <w:next w:val="808"/>
    <w:uiPriority w:val="99"/>
    <w:unhideWhenUsed/>
    <w:qFormat/>
  </w:style>
  <w:style w:type="paragraph" w:styleId="834">
    <w:name w:val="toc 2"/>
    <w:basedOn w:val="808"/>
    <w:next w:val="808"/>
    <w:uiPriority w:val="39"/>
    <w:qFormat/>
    <w:pPr>
      <w:ind w:left="420"/>
    </w:pPr>
  </w:style>
  <w:style w:type="paragraph" w:styleId="835">
    <w:name w:val="toc 9"/>
    <w:basedOn w:val="808"/>
    <w:next w:val="808"/>
    <w:uiPriority w:val="99"/>
    <w:qFormat/>
    <w:pPr>
      <w:ind w:left="3360"/>
    </w:pPr>
  </w:style>
  <w:style w:type="paragraph" w:styleId="836">
    <w:name w:val="Normal (Web)"/>
    <w:basedOn w:val="808"/>
    <w:uiPriority w:val="0"/>
    <w:qFormat/>
    <w:rPr>
      <w:rFonts w:ascii="Times New Roman" w:hAnsi="Times New Roman"/>
      <w:sz w:val="24"/>
    </w:rPr>
  </w:style>
  <w:style w:type="paragraph" w:styleId="837">
    <w:name w:val="Title"/>
    <w:basedOn w:val="808"/>
    <w:next w:val="808"/>
    <w:link w:val="869"/>
    <w:uiPriority w:val="10"/>
    <w:qFormat/>
    <w:pPr>
      <w:contextualSpacing/>
      <w:spacing w:before="300" w:after="200"/>
    </w:pPr>
    <w:rPr>
      <w:rFonts w:ascii="Times New Roman" w:hAnsi="Times New Roman"/>
      <w:sz w:val="48"/>
      <w:szCs w:val="48"/>
    </w:rPr>
  </w:style>
  <w:style w:type="table" w:styleId="838">
    <w:name w:val="Table Grid"/>
    <w:basedOn w:val="8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9">
    <w:name w:val="Strong"/>
    <w:uiPriority w:val="0"/>
    <w:qFormat/>
    <w:rPr>
      <w:b/>
    </w:rPr>
  </w:style>
  <w:style w:type="character" w:styleId="840">
    <w:name w:val="endnote reference"/>
    <w:uiPriority w:val="99"/>
    <w:semiHidden/>
    <w:unhideWhenUsed/>
    <w:qFormat/>
    <w:rPr>
      <w:vertAlign w:val="superscript"/>
    </w:rPr>
  </w:style>
  <w:style w:type="character" w:styleId="841">
    <w:name w:val="Hyperlink"/>
    <w:uiPriority w:val="0"/>
    <w:qFormat/>
    <w:rPr>
      <w:color w:val="0000ff"/>
      <w:u w:val="single"/>
    </w:rPr>
  </w:style>
  <w:style w:type="character" w:styleId="842">
    <w:name w:val="annotation reference"/>
    <w:uiPriority w:val="0"/>
    <w:qFormat/>
    <w:rPr>
      <w:sz w:val="21"/>
      <w:szCs w:val="21"/>
    </w:rPr>
  </w:style>
  <w:style w:type="character" w:styleId="843">
    <w:name w:val="footnote reference"/>
    <w:uiPriority w:val="99"/>
    <w:unhideWhenUsed/>
    <w:qFormat/>
    <w:rPr>
      <w:vertAlign w:val="superscript"/>
    </w:rPr>
  </w:style>
  <w:style w:type="paragraph" w:styleId="844" w:customStyle="1">
    <w:name w:val="正文1"/>
    <w:basedOn w:val="808"/>
    <w:next w:val="845"/>
    <w:uiPriority w:val="0"/>
    <w:qFormat/>
    <w:pPr>
      <w:jc w:val="left"/>
      <w:spacing w:line="360" w:lineRule="atLeast"/>
    </w:pPr>
    <w:rPr>
      <w:rFonts w:ascii="宋体"/>
      <w:sz w:val="24"/>
      <w:szCs w:val="20"/>
    </w:rPr>
  </w:style>
  <w:style w:type="paragraph" w:styleId="845" w:customStyle="1">
    <w:name w:val="正文文本1"/>
    <w:basedOn w:val="844"/>
    <w:next w:val="846"/>
    <w:uiPriority w:val="0"/>
    <w:qFormat/>
    <w:pPr>
      <w:spacing w:after="120"/>
    </w:pPr>
    <w:rPr>
      <w:lang w:eastAsia="en-US"/>
    </w:rPr>
  </w:style>
  <w:style w:type="paragraph" w:styleId="846" w:customStyle="1">
    <w:name w:val="一级条标题"/>
    <w:basedOn w:val="847"/>
    <w:next w:val="8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7" w:customStyle="1">
    <w:name w:val="章标题"/>
    <w:next w:val="80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8" w:customStyle="1">
    <w:name w:val="段"/>
    <w:basedOn w:val="844"/>
    <w:next w:val="808"/>
    <w:uiPriority w:val="0"/>
    <w:qFormat/>
    <w:pPr>
      <w:ind w:firstLine="200"/>
      <w:widowControl/>
    </w:pPr>
    <w:rPr>
      <w:sz w:val="20"/>
    </w:rPr>
  </w:style>
  <w:style w:type="paragraph" w:styleId="849" w:customStyle="1">
    <w:name w:val="标题 11"/>
    <w:basedOn w:val="808"/>
    <w:next w:val="808"/>
    <w:link w:val="850"/>
    <w:uiPriority w:val="9"/>
    <w:qFormat/>
    <w:pPr>
      <w:keepLines/>
      <w:keepNext/>
      <w:spacing w:before="480" w:after="200"/>
      <w:outlineLvl w:val="0"/>
    </w:pPr>
    <w:rPr>
      <w:rFonts w:ascii="Arial" w:hAnsi="Arial" w:eastAsia="Arial"/>
      <w:sz w:val="40"/>
      <w:szCs w:val="40"/>
    </w:rPr>
  </w:style>
  <w:style w:type="character" w:styleId="850" w:customStyle="1">
    <w:name w:val="Heading 1 Char"/>
    <w:link w:val="849"/>
    <w:uiPriority w:val="9"/>
    <w:qFormat/>
    <w:rPr>
      <w:rFonts w:ascii="Arial" w:hAnsi="Arial" w:eastAsia="Arial" w:cs="Arial"/>
      <w:sz w:val="40"/>
      <w:szCs w:val="40"/>
    </w:rPr>
  </w:style>
  <w:style w:type="paragraph" w:styleId="851" w:customStyle="1">
    <w:name w:val="标题 21"/>
    <w:basedOn w:val="808"/>
    <w:next w:val="808"/>
    <w:link w:val="852"/>
    <w:uiPriority w:val="9"/>
    <w:unhideWhenUsed/>
    <w:qFormat/>
    <w:pPr>
      <w:keepLines/>
      <w:keepNext/>
      <w:spacing w:before="360" w:after="200"/>
      <w:outlineLvl w:val="1"/>
    </w:pPr>
    <w:rPr>
      <w:rFonts w:ascii="Arial" w:hAnsi="Arial" w:eastAsia="Arial"/>
      <w:sz w:val="34"/>
      <w:szCs w:val="20"/>
    </w:rPr>
  </w:style>
  <w:style w:type="character" w:styleId="852" w:customStyle="1">
    <w:name w:val="Heading 2 Char"/>
    <w:link w:val="851"/>
    <w:uiPriority w:val="9"/>
    <w:qFormat/>
    <w:rPr>
      <w:rFonts w:ascii="Arial" w:hAnsi="Arial" w:eastAsia="Arial" w:cs="Arial"/>
      <w:sz w:val="34"/>
    </w:rPr>
  </w:style>
  <w:style w:type="paragraph" w:styleId="853" w:customStyle="1">
    <w:name w:val="标题 32"/>
    <w:basedOn w:val="808"/>
    <w:next w:val="808"/>
    <w:link w:val="854"/>
    <w:uiPriority w:val="9"/>
    <w:unhideWhenUsed/>
    <w:qFormat/>
    <w:pPr>
      <w:keepLines/>
      <w:keepNext/>
      <w:spacing w:before="320" w:after="200"/>
      <w:outlineLvl w:val="2"/>
    </w:pPr>
    <w:rPr>
      <w:rFonts w:ascii="Arial" w:hAnsi="Arial" w:eastAsia="Arial"/>
      <w:sz w:val="30"/>
      <w:szCs w:val="30"/>
    </w:rPr>
  </w:style>
  <w:style w:type="character" w:styleId="854" w:customStyle="1">
    <w:name w:val="Heading 3 Char"/>
    <w:link w:val="853"/>
    <w:uiPriority w:val="9"/>
    <w:qFormat/>
    <w:rPr>
      <w:rFonts w:ascii="Arial" w:hAnsi="Arial" w:eastAsia="Arial" w:cs="Arial"/>
      <w:sz w:val="30"/>
      <w:szCs w:val="30"/>
    </w:rPr>
  </w:style>
  <w:style w:type="paragraph" w:styleId="855" w:customStyle="1">
    <w:name w:val="标题 41"/>
    <w:basedOn w:val="808"/>
    <w:next w:val="808"/>
    <w:link w:val="856"/>
    <w:uiPriority w:val="9"/>
    <w:unhideWhenUsed/>
    <w:qFormat/>
    <w:pPr>
      <w:keepLines/>
      <w:keepNext/>
      <w:spacing w:before="320" w:after="200"/>
      <w:outlineLvl w:val="3"/>
    </w:pPr>
    <w:rPr>
      <w:rFonts w:ascii="Arial" w:hAnsi="Arial" w:eastAsia="Arial"/>
      <w:b/>
      <w:bCs/>
      <w:sz w:val="26"/>
      <w:szCs w:val="26"/>
    </w:rPr>
  </w:style>
  <w:style w:type="character" w:styleId="856" w:customStyle="1">
    <w:name w:val="Heading 4 Char"/>
    <w:link w:val="855"/>
    <w:uiPriority w:val="9"/>
    <w:qFormat/>
    <w:rPr>
      <w:rFonts w:ascii="Arial" w:hAnsi="Arial" w:eastAsia="Arial" w:cs="Arial"/>
      <w:b/>
      <w:bCs/>
      <w:sz w:val="26"/>
      <w:szCs w:val="26"/>
    </w:rPr>
  </w:style>
  <w:style w:type="paragraph" w:styleId="857" w:customStyle="1">
    <w:name w:val="标题 51"/>
    <w:basedOn w:val="808"/>
    <w:next w:val="808"/>
    <w:link w:val="858"/>
    <w:uiPriority w:val="9"/>
    <w:unhideWhenUsed/>
    <w:qFormat/>
    <w:pPr>
      <w:keepLines/>
      <w:keepNext/>
      <w:spacing w:before="320" w:after="200"/>
      <w:outlineLvl w:val="4"/>
    </w:pPr>
    <w:rPr>
      <w:rFonts w:ascii="Arial" w:hAnsi="Arial" w:eastAsia="Arial"/>
      <w:b/>
      <w:bCs/>
      <w:sz w:val="24"/>
      <w:szCs w:val="24"/>
    </w:rPr>
  </w:style>
  <w:style w:type="character" w:styleId="858" w:customStyle="1">
    <w:name w:val="Heading 5 Char"/>
    <w:link w:val="857"/>
    <w:uiPriority w:val="9"/>
    <w:qFormat/>
    <w:rPr>
      <w:rFonts w:ascii="Arial" w:hAnsi="Arial" w:eastAsia="Arial" w:cs="Arial"/>
      <w:b/>
      <w:bCs/>
      <w:sz w:val="24"/>
      <w:szCs w:val="24"/>
    </w:rPr>
  </w:style>
  <w:style w:type="paragraph" w:styleId="859" w:customStyle="1">
    <w:name w:val="标题 61"/>
    <w:basedOn w:val="808"/>
    <w:next w:val="808"/>
    <w:link w:val="860"/>
    <w:uiPriority w:val="9"/>
    <w:unhideWhenUsed/>
    <w:qFormat/>
    <w:pPr>
      <w:keepLines/>
      <w:keepNext/>
      <w:spacing w:before="320" w:after="200"/>
      <w:outlineLvl w:val="5"/>
    </w:pPr>
    <w:rPr>
      <w:rFonts w:ascii="Arial" w:hAnsi="Arial" w:eastAsia="Arial"/>
      <w:b/>
      <w:bCs/>
      <w:sz w:val="22"/>
    </w:rPr>
  </w:style>
  <w:style w:type="character" w:styleId="860" w:customStyle="1">
    <w:name w:val="Heading 6 Char"/>
    <w:link w:val="859"/>
    <w:uiPriority w:val="9"/>
    <w:qFormat/>
    <w:rPr>
      <w:rFonts w:ascii="Arial" w:hAnsi="Arial" w:eastAsia="Arial" w:cs="Arial"/>
      <w:b/>
      <w:bCs/>
      <w:sz w:val="22"/>
      <w:szCs w:val="22"/>
    </w:rPr>
  </w:style>
  <w:style w:type="paragraph" w:styleId="861" w:customStyle="1">
    <w:name w:val="标题 71"/>
    <w:basedOn w:val="808"/>
    <w:next w:val="808"/>
    <w:link w:val="862"/>
    <w:uiPriority w:val="9"/>
    <w:unhideWhenUsed/>
    <w:qFormat/>
    <w:pPr>
      <w:keepLines/>
      <w:keepNext/>
      <w:spacing w:before="320" w:after="200"/>
      <w:outlineLvl w:val="6"/>
    </w:pPr>
    <w:rPr>
      <w:rFonts w:ascii="Arial" w:hAnsi="Arial" w:eastAsia="Arial"/>
      <w:b/>
      <w:bCs/>
      <w:i/>
      <w:iCs/>
      <w:sz w:val="22"/>
    </w:rPr>
  </w:style>
  <w:style w:type="character" w:styleId="862" w:customStyle="1">
    <w:name w:val="Heading 7 Char"/>
    <w:link w:val="861"/>
    <w:uiPriority w:val="9"/>
    <w:qFormat/>
    <w:rPr>
      <w:rFonts w:ascii="Arial" w:hAnsi="Arial" w:eastAsia="Arial" w:cs="Arial"/>
      <w:b/>
      <w:bCs/>
      <w:i/>
      <w:iCs/>
      <w:sz w:val="22"/>
      <w:szCs w:val="22"/>
    </w:rPr>
  </w:style>
  <w:style w:type="paragraph" w:styleId="863" w:customStyle="1">
    <w:name w:val="标题 81"/>
    <w:basedOn w:val="808"/>
    <w:next w:val="808"/>
    <w:link w:val="864"/>
    <w:uiPriority w:val="9"/>
    <w:unhideWhenUsed/>
    <w:qFormat/>
    <w:pPr>
      <w:keepLines/>
      <w:keepNext/>
      <w:spacing w:before="320" w:after="200"/>
      <w:outlineLvl w:val="7"/>
    </w:pPr>
    <w:rPr>
      <w:rFonts w:ascii="Arial" w:hAnsi="Arial" w:eastAsia="Arial"/>
      <w:i/>
      <w:iCs/>
      <w:sz w:val="22"/>
    </w:rPr>
  </w:style>
  <w:style w:type="character" w:styleId="864" w:customStyle="1">
    <w:name w:val="Heading 8 Char"/>
    <w:link w:val="863"/>
    <w:uiPriority w:val="9"/>
    <w:qFormat/>
    <w:rPr>
      <w:rFonts w:ascii="Arial" w:hAnsi="Arial" w:eastAsia="Arial" w:cs="Arial"/>
      <w:i/>
      <w:iCs/>
      <w:sz w:val="22"/>
      <w:szCs w:val="22"/>
    </w:rPr>
  </w:style>
  <w:style w:type="paragraph" w:styleId="865" w:customStyle="1">
    <w:name w:val="标题 91"/>
    <w:basedOn w:val="808"/>
    <w:next w:val="808"/>
    <w:link w:val="866"/>
    <w:uiPriority w:val="9"/>
    <w:unhideWhenUsed/>
    <w:qFormat/>
    <w:pPr>
      <w:keepLines/>
      <w:keepNext/>
      <w:spacing w:before="320" w:after="200"/>
      <w:outlineLvl w:val="8"/>
    </w:pPr>
    <w:rPr>
      <w:rFonts w:ascii="Arial" w:hAnsi="Arial" w:eastAsia="Arial"/>
      <w:i/>
      <w:iCs/>
      <w:szCs w:val="21"/>
    </w:rPr>
  </w:style>
  <w:style w:type="character" w:styleId="866" w:customStyle="1">
    <w:name w:val="Heading 9 Char"/>
    <w:link w:val="865"/>
    <w:uiPriority w:val="9"/>
    <w:qFormat/>
    <w:rPr>
      <w:rFonts w:ascii="Arial" w:hAnsi="Arial" w:eastAsia="Arial" w:cs="Arial"/>
      <w:i/>
      <w:iCs/>
      <w:sz w:val="21"/>
      <w:szCs w:val="21"/>
    </w:rPr>
  </w:style>
  <w:style w:type="paragraph" w:styleId="867">
    <w:name w:val="List Paragraph"/>
    <w:basedOn w:val="808"/>
    <w:uiPriority w:val="34"/>
    <w:qFormat/>
    <w:pPr>
      <w:contextualSpacing/>
      <w:ind w:left="720"/>
    </w:pPr>
  </w:style>
  <w:style w:type="paragraph" w:styleId="868">
    <w:name w:val="No Spacing"/>
    <w:uiPriority w:val="1"/>
    <w:qFormat/>
    <w:rPr>
      <w:rFonts w:ascii="Times New Roman" w:hAnsi="Times New Roman" w:eastAsia="宋体" w:cs="Times New Roman"/>
      <w:lang w:val="en-US" w:eastAsia="zh-CN" w:bidi="ar-SA"/>
    </w:rPr>
  </w:style>
  <w:style w:type="character" w:styleId="869" w:customStyle="1">
    <w:name w:val="标题 Char"/>
    <w:link w:val="837"/>
    <w:uiPriority w:val="10"/>
    <w:qFormat/>
    <w:rPr>
      <w:sz w:val="48"/>
      <w:szCs w:val="48"/>
    </w:rPr>
  </w:style>
  <w:style w:type="character" w:styleId="870" w:customStyle="1">
    <w:name w:val="副标题 Char"/>
    <w:link w:val="830"/>
    <w:uiPriority w:val="11"/>
    <w:qFormat/>
    <w:rPr>
      <w:sz w:val="24"/>
      <w:szCs w:val="24"/>
    </w:rPr>
  </w:style>
  <w:style w:type="paragraph" w:styleId="871">
    <w:name w:val="Quote"/>
    <w:basedOn w:val="808"/>
    <w:next w:val="808"/>
    <w:link w:val="872"/>
    <w:uiPriority w:val="29"/>
    <w:qFormat/>
    <w:pPr>
      <w:ind w:left="720" w:right="720"/>
    </w:pPr>
    <w:rPr>
      <w:rFonts w:ascii="Times New Roman" w:hAnsi="Times New Roman"/>
      <w:i/>
      <w:sz w:val="20"/>
      <w:szCs w:val="20"/>
    </w:rPr>
  </w:style>
  <w:style w:type="character" w:styleId="872" w:customStyle="1">
    <w:name w:val="引用 Char"/>
    <w:link w:val="871"/>
    <w:uiPriority w:val="29"/>
    <w:qFormat/>
    <w:rPr>
      <w:i/>
    </w:rPr>
  </w:style>
  <w:style w:type="paragraph" w:styleId="873">
    <w:name w:val="Intense Quote"/>
    <w:basedOn w:val="808"/>
    <w:next w:val="808"/>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74" w:customStyle="1">
    <w:name w:val="明显引用 Char"/>
    <w:link w:val="873"/>
    <w:uiPriority w:val="30"/>
    <w:qFormat/>
    <w:rPr>
      <w:i/>
    </w:rPr>
  </w:style>
  <w:style w:type="paragraph" w:styleId="875" w:customStyle="1">
    <w:name w:val="页眉1"/>
    <w:basedOn w:val="808"/>
    <w:link w:val="876"/>
    <w:uiPriority w:val="99"/>
    <w:unhideWhenUsed/>
    <w:qFormat/>
    <w:pPr>
      <w:tabs>
        <w:tab w:val="center" w:pos="7143" w:leader="none"/>
        <w:tab w:val="right" w:pos="14287" w:leader="none"/>
      </w:tabs>
    </w:pPr>
  </w:style>
  <w:style w:type="character" w:styleId="876" w:customStyle="1">
    <w:name w:val="Header Char"/>
    <w:link w:val="875"/>
    <w:uiPriority w:val="99"/>
    <w:qFormat/>
  </w:style>
  <w:style w:type="paragraph" w:styleId="877" w:customStyle="1">
    <w:name w:val="页脚1"/>
    <w:basedOn w:val="808"/>
    <w:link w:val="880"/>
    <w:uiPriority w:val="99"/>
    <w:unhideWhenUsed/>
    <w:qFormat/>
    <w:pPr>
      <w:tabs>
        <w:tab w:val="center" w:pos="7143" w:leader="none"/>
        <w:tab w:val="right" w:pos="14287" w:leader="none"/>
      </w:tabs>
    </w:pPr>
  </w:style>
  <w:style w:type="character" w:styleId="878" w:customStyle="1">
    <w:name w:val="Footer Char"/>
    <w:uiPriority w:val="99"/>
    <w:qFormat/>
  </w:style>
  <w:style w:type="paragraph" w:styleId="879" w:customStyle="1">
    <w:name w:val="题注1"/>
    <w:basedOn w:val="808"/>
    <w:next w:val="808"/>
    <w:uiPriority w:val="35"/>
    <w:semiHidden/>
    <w:unhideWhenUsed/>
    <w:qFormat/>
    <w:pPr>
      <w:spacing w:line="276" w:lineRule="auto"/>
    </w:pPr>
    <w:rPr>
      <w:b/>
      <w:bCs/>
      <w:color w:val="4f81bd"/>
      <w:sz w:val="18"/>
      <w:szCs w:val="18"/>
    </w:rPr>
  </w:style>
  <w:style w:type="character" w:styleId="880" w:customStyle="1">
    <w:name w:val="Caption Char"/>
    <w:link w:val="877"/>
    <w:uiPriority w:val="99"/>
    <w:qFormat/>
  </w:style>
  <w:style w:type="table" w:styleId="88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4" w:customStyle="1">
    <w:name w:val="无格式表格 31"/>
    <w:uiPriority w:val="99"/>
    <w:qFormat/>
    <w:tblPr>
      <w:tblCellMar>
        <w:left w:w="0" w:type="dxa"/>
        <w:top w:w="0" w:type="dxa"/>
        <w:right w:w="0" w:type="dxa"/>
        <w:bottom w:w="0" w:type="dxa"/>
      </w:tblCellMar>
    </w:tblPr>
  </w:style>
  <w:style w:type="table" w:styleId="885" w:customStyle="1">
    <w:name w:val="无格式表格 41"/>
    <w:uiPriority w:val="99"/>
    <w:qFormat/>
    <w:tblPr>
      <w:tblCellMar>
        <w:left w:w="0" w:type="dxa"/>
        <w:top w:w="0" w:type="dxa"/>
        <w:right w:w="0" w:type="dxa"/>
        <w:bottom w:w="0" w:type="dxa"/>
      </w:tblCellMar>
    </w:tblPr>
  </w:style>
  <w:style w:type="table" w:styleId="886" w:customStyle="1">
    <w:name w:val="无格式表格 51"/>
    <w:uiPriority w:val="99"/>
    <w:qFormat/>
    <w:tblPr>
      <w:tblCellMar>
        <w:left w:w="0" w:type="dxa"/>
        <w:top w:w="0" w:type="dxa"/>
        <w:right w:w="0" w:type="dxa"/>
        <w:bottom w:w="0" w:type="dxa"/>
      </w:tblCellMar>
    </w:tblPr>
  </w:style>
  <w:style w:type="table" w:styleId="88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6" w:customStyle="1">
    <w:name w:val="清单表 1 浅色1"/>
    <w:uiPriority w:val="99"/>
    <w:qFormat/>
    <w:tblPr>
      <w:tblCellMar>
        <w:left w:w="0" w:type="dxa"/>
        <w:top w:w="0" w:type="dxa"/>
        <w:right w:w="0" w:type="dxa"/>
        <w:bottom w:w="0" w:type="dxa"/>
      </w:tblCellMar>
    </w:tblPr>
  </w:style>
  <w:style w:type="table" w:styleId="937" w:customStyle="1">
    <w:name w:val="List Table 1 Light - Accent 1"/>
    <w:uiPriority w:val="99"/>
    <w:qFormat/>
    <w:tblPr>
      <w:tblCellMar>
        <w:left w:w="0" w:type="dxa"/>
        <w:top w:w="0" w:type="dxa"/>
        <w:right w:w="0" w:type="dxa"/>
        <w:bottom w:w="0" w:type="dxa"/>
      </w:tblCellMar>
    </w:tblPr>
  </w:style>
  <w:style w:type="table" w:styleId="938" w:customStyle="1">
    <w:name w:val="List Table 1 Light - Accent 2"/>
    <w:uiPriority w:val="99"/>
    <w:qFormat/>
    <w:tblPr>
      <w:tblCellMar>
        <w:left w:w="0" w:type="dxa"/>
        <w:top w:w="0" w:type="dxa"/>
        <w:right w:w="0" w:type="dxa"/>
        <w:bottom w:w="0" w:type="dxa"/>
      </w:tblCellMar>
    </w:tblPr>
  </w:style>
  <w:style w:type="table" w:styleId="939" w:customStyle="1">
    <w:name w:val="List Table 1 Light - Accent 3"/>
    <w:uiPriority w:val="99"/>
    <w:qFormat/>
    <w:tblPr>
      <w:tblCellMar>
        <w:left w:w="0" w:type="dxa"/>
        <w:top w:w="0" w:type="dxa"/>
        <w:right w:w="0" w:type="dxa"/>
        <w:bottom w:w="0" w:type="dxa"/>
      </w:tblCellMar>
    </w:tblPr>
  </w:style>
  <w:style w:type="table" w:styleId="940" w:customStyle="1">
    <w:name w:val="List Table 1 Light - Accent 4"/>
    <w:uiPriority w:val="99"/>
    <w:qFormat/>
    <w:tblPr>
      <w:tblCellMar>
        <w:left w:w="0" w:type="dxa"/>
        <w:top w:w="0" w:type="dxa"/>
        <w:right w:w="0" w:type="dxa"/>
        <w:bottom w:w="0" w:type="dxa"/>
      </w:tblCellMar>
    </w:tblPr>
  </w:style>
  <w:style w:type="table" w:styleId="941" w:customStyle="1">
    <w:name w:val="List Table 1 Light - Accent 5"/>
    <w:uiPriority w:val="99"/>
    <w:qFormat/>
    <w:tblPr>
      <w:tblCellMar>
        <w:left w:w="0" w:type="dxa"/>
        <w:top w:w="0" w:type="dxa"/>
        <w:right w:w="0" w:type="dxa"/>
        <w:bottom w:w="0" w:type="dxa"/>
      </w:tblCellMar>
    </w:tblPr>
  </w:style>
  <w:style w:type="table" w:styleId="942" w:customStyle="1">
    <w:name w:val="List Table 1 Light - Accent 6"/>
    <w:uiPriority w:val="99"/>
    <w:qFormat/>
    <w:tblPr>
      <w:tblCellMar>
        <w:left w:w="0" w:type="dxa"/>
        <w:top w:w="0" w:type="dxa"/>
        <w:right w:w="0" w:type="dxa"/>
        <w:bottom w:w="0" w:type="dxa"/>
      </w:tblCellMar>
    </w:tblPr>
  </w:style>
  <w:style w:type="table" w:styleId="94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5" w:customStyle="1">
    <w:name w:val="Lined - Accent"/>
    <w:uiPriority w:val="99"/>
    <w:qFormat/>
    <w:rPr>
      <w:color w:val="404040"/>
    </w:rPr>
    <w:tblPr>
      <w:tblCellMar>
        <w:left w:w="0" w:type="dxa"/>
        <w:top w:w="0" w:type="dxa"/>
        <w:right w:w="0" w:type="dxa"/>
        <w:bottom w:w="0" w:type="dxa"/>
      </w:tblCellMar>
    </w:tblPr>
  </w:style>
  <w:style w:type="table" w:styleId="986" w:customStyle="1">
    <w:name w:val="Lined - Accent 1"/>
    <w:uiPriority w:val="99"/>
    <w:qFormat/>
    <w:rPr>
      <w:color w:val="404040"/>
    </w:rPr>
    <w:tblPr>
      <w:tblCellMar>
        <w:left w:w="0" w:type="dxa"/>
        <w:top w:w="0" w:type="dxa"/>
        <w:right w:w="0" w:type="dxa"/>
        <w:bottom w:w="0" w:type="dxa"/>
      </w:tblCellMar>
    </w:tblPr>
  </w:style>
  <w:style w:type="table" w:styleId="987" w:customStyle="1">
    <w:name w:val="Lined - Accent 2"/>
    <w:uiPriority w:val="99"/>
    <w:qFormat/>
    <w:rPr>
      <w:color w:val="404040"/>
    </w:rPr>
    <w:tblPr>
      <w:tblCellMar>
        <w:left w:w="0" w:type="dxa"/>
        <w:top w:w="0" w:type="dxa"/>
        <w:right w:w="0" w:type="dxa"/>
        <w:bottom w:w="0" w:type="dxa"/>
      </w:tblCellMar>
    </w:tblPr>
  </w:style>
  <w:style w:type="table" w:styleId="988" w:customStyle="1">
    <w:name w:val="Lined - Accent 3"/>
    <w:uiPriority w:val="99"/>
    <w:qFormat/>
    <w:rPr>
      <w:color w:val="404040"/>
    </w:rPr>
    <w:tblPr>
      <w:tblCellMar>
        <w:left w:w="0" w:type="dxa"/>
        <w:top w:w="0" w:type="dxa"/>
        <w:right w:w="0" w:type="dxa"/>
        <w:bottom w:w="0" w:type="dxa"/>
      </w:tblCellMar>
    </w:tblPr>
  </w:style>
  <w:style w:type="table" w:styleId="989" w:customStyle="1">
    <w:name w:val="Lined - Accent 4"/>
    <w:uiPriority w:val="99"/>
    <w:qFormat/>
    <w:rPr>
      <w:color w:val="404040"/>
    </w:rPr>
    <w:tblPr>
      <w:tblCellMar>
        <w:left w:w="0" w:type="dxa"/>
        <w:top w:w="0" w:type="dxa"/>
        <w:right w:w="0" w:type="dxa"/>
        <w:bottom w:w="0" w:type="dxa"/>
      </w:tblCellMar>
    </w:tblPr>
  </w:style>
  <w:style w:type="table" w:styleId="990" w:customStyle="1">
    <w:name w:val="Lined - Accent 5"/>
    <w:uiPriority w:val="99"/>
    <w:qFormat/>
    <w:rPr>
      <w:color w:val="404040"/>
    </w:rPr>
    <w:tblPr>
      <w:tblCellMar>
        <w:left w:w="0" w:type="dxa"/>
        <w:top w:w="0" w:type="dxa"/>
        <w:right w:w="0" w:type="dxa"/>
        <w:bottom w:w="0" w:type="dxa"/>
      </w:tblCellMar>
    </w:tblPr>
  </w:style>
  <w:style w:type="table" w:styleId="991" w:customStyle="1">
    <w:name w:val="Lined - Accent 6"/>
    <w:uiPriority w:val="99"/>
    <w:qFormat/>
    <w:rPr>
      <w:color w:val="404040"/>
    </w:rPr>
    <w:tblPr>
      <w:tblCellMar>
        <w:left w:w="0" w:type="dxa"/>
        <w:top w:w="0" w:type="dxa"/>
        <w:right w:w="0" w:type="dxa"/>
        <w:bottom w:w="0" w:type="dxa"/>
      </w:tblCellMar>
    </w:tblPr>
  </w:style>
  <w:style w:type="table" w:styleId="99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6" w:customStyle="1">
    <w:name w:val="脚注文本 Char"/>
    <w:link w:val="831"/>
    <w:uiPriority w:val="99"/>
    <w:qFormat/>
    <w:rPr>
      <w:sz w:val="18"/>
    </w:rPr>
  </w:style>
  <w:style w:type="character" w:styleId="1007" w:customStyle="1">
    <w:name w:val="尾注文本 Char"/>
    <w:link w:val="824"/>
    <w:uiPriority w:val="99"/>
    <w:qFormat/>
    <w:rPr>
      <w:sz w:val="20"/>
    </w:rPr>
  </w:style>
  <w:style w:type="paragraph" w:styleId="1008" w:customStyle="1">
    <w:name w:val="TOC 标题1"/>
    <w:uiPriority w:val="39"/>
    <w:unhideWhenUsed/>
    <w:qFormat/>
    <w:rPr>
      <w:rFonts w:ascii="Times New Roman" w:hAnsi="Times New Roman" w:eastAsia="宋体" w:cs="Times New Roman"/>
      <w:lang w:val="en-US" w:eastAsia="zh-CN" w:bidi="ar-SA"/>
    </w:rPr>
  </w:style>
  <w:style w:type="character" w:styleId="1009" w:customStyle="1">
    <w:name w:val="批注框文本 Char"/>
    <w:link w:val="825"/>
    <w:uiPriority w:val="0"/>
    <w:qFormat/>
    <w:rPr>
      <w:sz w:val="18"/>
      <w:szCs w:val="18"/>
    </w:rPr>
  </w:style>
  <w:style w:type="paragraph" w:styleId="1010" w:customStyle="1">
    <w:name w:val="普通正文"/>
    <w:basedOn w:val="808"/>
    <w:uiPriority w:val="0"/>
    <w:qFormat/>
    <w:pPr>
      <w:ind w:firstLine="480"/>
      <w:jc w:val="left"/>
      <w:spacing w:before="120" w:after="120" w:line="360" w:lineRule="auto"/>
    </w:pPr>
    <w:rPr>
      <w:rFonts w:ascii="Arial" w:hAnsi="Arial"/>
      <w:sz w:val="24"/>
      <w:szCs w:val="24"/>
    </w:rPr>
  </w:style>
  <w:style w:type="paragraph" w:styleId="1011" w:customStyle="1">
    <w:name w:val="Char"/>
    <w:basedOn w:val="808"/>
    <w:uiPriority w:val="0"/>
    <w:qFormat/>
    <w:pPr>
      <w:ind w:firstLine="200"/>
      <w:tabs>
        <w:tab w:val="left" w:pos="360" w:leader="none"/>
      </w:tabs>
    </w:pPr>
    <w:rPr>
      <w:rFonts w:ascii="Times New Roman" w:hAnsi="Times New Roman"/>
      <w:sz w:val="28"/>
      <w:szCs w:val="30"/>
    </w:rPr>
  </w:style>
  <w:style w:type="table" w:styleId="1012" w:customStyle="1">
    <w:name w:val="Table Normal"/>
    <w:uiPriority w:val="0"/>
    <w:unhideWhenUsed/>
    <w:qFormat/>
    <w:tblPr>
      <w:tblCellMar>
        <w:left w:w="0" w:type="dxa"/>
        <w:top w:w="0" w:type="dxa"/>
        <w:right w:w="0" w:type="dxa"/>
        <w:bottom w:w="0" w:type="dxa"/>
      </w:tblCellMar>
    </w:tblPr>
  </w:style>
  <w:style w:type="paragraph" w:styleId="1013" w:customStyle="1">
    <w:name w:val="样式 段后: 0.25 行"/>
    <w:basedOn w:val="808"/>
    <w:next w:val="1014"/>
    <w:uiPriority w:val="99"/>
    <w:qFormat/>
    <w:pPr>
      <w:ind w:left="420" w:firstLine="5796"/>
      <w:spacing w:line="300" w:lineRule="auto"/>
      <w:widowControl/>
    </w:pPr>
  </w:style>
  <w:style w:type="paragraph" w:styleId="1014" w:customStyle="1">
    <w:name w:val="正文 New New New New New New New New New New New New New New"/>
    <w:next w:val="835"/>
    <w:uiPriority w:val="99"/>
    <w:qFormat/>
    <w:pPr>
      <w:ind w:firstLine="2048"/>
      <w:jc w:val="both"/>
      <w:widowControl w:val="off"/>
    </w:pPr>
    <w:rPr>
      <w:rFonts w:ascii="Calibri" w:hAnsi="Calibri" w:eastAsia="宋体" w:cs="Times New Roman"/>
      <w:lang w:val="en-US" w:eastAsia="zh-CN" w:bidi="ar-SA"/>
    </w:rPr>
  </w:style>
  <w:style w:type="paragraph" w:styleId="1015" w:customStyle="1">
    <w:name w:val="样式 首行缩进:  2 字符"/>
    <w:basedOn w:val="808"/>
    <w:next w:val="1013"/>
    <w:uiPriority w:val="99"/>
    <w:qFormat/>
    <w:pPr>
      <w:ind w:left="480" w:firstLine="5856"/>
      <w:spacing w:line="360" w:lineRule="auto"/>
    </w:pPr>
  </w:style>
  <w:style w:type="paragraph" w:styleId="1016" w:customStyle="1">
    <w:name w:val="Char Char Char Char Char Char Char Char Char"/>
    <w:basedOn w:val="808"/>
    <w:next w:val="1017"/>
    <w:uiPriority w:val="99"/>
    <w:qFormat/>
    <w:pPr>
      <w:ind w:left="360" w:firstLine="5784"/>
    </w:pPr>
  </w:style>
  <w:style w:type="paragraph" w:styleId="1017" w:customStyle="1">
    <w:name w:val="正文文本 21"/>
    <w:basedOn w:val="808"/>
    <w:next w:val="1018"/>
    <w:uiPriority w:val="99"/>
    <w:qFormat/>
    <w:pPr>
      <w:ind w:left="720" w:firstLine="5680"/>
      <w:widowControl/>
    </w:pPr>
  </w:style>
  <w:style w:type="paragraph" w:styleId="1018" w:customStyle="1">
    <w:name w:val="默认段落字体 Para Char Char Char Char Char Char Char"/>
    <w:basedOn w:val="808"/>
    <w:next w:val="1015"/>
    <w:uiPriority w:val="99"/>
    <w:qFormat/>
    <w:pPr>
      <w:ind w:firstLine="200"/>
    </w:pPr>
    <w:rPr>
      <w:rFonts w:cs="Arial"/>
    </w:rPr>
  </w:style>
  <w:style w:type="paragraph" w:styleId="1019" w:customStyle="1">
    <w:name w:val="正文（缩进）"/>
    <w:basedOn w:val="808"/>
    <w:next w:val="808"/>
    <w:uiPriority w:val="0"/>
    <w:qFormat/>
    <w:pPr>
      <w:ind w:firstLine="480"/>
    </w:pPr>
  </w:style>
  <w:style w:type="character" w:styleId="1020" w:customStyle="1">
    <w:name w:val="页眉 Char"/>
    <w:basedOn w:val="812"/>
    <w:link w:val="827"/>
    <w:uiPriority w:val="99"/>
    <w:qFormat/>
    <w:rPr>
      <w:rFonts w:ascii="Calibri" w:hAnsi="Calibri"/>
      <w:sz w:val="18"/>
      <w:szCs w:val="18"/>
    </w:rPr>
  </w:style>
  <w:style w:type="character" w:styleId="1021" w:customStyle="1">
    <w:name w:val="页脚 Char"/>
    <w:basedOn w:val="812"/>
    <w:link w:val="826"/>
    <w:uiPriority w:val="99"/>
    <w:qFormat/>
    <w:rPr>
      <w:rFonts w:ascii="Calibri" w:hAnsi="Calibri"/>
      <w:sz w:val="18"/>
      <w:szCs w:val="18"/>
    </w:rPr>
  </w:style>
  <w:style w:type="paragraph" w:styleId="1022" w:customStyle="1">
    <w:name w:val="标题 211"/>
    <w:basedOn w:val="808"/>
    <w:next w:val="102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3" w:customStyle="1">
    <w:name w:val="正文缩进1"/>
    <w:basedOn w:val="808"/>
    <w:uiPriority w:val="0"/>
    <w:unhideWhenUsed/>
    <w:qFormat/>
    <w:pPr>
      <w:ind w:firstLine="420"/>
    </w:pPr>
  </w:style>
  <w:style w:type="paragraph" w:styleId="1024" w:customStyle="1">
    <w:name w:val="WPSOffice手动目录 1"/>
    <w:uiPriority w:val="0"/>
    <w:qFormat/>
    <w:rPr>
      <w:rFonts w:ascii="Times New Roman" w:hAnsi="Times New Roman" w:eastAsia="宋体" w:cs="Times New Roman"/>
      <w:lang w:val="en-US" w:eastAsia="zh-CN" w:bidi="ar-SA"/>
    </w:rPr>
  </w:style>
  <w:style w:type="paragraph" w:styleId="1025" w:customStyle="1">
    <w:name w:val="WPSOffice手动目录 2"/>
    <w:uiPriority w:val="0"/>
    <w:qFormat/>
    <w:pPr>
      <w:ind w:left="200"/>
    </w:pPr>
    <w:rPr>
      <w:rFonts w:ascii="Times New Roman" w:hAnsi="Times New Roman" w:eastAsia="宋体" w:cs="Times New Roman"/>
      <w:lang w:val="en-US" w:eastAsia="zh-CN" w:bidi="ar-SA"/>
    </w:rPr>
  </w:style>
  <w:style w:type="character" w:styleId="1026" w:customStyle="1">
    <w:name w:val="正文文本 Char"/>
    <w:basedOn w:val="812"/>
    <w:link w:val="818"/>
    <w:uiPriority w:val="0"/>
    <w:qFormat/>
    <w:rPr>
      <w:rFonts w:ascii="楷体_GB2312" w:hAnsi="Arial" w:eastAsia="楷体_GB2312"/>
      <w:sz w:val="28"/>
      <w:szCs w:val="28"/>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50B1DEE-84E3-4CAE-B962-3CC14014495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尹政</cp:lastModifiedBy>
  <cp:revision>423</cp:revision>
  <dcterms:created xsi:type="dcterms:W3CDTF">2014-10-29T12:08:00Z</dcterms:created>
  <dcterms:modified xsi:type="dcterms:W3CDTF">2026-09-30T02:38:01Z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958AF80C1F56416F8D8BD3E7F68F4C36_13</vt:lpwstr>
  </property>
  <property fmtid="{D5CDD505-2E9C-101B-9397-08002B2CF9AE}" pid="4" name="KSOTemplateDocerSaveRecord">
    <vt:lpwstr>eyJoZGlkIjoiOGIwNmJhYWFkODhhMjY5NTg4ZWI5ODY3OTZiMjAzZTIiLCJ1c2VySWQiOiIyMzg1MTgzNzMifQ==</vt:lpwstr>
  </property>
</Properties>
</file>