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right"/>
        <w:rPr>
          <w:rFonts w:ascii="宋体" w:hAnsi="宋体" w:cs="宋体"/>
          <w:b/>
          <w:bCs/>
          <w:color w:val="auto"/>
          <w:sz w:val="36"/>
          <w:highlight w:val="none"/>
        </w:rPr>
      </w:pPr>
      <w:r>
        <w:rPr>
          <w:rFonts w:hint="eastAsia" w:ascii="宋体" w:hAnsi="宋体" w:cs="宋体"/>
          <w:b/>
          <w:bCs/>
          <w:color w:val="auto"/>
          <w:sz w:val="36"/>
          <w:highlight w:val="none"/>
          <w:lang w:val="en-US" w:eastAsia="zh-CN"/>
        </w:rPr>
        <w:tab/>
      </w:r>
      <w:r>
        <w:rPr>
          <w:rFonts w:hint="eastAsia" w:ascii="宋体" w:hAnsi="宋体" w:cs="宋体"/>
          <w:b/>
          <w:bCs/>
          <w:color w:val="auto"/>
          <w:sz w:val="32"/>
          <w:szCs w:val="32"/>
          <w:highlight w:val="none"/>
          <w:lang w:eastAsia="zh-CN"/>
        </w:rPr>
        <w:t xml:space="preserve">JSZC-321000-JYYH-G2026-0002</w:t>
      </w:r>
      <w:r>
        <w:rPr>
          <w:rFonts w:hint="eastAsia" w:ascii="宋体" w:hAnsi="宋体" w:cs="宋体"/>
          <w:b/>
          <w:bCs/>
          <w:color w:val="auto"/>
          <w:sz w:val="36"/>
          <w:highlight w:val="none"/>
        </w:rPr>
        <w:t xml:space="preserve">号</w:t>
      </w:r>
      <w:r/>
    </w:p>
    <w:p>
      <w:pPr>
        <w:jc w:val="center"/>
        <w:tabs>
          <w:tab w:val="left" w:pos="2406" w:leader="none"/>
        </w:tabs>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tabs>
          <w:tab w:val="left" w:pos="2406" w:leader="none"/>
        </w:tabs>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t xml:space="preserve">扬州市检验检测中心2026年重点工业产品检验检测设备更新项目</w:t>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hint="eastAsia" w:ascii="宋体" w:hAnsi="宋体" w:cs="宋体"/>
          <w:b/>
          <w:bCs/>
          <w:color w:val="auto"/>
          <w:sz w:val="48"/>
          <w:szCs w:val="48"/>
          <w:highlight w:val="none"/>
          <w:lang w:eastAsia="zh-CN"/>
        </w:rPr>
      </w:pPr>
      <w:r>
        <w:rPr>
          <w:rFonts w:hint="eastAsia" w:ascii="宋体" w:hAnsi="宋体" w:cs="宋体"/>
          <w:b/>
          <w:bCs/>
          <w:color w:val="auto"/>
          <w:sz w:val="48"/>
          <w:szCs w:val="48"/>
          <w:highlight w:val="none"/>
          <w:lang w:eastAsia="zh-CN"/>
        </w:rPr>
      </w:r>
      <w:r/>
    </w:p>
    <w:p>
      <w:pPr>
        <w:jc w:val="center"/>
        <w:keepLines w:val="0"/>
        <w:keepNext w:val="0"/>
        <w:pageBreakBefore w:val="0"/>
        <w:spacing w:line="360" w:lineRule="auto"/>
        <w:widowControl w:val="off"/>
        <w:rPr>
          <w:rFonts w:ascii="宋体" w:hAnsi="宋体" w:cs="宋体"/>
          <w:b/>
          <w:bCs/>
          <w:color w:val="auto"/>
          <w:sz w:val="48"/>
          <w:szCs w:val="48"/>
          <w:highlight w:val="none"/>
        </w:rPr>
      </w:pPr>
      <w:r>
        <w:rPr>
          <w:rFonts w:hint="eastAsia" w:ascii="宋体" w:hAnsi="宋体" w:cs="宋体"/>
          <w:b/>
          <w:bCs/>
          <w:color w:val="auto"/>
          <w:sz w:val="48"/>
          <w:szCs w:val="48"/>
          <w:highlight w:val="none"/>
        </w:rPr>
        <w:t xml:space="preserve">公开招标文件</w:t>
      </w:r>
      <w:r/>
    </w:p>
    <w:p>
      <w:pPr>
        <w:jc w:val="center"/>
        <w:tabs>
          <w:tab w:val="left" w:pos="4620" w:leader="none"/>
        </w:tabs>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jc w:val="left"/>
        <w:rPr>
          <w:rFonts w:ascii="宋体" w:hAnsi="宋体" w:cs="宋体"/>
          <w:color w:val="auto"/>
          <w:sz w:val="36"/>
          <w:highlight w:val="none"/>
        </w:rPr>
      </w:pPr>
      <w:r>
        <w:rPr>
          <w:rFonts w:ascii="宋体" w:hAnsi="宋体" w:cs="宋体"/>
          <w:color w:val="auto"/>
          <w:sz w:val="36"/>
          <w:highlight w:val="none"/>
        </w:rPr>
      </w:r>
      <w:r/>
    </w:p>
    <w:p>
      <w:pPr>
        <w:jc w:val="center"/>
        <w:rPr>
          <w:rFonts w:ascii="宋体" w:hAnsi="宋体" w:cs="宋体"/>
          <w:color w:val="auto"/>
          <w:sz w:val="36"/>
          <w:highlight w:val="none"/>
        </w:rPr>
      </w:pPr>
      <w:r>
        <w:rPr>
          <w:rFonts w:ascii="宋体" w:hAnsi="宋体" w:cs="宋体"/>
          <w:color w:val="auto"/>
          <w:sz w:val="36"/>
          <w:highlight w:val="none"/>
        </w:rPr>
      </w:r>
      <w:r/>
    </w:p>
    <w:p>
      <w:pPr>
        <w:pStyle w:val="825"/>
        <w:rPr>
          <w:color w:val="auto"/>
          <w:highlight w:val="none"/>
        </w:rPr>
      </w:pPr>
      <w:r>
        <w:rPr>
          <w:color w:val="auto"/>
          <w:highlight w:val="none"/>
        </w:rPr>
      </w:r>
      <w:r/>
    </w:p>
    <w:p>
      <w:pPr>
        <w:ind w:firstLine="643"/>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扬州市检验检测中心</w:t>
      </w:r>
      <w:r/>
    </w:p>
    <w:p>
      <w:pPr>
        <w:ind w:firstLine="643"/>
        <w:keepLines w:val="0"/>
        <w:keepNext w:val="0"/>
        <w:pageBreakBefore w:val="0"/>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采购代理机构(章)：</w:t>
      </w:r>
      <w:r>
        <w:rPr>
          <w:rFonts w:hint="eastAsia" w:ascii="宋体" w:hAnsi="宋体" w:cs="宋体"/>
          <w:b/>
          <w:bCs/>
          <w:color w:val="auto"/>
          <w:sz w:val="32"/>
          <w:szCs w:val="32"/>
          <w:highlight w:val="none"/>
          <w:lang w:eastAsia="zh-CN"/>
        </w:rPr>
        <w:t xml:space="preserve">江苏华彦建设投资管理有限公司</w:t>
      </w:r>
      <w:r/>
    </w:p>
    <w:p>
      <w:pPr>
        <w:ind w:firstLine="643"/>
        <w:keepLines w:val="0"/>
        <w:keepNext w:val="0"/>
        <w:pageBreakBefore w:val="0"/>
        <w:spacing w:line="360" w:lineRule="auto"/>
        <w:widowControl w:val="off"/>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发 放 日 期：</w:t>
      </w:r>
      <w:bookmarkStart w:id="0" w:name="EB59c3faf64f2a4bd092a206fb1d0c3c0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bookmarkEnd w:id="0"/>
      <w:r>
        <w:rPr>
          <w:rFonts w:hint="eastAsia" w:ascii="宋体" w:hAnsi="宋体" w:cs="宋体"/>
          <w:b/>
          <w:bCs/>
          <w:color w:val="auto"/>
          <w:sz w:val="32"/>
          <w:szCs w:val="32"/>
          <w:highlight w:val="none"/>
          <w:lang w:val="en-US" w:eastAsia="zh-CN"/>
        </w:rPr>
        <w:t xml:space="preserve">09</w:t>
      </w:r>
      <w:r>
        <w:rPr>
          <w:rFonts w:hint="eastAsia" w:ascii="宋体" w:hAnsi="宋体" w:cs="宋体"/>
          <w:b/>
          <w:bCs/>
          <w:color w:val="auto"/>
          <w:sz w:val="32"/>
          <w:szCs w:val="32"/>
          <w:highlight w:val="none"/>
        </w:rPr>
        <w:t xml:space="preserve">日</w:t>
      </w:r>
      <w:r/>
    </w:p>
    <w:p>
      <w:pPr>
        <w:jc w:val="center"/>
        <w:spacing w:line="360" w:lineRule="auto"/>
        <w:rPr>
          <w:rFonts w:ascii="宋体" w:hAnsi="宋体" w:cs="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jc w:val="center"/>
        <w:spacing w:line="360" w:lineRule="auto"/>
        <w:rPr>
          <w:rFonts w:ascii="宋体" w:hAnsi="宋体" w:cs="宋体"/>
          <w:color w:val="auto"/>
          <w:sz w:val="32"/>
          <w:highlight w:val="none"/>
        </w:rPr>
      </w:pPr>
      <w:r>
        <w:rPr>
          <w:rFonts w:ascii="宋体" w:hAnsi="宋体" w:cs="宋体"/>
          <w:color w:val="auto"/>
          <w:sz w:val="32"/>
          <w:highlight w:val="none"/>
        </w:rPr>
      </w:r>
      <w:r/>
    </w:p>
    <w:p>
      <w:pP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highlight w:val="none"/>
        </w:rPr>
        <w:t xml:space="preserve">目 录</w:t>
      </w:r>
      <w:r/>
    </w:p>
    <w:p>
      <w:pPr>
        <w:pStyle w:val="811"/>
        <w:spacing w:line="360" w:lineRule="auto"/>
        <w:tabs>
          <w:tab w:val="right" w:pos="8296" w:leader="dot"/>
        </w:tabs>
        <w:rPr>
          <w:rFonts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81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rPr>
        <w:t xml:space="preserve">6</w:t>
      </w:r>
      <w:r/>
    </w:p>
    <w:p>
      <w:pPr>
        <w:pStyle w:val="81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18</w:t>
      </w:r>
      <w:r/>
    </w:p>
    <w:p>
      <w:pPr>
        <w:pStyle w:val="81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24</w:t>
      </w:r>
      <w:r/>
    </w:p>
    <w:p>
      <w:pPr>
        <w:pStyle w:val="81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rPr>
        <w:t xml:space="preserve">28</w:t>
      </w:r>
      <w:r/>
    </w:p>
    <w:p>
      <w:pPr>
        <w:pStyle w:val="811"/>
        <w:spacing w:line="360" w:lineRule="auto"/>
        <w:tabs>
          <w:tab w:val="right" w:pos="8296" w:leader="dot"/>
        </w:tabs>
        <w:rPr>
          <w:rFonts w:ascii="宋体" w:hAnsi="宋体" w:cs="宋体"/>
          <w:color w:val="auto"/>
          <w:highlight w:val="none"/>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r>
      <w:r>
        <w:rPr>
          <w:rFonts w:hint="eastAsia" w:ascii="宋体" w:hAnsi="宋体" w:cs="宋体"/>
          <w:color w:val="auto"/>
          <w:highlight w:val="none"/>
        </w:rPr>
        <w:t xml:space="preserve">32</w:t>
      </w:r>
      <w:r/>
    </w:p>
    <w:p>
      <w:pPr>
        <w:jc w:val="center"/>
        <w:spacing w:line="360" w:lineRule="auto"/>
        <w:rPr>
          <w:rFonts w:ascii="宋体" w:hAnsi="宋体" w:cs="宋体"/>
          <w:color w:val="auto"/>
          <w:sz w:val="28"/>
          <w:highlight w:val="none"/>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776"/>
        <w:jc w:val="center"/>
        <w:spacing w:line="360" w:lineRule="auto"/>
        <w:rPr>
          <w:rFonts w:ascii="宋体" w:hAnsi="宋体" w:cs="宋体"/>
          <w:color w:val="auto"/>
          <w:sz w:val="36"/>
          <w:highlight w:val="none"/>
        </w:rPr>
      </w:pPr>
      <w:r/>
      <w:bookmarkStart w:id="1" w:name="_Toc497133090"/>
      <w:r/>
      <w:bookmarkStart w:id="2" w:name="OLE_LINK1"/>
      <w:r>
        <w:rPr>
          <w:rFonts w:hint="eastAsia" w:ascii="宋体" w:hAnsi="宋体" w:cs="宋体"/>
          <w:color w:val="auto"/>
          <w:sz w:val="36"/>
          <w:highlight w:val="none"/>
        </w:rPr>
        <w:t xml:space="preserve">第一章 招标公告</w:t>
      </w:r>
      <w:bookmarkEnd w:id="1"/>
      <w:r/>
      <w:bookmarkEnd w:id="2"/>
      <w:r/>
      <w:r/>
    </w:p>
    <w:p>
      <w:pPr>
        <w:ind w:firstLine="420"/>
        <w:keepLines w:val="0"/>
        <w:keepNext w:val="0"/>
        <w:pageBreakBefore w:val="0"/>
        <w:spacing w:line="360" w:lineRule="auto"/>
        <w:widowControl w:val="off"/>
        <w:tabs>
          <w:tab w:val="left" w:pos="266" w:leader="none"/>
        </w:tabs>
        <w:rPr>
          <w:rFonts w:ascii="宋体" w:hAnsi="宋体" w:cs="宋体"/>
          <w:color w:val="auto"/>
          <w:szCs w:val="21"/>
          <w:highlight w:val="none"/>
        </w:rPr>
      </w:pPr>
      <w:r/>
      <w:bookmarkStart w:id="3"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扬州市检验检测中心</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江苏华彦建设投资管理有限公司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扬州市检验检测中心2026年重点工业产品检验检测设备更新项目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扬州市检验检测中心2026年重点工业产品检验检测设备更新项目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中国政府采购网</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02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09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4" w:name="_Toc38985263"/>
      <w:r>
        <w:rPr>
          <w:rFonts w:hint="eastAsia" w:ascii="宋体" w:hAnsi="宋体" w:cs="宋体"/>
          <w:b/>
          <w:bCs/>
          <w:color w:val="auto"/>
          <w:highlight w:val="none"/>
        </w:rPr>
        <w:t xml:space="preserve">一、项目基本情况</w:t>
      </w:r>
      <w:bookmarkEnd w:id="4"/>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rPr>
      </w:pPr>
      <w:r>
        <w:rPr>
          <w:rFonts w:hint="eastAsia" w:ascii="宋体" w:hAnsi="宋体" w:cs="宋体"/>
          <w:color w:val="auto"/>
          <w:highlight w:val="none"/>
        </w:rPr>
        <w:t xml:space="preserve">1.项目编号</w:t>
      </w:r>
      <w:r>
        <w:rPr>
          <w:rFonts w:hint="eastAsia" w:ascii="宋体" w:hAnsi="宋体" w:cs="宋体"/>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lang w:eastAsia="zh-CN"/>
        </w:rPr>
        <w:t xml:space="preserve">JSZC-321000-JYYH-G2026-0002</w:t>
      </w:r>
      <w:r>
        <w:rPr>
          <w:rFonts w:hint="eastAsia" w:ascii="宋体" w:hAnsi="宋体" w:cs="宋体"/>
          <w:b w:val="0"/>
          <w:bCs w:val="0"/>
          <w:color w:val="auto"/>
          <w:sz w:val="21"/>
          <w:szCs w:val="21"/>
          <w:highlight w:val="none"/>
        </w:rPr>
        <w:t xml:space="preserve">号</w:t>
      </w:r>
      <w:r>
        <w:rPr>
          <w:rFonts w:hint="eastAsia" w:ascii="宋体" w:hAnsi="宋体" w:cs="宋体"/>
          <w:b w:val="0"/>
          <w:bCs w:val="0"/>
          <w:color w:val="auto"/>
          <w:sz w:val="21"/>
          <w:szCs w:val="21"/>
          <w:highlight w:val="none"/>
          <w:lang w:val="en-US" w:eastAsia="zh-CN"/>
        </w:rPr>
      </w:r>
      <w:r>
        <w:rPr>
          <w:b w:val="0"/>
          <w:bCs w:val="0"/>
          <w:sz w:val="21"/>
          <w:szCs w:val="21"/>
        </w:rP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扬州市检验检测中心2026年重点工业产品检验检测设备更新项目</w:t>
      </w:r>
      <w:r/>
    </w:p>
    <w:p>
      <w:pPr>
        <w:ind w:firstLine="420"/>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156</w:t>
      </w:r>
      <w:r>
        <w:rPr>
          <w:rFonts w:hint="eastAsia" w:ascii="宋体" w:hAnsi="宋体" w:cs="宋体"/>
          <w:color w:val="auto"/>
          <w:highlight w:val="none"/>
        </w:rPr>
        <w:t xml:space="preserve">万元，本项目分为</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个包：</w:t>
      </w:r>
      <w:r>
        <w:rPr>
          <w:rFonts w:hint="eastAsia" w:ascii="宋体" w:hAnsi="宋体" w:cs="宋体"/>
          <w:color w:val="auto"/>
          <w:highlight w:val="none"/>
          <w:lang w:val="en-US" w:eastAsia="zh-CN"/>
        </w:rPr>
        <w:t xml:space="preserve">包1（微机控制环刚度试验机）9.8万元；包2（差示扫描量热仪）3.5万元；包3（红外碳硫分析仪）10万元；包4（阀门静压寿命试验台）19.9万元；包5（盐雾试验箱、交变湿热试验箱）33万元；包6（建材放射性检测仪）7万元；包7（电子万能材料试验机）57万元；包8（电液伺服压力试验机）12万元；包9（紫外-可见光谱仪）3.8万元。</w:t>
      </w:r>
      <w:r/>
    </w:p>
    <w:p>
      <w:pPr>
        <w:ind w:firstLine="420"/>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4.最高限价：156万元，本项目分为9个包</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包1（微机控制环刚度试验机）9.8万元；包2（差示扫描量热仪）3.5万元；包3（红外碳硫分析仪）10万元；包4（阀门静压寿命试验台）19.9万元；包5（盐雾试验箱、交变湿热试验箱）33万元；包6（建材放射性检测仪）7万元；包7（电子万能材料试验机）57万元；包8（电液伺服压力试验机）12万元；包9（紫外-可见光谱仪）3.8万元，</w:t>
      </w:r>
      <w:r>
        <w:rPr>
          <w:rFonts w:hint="eastAsia" w:ascii="宋体" w:hAnsi="宋体" w:cs="宋体"/>
          <w:b w:val="0"/>
          <w:bCs w:val="0"/>
          <w:color w:val="auto"/>
          <w:highlight w:val="none"/>
        </w:rPr>
        <w:t xml:space="preserve">每个标包报价高于最高限价的为无效标。</w:t>
      </w:r>
      <w:r/>
    </w:p>
    <w:p>
      <w:pPr>
        <w:numPr>
          <w:ilvl w:val="0"/>
          <w:numId w:val="0"/>
        </w:numPr>
        <w:ind w:firstLine="420"/>
        <w:keepLines w:val="0"/>
        <w:keepNext w:val="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1"/>
          <w:szCs w:val="22"/>
          <w:highlight w:val="none"/>
          <w:lang w:val="en-US" w:eastAsia="zh-CN" w:bidi="ar-SA"/>
        </w:rPr>
        <w:t xml:space="preserve">5.</w:t>
      </w:r>
      <w:r>
        <w:rPr>
          <w:rFonts w:hint="eastAsia" w:ascii="宋体" w:hAnsi="宋体" w:cs="宋体"/>
          <w:color w:val="auto"/>
          <w:highlight w:val="none"/>
        </w:rPr>
        <w:t xml:space="preserve">采购需求：</w:t>
      </w:r>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.供货期：</w:t>
      </w:r>
      <w:bookmarkStart w:id="5" w:name="_Toc38985264"/>
      <w:r>
        <w:rPr>
          <w:rFonts w:hint="eastAsia" w:ascii="宋体" w:hAnsi="宋体" w:cs="宋体"/>
          <w:color w:val="auto"/>
          <w:highlight w:val="none"/>
          <w:lang w:val="en-US" w:eastAsia="zh-CN"/>
        </w:rPr>
        <w:t xml:space="preserve">详见招标文件第四章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keepLines w:val="0"/>
        <w:keepNext w:val="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8.本项目</w:t>
      </w:r>
      <w:r>
        <w:rPr>
          <w:rFonts w:hint="eastAsia" w:ascii="宋体" w:hAnsi="宋体" w:cs="宋体"/>
          <w:color w:val="auto"/>
          <w:highlight w:val="none"/>
          <w:u w:val="single"/>
          <w:lang w:val="en-US" w:eastAsia="zh-CN"/>
        </w:rPr>
        <w:t xml:space="preserve">不接受</w:t>
      </w:r>
      <w:r>
        <w:rPr>
          <w:rFonts w:hint="eastAsia" w:ascii="宋体" w:hAnsi="宋体" w:cs="宋体"/>
          <w:color w:val="auto"/>
          <w:highlight w:val="none"/>
          <w:lang w:val="en-US" w:eastAsia="zh-CN"/>
        </w:rPr>
        <w:t xml:space="preserve">进口产品投标。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5"/>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一年内</w:t>
      </w:r>
      <w:r>
        <w:rPr>
          <w:rFonts w:hint="eastAsia" w:ascii="宋体" w:hAnsi="宋体" w:cs="宋体"/>
          <w:b/>
          <w:bCs/>
          <w:i/>
          <w:iCs/>
          <w:color w:val="auto"/>
          <w:szCs w:val="21"/>
          <w:highlight w:val="none"/>
          <w:u w:val="single"/>
        </w:rPr>
        <w:t xml:space="preserve">内任意一个月缴纳职工社会保障资金的缴款凭证或缴款证明)（投标人依法享受缓缴、免缴的提供证明材料）</w:t>
      </w:r>
      <w:r/>
    </w:p>
    <w:p>
      <w:pPr>
        <w:ind w:firstLine="420"/>
        <w:keepLines w:val="0"/>
        <w:keepNext w:val="0"/>
        <w:pageBreakBefore w:val="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w:t>
      </w:r>
      <w:r>
        <w:rPr>
          <w:rFonts w:hint="eastAsia" w:ascii="宋体" w:hAnsi="宋体" w:cs="宋体"/>
          <w:i/>
          <w:iCs/>
          <w:color w:val="auto"/>
          <w:szCs w:val="21"/>
          <w:highlight w:val="none"/>
          <w:u w:val="single"/>
          <w:lang w:eastAsia="zh-CN"/>
        </w:rPr>
        <w:t xml:space="preserve">近一年内</w:t>
      </w:r>
      <w:r>
        <w:rPr>
          <w:rFonts w:hint="eastAsia" w:ascii="宋体" w:hAnsi="宋体" w:cs="宋体"/>
          <w:i/>
          <w:iCs/>
          <w:color w:val="auto"/>
          <w:szCs w:val="21"/>
          <w:highlight w:val="none"/>
          <w:u w:val="single"/>
        </w:rPr>
        <w:t xml:space="preserve">任意一</w:t>
      </w:r>
      <w:r>
        <w:rPr>
          <w:rFonts w:hint="eastAsia" w:ascii="宋体" w:hAnsi="宋体" w:cs="宋体"/>
          <w:i/>
          <w:iCs/>
          <w:color w:val="auto"/>
          <w:szCs w:val="21"/>
          <w:highlight w:val="none"/>
          <w:u w:val="single"/>
          <w:lang w:val="en-US" w:eastAsia="zh-CN"/>
        </w:rPr>
        <w:t xml:space="preserve">个月</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keepLines w:val="0"/>
        <w:keepNext w:val="0"/>
        <w:pageBreakBefore w:val="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Cs/>
          <w:color w:val="auto"/>
          <w:szCs w:val="21"/>
          <w:highlight w:val="none"/>
        </w:rPr>
      </w:pPr>
      <w:r>
        <w:rPr>
          <w:rFonts w:hint="eastAsia" w:ascii="宋体" w:hAnsi="宋体" w:eastAsia="宋体" w:cs="宋体"/>
          <w:bCs/>
          <w:i/>
          <w:color w:val="auto"/>
          <w:sz w:val="21"/>
          <w:szCs w:val="22"/>
          <w:highlight w:val="none"/>
          <w:lang w:val="en-US" w:eastAsia="zh-CN" w:bidi="ar-SA"/>
        </w:rPr>
        <w:t xml:space="preserve">2.</w:t>
      </w:r>
      <w:r>
        <w:rPr>
          <w:rFonts w:hint="eastAsia" w:ascii="宋体" w:hAnsi="宋体" w:cs="宋体"/>
          <w:color w:val="auto"/>
          <w:szCs w:val="21"/>
          <w:highlight w:val="none"/>
        </w:rPr>
        <w:t xml:space="preserve">落实政府采购政策需满足的资格要求：</w:t>
      </w:r>
      <w:r>
        <w:rPr>
          <w:rFonts w:hint="eastAsia" w:ascii="宋体" w:hAnsi="宋体" w:cs="宋体"/>
          <w:bCs/>
          <w:i/>
          <w:color w:val="auto"/>
          <w:highlight w:val="none"/>
          <w:u w:val="single"/>
        </w:rPr>
        <w:t xml:space="preserve">根据《政府采购促进中小企业发展管理办法》的规定，本项目专门面向中小企业采购，供应商投标时须提供《中小企业声明函》，《中小企业声明函》不符合要求或未提供的，响应文件无效。</w:t>
      </w:r>
      <w:r/>
    </w:p>
    <w:p>
      <w:pPr>
        <w:ind w:firstLine="420"/>
        <w:keepLines w:val="0"/>
        <w:keepNext w:val="0"/>
        <w:pageBreakBefore w:val="0"/>
        <w:spacing w:line="360" w:lineRule="auto"/>
        <w:widowControl w:val="off"/>
        <w:tabs>
          <w:tab w:val="left" w:pos="266" w:leader="none"/>
        </w:tabs>
        <w:rPr>
          <w:rFonts w:hint="eastAsia" w:ascii="宋体" w:hAnsi="宋体" w:eastAsia="宋体" w:cs="宋体"/>
          <w:bCs/>
          <w:i/>
          <w:color w:val="auto"/>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val="en-US" w:eastAsia="zh-CN"/>
        </w:rPr>
        <w:t xml:space="preserve">无</w:t>
      </w:r>
      <w:r/>
    </w:p>
    <w:p>
      <w:pPr>
        <w:ind w:firstLine="422"/>
        <w:keepLines w:val="0"/>
        <w:keepNext w:val="0"/>
        <w:pageBreakBefore w:val="0"/>
        <w:spacing w:line="360" w:lineRule="auto"/>
        <w:widowControl w:val="off"/>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keepLines w:val="0"/>
        <w:keepNext w:val="0"/>
        <w:pageBreakBefore w:val="0"/>
        <w:spacing w:line="360" w:lineRule="auto"/>
        <w:widowControl w:val="off"/>
        <w:rPr>
          <w:rFonts w:ascii="宋体" w:hAnsi="宋体" w:cs="宋体"/>
          <w:color w:val="auto"/>
          <w:highlight w:val="none"/>
        </w:rPr>
      </w:pPr>
      <w:r/>
      <w:bookmarkStart w:id="6" w:name="_Toc38985266"/>
      <w:r>
        <w:rPr>
          <w:rFonts w:hint="eastAsia" w:ascii="宋体" w:hAnsi="宋体" w:cs="宋体"/>
          <w:color w:val="auto"/>
          <w:highlight w:val="none"/>
        </w:rPr>
        <w:t xml:space="preserve">1.时间：自招标文件公告发布之日起5个工作日。</w:t>
      </w:r>
      <w:r/>
    </w:p>
    <w:p>
      <w:pPr>
        <w:ind w:firstLine="422"/>
        <w:keepLines w:val="0"/>
        <w:keepNext w:val="0"/>
        <w:pageBreakBefore w:val="0"/>
        <w:spacing w:line="360" w:lineRule="auto"/>
        <w:widowControl w:val="off"/>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keepLines w:val="0"/>
        <w:keepNext w:val="0"/>
        <w:pageBreakBefore w:val="0"/>
        <w:spacing w:line="360" w:lineRule="auto"/>
        <w:widowControl w:val="off"/>
        <w:rPr>
          <w:rFonts w:ascii="宋体" w:hAnsi="宋体" w:cs="宋体"/>
          <w:b/>
          <w:bCs/>
          <w:color w:val="auto"/>
          <w:highlight w:val="none"/>
        </w:rPr>
      </w:pPr>
      <w:r>
        <w:rPr>
          <w:rFonts w:hint="eastAsia" w:ascii="宋体" w:hAnsi="宋体" w:cs="宋体"/>
          <w:b/>
          <w:bCs/>
          <w:color w:val="auto"/>
          <w:highlight w:val="none"/>
        </w:rPr>
        <w:t xml:space="preserve">3.潜在投标人访问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//zfcg.yangzhou.gov.cn/zfcg/xzzx/202309/4d7de1f7865f4a2894fc22bc452f94d8.shtml。</w:t>
      </w:r>
      <w:r/>
    </w:p>
    <w:p>
      <w:pPr>
        <w:ind w:firstLine="422"/>
        <w:jc w:val="left"/>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//jszfcg.jsczt.cn/。</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widowControl w:val="off"/>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tabs>
          <w:tab w:val="left" w:pos="266" w:leader="none"/>
        </w:tabs>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bookmarkEnd w:id="6"/>
      <w:r/>
      <w:r/>
    </w:p>
    <w:p>
      <w:pPr>
        <w:ind w:firstLine="420"/>
        <w:keepLines w:val="0"/>
        <w:keepNext w:val="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02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09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keepLines w:val="0"/>
        <w:keepNext w:val="0"/>
        <w:pageBreakBefore w:val="0"/>
        <w:spacing w:line="360" w:lineRule="auto"/>
        <w:rPr>
          <w:rFonts w:hint="eastAsia" w:ascii="宋体" w:hAnsi="宋体"/>
          <w:b w:val="0"/>
          <w:bCs/>
          <w:color w:val="auto"/>
          <w:szCs w:val="21"/>
          <w:highlight w:val="none"/>
        </w:rPr>
      </w:pPr>
      <w:r>
        <w:rPr>
          <w:rFonts w:hint="eastAsia" w:ascii="宋体" w:hAnsi="宋体" w:cs="宋体"/>
          <w:color w:val="auto"/>
          <w:highlight w:val="none"/>
        </w:rPr>
        <w:t xml:space="preserve">2.开标地点：</w:t>
      </w:r>
      <w:r>
        <w:rPr>
          <w:rFonts w:hint="eastAsia" w:ascii="宋体" w:hAnsi="宋体"/>
          <w:b w:val="0"/>
          <w:bCs/>
          <w:color w:val="auto"/>
          <w:szCs w:val="21"/>
          <w:highlight w:val="none"/>
        </w:rPr>
        <w:t xml:space="preserve">“苏采云”系统（网址：http</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//jszfcg.jsczt.cn/）“开标大厅”</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五、开启</w:t>
      </w:r>
      <w:r/>
    </w:p>
    <w:p>
      <w:pPr>
        <w:ind w:firstLine="422"/>
        <w:spacing w:line="360" w:lineRule="auto"/>
        <w:rPr>
          <w:rFonts w:hint="eastAsia" w:ascii="宋体" w:hAnsi="宋体" w:cs="宋体"/>
          <w:b/>
          <w:bCs/>
          <w:szCs w:val="21"/>
          <w:highlight w:val="none"/>
          <w:shd w:val="clear" w:color="auto" w:fill="ffffff"/>
        </w:rPr>
      </w:pPr>
      <w:r>
        <w:rPr>
          <w:rFonts w:hint="eastAsia" w:ascii="宋体" w:hAnsi="宋体" w:cs="宋体"/>
          <w:b/>
          <w:bCs/>
          <w:szCs w:val="21"/>
          <w:highlight w:val="none"/>
          <w:shd w:val="clear" w:color="auto" w:fill="ffffff"/>
        </w:rPr>
        <w:t xml:space="preserve">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02</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09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b/>
          <w:bCs/>
          <w:szCs w:val="21"/>
          <w:highlight w:val="none"/>
          <w:shd w:val="clear" w:color="auto" w:fill="ffffff"/>
        </w:rPr>
        <w:t xml:space="preserve">（北京时间）</w:t>
      </w:r>
      <w:r/>
    </w:p>
    <w:p>
      <w:pPr>
        <w:ind w:firstLine="422"/>
        <w:spacing w:line="360" w:lineRule="auto"/>
        <w:rPr>
          <w:rFonts w:hint="eastAsia" w:ascii="宋体" w:hAnsi="宋体"/>
          <w:b w:val="0"/>
          <w:bCs/>
          <w:color w:val="auto"/>
          <w:szCs w:val="21"/>
          <w:highlight w:val="none"/>
        </w:rPr>
      </w:pPr>
      <w:r>
        <w:rPr>
          <w:rFonts w:hint="eastAsia" w:ascii="宋体" w:hAnsi="宋体" w:cs="宋体"/>
          <w:b/>
          <w:szCs w:val="21"/>
          <w:highlight w:val="none"/>
        </w:rPr>
        <w:t xml:space="preserve">开标地点：“苏采云”系统（网址： http://jszfcg.jsczt.cn/）“开标大厅”</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7" w:name="_Toc38985267"/>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、公告期限</w:t>
      </w:r>
      <w:bookmarkEnd w:id="7"/>
      <w:r/>
      <w:r/>
    </w:p>
    <w:p>
      <w:pPr>
        <w:ind w:firstLine="420"/>
        <w:keepLines w:val="0"/>
        <w:keepNext w:val="0"/>
        <w:pageBreakBefore w:val="0"/>
        <w:spacing w:line="360" w:lineRule="auto"/>
        <w:rPr>
          <w:rFonts w:ascii="宋体" w:hAnsi="宋体" w:cs="宋体"/>
          <w:color w:val="auto"/>
          <w:highlight w:val="none"/>
        </w:rPr>
      </w:pPr>
      <w:r/>
      <w:bookmarkStart w:id="8" w:name="_Toc38985268"/>
      <w:r>
        <w:rPr>
          <w:rFonts w:hint="eastAsia" w:ascii="宋体" w:hAnsi="宋体" w:cs="宋体"/>
          <w:color w:val="auto"/>
          <w:highlight w:val="none"/>
        </w:rPr>
        <w:t xml:space="preserve">招标公告及招标文件公告期限为自本公告发布之日起5个工作日。</w:t>
      </w:r>
      <w:bookmarkEnd w:id="8"/>
      <w:r/>
      <w:r/>
    </w:p>
    <w:p>
      <w:pPr>
        <w:ind w:firstLine="422"/>
        <w:keepLines w:val="0"/>
        <w:keepNext w:val="0"/>
        <w:pageBreakBefore w:val="0"/>
        <w:spacing w:line="360" w:lineRule="auto"/>
        <w:tabs>
          <w:tab w:val="left" w:pos="266" w:leader="none"/>
        </w:tabs>
        <w:rPr>
          <w:rFonts w:ascii="宋体" w:hAnsi="宋体" w:cs="宋体"/>
          <w:b/>
          <w:bCs/>
          <w:color w:val="auto"/>
          <w:highlight w:val="none"/>
        </w:rPr>
      </w:pPr>
      <w:r/>
      <w:bookmarkStart w:id="9" w:name="_Toc28359087"/>
      <w:r/>
      <w:bookmarkStart w:id="10" w:name="_Toc28359010"/>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//www.crcrfsp.com）”向参与政府采购融资业务的金融机构申请线上融资，相关事宜可向市人民银行咨询，联系电话：0514-87936653。</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9"/>
      <w:r/>
      <w:bookmarkEnd w:id="10"/>
      <w:r/>
      <w:r/>
    </w:p>
    <w:p>
      <w:pPr>
        <w:ind w:firstLine="422"/>
        <w:keepLines w:val="0"/>
        <w:keepNext w:val="0"/>
        <w:pageBreakBefore w:val="0"/>
        <w:spacing w:line="360" w:lineRule="auto"/>
        <w:rPr>
          <w:rFonts w:ascii="宋体" w:hAnsi="宋体" w:cs="宋体"/>
          <w:b/>
          <w:bCs/>
          <w:color w:val="auto"/>
          <w:highlight w:val="none"/>
        </w:rPr>
      </w:pP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、其他</w:t>
      </w:r>
      <w:r/>
    </w:p>
    <w:p>
      <w:pPr>
        <w:ind w:firstLine="422"/>
        <w:keepLines w:val="0"/>
        <w:keepNext w:val="0"/>
        <w:pageBreakBefore w:val="0"/>
        <w:spacing w:line="360" w:lineRule="auto"/>
        <w:rPr>
          <w:rFonts w:ascii="宋体" w:hAnsi="宋体" w:cs="宋体"/>
          <w:b/>
          <w:bCs/>
          <w:color w:val="auto"/>
          <w:szCs w:val="21"/>
          <w:highlight w:val="none"/>
        </w:rPr>
      </w:pPr>
      <w:r/>
      <w:bookmarkStart w:id="11"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keepLines w:val="0"/>
        <w:keepNext w:val="0"/>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keepLines w:val="0"/>
        <w:keepNext w:val="0"/>
        <w:pageBreakBefore w:val="0"/>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keepLines w:val="0"/>
        <w:keepNext w:val="0"/>
        <w:pageBreakBefore w:val="0"/>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keepLines w:val="0"/>
        <w:keepNext w:val="0"/>
        <w:pageBreakBefore w:val="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keepLines w:val="0"/>
        <w:keepNext w:val="0"/>
        <w:pageBreakBefore w:val="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.有关本次招标的事项若存在变动或修改，敬请及时关注“扬州市政府采购网”、“江苏省政府采购网”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发布的信息。</w:t>
      </w:r>
      <w:r/>
    </w:p>
    <w:p>
      <w:pPr>
        <w:ind w:firstLine="422"/>
        <w:jc w:val="left"/>
        <w:keepLines w:val="0"/>
        <w:keepNext w:val="0"/>
        <w:pageBreakBefore w:val="0"/>
        <w:spacing w:line="360" w:lineRule="auto"/>
        <w:widowControl w:val="off"/>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firstLine="420"/>
        <w:jc w:val="left"/>
        <w:keepLines w:val="0"/>
        <w:keepNext w:val="0"/>
        <w:pageBreakBefore w:val="0"/>
        <w:spacing w:line="360" w:lineRule="auto"/>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9</w:t>
      </w:r>
      <w:r>
        <w:rPr>
          <w:rFonts w:hint="eastAsia" w:ascii="宋体" w:hAnsi="宋体" w:eastAsia="宋体" w:cs="宋体"/>
          <w:bCs/>
          <w:color w:val="auto"/>
          <w:szCs w:val="21"/>
          <w:highlight w:val="none"/>
        </w:rPr>
        <w:t xml:space="preserve">.如在开标时间发生系统崩溃等不可预见的情况，造成开评标活动无法正常进行的，</w:t>
      </w:r>
      <w:r>
        <w:rPr>
          <w:rFonts w:hint="eastAsia" w:ascii="宋体" w:hAnsi="宋体" w:eastAsia="宋体" w:cs="宋体"/>
          <w:bCs/>
          <w:color w:val="auto"/>
          <w:szCs w:val="21"/>
          <w:highlight w:val="none"/>
          <w:lang w:val="en-US" w:eastAsia="zh-CN"/>
        </w:rPr>
        <w:t xml:space="preserve">将</w:t>
      </w:r>
      <w:r>
        <w:rPr>
          <w:rFonts w:hint="eastAsia" w:ascii="宋体" w:hAnsi="宋体" w:eastAsia="宋体" w:cs="宋体"/>
          <w:bCs/>
          <w:color w:val="auto"/>
          <w:szCs w:val="21"/>
          <w:highlight w:val="none"/>
        </w:rPr>
        <w:t xml:space="preserve">延迟开评标，具体开评标时间另行通知。</w:t>
      </w:r>
      <w:r/>
    </w:p>
    <w:p>
      <w:pPr>
        <w:ind w:firstLine="422"/>
        <w:keepLines w:val="0"/>
        <w:keepNext w:val="0"/>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九</w:t>
      </w:r>
      <w:r>
        <w:rPr>
          <w:rFonts w:hint="eastAsia" w:ascii="宋体" w:hAnsi="宋体" w:cs="宋体"/>
          <w:b/>
          <w:bCs/>
          <w:color w:val="auto"/>
          <w:highlight w:val="none"/>
        </w:rPr>
        <w:t xml:space="preserve">、本次招标联系方式</w:t>
      </w:r>
      <w:bookmarkEnd w:id="11"/>
      <w:r/>
      <w:r/>
    </w:p>
    <w:p>
      <w:pPr>
        <w:ind w:firstLine="420"/>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pStyle w:val="1023"/>
        <w:ind w:firstLine="420"/>
        <w:jc w:val="left"/>
        <w:keepLines w:val="0"/>
        <w:keepNext w:val="0"/>
        <w:pageBreakBefore w:val="0"/>
        <w:spacing w:line="360" w:lineRule="auto"/>
        <w:rPr>
          <w:rFonts w:hint="eastAsia" w:ascii="宋体" w:hAnsi="宋体" w:eastAsia="宋体" w:cs="宋体"/>
          <w:color w:val="auto"/>
          <w:szCs w:val="21"/>
          <w:highlight w:val="none"/>
          <w:lang w:eastAsia="zh-CN"/>
        </w:rPr>
      </w:pPr>
      <w:r/>
      <w:bookmarkStart w:id="12" w:name="_Toc28359009"/>
      <w:r/>
      <w:bookmarkStart w:id="13" w:name="_Toc28359086"/>
      <w:r>
        <w:rPr>
          <w:rFonts w:hint="eastAsia" w:ascii="宋体" w:hAnsi="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称：</w:t>
      </w:r>
      <w:r>
        <w:rPr>
          <w:rFonts w:hint="eastAsia" w:ascii="宋体" w:hAnsi="宋体" w:cs="宋体"/>
          <w:color w:val="auto"/>
          <w:szCs w:val="21"/>
          <w:highlight w:val="none"/>
          <w:lang w:eastAsia="zh-CN"/>
        </w:rPr>
        <w:t xml:space="preserve">扬州市检验检测中心</w:t>
      </w:r>
      <w:r/>
    </w:p>
    <w:p>
      <w:pPr>
        <w:pStyle w:val="1023"/>
        <w:ind w:firstLine="420"/>
        <w:jc w:val="left"/>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址：</w:t>
      </w:r>
      <w:r>
        <w:rPr>
          <w:rFonts w:hint="eastAsia" w:ascii="宋体" w:hAnsi="宋体" w:cs="宋体"/>
          <w:color w:val="auto"/>
          <w:highlight w:val="none"/>
          <w:lang w:eastAsia="zh-CN"/>
        </w:rPr>
        <w:t xml:space="preserve">扬州市</w:t>
      </w:r>
      <w:r>
        <w:rPr>
          <w:rFonts w:hint="eastAsia" w:ascii="宋体" w:hAnsi="宋体"/>
          <w:color w:val="000000"/>
          <w:szCs w:val="21"/>
          <w:highlight w:val="none"/>
          <w:lang w:eastAsia="zh-CN"/>
        </w:rPr>
        <w:t xml:space="preserve">广陵经济开发区创业路20号</w:t>
      </w:r>
      <w:r/>
    </w:p>
    <w:p>
      <w:pPr>
        <w:pStyle w:val="1023"/>
        <w:ind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系</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人：周恺</w:t>
      </w:r>
      <w:r/>
    </w:p>
    <w:p>
      <w:pPr>
        <w:pStyle w:val="1023"/>
        <w:ind w:firstLine="42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联系方式：13952756015</w:t>
      </w:r>
      <w:r/>
    </w:p>
    <w:p>
      <w:pPr>
        <w:ind w:firstLine="420"/>
        <w:jc w:val="left"/>
        <w:keepLines w:val="0"/>
        <w:keepNext w:val="0"/>
        <w:pageBreakBefore w:val="0"/>
        <w:spacing w:line="360" w:lineRule="auto"/>
        <w:rPr>
          <w:rFonts w:ascii="宋体" w:hAnsi="宋体" w:cs="宋体"/>
          <w:color w:val="auto"/>
          <w:highlight w:val="none"/>
        </w:rPr>
      </w:pPr>
      <w:r>
        <w:rPr>
          <w:rFonts w:hint="eastAsia" w:ascii="宋体" w:hAnsi="宋体" w:cs="宋体"/>
          <w:color w:val="auto"/>
          <w:highlight w:val="none"/>
        </w:rPr>
        <w:t xml:space="preserve">2.代理机构信息</w:t>
      </w:r>
      <w:bookmarkEnd w:id="12"/>
      <w:r/>
      <w:bookmarkEnd w:id="13"/>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江苏华彦建设投资管理有限公司</w:t>
      </w:r>
      <w:r/>
    </w:p>
    <w:p>
      <w:pPr>
        <w:ind w:firstLine="420"/>
        <w:jc w:val="left"/>
        <w:keepLines w:val="0"/>
        <w:keepNext w:val="0"/>
        <w:pageBreakBefore w:val="0"/>
        <w:spacing w:line="360" w:lineRule="auto"/>
        <w:rPr>
          <w:rFonts w:hint="eastAsia" w:ascii="宋体" w:hAnsi="宋体" w:cs="宋体"/>
          <w:color w:val="auto"/>
          <w:highlight w:val="none"/>
          <w:lang w:eastAsia="zh-CN"/>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扬州市广陵区广陵新城京杭路京杭水镇南街三楼</w:t>
      </w:r>
      <w:r/>
    </w:p>
    <w:p>
      <w:pPr>
        <w:ind w:firstLine="420"/>
        <w:jc w:val="left"/>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阮海林</w:t>
      </w:r>
      <w:r/>
    </w:p>
    <w:p>
      <w:pPr>
        <w:ind w:firstLine="420"/>
        <w:jc w:val="left"/>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13328129836</w:t>
      </w:r>
      <w:r/>
    </w:p>
    <w:p>
      <w:pPr>
        <w:pStyle w:val="1019"/>
        <w:rPr>
          <w:color w:val="auto"/>
          <w:highlight w:val="none"/>
        </w:rPr>
      </w:pPr>
      <w:r>
        <w:rPr>
          <w:color w:val="auto"/>
          <w:highlight w:val="none"/>
        </w:rPr>
      </w:r>
      <w:r/>
    </w:p>
    <w:p>
      <w:pPr>
        <w:pStyle w:val="776"/>
        <w:jc w:val="center"/>
        <w:keepLines/>
        <w:keepNext/>
        <w:pageBreakBefore w:val="0"/>
        <w:spacing w:line="24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3"/>
      <w:r/>
      <w:r/>
    </w:p>
    <w:p>
      <w:pPr>
        <w:ind w:left="0" w:firstLine="422"/>
        <w:keepLines w:val="0"/>
        <w:keepNext w:val="0"/>
        <w:pageBreakBefore w:val="0"/>
        <w:spacing w:line="360" w:lineRule="auto"/>
        <w:widowControl w:val="off"/>
        <w:rPr>
          <w:rFonts w:ascii="宋体" w:hAnsi="宋体"/>
          <w:b/>
          <w:color w:val="auto"/>
          <w:szCs w:val="21"/>
          <w:highlight w:val="none"/>
        </w:rPr>
      </w:pPr>
      <w:r/>
      <w:bookmarkStart w:id="14" w:name="_Toc497133092"/>
      <w:r>
        <w:rPr>
          <w:rFonts w:hint="eastAsia" w:ascii="宋体" w:hAnsi="宋体"/>
          <w:b/>
          <w:color w:val="auto"/>
          <w:szCs w:val="21"/>
          <w:highlight w:val="none"/>
        </w:rPr>
        <w:t xml:space="preserve">1、招标方式</w:t>
      </w:r>
      <w:r/>
    </w:p>
    <w:p>
      <w:pPr>
        <w:ind w:left="0"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1.1 本次招标采取公开</w:t>
      </w:r>
      <w:bookmarkStart w:id="48" w:name="_GoBack"/>
      <w:r/>
      <w:bookmarkEnd w:id="48"/>
      <w:r>
        <w:rPr>
          <w:rFonts w:hint="eastAsia" w:ascii="宋体" w:hAnsi="宋体"/>
          <w:bCs/>
          <w:color w:val="auto"/>
          <w:szCs w:val="21"/>
          <w:highlight w:val="none"/>
        </w:rPr>
        <w:t xml:space="preserve">招标方式，本招标文件仅适用</w:t>
      </w:r>
      <w:r>
        <w:rPr>
          <w:rFonts w:hint="eastAsia" w:ascii="宋体" w:hAnsi="宋体"/>
          <w:bCs/>
          <w:color w:val="auto"/>
          <w:szCs w:val="21"/>
          <w:highlight w:val="none"/>
        </w:rPr>
        <w:t xml:space="preserve">于</w:t>
      </w:r>
      <w:r>
        <w:rPr>
          <w:rFonts w:hint="eastAsia" w:ascii="宋体" w:hAnsi="宋体"/>
          <w:bCs/>
          <w:color w:val="auto"/>
          <w:szCs w:val="21"/>
          <w:highlight w:val="none"/>
          <w:lang w:eastAsia="zh-CN"/>
        </w:rPr>
        <w:t xml:space="preserve">JSZC-321000-JYYH-G2026-0002</w:t>
      </w:r>
      <w:r>
        <w:rPr>
          <w:rFonts w:hint="eastAsia" w:ascii="宋体" w:hAnsi="宋体"/>
          <w:bCs/>
          <w:color w:val="auto"/>
          <w:szCs w:val="21"/>
          <w:highlight w:val="none"/>
          <w:lang w:val="en-US" w:eastAsia="zh-CN"/>
        </w:rPr>
        <w:t xml:space="preserve">号</w:t>
      </w:r>
      <w:r>
        <w:rPr>
          <w:rFonts w:hint="eastAsia" w:ascii="宋体" w:hAnsi="宋体"/>
          <w:bCs/>
          <w:color w:val="auto"/>
          <w:szCs w:val="21"/>
          <w:highlight w:val="none"/>
        </w:rPr>
        <w:t xml:space="preserve">项目。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3、适用法律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4、投标费用</w:t>
      </w:r>
      <w:r/>
    </w:p>
    <w:p>
      <w:pPr>
        <w:ind w:left="0"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highlight w:val="none"/>
        </w:rPr>
        <w:t xml:space="preserve">4.1 投标人应自行承担所有与参加投标有关的费用，无论投标过程中的做法和结果如 何，代理机构在任何情况下均无义务和责任承担这些费用。 </w:t>
      </w:r>
      <w:r/>
    </w:p>
    <w:p>
      <w:pPr>
        <w:pStyle w:val="1178"/>
        <w:ind w:firstLine="422"/>
        <w:spacing w:before="0" w:after="0" w:line="360" w:lineRule="auto"/>
        <w:rPr>
          <w:rFonts w:hint="eastAsia" w:ascii="宋体" w:hAnsi="宋体" w:cs="宋体"/>
          <w:color w:val="auto"/>
          <w:highlight w:val="none"/>
          <w:lang w:val="en-US" w:eastAsia="zh-CN"/>
        </w:rPr>
      </w:pPr>
      <w:r>
        <w:rPr>
          <w:rFonts w:hint="eastAsia" w:ascii="宋体" w:hAnsi="宋体" w:eastAsia="宋体"/>
          <w:sz w:val="21"/>
          <w:szCs w:val="21"/>
          <w:highlight w:val="none"/>
        </w:rPr>
        <w:t xml:space="preserve">5、采购文件的约束力</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6、招标文件构成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（1）招标公告</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（4）项目需求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公布，补充文件将作为招标文件的组成部分，并对投标人具有约束力。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12、分项报价表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12.2 标的物</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12.3其它费用处理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12.4投标货币</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13、技术参数响应及偏离表、商务条款响应及偏离表及投标服务说明</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16、投标有效期</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ascii="宋体" w:hAnsi="宋体"/>
          <w:b/>
          <w:color w:val="auto"/>
          <w:szCs w:val="21"/>
          <w:highlight w:val="none"/>
        </w:rPr>
      </w:pPr>
      <w:r/>
      <w:bookmarkStart w:id="15" w:name="_Toc462564084"/>
      <w:r/>
      <w:bookmarkStart w:id="16" w:name="_Toc20823297"/>
      <w:r/>
      <w:bookmarkStart w:id="17" w:name="_Toc16938541"/>
      <w:r/>
      <w:bookmarkStart w:id="18" w:name="_Toc513029225"/>
      <w:r>
        <w:rPr>
          <w:rFonts w:hint="eastAsia" w:ascii="宋体" w:hAnsi="宋体"/>
          <w:b/>
          <w:color w:val="auto"/>
          <w:szCs w:val="21"/>
          <w:highlight w:val="none"/>
        </w:rPr>
        <w:t xml:space="preserve">17、投标文件</w:t>
      </w:r>
      <w:bookmarkEnd w:id="15"/>
      <w:r/>
      <w:bookmarkEnd w:id="16"/>
      <w:r/>
      <w:bookmarkEnd w:id="17"/>
      <w:r/>
      <w:bookmarkEnd w:id="18"/>
      <w:r>
        <w:rPr>
          <w:rFonts w:hint="eastAsia" w:ascii="宋体" w:hAnsi="宋体"/>
          <w:b/>
          <w:color w:val="auto"/>
          <w:szCs w:val="21"/>
          <w:highlight w:val="none"/>
        </w:rPr>
        <w:t xml:space="preserve">的递交</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19" w:name="_Toc513029226"/>
      <w:r/>
      <w:bookmarkStart w:id="20" w:name="_Toc16938542"/>
      <w:r/>
      <w:bookmarkStart w:id="21" w:name="_Toc20823298"/>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17.2政府采购管理交易系统（苏采云）相关要求是本招标文件的组成部分。</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17.3投标人应对 CA 证书妥善保管，如被他人盗用投标，因此带来的结果均由投标人自行承担。</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17.4投标人应当对招标文件提出的要求和条件作出实质性响应，并在电子投标系统逐条应答。</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17.5投标人应对要求提供的资格证明文件（如资质证书、资格证书）、技术资料（如白皮书、彩页、手册、检测报告等）扫描上传至投标系统。</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0"/>
        <w:keepLines w:val="0"/>
        <w:keepNext w:val="0"/>
        <w:pageBreakBefore w:val="0"/>
        <w:spacing w:line="360" w:lineRule="auto"/>
        <w:widowControl w:val="off"/>
        <w:rPr>
          <w:b w:val="0"/>
          <w:bCs/>
          <w:color w:val="auto"/>
          <w:highlight w:val="none"/>
        </w:rPr>
      </w:pPr>
      <w:r>
        <w:rPr>
          <w:rFonts w:hint="eastAsia" w:ascii="宋体" w:hAnsi="宋体"/>
          <w:b w:val="0"/>
          <w:bCs/>
          <w:color w:val="auto"/>
          <w:szCs w:val="21"/>
          <w:highlight w:val="none"/>
        </w:rPr>
        <w:t xml:space="preserve">17.7各投标人应在规定时间内凭CA证书进行网上解密。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18、投标截止日期</w:t>
      </w:r>
      <w:bookmarkEnd w:id="19"/>
      <w:r/>
      <w:bookmarkEnd w:id="20"/>
      <w:r/>
      <w:bookmarkEnd w:id="21"/>
      <w:r/>
      <w:r/>
    </w:p>
    <w:p>
      <w:pPr>
        <w:ind w:left="0" w:firstLine="420"/>
        <w:keepLines w:val="0"/>
        <w:keepNext w:val="0"/>
        <w:pageBreakBefore w:val="0"/>
        <w:spacing w:line="360" w:lineRule="auto"/>
        <w:widowControl w:val="off"/>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ascii="宋体" w:hAnsi="宋体"/>
          <w:b/>
          <w:color w:val="auto"/>
          <w:szCs w:val="21"/>
          <w:highlight w:val="none"/>
        </w:rPr>
      </w:pPr>
      <w:r/>
      <w:bookmarkStart w:id="22" w:name="_Toc513029227"/>
      <w:r/>
      <w:bookmarkStart w:id="23" w:name="_Toc16938543"/>
      <w:r/>
      <w:bookmarkStart w:id="24" w:name="_Toc20823299"/>
      <w:r>
        <w:rPr>
          <w:rFonts w:hint="eastAsia" w:ascii="宋体" w:hAnsi="宋体"/>
          <w:b/>
          <w:color w:val="auto"/>
          <w:szCs w:val="21"/>
          <w:highlight w:val="none"/>
        </w:rPr>
        <w:t xml:space="preserve">19、投标文件</w:t>
      </w:r>
      <w:bookmarkEnd w:id="22"/>
      <w:r/>
      <w:bookmarkEnd w:id="23"/>
      <w:r/>
      <w:bookmarkEnd w:id="24"/>
      <w:r>
        <w:rPr>
          <w:rFonts w:hint="eastAsia" w:ascii="宋体" w:hAnsi="宋体"/>
          <w:b/>
          <w:color w:val="auto"/>
          <w:szCs w:val="21"/>
          <w:highlight w:val="none"/>
        </w:rPr>
        <w:t xml:space="preserve">的拒收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left="0" w:firstLine="422"/>
        <w:keepLines w:val="0"/>
        <w:keepNext w:val="0"/>
        <w:pageBreakBefore w:val="0"/>
        <w:spacing w:line="360" w:lineRule="auto"/>
        <w:widowControl w:val="off"/>
        <w:rPr>
          <w:rFonts w:ascii="宋体" w:hAnsi="宋体"/>
          <w:b/>
          <w:color w:val="auto"/>
          <w:szCs w:val="21"/>
          <w:highlight w:val="none"/>
        </w:rPr>
      </w:pPr>
      <w:r/>
      <w:bookmarkStart w:id="25" w:name="_Toc513029228"/>
      <w:r/>
      <w:bookmarkStart w:id="26" w:name="_Toc16938544"/>
      <w:r/>
      <w:bookmarkStart w:id="27" w:name="_Toc20823300"/>
      <w:r>
        <w:rPr>
          <w:rFonts w:hint="eastAsia" w:ascii="宋体" w:hAnsi="宋体"/>
          <w:b/>
          <w:color w:val="auto"/>
          <w:szCs w:val="21"/>
          <w:highlight w:val="none"/>
        </w:rPr>
        <w:t xml:space="preserve">20、投标文件的撤回和修改</w:t>
      </w:r>
      <w:bookmarkEnd w:id="25"/>
      <w:r/>
      <w:bookmarkEnd w:id="26"/>
      <w:r/>
      <w:bookmarkEnd w:id="27"/>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21、开标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ind w:left="0" w:firstLine="420"/>
        <w:keepLines w:val="0"/>
        <w:keepNext w:val="0"/>
        <w:pageBreakBefore w:val="0"/>
        <w:spacing w:line="360" w:lineRule="auto"/>
        <w:widowControl w:val="off"/>
        <w:rPr>
          <w:rFonts w:ascii="宋体" w:hAnsi="宋体"/>
          <w:b w:val="0"/>
          <w:bCs/>
          <w:color w:val="auto"/>
          <w:szCs w:val="21"/>
          <w:highlight w:val="none"/>
        </w:rPr>
      </w:pPr>
      <w:r>
        <w:rPr>
          <w:rFonts w:hint="eastAsia" w:ascii="宋体" w:hAnsi="宋体"/>
          <w:b w:val="0"/>
          <w:bCs/>
          <w:color w:val="auto"/>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22、评标委员会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22.1 开标后，代理机构将立即组织评标委员会（以下简称评委会）进行评标。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22.2 评委会由采购人代表和有关技术、经济等方面的专家组成，且人员构成符合政府采购有关规定。</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24、投标的澄清</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24.3 接到评委会澄清要求的投标人如未按规定做出澄清，其风险由投标人自行承担。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25.1.1资格审查：依据法律法规和招标文件的规定，对投标文件中的资格证明文件进行审查。并将审查结论以书面形式向评委会反馈。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 异常低价投标（响应）</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.3投标（响应）报价低于采购项目最高限价45%的，即投标（响应）报价&lt;采购项目最高限价×45%； </w:t>
      </w:r>
      <w:r/>
    </w:p>
    <w:p>
      <w:pPr>
        <w:ind w:firstLine="420"/>
        <w:keepLines w:val="0"/>
        <w:keepNext w:val="0"/>
        <w:pageBreakBefore w:val="0"/>
        <w:spacing w:line="360" w:lineRule="auto"/>
        <w:widowControl w:val="off"/>
        <w:rPr>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.4 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bCs/>
          <w:color w:val="auto"/>
          <w:szCs w:val="21"/>
          <w:highlight w:val="none"/>
        </w:rPr>
        <w:t xml:space="preserve">26.1.</w:t>
      </w:r>
      <w:r>
        <w:rPr>
          <w:rFonts w:hint="eastAsia" w:ascii="宋体" w:hAnsi="宋体"/>
          <w:bCs/>
          <w:color w:val="auto"/>
          <w:szCs w:val="21"/>
          <w:highlight w:val="none"/>
          <w:lang w:val="en-US" w:eastAsia="zh-CN"/>
        </w:rPr>
        <w:t xml:space="preserve">13</w:t>
      </w:r>
      <w:r>
        <w:rPr>
          <w:rFonts w:hint="eastAsia" w:ascii="宋体" w:hAnsi="宋体"/>
          <w:bCs/>
          <w:color w:val="auto"/>
          <w:szCs w:val="21"/>
          <w:highlight w:val="none"/>
        </w:rPr>
        <w:t xml:space="preserve">.5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其他法律、法规及本招标文件规定的属无效投标的情形。</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28、质疑处理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29、中标通知书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ascii="宋体" w:hAnsi="宋体"/>
          <w:b/>
          <w:color w:val="auto"/>
          <w:szCs w:val="21"/>
          <w:highlight w:val="none"/>
        </w:rPr>
      </w:pPr>
      <w:r>
        <w:rPr>
          <w:rFonts w:hint="eastAsia" w:ascii="宋体" w:hAnsi="宋体"/>
          <w:b/>
          <w:color w:val="auto"/>
          <w:szCs w:val="21"/>
          <w:highlight w:val="none"/>
        </w:rPr>
        <w:t xml:space="preserve">30、 签订合同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left="0"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pStyle w:val="776"/>
        <w:jc w:val="center"/>
        <w:keepLines/>
        <w:keepNext/>
        <w:pageBreakBefore w:val="0"/>
        <w:spacing w:line="360" w:lineRule="auto"/>
        <w:widowControl w:val="off"/>
        <w:rPr>
          <w:rFonts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第三章 合同条款及格式</w:t>
      </w:r>
      <w:bookmarkEnd w:id="14"/>
      <w:r/>
      <w:r/>
    </w:p>
    <w:p>
      <w:pPr>
        <w:pStyle w:val="803"/>
        <w:ind w:firstLine="420"/>
        <w:keepLines w:val="0"/>
        <w:keepNext w:val="0"/>
        <w:pageBreakBefore w:val="0"/>
        <w:spacing w:line="360" w:lineRule="auto"/>
        <w:widowControl w:val="off"/>
        <w:rPr>
          <w:rFonts w:hAnsi="宋体" w:cs="宋体"/>
          <w:color w:val="auto"/>
          <w:sz w:val="21"/>
          <w:highlight w:val="none"/>
        </w:rPr>
      </w:pPr>
      <w:r/>
      <w:bookmarkStart w:id="28" w:name="_Hlt16619369"/>
      <w:r/>
      <w:bookmarkEnd w:id="28"/>
      <w:r>
        <w:rPr>
          <w:rFonts w:hint="eastAsia" w:hAnsi="宋体" w:cs="宋体"/>
          <w:color w:val="auto"/>
          <w:sz w:val="21"/>
          <w:highlight w:val="non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803"/>
        <w:rPr>
          <w:rFonts w:hAnsi="宋体" w:cs="宋体"/>
          <w:color w:val="auto"/>
          <w:highlight w:val="none"/>
        </w:rPr>
      </w:pPr>
      <w:r>
        <w:rPr>
          <w:rFonts w:hAnsi="宋体" w:cs="宋体"/>
          <w:color w:val="auto"/>
          <w:highlight w:val="none"/>
        </w:rPr>
      </w:r>
      <w:r/>
    </w:p>
    <w:p>
      <w:pPr>
        <w:pStyle w:val="803"/>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w:t>
      </w:r>
      <w:r>
        <w:rPr>
          <w:rFonts w:hAnsi="宋体"/>
          <w:b/>
          <w:bCs/>
          <w:color w:val="auto"/>
          <w:sz w:val="21"/>
          <w:highlight w:val="none"/>
        </w:rPr>
        <w:t xml:space="preserve"> </w:t>
      </w:r>
      <w:r/>
    </w:p>
    <w:p>
      <w:pPr>
        <w:pStyle w:val="803"/>
        <w:spacing w:before="120" w:after="120" w:line="360" w:lineRule="auto"/>
        <w:rPr>
          <w:rFonts w:hAnsi="宋体" w:cs="宋体"/>
          <w:color w:val="auto"/>
          <w:sz w:val="21"/>
          <w:highlight w:val="none"/>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扬州市检验检测中心2026年重点工业产品检验检测设备更新项目</w:t>
      </w:r>
      <w:r>
        <w:rPr>
          <w:rFonts w:hint="eastAsia" w:hAnsi="宋体" w:cs="宋体"/>
          <w:color w:val="auto"/>
          <w:sz w:val="21"/>
          <w:highlight w:val="none"/>
        </w:rPr>
        <w:t xml:space="preserve">                       </w:t>
      </w:r>
      <w:r/>
    </w:p>
    <w:p>
      <w:pPr>
        <w:pStyle w:val="803"/>
        <w:spacing w:before="120" w:after="120" w:line="360" w:lineRule="auto"/>
        <w:rPr>
          <w:rFonts w:hAnsi="宋体" w:cs="宋体"/>
          <w:b w:val="0"/>
          <w:bCs w:val="0"/>
          <w:color w:val="auto"/>
          <w:sz w:val="21"/>
          <w:szCs w:val="21"/>
          <w:highlight w:val="none"/>
        </w:rPr>
      </w:pPr>
      <w:r>
        <w:rPr>
          <w:rFonts w:hint="eastAsia" w:hAnsi="宋体" w:cs="宋体"/>
          <w:color w:val="auto"/>
          <w:sz w:val="21"/>
          <w:highlight w:val="none"/>
        </w:rPr>
        <w:t xml:space="preserve">编号</w:t>
      </w:r>
      <w:r>
        <w:rPr>
          <w:rFonts w:hint="eastAsia"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eastAsia="zh-CN"/>
        </w:rPr>
        <w:t xml:space="preserve">JSZC-321000-JYYH-G2026-0002</w:t>
      </w:r>
      <w:r>
        <w:rPr>
          <w:rFonts w:hint="eastAsia" w:hAnsi="宋体" w:cs="宋体"/>
          <w:b w:val="0"/>
          <w:bCs w:val="0"/>
          <w:color w:val="auto"/>
          <w:sz w:val="21"/>
          <w:szCs w:val="21"/>
          <w:highlight w:val="none"/>
        </w:rPr>
        <w:t xml:space="preserve">号</w:t>
      </w:r>
      <w:r>
        <w:rPr>
          <w:b w:val="0"/>
          <w:bCs w:val="0"/>
          <w:sz w:val="21"/>
          <w:szCs w:val="21"/>
        </w:rPr>
      </w:r>
    </w:p>
    <w:p>
      <w:pPr>
        <w:pStyle w:val="803"/>
        <w:spacing w:before="120" w:after="120" w:line="360" w:lineRule="auto"/>
        <w:rPr>
          <w:rFonts w:hAnsi="宋体" w:cs="宋体"/>
          <w:color w:val="auto"/>
          <w:sz w:val="21"/>
          <w:highlight w:val="none"/>
        </w:rPr>
      </w:pPr>
      <w:r>
        <w:rPr>
          <w:rFonts w:hint="eastAsia" w:hAnsi="宋体" w:cs="宋体"/>
          <w:color w:val="auto"/>
          <w:sz w:val="21"/>
          <w:highlight w:val="none"/>
        </w:rPr>
        <w:t xml:space="preserve">甲方（采购人/买方）：</w:t>
      </w:r>
      <w:r>
        <w:rPr>
          <w:rFonts w:hint="eastAsia" w:hAnsi="宋体" w:cs="宋体"/>
          <w:color w:val="auto"/>
          <w:sz w:val="21"/>
          <w:highlight w:val="none"/>
          <w:lang w:eastAsia="zh-CN"/>
        </w:rPr>
        <w:t xml:space="preserve">扬州市检验检测中心</w:t>
      </w:r>
      <w:r>
        <w:rPr>
          <w:rFonts w:hint="eastAsia" w:hAnsi="宋体" w:cs="宋体"/>
          <w:color w:val="auto"/>
          <w:sz w:val="21"/>
          <w:highlight w:val="none"/>
        </w:rPr>
        <w:t xml:space="preserve">       </w:t>
      </w:r>
      <w:r/>
    </w:p>
    <w:p>
      <w:pPr>
        <w:pStyle w:val="803"/>
        <w:spacing w:before="120" w:after="120" w:line="360" w:lineRule="auto"/>
        <w:rPr>
          <w:rFonts w:hAnsi="宋体" w:cs="宋体"/>
          <w:color w:val="auto"/>
          <w:sz w:val="21"/>
          <w:highlight w:val="none"/>
        </w:rPr>
      </w:pPr>
      <w:r>
        <w:rPr>
          <w:rFonts w:hint="eastAsia" w:hAnsi="宋体" w:cs="宋体"/>
          <w:color w:val="auto"/>
          <w:sz w:val="21"/>
          <w:highlight w:val="none"/>
        </w:rPr>
        <w:t xml:space="preserve">乙方（供应商/卖方）：</w:t>
      </w:r>
      <w:r>
        <w:rPr>
          <w:rFonts w:hint="eastAsia" w:hAnsi="宋体" w:cs="宋体"/>
          <w:color w:val="auto"/>
          <w:sz w:val="21"/>
          <w:highlight w:val="none"/>
          <w:u w:val="single"/>
        </w:rPr>
        <w:t xml:space="preserve">                </w:t>
      </w:r>
      <w:r/>
    </w:p>
    <w:p>
      <w:pPr>
        <w:pStyle w:val="803"/>
        <w:spacing w:before="120" w:after="120"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见证方：</w:t>
      </w:r>
      <w:r>
        <w:rPr>
          <w:rFonts w:hint="eastAsia" w:hAnsi="宋体" w:cs="宋体"/>
          <w:color w:val="auto"/>
          <w:sz w:val="21"/>
          <w:highlight w:val="none"/>
          <w:lang w:eastAsia="zh-CN"/>
        </w:rPr>
        <w:t xml:space="preserve">江苏华彦建设投资管理有限公司</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w:t>
      </w:r>
      <w:r>
        <w:rPr>
          <w:rFonts w:hint="eastAsia" w:hAnsi="宋体" w:cs="宋体"/>
          <w:color w:val="auto"/>
          <w:sz w:val="21"/>
          <w:highlight w:val="none"/>
          <w:lang w:eastAsia="zh-CN"/>
        </w:rPr>
        <w:t xml:space="preserve">江苏华彦建设投资管理有限公司</w:t>
      </w:r>
      <w:r>
        <w:rPr>
          <w:rFonts w:hint="eastAsia" w:hAnsi="宋体" w:cs="宋体"/>
          <w:color w:val="auto"/>
          <w:sz w:val="21"/>
          <w:highlight w:val="none"/>
        </w:rPr>
        <w:t xml:space="preserve">关于本项目招标结果签订本合同。</w:t>
      </w:r>
      <w:r/>
    </w:p>
    <w:p>
      <w:pPr>
        <w:pStyle w:val="80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1、合同标的</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乙方根据甲方需求，提供下列货物：</w:t>
      </w:r>
      <w:r>
        <w:rPr>
          <w:rFonts w:hint="eastAsia" w:hAnsi="宋体" w:cs="宋体"/>
          <w:color w:val="auto"/>
          <w:sz w:val="21"/>
          <w:highlight w:val="none"/>
          <w:u w:val="single"/>
        </w:rPr>
        <w:t xml:space="preserve">                      </w:t>
      </w:r>
      <w:r>
        <w:rPr>
          <w:rFonts w:hint="eastAsia" w:hAnsi="宋体" w:cs="宋体"/>
          <w:color w:val="auto"/>
          <w:sz w:val="21"/>
          <w:highlight w:val="none"/>
        </w:rPr>
        <w:t xml:space="preserve">。</w:t>
      </w:r>
      <w:r/>
    </w:p>
    <w:p>
      <w:pPr>
        <w:pStyle w:val="803"/>
        <w:ind w:firstLine="420"/>
        <w:spacing w:before="120" w:after="120" w:line="360" w:lineRule="auto"/>
        <w:rPr>
          <w:rFonts w:hAnsi="宋体" w:cs="宋体"/>
          <w:b/>
          <w:color w:val="auto"/>
          <w:sz w:val="21"/>
          <w:highlight w:val="none"/>
        </w:rPr>
      </w:pPr>
      <w:r>
        <w:rPr>
          <w:rFonts w:hint="eastAsia" w:hAnsi="宋体" w:cs="宋体"/>
          <w:color w:val="auto"/>
          <w:sz w:val="21"/>
          <w:highlight w:val="none"/>
        </w:rPr>
        <w:t xml:space="preserve">货物名称、规格及数量等要求详见招投标文件。</w:t>
      </w:r>
      <w:r/>
    </w:p>
    <w:p>
      <w:pPr>
        <w:pStyle w:val="80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2、合同总金额</w:t>
      </w:r>
      <w:r/>
    </w:p>
    <w:p>
      <w:pPr>
        <w:pStyle w:val="803"/>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2.1 本合同金额为（大写）：______________元人民币（¥_____元）。</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2.2 本合同总金额包括所乙方提供货物的产品费用、安装费、验收费、维护费用、税金及其他有关的为完成本项目发生的所有费用，招标文件中另有规定的除外。</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2.3 在招标文件未列明，而乙方认为履行本合同必需的费用也包含在合同总金额中。</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2.4 本合同总金额还包含乙方提供的伴随服务/售后服务费用。</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80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03"/>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3.1乙方应按招标文件规定的时间向甲方提供使用货物的有关技术资料。</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803"/>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0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0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（3）供货一览表；                 （4）技术参数响应表；</w:t>
      </w:r>
      <w:r/>
    </w:p>
    <w:p>
      <w:pPr>
        <w:pStyle w:val="80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（5）服务承诺；                   （6）中标通知书；</w:t>
      </w:r>
      <w:r/>
    </w:p>
    <w:p>
      <w:pPr>
        <w:pStyle w:val="803"/>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803"/>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乙方保证所交付的货物的所有权无任何抵押、查封等权利瑕疵。</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6、履约保证金</w:t>
      </w:r>
      <w:r/>
    </w:p>
    <w:p>
      <w:pPr>
        <w:pStyle w:val="803"/>
        <w:ind w:left="0" w:firstLine="420"/>
        <w:keepLines w:val="0"/>
        <w:keepNext w:val="0"/>
        <w:pageBreakBefore w:val="0"/>
        <w:spacing w:before="120" w:after="120" w:line="360" w:lineRule="auto"/>
        <w:widowControl w:val="off"/>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rPr>
        <w:t xml:space="preserve">6.1</w:t>
      </w:r>
      <w:r>
        <w:rPr>
          <w:rFonts w:hint="eastAsia" w:ascii="宋体" w:hAnsi="宋体" w:eastAsia="宋体" w:cs="宋体"/>
          <w:color w:val="auto"/>
          <w:sz w:val="21"/>
          <w:highlight w:val="none"/>
          <w:u w:val="none"/>
          <w:lang w:val="en-US" w:eastAsia="zh-CN"/>
        </w:rPr>
        <w:t xml:space="preserve">本项目</w:t>
      </w:r>
      <w:r>
        <w:rPr>
          <w:rFonts w:hint="eastAsia" w:hAnsi="宋体" w:cs="宋体"/>
          <w:color w:val="auto"/>
          <w:sz w:val="21"/>
          <w:highlight w:val="none"/>
          <w:u w:val="none"/>
          <w:lang w:val="en-US" w:eastAsia="zh-CN"/>
        </w:rPr>
        <w:t xml:space="preserve">不</w:t>
      </w:r>
      <w:r>
        <w:rPr>
          <w:rFonts w:hint="eastAsia" w:ascii="宋体" w:hAnsi="宋体" w:eastAsia="宋体" w:cs="宋体"/>
          <w:color w:val="auto"/>
          <w:sz w:val="21"/>
          <w:highlight w:val="none"/>
          <w:u w:val="none"/>
          <w:lang w:val="en-US" w:eastAsia="zh-CN"/>
        </w:rPr>
        <w:t xml:space="preserve">收取履约保证金</w:t>
      </w:r>
      <w:r>
        <w:rPr>
          <w:rFonts w:hint="eastAsia" w:hAnsi="宋体" w:cs="宋体"/>
          <w:color w:val="auto"/>
          <w:sz w:val="21"/>
          <w:highlight w:val="none"/>
          <w:u w:val="none"/>
          <w:lang w:val="en-US" w:eastAsia="zh-CN"/>
        </w:rPr>
        <w:t xml:space="preserve">。</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7、转包或分包</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7.1 本合同禁止转包，本合同范围的货物，应由乙方直接供应的，不得转让他人供应。</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rPr>
          <w:rFonts w:hint="eastAsia" w:hAnsi="宋体" w:cs="宋体"/>
          <w:color w:val="auto"/>
          <w:sz w:val="21"/>
          <w:highlight w:val="none"/>
        </w:rPr>
        <w:tab/>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8、质保期</w:t>
      </w:r>
      <w:r/>
    </w:p>
    <w:p>
      <w:pPr>
        <w:pStyle w:val="803"/>
        <w:ind w:firstLine="420"/>
        <w:spacing w:before="120" w:after="120" w:line="360" w:lineRule="auto"/>
        <w:tabs>
          <w:tab w:val="left" w:pos="2100" w:leader="none"/>
        </w:tabs>
        <w:rPr>
          <w:rFonts w:hint="default" w:hAnsi="宋体" w:eastAsia="宋体" w:cs="宋体"/>
          <w:bCs/>
          <w:color w:val="auto"/>
          <w:sz w:val="21"/>
          <w:highlight w:val="none"/>
          <w:u w:val="single"/>
          <w:lang w:val="en-US" w:eastAsia="zh-CN"/>
        </w:rPr>
      </w:pPr>
      <w:r>
        <w:rPr>
          <w:rFonts w:hint="eastAsia" w:hAnsi="宋体" w:cs="宋体"/>
          <w:bCs/>
          <w:color w:val="auto"/>
          <w:sz w:val="21"/>
          <w:highlight w:val="none"/>
        </w:rPr>
        <w:t xml:space="preserve">质保期</w:t>
      </w:r>
      <w:r>
        <w:rPr>
          <w:rFonts w:hint="eastAsia" w:hAnsi="宋体" w:cs="宋体"/>
          <w:bCs/>
          <w:color w:val="auto"/>
          <w:sz w:val="21"/>
          <w:highlight w:val="none"/>
          <w:lang w:eastAsia="zh-CN"/>
        </w:rPr>
        <w:t xml:space="preserve">：</w:t>
      </w:r>
      <w:r>
        <w:rPr>
          <w:rFonts w:hint="eastAsia" w:hAnsi="宋体" w:cs="宋体"/>
          <w:bCs/>
          <w:color w:val="auto"/>
          <w:sz w:val="21"/>
          <w:highlight w:val="none"/>
          <w:u w:val="single"/>
          <w:lang w:val="en-US" w:eastAsia="zh-CN"/>
        </w:rPr>
        <w:t xml:space="preserve">                </w:t>
      </w:r>
      <w:r/>
    </w:p>
    <w:p>
      <w:pPr>
        <w:pStyle w:val="803"/>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9、交货期、交货方式及交货地点</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cs="宋体"/>
          <w:bCs/>
          <w:color w:val="auto"/>
          <w:highlight w:val="none"/>
        </w:rPr>
        <w:t xml:space="preserve">9.1 交货期：</w:t>
      </w:r>
      <w:r>
        <w:rPr>
          <w:rFonts w:hint="eastAsia" w:ascii="宋体" w:hAnsi="宋体" w:cs="宋体"/>
          <w:bCs/>
          <w:color w:val="auto"/>
          <w:highlight w:val="none"/>
          <w:u w:val="single"/>
        </w:rPr>
        <w:t xml:space="preserve">合同签订后</w:t>
      </w:r>
      <w:r>
        <w:rPr>
          <w:rFonts w:hint="eastAsia" w:ascii="宋体" w:hAnsi="宋体" w:cs="宋体"/>
          <w:bCs/>
          <w:color w:val="auto"/>
          <w:highlight w:val="none"/>
          <w:u w:val="single"/>
          <w:lang w:val="en-US" w:eastAsia="zh-CN"/>
        </w:rPr>
        <w:t xml:space="preserve">6个月</w:t>
      </w:r>
      <w:r>
        <w:rPr>
          <w:rFonts w:hint="eastAsia" w:ascii="宋体" w:hAnsi="宋体" w:cs="宋体"/>
          <w:bCs/>
          <w:color w:val="auto"/>
          <w:highlight w:val="none"/>
          <w:u w:val="single"/>
        </w:rPr>
        <w:t xml:space="preserve">内</w:t>
      </w:r>
      <w:r>
        <w:rPr>
          <w:rFonts w:hint="eastAsia" w:ascii="宋体" w:hAnsi="宋体" w:cs="宋体"/>
          <w:bCs/>
          <w:color w:val="auto"/>
          <w:highlight w:val="none"/>
          <w:u w:val="single"/>
          <w:lang w:val="en-US" w:eastAsia="zh-CN"/>
        </w:rPr>
        <w:t xml:space="preserve">完成</w:t>
      </w:r>
      <w:r/>
    </w:p>
    <w:p>
      <w:pPr>
        <w:ind w:firstLine="420"/>
        <w:spacing w:line="360" w:lineRule="auto"/>
        <w:rPr>
          <w:rFonts w:ascii="宋体" w:hAnsi="宋体" w:cs="宋体"/>
          <w:bCs/>
          <w:color w:val="auto"/>
          <w:highlight w:val="none"/>
          <w:u w:val="single"/>
        </w:rPr>
      </w:pPr>
      <w:r>
        <w:rPr>
          <w:rFonts w:hint="eastAsia" w:ascii="宋体" w:hAnsi="宋体" w:cs="宋体"/>
          <w:bCs/>
          <w:color w:val="auto"/>
          <w:highlight w:val="none"/>
        </w:rPr>
        <w:t xml:space="preserve">9.2 交货方式：</w:t>
      </w:r>
      <w:r>
        <w:rPr>
          <w:rFonts w:hint="eastAsia" w:ascii="宋体" w:hAnsi="宋体" w:cs="宋体"/>
          <w:bCs/>
          <w:color w:val="auto"/>
          <w:highlight w:val="none"/>
          <w:u w:val="single"/>
        </w:rPr>
        <w:t xml:space="preserve">甲方指定方式</w:t>
      </w:r>
      <w:r/>
    </w:p>
    <w:p>
      <w:pPr>
        <w:pStyle w:val="803"/>
        <w:ind w:firstLine="420"/>
        <w:spacing w:before="120" w:after="120" w:line="360" w:lineRule="auto"/>
        <w:rPr>
          <w:rFonts w:hAnsi="宋体" w:cs="宋体"/>
          <w:bCs/>
          <w:color w:val="auto"/>
          <w:sz w:val="21"/>
          <w:highlight w:val="none"/>
          <w:u w:val="single"/>
        </w:rPr>
      </w:pPr>
      <w:r>
        <w:rPr>
          <w:rFonts w:hint="eastAsia" w:hAnsi="宋体" w:cs="宋体"/>
          <w:bCs/>
          <w:color w:val="auto"/>
          <w:sz w:val="21"/>
          <w:highlight w:val="none"/>
        </w:rPr>
        <w:t xml:space="preserve">9.3 交货地点：</w:t>
      </w:r>
      <w:r>
        <w:rPr>
          <w:rFonts w:hint="eastAsia" w:hAnsi="宋体" w:cs="宋体"/>
          <w:bCs/>
          <w:color w:val="auto"/>
          <w:sz w:val="21"/>
          <w:highlight w:val="none"/>
          <w:u w:val="single"/>
        </w:rPr>
        <w:t xml:space="preserve">甲方指定地点</w:t>
      </w:r>
      <w:r/>
    </w:p>
    <w:p>
      <w:pPr>
        <w:pStyle w:val="803"/>
        <w:ind w:firstLine="420"/>
        <w:spacing w:before="120" w:after="120" w:line="360" w:lineRule="auto"/>
        <w:rPr>
          <w:rFonts w:hAnsi="宋体" w:cs="宋体"/>
          <w:b/>
          <w:bCs w:val="0"/>
          <w:color w:val="auto"/>
          <w:sz w:val="21"/>
          <w:highlight w:val="none"/>
        </w:rPr>
      </w:pPr>
      <w:r>
        <w:rPr>
          <w:rFonts w:hint="eastAsia" w:hAnsi="宋体" w:cs="宋体"/>
          <w:b/>
          <w:bCs w:val="0"/>
          <w:color w:val="auto"/>
          <w:sz w:val="21"/>
          <w:highlight w:val="none"/>
        </w:rPr>
        <w:t xml:space="preserve">10、货款支付</w:t>
      </w:r>
      <w:r/>
    </w:p>
    <w:p>
      <w:pPr>
        <w:pStyle w:val="803"/>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10.1 本合同项下所有款项均以人民币支付。 </w:t>
      </w:r>
      <w:r/>
    </w:p>
    <w:p>
      <w:pPr>
        <w:pStyle w:val="803"/>
        <w:ind w:firstLine="420"/>
        <w:spacing w:before="120" w:after="120" w:line="360" w:lineRule="auto"/>
        <w:rPr>
          <w:rFonts w:hAnsi="宋体" w:cs="宋体"/>
          <w:bCs/>
          <w:color w:val="auto"/>
          <w:sz w:val="21"/>
          <w:highlight w:val="none"/>
        </w:rPr>
      </w:pPr>
      <w:r>
        <w:rPr>
          <w:rFonts w:hint="eastAsia" w:hAnsi="宋体" w:cs="宋体"/>
          <w:bCs/>
          <w:color w:val="auto"/>
          <w:sz w:val="21"/>
          <w:highlight w:val="none"/>
        </w:rPr>
        <w:t xml:space="preserve">10.2 本合同项下的采购资金由甲方支付，付款前乙方向甲方开具发票。</w:t>
      </w:r>
      <w:r/>
    </w:p>
    <w:p>
      <w:pPr>
        <w:pStyle w:val="803"/>
        <w:ind w:firstLine="420"/>
        <w:spacing w:before="120" w:after="120" w:line="360" w:lineRule="auto"/>
        <w:rPr>
          <w:rFonts w:hAnsi="宋体" w:cs="宋体"/>
          <w:b w:val="0"/>
          <w:bCs/>
          <w:strike/>
          <w:color w:val="auto"/>
          <w:sz w:val="21"/>
          <w:highlight w:val="none"/>
        </w:rPr>
      </w:pPr>
      <w:r>
        <w:rPr>
          <w:rFonts w:hint="eastAsia" w:hAnsi="宋体" w:cs="宋体"/>
          <w:bCs/>
          <w:color w:val="auto"/>
          <w:sz w:val="21"/>
          <w:highlight w:val="none"/>
        </w:rPr>
        <w:t xml:space="preserve">10.3 付款方式：</w:t>
      </w:r>
      <w:r>
        <w:rPr>
          <w:rFonts w:hint="eastAsia" w:hAnsi="宋体" w:cs="宋体"/>
          <w:b w:val="0"/>
          <w:bCs/>
          <w:color w:val="auto"/>
          <w:sz w:val="21"/>
          <w:highlight w:val="none"/>
        </w:rPr>
        <w:t xml:space="preserve">合同签订后，采购人在收到投标人开具的增值税发票后的10个工作日内支付30%预付款；货物交付、安装、调试且验收合格后，采购人在收到投标人开具的增值税发票后的10个工作日内支付70%尾款。</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11、税费</w:t>
      </w:r>
      <w:r/>
    </w:p>
    <w:p>
      <w:pPr>
        <w:pStyle w:val="803"/>
        <w:ind w:firstLine="420"/>
        <w:spacing w:before="120" w:after="120" w:line="360" w:lineRule="auto"/>
        <w:rPr>
          <w:rFonts w:hAnsi="宋体" w:cs="宋体"/>
          <w:b/>
          <w:bCs/>
          <w:color w:val="auto"/>
          <w:sz w:val="21"/>
          <w:highlight w:val="none"/>
        </w:rPr>
      </w:pPr>
      <w:r>
        <w:rPr>
          <w:rFonts w:hint="eastAsia" w:hAnsi="宋体" w:cs="宋体"/>
          <w:color w:val="auto"/>
          <w:sz w:val="21"/>
          <w:highlight w:val="none"/>
        </w:rPr>
        <w:t xml:space="preserve">本合同执行中相关的一切税费均由乙方负担。</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12、质量保证及售后服务</w:t>
      </w:r>
      <w:r/>
    </w:p>
    <w:p>
      <w:pPr>
        <w:ind w:firstLine="420"/>
        <w:spacing w:before="156" w:after="156" w:line="360" w:lineRule="auto"/>
        <w:rPr>
          <w:rFonts w:ascii="宋体" w:hAnsi="宋体" w:cs="宋体"/>
          <w:color w:val="auto"/>
          <w:szCs w:val="21"/>
          <w:highlight w:val="none"/>
        </w:rPr>
      </w:pPr>
      <w:r>
        <w:rPr>
          <w:rFonts w:hint="eastAsia" w:ascii="宋体" w:hAnsi="宋体" w:cs="宋体"/>
          <w:color w:val="auto"/>
          <w:szCs w:val="21"/>
          <w:highlight w:val="none"/>
        </w:rPr>
        <w:t xml:space="preserve">12.1 乙方应按招标文件规定及响应文件承诺的货物性能、技术要求、质量标准向甲方提供未经使用的全新产品；若技术性能无特殊说明，则按国家有关部门最新颁布的标准及规范为准。</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12.3 乙方提供的货物在质保期内因货物本身的质量问题发生故障，乙方应负责免费更换。对达不到技术要求者，根据实际情况，经双方协商，可按以下办法处理：</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⑵贬值处理：由甲乙双方合议定价。</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⑶退货处理：乙方应退还甲方支付的合同款，同时应承担该货物的直接费用（运输、保险、检验、货款利息及银行手续费等）。</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12.4 如在使用过程中发生质量问题，乙方在接到甲方通知后在24小时内到达甲方现场，48小时内完成维修。</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12.5 在质保期内，乙方应对货物出现的质量及安全问题负责处理解决并承担一切费用。</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12.6上述的货物免费保修期为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13、交货、调试和验收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13.1乙方应当在合同生效后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lang w:val="en-US" w:eastAsia="zh-CN"/>
        </w:rPr>
        <w:t xml:space="preserve">工作日</w:t>
      </w:r>
      <w:r>
        <w:rPr>
          <w:rFonts w:hint="eastAsia" w:ascii="宋体" w:hAnsi="宋体" w:cs="宋体"/>
          <w:color w:val="auto"/>
          <w:szCs w:val="21"/>
          <w:highlight w:val="none"/>
        </w:rPr>
        <w:t xml:space="preserve">内将货物交付甲方，地点由甲方指定，招标文件有约定的，从其约定。在发货前，乙方应对产品作出全面检查和对验收文件进行整理，并列出清单，作为甲方初步验收的技术条件依据。甲方对乙方提交的货物依据招标文件上的技术规格要求和国家有关质量标准进行现场初步验收，外观、说明书、包装需符合招标文件技术要求。检验的结果应随货物交甲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 货到甲方后，甲、乙双方须在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w:t>
      </w:r>
      <w:r>
        <w:rPr>
          <w:rFonts w:hint="eastAsia" w:ascii="宋体" w:hAnsi="宋体" w:cs="宋体"/>
          <w:color w:val="auto"/>
          <w:highlight w:val="none"/>
        </w:rPr>
        <w:t xml:space="preserve">乙方按照招标文件要求负责</w:t>
      </w:r>
      <w:r>
        <w:rPr>
          <w:rFonts w:hint="eastAsia" w:ascii="宋体" w:hAnsi="宋体" w:cs="宋体"/>
          <w:bCs/>
          <w:color w:val="auto"/>
          <w:highlight w:val="none"/>
        </w:rPr>
        <w:t xml:space="preserve">系统集成、联通完毕</w:t>
      </w:r>
      <w:r>
        <w:rPr>
          <w:rFonts w:hint="eastAsia" w:ascii="宋体" w:hAnsi="宋体" w:cs="宋体"/>
          <w:color w:val="auto"/>
          <w:highlight w:val="none"/>
        </w:rPr>
        <w:t xml:space="preserve">并培训甲方的使用操作人员，乙方在甲方使用前进行调试，调试直到符合技术要求的甲方才做最终验收</w:t>
      </w:r>
      <w:r>
        <w:rPr>
          <w:rFonts w:hint="eastAsia" w:ascii="宋体" w:hAnsi="宋体" w:cs="宋体"/>
          <w:color w:val="auto"/>
          <w:szCs w:val="21"/>
          <w:highlight w:val="none"/>
        </w:rPr>
        <w:t xml:space="preserve">，初步验收不合格的不予签收。</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13.3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s="宋体"/>
          <w:color w:val="auto"/>
          <w:sz w:val="18"/>
          <w:szCs w:val="18"/>
          <w:highlight w:val="none"/>
        </w:rPr>
      </w:pPr>
      <w:r>
        <w:rPr>
          <w:rFonts w:hint="eastAsia" w:ascii="宋体" w:hAnsi="宋体" w:cs="宋体"/>
          <w:color w:val="auto"/>
          <w:szCs w:val="21"/>
          <w:highlight w:val="none"/>
        </w:rPr>
        <w:t xml:space="preserve">13.4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14、货物包装、发运及运输</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乙方发货时，产品使用说明书、检验证明书、随配附件和工具以及清单一并附于货物内。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 货物在交付甲方前发生的风险均由乙方负责。</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14.5 货物在规定的交付期限内由乙方送达甲方指定的地点，经初步验收即视为货物交付。</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15、违约责任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甲方无正当理由拒绝初验收和终验收货物的，甲方应按未付货款金额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 甲方无故逾期验收和无故逾期办理货款支付手续的,甲方应按逾期付款金额</w:t>
      </w:r>
      <w:r>
        <w:rPr>
          <w:rFonts w:hint="eastAsia" w:ascii="宋体" w:hAnsi="宋体" w:cs="宋体"/>
          <w:color w:val="auto"/>
          <w:szCs w:val="21"/>
          <w:highlight w:val="none"/>
          <w:lang w:val="en-US" w:eastAsia="zh-CN"/>
        </w:rPr>
        <w:t xml:space="preserve">LPR利率计算</w:t>
      </w:r>
      <w:r>
        <w:rPr>
          <w:rFonts w:hint="eastAsia" w:ascii="宋体" w:hAnsi="宋体" w:cs="宋体"/>
          <w:color w:val="auto"/>
          <w:szCs w:val="21"/>
          <w:highlight w:val="none"/>
        </w:rPr>
        <w:t xml:space="preserve">向乙方支付违约金。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15.3乙方违约，在消除违约情形前，应按货款总额每日万分之五向甲方支付违约金，甲方可以从待付货款中扣除。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15.4乙方因逾期交货或因其他违约行为，导致甲方解除合同的，乙方应向甲方支付合同总值5%的违约金，如造成甲方损失超过违约金的，超出部分由乙方继续承担赔偿责任。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15.5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15.6合同生效后，发现乙方投标属虚假承诺，或经权威部门监测提供的货物不能满足招标文件要求，造成合同无法继续履行的，还应向甲方支付不少于合同总价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赔偿金。</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16、不可抗力事件处理</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17、争议解决</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17.1 因货物的质量问题发生争议的，可在国家认可的质量检测机构对货物质量进行鉴定。货物符合标准的，鉴定费由甲方承担；货物不符合质量标准的，鉴定费由乙方承担。</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highlight w:val="none"/>
          <w:u w:val="single"/>
        </w:rPr>
        <w:t xml:space="preserve">（1）</w:t>
      </w:r>
      <w:r>
        <w:rPr>
          <w:rFonts w:hint="eastAsia" w:hAnsi="宋体" w:cs="宋体"/>
          <w:color w:val="auto"/>
          <w:sz w:val="21"/>
          <w:highlight w:val="none"/>
        </w:rPr>
        <w:t xml:space="preserve">种方式解决争议：</w:t>
      </w:r>
      <w:r/>
    </w:p>
    <w:p>
      <w:pPr>
        <w:pStyle w:val="803"/>
        <w:ind w:firstLine="315"/>
        <w:spacing w:before="120" w:after="120" w:line="360" w:lineRule="auto"/>
        <w:rPr>
          <w:rFonts w:hAnsi="宋体" w:cs="宋体"/>
          <w:color w:val="auto"/>
          <w:sz w:val="21"/>
          <w:highlight w:val="none"/>
        </w:rPr>
      </w:pPr>
      <w:r>
        <w:rPr>
          <w:rFonts w:hint="eastAsia" w:hAnsi="宋体" w:cs="宋体"/>
          <w:color w:val="auto"/>
          <w:sz w:val="21"/>
          <w:highlight w:val="none"/>
        </w:rPr>
        <w:t xml:space="preserve">（1）向甲方所在地有管辖权的人民法院提起诉讼，适用中华人民共和国法律；</w:t>
      </w:r>
      <w:r/>
    </w:p>
    <w:p>
      <w:pPr>
        <w:pStyle w:val="803"/>
        <w:ind w:left="420" w:hanging="105"/>
        <w:spacing w:before="120" w:after="120" w:line="360" w:lineRule="auto"/>
        <w:rPr>
          <w:rFonts w:hAnsi="宋体" w:cs="宋体"/>
          <w:color w:val="auto"/>
          <w:sz w:val="21"/>
          <w:highlight w:val="none"/>
        </w:rPr>
      </w:pPr>
      <w:r>
        <w:rPr>
          <w:rFonts w:hint="eastAsia" w:hAnsi="宋体" w:cs="宋体"/>
          <w:color w:val="auto"/>
          <w:sz w:val="21"/>
          <w:highlight w:val="none"/>
        </w:rPr>
        <w:t xml:space="preserve">（2）向扬州仲裁委员会按其仲裁规则申请仲裁。</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17.3 若甲乙双方任何一方都没有选择解除合同的，为避免扩大损失，在诉讼或仲裁期间，双方应继续履行。</w:t>
      </w:r>
      <w:r/>
    </w:p>
    <w:p>
      <w:pPr>
        <w:pStyle w:val="803"/>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18、合同其它</w:t>
      </w:r>
      <w:r/>
    </w:p>
    <w:p>
      <w:pPr>
        <w:pStyle w:val="80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03"/>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w:t>
      </w:r>
      <w:r>
        <w:rPr>
          <w:rFonts w:hint="eastAsia" w:hAnsi="宋体" w:cs="宋体"/>
          <w:color w:val="auto"/>
          <w:sz w:val="21"/>
          <w:highlight w:val="none"/>
          <w:lang w:eastAsia="zh-CN"/>
        </w:rPr>
        <w:t xml:space="preserve">江苏华彦建设投资管理有限公司</w:t>
      </w:r>
      <w:r>
        <w:rPr>
          <w:rFonts w:hint="eastAsia" w:hAnsi="宋体" w:cs="宋体"/>
          <w:color w:val="auto"/>
          <w:sz w:val="21"/>
          <w:highlight w:val="none"/>
        </w:rPr>
        <w:t xml:space="preserve">见证盖章后生效。</w:t>
      </w:r>
      <w:r/>
    </w:p>
    <w:p>
      <w:pPr>
        <w:pStyle w:val="803"/>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18.2本合同未尽事宜，遵照《</w:t>
      </w:r>
      <w:r>
        <w:rPr>
          <w:rFonts w:hint="eastAsia" w:hAnsi="宋体" w:cs="宋体"/>
          <w:color w:val="auto"/>
          <w:sz w:val="21"/>
          <w:highlight w:val="none"/>
          <w:lang w:val="en-US" w:eastAsia="zh-CN"/>
        </w:rPr>
        <w:t xml:space="preserve">中华人民共和国</w:t>
      </w:r>
      <w:r>
        <w:rPr>
          <w:rFonts w:hint="eastAsia" w:hAnsi="宋体" w:cs="宋体"/>
          <w:color w:val="auto"/>
          <w:sz w:val="21"/>
          <w:highlight w:val="none"/>
        </w:rPr>
        <w:t xml:space="preserve">民法典》有关条文执行。</w:t>
      </w:r>
      <w:r/>
    </w:p>
    <w:p>
      <w:pPr>
        <w:pStyle w:val="803"/>
        <w:ind w:firstLine="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18.3 </w:t>
      </w:r>
      <w:r>
        <w:rPr>
          <w:rFonts w:hint="eastAsia" w:hAnsi="宋体" w:cs="宋体"/>
          <w:color w:val="auto"/>
          <w:sz w:val="21"/>
          <w:highlight w:val="none"/>
          <w:lang w:val="zh-CN"/>
        </w:rPr>
        <w:t xml:space="preserve">本合同正本一式</w:t>
      </w:r>
      <w:r>
        <w:rPr>
          <w:rFonts w:hint="eastAsia" w:hAnsi="宋体" w:cs="宋体"/>
          <w:color w:val="auto"/>
          <w:sz w:val="21"/>
          <w:highlight w:val="none"/>
          <w:lang w:val="en-US" w:eastAsia="zh-CN"/>
        </w:rPr>
        <w:t xml:space="preserve">肆</w:t>
      </w:r>
      <w:r>
        <w:rPr>
          <w:rFonts w:hint="eastAsia" w:hAnsi="宋体" w:cs="宋体"/>
          <w:color w:val="auto"/>
          <w:sz w:val="21"/>
          <w:highlight w:val="none"/>
          <w:lang w:val="zh-CN"/>
        </w:rPr>
        <w:t xml:space="preserve">份，具有同等法律效力，甲方</w:t>
      </w:r>
      <w:r>
        <w:rPr>
          <w:rFonts w:hint="eastAsia" w:hAnsi="宋体" w:cs="宋体"/>
          <w:color w:val="auto"/>
          <w:sz w:val="21"/>
          <w:highlight w:val="none"/>
          <w:lang w:val="en-US" w:eastAsia="zh-CN"/>
        </w:rPr>
        <w:t xml:space="preserve">贰</w:t>
      </w:r>
      <w:r>
        <w:rPr>
          <w:rFonts w:hint="eastAsia" w:hAnsi="宋体" w:cs="宋体"/>
          <w:color w:val="auto"/>
          <w:sz w:val="21"/>
          <w:highlight w:val="none"/>
          <w:lang w:val="zh-CN"/>
        </w:rPr>
        <w:t xml:space="preserve">份，乙方壹份，见证方壹份。</w:t>
      </w:r>
      <w:r/>
    </w:p>
    <w:p>
      <w:pPr>
        <w:pStyle w:val="803"/>
        <w:ind w:left="420" w:hanging="420"/>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  </w:t>
      </w:r>
      <w:r/>
    </w:p>
    <w:p>
      <w:pPr>
        <w:pStyle w:val="803"/>
        <w:ind w:left="420" w:hanging="210"/>
        <w:spacing w:before="120" w:after="120" w:line="360" w:lineRule="auto"/>
        <w:rPr>
          <w:rFonts w:hAnsi="宋体" w:cs="宋体"/>
          <w:color w:val="auto"/>
          <w:sz w:val="21"/>
          <w:highlight w:val="none"/>
        </w:rPr>
      </w:pPr>
      <w:r>
        <w:rPr>
          <w:rFonts w:hint="eastAsia" w:hAnsi="宋体" w:cs="宋体"/>
          <w:color w:val="auto"/>
          <w:sz w:val="21"/>
          <w:highlight w:val="none"/>
        </w:rPr>
        <w:t xml:space="preserve">甲方：</w:t>
      </w:r>
      <w:r>
        <w:rPr>
          <w:rFonts w:hint="eastAsia" w:hAnsi="宋体" w:cs="宋体"/>
          <w:color w:val="auto"/>
          <w:sz w:val="21"/>
          <w:highlight w:val="none"/>
          <w:lang w:eastAsia="zh-CN"/>
        </w:rPr>
        <w:t xml:space="preserve">扬州市检验检测中心</w:t>
      </w:r>
      <w:r>
        <w:rPr>
          <w:rFonts w:hint="eastAsia" w:hAnsi="宋体" w:cs="宋体"/>
          <w:color w:val="auto"/>
          <w:sz w:val="21"/>
          <w:highlight w:val="none"/>
        </w:rPr>
        <w:t xml:space="preserve">             </w:t>
      </w:r>
      <w:r>
        <w:rPr>
          <w:rFonts w:hint="eastAsia" w:hAnsi="宋体" w:cs="宋体"/>
          <w:color w:val="auto"/>
          <w:sz w:val="21"/>
          <w:highlight w:val="none"/>
          <w:lang w:val="en-US" w:eastAsia="zh-CN"/>
        </w:rPr>
        <w:t xml:space="preserve">      </w:t>
      </w:r>
      <w:r>
        <w:rPr>
          <w:rFonts w:hint="eastAsia" w:hAnsi="宋体" w:cs="宋体"/>
          <w:color w:val="auto"/>
          <w:sz w:val="21"/>
          <w:highlight w:val="none"/>
        </w:rPr>
        <w:t xml:space="preserve">乙方： </w:t>
      </w:r>
      <w:r/>
    </w:p>
    <w:p>
      <w:pPr>
        <w:pStyle w:val="803"/>
        <w:spacing w:before="120" w:after="120" w:line="360" w:lineRule="auto"/>
        <w:rPr>
          <w:rFonts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0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法定代表人或授权代表：                   法定代表人或授权代表：</w:t>
      </w:r>
      <w:r/>
    </w:p>
    <w:p>
      <w:pPr>
        <w:pStyle w:val="80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联系电话：                               联系电话：</w:t>
      </w:r>
      <w:r/>
    </w:p>
    <w:p>
      <w:pPr>
        <w:pStyle w:val="80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  </w:t>
      </w:r>
      <w:r/>
    </w:p>
    <w:p>
      <w:pPr>
        <w:pStyle w:val="80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见证方：江苏华彦建设投资管理有限公司</w:t>
      </w:r>
      <w:r/>
    </w:p>
    <w:p>
      <w:pPr>
        <w:pStyle w:val="80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项目经办人：</w:t>
      </w:r>
      <w:r/>
    </w:p>
    <w:p>
      <w:pPr>
        <w:pStyle w:val="803"/>
        <w:ind w:left="420" w:hanging="210"/>
        <w:spacing w:before="120" w:after="120" w:line="360" w:lineRule="auto"/>
        <w:rPr>
          <w:rFonts w:hint="eastAsia" w:hAnsi="宋体" w:cs="宋体"/>
          <w:color w:val="auto"/>
          <w:sz w:val="21"/>
          <w:highlight w:val="none"/>
          <w:lang w:eastAsia="zh-CN"/>
        </w:rPr>
      </w:pPr>
      <w:r>
        <w:rPr>
          <w:rFonts w:hint="eastAsia" w:hAnsi="宋体" w:cs="宋体"/>
          <w:color w:val="auto"/>
          <w:sz w:val="21"/>
          <w:highlight w:val="none"/>
          <w:lang w:eastAsia="zh-CN"/>
        </w:rPr>
        <w:t xml:space="preserve">日期：     年   月   日</w:t>
      </w:r>
      <w:r/>
    </w:p>
    <w:p>
      <w:pPr>
        <w:pStyle w:val="803"/>
        <w:ind w:left="420" w:hanging="210"/>
        <w:spacing w:before="120" w:after="120" w:line="360" w:lineRule="auto"/>
        <w:rPr>
          <w:rFonts w:hint="eastAsia" w:hAnsi="宋体" w:cs="宋体"/>
          <w:color w:val="auto"/>
          <w:sz w:val="21"/>
          <w:highlight w:val="none"/>
          <w:lang w:eastAsia="zh-CN"/>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cs="宋体"/>
          <w:color w:val="auto"/>
          <w:sz w:val="21"/>
          <w:highlight w:val="none"/>
          <w:lang w:eastAsia="zh-CN"/>
        </w:rPr>
      </w:r>
      <w:r/>
    </w:p>
    <w:p>
      <w:pPr>
        <w:pStyle w:val="776"/>
        <w:numPr>
          <w:ilvl w:val="0"/>
          <w:numId w:val="0"/>
        </w:numPr>
        <w:jc w:val="center"/>
        <w:keepLines/>
        <w:keepNext/>
        <w:pageBreakBefore w:val="0"/>
        <w:spacing w:line="360" w:lineRule="auto"/>
        <w:widowControl w:val="off"/>
        <w:rPr>
          <w:rFonts w:ascii="宋体" w:hAnsi="宋体"/>
          <w:color w:val="auto"/>
          <w:sz w:val="36"/>
          <w:highlight w:val="none"/>
        </w:rPr>
      </w:pPr>
      <w:r>
        <w:rPr>
          <w:rFonts w:hint="eastAsia" w:ascii="宋体" w:hAnsi="宋体" w:eastAsia="宋体" w:cs="Times New Roman"/>
          <w:b/>
          <w:bCs/>
          <w:color w:val="auto"/>
          <w:sz w:val="36"/>
          <w:szCs w:val="44"/>
          <w:highlight w:val="none"/>
          <w:lang w:val="en-US" w:eastAsia="zh-CN" w:bidi="ar-SA"/>
        </w:rPr>
        <w:t xml:space="preserve">第四章</w:t>
      </w:r>
      <w:r>
        <w:rPr>
          <w:rFonts w:hint="eastAsia" w:ascii="宋体" w:hAnsi="宋体" w:cs="Times New Roman"/>
          <w:b/>
          <w:bCs/>
          <w:color w:val="auto"/>
          <w:sz w:val="36"/>
          <w:szCs w:val="44"/>
          <w:highlight w:val="none"/>
          <w:lang w:val="en-US" w:eastAsia="zh-CN" w:bidi="ar-SA"/>
        </w:rPr>
        <w:t xml:space="preserve"> </w:t>
      </w:r>
      <w:r>
        <w:rPr>
          <w:rFonts w:hint="eastAsia" w:ascii="宋体" w:hAnsi="宋体"/>
          <w:color w:val="auto"/>
          <w:sz w:val="36"/>
          <w:highlight w:val="none"/>
        </w:rPr>
        <w:t xml:space="preserve">项目需求</w:t>
      </w:r>
      <w:r/>
    </w:p>
    <w:p>
      <w:pPr>
        <w:numPr>
          <w:ilvl w:val="0"/>
          <w:numId w:val="7"/>
        </w:num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bookmarkStart w:id="29" w:name="_Toc497133122"/>
      <w:r>
        <w:rPr>
          <w:rFonts w:hint="eastAsia" w:ascii="宋体" w:hAnsi="宋体" w:eastAsia="宋体" w:cs="宋体"/>
          <w:b/>
          <w:bCs/>
          <w:color w:val="auto"/>
          <w:sz w:val="21"/>
          <w:szCs w:val="21"/>
          <w:highlight w:val="none"/>
          <w:lang w:val="en-US" w:eastAsia="zh-CN"/>
        </w:rPr>
        <w:t xml:space="preserve">项目概况</w:t>
      </w:r>
      <w:r/>
    </w:p>
    <w:p>
      <w:pPr>
        <w:pStyle w:val="821"/>
        <w:ind w:left="0" w:right="0" w:firstLine="422"/>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项目名称：</w:t>
      </w:r>
      <w:r>
        <w:rPr>
          <w:rFonts w:hint="eastAsia" w:ascii="宋体" w:hAnsi="宋体" w:cs="宋体"/>
          <w:b w:val="0"/>
          <w:bCs w:val="0"/>
          <w:color w:val="auto"/>
          <w:sz w:val="21"/>
          <w:szCs w:val="21"/>
          <w:highlight w:val="none"/>
          <w:lang w:val="en-US" w:eastAsia="zh-CN"/>
        </w:rPr>
        <w:t xml:space="preserve">扬州市检验检测中心2026年重点工业产品检验检测设备更新项目</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shd w:val="clear" w:color="auto" w:fill="ffffff"/>
          <w:lang w:val="en-US" w:eastAsia="zh-CN"/>
        </w:rPr>
        <w:t xml:space="preserve">最高限价</w:t>
      </w:r>
      <w:r>
        <w:rPr>
          <w:rFonts w:hint="eastAsia" w:ascii="宋体" w:hAnsi="宋体" w:eastAsia="宋体" w:cs="宋体"/>
          <w:b w:val="0"/>
          <w:bCs w:val="0"/>
          <w:color w:val="auto"/>
          <w:sz w:val="21"/>
          <w:szCs w:val="21"/>
          <w:highlight w:val="none"/>
          <w:shd w:val="clear" w:color="auto" w:fill="ffffff"/>
        </w:rPr>
        <w:t xml:space="preserve">：</w:t>
      </w:r>
      <w:r>
        <w:rPr>
          <w:rFonts w:hint="eastAsia" w:ascii="宋体" w:hAnsi="宋体" w:cs="宋体"/>
          <w:b w:val="0"/>
          <w:bCs w:val="0"/>
          <w:color w:val="auto"/>
          <w:highlight w:val="none"/>
          <w:lang w:val="en-US" w:eastAsia="zh-CN"/>
        </w:rPr>
        <w:t xml:space="preserve">包1（微机控制环刚度试验机）9.8万元；包2（差示扫描量热仪）3.5万元；包3（红外碳硫分析仪）10万元；包4（阀门静压寿命试验台）19.9万元；包5（盐雾试验箱、交变湿热试验箱）33万元；包6（建材放射性检测仪）7万元；包7（电子万能材料试验机）57万元；包8（电液伺服压力试验机）12万元；包9（紫外-可见光谱仪）3.8万元</w:t>
      </w:r>
      <w:r>
        <w:rPr>
          <w:rFonts w:hint="eastAsia" w:ascii="宋体" w:hAnsi="宋体" w:cs="宋体"/>
          <w:b w:val="0"/>
          <w:bCs w:val="0"/>
          <w:color w:val="auto"/>
          <w:highlight w:val="none"/>
        </w:rPr>
        <w:t xml:space="preserve">，每个标包报价高于最高限价的为无效标。</w:t>
      </w:r>
      <w:r/>
    </w:p>
    <w:p>
      <w:pPr>
        <w:ind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项目属性：货物类</w:t>
      </w:r>
      <w:r/>
    </w:p>
    <w:p>
      <w:pPr>
        <w:numPr>
          <w:ilvl w:val="-1"/>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二、采购清单</w:t>
      </w:r>
      <w:r/>
    </w:p>
    <w:tbl>
      <w:tblPr>
        <w:tblStyle w:val="786"/>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6"/>
        <w:gridCol w:w="2059"/>
        <w:gridCol w:w="1170"/>
        <w:gridCol w:w="4522"/>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采购项目</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Cs w:val="21"/>
                <w:highlight w:val="none"/>
              </w:rPr>
              <w:t xml:space="preserve">交货地点</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微机控制环刚度试验机</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或指定地点</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宋体" w:hAnsi="宋体" w:eastAsia="宋体" w:cs="宋体"/>
                <w:color w:val="auto"/>
                <w:highlight w:val="none"/>
                <w:lang w:val="en-US" w:eastAsia="zh-CN"/>
              </w:rPr>
              <w:t xml:space="preserve">差示扫描量热仪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包3</w:t>
            </w:r>
            <w:r/>
          </w:p>
        </w:tc>
        <w:tc>
          <w:tcPr>
            <w:shd w:val="clear" w:color="auto" w:fill="auto"/>
            <w:tcBorders>
              <w:top w:val="single" w:color="000000" w:sz="4" w:space="0"/>
              <w:left w:val="singl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宋体" w:hAnsi="宋体" w:cs="宋体"/>
                <w:b w:val="0"/>
                <w:bCs w:val="0"/>
                <w:color w:val="auto"/>
                <w:highlight w:val="none"/>
                <w:lang w:val="en-US" w:eastAsia="zh-CN"/>
              </w:rPr>
              <w:t xml:space="preserve">红外碳硫分析仪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扬</w:t>
            </w:r>
            <w:r>
              <w:rPr>
                <w:rFonts w:hint="eastAsia" w:ascii="宋体" w:hAnsi="宋体" w:eastAsia="宋体" w:cs="宋体"/>
                <w:color w:val="auto"/>
                <w:szCs w:val="21"/>
                <w:highlight w:val="none"/>
                <w:lang w:val="en-US" w:eastAsia="zh-CN"/>
              </w:rPr>
              <w:t xml:space="preserve">州市检验检测中心</w:t>
            </w:r>
            <w:r/>
          </w:p>
          <w:p>
            <w:pPr>
              <w:jc w:val="left"/>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rPr>
              <w:t xml:space="preserve">扬州市广陵区广陵</w:t>
            </w:r>
            <w:r>
              <w:rPr>
                <w:rFonts w:hint="eastAsia" w:ascii="宋体" w:hAnsi="宋体" w:eastAsia="宋体" w:cs="宋体"/>
                <w:color w:val="auto"/>
                <w:highlight w:val="none"/>
                <w:lang w:eastAsia="zh-CN"/>
              </w:rPr>
              <w:t xml:space="preserve">经济开发区</w:t>
            </w:r>
            <w:r>
              <w:rPr>
                <w:rFonts w:hint="eastAsia" w:ascii="宋体" w:hAnsi="宋体" w:eastAsia="宋体" w:cs="宋体"/>
                <w:color w:val="auto"/>
                <w:highlight w:val="none"/>
              </w:rPr>
              <w:t xml:space="preserve">创业路20号</w:t>
            </w:r>
            <w:r>
              <w:rPr>
                <w:rFonts w:hint="eastAsia" w:ascii="宋体" w:hAnsi="宋体" w:eastAsia="宋体" w:cs="宋体"/>
                <w:color w:val="auto"/>
                <w:szCs w:val="21"/>
                <w:highlight w:val="none"/>
                <w:lang w:eastAsia="zh-CN"/>
              </w:rPr>
              <w:t xml:space="preserve">）</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包4</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宋体" w:hAnsi="宋体" w:cs="宋体"/>
                <w:b w:val="0"/>
                <w:bCs w:val="0"/>
                <w:color w:val="auto"/>
                <w:highlight w:val="none"/>
                <w:lang w:val="en-US" w:eastAsia="zh-CN"/>
              </w:rPr>
              <w:t xml:space="preserve">阀门静压寿命试验台</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包5</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盐雾试验箱、交变湿热试验箱</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（扬州市广陵区杭集镇龙王路6号）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包6</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建材放射性检测仪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（扬州市广陵区广陵经济开发区创业路20号）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包7</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rPr>
              <w:t xml:space="preserve">电子万能材料试验机</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SA"/>
              </w:rPr>
              <w:suppressLineNumbers w:val="0"/>
            </w:pPr>
            <w:r>
              <w:rPr>
                <w:rFonts w:hint="eastAsia" w:ascii="新宋体" w:hAnsi="新宋体" w:eastAsia="新宋体" w:cs="新宋体"/>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（设备1-3发扬州市广陵区杭集镇龙王路6号；</w:t>
            </w:r>
            <w:r/>
          </w:p>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设备4发扬州市广陵区广陵经济开发区创业路20号）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包8</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rPr>
              <w:t xml:space="preserve">电液伺服压力试验机</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扬州市检验检测中心</w:t>
            </w:r>
            <w:r/>
          </w:p>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（扬州市广陵区广陵经济开发区创业路20号）</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jc w:val="center"/>
              <w:keepLines w:val="0"/>
              <w:keepNext w:val="0"/>
              <w:widowControl/>
              <w:rPr>
                <w:rFonts w:hint="eastAsia" w:ascii="新宋体" w:hAnsi="新宋体" w:eastAsia="新宋体" w:cs="新宋体"/>
                <w:i w:val="0"/>
                <w:iCs w:val="0"/>
                <w:color w:val="auto"/>
                <w:sz w:val="21"/>
                <w:szCs w:val="21"/>
                <w:highlight w:val="none"/>
                <w:u w:val="none"/>
                <w:lang w:val="en-US" w:eastAsia="zh-CN" w:bidi="ar"/>
              </w:rPr>
              <w:suppressLineNumbers w:val="0"/>
            </w:pPr>
            <w:r>
              <w:rPr>
                <w:rFonts w:hint="eastAsia" w:ascii="新宋体" w:hAnsi="新宋体" w:eastAsia="新宋体" w:cs="新宋体"/>
                <w:i w:val="0"/>
                <w:iCs w:val="0"/>
                <w:color w:val="auto"/>
                <w:sz w:val="21"/>
                <w:szCs w:val="21"/>
                <w:highlight w:val="none"/>
                <w:u w:val="none"/>
                <w:lang w:val="en-US" w:eastAsia="zh-CN" w:bidi="ar"/>
              </w:rPr>
              <w:t xml:space="preserve">包9</w:t>
            </w:r>
            <w:r/>
          </w:p>
        </w:tc>
        <w:tc>
          <w:tcPr>
            <w:shd w:val="clear" w:color="auto" w:fill="auto"/>
            <w:tcBorders>
              <w:top w:val="single" w:color="000000" w:sz="4" w:space="0"/>
              <w:left w:val="none" w:color="000000" w:sz="4" w:space="0"/>
              <w:bottom w:val="single" w:color="000000" w:sz="4" w:space="0"/>
              <w:right w:val="single" w:color="000000" w:sz="4" w:space="0"/>
            </w:tcBorders>
            <w:tcW w:w="12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color w:val="auto"/>
                <w:highlight w:val="none"/>
                <w:lang w:val="en-US" w:eastAsia="zh-CN"/>
              </w:rPr>
              <w:t xml:space="preserve">紫外-可见光谱仪</w:t>
            </w:r>
            <w:r/>
          </w:p>
        </w:tc>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54" w:type="pct"/>
            <w:vAlign w:val="center"/>
            <w:textDirection w:val="lrTb"/>
            <w:noWrap/>
          </w:tcPr>
          <w:p>
            <w:pPr>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扬州市检验检测中心</w:t>
            </w:r>
            <w:r/>
          </w:p>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highlight w:val="none"/>
              </w:rPr>
              <w:t xml:space="preserve">扬州市广陵区广陵</w:t>
            </w:r>
            <w:r>
              <w:rPr>
                <w:rFonts w:hint="eastAsia" w:ascii="宋体" w:hAnsi="宋体" w:eastAsia="宋体" w:cs="宋体"/>
                <w:b w:val="0"/>
                <w:bCs w:val="0"/>
                <w:color w:val="auto"/>
                <w:highlight w:val="none"/>
                <w:lang w:eastAsia="zh-CN"/>
              </w:rPr>
              <w:t xml:space="preserve">经济开发区</w:t>
            </w:r>
            <w:r>
              <w:rPr>
                <w:rFonts w:hint="eastAsia" w:ascii="宋体" w:hAnsi="宋体" w:eastAsia="宋体" w:cs="宋体"/>
                <w:b w:val="0"/>
                <w:bCs w:val="0"/>
                <w:color w:val="auto"/>
                <w:highlight w:val="none"/>
              </w:rPr>
              <w:t xml:space="preserve">创业路20号</w:t>
            </w:r>
            <w:r>
              <w:rPr>
                <w:rFonts w:hint="eastAsia" w:ascii="宋体" w:hAnsi="宋体" w:eastAsia="宋体" w:cs="宋体"/>
                <w:b w:val="0"/>
                <w:bCs w:val="0"/>
                <w:color w:val="auto"/>
                <w:szCs w:val="21"/>
                <w:highlight w:val="none"/>
                <w:lang w:eastAsia="zh-CN"/>
              </w:rPr>
              <w:t xml:space="preserve">）</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三、技术要求</w:t>
      </w:r>
      <w:bookmarkEnd w:id="29"/>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bookmarkStart w:id="30" w:name="_Toc497133123"/>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1</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highlight w:val="none"/>
          <w:lang w:val="en-US" w:eastAsia="zh-CN"/>
        </w:rPr>
        <w:t xml:space="preserve">微机控制环刚度试验机</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8"/>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微机控制环刚度试验机</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★1、试验机级别：1级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★2、力值范围：50N-100kN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★3、试验速度：0.5-200mm/min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★4、配有内径测量装置，测试范围110-2000mm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★5、有效试验宽度1000mm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▲1、配置环刚度夹具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▲3、符合GB/T 9647-2015《热塑性塑料管材  环刚度的测定》标准对设备的要求。</w:t>
      </w:r>
      <w:r/>
    </w:p>
    <w:p>
      <w:pPr>
        <w:numPr>
          <w:ilvl w:val="0"/>
          <w:numId w:val="0"/>
        </w:numPr>
        <w:ind w:firstLine="422"/>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2</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highlight w:val="none"/>
          <w:lang w:val="en-US" w:eastAsia="zh-CN"/>
        </w:rPr>
        <w:t xml:space="preserve">差示扫描量热仪</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8"/>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差示扫描量热仪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温度范围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室温～500℃</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★2、包含放置试样坩埚和参比坩埚的对称测试系统；</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、能以设定的测量速率等速升温和降温；</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、升温速率: 0.1℃/min～</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、能够进行分段程序升温，包含线性升温、线性降温、恒温模式及其组合；</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、将温度恒定在设定温度的±0.3℃内至少60min；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、仪器可设置并自动切换两种及以上吹扫气和一种保护气，流动速率：0～</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0ml/mi</w:t>
      </w:r>
      <w:r>
        <w:rPr>
          <w:rFonts w:hint="eastAsia" w:ascii="宋体" w:hAnsi="宋体" w:eastAsia="宋体" w:cs="宋体"/>
          <w:color w:val="auto"/>
          <w:sz w:val="21"/>
          <w:szCs w:val="21"/>
          <w:highlight w:val="none"/>
          <w:lang w:val="en-US" w:eastAsia="zh-CN"/>
        </w:rPr>
        <w:t xml:space="preserve">n；流动速率最大偏差及波动度：±10%；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、热流速率量程为±100mW及以上；</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、能自动记录热流速率随温度和时间变化的曲线；</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、温度信号最小分度值：±0.1K；准确度：±0.5K；</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、时间信号最小分度值：±0.5s；准确度：±1s；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、热流速率最小分度值：±0.5μW；准确度：±2μW；</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▲1、内置风冷装置；</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▲2、配有标准物质（铟，锡，锌），用于校正温度和热焓；</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▲3、配有配套尺寸铝质坩埚600只；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▲4、全封闭支架结构设计，防止物品掉入到炉体中污染炉体；</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▲5、配置可输出结果的计算机及打印机；</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bidi="ar-SA"/>
        </w:rPr>
      </w:pPr>
      <w:r>
        <w:rPr>
          <w:rFonts w:hint="eastAsia" w:ascii="宋体" w:hAnsi="宋体" w:eastAsia="宋体" w:cs="宋体"/>
          <w:b/>
          <w:bCs w:val="0"/>
          <w:i/>
          <w:iCs/>
          <w:color w:val="auto"/>
          <w:sz w:val="21"/>
          <w:szCs w:val="21"/>
          <w:highlight w:val="none"/>
          <w:u w:val="single"/>
          <w:lang w:val="en-US" w:eastAsia="zh-CN" w:bidi="ar-SA"/>
        </w:rPr>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360" w:lineRule="auto"/>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default" w:ascii="宋体" w:hAnsi="宋体" w:cs="宋体"/>
          <w:b/>
          <w:bCs/>
          <w:color w:val="auto"/>
          <w:highlight w:val="none"/>
          <w:lang w:val="en-US" w:eastAsia="zh-CN"/>
        </w:rPr>
      </w:pPr>
      <w:r>
        <w:rPr>
          <w:rFonts w:hint="default" w:ascii="宋体" w:hAnsi="宋体" w:cs="宋体"/>
          <w:b/>
          <w:bCs/>
          <w:color w:val="auto"/>
          <w:highlight w:val="none"/>
          <w:lang w:val="en-US" w:eastAsia="zh-CN"/>
        </w:rPr>
      </w:r>
      <w:r/>
    </w:p>
    <w:p>
      <w:pPr>
        <w:numPr>
          <w:ilvl w:val="0"/>
          <w:numId w:val="0"/>
        </w:numPr>
        <w:keepLines w:val="0"/>
        <w:keepNext w:val="0"/>
        <w:pageBreakBefore w:val="0"/>
        <w:spacing w:line="360" w:lineRule="auto"/>
        <w:widowControl w:val="off"/>
        <w:rPr>
          <w:rFonts w:hint="default" w:ascii="宋体" w:hAnsi="宋体" w:cs="宋体"/>
          <w:b/>
          <w:bCs/>
          <w:color w:val="auto"/>
          <w:highlight w:val="none"/>
          <w:lang w:val="en-US" w:eastAsia="zh-CN"/>
        </w:rPr>
      </w:pPr>
      <w:r>
        <w:rPr>
          <w:rFonts w:hint="default" w:ascii="宋体" w:hAnsi="宋体" w:cs="宋体"/>
          <w:b/>
          <w:bCs/>
          <w:color w:val="auto"/>
          <w:highlight w:val="none"/>
          <w:lang w:val="en-US" w:eastAsia="zh-CN"/>
        </w:rPr>
        <w:t xml:space="preserve">包</w:t>
      </w:r>
      <w:r>
        <w:rPr>
          <w:rFonts w:hint="eastAsia" w:ascii="宋体" w:hAnsi="宋体" w:cs="宋体"/>
          <w:b/>
          <w:bCs/>
          <w:color w:val="auto"/>
          <w:highlight w:val="none"/>
          <w:lang w:val="en-US" w:eastAsia="zh-CN"/>
        </w:rPr>
        <w:t xml:space="preserve">3：</w:t>
      </w:r>
      <w:r>
        <w:rPr>
          <w:rFonts w:hint="default" w:ascii="宋体" w:hAnsi="宋体" w:cs="宋体"/>
          <w:b/>
          <w:bCs/>
          <w:color w:val="auto"/>
          <w:highlight w:val="none"/>
          <w:lang w:val="en-US" w:eastAsia="zh-CN"/>
        </w:rPr>
        <w:t xml:space="preserve">红外碳硫分析仪</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★1、碳测量范围：0.00001%～99.9999%</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★2、硫测量范围：0.00001%～99.9999%</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★3、碳分析精度：RSD≤0.8%</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★4、硫分析精度：RSD≤1.0%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★5、灵敏度：0.1ppm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★6、分析误差：碳：符合GB/T 223.86-2009/ISO9556；硫：符合GB/T 223.85-2009/ISO4935。同时符合JJG 395-2016定碳定硫分析仪检定规程 </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▲1、燃烧功率2.5</w:t>
      </w:r>
      <w:bookmarkStart w:id="31" w:name="OLE_LINK9"/>
      <w:r/>
      <w:bookmarkStart w:id="32" w:name="OLE_LINK8"/>
      <w:r>
        <w:rPr>
          <w:rFonts w:hint="eastAsia" w:ascii="宋体" w:hAnsi="宋体" w:eastAsia="宋体" w:cs="宋体"/>
          <w:color w:val="auto"/>
          <w:sz w:val="21"/>
          <w:szCs w:val="21"/>
          <w:highlight w:val="none"/>
          <w:lang w:val="en-US" w:eastAsia="zh-CN"/>
        </w:rPr>
        <w:t xml:space="preserve">KVA</w:t>
      </w:r>
      <w:bookmarkEnd w:id="31"/>
      <w:r/>
      <w:bookmarkEnd w:id="32"/>
      <w:r>
        <w:rPr>
          <w:rFonts w:hint="eastAsia" w:ascii="宋体" w:hAnsi="宋体" w:eastAsia="宋体" w:cs="宋体"/>
          <w:color w:val="auto"/>
          <w:sz w:val="21"/>
          <w:szCs w:val="21"/>
          <w:highlight w:val="none"/>
          <w:lang w:val="en-US" w:eastAsia="zh-CN"/>
        </w:rPr>
        <w:t xml:space="preserve">~3.0 KVA</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▲2、分析时间：</w:t>
      </w:r>
      <w:bookmarkStart w:id="33" w:name="OLE_LINK26"/>
      <w:r/>
      <w:bookmarkStart w:id="34" w:name="OLE_LINK25"/>
      <w:r>
        <w:rPr>
          <w:rFonts w:hint="eastAsia" w:ascii="宋体" w:hAnsi="宋体" w:eastAsia="宋体" w:cs="宋体"/>
          <w:color w:val="auto"/>
          <w:sz w:val="21"/>
          <w:szCs w:val="21"/>
          <w:highlight w:val="none"/>
          <w:lang w:val="en-US" w:eastAsia="zh-CN"/>
        </w:rPr>
        <w:t xml:space="preserve">30s左右（燃烧时间可调整</w:t>
      </w:r>
      <w:bookmarkEnd w:id="33"/>
      <w:r/>
      <w:bookmarkEnd w:id="34"/>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▲3、高频炉：频率：18~30MHz；功率：2.5~3.5kW</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bookmarkStart w:id="35" w:name="OLE_LINK28"/>
      <w:r/>
      <w:bookmarkStart w:id="36" w:name="OLE_LINK29"/>
      <w:r>
        <w:rPr>
          <w:rFonts w:hint="eastAsia" w:ascii="宋体" w:hAnsi="宋体" w:eastAsia="宋体" w:cs="宋体"/>
          <w:color w:val="auto"/>
          <w:sz w:val="21"/>
          <w:szCs w:val="21"/>
          <w:highlight w:val="none"/>
          <w:lang w:val="en-US" w:eastAsia="zh-CN"/>
        </w:rPr>
        <w:t xml:space="preserve">电子天平</w:t>
      </w:r>
      <w:bookmarkEnd w:id="35"/>
      <w:r/>
      <w:bookmarkEnd w:id="36"/>
      <w:r>
        <w:rPr>
          <w:rFonts w:hint="eastAsia" w:ascii="宋体" w:hAnsi="宋体" w:eastAsia="宋体" w:cs="宋体"/>
          <w:color w:val="auto"/>
          <w:sz w:val="21"/>
          <w:szCs w:val="21"/>
          <w:highlight w:val="none"/>
          <w:lang w:val="en-US" w:eastAsia="zh-CN"/>
        </w:rPr>
        <w:t xml:space="preserve">：量程：0.1～120g，读数精度0.0001g</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1、标准配置高频碳硫分析仪根据用户需求配备二个独立的红外吸收池（即碳硫各有10个通道，检测器：吸收池采用热释电固态红外检测器；</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2、电机：</w:t>
      </w:r>
      <w:r>
        <w:rPr>
          <w:rFonts w:hint="eastAsia" w:ascii="宋体" w:hAnsi="宋体" w:eastAsia="宋体" w:cs="宋体"/>
          <w:color w:val="auto"/>
          <w:sz w:val="21"/>
          <w:szCs w:val="21"/>
          <w:highlight w:val="none"/>
          <w:lang w:val="en-US" w:eastAsia="zh-CN"/>
        </w:rPr>
        <w:t xml:space="preserve">采用同步电机</w:t>
      </w:r>
      <w:r>
        <w:rPr>
          <w:rFonts w:hint="eastAsia" w:ascii="宋体" w:hAnsi="宋体" w:cs="宋体"/>
          <w:color w:val="auto"/>
          <w:sz w:val="21"/>
          <w:szCs w:val="21"/>
          <w:highlight w:val="none"/>
          <w:lang w:val="en-US" w:eastAsia="zh-CN"/>
        </w:rPr>
        <w:t xml:space="preserve">，运行稳定可靠，</w:t>
      </w:r>
      <w:r>
        <w:rPr>
          <w:rFonts w:hint="eastAsia" w:ascii="宋体" w:hAnsi="宋体" w:eastAsia="宋体" w:cs="宋体"/>
          <w:color w:val="auto"/>
          <w:sz w:val="21"/>
          <w:szCs w:val="21"/>
          <w:highlight w:val="none"/>
          <w:lang w:val="en-US" w:eastAsia="zh-CN"/>
        </w:rPr>
        <w:t xml:space="preserve">连续工作10万小时</w:t>
      </w:r>
      <w:r>
        <w:rPr>
          <w:rFonts w:hint="eastAsia" w:ascii="宋体" w:hAnsi="宋体" w:cs="宋体"/>
          <w:color w:val="auto"/>
          <w:sz w:val="21"/>
          <w:szCs w:val="21"/>
          <w:highlight w:val="none"/>
          <w:lang w:val="en-US" w:eastAsia="zh-CN"/>
        </w:rPr>
        <w:t xml:space="preserve">无故障</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3、光源：采用抗氧化、稳定红外光源；</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4、气室恒温：整个气室进行恒温控制，保证分析气温度恒定，确保测量精度；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5、保护气：红外光源及检测器采用氧气保护、净化，隔绝周围环境气氛的影响，提高稳定性和测量精度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6、电源电压/频率：220V±10% AC / </w:t>
      </w:r>
      <w:bookmarkStart w:id="37" w:name="OLE_LINK10"/>
      <w:r/>
      <w:bookmarkStart w:id="38" w:name="OLE_LINK11"/>
      <w:r>
        <w:rPr>
          <w:rFonts w:hint="eastAsia" w:ascii="宋体" w:hAnsi="宋体" w:eastAsia="宋体" w:cs="宋体"/>
          <w:color w:val="auto"/>
          <w:sz w:val="21"/>
          <w:szCs w:val="21"/>
          <w:highlight w:val="none"/>
          <w:lang w:val="en-US" w:eastAsia="zh-CN"/>
        </w:rPr>
        <w:t xml:space="preserve">50Hz</w:t>
      </w:r>
      <w:bookmarkEnd w:id="37"/>
      <w:r/>
      <w:bookmarkEnd w:id="38"/>
      <w:r>
        <w:rPr>
          <w:rFonts w:hint="eastAsia" w:ascii="宋体" w:hAnsi="宋体" w:eastAsia="宋体" w:cs="宋体"/>
          <w:color w:val="auto"/>
          <w:sz w:val="21"/>
          <w:szCs w:val="21"/>
          <w:highlight w:val="none"/>
          <w:lang w:val="en-US" w:eastAsia="zh-CN"/>
        </w:rPr>
        <w:t xml:space="preserve">~50Hz</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numPr>
          <w:ilvl w:val="0"/>
          <w:numId w:val="0"/>
        </w:numPr>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包4：阀门静压寿命试验台</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★1、最大输出及测量扭矩：1000N*m，输出结构：万向节，额定转速:约20RPM(速度可调)，设备最大升降高度:1900mm(升降行程700mm)。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★2、扭矩保护方式:软件设定，扭矩传感器精度:0.5%，扭矩综合测量精度:1%。</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▲1、水嘴可检测项目：抗水压机械性能试验，密封性能试验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▲2、阀门可检测项目：水压试验，密封试验，上密封试验，静压寿命试验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▲3、水嘴测试：加压压力范围0.05～2.5MPa，精度≤1%，分辨力≥0.01MPa；计时器范围≥60s,精度≤1s；水流量测量0.4L/s,精度≤2%；以冷水为介质进行试验。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▲4、阀门测试：最大加压压力100MPa，精度≤1%；适用通径: DN 15 ～ DN 200。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bidi="ar-SA"/>
        </w:rPr>
        <w:t xml:space="preserve">1、可满足的检</w:t>
      </w:r>
      <w:r>
        <w:rPr>
          <w:rFonts w:hint="eastAsia" w:ascii="宋体" w:hAnsi="宋体" w:eastAsia="宋体" w:cs="宋体"/>
          <w:color w:val="auto"/>
          <w:sz w:val="21"/>
          <w:szCs w:val="21"/>
          <w:highlight w:val="none"/>
          <w:lang w:val="en-US" w:eastAsia="zh-CN"/>
        </w:rPr>
        <w:t xml:space="preserve">测标准：GB 18145-2014 陶瓷片密封水嘴</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2、可满足的检测标准：GB/T 12234-2019 石油、天然气工业用螺柱连接阀盖的钢制闸阀</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3、GB/T 12235-2025 石油、石化及相关工业用钢制截止阀和升降式止回阀</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4、GB/T 25429-2019 石油天然气钻采设备 钻具止回阀</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5、GB/T 26480-2011 阀门的检验和试验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6、GB/T 13927-2022 工业阀门 压力试验</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7、JB/T 8858-2017 闸阀 静压寿命试验规程</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包5：盐雾试验箱、交变湿热试验箱</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设备1：盐雾试验箱1台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★1、1~2ml/80cm²·h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★2、35℃~55℃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★3、温度均匀度：≤±2℃ </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★4、温度波动度：≤±1℃</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★5、内胆尺寸（mm）W×D×H：不小于1200×800×500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▲1、箱体加热方式：采用钛合金电热管加热</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▲2、具有低水位保护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▲3、具有超温保护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设备2：交变湿热试验箱1台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★1、湿度偏差：±2℃, 均匀度±2℃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★2、湿度偏差：+2.0%RH/-3.0%RH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★3、温度波动度：≤±0.5℃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★4、-40℃~100℃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★5、有效容积：不低于250L</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▲1、设备具有超温保护、加湿器断水保护、风机和压缩机过载保护、压缩机过压力保护和漏电保护。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▲2、压缩机</w:t>
      </w:r>
      <w:r>
        <w:rPr>
          <w:rFonts w:hint="eastAsia" w:ascii="宋体" w:hAnsi="宋体" w:cs="宋体"/>
          <w:color w:val="auto"/>
          <w:sz w:val="21"/>
          <w:szCs w:val="21"/>
          <w:highlight w:val="none"/>
          <w:lang w:val="en-US" w:eastAsia="zh-CN"/>
        </w:rPr>
        <w:t xml:space="preserve">为知名</w:t>
      </w:r>
      <w:r>
        <w:rPr>
          <w:rFonts w:hint="eastAsia" w:ascii="宋体" w:hAnsi="宋体" w:eastAsia="宋体" w:cs="宋体"/>
          <w:color w:val="auto"/>
          <w:sz w:val="21"/>
          <w:szCs w:val="21"/>
          <w:highlight w:val="none"/>
          <w:lang w:val="en-US" w:eastAsia="zh-CN"/>
        </w:rPr>
        <w:t xml:space="preserve">品牌</w:t>
      </w:r>
      <w:r>
        <w:rPr>
          <w:rFonts w:hint="eastAsia" w:ascii="宋体" w:hAnsi="宋体" w:cs="宋体"/>
          <w:color w:val="auto"/>
          <w:sz w:val="21"/>
          <w:szCs w:val="21"/>
          <w:highlight w:val="none"/>
          <w:lang w:val="en-US" w:eastAsia="zh-CN"/>
        </w:rPr>
        <w:t xml:space="preserve">全封闭压缩机，具备过载保护、过压保护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▲3、试验箱外壳：304 不锈钢发纹板 、内箱体材料：316L 不锈钢板</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设备3：交变湿热试验箱1台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★1、湿度偏差：±2℃, 均匀度±1.5℃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★2、湿度偏差：±2%rh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★3、温度波动度：≤±0.5℃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★4、温度范围：-40℃-150℃；湿度范围：20%rh-98%rh，±2%rh；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★5、工作容积：1立方米</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▲1、设备具有超温保护、加湿器断水保护、风机和压缩机过载保护、压缩机过压力保护和漏电保护。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▲2、彩色触摸屏控制</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▲3、试验箱外壳：不锈钢发纹板 、内箱体材料：316L 不锈钢板</w:t>
      </w:r>
      <w:r/>
    </w:p>
    <w:p>
      <w:pPr>
        <w:numPr>
          <w:ilvl w:val="0"/>
          <w:numId w:val="0"/>
        </w:numPr>
        <w:ind w:firstLine="422"/>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6</w:t>
      </w:r>
      <w:r>
        <w:rPr>
          <w:rFonts w:hint="eastAsia" w:ascii="宋体" w:hAnsi="宋体" w:eastAsia="宋体" w:cs="宋体"/>
          <w:b/>
          <w:bCs w:val="0"/>
          <w:color w:val="auto"/>
          <w:sz w:val="21"/>
          <w:szCs w:val="21"/>
          <w:highlight w:val="none"/>
          <w:lang w:val="en-US" w:eastAsia="zh-CN" w:bidi="ar-SA"/>
        </w:rPr>
        <w:t xml:space="preserve">：建材放射性检测仪</w:t>
      </w:r>
      <w:r/>
    </w:p>
    <w:p>
      <w:pPr>
        <w:numPr>
          <w:ilvl w:val="0"/>
          <w:numId w:val="0"/>
        </w:numPr>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★1、工作环境温度为</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0～40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★2、可测能量范围：20Kev～10Mev</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★3、高灵敏低钾 NaI(TI)能谱探头分辨率：≤7.5%（137CS）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★4、铅室测量本底≤180cpm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★5、稳定性：峰位移≤1%</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▲1、附钾标样一个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▲2、附镭、钍、钾混合标样一个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▲3、随附计量证书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▲4、随附放射性标准样品盒一套(10个)</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▲5、重复性:≤2%;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▲6、核素测量范围:U、Th、K-40、Cs-137等多种核素</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1、不确定度：≤10%(k=2)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2、在能区50keV-3000keV内本底计数率不大于5cps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3、时间量程:优于1-65500秒</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根据招标文件要求提供应急预案、应急处理方案、应急人员安排以及方案的科学合理、完整、切实可行性等内容。</w:t>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包</w:t>
      </w:r>
      <w:r>
        <w:rPr>
          <w:rFonts w:hint="eastAsia" w:ascii="宋体" w:hAnsi="宋体" w:cs="宋体"/>
          <w:b/>
          <w:bCs w:val="0"/>
          <w:color w:val="auto"/>
          <w:sz w:val="21"/>
          <w:szCs w:val="21"/>
          <w:highlight w:val="none"/>
          <w:lang w:val="en-US" w:eastAsia="zh-CN" w:bidi="ar-SA"/>
        </w:rPr>
        <w:t xml:space="preserve">7</w:t>
      </w:r>
      <w:r>
        <w:rPr>
          <w:rFonts w:hint="eastAsia" w:ascii="宋体" w:hAnsi="宋体" w:eastAsia="宋体" w:cs="宋体"/>
          <w:b/>
          <w:bCs w:val="0"/>
          <w:color w:val="auto"/>
          <w:sz w:val="21"/>
          <w:szCs w:val="21"/>
          <w:highlight w:val="none"/>
          <w:lang w:val="en-US" w:eastAsia="zh-CN" w:bidi="ar-SA"/>
        </w:rPr>
        <w:t xml:space="preserve">：</w:t>
      </w:r>
      <w:r>
        <w:rPr>
          <w:rFonts w:hint="eastAsia" w:ascii="宋体" w:hAnsi="宋体" w:eastAsia="宋体" w:cs="宋体"/>
          <w:b/>
          <w:bCs w:val="0"/>
          <w:color w:val="auto"/>
          <w:sz w:val="21"/>
          <w:szCs w:val="21"/>
          <w:highlight w:val="none"/>
          <w:lang w:val="en-US" w:eastAsia="zh-CN"/>
        </w:rPr>
        <w:t xml:space="preserve">电子万能材料试验机</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设备1：电子万能材料试验机1台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★2、力值范围：50N-10kN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★3、试验速度：0.5-500mm/min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★4、带大变形10-800mm，精度0.5%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▲1、配齐拉伸、压缩、剥离等夹具。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设备2：电子万能材料试验机1台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★2、力值范围：0N-200N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★3、试验速度：0.5-500mm/min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★4、带大变形10-300mm，精度0.5%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▲1、配齐拉伸、压缩、剥离等夹具。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设备3：电子万能材料试验机1台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★1、试验机级别：0.5级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★2、力值范围：50N-30kN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★3、试验速度：0.5-500mm/min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★4、带大变形10-800mm，精度0.5%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★5、软件及用户界面：中文版试验软件1套，以及品牌电脑1台。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▲1、配齐拉伸、压缩、剥离等夹具。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▲2、具有超载保护，限位保护，过流过压超温保护</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设备4：电子万能材料试验机1台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★1、载荷容量：不低于30kN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★2、准确度等级：不低于0.5级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★3、试验力范围：优于2N～30kN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★4、双制冷模式高低温箱：满足</w:t>
      </w:r>
      <w:r>
        <w:rPr>
          <w:rFonts w:hint="eastAsia" w:ascii="宋体" w:hAnsi="宋体" w:eastAsia="宋体" w:cs="宋体"/>
          <w:color w:val="auto"/>
          <w:sz w:val="21"/>
          <w:szCs w:val="21"/>
          <w:highlight w:val="none"/>
          <w:lang w:val="en-US" w:eastAsia="zh-CN"/>
        </w:rPr>
        <w:t xml:space="preserve">-70℃～3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温度范围调节需求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▲1、附带人造板试验全套夹具（符合GB/T 17657-2022 4.7、4.11、4.15、4.16、4.17等）、附带橡胶拉伸夹具（符合GB/T 528-2009哑铃状试样夹具)、附带防水卷材夹具（符合GB/T 328.8-2007、GB/T 328.18-2007)、附带压缩剪切压板夹具（符合HG/T 2727-2010 附录A）、附带织物芯输送带拉伸夹具（符合GB/T 3690-2017）、附带压缩夹具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▲2、配套30</w:t>
      </w:r>
      <w:r>
        <w:rPr>
          <w:rFonts w:hint="eastAsia" w:ascii="宋体" w:hAnsi="宋体" w:cs="宋体"/>
          <w:color w:val="auto"/>
          <w:sz w:val="21"/>
          <w:szCs w:val="21"/>
          <w:highlight w:val="none"/>
          <w:lang w:val="en-US" w:eastAsia="zh-CN"/>
        </w:rPr>
        <w:t xml:space="preserve">k</w:t>
      </w:r>
      <w:r>
        <w:rPr>
          <w:rFonts w:hint="eastAsia" w:ascii="宋体" w:hAnsi="宋体" w:eastAsia="宋体" w:cs="宋体"/>
          <w:color w:val="auto"/>
          <w:sz w:val="21"/>
          <w:szCs w:val="21"/>
          <w:highlight w:val="none"/>
          <w:lang w:val="en-US" w:eastAsia="zh-CN"/>
        </w:rPr>
        <w:t xml:space="preserve">N和1</w:t>
      </w:r>
      <w:r>
        <w:rPr>
          <w:rFonts w:hint="eastAsia" w:ascii="宋体" w:hAnsi="宋体" w:cs="宋体"/>
          <w:color w:val="auto"/>
          <w:sz w:val="21"/>
          <w:szCs w:val="21"/>
          <w:highlight w:val="none"/>
          <w:lang w:val="en-US" w:eastAsia="zh-CN"/>
        </w:rPr>
        <w:t xml:space="preserve">k</w:t>
      </w:r>
      <w:r>
        <w:rPr>
          <w:rFonts w:hint="eastAsia" w:ascii="宋体" w:hAnsi="宋体" w:eastAsia="宋体" w:cs="宋体"/>
          <w:color w:val="auto"/>
          <w:sz w:val="21"/>
          <w:szCs w:val="21"/>
          <w:highlight w:val="none"/>
          <w:lang w:val="en-US" w:eastAsia="zh-CN"/>
        </w:rPr>
        <w:t xml:space="preserve">N 传感器、大变形引伸计</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▲3、附校准证书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1、位移速度：优于</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0.001～500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2、配套液氮罐</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3、具备力传感器防撞功能</w:t>
      </w:r>
      <w:r/>
    </w:p>
    <w:p>
      <w:pPr>
        <w:numPr>
          <w:ilvl w:val="0"/>
          <w:numId w:val="0"/>
        </w:numPr>
        <w:ind w:firstLine="422"/>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合同签订后</w:t>
      </w:r>
      <w:r>
        <w:rPr>
          <w:rFonts w:hint="eastAsia" w:ascii="宋体" w:hAnsi="宋体" w:cs="宋体"/>
          <w:bCs/>
          <w:color w:val="auto"/>
          <w:sz w:val="21"/>
          <w:szCs w:val="21"/>
          <w:highlight w:val="none"/>
          <w:lang w:val="en-US" w:eastAsia="zh-CN" w:bidi="ar-SA"/>
        </w:rPr>
        <w:t xml:space="preserve">6个月</w:t>
      </w:r>
      <w:r>
        <w:rPr>
          <w:rFonts w:hint="eastAsia" w:ascii="宋体" w:hAnsi="宋体" w:eastAsia="宋体" w:cs="宋体"/>
          <w:bCs/>
          <w:color w:val="auto"/>
          <w:sz w:val="21"/>
          <w:szCs w:val="21"/>
          <w:highlight w:val="none"/>
          <w:lang w:val="en-US" w:eastAsia="zh-CN" w:bidi="ar-SA"/>
        </w:rPr>
        <w:t xml:space="preserve">内完成合同范围内所有设备的供货，上门安装调试。</w:t>
      </w: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jc w:val="both"/>
        <w:keepLines w:val="0"/>
        <w:keepNext w:val="0"/>
        <w:pageBreakBefore w:val="0"/>
        <w:spacing w:line="440" w:lineRule="exact"/>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包8：电液伺服压力试验机</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★1、最大负荷不低于5000kN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★2、试验机准确度等级不低于0.5级</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★3、试验力示值相对误差±0.5%以内</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★4、试验力测量范围优于2%-100%FS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▲1、试验力加载速率范围：0.02%-2%FS/s</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▲2、试验力分辨力：满量程的 1/500000</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▲3、随附计量证书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▲4、随附压机专用抗折夹具</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▲5、最大压缩空间不低于：350mm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▲6、框架有效跨距不低于：500mm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▲7、活塞空载移动最大速度不低于：50mm/min</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▲8、活塞最大行程不低于：100mm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1、位移测量分辨力：0.01mm；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2、位移测量精度：优于≤±0.5%</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3、框架材质：铸钢</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落实商品包装、快递包装政府采购需求标准按照“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包9：紫外-可见光谱仪</w:t>
      </w:r>
      <w:r/>
    </w:p>
    <w:p>
      <w:pPr>
        <w:numPr>
          <w:ilvl w:val="0"/>
          <w:numId w:val="0"/>
        </w:numPr>
        <w:jc w:val="both"/>
        <w:keepLines w:val="0"/>
        <w:keepNext w:val="0"/>
        <w:pageBreakBefore w:val="0"/>
        <w:spacing w:line="44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（一）技术要求</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[核心参数]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★1、波长范围：满足190～1100nm的波长调节范围</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★2、波长准确度：不低于±0.3nm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★3、波长重复性：≤0.1nm</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[重要参数]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▲1、基线漂移:≤0.0003A/h</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▲2、附计量证书</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▲3、杂散光：≤0.02%</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▲4、光度准确度：不低于±0.2%T</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▲5、光度重复性：≤0.08%T</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▲6、基线平直度：不低于±0.0006A</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▲7、波长设定模式：触控屏输入</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[一般参数]</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1、噪声：≤0.03%T，≤0.00015A</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2、边缘噪声：100%T处：≤0.1%T，≤0.0004A</w:t>
      </w:r>
      <w:r/>
    </w:p>
    <w:p>
      <w:pPr>
        <w:numPr>
          <w:ilvl w:val="0"/>
          <w:numId w:val="0"/>
        </w:numPr>
        <w:ind w:firstLine="189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0%T处：≤0.02%T，≤0.00008</w:t>
      </w:r>
      <w:r/>
    </w:p>
    <w:p>
      <w:pPr>
        <w:numPr>
          <w:ilvl w:val="0"/>
          <w:numId w:val="0"/>
        </w:numPr>
        <w:ind w:firstLine="420"/>
        <w:jc w:val="both"/>
        <w:keepLines w:val="0"/>
        <w:keepNext w:val="0"/>
        <w:pageBreakBefore w:val="0"/>
        <w:spacing w:line="440" w:lineRule="exact"/>
        <w:widowControl w:val="off"/>
        <w:rPr>
          <w:rFonts w:hint="eastAsia" w:ascii="宋体" w:hAnsi="宋体" w:eastAsia="宋体" w:cs="宋体"/>
          <w:b/>
          <w:bCs w:val="0"/>
          <w:i/>
          <w:iCs/>
          <w:color w:val="auto"/>
          <w:sz w:val="21"/>
          <w:szCs w:val="21"/>
          <w:highlight w:val="none"/>
          <w:u w:val="single"/>
          <w:lang w:val="en-US" w:eastAsia="zh-CN"/>
        </w:rPr>
      </w:pPr>
      <w:r>
        <w:rPr>
          <w:rFonts w:hint="eastAsia" w:ascii="宋体" w:hAnsi="宋体" w:eastAsia="宋体" w:cs="宋体"/>
          <w:b/>
          <w:bCs w:val="0"/>
          <w:i/>
          <w:iCs/>
          <w:color w:val="auto"/>
          <w:sz w:val="21"/>
          <w:szCs w:val="21"/>
          <w:highlight w:val="none"/>
          <w:u w:val="single"/>
          <w:lang w:val="en-US" w:eastAsia="zh-CN" w:bidi="ar-SA"/>
        </w:rPr>
        <w:t xml:space="preserve">注：</w:t>
      </w:r>
      <w:r>
        <w:rPr>
          <w:rFonts w:hint="eastAsia" w:ascii="宋体" w:hAnsi="宋体" w:eastAsia="宋体" w:cs="宋体"/>
          <w:b/>
          <w:bCs w:val="0"/>
          <w:i/>
          <w:iCs/>
          <w:color w:val="auto"/>
          <w:sz w:val="21"/>
          <w:szCs w:val="21"/>
          <w:highlight w:val="none"/>
          <w:u w:val="single"/>
          <w:lang w:val="en-US" w:eastAsia="zh-CN"/>
        </w:rPr>
        <w:t xml:space="preserve">★参数</w:t>
      </w:r>
      <w:r>
        <w:rPr>
          <w:rFonts w:hint="eastAsia" w:ascii="宋体" w:hAnsi="宋体" w:eastAsia="宋体" w:cs="宋体"/>
          <w:b/>
          <w:bCs w:val="0"/>
          <w:i/>
          <w:iCs/>
          <w:color w:val="auto"/>
          <w:sz w:val="21"/>
          <w:szCs w:val="21"/>
          <w:highlight w:val="none"/>
          <w:u w:val="single"/>
        </w:rPr>
        <w:t xml:space="preserve">为核心参数，</w:t>
      </w:r>
      <w:r>
        <w:rPr>
          <w:rFonts w:hint="eastAsia" w:ascii="宋体" w:hAnsi="宋体" w:eastAsia="宋体" w:cs="宋体"/>
          <w:b/>
          <w:bCs w:val="0"/>
          <w:i/>
          <w:iCs/>
          <w:color w:val="auto"/>
          <w:sz w:val="21"/>
          <w:szCs w:val="21"/>
          <w:highlight w:val="none"/>
          <w:u w:val="single"/>
          <w:lang w:val="en-US" w:eastAsia="zh-CN"/>
        </w:rPr>
        <w:t xml:space="preserve">负偏离无效</w:t>
      </w:r>
      <w:r/>
    </w:p>
    <w:p>
      <w:pPr>
        <w:numPr>
          <w:ilvl w:val="0"/>
          <w:numId w:val="0"/>
        </w:numPr>
        <w:jc w:val="both"/>
        <w:keepLines w:val="0"/>
        <w:keepNext w:val="0"/>
        <w:pageBreakBefore w:val="0"/>
        <w:spacing w:line="440" w:lineRule="exact"/>
        <w:widowControl w:val="off"/>
        <w:rPr>
          <w:rFonts w:hint="eastAsia" w:ascii="宋体" w:hAnsi="宋体" w:eastAsia="宋体" w:cs="宋体"/>
          <w:b/>
          <w:bCs w:val="0"/>
          <w:i w:val="0"/>
          <w:iCs w:val="0"/>
          <w:color w:val="auto"/>
          <w:sz w:val="21"/>
          <w:szCs w:val="21"/>
          <w:highlight w:val="none"/>
          <w:u w:val="none"/>
          <w:lang w:val="en-US" w:eastAsia="zh-CN" w:bidi="ar-SA"/>
        </w:rPr>
      </w:pPr>
      <w:r>
        <w:rPr>
          <w:rFonts w:hint="eastAsia" w:ascii="宋体" w:hAnsi="宋体" w:eastAsia="宋体" w:cs="宋体"/>
          <w:b/>
          <w:bCs w:val="0"/>
          <w:i w:val="0"/>
          <w:iCs w:val="0"/>
          <w:color w:val="auto"/>
          <w:sz w:val="21"/>
          <w:szCs w:val="21"/>
          <w:highlight w:val="none"/>
          <w:u w:val="none"/>
          <w:lang w:val="en-US" w:eastAsia="zh-CN" w:bidi="ar-SA"/>
        </w:rPr>
        <w:t xml:space="preserve">（</w:t>
      </w:r>
      <w:r>
        <w:rPr>
          <w:rFonts w:hint="eastAsia" w:ascii="宋体" w:hAnsi="宋体" w:cs="宋体"/>
          <w:b/>
          <w:bCs w:val="0"/>
          <w:i w:val="0"/>
          <w:iCs w:val="0"/>
          <w:color w:val="auto"/>
          <w:sz w:val="21"/>
          <w:szCs w:val="21"/>
          <w:highlight w:val="none"/>
          <w:u w:val="none"/>
          <w:lang w:val="en-US" w:eastAsia="zh-CN" w:bidi="ar-SA"/>
        </w:rPr>
        <w:t xml:space="preserve">二</w:t>
      </w:r>
      <w:r>
        <w:rPr>
          <w:rFonts w:hint="eastAsia" w:ascii="宋体" w:hAnsi="宋体" w:eastAsia="宋体" w:cs="宋体"/>
          <w:b/>
          <w:bCs w:val="0"/>
          <w:i w:val="0"/>
          <w:iCs w:val="0"/>
          <w:color w:val="auto"/>
          <w:sz w:val="21"/>
          <w:szCs w:val="21"/>
          <w:highlight w:val="none"/>
          <w:u w:val="none"/>
          <w:lang w:val="en-US" w:eastAsia="zh-CN" w:bidi="ar-SA"/>
        </w:rPr>
        <w:t xml:space="preserve">）其他</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落实商品包装、快递包装政府采购需求标准</w:t>
      </w:r>
      <w:r>
        <w:rPr>
          <w:rFonts w:hint="eastAsia" w:ascii="宋体" w:hAnsi="宋体" w:cs="宋体"/>
          <w:bCs/>
          <w:color w:val="auto"/>
          <w:sz w:val="21"/>
          <w:szCs w:val="21"/>
          <w:highlight w:val="none"/>
          <w:lang w:val="en-US" w:eastAsia="zh-CN"/>
        </w:rPr>
        <w:t xml:space="preserve">按照</w:t>
      </w:r>
      <w:r>
        <w:rPr>
          <w:rFonts w:hint="eastAsia" w:ascii="宋体" w:hAnsi="宋体" w:eastAsia="宋体" w:cs="宋体"/>
          <w:bCs/>
          <w:color w:val="auto"/>
          <w:sz w:val="21"/>
          <w:szCs w:val="21"/>
          <w:highlight w:val="none"/>
        </w:rPr>
        <w:t xml:space="preserve">“财办库[2020]123号《关于印发《商品包装政府采购需求标准（试行）》、《快递包装政府采购需求标准（试行）的通知》”执行，在履约验收时按照本条款执行，违反本约定的对照合同违约条款追究违约责任。投标人一旦参与本项目，即完全响应本条款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2.项目交货方案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根据招标文件要求提供项目交货方案、进度方案、防护方案以及方案的科学合理、完整、切实可行性等内容。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3.安装调试方案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根据招标文件要求提供安装方案、调试方案、管理方案以及方案的科学合理、完整、切实可行性等内容。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4.质量控制方案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根据招标文件要求提供质量控制体系、质量检验标准、质量管理方案以及方案的科学合理、完整、切实可行性等内容。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5.培训及技术支持方案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根据招标文件要求提供人员培训方案、技术支持方案、采购人所需的技术和学术支持方案以及方案的科学合理、完整、切实可行性等内容。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6.售后服务方案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根据招标文件要求提供售后方案、售后人员安排、售后响应措施以及方案的科学合理、完整、切实可行性等内容。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7.应急方案</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根据招标文件要求提供应急预案、应急处理方案、应急人员安排以及方案的科学合理、完整、切实可行性等内容。</w:t>
      </w:r>
      <w:r/>
    </w:p>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101"/>
        <w:ind w:left="0" w:firstLine="0"/>
        <w:jc w:val="center"/>
        <w:keepLines w:val="0"/>
        <w:keepNext w:val="0"/>
        <w:pageBreakBefore w:val="0"/>
        <w:spacing w:line="360" w:lineRule="auto"/>
        <w:widowControl w:val="off"/>
        <w:rPr>
          <w:rFonts w:ascii="宋体" w:hAnsi="宋体"/>
          <w:color w:val="auto"/>
          <w:highlight w:val="none"/>
        </w:rPr>
        <w:outlineLvl w:val="0"/>
      </w:pPr>
      <w:r>
        <w:rPr>
          <w:rFonts w:hint="eastAsia" w:ascii="宋体" w:hAnsi="宋体"/>
          <w:b/>
          <w:bCs/>
          <w:color w:val="auto"/>
          <w:sz w:val="36"/>
          <w:highlight w:val="none"/>
        </w:rPr>
        <w:t xml:space="preserve">第五章 评标方法及评标标准</w:t>
      </w:r>
      <w:r/>
    </w:p>
    <w:p>
      <w:pPr>
        <w:pStyle w:val="1102"/>
        <w:ind w:firstLine="422"/>
        <w:jc w:val="both"/>
        <w:spacing w:before="0" w:after="0"/>
        <w:rPr>
          <w:rFonts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39" w:name="_Toc449017024"/>
      <w:r/>
      <w:bookmarkStart w:id="40" w:name="_Toc449016388"/>
      <w:r>
        <w:rPr>
          <w:rFonts w:hint="eastAsia" w:ascii="宋体" w:hAnsi="宋体"/>
          <w:b/>
          <w:color w:val="auto"/>
          <w:szCs w:val="21"/>
          <w:highlight w:val="none"/>
        </w:rPr>
        <w:t xml:space="preserve">二、政府采购政策功能落实</w:t>
      </w:r>
      <w:bookmarkEnd w:id="39"/>
      <w:r/>
      <w:bookmarkEnd w:id="40"/>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02"/>
        <w:ind w:firstLine="42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1102"/>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110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大中型企业向小型、微型企业分包的，分包意向协议约定小型、微型企业合同份额占到合同总金额30%以上的，给予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w:t>
      </w:r>
      <w:r>
        <w:rPr>
          <w:rFonts w:hint="eastAsia" w:ascii="宋体" w:hAnsi="宋体" w:eastAsia="宋体" w:cs="宋体"/>
          <w:color w:val="auto"/>
          <w:szCs w:val="21"/>
          <w:highlight w:val="none"/>
        </w:rPr>
        <w:t xml:space="preserve">的价格扣除，用扣除后的价格参与评审。</w:t>
      </w:r>
      <w:r/>
    </w:p>
    <w:p>
      <w:pPr>
        <w:pStyle w:val="110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采购本国产品的支持政策</w:t>
      </w:r>
      <w:r/>
    </w:p>
    <w:p>
      <w:pPr>
        <w:pStyle w:val="110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pStyle w:val="110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0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供应商需按照招标文件的要求提供《关于符合本国产品标准的声明函》（以下简称《声明函》），如不提供将不享受本国产品价格评审优惠。</w:t>
      </w:r>
      <w:r/>
    </w:p>
    <w:p>
      <w:pPr>
        <w:pStyle w:val="110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02"/>
        <w:ind w:firstLine="420"/>
        <w:spacing w:before="0" w:after="0"/>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02"/>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bookmarkEnd w:id="30"/>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包1：微机控制环刚度试验机</w:t>
      </w:r>
      <w:r/>
    </w:p>
    <w:tbl>
      <w:tblPr>
        <w:tblStyle w:val="786"/>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918"/>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91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171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▲参数为重要参数，全部满足得30分，每负偏离一项扣10分；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918"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91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包2：差示扫描量热仪</w:t>
      </w:r>
      <w:r/>
    </w:p>
    <w:tbl>
      <w:tblPr>
        <w:tblStyle w:val="786"/>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575"/>
        <w:gridCol w:w="628"/>
        <w:gridCol w:w="6375"/>
      </w:tblGrid>
      <w:tr>
        <w:trPr>
          <w:jc w:val="center"/>
          <w:trHeight w:val="542"/>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▲参数为重要参数，全部满足得30分，每负偏离一项扣6分；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7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2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包3：红外碳硫分析仪</w:t>
      </w:r>
      <w:r/>
    </w:p>
    <w:tbl>
      <w:tblPr>
        <w:tblStyle w:val="786"/>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320"/>
        <w:gridCol w:w="761"/>
        <w:gridCol w:w="6375"/>
      </w:tblGrid>
      <w:tr>
        <w:trPr>
          <w:jc w:val="center"/>
          <w:trHeight w:val="542"/>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▲参数为重要参数，全部满足得24分，每负偏离一项扣6分；其余参数为一般参数，全部满足得6分，每负偏离一项扣1分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76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76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包4：阀门静压寿命试验台</w:t>
      </w:r>
      <w:r/>
    </w:p>
    <w:tbl>
      <w:tblPr>
        <w:tblStyle w:val="786"/>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590"/>
        <w:gridCol w:w="673"/>
        <w:gridCol w:w="6375"/>
      </w:tblGrid>
      <w:tr>
        <w:trPr>
          <w:jc w:val="center"/>
          <w:trHeight w:val="542"/>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▲参数为重要参数，全部满足得16分，每负偏离一项扣4分；其余参数为一般参数，全部满足得14分，每负偏离一项扣2分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56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包5：盐雾试验箱、交变湿热试验箱</w:t>
      </w:r>
      <w:r/>
    </w:p>
    <w:tbl>
      <w:tblPr>
        <w:tblStyle w:val="786"/>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500"/>
        <w:gridCol w:w="673"/>
        <w:gridCol w:w="6375"/>
      </w:tblGrid>
      <w:tr>
        <w:trPr>
          <w:jc w:val="center"/>
          <w:trHeight w:val="542"/>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37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▲参数为重要参数，全部满足得30分，每负偏离一项扣4分（扣完为止）；</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37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37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包6：建材放射性检测仪</w:t>
      </w:r>
      <w:r/>
    </w:p>
    <w:tbl>
      <w:tblPr>
        <w:tblStyle w:val="786"/>
        <w:tblW w:w="9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515"/>
        <w:gridCol w:w="673"/>
        <w:gridCol w:w="6482"/>
      </w:tblGrid>
      <w:tr>
        <w:trPr>
          <w:jc w:val="center"/>
          <w:trHeight w:val="542"/>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482"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▲参数为重要参数，全部满足得24分，每负偏离一项扣4分；其余参数为一般参数，全部满足得6分，每负偏离一项扣2分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1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482"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4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1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48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包7：电子万能材料试验机</w:t>
      </w:r>
      <w:r/>
    </w:p>
    <w:tbl>
      <w:tblPr>
        <w:tblStyle w:val="786"/>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00"/>
        <w:gridCol w:w="690"/>
        <w:gridCol w:w="6577"/>
      </w:tblGrid>
      <w:tr>
        <w:trPr>
          <w:jc w:val="center"/>
          <w:trHeight w:val="542"/>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57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▲参数为重要参数，全部满足得27分，每负偏离一项扣3分；其余参数为一般参数，全部满足得3分，每负偏离一项扣1分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77"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3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577"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t xml:space="preserve">包8：电液伺服压力试验机</w:t>
      </w:r>
      <w:r/>
    </w:p>
    <w:tbl>
      <w:tblPr>
        <w:tblStyle w:val="786"/>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500"/>
        <w:gridCol w:w="673"/>
        <w:gridCol w:w="6581"/>
      </w:tblGrid>
      <w:tr>
        <w:trPr>
          <w:jc w:val="center"/>
          <w:trHeight w:val="542"/>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评分因素</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分值</w:t>
            </w:r>
            <w:r/>
          </w:p>
        </w:tc>
        <w:tc>
          <w:tcPr>
            <w:tcW w:w="658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评分依据</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▲参数为重要参数，全部满足得24分，每负偏离一项扣3分；其余参数为一般参数，全部满足得6分，每负偏离一项扣2分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7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581"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5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0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58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pStyle w:val="1102"/>
        <w:ind w:firstLine="422"/>
        <w:spacing w:before="0" w:after="0"/>
        <w:rPr>
          <w:rFonts w:hint="eastAsia"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r>
      <w:r/>
    </w:p>
    <w:p>
      <w:pPr>
        <w:pStyle w:val="1102"/>
        <w:ind w:firstLine="422"/>
        <w:spacing w:before="0" w:after="0"/>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包9：紫外-可见光谱仪</w:t>
      </w:r>
      <w:r/>
    </w:p>
    <w:tbl>
      <w:tblPr>
        <w:tblStyle w:val="786"/>
        <w:tblW w:w="94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30"/>
        <w:gridCol w:w="645"/>
        <w:gridCol w:w="6645"/>
      </w:tblGrid>
      <w:tr>
        <w:trPr>
          <w:jc w:val="center"/>
          <w:trHeight w:val="542"/>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66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评分依据</w:t>
            </w:r>
            <w:r/>
          </w:p>
        </w:tc>
      </w:tr>
      <w:tr>
        <w:trPr>
          <w:jc w:val="center"/>
          <w:trHeight w:val="78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价格分采用低价优先法计算，即满足</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文件要求且</w:t>
            </w:r>
            <w:r>
              <w:rPr>
                <w:rFonts w:hint="eastAsia" w:ascii="宋体" w:hAnsi="宋体" w:eastAsia="宋体" w:cs="宋体"/>
                <w:bCs w:val="0"/>
                <w:color w:val="auto"/>
                <w:sz w:val="21"/>
                <w:szCs w:val="21"/>
                <w:highlight w:val="none"/>
                <w:lang w:val="en-US" w:eastAsia="zh-CN"/>
              </w:rPr>
              <w:t xml:space="preserve">报价</w:t>
            </w:r>
            <w:r>
              <w:rPr>
                <w:rFonts w:hint="eastAsia" w:ascii="宋体" w:hAnsi="宋体" w:eastAsia="宋体" w:cs="宋体"/>
                <w:bCs w:val="0"/>
                <w:color w:val="auto"/>
                <w:sz w:val="21"/>
                <w:szCs w:val="21"/>
                <w:highlight w:val="none"/>
              </w:rPr>
              <w:t xml:space="preserve">最低的报价为评标基准价，其价格分为满分。其他</w:t>
            </w:r>
            <w:r>
              <w:rPr>
                <w:rFonts w:hint="eastAsia" w:ascii="宋体" w:hAnsi="宋体" w:eastAsia="宋体" w:cs="宋体"/>
                <w:bCs w:val="0"/>
                <w:color w:val="auto"/>
                <w:sz w:val="21"/>
                <w:szCs w:val="21"/>
                <w:highlight w:val="none"/>
                <w:lang w:eastAsia="zh-CN"/>
              </w:rPr>
              <w:t xml:space="preserve">投标人</w:t>
            </w:r>
            <w:r>
              <w:rPr>
                <w:rFonts w:hint="eastAsia" w:ascii="宋体" w:hAnsi="宋体" w:eastAsia="宋体" w:cs="宋体"/>
                <w:bCs w:val="0"/>
                <w:color w:val="auto"/>
                <w:sz w:val="21"/>
                <w:szCs w:val="21"/>
                <w:highlight w:val="none"/>
              </w:rPr>
              <w:t xml:space="preserve">的价格分按照下列公式计算，保留小数点后2位：报价得分=（评标基准价／报价）×</w:t>
            </w:r>
            <w:r>
              <w:rPr>
                <w:rFonts w:hint="eastAsia" w:ascii="宋体" w:hAnsi="宋体" w:eastAsia="宋体" w:cs="宋体"/>
                <w:bCs w:val="0"/>
                <w:color w:val="auto"/>
                <w:sz w:val="21"/>
                <w:szCs w:val="21"/>
                <w:highlight w:val="none"/>
                <w:lang w:val="en-US" w:eastAsia="zh-CN"/>
              </w:rPr>
              <w:t xml:space="preserve">30</w:t>
            </w:r>
            <w:r>
              <w:rPr>
                <w:rFonts w:hint="eastAsia" w:ascii="宋体" w:hAnsi="宋体" w:eastAsia="宋体" w:cs="宋体"/>
                <w:bCs w:val="0"/>
                <w:color w:val="auto"/>
                <w:sz w:val="21"/>
                <w:szCs w:val="21"/>
                <w:highlight w:val="none"/>
              </w:rPr>
              <w:t xml:space="preserve">。</w:t>
            </w:r>
            <w:r/>
          </w:p>
        </w:tc>
      </w:tr>
      <w:tr>
        <w:trPr>
          <w:jc w:val="center"/>
          <w:trHeight w:val="78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需求响应</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完全满足招标文件第四部分采购需求（</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）技术要求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得满分，</w:t>
            </w:r>
            <w:r>
              <w:rPr>
                <w:rFonts w:hint="eastAsia" w:ascii="宋体" w:hAnsi="宋体" w:eastAsia="宋体" w:cs="宋体"/>
                <w:color w:val="auto"/>
                <w:sz w:val="21"/>
                <w:szCs w:val="21"/>
                <w:highlight w:val="none"/>
                <w:lang w:val="en-US" w:eastAsia="zh-CN"/>
              </w:rPr>
              <w:t xml:space="preserve">★参数</w:t>
            </w:r>
            <w:r>
              <w:rPr>
                <w:rFonts w:hint="eastAsia" w:ascii="宋体" w:hAnsi="宋体" w:eastAsia="宋体" w:cs="宋体"/>
                <w:color w:val="auto"/>
                <w:sz w:val="21"/>
                <w:szCs w:val="21"/>
                <w:highlight w:val="none"/>
              </w:rPr>
              <w:t xml:space="preserve">为核心参数，</w:t>
            </w:r>
            <w:r>
              <w:rPr>
                <w:rFonts w:hint="eastAsia" w:ascii="宋体" w:hAnsi="宋体" w:eastAsia="宋体" w:cs="宋体"/>
                <w:color w:val="auto"/>
                <w:sz w:val="21"/>
                <w:szCs w:val="21"/>
                <w:highlight w:val="none"/>
                <w:lang w:val="en-US" w:eastAsia="zh-CN"/>
              </w:rPr>
              <w:t xml:space="preserve">不得出现负偏离，否则将作无效投标处理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▲参数为重要参数，全部满足得28分，每负偏离一项扣4分；其余参数为一般参数，全部满足得2分每负偏离一项扣1分</w:t>
            </w:r>
            <w:r>
              <w:rPr>
                <w:rFonts w:hint="eastAsia" w:ascii="宋体" w:hAnsi="宋体" w:eastAsia="宋体" w:cs="宋体"/>
                <w:color w:val="auto"/>
                <w:sz w:val="21"/>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507"/>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项目交货方案</w:t>
            </w:r>
            <w:r/>
          </w:p>
        </w:tc>
        <w:tc>
          <w:tcPr>
            <w:shd w:val="clear" w:color="auto" w:fill="auto"/>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投标人应根据招标文件要求提供项目交货方案、进度方案、防护方案：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①有完整供货进度计划，明确生产、备货、物流、到货各节点时间；②有设备防护、运输防震防潮保护措施；③有缺货或延期备选预案；④有供货组织人员配置清单。方案内容完整、可落地得5分；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具备供货进度计划，运输防护措施，人员配置，备选预案有一项缺失或内容简略的，得3分；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仅简单描述供货流程，无时间节点、无风险预案，内容空洞的，得1分；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安装调试方案</w:t>
            </w:r>
            <w:r/>
          </w:p>
        </w:tc>
        <w:tc>
          <w:tcPr>
            <w:shd w:val="clear" w:color="auto" w:fill="auto"/>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投标人应根据招标文件要求提供安装方案、调试方案、管理方案：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①明确安装实施步骤；②调试流程、校准自检流程完整；③现场安全防护、现场保护措施；④人员资质配置齐全（包含技术人员、持证情况）。方案内容完整的得5分；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具备安装调试流程，安全措施，人员配置，方案中有一项简略的，得3分；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仅简单说明会完成安装调试，无实施步骤、无人员的，得1分；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shd w:val="clear" w:color="auto" w:fill="auto"/>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质量控制方案</w:t>
            </w:r>
            <w:r/>
          </w:p>
        </w:tc>
        <w:tc>
          <w:tcPr>
            <w:shd w:val="clear" w:color="auto" w:fill="auto"/>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shd w:val="clear" w:color="auto" w:fill="auto"/>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投标人应根据招标文件要求提供质量控制体系、质量检验标准、质量管理方案：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质量控制体系，质量责任分工及质量管理制度；②有明确的质量检验及合格判定标准；③有全过程质量控制措施；④有质量问题处理机制，明确不合格品的判定、处置及追溯方式。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具备质量控制体系，质量检验标准，全过程控制措施，质量问题处理机制，其中有一项缺失或内容简略的，得3分；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仅简单描述质量控制流程，无检验标准、无责任分工，内容空洞的，得1分；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培训及技术支持方案</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投标人应根据招标文件要求提供人员培训方案、技术支持方案、采购人所需的技术和学术支持方案：</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人员培训方案，明确培训对象、内容、方式、课时安排及考核方式；②有明确的技术支持方案，明确支持渠道、人员及内容；③有采购人所需的技术和学术支持方案，明确可提供的技术资料、专业指导等支持内容；④有培训及技术支持人员配置清单，明确人员资质及职责分工。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具备培训方案，技术支持方案，学术支持方案，人员配置清单，其中有一项缺失或内容简略的，得3分；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仅简单描述提供培训和技术支持，无培训内容、无人员安排，内容空洞的，得1分；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540"/>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售后服务方案</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投标人应根据招标文件要求提供售后方案、售后人员安排、售后响应措施：</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售后服务方案，明确服务范围、服务内容、服务期限；②有明确的售后人员安排，明确售后服务机构、人员配置及联系方式；③有明确的售后响应措施，明确响应时间、到场时间、故障处理时限及处理方式；④有完善的售后保障措施，明确备品备件供应、定期回访、质量跟踪等内容。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具备售后方案，售后人员安排，售后响应措施，售后保障措施，其中有一项缺失或内容简略的，得3分；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仅简单描述提供售后服务，无服务内容、无响应时限，内容空洞的，得1分；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153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W w:w="6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6645"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投标人应根据招标文件要求提供应急预案、应急处理方案、应急人员安排：</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有完整的应急预案，及分级响应机制；②有针对性的应急处理方案，明确的处置流程、处置措施及补救办法；③有明确的应急人员安排，明确应急组织架构、人员分工及联络方式；④有应急资源保障，明确应急备货、运力、技术支持等资源储备。方案内容完整、可落地得5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具备应急预案，应急处理方案，应急人员安排，应急资源保障，其中有一项缺失或内容简略的，得3分；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仅简单描述应急处理措施，无应急场景、无人员安排，内容空洞的，得1分；</w:t>
            </w:r>
            <w:r/>
          </w:p>
          <w:p>
            <w:pP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未提供方案不得分。</w:t>
            </w:r>
            <w:r/>
          </w:p>
        </w:tc>
      </w:tr>
      <w:tr>
        <w:trPr>
          <w:jc w:val="center"/>
          <w:trHeight w:val="998"/>
        </w:trPr>
        <w:tc>
          <w:tcPr>
            <w:tcW w:w="62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shd w:val="clear" w:color="auto" w:fill="auto"/>
            <w:tcW w:w="153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业绩</w:t>
            </w:r>
            <w:r/>
          </w:p>
        </w:tc>
        <w:tc>
          <w:tcPr>
            <w:shd w:val="clear" w:color="auto" w:fill="auto"/>
            <w:tcW w:w="64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10分</w:t>
            </w:r>
            <w:r/>
          </w:p>
        </w:tc>
        <w:tc>
          <w:tcPr>
            <w:shd w:val="clear" w:color="auto" w:fill="auto"/>
            <w:tcW w:w="6645"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2024年1月1日以来（以合同签订时间为准）所投同品牌同型号产品的销售合同及合同对应的销售发票，每一份得2分，最高得10分。（投标文件中提供包含双方签章并且显示品牌型号的合同复印件及合同对应显示型号的销售发票。提供不全的不得分，原件标后备查）</w:t>
            </w:r>
            <w:r/>
          </w:p>
        </w:tc>
      </w:tr>
    </w:tbl>
    <w:p>
      <w:pPr>
        <w:numPr>
          <w:ilvl w:val="0"/>
          <w:numId w:val="0"/>
        </w:num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76"/>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777"/>
        <w:numPr>
          <w:ilvl w:val="0"/>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786"/>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法人或者其他组织的营业执照等证明文件，自然人的身份证明</w:t>
            </w:r>
            <w:r/>
          </w:p>
        </w:tc>
        <w:tc>
          <w:tcPr>
            <w:tcW w:w="2158" w:type="dxa"/>
            <w:vAlign w:val="center"/>
            <w:textDirection w:val="lrTb"/>
            <w:noWrap w:val="false"/>
          </w:tcPr>
          <w:p>
            <w:pPr>
              <w:keepLines w:val="0"/>
              <w:keepNext w:val="0"/>
              <w:pageBreakBefore w:val="0"/>
              <w:spacing w:line="240" w:lineRule="auto"/>
              <w:widowControl w:val="off"/>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依法缴纳职工社会保障资金的证明材料(税务、银行或社会保险基金管理部门出具的近</w:t>
            </w:r>
            <w:r>
              <w:rPr>
                <w:rFonts w:hint="eastAsia" w:ascii="宋体" w:hAnsi="宋体" w:eastAsia="宋体" w:cs="宋体"/>
                <w:bCs/>
                <w:i w:val="0"/>
                <w:iCs/>
                <w:color w:val="auto"/>
                <w:highlight w:val="none"/>
                <w:u w:val="none"/>
                <w:lang w:val="en-US" w:eastAsia="zh-CN"/>
              </w:rPr>
              <w:t xml:space="preserve">一年内</w:t>
            </w:r>
            <w:r>
              <w:rPr>
                <w:rFonts w:hint="eastAsia" w:ascii="宋体" w:hAnsi="宋体" w:eastAsia="宋体" w:cs="宋体"/>
                <w:bCs/>
                <w:i w:val="0"/>
                <w:iCs/>
                <w:color w:val="auto"/>
                <w:highlight w:val="none"/>
                <w:u w:val="none"/>
                <w:lang w:eastAsia="zh-CN"/>
              </w:rPr>
              <w:t xml:space="preserve">内任意一个月缴纳职工社会保障资金的缴款凭证或缴款证明)（投标人依法享受缓缴、免缴的提供证明材料）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投标人近一年内任意一</w:t>
            </w:r>
            <w:r>
              <w:rPr>
                <w:rFonts w:hint="eastAsia" w:ascii="宋体" w:hAnsi="宋体" w:eastAsia="宋体" w:cs="宋体"/>
                <w:bCs/>
                <w:i w:val="0"/>
                <w:iCs/>
                <w:color w:val="auto"/>
                <w:highlight w:val="none"/>
                <w:u w:val="none"/>
                <w:lang w:val="en-US" w:eastAsia="zh-CN"/>
              </w:rPr>
              <w:t xml:space="preserve">个月</w:t>
            </w:r>
            <w:r>
              <w:rPr>
                <w:rFonts w:hint="eastAsia" w:ascii="宋体" w:hAnsi="宋体" w:eastAsia="宋体" w:cs="宋体"/>
                <w:bCs/>
                <w:i w:val="0"/>
                <w:iCs/>
                <w:color w:val="auto"/>
                <w:highlight w:val="none"/>
                <w:u w:val="none"/>
                <w:lang w:eastAsia="zh-CN"/>
              </w:rPr>
              <w:t xml:space="preserve">依法纳税的缴款凭证（投标人依法享受缓缴、免缴的提供证明材料）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上一年度的财务报告情况（成立不满一年不需提供）</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具备履行合同所必需的设备和专业技术能力的证明材料</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参加本次政府采购活动前3年内在经营活动中没有重大违法记录的书面声明</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i w:val="0"/>
                <w:iCs/>
                <w:color w:val="auto"/>
                <w:highlight w:val="none"/>
                <w:u w:val="none"/>
                <w:lang w:eastAsia="zh-CN"/>
              </w:rPr>
            </w:pPr>
            <w:r>
              <w:rPr>
                <w:rFonts w:hint="eastAsia" w:ascii="宋体" w:hAnsi="宋体" w:eastAsia="宋体" w:cs="宋体"/>
                <w:bCs/>
                <w:i w:val="0"/>
                <w:iCs/>
                <w:color w:val="auto"/>
                <w:highlight w:val="none"/>
                <w:u w:val="none"/>
                <w:lang w:eastAsia="zh-CN"/>
              </w:rPr>
              <w:t xml:space="preserve">供应商信用承诺函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9</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根据《政府采购促进中小企业发展管理办法》的规定，本项目专门面向中小企业采购，供应商投标时须提供《中小企业声明函》，《中小企业声明函》不符合要求或未提供的，响应文件无效。</w:t>
            </w:r>
            <w:r/>
          </w:p>
          <w:p>
            <w:pPr>
              <w:keepLines w:val="0"/>
              <w:keepNext w:val="0"/>
              <w:pageBreakBefore w:val="0"/>
              <w:spacing w:line="240" w:lineRule="auto"/>
              <w:widowControl w:val="off"/>
              <w:rPr>
                <w:rFonts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本项目采购标的按中小企业划分标准所属行业区分为：工业（中小微企业划型标准网http://www.ccgp.gov.cn/zcfg/mof/201310/t20131029_3587674.htm）。</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447" w:type="dxa"/>
            <w:vAlign w:val="center"/>
            <w:textDirection w:val="lrTb"/>
            <w:noWrap w:val="false"/>
          </w:tcPr>
          <w:p>
            <w:pPr>
              <w:jc w:val="both"/>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无</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gridSpan w:val="3"/>
            <w:tcW w:w="8251" w:type="dxa"/>
            <w:vAlign w:val="center"/>
            <w:textDirection w:val="lrTb"/>
            <w:noWrap w:val="false"/>
          </w:tcPr>
          <w:p>
            <w:pPr>
              <w:jc w:val="left"/>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其他</w:t>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r>
        <w:trPr>
          <w:jc w:val="center"/>
          <w:trHeight w:val="567"/>
        </w:trPr>
        <w:tc>
          <w:tcPr>
            <w:tcW w:w="646" w:type="dxa"/>
            <w:vAlign w:val="center"/>
            <w:textDirection w:val="lrTb"/>
            <w:noWrap w:val="false"/>
          </w:tcPr>
          <w:p>
            <w:pPr>
              <w:jc w:val="center"/>
              <w:keepLines w:val="0"/>
              <w:keepNext w:val="0"/>
              <w:pageBreakBefore w:val="0"/>
              <w:spacing w:line="24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447" w:type="dxa"/>
            <w:vAlign w:val="center"/>
            <w:textDirection w:val="lrTb"/>
            <w:noWrap w:val="false"/>
          </w:tcPr>
          <w:p>
            <w:pPr>
              <w:jc w:val="left"/>
              <w:keepLines w:val="0"/>
              <w:keepNext w:val="0"/>
              <w:pageBreakBefore w:val="0"/>
              <w:spacing w:line="240" w:lineRule="auto"/>
              <w:widowControl w:val="off"/>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02"/>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江苏华彦建设投资管理有限公司</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val="en-US" w:eastAsia="zh-CN"/>
        </w:rPr>
        <w:t xml:space="preserve">*****</w:t>
      </w:r>
      <w:r>
        <w:rPr>
          <w:rFonts w:hint="eastAsia" w:ascii="宋体" w:hAnsi="宋体"/>
          <w:color w:val="auto"/>
          <w:sz w:val="21"/>
          <w:szCs w:val="21"/>
          <w:highlight w:val="none"/>
        </w:rPr>
        <w:t xml:space="preserve">号招</w:t>
      </w:r>
      <w:r>
        <w:rPr>
          <w:rFonts w:hint="eastAsia" w:ascii="宋体" w:hAnsi="宋体"/>
          <w:color w:val="auto"/>
          <w:sz w:val="21"/>
          <w:szCs w:val="21"/>
          <w:highlight w:val="none"/>
        </w:rPr>
        <w:t xml:space="preserve">标文件，正式授权下述签字人_________________(姓名)代表我方______________（投标人的名称），全权处理本次项目投标的有关事宜。</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0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0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0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0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0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0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09"/>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w:t>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lang w:val="en-US" w:eastAsia="zh-CN"/>
        </w:rPr>
        <w:t xml:space="preserve">法定代表人</w:t>
      </w:r>
      <w:r>
        <w:rPr>
          <w:rFonts w:hint="eastAsia" w:ascii="宋体" w:hAnsi="宋体"/>
          <w:bCs/>
          <w:color w:val="auto"/>
          <w:highlight w:val="none"/>
        </w:rPr>
        <w:t xml:space="preserve">身份证复印</w:t>
      </w:r>
      <w:r/>
    </w:p>
    <w:p>
      <w:pPr>
        <w:pStyle w:val="777"/>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tbl>
      <w:tblPr>
        <w:tblStyle w:val="78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2"/>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82"/>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777"/>
        <w:numPr>
          <w:ilvl w:val="0"/>
          <w:numId w:val="0"/>
        </w:numPr>
        <w:jc w:val="center"/>
        <w:spacing w:before="260" w:after="260" w:line="416" w:lineRule="auto"/>
        <w:rPr>
          <w:rFonts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tbl>
      <w:tblPr>
        <w:tblStyle w:val="78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jc w:val="center"/>
          <w:trHeight w:val="882"/>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780"/>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工业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lang w:val="en-US" w:eastAsia="zh-CN"/>
        </w:rPr>
        <w:t xml:space="preserve">  </w:t>
      </w:r>
      <w:r>
        <w:rPr>
          <w:rFonts w:hint="eastAsia" w:ascii="宋体" w:hAnsi="宋体" w:cs="宋体"/>
          <w:color w:val="auto"/>
          <w:highlight w:val="none"/>
          <w:u w:val="single"/>
        </w:rPr>
        <w:t xml:space="preserve">行业</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注：1、供应商如不提供此声明函，价格将不做相应扣除。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2、企业声明函请完整填写，中标后将公示。</w:t>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ind w:firstLine="420"/>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企业名称（盖章）：</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日 期：</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center"/>
        <w:spacing w:before="312" w:after="312" w:line="360" w:lineRule="auto"/>
        <w:rPr>
          <w:color w:val="auto"/>
          <w:highlight w:val="none"/>
        </w:rPr>
      </w:pPr>
      <w:r>
        <w:rPr>
          <w:color w:val="auto"/>
          <w:highlight w:val="none"/>
        </w:rPr>
        <w:t xml:space="preserve"> </w:t>
      </w:r>
      <w:r/>
    </w:p>
    <w:p>
      <w:pPr>
        <w:rPr>
          <w:rFonts w:hint="eastAsia" w:ascii="宋体" w:hAnsi="宋体"/>
          <w:b/>
          <w:bCs/>
          <w:color w:val="auto"/>
          <w:highlight w:val="none"/>
        </w:rPr>
      </w:pPr>
      <w:r>
        <w:rPr>
          <w:rFonts w:hint="eastAsia" w:ascii="宋体" w:hAnsi="宋体"/>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777"/>
        <w:numPr>
          <w:ilvl w:val="0"/>
          <w:numId w:val="0"/>
        </w:numPr>
        <w:jc w:val="center"/>
        <w:spacing w:line="360" w:lineRule="auto"/>
        <w:widowControl/>
        <w:rPr>
          <w:rFonts w:ascii="宋体" w:hAnsi="宋体" w:cs="微软雅黑"/>
          <w:bCs w:val="0"/>
          <w:color w:val="auto"/>
          <w:sz w:val="21"/>
          <w:szCs w:val="21"/>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777"/>
        <w:numPr>
          <w:ilvl w:val="0"/>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821"/>
        <w:ind w:firstLine="420"/>
        <w:spacing w:before="300" w:after="452" w:line="360" w:lineRule="auto"/>
        <w:widowControl/>
        <w:rPr>
          <w:rFonts w:ascii="宋体" w:hAnsi="宋体"/>
          <w:color w:val="auto"/>
          <w:sz w:val="21"/>
          <w:szCs w:val="21"/>
          <w:highlight w:val="none"/>
        </w:rPr>
      </w:pPr>
      <w:r>
        <w:rPr>
          <w:rStyle w:val="827"/>
          <w:rFonts w:hint="eastAsia" w:ascii="宋体" w:hAnsi="宋体" w:cs="仿宋"/>
          <w:color w:val="auto"/>
          <w:sz w:val="21"/>
          <w:szCs w:val="21"/>
          <w:highlight w:val="none"/>
        </w:rPr>
        <w:t xml:space="preserve">中小微企业划型标准如下：</w:t>
      </w:r>
      <w:r/>
    </w:p>
    <w:tbl>
      <w:tblPr>
        <w:tblStyle w:val="786"/>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b/>
                <w:bCs/>
                <w:color w:val="auto"/>
                <w:szCs w:val="21"/>
                <w:highlight w:val="none"/>
              </w:rPr>
            </w:pPr>
            <w:r>
              <w:rPr>
                <w:rFonts w:ascii="宋体" w:hAnsi="宋体"/>
                <w:b/>
                <w:bCs/>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821"/>
              <w:jc w:val="center"/>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821"/>
              <w:spacing w:line="360" w:lineRule="auto"/>
              <w:widowControl/>
              <w:rPr>
                <w:rFonts w:ascii="宋体" w:hAnsi="宋体"/>
                <w:b/>
                <w:bCs/>
                <w:color w:val="auto"/>
                <w:sz w:val="21"/>
                <w:szCs w:val="21"/>
                <w:highlight w:val="none"/>
              </w:rPr>
            </w:pPr>
            <w:r>
              <w:rPr>
                <w:rStyle w:val="827"/>
                <w:rFonts w:hint="eastAsia" w:ascii="宋体" w:hAnsi="宋体" w:cs="仿宋"/>
                <w:b/>
                <w:bCs/>
                <w:color w:val="auto"/>
                <w:sz w:val="21"/>
                <w:szCs w:val="21"/>
                <w:highlight w:val="none"/>
              </w:rPr>
              <w:t xml:space="preserve">X＜10</w:t>
            </w:r>
            <w:r/>
          </w:p>
        </w:tc>
      </w:tr>
    </w:tbl>
    <w:p>
      <w:pPr>
        <w:pStyle w:val="821"/>
        <w:ind w:firstLine="462"/>
        <w:spacing w:before="300" w:after="452" w:line="360" w:lineRule="auto"/>
        <w:widowControl/>
        <w:rPr>
          <w:rStyle w:val="827"/>
          <w:rFonts w:ascii="宋体" w:hAnsi="宋体" w:cs="仿宋"/>
          <w:color w:val="auto"/>
          <w:sz w:val="21"/>
          <w:szCs w:val="21"/>
          <w:highlight w:val="none"/>
        </w:rPr>
      </w:pPr>
      <w:r>
        <w:rPr>
          <w:rStyle w:val="827"/>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pStyle w:val="778"/>
        <w:numPr>
          <w:ilvl w:val="0"/>
          <w:numId w:val="0"/>
        </w:numPr>
        <w:jc w:val="center"/>
        <w:rPr>
          <w:rFonts w:ascii="宋体" w:hAnsi="宋体"/>
          <w:b w:val="0"/>
          <w:color w:val="auto"/>
          <w:sz w:val="32"/>
          <w:highlight w:val="none"/>
        </w:rPr>
      </w:pPr>
      <w:r>
        <w:rPr>
          <w:rFonts w:hint="eastAsia" w:ascii="宋体" w:hAnsi="宋体" w:eastAsia="宋体" w:cs="Arial"/>
          <w:b/>
          <w:bCs/>
          <w:color w:val="auto"/>
          <w:sz w:val="32"/>
          <w:szCs w:val="44"/>
          <w:highlight w:val="none"/>
          <w:lang w:val="en-US" w:eastAsia="zh-CN" w:bidi="ar-SA"/>
        </w:rPr>
        <w:t xml:space="preserve">四、开标一览表</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786"/>
        <w:tblW w:w="86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7"/>
        <w:gridCol w:w="6272"/>
      </w:tblGrid>
      <w:tr>
        <w:trPr>
          <w:cantSplit/>
          <w:trHeight w:val="1460"/>
        </w:trPr>
        <w:tc>
          <w:tcPr>
            <w:tcW w:w="2427" w:type="dxa"/>
            <w:vAlign w:val="center"/>
            <w:textDirection w:val="lrTb"/>
            <w:noWrap w:val="false"/>
          </w:tcPr>
          <w:p>
            <w:pPr>
              <w:pStyle w:val="794"/>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272"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2264"/>
        </w:trPr>
        <w:tc>
          <w:tcPr>
            <w:tcW w:w="2427" w:type="dxa"/>
            <w:vAlign w:val="center"/>
            <w:textDirection w:val="lrTb"/>
            <w:noWrap w:val="false"/>
          </w:tcPr>
          <w:p>
            <w:pPr>
              <w:pStyle w:val="79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272" w:type="dxa"/>
            <w:vAlign w:val="center"/>
            <w:textDirection w:val="lrTb"/>
            <w:noWrap w:val="false"/>
          </w:tcPr>
          <w:p>
            <w:pPr>
              <w:pStyle w:val="1102"/>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102"/>
              <w:ind w:firstLine="42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r>
        <w:trPr>
          <w:cantSplit/>
          <w:trHeight w:val="1787"/>
        </w:trPr>
        <w:tc>
          <w:tcPr>
            <w:tcW w:w="2427" w:type="dxa"/>
            <w:vAlign w:val="center"/>
            <w:textDirection w:val="lrTb"/>
            <w:noWrap w:val="false"/>
          </w:tcPr>
          <w:p>
            <w:pPr>
              <w:pStyle w:val="794"/>
              <w:jc w:val="center"/>
              <w:spacing w:line="30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是否小微企业制造</w:t>
            </w:r>
            <w:r/>
          </w:p>
        </w:tc>
        <w:tc>
          <w:tcPr>
            <w:tcW w:w="6272" w:type="dxa"/>
            <w:vAlign w:val="center"/>
            <w:textDirection w:val="lrTb"/>
            <w:noWrap w:val="false"/>
          </w:tcPr>
          <w:p>
            <w:pPr>
              <w:pStyle w:val="794"/>
              <w:jc w:val="center"/>
              <w:spacing w:line="300" w:lineRule="auto"/>
              <w:shd w:val="clear" w:color="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□是             □否</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77"/>
        <w:numPr>
          <w:ilvl w:val="0"/>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787"/>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9"/>
        </w:numPr>
        <w:jc w:val="center"/>
        <w:spacing w:line="360" w:lineRule="auto"/>
        <w:rPr>
          <w:rFonts w:hint="eastAsia" w:ascii="宋体" w:hAnsi="宋体" w:cs="Arial"/>
          <w:b/>
          <w:bCs/>
          <w:color w:val="auto"/>
          <w:sz w:val="32"/>
          <w:szCs w:val="44"/>
          <w:highlight w:val="none"/>
        </w:rPr>
      </w:pPr>
      <w:r>
        <w:rPr>
          <w:rFonts w:hint="eastAsia" w:ascii="宋体" w:hAnsi="宋体"/>
          <w:color w:val="auto"/>
          <w:sz w:val="32"/>
          <w:szCs w:val="32"/>
          <w:highlight w:val="none"/>
        </w:rPr>
        <w:br w:type="page" w:clear="all"/>
      </w:r>
      <w:r>
        <w:rPr>
          <w:rFonts w:hint="eastAsia" w:ascii="宋体" w:hAnsi="宋体" w:cs="Arial"/>
          <w:b/>
          <w:bCs/>
          <w:color w:val="auto"/>
          <w:sz w:val="32"/>
          <w:szCs w:val="44"/>
          <w:highlight w:val="none"/>
        </w:rPr>
        <w:t xml:space="preserve">投标产品配置及分项报价表</w:t>
      </w:r>
      <w:r/>
    </w:p>
    <w:p>
      <w:pPr>
        <w:pStyle w:val="825"/>
        <w:numPr>
          <w:ilvl w:val="0"/>
          <w:numId w:val="0"/>
        </w:numPr>
        <w:ind w:left="840"/>
        <w:rPr>
          <w:color w:val="auto"/>
          <w:highlight w:val="none"/>
        </w:rPr>
      </w:pPr>
      <w:r>
        <w:rPr>
          <w:color w:val="auto"/>
          <w:highlight w:val="none"/>
        </w:rPr>
      </w:r>
      <w:r/>
    </w:p>
    <w:tbl>
      <w:tblPr>
        <w:tblStyle w:val="78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3"/>
        <w:gridCol w:w="1701"/>
        <w:gridCol w:w="1563"/>
        <w:gridCol w:w="1722"/>
      </w:tblGrid>
      <w:tr>
        <w:trPr>
          <w:cantSplit/>
          <w:trHeight w:val="712"/>
        </w:trPr>
        <w:tc>
          <w:tcPr>
            <w:tcW w:w="2073"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998"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917"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w:t>
            </w:r>
            <w:r/>
          </w:p>
        </w:tc>
        <w:tc>
          <w:tcPr>
            <w:tcW w:w="1010" w:type="pct"/>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备注</w:t>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ascii="宋体" w:hAnsi="宋体"/>
                <w:color w:val="auto"/>
                <w:szCs w:val="21"/>
                <w:highlight w:val="none"/>
              </w:rPr>
            </w:pPr>
            <w:r>
              <w:rPr>
                <w:rFonts w:ascii="宋体" w:hAnsi="宋体"/>
                <w:color w:val="auto"/>
                <w:szCs w:val="21"/>
                <w:highlight w:val="none"/>
              </w:rPr>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712"/>
        </w:trPr>
        <w:tc>
          <w:tcPr>
            <w:tcW w:w="207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color w:val="auto"/>
                <w:szCs w:val="21"/>
                <w:highlight w:val="none"/>
              </w:rPr>
              <w:t xml:space="preserve">合计</w:t>
            </w:r>
            <w:r/>
          </w:p>
        </w:tc>
        <w:tc>
          <w:tcPr>
            <w:tcW w:w="998"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17"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0" w:type="pct"/>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Cs w:val="0"/>
          <w:color w:val="auto"/>
          <w:sz w:val="32"/>
          <w:szCs w:val="32"/>
          <w:highlight w:val="none"/>
        </w:rPr>
      </w:pPr>
      <w:r>
        <w:rPr>
          <w:rFonts w:hint="eastAsia" w:ascii="宋体" w:hAnsi="宋体"/>
          <w:bCs w:val="0"/>
          <w:color w:val="auto"/>
          <w:sz w:val="32"/>
          <w:szCs w:val="32"/>
          <w:highlight w:val="none"/>
        </w:rPr>
        <w:br w:type="page" w:clear="all"/>
      </w:r>
      <w:r>
        <w:rPr>
          <w:rFonts w:hint="eastAsia" w:ascii="宋体" w:hAnsi="宋体"/>
          <w:bCs w:val="0"/>
          <w:color w:val="auto"/>
          <w:sz w:val="32"/>
          <w:szCs w:val="32"/>
          <w:highlight w:val="none"/>
        </w:rPr>
        <w:t xml:space="preserve">六、技术参数响应及偏离表</w:t>
      </w:r>
      <w:r/>
    </w:p>
    <w:tbl>
      <w:tblPr>
        <w:tblStyle w:val="78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outlineLvl w:val="1"/>
      </w:pPr>
      <w:r>
        <w:rPr>
          <w:rFonts w:hint="eastAsia" w:ascii="黑体" w:hAnsi="Arial" w:eastAsia="黑体"/>
          <w:color w:val="auto"/>
          <w:sz w:val="32"/>
          <w:highlight w:val="none"/>
        </w:rPr>
        <w:br w:type="page" w:clear="all"/>
      </w:r>
      <w:bookmarkStart w:id="41" w:name="_Hlt26955054"/>
      <w:r/>
      <w:bookmarkEnd w:id="41"/>
      <w:r/>
      <w:bookmarkStart w:id="42" w:name="_Toc113352363"/>
      <w:r>
        <w:rPr>
          <w:rFonts w:hint="eastAsia" w:ascii="宋体" w:hAnsi="宋体"/>
          <w:b/>
          <w:color w:val="auto"/>
          <w:sz w:val="32"/>
          <w:szCs w:val="32"/>
          <w:highlight w:val="none"/>
        </w:rPr>
        <w:t xml:space="preserve">七、商务条款响应及偏离表</w:t>
      </w:r>
      <w:bookmarkEnd w:id="42"/>
      <w:r/>
      <w:r/>
    </w:p>
    <w:tbl>
      <w:tblPr>
        <w:tblStyle w:val="786"/>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787"/>
        <w:ind w:firstLine="480"/>
        <w:rPr>
          <w:rFonts w:ascii="宋体" w:hAnsi="宋体"/>
          <w:color w:val="auto"/>
          <w:sz w:val="24"/>
          <w:highlight w:val="none"/>
        </w:rPr>
      </w:pPr>
      <w:r/>
      <w:bookmarkStart w:id="43" w:name="_Hlt26955066"/>
      <w:r/>
      <w:bookmarkEnd w:id="43"/>
      <w:r/>
      <w:bookmarkStart w:id="44" w:name="_Hlt26671374"/>
      <w:r/>
      <w:bookmarkEnd w:id="44"/>
      <w:r/>
      <w:bookmarkStart w:id="45" w:name="_Hlt26609389"/>
      <w:r/>
      <w:bookmarkEnd w:id="45"/>
      <w:r/>
      <w:bookmarkStart w:id="46" w:name="_Toc462564146"/>
      <w:r/>
      <w:r/>
    </w:p>
    <w:p>
      <w:pPr>
        <w:pStyle w:val="787"/>
        <w:ind w:firstLine="480"/>
        <w:rPr>
          <w:rFonts w:ascii="宋体" w:hAnsi="宋体"/>
          <w:color w:val="auto"/>
          <w:sz w:val="24"/>
          <w:highlight w:val="none"/>
        </w:rPr>
      </w:pPr>
      <w:r>
        <w:rPr>
          <w:rFonts w:ascii="宋体" w:hAnsi="宋体"/>
          <w:color w:val="auto"/>
          <w:sz w:val="24"/>
          <w:highlight w:val="none"/>
        </w:rPr>
      </w:r>
      <w:r/>
    </w:p>
    <w:p>
      <w:pPr>
        <w:pStyle w:val="787"/>
        <w:ind w:firstLine="480"/>
        <w:rPr>
          <w:rFonts w:ascii="宋体" w:hAnsi="宋体"/>
          <w:color w:val="auto"/>
          <w:sz w:val="24"/>
          <w:highlight w:val="none"/>
        </w:rPr>
      </w:pPr>
      <w:r>
        <w:rPr>
          <w:rFonts w:ascii="宋体" w:hAnsi="宋体"/>
          <w:color w:val="auto"/>
          <w:sz w:val="24"/>
          <w:highlight w:val="none"/>
        </w:rPr>
      </w:r>
      <w:r/>
    </w:p>
    <w:p>
      <w:pPr>
        <w:pStyle w:val="787"/>
        <w:ind w:firstLine="480"/>
        <w:rPr>
          <w:rFonts w:ascii="宋体" w:hAnsi="宋体"/>
          <w:color w:val="auto"/>
          <w:sz w:val="24"/>
          <w:highlight w:val="none"/>
        </w:rPr>
      </w:pPr>
      <w:r>
        <w:rPr>
          <w:rFonts w:ascii="宋体" w:hAnsi="宋体"/>
          <w:color w:val="auto"/>
          <w:sz w:val="24"/>
          <w:highlight w:val="none"/>
        </w:rPr>
      </w:r>
      <w:r/>
    </w:p>
    <w:p>
      <w:pPr>
        <w:pStyle w:val="787"/>
        <w:ind w:firstLine="480"/>
        <w:rPr>
          <w:rFonts w:ascii="宋体" w:hAnsi="宋体"/>
          <w:color w:val="auto"/>
          <w:sz w:val="24"/>
          <w:highlight w:val="none"/>
        </w:rPr>
      </w:pPr>
      <w:r>
        <w:rPr>
          <w:rFonts w:hint="eastAsia" w:ascii="宋体" w:hAnsi="宋体"/>
          <w:color w:val="auto"/>
          <w:sz w:val="24"/>
          <w:highlight w:val="none"/>
        </w:rPr>
        <w:t xml:space="preserve">.</w:t>
      </w:r>
      <w:r/>
    </w:p>
    <w:p>
      <w:pPr>
        <w:pStyle w:val="787"/>
        <w:ind w:firstLine="480"/>
        <w:rPr>
          <w:rFonts w:ascii="宋体" w:hAnsi="宋体"/>
          <w:color w:val="auto"/>
          <w:sz w:val="24"/>
          <w:highlight w:val="none"/>
        </w:rPr>
      </w:pPr>
      <w:r>
        <w:rPr>
          <w:rFonts w:ascii="宋体" w:hAnsi="宋体"/>
          <w:color w:val="auto"/>
          <w:sz w:val="24"/>
          <w:highlight w:val="none"/>
        </w:rPr>
      </w:r>
      <w:r/>
    </w:p>
    <w:p>
      <w:pPr>
        <w:pStyle w:val="787"/>
        <w:ind w:firstLine="643"/>
        <w:rPr>
          <w:rFonts w:ascii="宋体" w:hAnsi="宋体"/>
          <w:b/>
          <w:color w:val="auto"/>
          <w:sz w:val="32"/>
          <w:szCs w:val="32"/>
          <w:highlight w:val="none"/>
        </w:rPr>
      </w:pPr>
      <w:r>
        <w:rPr>
          <w:rFonts w:ascii="宋体" w:hAnsi="宋体"/>
          <w:b/>
          <w:color w:val="auto"/>
          <w:sz w:val="32"/>
          <w:szCs w:val="32"/>
          <w:highlight w:val="none"/>
        </w:rPr>
      </w:r>
      <w:r/>
    </w:p>
    <w:p>
      <w:pPr>
        <w:pStyle w:val="787"/>
        <w:ind w:firstLine="480"/>
        <w:rPr>
          <w:rFonts w:ascii="宋体" w:hAnsi="宋体"/>
          <w:color w:val="auto"/>
          <w:sz w:val="24"/>
          <w:highlight w:val="none"/>
        </w:rPr>
      </w:pPr>
      <w:r>
        <w:rPr>
          <w:rFonts w:hint="eastAsia" w:ascii="宋体" w:hAnsi="宋体"/>
          <w:b/>
          <w:color w:val="auto"/>
          <w:sz w:val="32"/>
          <w:szCs w:val="32"/>
          <w:highlight w:val="none"/>
        </w:rPr>
        <w:br w:type="page" w:clear="all"/>
      </w:r>
      <w:bookmarkEnd w:id="46"/>
      <w:r/>
      <w:r/>
    </w:p>
    <w:p>
      <w:pPr>
        <w:pStyle w:val="787"/>
        <w:ind w:firstLine="480"/>
        <w:rPr>
          <w:rFonts w:ascii="宋体" w:hAnsi="宋体"/>
          <w:color w:val="auto"/>
          <w:sz w:val="24"/>
          <w:highlight w:val="none"/>
        </w:rPr>
      </w:pPr>
      <w:r>
        <w:rPr>
          <w:rFonts w:ascii="宋体" w:hAnsi="宋体"/>
          <w:color w:val="auto"/>
          <w:sz w:val="24"/>
          <w:highlight w:val="none"/>
        </w:rPr>
      </w:r>
      <w:r/>
    </w:p>
    <w:p>
      <w:pPr>
        <w:jc w:val="center"/>
        <w:widowControl/>
        <w:rPr>
          <w:rFonts w:ascii="宋体" w:hAnsi="宋体"/>
          <w:b/>
          <w:color w:val="auto"/>
          <w:highlight w:val="none"/>
        </w:rPr>
      </w:pPr>
      <w:r/>
      <w:bookmarkStart w:id="47" w:name="_格式2__法定代表人授权书"/>
      <w:r/>
      <w:bookmarkEnd w:id="47"/>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8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新宋体">
    <w:panose1 w:val="02010609030101010101"/>
  </w:font>
  <w:font w:name="Symbol">
    <w:panose1 w:val="05050102010706020507"/>
  </w:font>
  <w:font w:name="等线">
    <w:panose1 w:val="02010600030101010101"/>
  </w:font>
  <w:font w:name="仿宋">
    <w:panose1 w:val="02010609060101010101"/>
  </w:font>
  <w:font w:name="等线 Light">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8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Fonts w:hint="eastAsia" w:eastAsia="宋体"/>
        <w:lang w:val="en-US" w:eastAsia="zh-CN"/>
      </w:rPr>
    </w:pPr>
    <w:r>
      <w:rPr>
        <w:rFonts w:hint="eastAsia" w:ascii="宋体" w:hAnsi="宋体" w:cs="宋体"/>
        <w:highlight w:val="none"/>
        <w:lang w:val="en-US" w:eastAsia="zh-CN"/>
      </w:rPr>
      <w:t xml:space="preserve"> </w:t>
    </w:r>
    <w:r>
      <w:rPr>
        <w:rFonts w:hint="eastAsia"/>
      </w:rPr>
      <w:t xml:space="preserve">                                 </w:t>
    </w:r>
    <w:r>
      <w:rPr>
        <w:rFonts w:hint="eastAsia"/>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Fonts w:hint="eastAsia" w:eastAsia="宋体"/>
        <w:lang w:eastAsia="zh-CN"/>
      </w:rPr>
    </w:pPr>
    <w:r>
      <w:rPr>
        <w:rFonts w:hint="eastAsia"/>
        <w:lang w:val="en-US" w:eastAsia="zh-CN"/>
      </w:rPr>
      <w:tab/>
    </w:r>
    <w:r>
      <w:rPr>
        <w:rFonts w:hint="eastAsia"/>
        <w:lang w:eastAsia="zh-CN"/>
      </w:rPr>
      <w:t xml:space="preserve">JSZC-321000-JYYH-G2026-0002号  </w:t>
    </w:r>
    <w:r>
      <w:rPr>
        <w:rFonts w:hint="eastAsia"/>
      </w:rPr>
      <w:t xml:space="preserve">                              </w:t>
    </w:r>
    <w:r>
      <w:rPr>
        <w:rFonts w:hint="eastAsia"/>
        <w:lang w:eastAsia="zh-CN"/>
      </w:rPr>
      <w:t xml:space="preserve">江苏华彦建设投资管理有限公司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Fonts w:hint="eastAsia" w:eastAsia="宋体"/>
        <w:lang w:eastAsia="zh-CN"/>
      </w:rPr>
    </w:pPr>
    <w:r>
      <w:rPr>
        <w:rFonts w:hint="eastAsia"/>
        <w:lang w:val="en-US" w:eastAsia="zh-CN"/>
      </w:rPr>
      <w:tab/>
    </w:r>
    <w:r>
      <w:rPr>
        <w:rFonts w:hint="eastAsia"/>
        <w:lang w:eastAsia="zh-CN"/>
      </w:rPr>
      <w:t xml:space="preserve">JSZC-321000-JYYH-G2026-0002号  </w:t>
    </w:r>
    <w:r>
      <w:rPr>
        <w:rFonts w:hint="eastAsia"/>
      </w:rPr>
      <w:t xml:space="preserve">                              </w:t>
    </w:r>
    <w:r>
      <w:rPr>
        <w:rFonts w:hint="eastAsia"/>
        <w:lang w:eastAsia="zh-CN"/>
      </w:rPr>
      <w:t xml:space="preserve">江苏华彦建设投资管理有限公司</w:t>
    </w:r>
    <w:r/>
  </w:p>
  <w:p>
    <w:pPr>
      <w:pStyle w:val="81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03"/>
      <w:isLgl/>
      <w:suff w:val="tab"/>
      <w:lvlText w:val="%1.%2"/>
      <w:lvlJc w:val="left"/>
      <w:pPr>
        <w:ind w:left="0" w:firstLine="0"/>
        <w:tabs>
          <w:tab w:val="left" w:pos="851" w:leader="none"/>
        </w:tabs>
      </w:pPr>
    </w:lvl>
    <w:lvl w:ilvl="2">
      <w:start w:val="1"/>
      <w:numFmt w:val="decimal"/>
      <w:pStyle w:val="1087"/>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108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3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vertAlign w:val="baseline"/>
      </w:rPr>
    </w:lvl>
    <w:lvl w:ilvl="1">
      <w:start w:val="1"/>
      <w:numFmt w:val="decimal"/>
      <w:pStyle w:val="777"/>
      <w:isLgl w:val="false"/>
      <w:suff w:val="space"/>
      <w:lvlText w:val="%1.%2"/>
      <w:lvlJc w:val="left"/>
      <w:pPr>
        <w:ind w:left="851" w:hanging="567"/>
      </w:pPr>
      <w:rPr>
        <w:rFonts w:hint="default" w:ascii="Arial" w:hAnsi="Arial" w:eastAsia="黑体"/>
        <w:b/>
        <w:i w:val="0"/>
        <w:sz w:val="28"/>
        <w:szCs w:val="28"/>
      </w:rPr>
    </w:lvl>
    <w:lvl w:ilvl="2">
      <w:start w:val="1"/>
      <w:numFmt w:val="decimal"/>
      <w:pStyle w:val="778"/>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093"/>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1"/>
  </w:num>
  <w:num w:numId="5">
    <w:abstractNumId w:val="0"/>
  </w:num>
  <w:num w:numId="6">
    <w:abstractNumId w:val="5"/>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6">
    <w:name w:val="Heading 1"/>
    <w:basedOn w:val="775"/>
    <w:next w:val="775"/>
    <w:link w:val="997"/>
    <w:uiPriority w:val="9"/>
    <w:qFormat/>
    <w:pPr>
      <w:keepLines/>
      <w:keepNext/>
      <w:spacing w:before="340" w:after="330" w:line="578" w:lineRule="auto"/>
      <w:outlineLvl w:val="0"/>
    </w:pPr>
    <w:rPr>
      <w:b/>
      <w:bCs/>
      <w:sz w:val="44"/>
      <w:szCs w:val="44"/>
    </w:rPr>
  </w:style>
  <w:style w:type="paragraph" w:styleId="777">
    <w:name w:val="Heading 2"/>
    <w:basedOn w:val="775"/>
    <w:next w:val="787"/>
    <w:link w:val="998"/>
    <w:uiPriority w:val="9"/>
    <w:qFormat/>
    <w:pPr>
      <w:numPr>
        <w:ilvl w:val="1"/>
        <w:numId w:val="1"/>
      </w:numPr>
      <w:jc w:val="left"/>
      <w:keepLines/>
      <w:keepNext/>
      <w:spacing w:before="312" w:after="312"/>
      <w:outlineLvl w:val="1"/>
    </w:pPr>
    <w:rPr>
      <w:rFonts w:ascii="Arial" w:hAnsi="Arial"/>
      <w:b/>
      <w:bCs/>
      <w:sz w:val="28"/>
      <w:szCs w:val="36"/>
    </w:rPr>
  </w:style>
  <w:style w:type="paragraph" w:styleId="778">
    <w:name w:val="Heading 3"/>
    <w:basedOn w:val="775"/>
    <w:next w:val="775"/>
    <w:link w:val="1000"/>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779">
    <w:name w:val="Heading 4"/>
    <w:basedOn w:val="775"/>
    <w:next w:val="787"/>
    <w:link w:val="1001"/>
    <w:uiPriority w:val="0"/>
    <w:qFormat/>
    <w:pPr>
      <w:spacing w:before="280" w:after="290" w:line="377" w:lineRule="auto"/>
      <w:outlineLvl w:val="3"/>
    </w:pPr>
    <w:rPr>
      <w:rFonts w:ascii="Arial" w:hAnsi="Arial" w:eastAsia="黑体"/>
      <w:b/>
      <w:bCs/>
      <w:sz w:val="28"/>
      <w:szCs w:val="28"/>
    </w:rPr>
  </w:style>
  <w:style w:type="paragraph" w:styleId="780">
    <w:name w:val="Heading 5"/>
    <w:basedOn w:val="775"/>
    <w:next w:val="775"/>
    <w:link w:val="1002"/>
    <w:uiPriority w:val="0"/>
    <w:qFormat/>
    <w:pPr>
      <w:keepLines/>
      <w:keepNext/>
      <w:spacing w:before="280" w:after="290" w:line="376" w:lineRule="auto"/>
      <w:outlineLvl w:val="4"/>
    </w:pPr>
    <w:rPr>
      <w:rFonts w:ascii="Calibri" w:hAnsi="Calibri"/>
      <w:b/>
      <w:bCs/>
      <w:sz w:val="28"/>
      <w:szCs w:val="28"/>
    </w:rPr>
  </w:style>
  <w:style w:type="paragraph" w:styleId="781">
    <w:name w:val="Heading 6"/>
    <w:basedOn w:val="775"/>
    <w:next w:val="775"/>
    <w:link w:val="1003"/>
    <w:uiPriority w:val="0"/>
    <w:qFormat/>
    <w:pPr>
      <w:ind w:left="1152" w:hanging="1152"/>
      <w:keepLines/>
      <w:keepNext/>
      <w:spacing w:before="240" w:after="64" w:line="320" w:lineRule="auto"/>
      <w:outlineLvl w:val="5"/>
    </w:pPr>
    <w:rPr>
      <w:rFonts w:ascii="Cambria" w:hAnsi="Cambria"/>
      <w:b/>
      <w:bCs/>
      <w:sz w:val="24"/>
      <w:szCs w:val="24"/>
    </w:rPr>
  </w:style>
  <w:style w:type="paragraph" w:styleId="782">
    <w:name w:val="Heading 7"/>
    <w:basedOn w:val="775"/>
    <w:next w:val="775"/>
    <w:link w:val="1004"/>
    <w:uiPriority w:val="0"/>
    <w:qFormat/>
    <w:pPr>
      <w:ind w:left="1296" w:hanging="1296"/>
      <w:keepLines/>
      <w:keepNext/>
      <w:spacing w:before="240" w:after="64" w:line="320" w:lineRule="auto"/>
      <w:outlineLvl w:val="6"/>
    </w:pPr>
    <w:rPr>
      <w:b/>
      <w:bCs/>
      <w:sz w:val="24"/>
      <w:szCs w:val="24"/>
    </w:rPr>
  </w:style>
  <w:style w:type="paragraph" w:styleId="783">
    <w:name w:val="Heading 8"/>
    <w:basedOn w:val="775"/>
    <w:next w:val="775"/>
    <w:link w:val="1005"/>
    <w:uiPriority w:val="0"/>
    <w:qFormat/>
    <w:pPr>
      <w:ind w:left="1440" w:hanging="1440"/>
      <w:keepLines/>
      <w:keepNext/>
      <w:spacing w:before="240" w:after="64" w:line="320" w:lineRule="auto"/>
      <w:outlineLvl w:val="7"/>
    </w:pPr>
    <w:rPr>
      <w:rFonts w:ascii="Cambria" w:hAnsi="Cambria"/>
      <w:sz w:val="24"/>
      <w:szCs w:val="24"/>
    </w:rPr>
  </w:style>
  <w:style w:type="paragraph" w:styleId="784">
    <w:name w:val="Heading 9"/>
    <w:basedOn w:val="775"/>
    <w:next w:val="775"/>
    <w:link w:val="1006"/>
    <w:uiPriority w:val="0"/>
    <w:qFormat/>
    <w:pPr>
      <w:ind w:left="1584" w:hanging="1584"/>
      <w:keepLines/>
      <w:keepNext/>
      <w:spacing w:before="240" w:after="64" w:line="320" w:lineRule="auto"/>
      <w:outlineLvl w:val="8"/>
    </w:pPr>
    <w:rPr>
      <w:rFonts w:ascii="Cambria" w:hAnsi="Cambria"/>
      <w:sz w:val="20"/>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Normal Indent"/>
    <w:basedOn w:val="775"/>
    <w:link w:val="999"/>
    <w:uiPriority w:val="0"/>
    <w:unhideWhenUsed/>
    <w:qFormat/>
    <w:pPr>
      <w:ind w:firstLine="420"/>
    </w:pPr>
  </w:style>
  <w:style w:type="paragraph" w:styleId="788">
    <w:name w:val="toc 7"/>
    <w:basedOn w:val="775"/>
    <w:next w:val="775"/>
    <w:uiPriority w:val="39"/>
    <w:unhideWhenUsed/>
    <w:qFormat/>
    <w:pPr>
      <w:ind w:left="1701" w:right="0" w:firstLine="0"/>
      <w:spacing w:after="57"/>
    </w:pPr>
  </w:style>
  <w:style w:type="paragraph" w:styleId="789">
    <w:name w:val="table of authorities"/>
    <w:basedOn w:val="775"/>
    <w:next w:val="775"/>
    <w:uiPriority w:val="0"/>
    <w:qFormat/>
    <w:pPr>
      <w:ind w:left="420"/>
    </w:pPr>
  </w:style>
  <w:style w:type="paragraph" w:styleId="790">
    <w:name w:val="Caption"/>
    <w:basedOn w:val="775"/>
    <w:next w:val="775"/>
    <w:uiPriority w:val="0"/>
    <w:qFormat/>
    <w:rPr>
      <w:rFonts w:ascii="Arial" w:hAnsi="Arial" w:eastAsia="黑体"/>
      <w:sz w:val="20"/>
    </w:rPr>
  </w:style>
  <w:style w:type="paragraph" w:styleId="791">
    <w:name w:val="Document Map"/>
    <w:basedOn w:val="775"/>
    <w:link w:val="1007"/>
    <w:uiPriority w:val="0"/>
    <w:qFormat/>
    <w:rPr>
      <w:rFonts w:ascii="宋体"/>
      <w:sz w:val="18"/>
      <w:szCs w:val="18"/>
    </w:rPr>
  </w:style>
  <w:style w:type="paragraph" w:styleId="792">
    <w:name w:val="annotation text"/>
    <w:basedOn w:val="775"/>
    <w:link w:val="1008"/>
    <w:uiPriority w:val="99"/>
    <w:unhideWhenUsed/>
    <w:qFormat/>
    <w:pPr>
      <w:jc w:val="left"/>
    </w:pPr>
    <w:rPr>
      <w:sz w:val="20"/>
      <w:szCs w:val="24"/>
    </w:rPr>
  </w:style>
  <w:style w:type="paragraph" w:styleId="793">
    <w:name w:val="Body Text 3"/>
    <w:basedOn w:val="775"/>
    <w:link w:val="1009"/>
    <w:uiPriority w:val="0"/>
    <w:qFormat/>
    <w:rPr>
      <w:rFonts w:ascii="宋体"/>
      <w:sz w:val="24"/>
      <w:szCs w:val="20"/>
    </w:rPr>
  </w:style>
  <w:style w:type="paragraph" w:styleId="794">
    <w:name w:val="Body Text"/>
    <w:basedOn w:val="775"/>
    <w:next w:val="795"/>
    <w:link w:val="1010"/>
    <w:uiPriority w:val="0"/>
    <w:qFormat/>
    <w:rPr>
      <w:rFonts w:ascii="楷体_GB2312" w:hAnsi="Arial" w:eastAsia="楷体_GB2312"/>
      <w:sz w:val="28"/>
      <w:szCs w:val="28"/>
    </w:rPr>
  </w:style>
  <w:style w:type="paragraph" w:styleId="795" w:customStyle="1">
    <w:name w:val="目录 53"/>
    <w:next w:val="775"/>
    <w:uiPriority w:val="0"/>
    <w:qFormat/>
    <w:pPr>
      <w:ind w:left="1275"/>
      <w:jc w:val="both"/>
    </w:pPr>
    <w:rPr>
      <w:rFonts w:ascii="Times New Roman" w:hAnsi="Times New Roman" w:eastAsia="宋体" w:cs="Times New Roman"/>
      <w:sz w:val="21"/>
      <w:lang w:val="en-US" w:eastAsia="zh-CN" w:bidi="ar-SA"/>
    </w:rPr>
  </w:style>
  <w:style w:type="paragraph" w:styleId="796">
    <w:name w:val="Body Text Indent"/>
    <w:basedOn w:val="775"/>
    <w:next w:val="797"/>
    <w:link w:val="1011"/>
    <w:uiPriority w:val="99"/>
    <w:qFormat/>
    <w:pPr>
      <w:ind w:left="420"/>
      <w:spacing w:after="120"/>
    </w:pPr>
    <w:rPr>
      <w:sz w:val="20"/>
      <w:szCs w:val="24"/>
    </w:rPr>
  </w:style>
  <w:style w:type="paragraph" w:styleId="797">
    <w:name w:val="envelope return"/>
    <w:basedOn w:val="775"/>
    <w:uiPriority w:val="0"/>
    <w:qFormat/>
    <w:rPr>
      <w:rFonts w:ascii="Arial" w:hAnsi="Arial"/>
    </w:rPr>
  </w:style>
  <w:style w:type="paragraph" w:styleId="798">
    <w:name w:val="Block Text"/>
    <w:basedOn w:val="775"/>
    <w:uiPriority w:val="0"/>
    <w:qFormat/>
    <w:pPr>
      <w:spacing w:line="856" w:lineRule="atLeast"/>
      <w:widowControl/>
    </w:pPr>
    <w:rPr>
      <w:color w:val="000000"/>
      <w:szCs w:val="20"/>
    </w:rPr>
  </w:style>
  <w:style w:type="paragraph" w:styleId="799">
    <w:name w:val="List Bullet 2"/>
    <w:basedOn w:val="775"/>
    <w:uiPriority w:val="99"/>
    <w:unhideWhenUsed/>
    <w:qFormat/>
    <w:pPr>
      <w:ind w:left="780" w:hanging="360"/>
      <w:tabs>
        <w:tab w:val="left" w:pos="780" w:leader="none"/>
      </w:tabs>
    </w:pPr>
  </w:style>
  <w:style w:type="paragraph" w:styleId="800">
    <w:name w:val="index 4"/>
    <w:next w:val="775"/>
    <w:uiPriority w:val="0"/>
    <w:qFormat/>
    <w:pPr>
      <w:ind w:left="600"/>
      <w:jc w:val="both"/>
      <w:widowControl w:val="off"/>
    </w:pPr>
    <w:rPr>
      <w:rFonts w:hint="default" w:ascii="Times New Roman" w:hAnsi="Times New Roman" w:eastAsia="宋体" w:cs="Times New Roman"/>
      <w:sz w:val="21"/>
      <w:szCs w:val="21"/>
      <w:lang w:val="en-US" w:eastAsia="zh-CN" w:bidi="ar-SA"/>
    </w:rPr>
  </w:style>
  <w:style w:type="paragraph" w:styleId="801">
    <w:name w:val="toc 5"/>
    <w:basedOn w:val="775"/>
    <w:next w:val="775"/>
    <w:uiPriority w:val="39"/>
    <w:unhideWhenUsed/>
    <w:qFormat/>
    <w:pPr>
      <w:ind w:left="1134" w:right="0" w:firstLine="0"/>
      <w:spacing w:after="57"/>
    </w:pPr>
  </w:style>
  <w:style w:type="paragraph" w:styleId="802">
    <w:name w:val="toc 3"/>
    <w:basedOn w:val="775"/>
    <w:next w:val="775"/>
    <w:uiPriority w:val="39"/>
    <w:unhideWhenUsed/>
    <w:qFormat/>
    <w:pPr>
      <w:ind w:left="840"/>
    </w:pPr>
    <w:rPr>
      <w:rFonts w:ascii="Calibri" w:hAnsi="Calibri"/>
    </w:rPr>
  </w:style>
  <w:style w:type="paragraph" w:styleId="803">
    <w:name w:val="Plain Text"/>
    <w:basedOn w:val="775"/>
    <w:link w:val="1012"/>
    <w:uiPriority w:val="0"/>
    <w:qFormat/>
    <w:rPr>
      <w:rFonts w:ascii="宋体" w:hAnsi="Courier New"/>
      <w:sz w:val="20"/>
      <w:szCs w:val="21"/>
    </w:rPr>
  </w:style>
  <w:style w:type="paragraph" w:styleId="804">
    <w:name w:val="toc 8"/>
    <w:basedOn w:val="775"/>
    <w:next w:val="775"/>
    <w:uiPriority w:val="39"/>
    <w:unhideWhenUsed/>
    <w:qFormat/>
    <w:pPr>
      <w:ind w:left="1984" w:right="0" w:firstLine="0"/>
      <w:spacing w:after="57"/>
    </w:pPr>
  </w:style>
  <w:style w:type="paragraph" w:styleId="805">
    <w:name w:val="Date"/>
    <w:basedOn w:val="775"/>
    <w:next w:val="775"/>
    <w:uiPriority w:val="0"/>
    <w:semiHidden/>
    <w:qFormat/>
    <w:rPr>
      <w:szCs w:val="20"/>
    </w:rPr>
  </w:style>
  <w:style w:type="paragraph" w:styleId="806">
    <w:name w:val="Body Text Indent 2"/>
    <w:basedOn w:val="775"/>
    <w:link w:val="1013"/>
    <w:uiPriority w:val="0"/>
    <w:qFormat/>
    <w:pPr>
      <w:ind w:firstLine="562"/>
      <w:spacing w:line="480" w:lineRule="exact"/>
    </w:pPr>
    <w:rPr>
      <w:rFonts w:ascii="楷体_GB2312" w:eastAsia="楷体_GB2312"/>
      <w:b/>
      <w:bCs/>
      <w:sz w:val="28"/>
      <w:szCs w:val="24"/>
    </w:rPr>
  </w:style>
  <w:style w:type="paragraph" w:styleId="807">
    <w:name w:val="endnote text"/>
    <w:basedOn w:val="775"/>
    <w:link w:val="988"/>
    <w:uiPriority w:val="99"/>
    <w:semiHidden/>
    <w:unhideWhenUsed/>
    <w:qFormat/>
    <w:pPr>
      <w:spacing w:after="0" w:line="240" w:lineRule="auto"/>
    </w:pPr>
    <w:rPr>
      <w:sz w:val="20"/>
    </w:rPr>
  </w:style>
  <w:style w:type="paragraph" w:styleId="808">
    <w:name w:val="Balloon Text"/>
    <w:basedOn w:val="775"/>
    <w:link w:val="1014"/>
    <w:uiPriority w:val="99"/>
    <w:unhideWhenUsed/>
    <w:qFormat/>
    <w:rPr>
      <w:sz w:val="18"/>
      <w:szCs w:val="18"/>
    </w:rPr>
  </w:style>
  <w:style w:type="paragraph" w:styleId="809">
    <w:name w:val="Footer"/>
    <w:basedOn w:val="775"/>
    <w:link w:val="1015"/>
    <w:uiPriority w:val="99"/>
    <w:unhideWhenUsed/>
    <w:qFormat/>
    <w:pPr>
      <w:jc w:val="left"/>
      <w:tabs>
        <w:tab w:val="center" w:pos="4153" w:leader="none"/>
        <w:tab w:val="right" w:pos="8306" w:leader="none"/>
      </w:tabs>
    </w:pPr>
    <w:rPr>
      <w:sz w:val="18"/>
      <w:szCs w:val="18"/>
    </w:rPr>
  </w:style>
  <w:style w:type="paragraph" w:styleId="810">
    <w:name w:val="Header"/>
    <w:basedOn w:val="775"/>
    <w:link w:val="10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1">
    <w:name w:val="toc 1"/>
    <w:basedOn w:val="775"/>
    <w:next w:val="775"/>
    <w:uiPriority w:val="39"/>
    <w:unhideWhenUsed/>
    <w:qFormat/>
    <w:rPr>
      <w:rFonts w:ascii="Calibri" w:hAnsi="Calibri"/>
    </w:rPr>
  </w:style>
  <w:style w:type="paragraph" w:styleId="812">
    <w:name w:val="toc 4"/>
    <w:basedOn w:val="775"/>
    <w:next w:val="775"/>
    <w:uiPriority w:val="39"/>
    <w:unhideWhenUsed/>
    <w:qFormat/>
    <w:pPr>
      <w:ind w:left="850" w:right="0" w:firstLine="0"/>
      <w:spacing w:after="57"/>
    </w:pPr>
  </w:style>
  <w:style w:type="paragraph" w:styleId="813">
    <w:name w:val="Subtitle"/>
    <w:basedOn w:val="775"/>
    <w:next w:val="775"/>
    <w:link w:val="854"/>
    <w:uiPriority w:val="11"/>
    <w:qFormat/>
    <w:pPr>
      <w:spacing w:before="200" w:after="200"/>
    </w:pPr>
    <w:rPr>
      <w:sz w:val="24"/>
      <w:szCs w:val="24"/>
    </w:rPr>
  </w:style>
  <w:style w:type="paragraph" w:styleId="814">
    <w:name w:val="List"/>
    <w:basedOn w:val="775"/>
    <w:uiPriority w:val="99"/>
    <w:qFormat/>
    <w:pPr>
      <w:ind w:left="200" w:hanging="200"/>
    </w:pPr>
    <w:rPr>
      <w:szCs w:val="24"/>
    </w:rPr>
  </w:style>
  <w:style w:type="paragraph" w:styleId="815">
    <w:name w:val="footnote text"/>
    <w:basedOn w:val="775"/>
    <w:link w:val="987"/>
    <w:uiPriority w:val="99"/>
    <w:semiHidden/>
    <w:unhideWhenUsed/>
    <w:qFormat/>
    <w:pPr>
      <w:spacing w:after="40" w:line="240" w:lineRule="auto"/>
    </w:pPr>
    <w:rPr>
      <w:sz w:val="18"/>
    </w:rPr>
  </w:style>
  <w:style w:type="paragraph" w:styleId="816">
    <w:name w:val="toc 6"/>
    <w:basedOn w:val="775"/>
    <w:next w:val="775"/>
    <w:uiPriority w:val="39"/>
    <w:unhideWhenUsed/>
    <w:qFormat/>
    <w:pPr>
      <w:ind w:left="1417" w:right="0" w:firstLine="0"/>
      <w:spacing w:after="57"/>
    </w:pPr>
  </w:style>
  <w:style w:type="paragraph" w:styleId="817">
    <w:name w:val="table of figures"/>
    <w:basedOn w:val="775"/>
    <w:next w:val="775"/>
    <w:uiPriority w:val="0"/>
    <w:semiHidden/>
    <w:qFormat/>
    <w:pPr>
      <w:ind w:left="840" w:hanging="420"/>
      <w:spacing w:before="156" w:after="156"/>
    </w:pPr>
    <w:rPr>
      <w:sz w:val="24"/>
      <w:szCs w:val="24"/>
    </w:rPr>
  </w:style>
  <w:style w:type="paragraph" w:styleId="818">
    <w:name w:val="toc 2"/>
    <w:basedOn w:val="775"/>
    <w:next w:val="775"/>
    <w:uiPriority w:val="39"/>
    <w:unhideWhenUsed/>
    <w:qFormat/>
    <w:pPr>
      <w:ind w:left="420"/>
    </w:pPr>
    <w:rPr>
      <w:rFonts w:ascii="Calibri" w:hAnsi="Calibri"/>
    </w:rPr>
  </w:style>
  <w:style w:type="paragraph" w:styleId="819">
    <w:name w:val="toc 9"/>
    <w:basedOn w:val="775"/>
    <w:next w:val="775"/>
    <w:uiPriority w:val="0"/>
    <w:semiHidden/>
    <w:qFormat/>
    <w:pPr>
      <w:ind w:left="3360"/>
    </w:pPr>
  </w:style>
  <w:style w:type="paragraph" w:styleId="820">
    <w:name w:val="Body Text 2"/>
    <w:basedOn w:val="775"/>
    <w:uiPriority w:val="0"/>
    <w:qFormat/>
    <w:pPr>
      <w:spacing w:after="120" w:line="480" w:lineRule="auto"/>
    </w:pPr>
  </w:style>
  <w:style w:type="paragraph" w:styleId="821">
    <w:name w:val="Normal (Web)"/>
    <w:basedOn w:val="775"/>
    <w:uiPriority w:val="99"/>
    <w:unhideWhenUsed/>
    <w:qFormat/>
    <w:rPr>
      <w:sz w:val="24"/>
    </w:rPr>
  </w:style>
  <w:style w:type="paragraph" w:styleId="822">
    <w:name w:val="Title"/>
    <w:basedOn w:val="775"/>
    <w:next w:val="775"/>
    <w:link w:val="853"/>
    <w:uiPriority w:val="10"/>
    <w:qFormat/>
    <w:pPr>
      <w:contextualSpacing/>
      <w:spacing w:before="300" w:after="200"/>
    </w:pPr>
    <w:rPr>
      <w:sz w:val="48"/>
      <w:szCs w:val="48"/>
    </w:rPr>
  </w:style>
  <w:style w:type="paragraph" w:styleId="823">
    <w:name w:val="annotation subject"/>
    <w:basedOn w:val="792"/>
    <w:next w:val="792"/>
    <w:link w:val="1017"/>
    <w:uiPriority w:val="99"/>
    <w:unhideWhenUsed/>
    <w:qFormat/>
    <w:rPr>
      <w:b/>
      <w:bCs/>
      <w:szCs w:val="20"/>
    </w:rPr>
  </w:style>
  <w:style w:type="paragraph" w:styleId="824">
    <w:name w:val="Body Text First Indent"/>
    <w:basedOn w:val="794"/>
    <w:next w:val="775"/>
    <w:uiPriority w:val="0"/>
    <w:qFormat/>
    <w:pPr>
      <w:ind w:left="300" w:firstLine="420"/>
      <w:spacing w:after="120"/>
    </w:pPr>
    <w:rPr>
      <w:rFonts w:ascii="宋体" w:hAnsi="Verdana"/>
      <w:lang w:val="en-GB"/>
    </w:rPr>
  </w:style>
  <w:style w:type="paragraph" w:styleId="825">
    <w:name w:val="Body Text First Indent 2"/>
    <w:basedOn w:val="796"/>
    <w:link w:val="1018"/>
    <w:uiPriority w:val="99"/>
    <w:qFormat/>
    <w:pPr>
      <w:ind w:firstLine="420"/>
    </w:pPr>
  </w:style>
  <w:style w:type="table" w:styleId="826">
    <w:name w:val="Table Grid"/>
    <w:basedOn w:val="786"/>
    <w:uiPriority w:val="3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7">
    <w:name w:val="Strong"/>
    <w:uiPriority w:val="22"/>
    <w:qFormat/>
    <w:rPr>
      <w:rFonts w:ascii="Tahoma" w:hAnsi="Tahoma" w:eastAsia="宋体"/>
      <w:b/>
      <w:bCs/>
      <w:spacing w:val="10"/>
      <w:sz w:val="24"/>
      <w:lang w:val="en-US" w:eastAsia="zh-CN" w:bidi="ar-SA"/>
    </w:rPr>
  </w:style>
  <w:style w:type="character" w:styleId="828">
    <w:name w:val="endnote reference"/>
    <w:basedOn w:val="785"/>
    <w:uiPriority w:val="99"/>
    <w:semiHidden/>
    <w:unhideWhenUsed/>
    <w:qFormat/>
    <w:rPr>
      <w:vertAlign w:val="superscript"/>
    </w:rPr>
  </w:style>
  <w:style w:type="character" w:styleId="829">
    <w:name w:val="page number"/>
    <w:uiPriority w:val="0"/>
    <w:qFormat/>
  </w:style>
  <w:style w:type="character" w:styleId="830">
    <w:name w:val="FollowedHyperlink"/>
    <w:uiPriority w:val="99"/>
    <w:unhideWhenUsed/>
    <w:qFormat/>
    <w:rPr>
      <w:color w:val="333333"/>
      <w:u w:val="none"/>
    </w:rPr>
  </w:style>
  <w:style w:type="character" w:styleId="831">
    <w:name w:val="Emphasis"/>
    <w:uiPriority w:val="0"/>
    <w:qFormat/>
    <w:rPr>
      <w:rFonts w:ascii="Times New Roman" w:hAnsi="Times New Roman"/>
      <w:i/>
      <w:iCs/>
      <w:sz w:val="21"/>
      <w:szCs w:val="20"/>
    </w:rPr>
  </w:style>
  <w:style w:type="character" w:styleId="832">
    <w:name w:val="HTML Definition"/>
    <w:uiPriority w:val="99"/>
    <w:unhideWhenUsed/>
    <w:qFormat/>
    <w:rPr>
      <w:i/>
    </w:rPr>
  </w:style>
  <w:style w:type="character" w:styleId="833">
    <w:name w:val="Hyperlink"/>
    <w:uiPriority w:val="99"/>
    <w:unhideWhenUsed/>
    <w:qFormat/>
    <w:rPr>
      <w:color w:val="333333"/>
      <w:u w:val="none"/>
    </w:rPr>
  </w:style>
  <w:style w:type="character" w:styleId="834">
    <w:name w:val="HTML Code"/>
    <w:uiPriority w:val="99"/>
    <w:unhideWhenUsed/>
    <w:qFormat/>
    <w:rPr>
      <w:rFonts w:ascii="Consolas" w:hAnsi="Consolas" w:eastAsia="Consolas" w:cs="Consolas"/>
      <w:color w:val="c7254e"/>
      <w:sz w:val="21"/>
      <w:szCs w:val="21"/>
      <w:shd w:val="clear" w:color="auto" w:fill="f9f2f4"/>
    </w:rPr>
  </w:style>
  <w:style w:type="character" w:styleId="835">
    <w:name w:val="annotation reference"/>
    <w:uiPriority w:val="99"/>
    <w:unhideWhenUsed/>
    <w:qFormat/>
    <w:rPr>
      <w:sz w:val="21"/>
      <w:szCs w:val="21"/>
    </w:rPr>
  </w:style>
  <w:style w:type="character" w:styleId="836">
    <w:name w:val="footnote reference"/>
    <w:basedOn w:val="785"/>
    <w:uiPriority w:val="99"/>
    <w:unhideWhenUsed/>
    <w:qFormat/>
    <w:rPr>
      <w:vertAlign w:val="superscript"/>
    </w:rPr>
  </w:style>
  <w:style w:type="character" w:styleId="837">
    <w:name w:val="HTML Keyboard"/>
    <w:uiPriority w:val="99"/>
    <w:unhideWhenUsed/>
    <w:qFormat/>
    <w:rPr>
      <w:rFonts w:hint="default" w:ascii="Consolas" w:hAnsi="Consolas" w:eastAsia="Consolas" w:cs="Consolas"/>
      <w:color w:val="ffffff"/>
      <w:sz w:val="21"/>
      <w:szCs w:val="21"/>
      <w:shd w:val="clear" w:color="auto" w:fill="333333"/>
    </w:rPr>
  </w:style>
  <w:style w:type="character" w:styleId="838">
    <w:name w:val="HTML Sample"/>
    <w:uiPriority w:val="99"/>
    <w:unhideWhenUsed/>
    <w:qFormat/>
    <w:rPr>
      <w:rFonts w:hint="default" w:ascii="Consolas" w:hAnsi="Consolas" w:eastAsia="Consolas" w:cs="Consolas"/>
      <w:sz w:val="21"/>
      <w:szCs w:val="21"/>
    </w:rPr>
  </w:style>
  <w:style w:type="paragraph" w:styleId="839" w:customStyle="1">
    <w:name w:val="ListBullet2"/>
    <w:basedOn w:val="775"/>
    <w:uiPriority w:val="0"/>
    <w:qFormat/>
    <w:pPr>
      <w:numPr>
        <w:ilvl w:val="0"/>
        <w:numId w:val="2"/>
      </w:numPr>
    </w:pPr>
  </w:style>
  <w:style w:type="paragraph" w:styleId="840" w:customStyle="1">
    <w:name w:val="首行缩进"/>
    <w:basedOn w:val="775"/>
    <w:uiPriority w:val="0"/>
    <w:qFormat/>
    <w:pPr>
      <w:ind w:firstLine="420"/>
      <w:spacing w:line="360" w:lineRule="auto"/>
    </w:pPr>
  </w:style>
  <w:style w:type="paragraph" w:styleId="841" w:customStyle="1">
    <w:name w:val="正文文本11"/>
    <w:basedOn w:val="775"/>
    <w:next w:val="775"/>
    <w:uiPriority w:val="0"/>
    <w:qFormat/>
    <w:rPr>
      <w:rFonts w:ascii="楷体_GB2312" w:hAnsi="Arial" w:eastAsia="楷体_GB2312"/>
      <w:sz w:val="28"/>
      <w:szCs w:val="28"/>
    </w:rPr>
  </w:style>
  <w:style w:type="paragraph" w:styleId="842" w:customStyle="1">
    <w:name w:val="ListBullet21"/>
    <w:basedOn w:val="775"/>
    <w:uiPriority w:val="0"/>
    <w:qFormat/>
    <w:pPr>
      <w:numPr>
        <w:ilvl w:val="0"/>
        <w:numId w:val="3"/>
      </w:numPr>
    </w:pPr>
  </w:style>
  <w:style w:type="character" w:styleId="843" w:customStyle="1">
    <w:name w:val="Heading 1 Char"/>
    <w:basedOn w:val="785"/>
    <w:uiPriority w:val="9"/>
    <w:qFormat/>
    <w:rPr>
      <w:rFonts w:ascii="Arial" w:hAnsi="Arial" w:eastAsia="Arial" w:cs="Arial"/>
      <w:sz w:val="40"/>
      <w:szCs w:val="40"/>
    </w:rPr>
  </w:style>
  <w:style w:type="character" w:styleId="844" w:customStyle="1">
    <w:name w:val="Heading 2 Char"/>
    <w:basedOn w:val="785"/>
    <w:uiPriority w:val="9"/>
    <w:qFormat/>
    <w:rPr>
      <w:rFonts w:ascii="Arial" w:hAnsi="Arial" w:eastAsia="Arial" w:cs="Arial"/>
      <w:sz w:val="34"/>
    </w:rPr>
  </w:style>
  <w:style w:type="character" w:styleId="845" w:customStyle="1">
    <w:name w:val="Heading 3 Char"/>
    <w:basedOn w:val="785"/>
    <w:uiPriority w:val="9"/>
    <w:qFormat/>
    <w:rPr>
      <w:rFonts w:ascii="Arial" w:hAnsi="Arial" w:eastAsia="Arial" w:cs="Arial"/>
      <w:sz w:val="30"/>
      <w:szCs w:val="30"/>
    </w:rPr>
  </w:style>
  <w:style w:type="character" w:styleId="846" w:customStyle="1">
    <w:name w:val="Heading 4 Char"/>
    <w:basedOn w:val="785"/>
    <w:uiPriority w:val="9"/>
    <w:qFormat/>
    <w:rPr>
      <w:rFonts w:ascii="Arial" w:hAnsi="Arial" w:eastAsia="Arial" w:cs="Arial"/>
      <w:b/>
      <w:bCs/>
      <w:sz w:val="26"/>
      <w:szCs w:val="26"/>
    </w:rPr>
  </w:style>
  <w:style w:type="character" w:styleId="847" w:customStyle="1">
    <w:name w:val="Heading 5 Char"/>
    <w:basedOn w:val="785"/>
    <w:uiPriority w:val="9"/>
    <w:qFormat/>
    <w:rPr>
      <w:rFonts w:ascii="Arial" w:hAnsi="Arial" w:eastAsia="Arial" w:cs="Arial"/>
      <w:b/>
      <w:bCs/>
      <w:sz w:val="24"/>
      <w:szCs w:val="24"/>
    </w:rPr>
  </w:style>
  <w:style w:type="character" w:styleId="848" w:customStyle="1">
    <w:name w:val="Heading 6 Char"/>
    <w:basedOn w:val="785"/>
    <w:uiPriority w:val="9"/>
    <w:qFormat/>
    <w:rPr>
      <w:rFonts w:ascii="Arial" w:hAnsi="Arial" w:eastAsia="Arial" w:cs="Arial"/>
      <w:b/>
      <w:bCs/>
      <w:sz w:val="22"/>
      <w:szCs w:val="22"/>
    </w:rPr>
  </w:style>
  <w:style w:type="character" w:styleId="849" w:customStyle="1">
    <w:name w:val="Heading 8 Char"/>
    <w:basedOn w:val="785"/>
    <w:uiPriority w:val="9"/>
    <w:qFormat/>
    <w:rPr>
      <w:rFonts w:ascii="Arial" w:hAnsi="Arial" w:eastAsia="Arial" w:cs="Arial"/>
      <w:i/>
      <w:iCs/>
      <w:sz w:val="22"/>
      <w:szCs w:val="22"/>
    </w:rPr>
  </w:style>
  <w:style w:type="character" w:styleId="850" w:customStyle="1">
    <w:name w:val="Heading 9 Char"/>
    <w:basedOn w:val="785"/>
    <w:uiPriority w:val="9"/>
    <w:qFormat/>
    <w:rPr>
      <w:rFonts w:ascii="Arial" w:hAnsi="Arial" w:eastAsia="Arial" w:cs="Arial"/>
      <w:i/>
      <w:iCs/>
      <w:sz w:val="21"/>
      <w:szCs w:val="21"/>
    </w:rPr>
  </w:style>
  <w:style w:type="paragraph" w:styleId="851">
    <w:name w:val="List Paragraph"/>
    <w:basedOn w:val="775"/>
    <w:uiPriority w:val="34"/>
    <w:qFormat/>
    <w:pPr>
      <w:contextualSpacing/>
      <w:ind w:left="720"/>
    </w:pPr>
  </w:style>
  <w:style w:type="paragraph" w:styleId="852">
    <w:name w:val="No Spacing"/>
    <w:uiPriority w:val="1"/>
    <w:qFormat/>
    <w:pPr>
      <w:spacing w:before="0" w:after="0" w:line="240" w:lineRule="auto"/>
    </w:pPr>
    <w:rPr>
      <w:rFonts w:hint="default" w:ascii="Times New Roman" w:hAnsi="Times New Roman" w:eastAsia="宋体" w:cs="Times New Roman"/>
    </w:rPr>
  </w:style>
  <w:style w:type="character" w:styleId="853" w:customStyle="1">
    <w:name w:val="Title Char"/>
    <w:basedOn w:val="785"/>
    <w:link w:val="822"/>
    <w:uiPriority w:val="10"/>
    <w:qFormat/>
    <w:rPr>
      <w:sz w:val="48"/>
      <w:szCs w:val="48"/>
    </w:rPr>
  </w:style>
  <w:style w:type="character" w:styleId="854" w:customStyle="1">
    <w:name w:val="Subtitle Char"/>
    <w:basedOn w:val="785"/>
    <w:link w:val="813"/>
    <w:uiPriority w:val="11"/>
    <w:qFormat/>
    <w:rPr>
      <w:sz w:val="24"/>
      <w:szCs w:val="24"/>
    </w:rPr>
  </w:style>
  <w:style w:type="paragraph" w:styleId="855">
    <w:name w:val="Quote"/>
    <w:basedOn w:val="775"/>
    <w:next w:val="775"/>
    <w:link w:val="856"/>
    <w:uiPriority w:val="29"/>
    <w:qFormat/>
    <w:pPr>
      <w:ind w:left="720" w:right="720"/>
    </w:pPr>
    <w:rPr>
      <w:i/>
    </w:rPr>
  </w:style>
  <w:style w:type="character" w:styleId="856" w:customStyle="1">
    <w:name w:val="Quote Char"/>
    <w:link w:val="855"/>
    <w:uiPriority w:val="29"/>
    <w:qFormat/>
    <w:rPr>
      <w:i/>
    </w:rPr>
  </w:style>
  <w:style w:type="paragraph" w:styleId="857">
    <w:name w:val="Intense Quote"/>
    <w:basedOn w:val="775"/>
    <w:next w:val="775"/>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Intense Quote Char"/>
    <w:link w:val="857"/>
    <w:uiPriority w:val="30"/>
    <w:qFormat/>
    <w:rPr>
      <w:i/>
    </w:rPr>
  </w:style>
  <w:style w:type="character" w:styleId="859" w:customStyle="1">
    <w:name w:val="Header Char"/>
    <w:basedOn w:val="785"/>
    <w:uiPriority w:val="99"/>
    <w:qFormat/>
  </w:style>
  <w:style w:type="character" w:styleId="860" w:customStyle="1">
    <w:name w:val="Footer Char"/>
    <w:basedOn w:val="785"/>
    <w:uiPriority w:val="99"/>
    <w:qFormat/>
  </w:style>
  <w:style w:type="character" w:styleId="861" w:customStyle="1">
    <w:name w:val="Caption Char"/>
    <w:uiPriority w:val="99"/>
    <w:qFormat/>
  </w:style>
  <w:style w:type="table" w:styleId="862" w:customStyle="1">
    <w:name w:val="Table Grid Light"/>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8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basedOn w:val="78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basedOn w:val="78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basedOn w:val="78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basedOn w:val="78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basedOn w:val="78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8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8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7" w:customStyle="1">
    <w:name w:val="Grid Table 6 Colorful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8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basedOn w:val="78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8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8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8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8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8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8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8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8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8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8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8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8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8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basedOn w:val="78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basedOn w:val="78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basedOn w:val="78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basedOn w:val="78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basedOn w:val="78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8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8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8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8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8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basedOn w:val="78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basedOn w:val="78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basedOn w:val="78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basedOn w:val="78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basedOn w:val="78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8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8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basedOn w:val="78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basedOn w:val="78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basedOn w:val="78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basedOn w:val="78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basedOn w:val="78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8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8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8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8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8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8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basedOn w:val="7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8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basedOn w:val="78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basedOn w:val="78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basedOn w:val="78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basedOn w:val="78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basedOn w:val="78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basedOn w:val="7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basedOn w:val="7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basedOn w:val="7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basedOn w:val="7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basedOn w:val="7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basedOn w:val="7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Footnote Text Char"/>
    <w:link w:val="815"/>
    <w:uiPriority w:val="99"/>
    <w:qFormat/>
    <w:rPr>
      <w:sz w:val="18"/>
    </w:rPr>
  </w:style>
  <w:style w:type="character" w:styleId="988" w:customStyle="1">
    <w:name w:val="Endnote Text Char"/>
    <w:link w:val="807"/>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customStyle="1">
    <w:name w:val="正文（缩进）"/>
    <w:basedOn w:val="775"/>
    <w:next w:val="991"/>
    <w:uiPriority w:val="0"/>
    <w:qFormat/>
    <w:pPr>
      <w:ind w:firstLine="480"/>
    </w:pPr>
  </w:style>
  <w:style w:type="paragraph" w:styleId="991" w:customStyle="1">
    <w:name w:val="Char Char Char Char Char Char Char Char Char"/>
    <w:basedOn w:val="775"/>
    <w:next w:val="992"/>
    <w:uiPriority w:val="99"/>
    <w:qFormat/>
    <w:pPr>
      <w:ind w:left="360" w:firstLine="5784"/>
    </w:pPr>
  </w:style>
  <w:style w:type="paragraph" w:styleId="992" w:customStyle="1">
    <w:name w:val="正文文本 21"/>
    <w:basedOn w:val="775"/>
    <w:next w:val="993"/>
    <w:uiPriority w:val="99"/>
    <w:qFormat/>
    <w:pPr>
      <w:ind w:left="720" w:firstLine="5680"/>
      <w:widowControl/>
    </w:pPr>
  </w:style>
  <w:style w:type="paragraph" w:styleId="993" w:customStyle="1">
    <w:name w:val="默认段落字体 Para Char Char Char Char Char Char Char"/>
    <w:basedOn w:val="775"/>
    <w:next w:val="994"/>
    <w:uiPriority w:val="99"/>
    <w:qFormat/>
    <w:pPr>
      <w:ind w:firstLine="200"/>
    </w:pPr>
    <w:rPr>
      <w:rFonts w:cs="Arial"/>
    </w:rPr>
  </w:style>
  <w:style w:type="paragraph" w:styleId="994" w:customStyle="1">
    <w:name w:val="样式 首行缩进:  2 字符"/>
    <w:basedOn w:val="775"/>
    <w:next w:val="995"/>
    <w:uiPriority w:val="99"/>
    <w:qFormat/>
    <w:pPr>
      <w:ind w:left="480" w:firstLine="5856"/>
      <w:spacing w:line="360" w:lineRule="auto"/>
    </w:pPr>
  </w:style>
  <w:style w:type="paragraph" w:styleId="995" w:customStyle="1">
    <w:name w:val="样式 段后: 0.25 行"/>
    <w:basedOn w:val="775"/>
    <w:next w:val="996"/>
    <w:uiPriority w:val="99"/>
    <w:qFormat/>
    <w:pPr>
      <w:ind w:left="420" w:firstLine="5796"/>
      <w:spacing w:line="300" w:lineRule="auto"/>
      <w:widowControl/>
    </w:pPr>
  </w:style>
  <w:style w:type="paragraph" w:styleId="996" w:customStyle="1">
    <w:name w:val="正文 New New New New New New New New New New New New New New"/>
    <w:next w:val="819"/>
    <w:uiPriority w:val="99"/>
    <w:qFormat/>
    <w:pPr>
      <w:ind w:firstLine="2048"/>
      <w:jc w:val="both"/>
      <w:widowControl w:val="off"/>
    </w:pPr>
    <w:rPr>
      <w:rFonts w:hint="default" w:ascii="Calibri" w:hAnsi="Calibri" w:eastAsia="宋体" w:cs="Times New Roman"/>
      <w:lang w:val="en-US" w:eastAsia="zh-CN" w:bidi="ar-SA"/>
    </w:rPr>
  </w:style>
  <w:style w:type="character" w:styleId="997" w:customStyle="1">
    <w:name w:val="标题 1 字符"/>
    <w:link w:val="776"/>
    <w:uiPriority w:val="9"/>
    <w:qFormat/>
    <w:rPr>
      <w:b/>
      <w:bCs/>
      <w:sz w:val="44"/>
      <w:szCs w:val="44"/>
    </w:rPr>
  </w:style>
  <w:style w:type="character" w:styleId="998" w:customStyle="1">
    <w:name w:val="标题 2 字符"/>
    <w:link w:val="777"/>
    <w:uiPriority w:val="9"/>
    <w:qFormat/>
    <w:rPr>
      <w:rFonts w:ascii="Arial" w:hAnsi="Arial" w:eastAsia="宋体" w:cs="Times New Roman"/>
      <w:b/>
      <w:bCs/>
      <w:sz w:val="28"/>
      <w:szCs w:val="36"/>
    </w:rPr>
  </w:style>
  <w:style w:type="character" w:styleId="999" w:customStyle="1">
    <w:name w:val="正文缩进 字符"/>
    <w:link w:val="787"/>
    <w:uiPriority w:val="0"/>
    <w:qFormat/>
  </w:style>
  <w:style w:type="character" w:styleId="1000" w:customStyle="1">
    <w:name w:val="标题 3 字符"/>
    <w:link w:val="778"/>
    <w:uiPriority w:val="0"/>
    <w:qFormat/>
    <w:rPr>
      <w:rFonts w:ascii="Arial" w:hAnsi="Arial" w:eastAsia="黑体" w:cs="Times New Roman"/>
      <w:b/>
      <w:bCs/>
      <w:sz w:val="30"/>
      <w:szCs w:val="32"/>
    </w:rPr>
  </w:style>
  <w:style w:type="character" w:styleId="1001" w:customStyle="1">
    <w:name w:val="标题 4 字符"/>
    <w:link w:val="779"/>
    <w:uiPriority w:val="0"/>
    <w:qFormat/>
    <w:rPr>
      <w:rFonts w:ascii="Arial" w:hAnsi="Arial" w:eastAsia="黑体" w:cs="Arial"/>
      <w:b/>
      <w:bCs/>
      <w:sz w:val="28"/>
      <w:szCs w:val="28"/>
    </w:rPr>
  </w:style>
  <w:style w:type="character" w:styleId="1002" w:customStyle="1">
    <w:name w:val="标题 5 字符1"/>
    <w:link w:val="780"/>
    <w:uiPriority w:val="0"/>
    <w:qFormat/>
    <w:rPr>
      <w:rFonts w:ascii="Calibri" w:hAnsi="Calibri" w:eastAsia="宋体" w:cs="Times New Roman"/>
      <w:b/>
      <w:bCs/>
      <w:sz w:val="28"/>
      <w:szCs w:val="28"/>
    </w:rPr>
  </w:style>
  <w:style w:type="character" w:styleId="1003" w:customStyle="1">
    <w:name w:val="标题 6 字符"/>
    <w:link w:val="781"/>
    <w:uiPriority w:val="0"/>
    <w:qFormat/>
    <w:rPr>
      <w:rFonts w:ascii="Cambria" w:hAnsi="Cambria" w:eastAsia="宋体" w:cs="Times New Roman"/>
      <w:b/>
      <w:bCs/>
      <w:sz w:val="24"/>
      <w:szCs w:val="24"/>
    </w:rPr>
  </w:style>
  <w:style w:type="character" w:styleId="1004" w:customStyle="1">
    <w:name w:val="标题 7 字符"/>
    <w:link w:val="782"/>
    <w:uiPriority w:val="0"/>
    <w:qFormat/>
    <w:rPr>
      <w:rFonts w:ascii="Times New Roman" w:hAnsi="Times New Roman" w:eastAsia="宋体" w:cs="Times New Roman"/>
      <w:b/>
      <w:bCs/>
      <w:sz w:val="24"/>
      <w:szCs w:val="24"/>
    </w:rPr>
  </w:style>
  <w:style w:type="character" w:styleId="1005" w:customStyle="1">
    <w:name w:val="标题 8 字符"/>
    <w:link w:val="783"/>
    <w:uiPriority w:val="0"/>
    <w:qFormat/>
    <w:rPr>
      <w:rFonts w:ascii="Cambria" w:hAnsi="Cambria" w:eastAsia="宋体" w:cs="Times New Roman"/>
      <w:sz w:val="24"/>
      <w:szCs w:val="24"/>
    </w:rPr>
  </w:style>
  <w:style w:type="character" w:styleId="1006" w:customStyle="1">
    <w:name w:val="标题 9 字符"/>
    <w:link w:val="784"/>
    <w:uiPriority w:val="0"/>
    <w:qFormat/>
    <w:rPr>
      <w:rFonts w:ascii="Cambria" w:hAnsi="Cambria" w:eastAsia="宋体" w:cs="Times New Roman"/>
      <w:sz w:val="20"/>
      <w:szCs w:val="21"/>
    </w:rPr>
  </w:style>
  <w:style w:type="character" w:styleId="1007" w:customStyle="1">
    <w:name w:val="文档结构图 字符"/>
    <w:link w:val="791"/>
    <w:uiPriority w:val="0"/>
    <w:qFormat/>
    <w:rPr>
      <w:rFonts w:ascii="宋体" w:hAnsi="Times New Roman"/>
      <w:sz w:val="18"/>
      <w:szCs w:val="18"/>
    </w:rPr>
  </w:style>
  <w:style w:type="character" w:styleId="1008" w:customStyle="1">
    <w:name w:val="批注文字 字符"/>
    <w:link w:val="792"/>
    <w:uiPriority w:val="99"/>
    <w:qFormat/>
    <w:rPr>
      <w:rFonts w:ascii="Times New Roman" w:hAnsi="Times New Roman" w:eastAsia="宋体" w:cs="Times New Roman"/>
      <w:szCs w:val="24"/>
    </w:rPr>
  </w:style>
  <w:style w:type="character" w:styleId="1009" w:customStyle="1">
    <w:name w:val="正文文本 3 字符"/>
    <w:link w:val="793"/>
    <w:uiPriority w:val="0"/>
    <w:qFormat/>
    <w:rPr>
      <w:rFonts w:ascii="宋体" w:hAnsi="Times New Roman"/>
      <w:sz w:val="24"/>
    </w:rPr>
  </w:style>
  <w:style w:type="character" w:styleId="1010" w:customStyle="1">
    <w:name w:val="正文文本 字符"/>
    <w:link w:val="794"/>
    <w:uiPriority w:val="0"/>
    <w:qFormat/>
    <w:rPr>
      <w:rFonts w:ascii="楷体_GB2312" w:hAnsi="Arial" w:eastAsia="楷体_GB2312" w:cs="Times New Roman"/>
      <w:sz w:val="28"/>
      <w:szCs w:val="28"/>
    </w:rPr>
  </w:style>
  <w:style w:type="character" w:styleId="1011" w:customStyle="1">
    <w:name w:val="正文文本缩进 字符"/>
    <w:link w:val="796"/>
    <w:uiPriority w:val="99"/>
    <w:qFormat/>
    <w:rPr>
      <w:rFonts w:ascii="Times New Roman" w:hAnsi="Times New Roman"/>
      <w:szCs w:val="24"/>
    </w:rPr>
  </w:style>
  <w:style w:type="character" w:styleId="1012" w:customStyle="1">
    <w:name w:val="纯文本 字符"/>
    <w:link w:val="803"/>
    <w:uiPriority w:val="0"/>
    <w:qFormat/>
    <w:rPr>
      <w:rFonts w:ascii="宋体" w:hAnsi="Courier New" w:eastAsia="宋体" w:cs="Times New Roman"/>
      <w:szCs w:val="21"/>
    </w:rPr>
  </w:style>
  <w:style w:type="character" w:styleId="1013" w:customStyle="1">
    <w:name w:val="正文文本缩进 2 字符"/>
    <w:link w:val="806"/>
    <w:uiPriority w:val="0"/>
    <w:qFormat/>
    <w:rPr>
      <w:rFonts w:ascii="楷体_GB2312" w:hAnsi="Times New Roman" w:eastAsia="楷体_GB2312"/>
      <w:b/>
      <w:bCs/>
      <w:sz w:val="28"/>
      <w:szCs w:val="24"/>
    </w:rPr>
  </w:style>
  <w:style w:type="character" w:styleId="1014" w:customStyle="1">
    <w:name w:val="批注框文本 字符"/>
    <w:link w:val="808"/>
    <w:uiPriority w:val="99"/>
    <w:qFormat/>
    <w:rPr>
      <w:sz w:val="18"/>
      <w:szCs w:val="18"/>
    </w:rPr>
  </w:style>
  <w:style w:type="character" w:styleId="1015" w:customStyle="1">
    <w:name w:val="页脚 字符"/>
    <w:link w:val="809"/>
    <w:uiPriority w:val="99"/>
    <w:qFormat/>
    <w:rPr>
      <w:rFonts w:ascii="Times New Roman" w:hAnsi="Times New Roman" w:eastAsia="宋体" w:cs="Times New Roman"/>
      <w:sz w:val="18"/>
      <w:szCs w:val="18"/>
    </w:rPr>
  </w:style>
  <w:style w:type="character" w:styleId="1016" w:customStyle="1">
    <w:name w:val="页眉 字符"/>
    <w:link w:val="810"/>
    <w:uiPriority w:val="99"/>
    <w:qFormat/>
    <w:rPr>
      <w:rFonts w:ascii="Times New Roman" w:hAnsi="Times New Roman" w:eastAsia="宋体" w:cs="Times New Roman"/>
      <w:sz w:val="18"/>
      <w:szCs w:val="18"/>
    </w:rPr>
  </w:style>
  <w:style w:type="character" w:styleId="1017" w:customStyle="1">
    <w:name w:val="批注主题 字符"/>
    <w:link w:val="823"/>
    <w:uiPriority w:val="99"/>
    <w:qFormat/>
    <w:rPr>
      <w:b/>
      <w:bCs/>
    </w:rPr>
  </w:style>
  <w:style w:type="character" w:styleId="1018" w:customStyle="1">
    <w:name w:val="正文文本首行缩进 2 字符"/>
    <w:link w:val="825"/>
    <w:uiPriority w:val="99"/>
    <w:qFormat/>
    <w:rPr>
      <w:szCs w:val="24"/>
    </w:rPr>
  </w:style>
  <w:style w:type="paragraph" w:styleId="1019" w:customStyle="1">
    <w:name w:val="正文1"/>
    <w:basedOn w:val="775"/>
    <w:next w:val="1020"/>
    <w:link w:val="1026"/>
    <w:uiPriority w:val="99"/>
    <w:qFormat/>
    <w:pPr>
      <w:ind w:firstLine="480"/>
      <w:spacing w:line="440" w:lineRule="exact"/>
    </w:pPr>
    <w:rPr>
      <w:rFonts w:ascii="微软雅黑" w:hAnsi="微软雅黑" w:eastAsia="微软雅黑"/>
      <w:sz w:val="24"/>
      <w:szCs w:val="20"/>
    </w:rPr>
  </w:style>
  <w:style w:type="paragraph" w:styleId="1020" w:customStyle="1">
    <w:name w:val="正文文本1"/>
    <w:basedOn w:val="1019"/>
    <w:next w:val="1021"/>
    <w:uiPriority w:val="0"/>
    <w:qFormat/>
    <w:pPr>
      <w:spacing w:after="120"/>
    </w:pPr>
    <w:rPr>
      <w:lang w:eastAsia="en-US"/>
    </w:rPr>
  </w:style>
  <w:style w:type="paragraph" w:styleId="1021" w:customStyle="1">
    <w:name w:val="一级条标题"/>
    <w:basedOn w:val="1022"/>
    <w:next w:val="102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2" w:customStyle="1">
    <w:name w:val="章标题"/>
    <w:next w:val="10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23" w:customStyle="1">
    <w:name w:val="正文11"/>
    <w:next w:val="10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4" w:customStyle="1">
    <w:name w:val="标题 31"/>
    <w:basedOn w:val="775"/>
    <w:next w:val="1023"/>
    <w:uiPriority w:val="0"/>
    <w:qFormat/>
    <w:pPr>
      <w:keepLines/>
      <w:keepNext/>
      <w:spacing w:before="260" w:after="260" w:line="416" w:lineRule="auto"/>
      <w:outlineLvl w:val="2"/>
    </w:pPr>
    <w:rPr>
      <w:b/>
      <w:bCs/>
      <w:sz w:val="32"/>
      <w:szCs w:val="32"/>
    </w:rPr>
  </w:style>
  <w:style w:type="paragraph" w:styleId="1025" w:customStyle="1">
    <w:name w:val="段"/>
    <w:next w:val="1023"/>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character" w:styleId="1026" w:customStyle="1">
    <w:name w:val="正文1 Char Char"/>
    <w:link w:val="1019"/>
    <w:uiPriority w:val="99"/>
    <w:qFormat/>
    <w:rPr>
      <w:rFonts w:ascii="微软雅黑" w:hAnsi="微软雅黑" w:eastAsia="微软雅黑"/>
      <w:sz w:val="24"/>
    </w:rPr>
  </w:style>
  <w:style w:type="character" w:styleId="1027" w:customStyle="1">
    <w:name w:val="ca-161"/>
    <w:uiPriority w:val="0"/>
    <w:qFormat/>
    <w:rPr>
      <w:rFonts w:hint="eastAsia" w:ascii="宋体" w:hAnsi="宋体" w:eastAsia="宋体"/>
      <w:spacing w:val="0"/>
      <w:sz w:val="21"/>
      <w:szCs w:val="21"/>
    </w:rPr>
  </w:style>
  <w:style w:type="character" w:styleId="1028" w:customStyle="1">
    <w:name w:val="列出段落 Char"/>
    <w:link w:val="1029"/>
    <w:uiPriority w:val="0"/>
    <w:qFormat/>
    <w:rPr>
      <w:rFonts w:ascii="Calibri" w:hAnsi="Calibri" w:eastAsia="宋体" w:cs="Times New Roman"/>
    </w:rPr>
  </w:style>
  <w:style w:type="paragraph" w:styleId="1029" w:customStyle="1">
    <w:name w:val="列出段落1"/>
    <w:basedOn w:val="775"/>
    <w:link w:val="1028"/>
    <w:uiPriority w:val="0"/>
    <w:qFormat/>
    <w:pPr>
      <w:ind w:firstLine="200"/>
    </w:pPr>
    <w:rPr>
      <w:rFonts w:ascii="Calibri" w:hAnsi="Calibri"/>
      <w:sz w:val="20"/>
      <w:szCs w:val="20"/>
    </w:rPr>
  </w:style>
  <w:style w:type="character" w:styleId="1030" w:customStyle="1">
    <w:name w:val="表格文字 Char"/>
    <w:link w:val="1031"/>
    <w:uiPriority w:val="0"/>
    <w:qFormat/>
    <w:rPr>
      <w:szCs w:val="21"/>
    </w:rPr>
  </w:style>
  <w:style w:type="paragraph" w:styleId="1031" w:customStyle="1">
    <w:name w:val="表格文字"/>
    <w:basedOn w:val="775"/>
    <w:link w:val="1030"/>
    <w:uiPriority w:val="0"/>
    <w:qFormat/>
    <w:pPr>
      <w:jc w:val="left"/>
    </w:pPr>
    <w:rPr>
      <w:sz w:val="20"/>
      <w:szCs w:val="21"/>
    </w:rPr>
  </w:style>
  <w:style w:type="character" w:styleId="1032" w:customStyle="1">
    <w:name w:val="标题 5 字符"/>
    <w:uiPriority w:val="0"/>
    <w:semiHidden/>
    <w:qFormat/>
    <w:rPr>
      <w:rFonts w:ascii="Calibri" w:hAnsi="Calibri"/>
      <w:b/>
      <w:bCs/>
      <w:sz w:val="28"/>
      <w:szCs w:val="28"/>
    </w:rPr>
  </w:style>
  <w:style w:type="character" w:styleId="1033" w:customStyle="1">
    <w:name w:val="文档结构图 Char1"/>
    <w:uiPriority w:val="99"/>
    <w:semiHidden/>
    <w:qFormat/>
    <w:rPr>
      <w:rFonts w:ascii="宋体"/>
      <w:sz w:val="18"/>
      <w:szCs w:val="18"/>
    </w:rPr>
  </w:style>
  <w:style w:type="character" w:styleId="1034" w:customStyle="1">
    <w:name w:val="font201"/>
    <w:uiPriority w:val="0"/>
    <w:qFormat/>
    <w:rPr>
      <w:rFonts w:hint="default" w:ascii="Times New Roman" w:hAnsi="Times New Roman" w:cs="Times New Roman"/>
      <w:color w:val="000000"/>
      <w:sz w:val="20"/>
      <w:szCs w:val="20"/>
      <w:u w:val="none"/>
    </w:rPr>
  </w:style>
  <w:style w:type="character" w:styleId="1035" w:customStyle="1">
    <w:name w:val="_Style 86"/>
    <w:uiPriority w:val="19"/>
    <w:qFormat/>
    <w:rPr>
      <w:rFonts w:ascii="Times New Roman" w:hAnsi="Times New Roman"/>
      <w:i/>
      <w:iCs/>
      <w:color w:val="808080"/>
      <w:sz w:val="21"/>
      <w:szCs w:val="20"/>
    </w:rPr>
  </w:style>
  <w:style w:type="character" w:styleId="1036" w:customStyle="1">
    <w:name w:val="H2 Char"/>
    <w:uiPriority w:val="0"/>
    <w:qFormat/>
    <w:rPr>
      <w:rFonts w:ascii="Arial" w:hAnsi="Arial" w:eastAsia="黑体" w:cs="Times New Roman"/>
      <w:b/>
      <w:bCs/>
      <w:sz w:val="32"/>
      <w:szCs w:val="32"/>
    </w:rPr>
  </w:style>
  <w:style w:type="character" w:styleId="1037" w:customStyle="1">
    <w:name w:val="font41"/>
    <w:basedOn w:val="785"/>
    <w:uiPriority w:val="0"/>
    <w:qFormat/>
    <w:rPr>
      <w:rFonts w:hint="eastAsia" w:ascii="宋体" w:hAnsi="宋体" w:eastAsia="宋体"/>
      <w:color w:val="000000"/>
      <w:sz w:val="32"/>
      <w:szCs w:val="32"/>
      <w:u w:val="none"/>
    </w:rPr>
  </w:style>
  <w:style w:type="character" w:styleId="1038" w:customStyle="1">
    <w:name w:val="font191"/>
    <w:uiPriority w:val="0"/>
    <w:qFormat/>
    <w:rPr>
      <w:rFonts w:ascii="Wingdings 2" w:hAnsi="Wingdings 2" w:eastAsia="Wingdings 2" w:cs="Wingdings 2"/>
      <w:color w:val="000000"/>
      <w:sz w:val="20"/>
      <w:szCs w:val="20"/>
      <w:u w:val="none"/>
    </w:rPr>
  </w:style>
  <w:style w:type="character" w:styleId="1039" w:customStyle="1">
    <w:name w:val="font231"/>
    <w:uiPriority w:val="0"/>
    <w:qFormat/>
    <w:rPr>
      <w:rFonts w:hint="eastAsia" w:ascii="宋体" w:hAnsi="宋体" w:eastAsia="宋体" w:cs="宋体"/>
      <w:color w:val="000000"/>
      <w:sz w:val="20"/>
      <w:szCs w:val="20"/>
      <w:u w:val="none"/>
    </w:rPr>
  </w:style>
  <w:style w:type="character" w:styleId="1040" w:customStyle="1">
    <w:name w:val="font241"/>
    <w:uiPriority w:val="0"/>
    <w:qFormat/>
    <w:rPr>
      <w:rFonts w:hint="eastAsia" w:ascii="宋体" w:hAnsi="宋体" w:eastAsia="宋体" w:cs="宋体"/>
      <w:color w:val="000000"/>
      <w:sz w:val="20"/>
      <w:szCs w:val="20"/>
      <w:u w:val="none"/>
    </w:rPr>
  </w:style>
  <w:style w:type="character" w:styleId="1041" w:customStyle="1">
    <w:name w:val="Char Char9"/>
    <w:uiPriority w:val="0"/>
    <w:qFormat/>
    <w:rPr>
      <w:rFonts w:ascii="等线 Light" w:hAnsi="等线 Light" w:eastAsia="等线 Light" w:cs="Times New Roman"/>
      <w:b/>
      <w:bCs/>
      <w:sz w:val="28"/>
      <w:szCs w:val="28"/>
    </w:rPr>
  </w:style>
  <w:style w:type="character" w:styleId="1042" w:customStyle="1">
    <w:name w:val="Char Char10"/>
    <w:uiPriority w:val="0"/>
    <w:qFormat/>
    <w:rPr>
      <w:rFonts w:ascii="Arial" w:hAnsi="Arial" w:eastAsia="黑体" w:cs="Times New Roman"/>
      <w:b/>
      <w:bCs/>
      <w:sz w:val="30"/>
      <w:szCs w:val="32"/>
    </w:rPr>
  </w:style>
  <w:style w:type="character" w:styleId="1043" w:customStyle="1">
    <w:name w:val="表格样式居左 Char"/>
    <w:link w:val="1044"/>
    <w:uiPriority w:val="0"/>
    <w:qFormat/>
    <w:rPr>
      <w:rFonts w:eastAsia="仿宋_GB2312"/>
      <w:bCs/>
      <w:color w:val="000000"/>
      <w:sz w:val="21"/>
      <w:szCs w:val="44"/>
      <w:lang w:val="en-US" w:eastAsia="zh-CN" w:bidi="ar-SA"/>
    </w:rPr>
  </w:style>
  <w:style w:type="paragraph" w:styleId="1044" w:customStyle="1">
    <w:name w:val="表格样式居左"/>
    <w:link w:val="1043"/>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character" w:styleId="1045" w:customStyle="1">
    <w:name w:val="font101"/>
    <w:uiPriority w:val="0"/>
    <w:qFormat/>
    <w:rPr>
      <w:rFonts w:hint="eastAsia" w:ascii="宋体" w:hAnsi="宋体" w:eastAsia="宋体" w:cs="宋体"/>
      <w:b/>
      <w:color w:val="000000"/>
      <w:sz w:val="18"/>
      <w:szCs w:val="18"/>
      <w:u w:val="none"/>
    </w:rPr>
  </w:style>
  <w:style w:type="character" w:styleId="1046" w:customStyle="1">
    <w:name w:val="段落 Char1"/>
    <w:link w:val="1047"/>
    <w:uiPriority w:val="0"/>
    <w:qFormat/>
    <w:rPr>
      <w:rFonts w:eastAsia="仿宋_GB2312"/>
      <w:sz w:val="32"/>
      <w:szCs w:val="32"/>
      <w:lang w:val="en-US" w:eastAsia="zh-CN" w:bidi="ar-SA"/>
    </w:rPr>
  </w:style>
  <w:style w:type="paragraph" w:styleId="1047" w:customStyle="1">
    <w:name w:val="段落"/>
    <w:link w:val="1046"/>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character" w:styleId="1048" w:customStyle="1">
    <w:name w:val="font131"/>
    <w:uiPriority w:val="0"/>
    <w:qFormat/>
    <w:rPr>
      <w:rFonts w:ascii="Wingdings 2" w:hAnsi="Wingdings 2" w:eastAsia="Wingdings 2" w:cs="Wingdings 2"/>
      <w:color w:val="000000"/>
      <w:sz w:val="20"/>
      <w:szCs w:val="20"/>
      <w:u w:val="none"/>
    </w:rPr>
  </w:style>
  <w:style w:type="character" w:styleId="1049" w:customStyle="1">
    <w:name w:val="一级缩进 Char"/>
    <w:link w:val="1050"/>
    <w:uiPriority w:val="0"/>
    <w:qFormat/>
    <w:rPr>
      <w:rFonts w:eastAsia="仿宋_GB2312"/>
      <w:sz w:val="32"/>
      <w:szCs w:val="32"/>
      <w:lang w:val="en-US" w:eastAsia="zh-CN" w:bidi="ar-SA"/>
    </w:rPr>
  </w:style>
  <w:style w:type="paragraph" w:styleId="1050" w:customStyle="1">
    <w:name w:val="一级缩进"/>
    <w:link w:val="1049"/>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character" w:styleId="1051" w:customStyle="1">
    <w:name w:val="正文文本 3 Char1"/>
    <w:uiPriority w:val="99"/>
    <w:semiHidden/>
    <w:qFormat/>
    <w:rPr>
      <w:sz w:val="16"/>
      <w:szCs w:val="16"/>
    </w:rPr>
  </w:style>
  <w:style w:type="character" w:styleId="1052" w:customStyle="1">
    <w:name w:val="apple-style-span"/>
    <w:uiPriority w:val="0"/>
    <w:qFormat/>
  </w:style>
  <w:style w:type="character" w:styleId="1053" w:customStyle="1">
    <w:name w:val="批注框文本 Char1"/>
    <w:uiPriority w:val="99"/>
    <w:semiHidden/>
    <w:qFormat/>
    <w:rPr>
      <w:rFonts w:ascii="Times New Roman" w:hAnsi="Times New Roman"/>
      <w:sz w:val="18"/>
      <w:szCs w:val="18"/>
    </w:rPr>
  </w:style>
  <w:style w:type="character" w:styleId="1054" w:customStyle="1">
    <w:name w:val="font221"/>
    <w:uiPriority w:val="0"/>
    <w:qFormat/>
    <w:rPr>
      <w:rFonts w:hint="eastAsia" w:ascii="宋体" w:hAnsi="宋体" w:eastAsia="宋体" w:cs="宋体"/>
      <w:b/>
      <w:color w:val="000000"/>
      <w:sz w:val="20"/>
      <w:szCs w:val="20"/>
      <w:u w:val="none"/>
    </w:rPr>
  </w:style>
  <w:style w:type="character" w:styleId="1055" w:customStyle="1">
    <w:name w:val="font61"/>
    <w:uiPriority w:val="0"/>
    <w:qFormat/>
    <w:rPr>
      <w:rFonts w:hint="eastAsia" w:ascii="宋体" w:hAnsi="宋体" w:eastAsia="宋体" w:cs="宋体"/>
      <w:color w:val="000000"/>
      <w:sz w:val="20"/>
      <w:szCs w:val="20"/>
      <w:u w:val="none"/>
    </w:rPr>
  </w:style>
  <w:style w:type="character" w:styleId="1056" w:customStyle="1">
    <w:name w:val="top_title1"/>
    <w:uiPriority w:val="0"/>
    <w:qFormat/>
    <w:rPr>
      <w:b/>
      <w:bCs/>
      <w:color w:val="333333"/>
      <w:sz w:val="24"/>
      <w:szCs w:val="24"/>
    </w:rPr>
  </w:style>
  <w:style w:type="character" w:styleId="1057" w:customStyle="1">
    <w:name w:val="font81"/>
    <w:uiPriority w:val="0"/>
    <w:qFormat/>
    <w:rPr>
      <w:rFonts w:ascii="Symbol" w:hAnsi="Symbol" w:cs="Symbol"/>
      <w:color w:val="000000"/>
      <w:sz w:val="20"/>
      <w:szCs w:val="20"/>
      <w:u w:val="none"/>
    </w:rPr>
  </w:style>
  <w:style w:type="character" w:styleId="1058" w:customStyle="1">
    <w:name w:val="font141"/>
    <w:uiPriority w:val="0"/>
    <w:qFormat/>
    <w:rPr>
      <w:rFonts w:hint="eastAsia" w:ascii="宋体" w:hAnsi="宋体" w:eastAsia="宋体" w:cs="宋体"/>
      <w:color w:val="ff0000"/>
      <w:sz w:val="20"/>
      <w:szCs w:val="20"/>
      <w:u w:val="none"/>
      <w:vertAlign w:val="superscript"/>
    </w:rPr>
  </w:style>
  <w:style w:type="character" w:styleId="1059" w:customStyle="1">
    <w:name w:val="正文文本缩进 Char1"/>
    <w:uiPriority w:val="99"/>
    <w:semiHidden/>
    <w:qFormat/>
  </w:style>
  <w:style w:type="character" w:styleId="1060" w:customStyle="1">
    <w:name w:val="正文缩进 Char1"/>
    <w:uiPriority w:val="0"/>
    <w:qFormat/>
    <w:rPr>
      <w:rFonts w:ascii="Times New Roman" w:hAnsi="Times New Roman" w:eastAsia="宋体" w:cs="Times New Roman"/>
      <w:szCs w:val="20"/>
    </w:rPr>
  </w:style>
  <w:style w:type="character" w:styleId="1061" w:customStyle="1">
    <w:name w:val="font11"/>
    <w:uiPriority w:val="0"/>
    <w:qFormat/>
    <w:rPr>
      <w:rFonts w:hint="eastAsia" w:ascii="宋体" w:hAnsi="宋体" w:eastAsia="宋体" w:cs="宋体"/>
      <w:color w:val="000000"/>
      <w:sz w:val="20"/>
      <w:szCs w:val="20"/>
      <w:u w:val="none"/>
    </w:rPr>
  </w:style>
  <w:style w:type="character" w:styleId="1062" w:customStyle="1">
    <w:name w:val="表格样式居中 Char"/>
    <w:link w:val="1063"/>
    <w:uiPriority w:val="0"/>
    <w:qFormat/>
    <w:rPr>
      <w:rFonts w:ascii="宋体" w:hAnsi="宋体"/>
      <w:bCs/>
      <w:sz w:val="21"/>
      <w:szCs w:val="21"/>
      <w:lang w:val="zh-CN" w:eastAsia="zh-CN" w:bidi="ar-SA"/>
    </w:rPr>
  </w:style>
  <w:style w:type="paragraph" w:styleId="1063" w:customStyle="1">
    <w:name w:val="表格样式居中"/>
    <w:link w:val="1062"/>
    <w:uiPriority w:val="0"/>
    <w:qFormat/>
    <w:pPr>
      <w:jc w:val="center"/>
      <w:spacing w:line="360" w:lineRule="auto"/>
    </w:pPr>
    <w:rPr>
      <w:rFonts w:hint="default" w:ascii="宋体" w:hAnsi="宋体" w:eastAsia="宋体" w:cs="Times New Roman"/>
      <w:bCs/>
      <w:sz w:val="21"/>
      <w:szCs w:val="21"/>
      <w:lang w:val="zh-CN" w:eastAsia="zh-CN" w:bidi="ar-SA"/>
    </w:rPr>
  </w:style>
  <w:style w:type="character" w:styleId="1064" w:customStyle="1">
    <w:name w:val="正文文本缩进 2 Char1"/>
    <w:uiPriority w:val="99"/>
    <w:semiHidden/>
    <w:qFormat/>
  </w:style>
  <w:style w:type="character" w:styleId="1065" w:customStyle="1">
    <w:name w:val="font161"/>
    <w:uiPriority w:val="0"/>
    <w:qFormat/>
    <w:rPr>
      <w:rFonts w:hint="eastAsia" w:ascii="宋体" w:hAnsi="宋体" w:eastAsia="宋体" w:cs="宋体"/>
      <w:b/>
      <w:color w:val="ff0000"/>
      <w:sz w:val="20"/>
      <w:szCs w:val="20"/>
      <w:u w:val="none"/>
    </w:rPr>
  </w:style>
  <w:style w:type="character" w:styleId="1066" w:customStyle="1">
    <w:name w:val="批注主题 Char1"/>
    <w:uiPriority w:val="99"/>
    <w:semiHidden/>
    <w:qFormat/>
    <w:rPr>
      <w:rFonts w:ascii="Times New Roman" w:hAnsi="Times New Roman" w:eastAsia="宋体" w:cs="Times New Roman"/>
      <w:b/>
      <w:bCs/>
      <w:szCs w:val="24"/>
    </w:rPr>
  </w:style>
  <w:style w:type="character" w:styleId="1067" w:customStyle="1">
    <w:name w:val="font51"/>
    <w:uiPriority w:val="0"/>
    <w:qFormat/>
    <w:rPr>
      <w:rFonts w:hint="eastAsia" w:ascii="宋体" w:hAnsi="宋体" w:eastAsia="宋体" w:cs="宋体"/>
      <w:b/>
      <w:color w:val="000000"/>
      <w:sz w:val="20"/>
      <w:szCs w:val="20"/>
      <w:u w:val="none"/>
    </w:rPr>
  </w:style>
  <w:style w:type="character" w:styleId="1068" w:customStyle="1">
    <w:name w:val="font01"/>
    <w:basedOn w:val="785"/>
    <w:uiPriority w:val="0"/>
    <w:qFormat/>
    <w:rPr>
      <w:rFonts w:hint="eastAsia" w:ascii="宋体" w:hAnsi="宋体" w:eastAsia="宋体"/>
      <w:color w:val="000000"/>
      <w:sz w:val="24"/>
      <w:szCs w:val="24"/>
      <w:u w:val="none"/>
    </w:rPr>
  </w:style>
  <w:style w:type="character" w:styleId="1069" w:customStyle="1">
    <w:name w:val="批注文字 Char"/>
    <w:uiPriority w:val="99"/>
    <w:qFormat/>
    <w:rPr>
      <w:sz w:val="21"/>
      <w:szCs w:val="22"/>
    </w:rPr>
  </w:style>
  <w:style w:type="character" w:styleId="1070" w:customStyle="1">
    <w:name w:val="unnamed11"/>
    <w:uiPriority w:val="99"/>
    <w:qFormat/>
    <w:rPr>
      <w:rFonts w:hint="eastAsia" w:ascii="宋体" w:hAnsi="宋体" w:eastAsia="宋体"/>
      <w:sz w:val="21"/>
      <w:szCs w:val="21"/>
    </w:rPr>
  </w:style>
  <w:style w:type="character" w:styleId="1071" w:customStyle="1">
    <w:name w:val="font71"/>
    <w:uiPriority w:val="0"/>
    <w:qFormat/>
    <w:rPr>
      <w:rFonts w:hint="eastAsia" w:ascii="宋体" w:hAnsi="宋体" w:eastAsia="宋体" w:cs="宋体"/>
      <w:color w:val="000000"/>
      <w:sz w:val="20"/>
      <w:szCs w:val="20"/>
      <w:u w:val="none"/>
    </w:rPr>
  </w:style>
  <w:style w:type="character" w:styleId="1072" w:customStyle="1">
    <w:name w:val="Char Char8"/>
    <w:uiPriority w:val="0"/>
    <w:qFormat/>
    <w:rPr>
      <w:rFonts w:ascii="Calibri" w:hAnsi="Calibri" w:eastAsia="宋体" w:cs="Times New Roman"/>
      <w:b/>
      <w:bCs/>
      <w:sz w:val="28"/>
      <w:szCs w:val="28"/>
    </w:rPr>
  </w:style>
  <w:style w:type="character" w:styleId="1073" w:customStyle="1">
    <w:name w:val="Char Char11"/>
    <w:uiPriority w:val="0"/>
    <w:qFormat/>
    <w:rPr>
      <w:rFonts w:ascii="Arial" w:hAnsi="Arial" w:eastAsia="宋体" w:cs="Times New Roman"/>
      <w:b/>
      <w:bCs/>
      <w:sz w:val="28"/>
      <w:szCs w:val="36"/>
    </w:rPr>
  </w:style>
  <w:style w:type="character" w:styleId="1074" w:customStyle="1">
    <w:name w:val="Char Char12"/>
    <w:uiPriority w:val="0"/>
    <w:qFormat/>
    <w:rPr>
      <w:b/>
      <w:bCs/>
      <w:sz w:val="44"/>
      <w:szCs w:val="44"/>
    </w:rPr>
  </w:style>
  <w:style w:type="character" w:styleId="1075" w:customStyle="1">
    <w:name w:val="font111"/>
    <w:uiPriority w:val="0"/>
    <w:qFormat/>
    <w:rPr>
      <w:rFonts w:hint="eastAsia" w:ascii="宋体" w:hAnsi="宋体" w:eastAsia="宋体" w:cs="宋体"/>
      <w:color w:val="ff0000"/>
      <w:sz w:val="18"/>
      <w:szCs w:val="18"/>
      <w:u w:val="none"/>
    </w:rPr>
  </w:style>
  <w:style w:type="character" w:styleId="1076" w:customStyle="1">
    <w:name w:val="font21"/>
    <w:uiPriority w:val="0"/>
    <w:qFormat/>
    <w:rPr>
      <w:rFonts w:hint="eastAsia" w:ascii="仿宋_GB2312" w:hAnsi="Times New Roman" w:eastAsia="仿宋_GB2312" w:cs="仿宋_GB2312"/>
      <w:color w:val="000000"/>
      <w:sz w:val="22"/>
      <w:szCs w:val="22"/>
      <w:u w:val="none"/>
    </w:rPr>
  </w:style>
  <w:style w:type="character" w:styleId="1077" w:customStyle="1">
    <w:name w:val="无间隔 Char"/>
    <w:link w:val="1078"/>
    <w:uiPriority w:val="0"/>
    <w:qFormat/>
    <w:rPr>
      <w:sz w:val="21"/>
      <w:szCs w:val="22"/>
      <w:lang w:val="en-US" w:eastAsia="zh-CN" w:bidi="ar-SA"/>
    </w:rPr>
  </w:style>
  <w:style w:type="paragraph" w:styleId="1078" w:customStyle="1">
    <w:name w:val="msonospacing"/>
    <w:link w:val="107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9" w:customStyle="1">
    <w:name w:val="font211"/>
    <w:uiPriority w:val="0"/>
    <w:qFormat/>
    <w:rPr>
      <w:rFonts w:hint="eastAsia" w:ascii="宋体" w:hAnsi="宋体" w:eastAsia="宋体" w:cs="宋体"/>
      <w:color w:val="ff0000"/>
      <w:sz w:val="20"/>
      <w:szCs w:val="20"/>
      <w:u w:val="none"/>
      <w:vertAlign w:val="superscript"/>
    </w:rPr>
  </w:style>
  <w:style w:type="character" w:styleId="1080" w:customStyle="1">
    <w:name w:val="NormalCharacter"/>
    <w:uiPriority w:val="0"/>
    <w:qFormat/>
    <w:rPr>
      <w:sz w:val="21"/>
      <w:szCs w:val="22"/>
      <w:lang w:val="en-US" w:eastAsia="zh-CN" w:bidi="ar-SA"/>
    </w:rPr>
  </w:style>
  <w:style w:type="character" w:styleId="1081" w:customStyle="1">
    <w:name w:val="font171"/>
    <w:uiPriority w:val="0"/>
    <w:qFormat/>
    <w:rPr>
      <w:rFonts w:hint="eastAsia" w:ascii="宋体" w:hAnsi="宋体" w:eastAsia="宋体" w:cs="宋体"/>
      <w:color w:val="000000"/>
      <w:sz w:val="20"/>
      <w:szCs w:val="20"/>
      <w:u w:val="none"/>
    </w:rPr>
  </w:style>
  <w:style w:type="character" w:styleId="1082" w:customStyle="1">
    <w:name w:val="项目排列 Char"/>
    <w:link w:val="1083"/>
    <w:uiPriority w:val="0"/>
    <w:qFormat/>
    <w:rPr>
      <w:sz w:val="24"/>
      <w:szCs w:val="24"/>
    </w:rPr>
  </w:style>
  <w:style w:type="paragraph" w:styleId="1083" w:customStyle="1">
    <w:name w:val="项目排列"/>
    <w:basedOn w:val="775"/>
    <w:link w:val="1082"/>
    <w:uiPriority w:val="0"/>
    <w:qFormat/>
    <w:pPr>
      <w:numPr>
        <w:ilvl w:val="0"/>
        <w:numId w:val="4"/>
      </w:numPr>
      <w:spacing w:before="156" w:after="156" w:line="300" w:lineRule="auto"/>
      <w:tabs>
        <w:tab w:val="left" w:pos="900" w:leader="none"/>
      </w:tabs>
    </w:pPr>
    <w:rPr>
      <w:sz w:val="24"/>
      <w:szCs w:val="24"/>
    </w:rPr>
  </w:style>
  <w:style w:type="character" w:styleId="1084" w:customStyle="1">
    <w:name w:val="hover4"/>
    <w:uiPriority w:val="0"/>
    <w:qFormat/>
    <w:rPr>
      <w:color w:val="999999"/>
    </w:rPr>
  </w:style>
  <w:style w:type="character" w:styleId="1085" w:customStyle="1">
    <w:name w:val="font91"/>
    <w:uiPriority w:val="0"/>
    <w:qFormat/>
    <w:rPr>
      <w:rFonts w:hint="eastAsia" w:ascii="宋体" w:hAnsi="宋体" w:eastAsia="宋体" w:cs="宋体"/>
      <w:color w:val="000000"/>
      <w:sz w:val="16"/>
      <w:szCs w:val="16"/>
      <w:u w:val="none"/>
    </w:rPr>
  </w:style>
  <w:style w:type="paragraph" w:styleId="1086" w:customStyle="1">
    <w:name w:val="Char"/>
    <w:basedOn w:val="775"/>
    <w:uiPriority w:val="0"/>
    <w:qFormat/>
    <w:pPr>
      <w:ind w:left="1350" w:hanging="1350"/>
      <w:tabs>
        <w:tab w:val="left" w:pos="1350" w:leader="none"/>
      </w:tabs>
    </w:pPr>
    <w:rPr>
      <w:sz w:val="24"/>
      <w:szCs w:val="24"/>
    </w:rPr>
  </w:style>
  <w:style w:type="paragraph" w:styleId="1087" w:customStyle="1">
    <w:name w:val="正文 1.1.1"/>
    <w:basedOn w:val="775"/>
    <w:next w:val="775"/>
    <w:uiPriority w:val="0"/>
    <w:qFormat/>
    <w:pPr>
      <w:numPr>
        <w:ilvl w:val="2"/>
        <w:numId w:val="5"/>
      </w:numPr>
      <w:outlineLvl w:val="2"/>
    </w:pPr>
    <w:rPr>
      <w:rFonts w:hAnsi="宋体"/>
      <w:color w:val="ff0000"/>
    </w:rPr>
  </w:style>
  <w:style w:type="paragraph" w:styleId="1088" w:customStyle="1">
    <w:name w:val="Default Paragraph Font Para Char"/>
    <w:basedOn w:val="775"/>
    <w:uiPriority w:val="0"/>
    <w:qFormat/>
    <w:pPr>
      <w:jc w:val="left"/>
      <w:spacing w:before="156" w:after="160" w:line="240" w:lineRule="exact"/>
      <w:widowControl/>
    </w:pPr>
    <w:rPr>
      <w:rFonts w:ascii="Verdana" w:hAnsi="Verdana"/>
      <w:sz w:val="20"/>
      <w:szCs w:val="20"/>
      <w:lang w:eastAsia="en-US"/>
    </w:rPr>
  </w:style>
  <w:style w:type="paragraph" w:styleId="1089" w:customStyle="1">
    <w:name w:val="unnamed1"/>
    <w:basedOn w:val="775"/>
    <w:uiPriority w:val="0"/>
    <w:qFormat/>
    <w:pPr>
      <w:jc w:val="left"/>
      <w:spacing w:before="100" w:beforeAutospacing="1" w:after="100" w:afterAutospacing="1" w:line="288" w:lineRule="auto"/>
      <w:widowControl/>
    </w:pPr>
    <w:rPr>
      <w:rFonts w:hint="eastAsia" w:ascii="宋体" w:hAnsi="宋体"/>
      <w:szCs w:val="21"/>
    </w:rPr>
  </w:style>
  <w:style w:type="paragraph" w:styleId="1090" w:customStyle="1">
    <w:name w:val="正文缩进1"/>
    <w:basedOn w:val="775"/>
    <w:uiPriority w:val="0"/>
    <w:qFormat/>
    <w:pPr>
      <w:ind w:firstLine="420"/>
      <w:jc w:val="left"/>
      <w:spacing w:line="360" w:lineRule="auto"/>
      <w:widowControl/>
    </w:pPr>
    <w:rPr>
      <w:rFonts w:ascii="宋体"/>
      <w:sz w:val="20"/>
      <w:szCs w:val="20"/>
    </w:rPr>
  </w:style>
  <w:style w:type="paragraph" w:styleId="1091" w:customStyle="1">
    <w:name w:val="Char1"/>
    <w:basedOn w:val="775"/>
    <w:uiPriority w:val="0"/>
    <w:qFormat/>
    <w:rPr>
      <w:rFonts w:ascii="仿宋_GB2312" w:eastAsia="仿宋_GB2312"/>
      <w:b/>
      <w:sz w:val="32"/>
      <w:szCs w:val="32"/>
    </w:rPr>
  </w:style>
  <w:style w:type="paragraph" w:styleId="1092" w:customStyle="1">
    <w:name w:val="文档正文"/>
    <w:basedOn w:val="775"/>
    <w:uiPriority w:val="0"/>
    <w:qFormat/>
    <w:pPr>
      <w:ind w:firstLine="567"/>
      <w:spacing w:line="480" w:lineRule="atLeast"/>
    </w:pPr>
    <w:rPr>
      <w:rFonts w:ascii="仿宋_GB2312" w:eastAsia="仿宋_GB2312"/>
      <w:sz w:val="28"/>
      <w:szCs w:val="24"/>
    </w:rPr>
  </w:style>
  <w:style w:type="paragraph" w:styleId="1093" w:customStyle="1">
    <w:name w:val="二级目录"/>
    <w:next w:val="775"/>
    <w:uiPriority w:val="0"/>
    <w:qFormat/>
    <w:pPr>
      <w:numPr>
        <w:ilvl w:val="0"/>
        <w:numId w:val="6"/>
      </w:numPr>
      <w:outlineLvl w:val="1"/>
    </w:pPr>
    <w:rPr>
      <w:rFonts w:hint="default" w:ascii="Times New Roman" w:hAnsi="Times New Roman" w:eastAsia="宋体" w:cs="Times New Roman"/>
      <w:b/>
      <w:sz w:val="30"/>
      <w:szCs w:val="28"/>
      <w:lang w:val="en-US" w:eastAsia="zh-CN" w:bidi="ar-SA"/>
    </w:rPr>
  </w:style>
  <w:style w:type="paragraph" w:styleId="1094" w:customStyle="1">
    <w:name w:val="List Paragraph1"/>
    <w:basedOn w:val="775"/>
    <w:uiPriority w:val="0"/>
    <w:qFormat/>
    <w:pPr>
      <w:ind w:firstLine="420"/>
    </w:pPr>
    <w:rPr>
      <w:szCs w:val="20"/>
    </w:rPr>
  </w:style>
  <w:style w:type="paragraph" w:styleId="1095" w:customStyle="1">
    <w:name w:val="_Style 2"/>
    <w:basedOn w:val="775"/>
    <w:uiPriority w:val="34"/>
    <w:qFormat/>
    <w:pPr>
      <w:ind w:firstLine="420"/>
    </w:pPr>
    <w:rPr>
      <w:szCs w:val="24"/>
    </w:rPr>
  </w:style>
  <w:style w:type="paragraph" w:styleId="1096"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97" w:customStyle="1">
    <w:name w:val="文档标题"/>
    <w:basedOn w:val="775"/>
    <w:uiPriority w:val="0"/>
    <w:qFormat/>
    <w:pPr>
      <w:jc w:val="center"/>
      <w:spacing w:before="312" w:after="312" w:line="300" w:lineRule="auto"/>
    </w:pPr>
    <w:rPr>
      <w:rFonts w:ascii="Arial" w:hAnsi="Arial" w:eastAsia="黑体" w:cs="Arial"/>
      <w:b/>
      <w:sz w:val="48"/>
      <w:szCs w:val="32"/>
    </w:rPr>
  </w:style>
  <w:style w:type="paragraph" w:styleId="1098" w:customStyle="1">
    <w:name w:val="Char1 Char Char Char Char Char Char"/>
    <w:basedOn w:val="775"/>
    <w:uiPriority w:val="0"/>
    <w:qFormat/>
    <w:rPr>
      <w:szCs w:val="24"/>
    </w:rPr>
  </w:style>
  <w:style w:type="paragraph" w:styleId="1099" w:customStyle="1">
    <w:name w:val="Char Char Char Char Char Char Char"/>
    <w:basedOn w:val="791"/>
    <w:uiPriority w:val="0"/>
    <w:qFormat/>
    <w:pPr>
      <w:shd w:val="clear" w:color="auto" w:fill="000080"/>
    </w:pPr>
    <w:rPr>
      <w:rFonts w:ascii="Times New Roman"/>
      <w:sz w:val="21"/>
      <w:szCs w:val="20"/>
    </w:rPr>
  </w:style>
  <w:style w:type="paragraph" w:styleId="1100"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1" w:customStyle="1">
    <w:name w:val="列表段落1"/>
    <w:basedOn w:val="775"/>
    <w:uiPriority w:val="34"/>
    <w:qFormat/>
    <w:pPr>
      <w:ind w:left="720"/>
    </w:pPr>
    <w:rPr>
      <w:szCs w:val="21"/>
    </w:rPr>
  </w:style>
  <w:style w:type="paragraph" w:styleId="1102" w:customStyle="1">
    <w:name w:val="普通正文"/>
    <w:basedOn w:val="1023"/>
    <w:uiPriority w:val="0"/>
    <w:qFormat/>
    <w:pPr>
      <w:jc w:val="left"/>
      <w:spacing w:before="120" w:after="120" w:line="360" w:lineRule="auto"/>
    </w:pPr>
    <w:rPr>
      <w:rFonts w:ascii="Arial" w:hAnsi="Arial" w:eastAsia="宋体"/>
      <w:szCs w:val="24"/>
    </w:rPr>
  </w:style>
  <w:style w:type="paragraph" w:styleId="1103" w:customStyle="1">
    <w:name w:val="正文 1.1"/>
    <w:basedOn w:val="775"/>
    <w:next w:val="1087"/>
    <w:uiPriority w:val="0"/>
    <w:qFormat/>
    <w:pPr>
      <w:numPr>
        <w:ilvl w:val="1"/>
        <w:numId w:val="5"/>
      </w:numPr>
      <w:ind w:firstLine="550"/>
      <w:outlineLvl w:val="1"/>
    </w:pPr>
    <w:rPr>
      <w:rFonts w:ascii="仿宋" w:hAnsi="仿宋"/>
      <w:b/>
    </w:rPr>
  </w:style>
  <w:style w:type="paragraph" w:styleId="1104" w:customStyle="1">
    <w:name w:val="Table Paragraph"/>
    <w:basedOn w:val="775"/>
    <w:uiPriority w:val="1"/>
    <w:qFormat/>
    <w:rPr>
      <w:rFonts w:ascii="Calibri" w:hAnsi="Calibri"/>
      <w:lang w:eastAsia="en-US"/>
    </w:rPr>
  </w:style>
  <w:style w:type="paragraph" w:styleId="110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06"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7" w:customStyle="1">
    <w:name w:val="CD 正文"/>
    <w:basedOn w:val="775"/>
    <w:uiPriority w:val="0"/>
    <w:qFormat/>
    <w:pPr>
      <w:jc w:val="left"/>
    </w:pPr>
    <w:rPr>
      <w:rFonts w:ascii="Arial" w:hAnsi="Arial" w:eastAsia="微软雅黑" w:cs="Arial"/>
      <w:szCs w:val="21"/>
    </w:rPr>
  </w:style>
  <w:style w:type="paragraph" w:styleId="1108" w:customStyle="1">
    <w:name w:val="纯文本1"/>
    <w:uiPriority w:val="0"/>
    <w:qFormat/>
    <w:pPr>
      <w:spacing w:before="100" w:after="100"/>
      <w:framePr w:wrap="around" w:vAnchor="margin" w:hAnchor="text" w:yAlign="top"/>
    </w:pPr>
    <w:rPr>
      <w:rFonts w:hint="default" w:ascii="宋体" w:hAnsi="宋体" w:eastAsia="宋体" w:cs="宋体"/>
      <w:color w:val="000000"/>
      <w:sz w:val="24"/>
      <w:szCs w:val="24"/>
      <w:lang w:val="en-US" w:eastAsia="zh-CN" w:bidi="ar-SA"/>
    </w:rPr>
  </w:style>
  <w:style w:type="paragraph" w:styleId="1109" w:customStyle="1">
    <w:name w:val="Char2"/>
    <w:basedOn w:val="775"/>
    <w:uiPriority w:val="0"/>
    <w:qFormat/>
    <w:pPr>
      <w:ind w:firstLine="200"/>
      <w:tabs>
        <w:tab w:val="left" w:pos="360" w:leader="none"/>
      </w:tabs>
    </w:pPr>
    <w:rPr>
      <w:sz w:val="28"/>
      <w:szCs w:val="30"/>
    </w:rPr>
  </w:style>
  <w:style w:type="paragraph" w:styleId="1110"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11" w:customStyle="1">
    <w:name w:val="p0"/>
    <w:basedOn w:val="775"/>
    <w:uiPriority w:val="0"/>
    <w:qFormat/>
    <w:pPr>
      <w:widowControl/>
    </w:pPr>
    <w:rPr>
      <w:szCs w:val="21"/>
    </w:rPr>
  </w:style>
  <w:style w:type="paragraph" w:styleId="1112" w:customStyle="1">
    <w:name w:val="msonormal"/>
    <w:basedOn w:val="775"/>
    <w:uiPriority w:val="0"/>
    <w:qFormat/>
    <w:pPr>
      <w:jc w:val="left"/>
      <w:spacing w:before="100" w:beforeAutospacing="1" w:after="100" w:afterAutospacing="1"/>
      <w:widowControl/>
    </w:pPr>
    <w:rPr>
      <w:rFonts w:ascii="宋体" w:hAnsi="宋体" w:cs="宋体"/>
      <w:sz w:val="24"/>
      <w:szCs w:val="24"/>
    </w:rPr>
  </w:style>
  <w:style w:type="paragraph" w:styleId="1113" w:customStyle="1">
    <w:name w:val="font5"/>
    <w:basedOn w:val="775"/>
    <w:uiPriority w:val="0"/>
    <w:qFormat/>
    <w:pPr>
      <w:jc w:val="left"/>
      <w:spacing w:before="100" w:beforeAutospacing="1" w:after="100" w:afterAutospacing="1"/>
      <w:widowControl/>
    </w:pPr>
    <w:rPr>
      <w:rFonts w:ascii="宋体" w:hAnsi="宋体" w:cs="宋体"/>
      <w:sz w:val="18"/>
      <w:szCs w:val="18"/>
    </w:rPr>
  </w:style>
  <w:style w:type="paragraph" w:styleId="1114" w:customStyle="1">
    <w:name w:val="font6"/>
    <w:basedOn w:val="775"/>
    <w:uiPriority w:val="0"/>
    <w:qFormat/>
    <w:pPr>
      <w:jc w:val="left"/>
      <w:spacing w:before="100" w:beforeAutospacing="1" w:after="100" w:afterAutospacing="1"/>
      <w:widowControl/>
    </w:pPr>
    <w:rPr>
      <w:rFonts w:ascii="Calibri" w:hAnsi="Calibri" w:cs="Calibri"/>
      <w:sz w:val="18"/>
      <w:szCs w:val="18"/>
    </w:rPr>
  </w:style>
  <w:style w:type="paragraph" w:styleId="1115" w:customStyle="1">
    <w:name w:val="xl84"/>
    <w:basedOn w:val="775"/>
    <w:uiPriority w:val="0"/>
    <w:qFormat/>
    <w:pPr>
      <w:jc w:val="left"/>
      <w:spacing w:before="100" w:beforeAutospacing="1" w:after="100" w:afterAutospacing="1"/>
      <w:widowControl/>
    </w:pPr>
    <w:rPr>
      <w:rFonts w:ascii="宋体" w:hAnsi="宋体" w:cs="宋体"/>
      <w:color w:val="000000"/>
      <w:sz w:val="24"/>
      <w:szCs w:val="24"/>
    </w:rPr>
  </w:style>
  <w:style w:type="paragraph" w:styleId="1116" w:customStyle="1">
    <w:name w:val="xl85"/>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7" w:customStyle="1">
    <w:name w:val="xl86"/>
    <w:basedOn w:val="775"/>
    <w:uiPriority w:val="0"/>
    <w:qFormat/>
    <w:pPr>
      <w:jc w:val="left"/>
      <w:spacing w:before="100" w:beforeAutospacing="1" w:after="100" w:afterAutospacing="1"/>
      <w:widowControl/>
    </w:pPr>
    <w:rPr>
      <w:rFonts w:ascii="宋体" w:hAnsi="宋体" w:cs="宋体"/>
      <w:sz w:val="24"/>
      <w:szCs w:val="24"/>
    </w:rPr>
  </w:style>
  <w:style w:type="paragraph" w:styleId="1118" w:customStyle="1">
    <w:name w:val="xl8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9" w:customStyle="1">
    <w:name w:val="xl8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0" w:customStyle="1">
    <w:name w:val="xl89"/>
    <w:basedOn w:val="775"/>
    <w:uiPriority w:val="0"/>
    <w:qFormat/>
    <w:pPr>
      <w:jc w:val="left"/>
      <w:spacing w:before="100" w:beforeAutospacing="1" w:after="100" w:afterAutospacing="1"/>
      <w:widowControl/>
    </w:pPr>
    <w:rPr>
      <w:rFonts w:ascii="宋体" w:hAnsi="宋体" w:cs="宋体"/>
      <w:sz w:val="24"/>
      <w:szCs w:val="24"/>
    </w:rPr>
  </w:style>
  <w:style w:type="paragraph" w:styleId="1121" w:customStyle="1">
    <w:name w:val="xl9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2" w:customStyle="1">
    <w:name w:val="xl9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3" w:customStyle="1">
    <w:name w:val="xl9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4" w:customStyle="1">
    <w:name w:val="xl9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5" w:customStyle="1">
    <w:name w:val="xl9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6" w:customStyle="1">
    <w:name w:val="xl95"/>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27" w:customStyle="1">
    <w:name w:val="xl96"/>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8" w:customStyle="1">
    <w:name w:val="xl9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9" w:customStyle="1">
    <w:name w:val="xl98"/>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0" w:customStyle="1">
    <w:name w:val="xl9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1" w:customStyle="1">
    <w:name w:val="xl100"/>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32" w:customStyle="1">
    <w:name w:val="xl10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3" w:customStyle="1">
    <w:name w:val="xl10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34" w:customStyle="1">
    <w:name w:val="xl103"/>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35" w:customStyle="1">
    <w:name w:val="xl10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6" w:customStyle="1">
    <w:name w:val="xl105"/>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7" w:customStyle="1">
    <w:name w:val="xl106"/>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8" w:customStyle="1">
    <w:name w:val="xl107"/>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9" w:customStyle="1">
    <w:name w:val="xl108"/>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109"/>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1" w:customStyle="1">
    <w:name w:val="xl110"/>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2" w:customStyle="1">
    <w:name w:val="xl11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3" w:customStyle="1">
    <w:name w:val="xl112"/>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4" w:customStyle="1">
    <w:name w:val="xl11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5" w:customStyle="1">
    <w:name w:val="xl115"/>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6" w:customStyle="1">
    <w:name w:val="xl116"/>
    <w:basedOn w:val="7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117"/>
    <w:basedOn w:val="77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8" w:customStyle="1">
    <w:name w:val="xl118"/>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9" w:customStyle="1">
    <w:name w:val="xl119"/>
    <w:basedOn w:val="775"/>
    <w:uiPriority w:val="0"/>
    <w:qFormat/>
    <w:pPr>
      <w:jc w:val="center"/>
      <w:spacing w:before="100" w:beforeAutospacing="1" w:after="100" w:afterAutospacing="1"/>
      <w:widowControl/>
    </w:pPr>
    <w:rPr>
      <w:rFonts w:ascii="宋体" w:hAnsi="宋体" w:cs="宋体"/>
      <w:sz w:val="24"/>
      <w:szCs w:val="24"/>
    </w:rPr>
  </w:style>
  <w:style w:type="paragraph" w:styleId="1150" w:customStyle="1">
    <w:name w:val="xl120"/>
    <w:basedOn w:val="775"/>
    <w:uiPriority w:val="0"/>
    <w:qFormat/>
    <w:pPr>
      <w:jc w:val="center"/>
      <w:spacing w:before="100" w:beforeAutospacing="1" w:after="100" w:afterAutospacing="1"/>
      <w:widowControl/>
    </w:pPr>
    <w:rPr>
      <w:rFonts w:ascii="宋体" w:hAnsi="宋体" w:cs="宋体"/>
      <w:sz w:val="24"/>
      <w:szCs w:val="24"/>
    </w:rPr>
  </w:style>
  <w:style w:type="paragraph" w:styleId="1151" w:customStyle="1">
    <w:name w:val="xl121"/>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2" w:customStyle="1">
    <w:name w:val="xl122"/>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3" w:customStyle="1">
    <w:name w:val="xl123"/>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4" w:customStyle="1">
    <w:name w:val="xl124"/>
    <w:basedOn w:val="77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55" w:customStyle="1">
    <w:name w:val="xl125"/>
    <w:basedOn w:val="77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56" w:customStyle="1">
    <w:name w:val="xl126"/>
    <w:basedOn w:val="7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57" w:customStyle="1">
    <w:name w:val="xl114"/>
    <w:basedOn w:val="7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127"/>
    <w:basedOn w:val="77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xl128"/>
    <w:basedOn w:val="775"/>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60" w:customStyle="1">
    <w:name w:val="xl129"/>
    <w:basedOn w:val="775"/>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61" w:customStyle="1">
    <w:name w:val="xl130"/>
    <w:basedOn w:val="775"/>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62" w:customStyle="1">
    <w:name w:val="xl131"/>
    <w:basedOn w:val="77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63" w:customStyle="1">
    <w:name w:val="xl132"/>
    <w:basedOn w:val="775"/>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64" w:customStyle="1">
    <w:name w:val="xl133"/>
    <w:basedOn w:val="77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65" w:customStyle="1">
    <w:name w:val="xl134"/>
    <w:basedOn w:val="77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66" w:customStyle="1">
    <w:name w:val="xl135"/>
    <w:basedOn w:val="775"/>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67" w:customStyle="1">
    <w:name w:val="xl136"/>
    <w:basedOn w:val="77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68" w:customStyle="1">
    <w:name w:val="xl137"/>
    <w:basedOn w:val="7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9" w:customStyle="1">
    <w:name w:val="_Style 227"/>
    <w:uiPriority w:val="99"/>
    <w:semiHidden/>
    <w:qFormat/>
    <w:rPr>
      <w:rFonts w:hint="default" w:ascii="等线" w:hAnsi="等线" w:eastAsia="等线" w:cs="Times New Roman"/>
      <w:sz w:val="21"/>
      <w:szCs w:val="22"/>
      <w:lang w:val="en-US" w:eastAsia="zh-CN" w:bidi="ar-SA"/>
    </w:rPr>
  </w:style>
  <w:style w:type="paragraph" w:styleId="1170" w:customStyle="1">
    <w:name w:val="正文_0"/>
    <w:next w:val="775"/>
    <w:uiPriority w:val="3"/>
    <w:qFormat/>
    <w:pPr>
      <w:jc w:val="both"/>
      <w:widowControl w:val="off"/>
    </w:pPr>
    <w:rPr>
      <w:rFonts w:hint="default" w:ascii="Calibri" w:hAnsi="Calibri" w:eastAsia="宋体" w:cs="Times New Roman"/>
      <w:sz w:val="21"/>
      <w:lang w:val="en-US" w:eastAsia="zh-CN" w:bidi="ar-SA"/>
    </w:rPr>
  </w:style>
  <w:style w:type="paragraph" w:styleId="1171" w:customStyle="1">
    <w:name w:val="Char Char Char Char Char Char Char1 Char"/>
    <w:basedOn w:val="775"/>
    <w:uiPriority w:val="0"/>
    <w:qFormat/>
    <w:rPr>
      <w:rFonts w:ascii="Tahoma" w:hAnsi="Tahoma"/>
      <w:sz w:val="24"/>
      <w:szCs w:val="24"/>
    </w:rPr>
  </w:style>
  <w:style w:type="paragraph" w:styleId="1172" w:customStyle="1">
    <w:name w:val="toc 1"/>
    <w:basedOn w:val="775"/>
    <w:next w:val="775"/>
    <w:uiPriority w:val="0"/>
    <w:qFormat/>
  </w:style>
  <w:style w:type="paragraph" w:styleId="1173" w:customStyle="1">
    <w:name w:val="标题 71"/>
    <w:basedOn w:val="775"/>
    <w:next w:val="775"/>
    <w:link w:val="1174"/>
    <w:uiPriority w:val="9"/>
    <w:unhideWhenUsed/>
    <w:qFormat/>
    <w:pPr>
      <w:keepLines/>
      <w:keepNext/>
      <w:spacing w:before="320" w:after="200"/>
      <w:outlineLvl w:val="6"/>
    </w:pPr>
    <w:rPr>
      <w:rFonts w:ascii="Arial" w:hAnsi="Arial" w:eastAsia="Arial"/>
      <w:b/>
      <w:bCs/>
      <w:i/>
      <w:iCs/>
      <w:sz w:val="22"/>
    </w:rPr>
  </w:style>
  <w:style w:type="character" w:styleId="1174" w:customStyle="1">
    <w:name w:val="Heading 7 Char"/>
    <w:link w:val="1173"/>
    <w:uiPriority w:val="9"/>
    <w:qFormat/>
    <w:rPr>
      <w:rFonts w:ascii="Arial" w:hAnsi="Arial" w:eastAsia="Arial" w:cs="Arial"/>
      <w:b/>
      <w:bCs/>
      <w:i/>
      <w:iCs/>
      <w:sz w:val="22"/>
      <w:szCs w:val="22"/>
    </w:rPr>
  </w:style>
  <w:style w:type="paragraph" w:styleId="1175" w:customStyle="1">
    <w:name w:val="正文文本缩进1"/>
    <w:basedOn w:val="775"/>
    <w:next w:val="775"/>
    <w:uiPriority w:val="99"/>
    <w:unhideWhenUsed/>
    <w:qFormat/>
    <w:pPr>
      <w:ind w:firstLine="540"/>
      <w:spacing w:line="400" w:lineRule="exact"/>
    </w:pPr>
    <w:rPr>
      <w:sz w:val="24"/>
    </w:rPr>
  </w:style>
  <w:style w:type="character" w:styleId="1176" w:customStyle="1">
    <w:name w:val="font31"/>
    <w:basedOn w:val="785"/>
    <w:uiPriority w:val="0"/>
    <w:qFormat/>
    <w:rPr>
      <w:rFonts w:hint="eastAsia" w:ascii="宋体" w:hAnsi="宋体" w:eastAsia="宋体" w:cs="宋体"/>
      <w:color w:val="000000"/>
      <w:sz w:val="24"/>
      <w:szCs w:val="24"/>
      <w:u w:val="none"/>
      <w:vertAlign w:val="superscript"/>
    </w:rPr>
  </w:style>
  <w:style w:type="paragraph" w:styleId="1177" w:customStyle="1">
    <w:name w:val="样式 宋体 加粗 居中"/>
    <w:basedOn w:val="775"/>
    <w:uiPriority w:val="0"/>
    <w:qFormat/>
    <w:pPr>
      <w:jc w:val="center"/>
    </w:pPr>
    <w:rPr>
      <w:rFonts w:ascii="宋体" w:hAnsi="宋体" w:cs="宋体"/>
      <w:b/>
      <w:bCs/>
      <w:sz w:val="32"/>
      <w:szCs w:val="20"/>
    </w:rPr>
  </w:style>
  <w:style w:type="paragraph" w:styleId="1178" w:customStyle="1">
    <w:name w:val="标题 41"/>
    <w:basedOn w:val="1179"/>
    <w:next w:val="1180"/>
    <w:uiPriority w:val="1"/>
    <w:qFormat/>
    <w:pPr>
      <w:keepLines/>
      <w:keepNext/>
      <w:spacing w:before="280" w:after="290" w:line="376" w:lineRule="auto"/>
      <w:outlineLvl w:val="3"/>
    </w:pPr>
    <w:rPr>
      <w:rFonts w:ascii="Arial" w:hAnsi="Arial" w:eastAsia="黑体"/>
      <w:b/>
      <w:bCs/>
      <w:sz w:val="28"/>
      <w:szCs w:val="28"/>
    </w:rPr>
  </w:style>
  <w:style w:type="paragraph" w:styleId="1179" w:customStyle="1">
    <w:name w:val="标题 311"/>
    <w:basedOn w:val="775"/>
    <w:next w:val="775"/>
    <w:uiPriority w:val="99"/>
    <w:qFormat/>
    <w:pPr>
      <w:jc w:val="left"/>
      <w:outlineLvl w:val="2"/>
    </w:pPr>
    <w:rPr>
      <w:sz w:val="24"/>
      <w:szCs w:val="24"/>
    </w:rPr>
  </w:style>
  <w:style w:type="paragraph" w:styleId="1180" w:customStyle="1">
    <w:name w:val="HTZH-正文格式"/>
    <w:basedOn w:val="775"/>
    <w:uiPriority w:val="0"/>
    <w:qFormat/>
    <w:pPr>
      <w:ind w:firstLine="560"/>
      <w:spacing w:line="360" w:lineRule="auto"/>
    </w:pPr>
    <w:rPr>
      <w:rFonts w:eastAsia="仿宋" w:cs="宋体"/>
      <w:sz w:val="28"/>
      <w:szCs w:val="20"/>
    </w:rPr>
  </w:style>
  <w:style w:type="paragraph" w:styleId="1181" w:customStyle="1">
    <w:name w:val="正文111"/>
    <w:next w:val="775"/>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正文12"/>
    <w:next w:val="775"/>
    <w:uiPriority w:val="0"/>
    <w:qFormat/>
    <w:pPr>
      <w:jc w:val="both"/>
      <w:widowControl w:val="off"/>
    </w:pPr>
    <w:rPr>
      <w:rFonts w:ascii="Times New Roman" w:hAnsi="Times New Roman" w:eastAsia="宋体" w:cs="Times New Roman"/>
      <w:sz w:val="21"/>
      <w:szCs w:val="24"/>
      <w:lang w:val="en-US" w:eastAsia="zh-CN" w:bidi="ar-SA"/>
    </w:rPr>
  </w:style>
  <w:style w:type="numbering" w:styleId="154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陈志军</cp:lastModifiedBy>
  <cp:revision>22</cp:revision>
  <dcterms:created xsi:type="dcterms:W3CDTF">2023-03-02T15:44:00Z</dcterms:created>
  <dcterms:modified xsi:type="dcterms:W3CDTF">2026-10-08T08:29:22Z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74BE55CCA85D4C689A0B6C746C3A6A01_13</vt:lpwstr>
  </property>
  <property fmtid="{D5CDD505-2E9C-101B-9397-08002B2CF9AE}" pid="4" name="KSOTemplateDocerSaveRecord">
    <vt:lpwstr>eyJoZGlkIjoiNDRlZTk3Nzc1OTM3OGQ3ZDYzOGUxNmU0YzY4YWE2NjgiLCJ1c2VySWQiOiIzOTYwNjQ0MDUifQ==</vt:lpwstr>
  </property>
</Properties>
</file>