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2"/>
        <w:ind w:firstLine="0"/>
        <w:jc w:val="both"/>
        <w:rPr>
          <w:rFonts w:hint="eastAsia" w:eastAsia="黑体"/>
          <w:b/>
          <w:bCs/>
          <w:color w:val="000000"/>
          <w:sz w:val="84"/>
        </w:rPr>
      </w:pPr>
      <w:r/>
      <w:bookmarkStart w:id="0" w:name="OLE_LINK2"/>
      <w:r/>
      <w:r/>
    </w:p>
    <w:p>
      <w:pPr>
        <w:pStyle w:val="1132"/>
        <w:ind w:firstLine="0"/>
        <w:jc w:val="center"/>
        <w:rPr>
          <w:rFonts w:hint="eastAsia" w:eastAsia="黑体"/>
          <w:b/>
          <w:bCs/>
          <w:color w:val="000000"/>
          <w:sz w:val="84"/>
        </w:rPr>
      </w:pPr>
      <w:r>
        <w:rPr>
          <w:rFonts w:hint="eastAsia" w:eastAsia="黑体"/>
          <w:b/>
          <w:bCs/>
          <w:color w:val="000000"/>
          <w:sz w:val="84"/>
        </w:rPr>
        <w:t xml:space="preserve">招　标　文　件</w:t>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b/>
          <w:bCs/>
          <w:color w:val="000000"/>
          <w:sz w:val="32"/>
        </w:rPr>
      </w:pPr>
      <w:r>
        <w:rPr>
          <w:rFonts w:hint="eastAsia"/>
          <w:b/>
          <w:bCs/>
          <w:color w:val="000000"/>
          <w:sz w:val="32"/>
        </w:rPr>
      </w:r>
      <w:r/>
    </w:p>
    <w:p>
      <w:pPr>
        <w:pStyle w:val="1132"/>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：江苏扬州化学工业园区原贵飞化工地块污染土壤修复项目</w:t>
      </w:r>
      <w:r/>
    </w:p>
    <w:p>
      <w:pPr>
        <w:ind w:firstLine="1285"/>
        <w:rPr>
          <w:rFonts w:hint="eastAsia" w:eastAsia="宋体"/>
          <w:b/>
          <w:bCs/>
          <w:color w:val="000000"/>
          <w:sz w:val="32"/>
          <w:lang w:eastAsia="zh-CN"/>
        </w:rPr>
      </w:pPr>
      <w:r>
        <w:rPr>
          <w:rFonts w:hint="eastAsia"/>
          <w:b/>
          <w:bCs/>
          <w:color w:val="000000"/>
          <w:sz w:val="32"/>
        </w:rPr>
        <w:t xml:space="preserve">项目编号：JSZC-321081-JZCG-G2026-000</w:t>
      </w:r>
      <w:r>
        <w:rPr>
          <w:rFonts w:hint="eastAsia"/>
          <w:b/>
          <w:bCs/>
          <w:color w:val="000000"/>
          <w:sz w:val="32"/>
          <w:lang w:val="en-US" w:eastAsia="zh-CN"/>
        </w:rPr>
        <w:t xml:space="preserve">9</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b/>
          <w:color w:val="000000"/>
          <w:sz w:val="30"/>
          <w:szCs w:val="30"/>
        </w:rPr>
      </w:pPr>
      <w:r>
        <w:rPr>
          <w:rFonts w:hint="eastAsia"/>
          <w:b/>
          <w:color w:val="000000"/>
          <w:sz w:val="30"/>
          <w:szCs w:val="30"/>
        </w:rPr>
        <w:t xml:space="preserve">   </w:t>
      </w:r>
      <w:r>
        <w:rPr>
          <w:color w:val="000000"/>
        </w:rPr>
        <w:t xml:space="preserve">  </w:t>
      </w:r>
      <w:r>
        <w:rPr>
          <w:b/>
          <w:color w:val="000000"/>
          <w:sz w:val="30"/>
          <w:szCs w:val="30"/>
        </w:rPr>
        <w:t xml:space="preserve"> </w:t>
      </w:r>
      <w:r/>
    </w:p>
    <w:p>
      <w:pPr>
        <w:pStyle w:val="1132"/>
        <w:ind w:firstLine="0"/>
        <w:spacing w:before="0" w:after="0"/>
        <w:rPr>
          <w:rFonts w:hint="eastAsia" w:ascii="宋体" w:hAnsi="宋体"/>
          <w:color w:val="000000"/>
        </w:rPr>
      </w:pPr>
      <w:r>
        <w:rPr>
          <w:rFonts w:hint="eastAsia" w:ascii="宋体" w:hAnsi="宋体"/>
          <w:color w:val="000000"/>
        </w:rPr>
      </w:r>
      <w:r/>
    </w:p>
    <w:p>
      <w:pPr>
        <w:pStyle w:val="1132"/>
        <w:ind w:firstLine="0"/>
        <w:spacing w:before="0" w:after="0"/>
        <w:rPr>
          <w:rFonts w:hint="eastAsia" w:ascii="宋体" w:hAnsi="宋体"/>
          <w:color w:val="000000"/>
        </w:rPr>
      </w:pPr>
      <w:r>
        <w:rPr>
          <w:rFonts w:hint="eastAsia" w:ascii="宋体" w:hAnsi="宋体"/>
          <w:color w:val="000000"/>
        </w:rPr>
      </w:r>
      <w:r/>
    </w:p>
    <w:p>
      <w:pPr>
        <w:pStyle w:val="1132"/>
        <w:ind w:firstLine="0"/>
        <w:spacing w:before="0" w:after="0"/>
        <w:rPr>
          <w:rFonts w:hint="eastAsia" w:ascii="宋体" w:hAnsi="宋体"/>
          <w:color w:val="000000"/>
        </w:rPr>
      </w:pPr>
      <w:r>
        <w:rPr>
          <w:rFonts w:hint="eastAsia" w:ascii="宋体" w:hAnsi="宋体"/>
          <w:color w:val="000000"/>
        </w:rPr>
      </w:r>
      <w:r/>
    </w:p>
    <w:p>
      <w:pPr>
        <w:pStyle w:val="1132"/>
        <w:ind w:firstLine="0"/>
        <w:spacing w:before="0" w:after="0"/>
        <w:rPr>
          <w:rFonts w:hint="eastAsia" w:ascii="宋体" w:hAnsi="宋体"/>
          <w:color w:val="000000"/>
        </w:rPr>
      </w:pPr>
      <w:r>
        <w:rPr>
          <w:rFonts w:hint="eastAsia" w:ascii="宋体" w:hAnsi="宋体"/>
          <w:color w:val="000000"/>
        </w:rPr>
      </w:r>
      <w:r/>
    </w:p>
    <w:p>
      <w:pPr>
        <w:pStyle w:val="1132"/>
        <w:ind w:firstLine="0"/>
        <w:jc w:val="center"/>
        <w:rPr>
          <w:rFonts w:hint="default"/>
          <w:b/>
          <w:bCs/>
          <w:color w:val="000000"/>
          <w:sz w:val="32"/>
          <w:lang w:val="en-US" w:eastAsia="zh-CN"/>
        </w:rPr>
      </w:pPr>
      <w:r>
        <w:rPr>
          <w:rFonts w:hint="eastAsia"/>
          <w:b/>
          <w:bCs/>
          <w:color w:val="000000"/>
          <w:sz w:val="32"/>
          <w:lang w:val="en-US" w:eastAsia="zh-CN"/>
        </w:rPr>
        <w:t xml:space="preserve">扬州市公共资源交易中心仪征分中心</w:t>
      </w:r>
      <w:r/>
    </w:p>
    <w:p>
      <w:pPr>
        <w:pStyle w:val="1132"/>
        <w:ind w:firstLine="0"/>
        <w:jc w:val="center"/>
        <w:rPr>
          <w:rFonts w:hint="eastAsia"/>
          <w:color w:val="000000"/>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10</w:t>
      </w:r>
      <w:r>
        <w:rPr>
          <w:rFonts w:hint="eastAsia"/>
          <w:b/>
          <w:bCs/>
          <w:color w:val="000000"/>
          <w:sz w:val="32"/>
        </w:rPr>
        <w:t xml:space="preserve">月</w:t>
      </w:r>
      <w:r>
        <w:rPr>
          <w:rFonts w:hint="eastAsia"/>
          <w:color w:val="000000"/>
        </w:rPr>
        <w:t xml:space="preserve">         </w:t>
      </w:r>
      <w:r/>
    </w:p>
    <w:p>
      <w:pPr>
        <w:jc w:val="center"/>
        <w:spacing w:line="480" w:lineRule="auto"/>
        <w:rPr>
          <w:rFonts w:hint="eastAsia"/>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1" w:name="_Toc120614210"/>
      <w:r/>
      <w:bookmarkStart w:id="2" w:name="_Toc16938516"/>
      <w:r/>
      <w:bookmarkStart w:id="3" w:name="_Toc523127445"/>
      <w:r/>
      <w:bookmarkStart w:id="4" w:name="_Toc513029200"/>
      <w:r/>
      <w:bookmarkStart w:id="5" w:name="_Toc479757206"/>
      <w:r/>
      <w:bookmarkStart w:id="6" w:name="_Toc20823272"/>
      <w:r/>
      <w:r/>
    </w:p>
    <w:p>
      <w:pPr>
        <w:jc w:val="center"/>
        <w:spacing w:line="480" w:lineRule="auto"/>
        <w:rPr>
          <w:rFonts w:hint="eastAsia"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52</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56</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46"/>
        <w:rPr>
          <w:rFonts w:hint="eastAsia" w:ascii="黑体" w:eastAsia="黑体"/>
          <w:bCs/>
          <w:color w:val="000000"/>
          <w:sz w:val="44"/>
          <w:szCs w:val="44"/>
        </w:rPr>
      </w:pPr>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[仪征市青山镇人民政府]</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扬州市公共资源交易中心仪征分中心</w:t>
      </w:r>
      <w:r>
        <w:rPr>
          <w:rFonts w:hint="eastAsia" w:ascii="宋体" w:hAnsi="宋体"/>
          <w:color w:val="000000"/>
          <w:sz w:val="24"/>
          <w:szCs w:val="24"/>
        </w:rPr>
        <w:t xml:space="preserve">就[江苏扬州化学工业园区原贵飞化工地块污染土壤修复项目](JSZC-321081-JZCG-G2026-000</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2"/>
        <w:keepLines w:val="0"/>
        <w:keepNext w:val="0"/>
        <w:pageBreakBefore w:val="0"/>
        <w:spacing w:line="400" w:lineRule="exact"/>
        <w:widowControl w:val="off"/>
        <w:rPr>
          <w:rFonts w:hint="eastAsia" w:ascii="宋体" w:hAnsi="宋体"/>
          <w:color w:val="000000"/>
          <w:sz w:val="24"/>
          <w:szCs w:val="24"/>
          <w:u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none"/>
          <w:lang w:eastAsia="zh-CN"/>
        </w:rPr>
        <w:t xml:space="preserve">开展江苏扬州化学工业园区原贵飞化工地块污染土壤修复，土壤修复达到修复目标，完成修复竣工报告、达到国家有关质量验收规范要求，通过生态环境主管部门组织的专家评审，修复后的地块移出《江苏省建设用地土壤污染风险管控和修复名录》。</w:t>
      </w:r>
      <w:r/>
    </w:p>
    <w:p>
      <w:pPr>
        <w:ind w:firstLine="482"/>
        <w:keepLines w:val="0"/>
        <w:keepNext w:val="0"/>
        <w:pageBreakBefore w:val="0"/>
        <w:spacing w:line="400" w:lineRule="exact"/>
        <w:widowControl w:val="off"/>
        <w:rPr>
          <w:rFonts w:hint="eastAsia" w:ascii="宋体" w:hAnsi="宋体"/>
          <w:color w:val="000000"/>
          <w:sz w:val="24"/>
          <w:szCs w:val="24"/>
          <w:u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none"/>
          <w:lang w:eastAsia="zh-CN"/>
        </w:rPr>
        <w:t xml:space="preserve">项目位于江苏省仪征市青山镇油港路2号，油港路与江北沿江路交叉口西北角，占地面积约54011㎡（约81.02亩）。地块东侧为油港路，西侧为江苏奥克化学有限公司，南侧隔龙门沟（原名一心河）为江北沿江路，北侧为南京华远智慧科技有限公司和仪征鸿钧化工机械有限公司。地块中心坐标为119.129352°E，32.262905°N。土壤修复土方量约为39370.92M³，土壤修复污染物包括：苯、石油烃（C6-C9）和4-氯苯胺。</w:t>
      </w:r>
      <w:r/>
    </w:p>
    <w:p>
      <w:pPr>
        <w:ind w:firstLine="482"/>
        <w:keepLines w:val="0"/>
        <w:keepNext w:val="0"/>
        <w:pageBreakBefore w:val="0"/>
        <w:spacing w:line="400" w:lineRule="exact"/>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（江苏扬州化学工业园区原贵飞化工地块污染土壤修复）</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b w:val="0"/>
          <w:bCs w:val="0"/>
          <w:color w:val="auto"/>
          <w:sz w:val="24"/>
          <w:szCs w:val="24"/>
          <w:u w:val="single"/>
          <w:lang w:val="en-US" w:eastAsia="zh-CN"/>
        </w:rPr>
        <w:t xml:space="preserve">2026     </w:t>
      </w:r>
      <w:r>
        <w:rPr>
          <w:rFonts w:hint="eastAsia" w:ascii="宋体" w:hAnsi="宋体"/>
          <w:b w:val="0"/>
          <w:bCs w:val="0"/>
          <w:color w:val="auto"/>
          <w:sz w:val="24"/>
          <w:szCs w:val="24"/>
          <w:u w:val="single"/>
        </w:rPr>
        <w:t xml:space="preserve">年</w:t>
      </w:r>
      <w:r>
        <w:rPr>
          <w:rFonts w:hint="eastAsia" w:ascii="宋体" w:hAnsi="宋体"/>
          <w:b w:val="0"/>
          <w:bCs w:val="0"/>
          <w:color w:val="auto"/>
          <w:sz w:val="24"/>
          <w:szCs w:val="24"/>
          <w:u w:val="single"/>
          <w:lang w:val="en-US" w:eastAsia="zh-CN"/>
        </w:rPr>
        <w:t xml:space="preserve">11</w:t>
      </w:r>
      <w:r>
        <w:rPr>
          <w:rFonts w:hint="eastAsia" w:ascii="宋体" w:hAnsi="宋体"/>
          <w:b w:val="0"/>
          <w:bCs w:val="0"/>
          <w:color w:val="auto"/>
          <w:sz w:val="24"/>
          <w:szCs w:val="24"/>
          <w:u w:val="single"/>
        </w:rPr>
        <w:t xml:space="preserve">月</w:t>
      </w:r>
      <w:r>
        <w:rPr>
          <w:rFonts w:hint="eastAsia" w:ascii="宋体" w:hAnsi="宋体"/>
          <w:b w:val="0"/>
          <w:bCs w:val="0"/>
          <w:color w:val="auto"/>
          <w:sz w:val="24"/>
          <w:szCs w:val="24"/>
          <w:u w:val="single"/>
          <w:lang w:val="en-US" w:eastAsia="zh-CN"/>
        </w:rPr>
        <w:t xml:space="preserve">20</w:t>
      </w:r>
      <w:r>
        <w:rPr>
          <w:rFonts w:hint="eastAsia" w:ascii="宋体" w:hAnsi="宋体"/>
          <w:b w:val="0"/>
          <w:bCs w:val="0"/>
          <w:color w:val="auto"/>
          <w:sz w:val="24"/>
          <w:szCs w:val="24"/>
          <w:u w:val="single"/>
        </w:rPr>
        <w:t xml:space="preserve">日9点30分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49"/>
        <w:ind w:firstLine="498"/>
        <w:spacing w:before="145" w:after="145" w:line="400" w:lineRule="exact"/>
        <w:rPr>
          <w:color w:val="000000"/>
        </w:rPr>
      </w:pPr>
      <w:r/>
      <w:bookmarkStart w:id="7" w:name="_Toc28359002"/>
      <w:r/>
      <w:bookmarkStart w:id="8" w:name="_Toc35393621"/>
      <w:r/>
      <w:bookmarkStart w:id="9" w:name="_Toc38985263"/>
      <w:r/>
      <w:bookmarkStart w:id="10" w:name="_Toc35393790"/>
      <w:r/>
      <w:bookmarkStart w:id="11" w:name="_Toc28359079"/>
      <w:r/>
      <w:bookmarkStart w:id="12" w:name="_Hlk24379207"/>
      <w:r>
        <w:rPr>
          <w:rFonts w:hint="eastAsia"/>
          <w:color w:val="000000"/>
        </w:rPr>
        <w:t xml:space="preserve">一、项目基本情况</w:t>
      </w:r>
      <w:bookmarkEnd w:id="7"/>
      <w:r/>
      <w:bookmarkEnd w:id="8"/>
      <w:r/>
      <w:bookmarkEnd w:id="9"/>
      <w:r/>
      <w:bookmarkEnd w:id="10"/>
      <w:r/>
      <w:bookmarkEnd w:id="11"/>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1.项目编号：JSZC-321081-JZCG-G2026-000</w:t>
      </w:r>
      <w:r>
        <w:rPr>
          <w:rFonts w:hint="eastAsia" w:ascii="宋体" w:hAnsi="宋体"/>
          <w:color w:val="000000"/>
          <w:sz w:val="24"/>
          <w:szCs w:val="24"/>
          <w:lang w:val="en-US" w:eastAsia="zh-CN"/>
        </w:rPr>
        <w:t xml:space="preserve">9</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w:t>
      </w:r>
      <w:bookmarkEnd w:id="12"/>
      <w:r>
        <w:rPr>
          <w:rFonts w:hint="eastAsia" w:ascii="宋体" w:hAnsi="宋体"/>
          <w:color w:val="000000"/>
          <w:sz w:val="24"/>
          <w:szCs w:val="24"/>
        </w:rPr>
        <w:t xml:space="preserve">江苏扬州化学工业园区原贵飞化工地块污染土壤修复项目</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86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4528"/>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4528"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528" w:type="dxa"/>
            <w:vAlign w:val="top"/>
            <w:textDirection w:val="lrTb"/>
            <w:noWrap w:val="false"/>
          </w:tcPr>
          <w:p>
            <w:pPr>
              <w:jc w:val="center"/>
              <w:spacing w:line="400" w:lineRule="exact"/>
              <w:rPr>
                <w:rFonts w:ascii="宋体" w:hAnsi="宋体" w:eastAsia="宋体"/>
                <w:color w:val="000000"/>
                <w:sz w:val="24"/>
                <w:szCs w:val="24"/>
                <w:lang w:val="en-US" w:eastAsia="zh-CN"/>
              </w:rPr>
            </w:pPr>
            <w:r/>
            <w:bookmarkStart w:id="13" w:name="OLE_LINK20"/>
            <w:r>
              <w:rPr>
                <w:rFonts w:hint="eastAsia" w:ascii="宋体" w:hAnsi="宋体" w:eastAsia="宋体"/>
                <w:color w:val="000000"/>
                <w:sz w:val="24"/>
                <w:szCs w:val="24"/>
                <w:lang w:val="en-US" w:eastAsia="zh-CN"/>
              </w:rPr>
              <w:t xml:space="preserve">3574.4063</w:t>
            </w:r>
            <w:bookmarkEnd w:id="13"/>
            <w:r>
              <w:rPr>
                <w:rFonts w:hint="eastAsia" w:ascii="宋体" w:hAnsi="宋体" w:eastAsia="宋体"/>
                <w:color w:val="000000"/>
                <w:sz w:val="24"/>
                <w:szCs w:val="24"/>
                <w:lang w:val="en-US" w:eastAsia="zh-CN"/>
              </w:rPr>
              <w:t xml:space="preserve">（各单项最高限价详见</w:t>
            </w:r>
            <w:r>
              <w:rPr>
                <w:rFonts w:hint="eastAsia" w:ascii="宋体" w:hAnsi="宋体" w:eastAsia="宋体"/>
                <w:color w:val="000000"/>
                <w:sz w:val="24"/>
                <w:szCs w:val="24"/>
                <w:lang w:val="en-US" w:eastAsia="zh-CN"/>
              </w:rPr>
              <w:t xml:space="preserve">招标文件</w:t>
            </w:r>
            <w:r>
              <w:rPr>
                <w:rFonts w:hint="eastAsia" w:ascii="宋体" w:hAnsi="宋体" w:eastAsia="宋体"/>
                <w:color w:val="000000"/>
                <w:sz w:val="24"/>
                <w:szCs w:val="24"/>
                <w:lang w:val="en-US" w:eastAsia="zh-CN"/>
              </w:rPr>
              <w:t xml:space="preserve">）</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86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3574.4063</w:t>
            </w:r>
            <w:r/>
          </w:p>
        </w:tc>
      </w:tr>
    </w:tbl>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采购需求（简介）：详细内容见本招标文件第四章</w:t>
      </w:r>
      <w:r/>
    </w:p>
    <w:p>
      <w:pPr>
        <w:numPr>
          <w:ilvl w:val="0"/>
          <w:numId w:val="0"/>
        </w:numPr>
        <w:ind w:firstLine="480"/>
        <w:spacing w:line="400" w:lineRule="exact"/>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lang w:val="en-US" w:eastAsia="zh-CN"/>
        </w:rPr>
        <w:t xml:space="preserve">120天（不含效果评估、基坑回填，各节点服务时间以采购人通知为准）</w:t>
      </w:r>
      <w:r/>
    </w:p>
    <w:p>
      <w:pPr>
        <w:pStyle w:val="1049"/>
        <w:ind w:firstLine="498"/>
        <w:spacing w:before="145" w:after="145" w:line="400" w:lineRule="exact"/>
        <w:rPr>
          <w:color w:val="000000"/>
        </w:rPr>
      </w:pPr>
      <w:r/>
      <w:bookmarkStart w:id="14" w:name="_Toc28359003"/>
      <w:r/>
      <w:bookmarkStart w:id="15" w:name="_Toc35393622"/>
      <w:r/>
      <w:bookmarkStart w:id="16" w:name="_Toc28359080"/>
      <w:r/>
      <w:bookmarkStart w:id="17" w:name="_Toc35393791"/>
      <w:r/>
      <w:bookmarkStart w:id="18" w:name="_Toc38985264"/>
      <w:r>
        <w:rPr>
          <w:rFonts w:hint="eastAsia"/>
          <w:color w:val="000000"/>
        </w:rPr>
        <w:t xml:space="preserve">二、申请人的资格要求：</w:t>
      </w:r>
      <w:bookmarkEnd w:id="14"/>
      <w:r/>
      <w:bookmarkEnd w:id="15"/>
      <w:r/>
      <w:bookmarkEnd w:id="16"/>
      <w:r/>
      <w:bookmarkEnd w:id="17"/>
      <w:r/>
      <w:bookmarkEnd w:id="18"/>
      <w:r/>
      <w:r/>
    </w:p>
    <w:p>
      <w:pPr>
        <w:ind w:firstLine="480"/>
        <w:spacing w:line="400" w:lineRule="exact"/>
        <w:rPr>
          <w:rFonts w:hint="eastAsia" w:ascii="宋体" w:hAnsi="宋体"/>
          <w:color w:val="000000"/>
          <w:sz w:val="24"/>
          <w:szCs w:val="24"/>
        </w:rPr>
      </w:pPr>
      <w:r/>
      <w:bookmarkStart w:id="19" w:name="_Toc35393623"/>
      <w:r/>
      <w:bookmarkStart w:id="20" w:name="_Toc28359004"/>
      <w:r/>
      <w:bookmarkStart w:id="21" w:name="_Toc38985265"/>
      <w:r/>
      <w:bookmarkStart w:id="22" w:name="_Toc28359081"/>
      <w:r/>
      <w:bookmarkStart w:id="23"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68"/>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868"/>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86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9"/>
      <w:r/>
      <w:bookmarkEnd w:id="20"/>
      <w:r/>
      <w:bookmarkEnd w:id="21"/>
      <w:r/>
      <w:bookmarkEnd w:id="22"/>
      <w:r/>
      <w:bookmarkEnd w:id="23"/>
      <w:r/>
      <w:r/>
    </w:p>
    <w:p>
      <w:pPr>
        <w:pStyle w:val="1049"/>
        <w:ind w:firstLine="498"/>
        <w:spacing w:before="145" w:after="145" w:line="400" w:lineRule="exact"/>
        <w:rPr>
          <w:color w:val="000000"/>
        </w:rPr>
      </w:pPr>
      <w:r/>
      <w:bookmarkStart w:id="24" w:name="_Toc28359082"/>
      <w:r/>
      <w:bookmarkStart w:id="25" w:name="_Toc28359005"/>
      <w:r/>
      <w:bookmarkStart w:id="26" w:name="_Toc38985266"/>
      <w:r/>
      <w:bookmarkStart w:id="27" w:name="_Toc35393793"/>
      <w:r/>
      <w:bookmarkStart w:id="28" w:name="_Toc35393624"/>
      <w:r>
        <w:rPr>
          <w:rFonts w:hint="eastAsia"/>
          <w:color w:val="000000"/>
        </w:rPr>
        <w:t xml:space="preserve">四、提交投标文件</w:t>
      </w:r>
      <w:bookmarkEnd w:id="24"/>
      <w:r/>
      <w:bookmarkEnd w:id="25"/>
      <w:r>
        <w:rPr>
          <w:rFonts w:hint="eastAsia"/>
          <w:color w:val="000000"/>
        </w:rPr>
        <w:t xml:space="preserve">截止时间、开标时间和地点</w:t>
      </w:r>
      <w:bookmarkEnd w:id="26"/>
      <w:r/>
      <w:bookmarkEnd w:id="27"/>
      <w:r/>
      <w:bookmarkEnd w:id="28"/>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auto"/>
          <w:sz w:val="24"/>
          <w:szCs w:val="24"/>
          <w:u w:val="single"/>
          <w:lang w:val="en-US" w:eastAsia="zh-CN"/>
        </w:rPr>
        <w:t xml:space="preserve">2026</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11</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20</w:t>
      </w:r>
      <w:r>
        <w:rPr>
          <w:rFonts w:hint="eastAsia" w:ascii="宋体" w:hAnsi="宋体"/>
          <w:bCs/>
          <w:color w:val="auto"/>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9"/>
        <w:keepLines/>
        <w:keepNext/>
        <w:pageBreakBefore w:val="0"/>
        <w:spacing w:before="145" w:line="360" w:lineRule="auto"/>
        <w:widowControl w:val="off"/>
        <w:rPr>
          <w:b/>
          <w:bCs/>
          <w:color w:val="000000"/>
          <w:sz w:val="32"/>
          <w:szCs w:val="32"/>
        </w:rPr>
        <w:outlineLvl w:val="2"/>
      </w:pPr>
      <w:r/>
      <w:bookmarkStart w:id="29" w:name="_Toc35393625"/>
      <w:r/>
      <w:bookmarkStart w:id="30" w:name="_Toc28359084"/>
      <w:r/>
      <w:bookmarkStart w:id="31" w:name="_Toc38985267"/>
      <w:r/>
      <w:bookmarkStart w:id="32" w:name="_Toc28359007"/>
      <w:r/>
      <w:bookmarkStart w:id="33" w:name="_Toc35393794"/>
      <w:r>
        <w:rPr>
          <w:rFonts w:hint="eastAsia"/>
          <w:b/>
          <w:bCs/>
          <w:color w:val="000000"/>
          <w:sz w:val="32"/>
          <w:szCs w:val="32"/>
        </w:rPr>
        <w:t xml:space="preserve">五、公告期限</w:t>
      </w:r>
      <w:bookmarkEnd w:id="29"/>
      <w:r/>
      <w:bookmarkEnd w:id="30"/>
      <w:r/>
      <w:bookmarkEnd w:id="31"/>
      <w:r/>
      <w:bookmarkEnd w:id="32"/>
      <w:r/>
      <w:bookmarkEnd w:id="33"/>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49"/>
        <w:ind w:firstLine="498"/>
        <w:spacing w:before="145" w:after="145" w:line="400" w:lineRule="exact"/>
        <w:rPr>
          <w:color w:val="000000"/>
        </w:rPr>
      </w:pPr>
      <w:r/>
      <w:bookmarkStart w:id="34" w:name="_Toc35393795"/>
      <w:r/>
      <w:bookmarkStart w:id="35" w:name="_Toc38985268"/>
      <w:r/>
      <w:bookmarkStart w:id="36" w:name="_Toc35393626"/>
      <w:r>
        <w:rPr>
          <w:rFonts w:hint="eastAsia"/>
          <w:color w:val="000000"/>
        </w:rPr>
        <w:t xml:space="preserve">六、其他补充事宜</w:t>
      </w:r>
      <w:bookmarkEnd w:id="34"/>
      <w:r/>
      <w:bookmarkEnd w:id="35"/>
      <w:r/>
      <w:bookmarkEnd w:id="36"/>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49"/>
        <w:ind w:firstLine="498"/>
        <w:spacing w:before="145" w:after="145" w:line="400" w:lineRule="exact"/>
        <w:rPr>
          <w:color w:val="000000"/>
        </w:rPr>
      </w:pPr>
      <w:r/>
      <w:bookmarkStart w:id="37" w:name="_Toc35393796"/>
      <w:r/>
      <w:bookmarkStart w:id="38" w:name="_Toc28359008"/>
      <w:r/>
      <w:bookmarkStart w:id="39" w:name="_Toc28359085"/>
      <w:r/>
      <w:bookmarkStart w:id="40" w:name="_Toc35393627"/>
      <w:r/>
      <w:bookmarkStart w:id="41" w:name="_Toc38985269"/>
      <w:r>
        <w:rPr>
          <w:rFonts w:hint="eastAsia"/>
          <w:color w:val="000000"/>
        </w:rPr>
        <w:t xml:space="preserve">七、本次招标联系方式</w:t>
      </w:r>
      <w:bookmarkEnd w:id="37"/>
      <w:r/>
      <w:bookmarkEnd w:id="38"/>
      <w:r/>
      <w:bookmarkEnd w:id="39"/>
      <w:r/>
      <w:bookmarkEnd w:id="40"/>
      <w:r/>
      <w:bookmarkEnd w:id="41"/>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2" w:name="_Toc28359010"/>
      <w:r/>
      <w:bookmarkStart w:id="43" w:name="_Toc28359087"/>
      <w:r>
        <w:rPr>
          <w:rFonts w:hint="eastAsia" w:ascii="宋体" w:hAnsi="宋体" w:cs="宋体"/>
          <w:color w:val="000000"/>
          <w:sz w:val="24"/>
          <w:szCs w:val="24"/>
        </w:rPr>
        <w:t xml:space="preserve">1.采购人信息</w:t>
      </w:r>
      <w:r/>
    </w:p>
    <w:p>
      <w:pPr>
        <w:ind w:firstLine="480"/>
        <w:jc w:val="left"/>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仪征市青山镇人民政府   </w:t>
      </w:r>
      <w:r/>
    </w:p>
    <w:p>
      <w:pPr>
        <w:ind w:firstLine="48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青山镇龙翔路1号   </w:t>
      </w:r>
      <w:r/>
    </w:p>
    <w:p>
      <w:pPr>
        <w:ind w:firstLine="480"/>
        <w:jc w:val="left"/>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薛晓焱                </w:t>
      </w:r>
      <w:r/>
    </w:p>
    <w:p>
      <w:pPr>
        <w:ind w:firstLine="480"/>
        <w:jc w:val="left"/>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4" w:name="_Toc28359009"/>
      <w:r/>
      <w:bookmarkStart w:id="45" w:name="_Toc28359086"/>
      <w:r>
        <w:rPr>
          <w:rFonts w:hint="eastAsia" w:ascii="宋体" w:hAnsi="宋体"/>
          <w:color w:val="000000"/>
          <w:sz w:val="24"/>
          <w:szCs w:val="24"/>
          <w:u w:val="single"/>
          <w:lang w:val="en-US" w:eastAsia="zh-CN"/>
        </w:rPr>
        <w:t xml:space="preserve">  13655255045           </w:t>
      </w:r>
      <w:r/>
    </w:p>
    <w:p>
      <w:pPr>
        <w:ind w:firstLine="480"/>
        <w:jc w:val="left"/>
        <w:spacing w:line="400" w:lineRule="exact"/>
        <w:rPr>
          <w:rFonts w:hint="default" w:ascii="宋体" w:hAnsi="宋体" w:eastAsia="宋体"/>
          <w:color w:val="000000"/>
          <w:sz w:val="24"/>
          <w:szCs w:val="24"/>
          <w:lang w:val="en-US" w:eastAsia="zh-CN"/>
        </w:rPr>
      </w:pPr>
      <w:r>
        <w:rPr>
          <w:rFonts w:hint="eastAsia" w:ascii="宋体" w:hAnsi="宋体" w:cs="宋体"/>
          <w:color w:val="000000"/>
          <w:sz w:val="24"/>
          <w:szCs w:val="24"/>
        </w:rPr>
        <w:t xml:space="preserve">2.</w:t>
      </w:r>
      <w:bookmarkEnd w:id="44"/>
      <w:r/>
      <w:bookmarkEnd w:id="45"/>
      <w:r>
        <w:rPr>
          <w:rFonts w:hint="eastAsia" w:ascii="宋体" w:hAnsi="宋体" w:cs="宋体"/>
          <w:color w:val="000000"/>
          <w:sz w:val="24"/>
          <w:szCs w:val="24"/>
        </w:rPr>
        <w:t xml:space="preserve">扬州市公共资源交易中心</w:t>
      </w:r>
      <w:r>
        <w:rPr>
          <w:rFonts w:hint="eastAsia" w:ascii="宋体" w:hAnsi="宋体" w:cs="宋体"/>
          <w:color w:val="000000"/>
          <w:sz w:val="24"/>
          <w:szCs w:val="24"/>
          <w:lang w:val="en-US" w:eastAsia="zh-CN"/>
        </w:rPr>
        <w:t xml:space="preserve">仪征分中心</w:t>
      </w:r>
      <w:r/>
    </w:p>
    <w:p>
      <w:pPr>
        <w:ind w:firstLine="480"/>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仪征市西园北路39号</w:t>
      </w:r>
      <w:r>
        <w:rPr>
          <w:rFonts w:hint="eastAsia" w:ascii="宋体" w:hAnsi="宋体"/>
          <w:color w:val="000000"/>
          <w:sz w:val="24"/>
          <w:szCs w:val="24"/>
          <w:u w:val="single"/>
          <w:lang w:val="en-US" w:eastAsia="zh-CN"/>
        </w:rPr>
        <w:t xml:space="preserve">       </w:t>
      </w:r>
      <w:r/>
    </w:p>
    <w:p>
      <w:pPr>
        <w:ind w:firstLine="48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曹 瑜                 </w:t>
      </w:r>
      <w:r/>
    </w:p>
    <w:p>
      <w:pPr>
        <w:ind w:firstLine="48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0514-80290190    </w:t>
      </w:r>
      <w:r>
        <w:rPr>
          <w:rFonts w:hint="eastAsia" w:ascii="宋体" w:hAnsi="宋体"/>
          <w:color w:val="000000"/>
          <w:sz w:val="24"/>
          <w:szCs w:val="24"/>
          <w:u w:val="single"/>
          <w:lang w:val="en-US" w:eastAsia="zh-CN"/>
        </w:rPr>
        <w:t xml:space="preserve">     </w:t>
      </w:r>
      <w:bookmarkEnd w:id="42"/>
      <w:r/>
      <w:bookmarkEnd w:id="43"/>
      <w:r/>
      <w:r/>
    </w:p>
    <w:p>
      <w:pPr>
        <w:pStyle w:val="1049"/>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扬州市公共资源交易中心仪征分中心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1047"/>
        <w:ind w:firstLine="2426"/>
        <w:jc w:val="both"/>
        <w:keepLines/>
        <w:keepNext/>
        <w:pageBreakBefore w:val="0"/>
        <w:spacing w:line="240" w:lineRule="auto"/>
        <w:widowControl w:val="off"/>
        <w:rPr>
          <w:rFonts w:hint="eastAsia" w:ascii="黑体" w:eastAsia="黑体"/>
          <w:b w:val="0"/>
          <w:bCs w:val="0"/>
          <w:color w:val="000000"/>
        </w:rPr>
      </w:pPr>
      <w:r/>
      <w:bookmarkStart w:id="46" w:name="_Toc120614211"/>
      <w:r>
        <w:rPr>
          <w:rFonts w:hint="eastAsia" w:ascii="黑体" w:eastAsia="黑体"/>
          <w:color w:val="000000"/>
        </w:rPr>
        <w:t xml:space="preserve">第二章  </w:t>
      </w:r>
      <w:bookmarkEnd w:id="2"/>
      <w:r/>
      <w:bookmarkEnd w:id="3"/>
      <w:r/>
      <w:bookmarkEnd w:id="4"/>
      <w:r/>
      <w:bookmarkEnd w:id="5"/>
      <w:r/>
      <w:bookmarkEnd w:id="6"/>
      <w:r/>
      <w:bookmarkEnd w:id="46"/>
      <w:r/>
      <w:bookmarkStart w:id="47" w:name="_Toc20823274"/>
      <w:r/>
      <w:bookmarkStart w:id="48" w:name="_Toc120614213"/>
      <w:r/>
      <w:bookmarkStart w:id="49" w:name="_Toc16938518"/>
      <w:r/>
      <w:bookmarkStart w:id="50" w:name="_Toc513029202"/>
      <w:r>
        <w:rPr>
          <w:rFonts w:hint="eastAsia" w:ascii="黑体" w:eastAsia="黑体"/>
          <w:color w:val="000000"/>
        </w:rPr>
        <w:t xml:space="preserve">投标人须知</w:t>
      </w:r>
      <w:bookmarkEnd w:id="47"/>
      <w:r/>
      <w:bookmarkEnd w:id="48"/>
      <w:r/>
      <w:bookmarkEnd w:id="49"/>
      <w:r/>
      <w:bookmarkEnd w:id="50"/>
      <w:r/>
      <w:r/>
    </w:p>
    <w:p>
      <w:pPr>
        <w:pStyle w:val="1049"/>
        <w:ind w:firstLine="498"/>
        <w:spacing w:before="145" w:after="145" w:line="400" w:lineRule="exact"/>
        <w:rPr>
          <w:rFonts w:hint="eastAsia"/>
          <w:color w:val="000000"/>
        </w:rPr>
      </w:pPr>
      <w:r/>
      <w:bookmarkStart w:id="51" w:name="_Toc16938519"/>
      <w:r/>
      <w:bookmarkStart w:id="52" w:name="_Toc20823275"/>
      <w:r/>
      <w:bookmarkStart w:id="53" w:name="_Toc513029203"/>
      <w:r/>
      <w:bookmarkStart w:id="54" w:name="_Toc120614214"/>
      <w:r>
        <w:rPr>
          <w:rFonts w:hint="eastAsia"/>
          <w:color w:val="000000"/>
        </w:rPr>
        <w:t xml:space="preserve">一、总则</w:t>
      </w:r>
      <w:bookmarkEnd w:id="51"/>
      <w:r/>
      <w:bookmarkEnd w:id="52"/>
      <w:r/>
      <w:bookmarkEnd w:id="53"/>
      <w:r/>
      <w:bookmarkEnd w:id="54"/>
      <w:r/>
      <w:r/>
    </w:p>
    <w:p>
      <w:pPr>
        <w:pStyle w:val="1050"/>
        <w:ind w:firstLine="420"/>
        <w:spacing w:before="0" w:after="0" w:line="400" w:lineRule="exact"/>
        <w:rPr>
          <w:rFonts w:hint="eastAsia"/>
          <w:b w:val="0"/>
          <w:bCs w:val="0"/>
          <w:color w:val="000000"/>
        </w:rPr>
      </w:pPr>
      <w:r/>
      <w:bookmarkStart w:id="55" w:name="_Hlt16619475"/>
      <w:r/>
      <w:bookmarkEnd w:id="55"/>
      <w:r/>
      <w:bookmarkStart w:id="56" w:name="_Toc458694821"/>
      <w:r/>
      <w:bookmarkStart w:id="57" w:name="_Toc20823276"/>
      <w:r/>
      <w:bookmarkStart w:id="58" w:name="_Toc16938520"/>
      <w:r/>
      <w:bookmarkStart w:id="59" w:name="_Toc513029204"/>
      <w:r>
        <w:rPr>
          <w:rFonts w:hint="eastAsia"/>
          <w:b w:val="0"/>
          <w:bCs w:val="0"/>
          <w:color w:val="000000"/>
        </w:rPr>
        <w:t xml:space="preserve">1</w:t>
      </w:r>
      <w:bookmarkEnd w:id="56"/>
      <w:r>
        <w:rPr>
          <w:rFonts w:hint="eastAsia"/>
          <w:b w:val="0"/>
          <w:bCs w:val="0"/>
          <w:color w:val="000000"/>
        </w:rPr>
        <w:t xml:space="preserve">、招标方式</w:t>
      </w:r>
      <w:bookmarkEnd w:id="57"/>
      <w:r/>
      <w:bookmarkEnd w:id="58"/>
      <w:r/>
      <w:bookmarkEnd w:id="59"/>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50"/>
        <w:ind w:firstLine="420"/>
        <w:spacing w:before="0" w:after="0" w:line="400" w:lineRule="exact"/>
        <w:rPr>
          <w:rFonts w:hint="eastAsia"/>
          <w:b w:val="0"/>
          <w:bCs w:val="0"/>
          <w:color w:val="000000"/>
        </w:rPr>
      </w:pPr>
      <w:r/>
      <w:bookmarkStart w:id="60" w:name="_Toc513029205"/>
      <w:r/>
      <w:bookmarkStart w:id="61" w:name="_Toc16938521"/>
      <w:r/>
      <w:bookmarkStart w:id="62" w:name="_Toc20823277"/>
      <w:r>
        <w:rPr>
          <w:rFonts w:hint="eastAsia"/>
          <w:b w:val="0"/>
          <w:bCs w:val="0"/>
          <w:color w:val="000000"/>
        </w:rPr>
        <w:t xml:space="preserve">2、合格的投标人</w:t>
      </w:r>
      <w:bookmarkEnd w:id="60"/>
      <w:r/>
      <w:bookmarkEnd w:id="61"/>
      <w:r/>
      <w:bookmarkEnd w:id="62"/>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050"/>
        <w:ind w:firstLine="420"/>
        <w:spacing w:before="0" w:after="0" w:line="400" w:lineRule="exact"/>
        <w:rPr>
          <w:rFonts w:hint="eastAsia"/>
          <w:b w:val="0"/>
          <w:bCs w:val="0"/>
          <w:color w:val="000000"/>
        </w:rPr>
      </w:pPr>
      <w:r/>
      <w:bookmarkStart w:id="63" w:name="_Toc16938522"/>
      <w:r/>
      <w:bookmarkStart w:id="64" w:name="_Toc513029206"/>
      <w:r/>
      <w:bookmarkStart w:id="65" w:name="_Toc20823278"/>
      <w:r>
        <w:rPr>
          <w:rFonts w:hint="eastAsia"/>
          <w:b w:val="0"/>
          <w:bCs w:val="0"/>
          <w:color w:val="000000"/>
        </w:rPr>
        <w:t xml:space="preserve">3、适用法律</w:t>
      </w:r>
      <w:bookmarkEnd w:id="63"/>
      <w:r/>
      <w:bookmarkEnd w:id="64"/>
      <w:r/>
      <w:bookmarkEnd w:id="65"/>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50"/>
        <w:ind w:firstLine="420"/>
        <w:spacing w:before="0" w:after="0" w:line="400" w:lineRule="exact"/>
        <w:rPr>
          <w:rFonts w:hint="eastAsia"/>
          <w:b w:val="0"/>
          <w:bCs w:val="0"/>
          <w:color w:val="000000"/>
        </w:rPr>
      </w:pPr>
      <w:r/>
      <w:bookmarkStart w:id="66" w:name="_Toc513029207"/>
      <w:r/>
      <w:bookmarkStart w:id="67" w:name="_Toc20823279"/>
      <w:r/>
      <w:bookmarkStart w:id="68" w:name="_Toc462564067"/>
      <w:r/>
      <w:bookmarkStart w:id="69" w:name="_Toc16938523"/>
      <w:r>
        <w:rPr>
          <w:rFonts w:hint="eastAsia"/>
          <w:b w:val="0"/>
          <w:bCs w:val="0"/>
          <w:color w:val="000000"/>
        </w:rPr>
        <w:t xml:space="preserve">4、投标费用</w:t>
      </w:r>
      <w:bookmarkEnd w:id="66"/>
      <w:r/>
      <w:bookmarkEnd w:id="67"/>
      <w:r/>
      <w:bookmarkEnd w:id="68"/>
      <w:r/>
      <w:bookmarkEnd w:id="69"/>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扬州市公共资源交易中心仪征分中心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1050"/>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49"/>
        <w:ind w:firstLine="321"/>
        <w:spacing w:before="145" w:after="145" w:line="400" w:lineRule="exact"/>
        <w:rPr>
          <w:rFonts w:hint="eastAsia"/>
          <w:color w:val="000000"/>
        </w:rPr>
      </w:pPr>
      <w:r/>
      <w:bookmarkStart w:id="70" w:name="_Toc16938525"/>
      <w:r/>
      <w:bookmarkStart w:id="71" w:name="_Toc120614215"/>
      <w:r/>
      <w:bookmarkStart w:id="72" w:name="_Toc20823281"/>
      <w:r/>
      <w:bookmarkStart w:id="73" w:name="_Toc513029209"/>
      <w:r>
        <w:rPr>
          <w:rFonts w:hint="eastAsia"/>
          <w:color w:val="000000"/>
        </w:rPr>
        <w:t xml:space="preserve">二、招标文件</w:t>
      </w:r>
      <w:bookmarkEnd w:id="70"/>
      <w:r/>
      <w:bookmarkEnd w:id="71"/>
      <w:r/>
      <w:bookmarkEnd w:id="72"/>
      <w:r/>
      <w:bookmarkEnd w:id="73"/>
      <w:r/>
      <w:r/>
    </w:p>
    <w:p>
      <w:pPr>
        <w:pStyle w:val="1050"/>
        <w:ind w:firstLine="420"/>
        <w:spacing w:before="0" w:after="0" w:line="400" w:lineRule="exact"/>
        <w:rPr>
          <w:rFonts w:hint="eastAsia"/>
          <w:b w:val="0"/>
          <w:bCs w:val="0"/>
          <w:color w:val="000000"/>
        </w:rPr>
      </w:pPr>
      <w:r/>
      <w:bookmarkStart w:id="74" w:name="_Toc20823282"/>
      <w:r/>
      <w:bookmarkStart w:id="75" w:name="_Toc16938526"/>
      <w:r/>
      <w:bookmarkStart w:id="76" w:name="_Toc513029210"/>
      <w:r>
        <w:rPr>
          <w:rFonts w:hint="eastAsia"/>
          <w:b w:val="0"/>
          <w:bCs w:val="0"/>
          <w:color w:val="000000"/>
        </w:rPr>
        <w:t xml:space="preserve">6、招标文件构成</w:t>
      </w:r>
      <w:bookmarkEnd w:id="74"/>
      <w:r/>
      <w:bookmarkEnd w:id="75"/>
      <w:r/>
      <w:bookmarkEnd w:id="76"/>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0"/>
        <w:ind w:firstLine="560"/>
        <w:spacing w:before="0" w:after="0" w:line="400" w:lineRule="exact"/>
        <w:rPr>
          <w:rFonts w:hint="eastAsia"/>
          <w:b w:val="0"/>
          <w:bCs w:val="0"/>
          <w:color w:val="000000"/>
        </w:rPr>
      </w:pPr>
      <w:r/>
      <w:bookmarkStart w:id="77" w:name="_Toc513029212"/>
      <w:r/>
      <w:bookmarkStart w:id="78" w:name="_Toc20823284"/>
      <w:r/>
      <w:bookmarkStart w:id="79" w:name="_Toc16938528"/>
      <w:r/>
      <w:bookmarkStart w:id="80" w:name="_Toc462564071"/>
      <w:r>
        <w:rPr>
          <w:b w:val="0"/>
          <w:bCs w:val="0"/>
          <w:color w:val="000000"/>
        </w:rPr>
        <w:t xml:space="preserve">7</w:t>
      </w:r>
      <w:r>
        <w:rPr>
          <w:rFonts w:hint="eastAsia"/>
          <w:b w:val="0"/>
          <w:bCs w:val="0"/>
          <w:color w:val="000000"/>
        </w:rPr>
        <w:t xml:space="preserve">、招标文件的修改</w:t>
      </w:r>
      <w:bookmarkEnd w:id="77"/>
      <w:r/>
      <w:bookmarkEnd w:id="78"/>
      <w:r/>
      <w:bookmarkEnd w:id="79"/>
      <w:r/>
      <w:bookmarkEnd w:id="80"/>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49"/>
        <w:ind w:firstLine="482"/>
        <w:spacing w:before="145" w:after="145" w:line="400" w:lineRule="exact"/>
        <w:rPr>
          <w:rFonts w:hint="eastAsia"/>
          <w:color w:val="000000"/>
        </w:rPr>
      </w:pPr>
      <w:r/>
      <w:bookmarkStart w:id="81" w:name="_Toc20823285"/>
      <w:r/>
      <w:bookmarkStart w:id="82" w:name="_Toc513029213"/>
      <w:r/>
      <w:bookmarkStart w:id="83" w:name="_Toc120614216"/>
      <w:r/>
      <w:bookmarkStart w:id="84" w:name="_Toc16938529"/>
      <w:r/>
      <w:bookmarkStart w:id="85" w:name="_Toc462564072"/>
      <w:r>
        <w:rPr>
          <w:rFonts w:hint="eastAsia"/>
          <w:color w:val="000000"/>
        </w:rPr>
        <w:t xml:space="preserve">三、投标文件的编制</w:t>
      </w:r>
      <w:bookmarkEnd w:id="81"/>
      <w:r/>
      <w:bookmarkEnd w:id="82"/>
      <w:r/>
      <w:bookmarkEnd w:id="83"/>
      <w:r/>
      <w:bookmarkEnd w:id="84"/>
      <w:r/>
      <w:bookmarkEnd w:id="85"/>
      <w:r/>
      <w:r/>
    </w:p>
    <w:p>
      <w:pPr>
        <w:pStyle w:val="1050"/>
        <w:ind w:firstLine="560"/>
        <w:spacing w:before="0" w:after="0" w:line="400" w:lineRule="exact"/>
        <w:rPr>
          <w:rFonts w:hint="eastAsia"/>
          <w:bCs w:val="0"/>
          <w:color w:val="000000"/>
        </w:rPr>
      </w:pPr>
      <w:r/>
      <w:bookmarkStart w:id="86" w:name="_Toc16938530"/>
      <w:r/>
      <w:bookmarkStart w:id="87" w:name="_Toc462564073"/>
      <w:r/>
      <w:bookmarkStart w:id="88" w:name="_Toc513029214"/>
      <w:r/>
      <w:bookmarkStart w:id="89" w:name="_Toc20823286"/>
      <w:r>
        <w:rPr>
          <w:b w:val="0"/>
          <w:bCs w:val="0"/>
          <w:color w:val="000000"/>
        </w:rPr>
        <w:t xml:space="preserve">8</w:t>
      </w:r>
      <w:r>
        <w:rPr>
          <w:rFonts w:hint="eastAsia"/>
          <w:b w:val="0"/>
          <w:bCs w:val="0"/>
          <w:color w:val="000000"/>
        </w:rPr>
        <w:t xml:space="preserve">、投标文件的语言及度量衡单位</w:t>
      </w:r>
      <w:bookmarkEnd w:id="86"/>
      <w:r/>
      <w:bookmarkEnd w:id="87"/>
      <w:r/>
      <w:bookmarkEnd w:id="88"/>
      <w:r/>
      <w:bookmarkEnd w:id="89"/>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50"/>
        <w:ind w:firstLine="420"/>
        <w:spacing w:before="0" w:after="0" w:line="400" w:lineRule="exact"/>
        <w:rPr>
          <w:rFonts w:hint="eastAsia"/>
          <w:b w:val="0"/>
          <w:bCs w:val="0"/>
          <w:color w:val="000000"/>
        </w:rPr>
      </w:pPr>
      <w:r/>
      <w:bookmarkStart w:id="90" w:name="_Toc16938531"/>
      <w:r/>
      <w:bookmarkStart w:id="91" w:name="_Toc513029215"/>
      <w:r/>
      <w:bookmarkStart w:id="92" w:name="_Toc462564074"/>
      <w:r/>
      <w:bookmarkStart w:id="93" w:name="_Toc20823287"/>
      <w:r>
        <w:rPr>
          <w:b w:val="0"/>
          <w:bCs w:val="0"/>
          <w:color w:val="000000"/>
        </w:rPr>
        <w:t xml:space="preserve">9</w:t>
      </w:r>
      <w:r>
        <w:rPr>
          <w:rFonts w:hint="eastAsia"/>
          <w:b w:val="0"/>
          <w:bCs w:val="0"/>
          <w:color w:val="000000"/>
        </w:rPr>
        <w:t xml:space="preserve">、投标文件构成</w:t>
      </w:r>
      <w:bookmarkEnd w:id="90"/>
      <w:r/>
      <w:bookmarkEnd w:id="91"/>
      <w:r/>
      <w:bookmarkEnd w:id="92"/>
      <w:r/>
      <w:bookmarkEnd w:id="93"/>
      <w:r/>
      <w:r/>
    </w:p>
    <w:p>
      <w:pPr>
        <w:pStyle w:val="889"/>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1050"/>
        <w:ind w:firstLine="420"/>
        <w:spacing w:before="0" w:after="0" w:line="400" w:lineRule="exact"/>
        <w:rPr>
          <w:rFonts w:hint="eastAsia"/>
          <w:b w:val="0"/>
          <w:bCs w:val="0"/>
          <w:color w:val="000000"/>
        </w:rPr>
      </w:pPr>
      <w:r/>
      <w:bookmarkStart w:id="94" w:name="_Hlt26668975"/>
      <w:r/>
      <w:bookmarkEnd w:id="94"/>
      <w:r/>
      <w:bookmarkStart w:id="95" w:name="_Hlt26670360"/>
      <w:r/>
      <w:bookmarkEnd w:id="95"/>
      <w:r/>
      <w:bookmarkStart w:id="96" w:name="_Hlt26954838"/>
      <w:r/>
      <w:bookmarkEnd w:id="96"/>
      <w:r/>
      <w:bookmarkStart w:id="97" w:name="_Toc14577357"/>
      <w:r/>
      <w:bookmarkStart w:id="98" w:name="_Toc513029219"/>
      <w:r/>
      <w:bookmarkStart w:id="99" w:name="_Toc49090509"/>
      <w:r/>
      <w:bookmarkStart w:id="100" w:name="_Toc513029216"/>
      <w:r/>
      <w:bookmarkStart w:id="101" w:name="_Toc49090507"/>
      <w:r/>
      <w:bookmarkStart w:id="102"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hint="default" w:ascii="宋体" w:hAnsi="宋体" w:eastAsia="宋体"/>
          <w:color w:val="000000"/>
          <w:sz w:val="24"/>
          <w:szCs w:val="24"/>
          <w:lang w:val="en-US" w:eastAsia="zh-CN"/>
        </w:rPr>
      </w:pPr>
      <w:r/>
      <w:bookmarkStart w:id="103" w:name="_Toc14577355"/>
      <w:r/>
      <w:bookmarkStart w:id="104"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5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3"/>
      <w:r/>
      <w:bookmarkStart w:id="105" w:name="_Hlt26670373"/>
      <w:r/>
      <w:bookmarkEnd w:id="105"/>
      <w:r>
        <w:rPr>
          <w:rFonts w:hint="eastAsia"/>
          <w:b w:val="0"/>
          <w:bCs w:val="0"/>
          <w:color w:val="000000"/>
        </w:rPr>
        <w:t xml:space="preserve">表</w:t>
      </w:r>
      <w:bookmarkEnd w:id="104"/>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6" w:name="_Hlt26954840"/>
      <w:r/>
      <w:bookmarkEnd w:id="106"/>
      <w:r>
        <w:rPr>
          <w:rFonts w:hint="eastAsia" w:ascii="宋体" w:hAnsi="宋体"/>
          <w:color w:val="000000"/>
          <w:sz w:val="24"/>
        </w:rPr>
        <w:t xml:space="preserve">标人按照招标文件规定格式填报投标分项报价表</w:t>
      </w:r>
      <w:bookmarkStart w:id="107" w:name="_Hlt26670399"/>
      <w:r/>
      <w:bookmarkEnd w:id="107"/>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50"/>
        <w:ind w:firstLine="420"/>
        <w:spacing w:before="0" w:after="0" w:line="400" w:lineRule="exact"/>
        <w:rPr>
          <w:rFonts w:hint="eastAsia"/>
          <w:b w:val="0"/>
          <w:bCs w:val="0"/>
          <w:color w:val="000000"/>
        </w:rPr>
      </w:pPr>
      <w:r/>
      <w:bookmarkStart w:id="108" w:name="_Hlt26668983"/>
      <w:r/>
      <w:bookmarkEnd w:id="108"/>
      <w:r/>
      <w:bookmarkStart w:id="109" w:name="_Hlt26670403"/>
      <w:r/>
      <w:bookmarkEnd w:id="109"/>
      <w:r/>
      <w:bookmarkStart w:id="110" w:name="_Hlt26954848"/>
      <w:r/>
      <w:bookmarkEnd w:id="110"/>
      <w:r/>
      <w:bookmarkStart w:id="111" w:name="_Hlt26670486"/>
      <w:r/>
      <w:bookmarkEnd w:id="111"/>
      <w:r/>
      <w:bookmarkStart w:id="112" w:name="_Hlt26954844"/>
      <w:r/>
      <w:bookmarkEnd w:id="112"/>
      <w:r/>
      <w:bookmarkStart w:id="113" w:name="_Hlt26954846"/>
      <w:r/>
      <w:bookmarkEnd w:id="113"/>
      <w:r/>
      <w:bookmarkStart w:id="114" w:name="_Hlt26954842"/>
      <w:r/>
      <w:bookmarkEnd w:id="114"/>
      <w:r/>
      <w:bookmarkStart w:id="115" w:name="_Hlt26670425"/>
      <w:r/>
      <w:bookmarkEnd w:id="115"/>
      <w:r/>
      <w:bookmarkStart w:id="116" w:name="_Hlt26954731"/>
      <w:r/>
      <w:bookmarkEnd w:id="116"/>
      <w:r/>
      <w:bookmarkStart w:id="117" w:name="_Hlt26670482"/>
      <w:r/>
      <w:bookmarkEnd w:id="117"/>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8" w:name="_Toc49090510"/>
      <w:r/>
      <w:bookmarkStart w:id="119"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5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8"/>
      <w:r/>
      <w:bookmarkEnd w:id="119"/>
      <w:r/>
      <w:r/>
    </w:p>
    <w:p>
      <w:pPr>
        <w:pStyle w:val="1050"/>
        <w:ind w:firstLine="420"/>
        <w:spacing w:before="0" w:after="0" w:line="400" w:lineRule="exact"/>
        <w:rPr>
          <w:rFonts w:hint="eastAsia"/>
          <w:b w:val="0"/>
          <w:bCs w:val="0"/>
          <w:color w:val="000000"/>
        </w:rPr>
      </w:pPr>
      <w:r/>
      <w:bookmarkStart w:id="120" w:name="_Hlt26954734"/>
      <w:r/>
      <w:bookmarkEnd w:id="120"/>
      <w:r/>
      <w:bookmarkStart w:id="121" w:name="_Hlt26954850"/>
      <w:r/>
      <w:bookmarkEnd w:id="121"/>
      <w:r/>
      <w:bookmarkStart w:id="122" w:name="_Hlt26670489"/>
      <w:r/>
      <w:bookmarkEnd w:id="122"/>
      <w:r/>
      <w:bookmarkStart w:id="123" w:name="_Toc14577360"/>
      <w:r/>
      <w:bookmarkStart w:id="124"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3"/>
      <w:r/>
      <w:bookmarkEnd w:id="124"/>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5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49"/>
        <w:ind w:firstLine="482"/>
        <w:spacing w:before="145" w:after="145" w:line="400" w:lineRule="exact"/>
        <w:rPr>
          <w:rFonts w:hint="eastAsia"/>
          <w:color w:val="000000"/>
        </w:rPr>
      </w:pPr>
      <w:r/>
      <w:bookmarkStart w:id="125" w:name="_Hlt26954739"/>
      <w:r/>
      <w:bookmarkEnd w:id="125"/>
      <w:r/>
      <w:bookmarkStart w:id="126" w:name="_Hlt26954852"/>
      <w:r/>
      <w:bookmarkEnd w:id="126"/>
      <w:r/>
      <w:bookmarkStart w:id="127" w:name="_Toc120614217"/>
      <w:r/>
      <w:bookmarkStart w:id="128" w:name="_Toc16938540"/>
      <w:r/>
      <w:bookmarkStart w:id="129" w:name="_Toc20823296"/>
      <w:r/>
      <w:bookmarkStart w:id="130" w:name="_Toc513029224"/>
      <w:r>
        <w:rPr>
          <w:rFonts w:hint="eastAsia"/>
          <w:color w:val="000000"/>
        </w:rPr>
        <w:t xml:space="preserve">四、投标文件的递交</w:t>
      </w:r>
      <w:bookmarkEnd w:id="127"/>
      <w:r/>
      <w:bookmarkEnd w:id="128"/>
      <w:r/>
      <w:bookmarkEnd w:id="129"/>
      <w:r/>
      <w:bookmarkEnd w:id="130"/>
      <w:r/>
      <w:r/>
    </w:p>
    <w:p>
      <w:pPr>
        <w:pStyle w:val="1050"/>
        <w:ind w:firstLine="560"/>
        <w:spacing w:before="0" w:after="0" w:line="400" w:lineRule="exact"/>
        <w:rPr>
          <w:rFonts w:hint="eastAsia" w:ascii="黑体"/>
          <w:b w:val="0"/>
          <w:bCs w:val="0"/>
          <w:color w:val="000000"/>
        </w:rPr>
      </w:pPr>
      <w:r/>
      <w:bookmarkStart w:id="131" w:name="_Toc513029225"/>
      <w:r/>
      <w:bookmarkStart w:id="132" w:name="_Toc16938541"/>
      <w:r/>
      <w:bookmarkStart w:id="133" w:name="_Toc462564084"/>
      <w:r/>
      <w:bookmarkStart w:id="134" w:name="_Toc20823297"/>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31"/>
      <w:r/>
      <w:bookmarkEnd w:id="132"/>
      <w:r/>
      <w:bookmarkEnd w:id="133"/>
      <w:r/>
      <w:bookmarkEnd w:id="134"/>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5" w:name="_Toc20823298"/>
      <w:r/>
      <w:bookmarkStart w:id="136" w:name="_Toc513029226"/>
      <w:r/>
      <w:bookmarkStart w:id="137" w:name="_Toc16938542"/>
      <w:r/>
      <w:r/>
    </w:p>
    <w:p>
      <w:pPr>
        <w:pStyle w:val="1050"/>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5"/>
      <w:r/>
      <w:bookmarkEnd w:id="136"/>
      <w:r/>
      <w:bookmarkEnd w:id="137"/>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1050"/>
        <w:ind w:firstLine="420"/>
        <w:spacing w:before="0" w:after="0" w:line="400" w:lineRule="exact"/>
        <w:rPr>
          <w:rFonts w:hint="eastAsia"/>
          <w:b w:val="0"/>
          <w:bCs w:val="0"/>
          <w:color w:val="000000"/>
        </w:rPr>
      </w:pPr>
      <w:r/>
      <w:bookmarkStart w:id="138" w:name="_Toc16938543"/>
      <w:r/>
      <w:bookmarkStart w:id="139" w:name="_Toc513029227"/>
      <w:r/>
      <w:bookmarkStart w:id="140"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8"/>
      <w:r/>
      <w:bookmarkEnd w:id="139"/>
      <w:r/>
      <w:bookmarkEnd w:id="140"/>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1050"/>
        <w:ind w:firstLine="420"/>
        <w:spacing w:before="0" w:after="0" w:line="400" w:lineRule="exact"/>
        <w:rPr>
          <w:rFonts w:hint="eastAsia"/>
          <w:b w:val="0"/>
          <w:bCs w:val="0"/>
          <w:color w:val="000000"/>
        </w:rPr>
      </w:pPr>
      <w:r/>
      <w:bookmarkStart w:id="141" w:name="_Toc20823300"/>
      <w:r/>
      <w:bookmarkStart w:id="142" w:name="_Toc16938544"/>
      <w:r/>
      <w:bookmarkStart w:id="143" w:name="_Toc513029228"/>
      <w:r>
        <w:rPr>
          <w:b w:val="0"/>
          <w:bCs w:val="0"/>
          <w:color w:val="000000"/>
        </w:rPr>
        <w:t xml:space="preserve">19</w:t>
      </w:r>
      <w:r>
        <w:rPr>
          <w:rFonts w:hint="eastAsia"/>
          <w:b w:val="0"/>
          <w:bCs w:val="0"/>
          <w:color w:val="000000"/>
        </w:rPr>
        <w:t xml:space="preserve">、投标文件的撤回和修改</w:t>
      </w:r>
      <w:bookmarkEnd w:id="141"/>
      <w:r/>
      <w:bookmarkEnd w:id="142"/>
      <w:r/>
      <w:bookmarkEnd w:id="143"/>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49"/>
        <w:ind w:firstLine="482"/>
        <w:spacing w:before="145" w:after="145" w:line="400" w:lineRule="exact"/>
        <w:rPr>
          <w:rFonts w:hint="eastAsia"/>
          <w:color w:val="000000"/>
        </w:rPr>
      </w:pPr>
      <w:r/>
      <w:bookmarkStart w:id="144" w:name="_Toc120614218"/>
      <w:r/>
      <w:bookmarkStart w:id="145" w:name="_Toc513029229"/>
      <w:r/>
      <w:bookmarkStart w:id="146" w:name="_Toc20823301"/>
      <w:r/>
      <w:bookmarkStart w:id="147" w:name="_Toc16938545"/>
      <w:r>
        <w:rPr>
          <w:rFonts w:hint="eastAsia"/>
          <w:color w:val="000000"/>
        </w:rPr>
        <w:t xml:space="preserve">五、开标与评标</w:t>
      </w:r>
      <w:bookmarkEnd w:id="144"/>
      <w:r/>
      <w:bookmarkEnd w:id="145"/>
      <w:r/>
      <w:bookmarkEnd w:id="146"/>
      <w:r/>
      <w:bookmarkEnd w:id="147"/>
      <w:r/>
      <w:r/>
    </w:p>
    <w:p>
      <w:pPr>
        <w:pStyle w:val="1050"/>
        <w:ind w:firstLine="420"/>
        <w:spacing w:before="0" w:after="0" w:line="400" w:lineRule="exact"/>
        <w:rPr>
          <w:rFonts w:hint="eastAsia"/>
          <w:b w:val="0"/>
          <w:bCs w:val="0"/>
          <w:color w:val="000000"/>
        </w:rPr>
      </w:pPr>
      <w:r/>
      <w:bookmarkStart w:id="148" w:name="_Toc513029230"/>
      <w:r/>
      <w:bookmarkStart w:id="149" w:name="_Toc20823302"/>
      <w:r/>
      <w:bookmarkStart w:id="150"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8"/>
      <w:r/>
      <w:bookmarkEnd w:id="149"/>
      <w:r/>
      <w:bookmarkEnd w:id="150"/>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50"/>
        <w:ind w:firstLine="420"/>
        <w:spacing w:before="0" w:after="0" w:line="400" w:lineRule="exact"/>
        <w:rPr>
          <w:rFonts w:hint="eastAsia"/>
          <w:b w:val="0"/>
          <w:bCs w:val="0"/>
          <w:color w:val="000000"/>
        </w:rPr>
      </w:pPr>
      <w:r/>
      <w:bookmarkStart w:id="151" w:name="_Toc16938547"/>
      <w:r/>
      <w:bookmarkStart w:id="152" w:name="_Toc20823303"/>
      <w:r/>
      <w:bookmarkStart w:id="153"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1050"/>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1"/>
      <w:r/>
      <w:bookmarkEnd w:id="152"/>
      <w:r/>
      <w:bookmarkEnd w:id="153"/>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w:t>
      </w:r>
      <w:r>
        <w:rPr>
          <w:rFonts w:hint="eastAsia" w:ascii="宋体" w:hAnsi="宋体"/>
          <w:color w:val="000000"/>
          <w:sz w:val="24"/>
          <w:szCs w:val="24"/>
          <w:highlight w:val="none"/>
        </w:rPr>
        <w:t xml:space="preserve">限届满之日</w:t>
      </w:r>
      <w:r>
        <w:rPr>
          <w:rFonts w:hint="eastAsia" w:ascii="宋体" w:hAnsi="宋体"/>
          <w:color w:val="000000"/>
          <w:sz w:val="24"/>
          <w:szCs w:val="24"/>
        </w:rPr>
        <w:t xml:space="preserve">起通过苏采云系统查看自己的评审得分及排序情况。</w:t>
      </w:r>
      <w:r/>
    </w:p>
    <w:p>
      <w:pPr>
        <w:pStyle w:val="1050"/>
        <w:ind w:firstLine="420"/>
        <w:spacing w:before="0" w:after="0" w:line="400" w:lineRule="exact"/>
        <w:rPr>
          <w:rFonts w:hint="eastAsia"/>
          <w:b w:val="0"/>
          <w:bCs w:val="0"/>
          <w:color w:val="000000"/>
        </w:rPr>
      </w:pPr>
      <w:r/>
      <w:bookmarkStart w:id="154" w:name="_Toc16938548"/>
      <w:r/>
      <w:bookmarkStart w:id="155" w:name="_Toc20823304"/>
      <w:r/>
      <w:bookmarkStart w:id="156"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4"/>
      <w:r/>
      <w:bookmarkEnd w:id="155"/>
      <w:r/>
      <w:bookmarkEnd w:id="156"/>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50"/>
        <w:ind w:firstLine="420"/>
        <w:spacing w:before="0" w:after="0" w:line="400" w:lineRule="exact"/>
        <w:rPr>
          <w:rFonts w:hint="eastAsia"/>
          <w:b w:val="0"/>
          <w:bCs w:val="0"/>
          <w:color w:val="000000"/>
        </w:rPr>
      </w:pPr>
      <w:r/>
      <w:bookmarkStart w:id="157" w:name="_Toc20823305"/>
      <w:r/>
      <w:bookmarkStart w:id="158" w:name="_Toc16938549"/>
      <w:r/>
      <w:bookmarkStart w:id="159"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7"/>
      <w:r/>
      <w:bookmarkEnd w:id="158"/>
      <w:r/>
      <w:bookmarkEnd w:id="159"/>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60" w:name="_Toc513029234"/>
      <w:r/>
      <w:bookmarkStart w:id="161" w:name="_Toc20823306"/>
      <w:r/>
      <w:bookmarkStart w:id="162"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1050"/>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60"/>
      <w:r/>
      <w:bookmarkEnd w:id="161"/>
      <w:r/>
      <w:bookmarkEnd w:id="162"/>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3" w:name="_Toc20823307"/>
      <w:r/>
      <w:bookmarkStart w:id="164" w:name="_Toc513029235"/>
      <w:r/>
      <w:bookmarkStart w:id="165"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ff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ff0000"/>
          <w:sz w:val="24"/>
          <w:szCs w:val="21"/>
          <w:highlight w:val="none"/>
          <w:lang w:val="en-US" w:eastAsia="zh-CN"/>
        </w:rPr>
        <w:t xml:space="preserve">25.1.10.1</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bidi="ar"/>
        </w:rPr>
        <w:t xml:space="preserve">投标（响应）报价低于全部通过符合性审查供应商投标（响应）报价平均值</w:t>
      </w:r>
      <w:r>
        <w:rPr>
          <w:rFonts w:hint="eastAsia" w:ascii="宋体" w:hAnsi="宋体" w:cs="宋体"/>
          <w:i w:val="0"/>
          <w:iCs w:val="0"/>
          <w:caps w:val="0"/>
          <w:color w:val="ff0000"/>
          <w:spacing w:val="0"/>
          <w:sz w:val="24"/>
          <w:szCs w:val="24"/>
          <w:highlight w:val="none"/>
          <w:shd w:val="clear" w:color="auto" w:fill="ffffff"/>
          <w:vertAlign w:val="baseline"/>
          <w:lang w:val="en-US" w:eastAsia="zh-CN" w:bidi="ar"/>
        </w:rPr>
        <w:t xml:space="preserve">65</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bidi="ar"/>
        </w:rPr>
        <w:t xml:space="preserve">%的，即投标（响应）报价&lt;全部通过符合性审查供应商投标（响应）报价平均值×</w:t>
      </w:r>
      <w:r>
        <w:rPr>
          <w:rFonts w:hint="eastAsia" w:ascii="宋体" w:hAnsi="宋体" w:cs="宋体"/>
          <w:i w:val="0"/>
          <w:iCs w:val="0"/>
          <w:caps w:val="0"/>
          <w:color w:val="ff0000"/>
          <w:spacing w:val="0"/>
          <w:sz w:val="24"/>
          <w:szCs w:val="24"/>
          <w:highlight w:val="none"/>
          <w:shd w:val="clear" w:color="auto" w:fill="ffffff"/>
          <w:vertAlign w:val="baseline"/>
          <w:lang w:val="en-US" w:eastAsia="zh-CN" w:bidi="ar"/>
        </w:rPr>
        <w:t xml:space="preserve">65</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bidi="ar"/>
        </w:rPr>
        <w:t xml:space="preserve">%；</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ff0000"/>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ff0000"/>
          <w:sz w:val="24"/>
          <w:szCs w:val="21"/>
          <w:highlight w:val="none"/>
          <w:lang w:val="en-US" w:eastAsia="zh-CN"/>
        </w:rPr>
        <w:t xml:space="preserve">25.1.10.2</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bidi="ar"/>
        </w:rPr>
        <w:t xml:space="preserve">投标（响应）报价低于通过符合性审查的次低报价供应商投标（响应）报价</w:t>
      </w:r>
      <w:r>
        <w:rPr>
          <w:rFonts w:hint="eastAsia" w:ascii="宋体" w:hAnsi="宋体" w:cs="宋体"/>
          <w:i w:val="0"/>
          <w:iCs w:val="0"/>
          <w:caps w:val="0"/>
          <w:color w:val="ff0000"/>
          <w:spacing w:val="0"/>
          <w:sz w:val="24"/>
          <w:szCs w:val="24"/>
          <w:highlight w:val="none"/>
          <w:shd w:val="clear" w:color="auto" w:fill="ffffff"/>
          <w:vertAlign w:val="baseline"/>
          <w:lang w:val="en-US" w:eastAsia="zh-CN" w:bidi="ar"/>
        </w:rPr>
        <w:t xml:space="preserve">65</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bidi="ar"/>
        </w:rPr>
        <w:t xml:space="preserve">%的，即投标（响应）报价&lt;通过符合性审查的次低报价供应商投标（响应）报价×</w:t>
      </w:r>
      <w:r>
        <w:rPr>
          <w:rFonts w:hint="eastAsia" w:ascii="宋体" w:hAnsi="宋体" w:cs="宋体"/>
          <w:i w:val="0"/>
          <w:iCs w:val="0"/>
          <w:caps w:val="0"/>
          <w:color w:val="ff0000"/>
          <w:spacing w:val="0"/>
          <w:sz w:val="24"/>
          <w:szCs w:val="24"/>
          <w:highlight w:val="none"/>
          <w:shd w:val="clear" w:color="auto" w:fill="ffffff"/>
          <w:vertAlign w:val="baseline"/>
          <w:lang w:val="en-US" w:eastAsia="zh-CN" w:bidi="ar"/>
        </w:rPr>
        <w:t xml:space="preserve">65</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bidi="ar"/>
        </w:rPr>
        <w:t xml:space="preserve">%；</w:t>
      </w:r>
      <w:r/>
    </w:p>
    <w:p>
      <w:pPr>
        <w:ind w:firstLine="480"/>
        <w:spacing w:line="400" w:lineRule="exact"/>
        <w:rPr>
          <w:rFonts w:hint="eastAsia" w:ascii="宋体" w:hAnsi="宋体"/>
          <w:bCs/>
          <w:color w:val="ff0000"/>
          <w:sz w:val="24"/>
          <w:szCs w:val="21"/>
          <w:highlight w:val="none"/>
        </w:rPr>
      </w:pPr>
      <w:r>
        <w:rPr>
          <w:rFonts w:hint="eastAsia" w:ascii="宋体" w:hAnsi="宋体"/>
          <w:bCs/>
          <w:color w:val="ff0000"/>
          <w:sz w:val="24"/>
          <w:szCs w:val="21"/>
          <w:highlight w:val="none"/>
          <w:lang w:val="en-US" w:eastAsia="zh-CN"/>
        </w:rPr>
        <w:t xml:space="preserve">25.1.10.3</w:t>
      </w:r>
      <w:r>
        <w:rPr>
          <w:rFonts w:hint="eastAsia" w:ascii="宋体" w:hAnsi="宋体"/>
          <w:bCs/>
          <w:color w:val="ff0000"/>
          <w:sz w:val="24"/>
          <w:szCs w:val="21"/>
          <w:highlight w:val="none"/>
        </w:rPr>
        <w:t xml:space="preserve">投标（响应）报价低于采购项目最高限价</w:t>
      </w:r>
      <w:r>
        <w:rPr>
          <w:rFonts w:hint="eastAsia" w:ascii="宋体" w:hAnsi="宋体"/>
          <w:bCs/>
          <w:color w:val="ff0000"/>
          <w:sz w:val="24"/>
          <w:szCs w:val="21"/>
          <w:highlight w:val="none"/>
          <w:lang w:val="en-US" w:eastAsia="zh-CN"/>
        </w:rPr>
        <w:t xml:space="preserve">65</w:t>
      </w:r>
      <w:r>
        <w:rPr>
          <w:rFonts w:hint="eastAsia" w:ascii="宋体" w:hAnsi="宋体"/>
          <w:bCs/>
          <w:color w:val="ff0000"/>
          <w:sz w:val="24"/>
          <w:szCs w:val="21"/>
          <w:highlight w:val="none"/>
        </w:rPr>
        <w:t xml:space="preserve">% 的，即投标（响应）报价&lt;采购项目最高限价×</w:t>
      </w:r>
      <w:r>
        <w:rPr>
          <w:rFonts w:hint="eastAsia" w:ascii="宋体" w:hAnsi="宋体"/>
          <w:bCs/>
          <w:color w:val="ff0000"/>
          <w:sz w:val="24"/>
          <w:szCs w:val="21"/>
          <w:highlight w:val="none"/>
          <w:lang w:val="en-US" w:eastAsia="zh-CN"/>
        </w:rPr>
        <w:t xml:space="preserve">65</w:t>
      </w:r>
      <w:r>
        <w:rPr>
          <w:rFonts w:hint="eastAsia" w:ascii="宋体" w:hAnsi="宋体"/>
          <w:bCs/>
          <w:color w:val="ff0000"/>
          <w:sz w:val="24"/>
          <w:szCs w:val="21"/>
          <w:highlight w:val="none"/>
        </w:rPr>
        <w:t xml:space="preserve">% ；</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.1.10.</w:t>
      </w:r>
      <w:r>
        <w:rPr>
          <w:rFonts w:hint="eastAsia" w:ascii="宋体" w:hAnsi="宋体"/>
          <w:color w:val="auto"/>
          <w:sz w:val="24"/>
          <w:szCs w:val="24"/>
          <w:highlight w:val="none"/>
          <w:lang w:val="en-US" w:eastAsia="zh-CN"/>
        </w:rPr>
        <w:t xml:space="preserve">4</w:t>
      </w:r>
      <w:r>
        <w:rPr>
          <w:rFonts w:hint="eastAsia" w:ascii="宋体" w:hAnsi="宋体"/>
          <w:bCs/>
          <w:color w:val="auto"/>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.1.10.</w:t>
      </w:r>
      <w:r>
        <w:rPr>
          <w:rFonts w:hint="eastAsia" w:ascii="宋体" w:hAnsi="宋体"/>
          <w:color w:val="auto"/>
          <w:sz w:val="24"/>
          <w:szCs w:val="24"/>
          <w:highlight w:val="none"/>
          <w:lang w:val="en-US" w:eastAsia="zh-CN"/>
        </w:rPr>
        <w:t xml:space="preserve">5</w:t>
      </w: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383838"/>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eastAsia="宋体" w:cs="宋体"/>
          <w:i w:val="0"/>
          <w:iCs w:val="0"/>
          <w:caps w:val="0"/>
          <w:color w:val="383838"/>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49"/>
        <w:ind w:firstLine="482"/>
        <w:spacing w:before="145" w:after="145" w:line="400" w:lineRule="exact"/>
        <w:rPr>
          <w:rFonts w:hint="eastAsia"/>
          <w:color w:val="000000"/>
        </w:rPr>
      </w:pPr>
      <w:r/>
      <w:bookmarkStart w:id="166" w:name="_Toc120614219"/>
      <w:r>
        <w:rPr>
          <w:rFonts w:hint="eastAsia"/>
          <w:color w:val="000000"/>
        </w:rPr>
        <w:t xml:space="preserve">六、</w:t>
      </w:r>
      <w:bookmarkEnd w:id="163"/>
      <w:r/>
      <w:bookmarkEnd w:id="164"/>
      <w:r/>
      <w:bookmarkEnd w:id="165"/>
      <w:r>
        <w:rPr>
          <w:rFonts w:hint="eastAsia"/>
          <w:color w:val="000000"/>
        </w:rPr>
        <w:t xml:space="preserve">定标</w:t>
      </w:r>
      <w:bookmarkEnd w:id="166"/>
      <w:r/>
      <w:r/>
    </w:p>
    <w:p>
      <w:pPr>
        <w:pStyle w:val="1050"/>
        <w:ind w:firstLine="600"/>
        <w:spacing w:before="0" w:after="0" w:line="400" w:lineRule="exact"/>
        <w:rPr>
          <w:rFonts w:hint="eastAsia" w:ascii="黑体" w:hAnsi="宋体" w:cs="Times New Roman"/>
          <w:b w:val="0"/>
          <w:color w:val="000000"/>
          <w:sz w:val="30"/>
          <w:szCs w:val="30"/>
        </w:rPr>
      </w:pPr>
      <w:r/>
      <w:bookmarkStart w:id="167" w:name="_Toc513029238"/>
      <w:r/>
      <w:bookmarkStart w:id="168" w:name="_Toc20823310"/>
      <w:r/>
      <w:bookmarkStart w:id="169"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7"/>
      <w:r>
        <w:rPr>
          <w:rFonts w:hint="eastAsia" w:ascii="黑体" w:hAnsi="宋体" w:cs="Times New Roman"/>
          <w:b w:val="0"/>
          <w:color w:val="000000"/>
          <w:sz w:val="30"/>
          <w:szCs w:val="30"/>
        </w:rPr>
        <w:t xml:space="preserve">确定</w:t>
      </w:r>
      <w:bookmarkEnd w:id="168"/>
      <w:r/>
      <w:bookmarkEnd w:id="169"/>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70"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105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7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105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1"/>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49"/>
        <w:spacing w:before="145" w:after="145" w:line="400" w:lineRule="exact"/>
        <w:rPr>
          <w:rFonts w:hint="eastAsia"/>
          <w:color w:val="000000"/>
        </w:rPr>
      </w:pPr>
      <w:r/>
      <w:bookmarkStart w:id="171" w:name="_Toc120614220"/>
      <w:r/>
      <w:bookmarkStart w:id="172" w:name="_Toc513029236"/>
      <w:r/>
      <w:bookmarkStart w:id="173" w:name="_Toc20823308"/>
      <w:r/>
      <w:bookmarkStart w:id="174" w:name="_Toc16938552"/>
      <w:r>
        <w:rPr>
          <w:rFonts w:hint="eastAsia"/>
          <w:color w:val="000000"/>
        </w:rPr>
        <w:t xml:space="preserve">七、授予合同</w:t>
      </w:r>
      <w:bookmarkEnd w:id="171"/>
      <w:r/>
      <w:bookmarkEnd w:id="172"/>
      <w:r/>
      <w:bookmarkEnd w:id="173"/>
      <w:r/>
      <w:bookmarkEnd w:id="174"/>
      <w:r/>
      <w:r/>
    </w:p>
    <w:p>
      <w:pPr>
        <w:pStyle w:val="1050"/>
        <w:ind w:firstLine="600"/>
        <w:spacing w:before="0" w:after="0" w:line="400" w:lineRule="exact"/>
        <w:rPr>
          <w:rFonts w:hint="eastAsia" w:ascii="黑体" w:hAnsi="宋体" w:cs="Times New Roman"/>
          <w:b w:val="0"/>
          <w:color w:val="000000"/>
          <w:sz w:val="30"/>
          <w:szCs w:val="30"/>
        </w:rPr>
      </w:pPr>
      <w:r/>
      <w:bookmarkStart w:id="175" w:name="_Toc513029237"/>
      <w:r/>
      <w:bookmarkStart w:id="176" w:name="_Toc16938553"/>
      <w:r/>
      <w:bookmarkStart w:id="177"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5"/>
      <w:r/>
      <w:bookmarkEnd w:id="176"/>
      <w:r/>
      <w:bookmarkEnd w:id="177"/>
      <w:r/>
      <w:r/>
    </w:p>
    <w:p>
      <w:pPr>
        <w:pStyle w:val="1050"/>
        <w:ind w:firstLine="600"/>
        <w:spacing w:before="0" w:after="0" w:line="400" w:lineRule="exact"/>
        <w:rPr>
          <w:rFonts w:ascii="黑体" w:hAnsi="宋体" w:cs="Times New Roman"/>
          <w:b w:val="0"/>
          <w:color w:val="000000"/>
          <w:sz w:val="30"/>
          <w:szCs w:val="30"/>
        </w:rPr>
      </w:pPr>
      <w:r/>
      <w:bookmarkStart w:id="178" w:name="_Toc16938558"/>
      <w:r/>
      <w:bookmarkStart w:id="179" w:name="_Toc120614221"/>
      <w:r/>
      <w:bookmarkStart w:id="180" w:name="_Toc479757207"/>
      <w:r/>
      <w:bookmarkStart w:id="181" w:name="_Toc20823314"/>
      <w:r/>
      <w:bookmarkStart w:id="182" w:name="_Toc513029242"/>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1048"/>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048"/>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46"/>
        <w:rPr>
          <w:rFonts w:ascii="黑体" w:eastAsia="黑体"/>
          <w:bCs/>
          <w:color w:val="000000"/>
          <w:sz w:val="44"/>
        </w:rPr>
      </w:pPr>
      <w:r>
        <w:rPr>
          <w:rFonts w:ascii="黑体" w:eastAsia="黑体"/>
          <w:bCs/>
          <w:color w:val="000000"/>
          <w:sz w:val="44"/>
        </w:rPr>
      </w:r>
      <w:r/>
    </w:p>
    <w:p>
      <w:pPr>
        <w:pStyle w:val="1046"/>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1046"/>
        <w:rPr>
          <w:rFonts w:ascii="黑体" w:eastAsia="黑体"/>
          <w:bCs/>
          <w:color w:val="000000"/>
          <w:sz w:val="44"/>
        </w:rPr>
      </w:pPr>
      <w:r>
        <w:rPr>
          <w:rFonts w:ascii="黑体" w:eastAsia="黑体"/>
          <w:bCs/>
          <w:color w:val="000000"/>
          <w:sz w:val="44"/>
        </w:rPr>
      </w:r>
      <w:r/>
    </w:p>
    <w:p>
      <w:pPr>
        <w:pStyle w:val="1046"/>
        <w:rPr>
          <w:rFonts w:hint="eastAsia"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1046"/>
        <w:rPr>
          <w:rFonts w:hint="eastAsia" w:ascii="黑体" w:eastAsia="黑体"/>
          <w:bCs/>
          <w:color w:val="000000"/>
          <w:sz w:val="44"/>
        </w:rPr>
      </w:pPr>
      <w:r>
        <w:rPr>
          <w:rFonts w:hint="eastAsia" w:ascii="黑体" w:eastAsia="黑体"/>
          <w:bCs/>
          <w:color w:val="000000"/>
          <w:sz w:val="44"/>
        </w:rPr>
        <w:t xml:space="preserve">第三章  合同</w:t>
      </w:r>
      <w:bookmarkEnd w:id="178"/>
      <w:r/>
      <w:bookmarkEnd w:id="179"/>
      <w:r/>
      <w:bookmarkEnd w:id="180"/>
      <w:r/>
      <w:bookmarkEnd w:id="181"/>
      <w:r/>
      <w:bookmarkEnd w:id="182"/>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3" w:name="_Toc513029243"/>
      <w:r/>
      <w:bookmarkStart w:id="184" w:name="_Toc20823315"/>
      <w:r/>
      <w:bookmarkStart w:id="185" w:name="_Toc16938559"/>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8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84"/>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8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扬州市公共资源交易中心仪征分中心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8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8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84"/>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84"/>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084"/>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084"/>
        <w:spacing w:before="120" w:after="120"/>
        <w:rPr>
          <w:rFonts w:hAnsi="宋体"/>
          <w:color w:val="000000"/>
          <w:sz w:val="24"/>
          <w:szCs w:val="24"/>
        </w:rPr>
      </w:pPr>
      <w:r>
        <w:rPr>
          <w:rFonts w:hint="eastAsia" w:hAnsi="宋体"/>
          <w:color w:val="000000"/>
          <w:sz w:val="24"/>
          <w:szCs w:val="24"/>
        </w:rPr>
        <w:t xml:space="preserve">1.5 履行地点：</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84"/>
        <w:spacing w:before="120" w:after="120"/>
        <w:rPr>
          <w:rFonts w:hAnsi="宋体"/>
          <w:b/>
          <w:color w:val="000000"/>
          <w:sz w:val="24"/>
          <w:szCs w:val="24"/>
        </w:rPr>
      </w:pPr>
      <w:r>
        <w:rPr>
          <w:rFonts w:hAnsi="宋体"/>
          <w:b/>
          <w:color w:val="000000"/>
          <w:sz w:val="24"/>
          <w:szCs w:val="24"/>
        </w:rPr>
        <w:t xml:space="preserve">二、合同金额</w:t>
      </w:r>
      <w:r/>
    </w:p>
    <w:p>
      <w:pPr>
        <w:pStyle w:val="108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84"/>
        <w:spacing w:before="120" w:after="120"/>
        <w:rPr>
          <w:rFonts w:hAnsi="宋体"/>
          <w:b/>
          <w:color w:val="000000"/>
          <w:sz w:val="24"/>
          <w:szCs w:val="24"/>
        </w:rPr>
      </w:pPr>
      <w:r>
        <w:rPr>
          <w:rFonts w:hAnsi="宋体"/>
          <w:b/>
          <w:color w:val="000000"/>
          <w:sz w:val="24"/>
          <w:szCs w:val="24"/>
        </w:rPr>
        <w:t xml:space="preserve">三、技术资料</w:t>
      </w:r>
      <w:r/>
    </w:p>
    <w:p>
      <w:pPr>
        <w:pStyle w:val="1084"/>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8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84"/>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84"/>
        <w:spacing w:before="120" w:after="120"/>
        <w:rPr>
          <w:rFonts w:hAnsi="宋体"/>
          <w:color w:val="000000"/>
          <w:sz w:val="24"/>
          <w:szCs w:val="24"/>
          <w:u w:val="single"/>
        </w:rPr>
      </w:pPr>
      <w:r>
        <w:rPr>
          <w:rFonts w:hAnsi="宋体"/>
          <w:b/>
          <w:color w:val="000000"/>
          <w:sz w:val="24"/>
          <w:szCs w:val="24"/>
        </w:rPr>
        <w:t xml:space="preserve">五、产权担保</w:t>
      </w:r>
      <w:r/>
    </w:p>
    <w:p>
      <w:pPr>
        <w:pStyle w:val="108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84"/>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84"/>
        <w:ind w:left="408" w:hanging="408"/>
        <w:spacing w:before="120" w:after="120"/>
        <w:rPr>
          <w:rFonts w:hint="eastAsia"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lang w:val="en-US" w:eastAsia="zh-CN"/>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84"/>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084"/>
        <w:ind w:left="408" w:hanging="408"/>
        <w:spacing w:before="120" w:after="120"/>
        <w:rPr>
          <w:rFonts w:hint="eastAsia" w:hAnsi="宋体"/>
          <w:color w:val="0000ff"/>
          <w:sz w:val="24"/>
          <w:szCs w:val="24"/>
          <w:lang w:val="en-US"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无</w:t>
      </w:r>
      <w:r/>
    </w:p>
    <w:p>
      <w:pPr>
        <w:pStyle w:val="1084"/>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无</w:t>
      </w:r>
      <w:r/>
    </w:p>
    <w:p>
      <w:pPr>
        <w:pStyle w:val="1084"/>
        <w:ind w:left="408" w:hanging="408"/>
        <w:spacing w:before="120" w:after="120"/>
        <w:rPr>
          <w:rFonts w:hint="eastAsia" w:hAnsi="宋体"/>
          <w:color w:val="0000ff"/>
          <w:sz w:val="24"/>
          <w:szCs w:val="24"/>
          <w:lang w:val="en-US" w:eastAsia="zh-CN"/>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无</w:t>
      </w:r>
      <w:r/>
    </w:p>
    <w:p>
      <w:pPr>
        <w:pStyle w:val="1084"/>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无</w:t>
      </w:r>
      <w:r/>
    </w:p>
    <w:p>
      <w:pPr>
        <w:pStyle w:val="1084"/>
        <w:ind w:left="408" w:hanging="408"/>
        <w:spacing w:before="120" w:after="120"/>
        <w:rPr>
          <w:rFonts w:hint="default" w:hAnsi="宋体"/>
          <w:color w:val="0000ff"/>
          <w:sz w:val="24"/>
          <w:szCs w:val="24"/>
          <w:lang w:val="en-US" w:eastAsia="zh-CN"/>
        </w:rPr>
      </w:pPr>
      <w:r>
        <w:rPr>
          <w:rFonts w:hint="eastAsia" w:hAnsi="宋体"/>
          <w:color w:val="auto"/>
          <w:sz w:val="24"/>
          <w:szCs w:val="24"/>
          <w:lang w:val="en-US" w:eastAsia="zh-CN"/>
        </w:rPr>
        <w:t xml:space="preserve">6.2.5履约保证金逾期退还的违约责任：</w:t>
      </w:r>
      <w:r>
        <w:rPr>
          <w:rFonts w:hint="eastAsia" w:hAnsi="宋体"/>
          <w:color w:val="0000ff"/>
          <w:sz w:val="24"/>
          <w:szCs w:val="24"/>
          <w:lang w:val="en-US" w:eastAsia="zh-CN"/>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8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084"/>
        <w:spacing w:before="120" w:after="120"/>
        <w:rPr>
          <w:rFonts w:hint="eastAsia" w:hAnsi="宋体"/>
          <w:sz w:val="24"/>
          <w:szCs w:val="24"/>
          <w:u w:val="single"/>
        </w:rPr>
      </w:pPr>
      <w:r>
        <w:rPr>
          <w:rFonts w:hint="eastAsia" w:hAnsi="宋体"/>
          <w:sz w:val="24"/>
          <w:szCs w:val="24"/>
          <w:u w:val="single"/>
        </w:rPr>
        <w:t xml:space="preserve">8.1.1 付款方式：合同签订后，支付合同总价30%的预付款；项目主体实施完毕并具备验收条件，支付至合同金额的60%；修复效果评估报告通过生态环境主管部门组织的专家评审后，按实际完成工作量，支付剩余款项。</w:t>
      </w:r>
      <w:r/>
    </w:p>
    <w:p>
      <w:pPr>
        <w:pStyle w:val="1084"/>
        <w:spacing w:before="120" w:after="120"/>
        <w:rPr>
          <w:rFonts w:hint="eastAsia" w:hAnsi="宋体"/>
          <w:sz w:val="24"/>
          <w:szCs w:val="24"/>
          <w:u w:val="single"/>
        </w:rPr>
      </w:pPr>
      <w:r>
        <w:rPr>
          <w:rFonts w:hint="eastAsia" w:hAnsi="宋体"/>
          <w:sz w:val="24"/>
          <w:szCs w:val="24"/>
          <w:u w:val="single"/>
        </w:rPr>
        <w:t xml:space="preserve">8.1.2 每次支付要求：乙方向甲方开具发票，甲方自收到发票之日（乙方开票日期）起10个工作日内支付完成。</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84"/>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8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8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8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8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8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84"/>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8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8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8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8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8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8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84"/>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1084"/>
        <w:jc w:val="center"/>
        <w:spacing w:before="120" w:after="120" w:line="0" w:lineRule="atLeast"/>
        <w:rPr>
          <w:color w:val="000000"/>
        </w:rPr>
      </w:pPr>
      <w:r>
        <w:rPr>
          <w:rFonts w:hint="eastAsia"/>
          <w:color w:val="000000"/>
        </w:rPr>
        <w:t xml:space="preserve">                                         </w:t>
      </w:r>
      <w:r/>
    </w:p>
    <w:p>
      <w:pPr>
        <w:pStyle w:val="1084"/>
        <w:jc w:val="right"/>
        <w:spacing w:before="120" w:after="120" w:line="0" w:lineRule="atLeast"/>
        <w:rPr>
          <w:color w:val="000000"/>
          <w:sz w:val="24"/>
          <w:szCs w:val="24"/>
        </w:rPr>
      </w:pPr>
      <w:r>
        <w:rPr>
          <w:rFonts w:hint="eastAsia"/>
          <w:color w:val="000000"/>
          <w:sz w:val="24"/>
          <w:szCs w:val="24"/>
        </w:rPr>
        <w:t xml:space="preserve"> </w:t>
      </w:r>
      <w:r/>
    </w:p>
    <w:p>
      <w:pPr>
        <w:pStyle w:val="1084"/>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3"/>
      <w:r/>
      <w:bookmarkEnd w:id="184"/>
      <w:r/>
      <w:bookmarkEnd w:id="185"/>
      <w:r/>
      <w:bookmarkStart w:id="186" w:name="_Hlt16619369"/>
      <w:r/>
      <w:bookmarkEnd w:id="186"/>
      <w:r/>
      <w:bookmarkStart w:id="187" w:name="_Toc16938590"/>
      <w:r/>
      <w:bookmarkStart w:id="188" w:name="_Toc20823346"/>
      <w:r/>
      <w:bookmarkStart w:id="189" w:name="_Hlt16619350"/>
      <w:r/>
      <w:bookmarkStart w:id="190" w:name="_Toc120614244"/>
      <w:r/>
      <w:bookmarkStart w:id="191" w:name="_Toc479757211"/>
      <w:r/>
      <w:bookmarkStart w:id="192" w:name="_Toc462564139"/>
      <w:r>
        <w:rPr>
          <w:rFonts w:ascii="黑体" w:eastAsia="黑体"/>
          <w:bCs/>
          <w:color w:val="000000"/>
          <w:sz w:val="44"/>
        </w:rPr>
        <w:br w:type="page" w:clear="all"/>
      </w:r>
      <w:bookmarkEnd w:id="187"/>
      <w:r/>
      <w:bookmarkEnd w:id="188"/>
      <w:r/>
      <w:bookmarkEnd w:id="189"/>
      <w:r/>
      <w:bookmarkEnd w:id="190"/>
      <w:r/>
      <w:bookmarkStart w:id="193" w:name="_Toc26554093"/>
      <w:r/>
      <w:bookmarkStart w:id="194" w:name="_Toc49090575"/>
      <w:r/>
      <w:bookmarkStart w:id="195" w:name="_Toc120614281"/>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3438"/>
        <w:gridCol w:w="3185"/>
      </w:tblGrid>
      <w:tr>
        <w:trPr>
          <w:cantSplit/>
          <w:jc w:val="center"/>
        </w:trPr>
        <w:tc>
          <w:tcPr>
            <w:tcW w:w="12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4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1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438"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江苏扬州化学工业园区原贵飞化工地块污染土壤修复项目</w:t>
            </w:r>
            <w:r/>
          </w:p>
        </w:tc>
        <w:tc>
          <w:tcPr>
            <w:tcW w:w="31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bl>
    <w:p>
      <w:pPr>
        <w:pStyle w:val="876"/>
        <w:keepLines w:val="0"/>
        <w:keepNext w:val="0"/>
        <w:pageBreakBefore w:val="0"/>
        <w:spacing w:before="120" w:after="120" w:line="400" w:lineRule="exact"/>
        <w:widowControl w:val="off"/>
        <w:rPr>
          <w:rFonts w:hint="eastAsia" w:ascii="宋体" w:hAnsi="宋体" w:eastAsia="宋体" w:cs="宋体"/>
          <w:b/>
          <w:bCs/>
          <w:color w:val="000000"/>
          <w:sz w:val="24"/>
          <w:szCs w:val="24"/>
          <w:highlight w:val="green"/>
          <w:lang w:val="en-US" w:eastAsia="zh-CN" w:bidi="ar"/>
        </w:rPr>
      </w:pPr>
      <w:r>
        <w:rPr>
          <w:rFonts w:hint="eastAsia" w:ascii="宋体" w:hAnsi="宋体" w:eastAsia="宋体" w:cs="宋体"/>
          <w:b/>
          <w:bCs/>
          <w:color w:val="000000"/>
          <w:sz w:val="24"/>
          <w:szCs w:val="24"/>
          <w:highlight w:val="green"/>
          <w:lang w:val="en-US" w:eastAsia="zh-CN" w:bidi="ar"/>
        </w:rPr>
        <w:t xml:space="preserve">二、政府采购中实施本国产品标准及相关政策</w:t>
      </w:r>
      <w:r/>
    </w:p>
    <w:p>
      <w:pPr>
        <w:ind w:firstLine="480"/>
        <w:jc w:val="left"/>
        <w:keepLines w:val="0"/>
        <w:keepNext w:val="0"/>
        <w:pageBreakBefore w:val="0"/>
        <w:spacing w:line="560" w:lineRule="exact"/>
        <w:widowControl w:val="off"/>
        <w:rPr>
          <w:rFonts w:hint="eastAsia" w:ascii="宋体" w:hAnsi="宋体" w:eastAsia="宋体" w:cs="宋体"/>
          <w:color w:val="000000"/>
          <w:sz w:val="24"/>
          <w:szCs w:val="24"/>
          <w:highlight w:val="green"/>
          <w:lang w:val="en-US" w:eastAsia="zh-CN" w:bidi="ar"/>
        </w:rPr>
      </w:pPr>
      <w:r>
        <w:rPr>
          <w:rFonts w:hint="eastAsia" w:ascii="宋体" w:hAnsi="宋体" w:eastAsia="宋体" w:cs="宋体"/>
          <w:color w:val="000000"/>
          <w:sz w:val="24"/>
          <w:szCs w:val="24"/>
          <w:highlight w:val="green"/>
          <w:lang w:val="en-US" w:eastAsia="zh-CN" w:bidi="ar"/>
        </w:rPr>
        <w:t xml:space="preserve">1.</w:t>
      </w:r>
      <w:r>
        <w:rPr>
          <w:rFonts w:hint="eastAsia" w:ascii="宋体" w:hAnsi="宋体" w:cs="宋体"/>
          <w:color w:val="000000"/>
          <w:sz w:val="24"/>
          <w:szCs w:val="24"/>
          <w:highlight w:val="green"/>
          <w:lang w:val="en-US" w:eastAsia="zh-CN" w:bidi="ar"/>
        </w:rPr>
        <w:t xml:space="preserve">政策依据</w:t>
      </w:r>
      <w:r>
        <w:rPr>
          <w:rFonts w:hint="eastAsia" w:ascii="宋体" w:hAnsi="宋体" w:eastAsia="宋体" w:cs="宋体"/>
          <w:color w:val="auto"/>
          <w:sz w:val="24"/>
          <w:szCs w:val="24"/>
          <w:highlight w:val="green"/>
          <w:lang w:val="en-US" w:eastAsia="zh-CN" w:bidi="ar"/>
        </w:rPr>
        <w:t xml:space="preserve">《国务院办公厅关于在政府采购中实施本国产品标准及相关政策的通知》（国办发〔2025〕34号）。</w:t>
      </w:r>
      <w:r/>
    </w:p>
    <w:p>
      <w:pPr>
        <w:ind w:firstLine="480"/>
        <w:jc w:val="left"/>
        <w:keepLines w:val="0"/>
        <w:keepNext w:val="0"/>
        <w:pageBreakBefore w:val="0"/>
        <w:spacing w:line="560" w:lineRule="exact"/>
        <w:widowControl w:val="off"/>
        <w:rPr>
          <w:rFonts w:hint="eastAsia" w:ascii="宋体" w:hAnsi="宋体" w:eastAsia="宋体" w:cs="宋体"/>
          <w:color w:val="000000"/>
          <w:sz w:val="24"/>
          <w:szCs w:val="24"/>
          <w:highlight w:val="green"/>
          <w:lang w:val="en-US" w:eastAsia="zh-CN" w:bidi="ar"/>
        </w:rPr>
      </w:pPr>
      <w:r>
        <w:rPr>
          <w:rFonts w:hint="eastAsia" w:ascii="宋体" w:hAnsi="宋体" w:eastAsia="宋体" w:cs="宋体"/>
          <w:color w:val="000000"/>
          <w:sz w:val="24"/>
          <w:szCs w:val="24"/>
          <w:highlight w:val="green"/>
          <w:lang w:val="en-US" w:eastAsia="zh-CN" w:bidi="ar"/>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56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highlight w:val="green"/>
          <w:lang w:val="en-US" w:eastAsia="zh-CN"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9"/>
        <w:numPr>
          <w:ilvl w:val="0"/>
          <w:numId w:val="6"/>
        </w:numPr>
        <w:jc w:val="both"/>
        <w:keepLines w:val="0"/>
        <w:keepNext w:val="0"/>
        <w:spacing w:before="0" w:beforeAutospacing="0" w:after="0" w:afterAutospacing="0" w:line="0" w:lineRule="atLeast"/>
        <w:widowControl w:val="off"/>
        <w:rPr>
          <w:rFonts w:hint="eastAsia" w:ascii="方正仿宋_GBK" w:hAnsi="方正仿宋_GBK" w:eastAsia="方正仿宋_GBK" w:cs="方正仿宋_GBK"/>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8"/>
          <w:szCs w:val="28"/>
          <w:lang w:val="en-US" w:eastAsia="zh-CN"/>
        </w:rPr>
        <w:t xml:space="preserve">项目内容</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江苏扬州化学工业园区原贵飞化工地块历史上主要为农用地和工业用地，未来规划为二类工业用地，属于《土壤环境质量建设用地土壤污染风险管控标准（试行）》GB 36600-2018）中规定的第二类用地。</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bookmarkStart w:id="196" w:name="_Hlk231993817"/>
      <w:r>
        <w:rPr>
          <w:rFonts w:hint="eastAsia" w:ascii="仿宋_GB2312" w:hAnsi="仿宋_GB2312" w:eastAsia="仿宋_GB2312" w:cs="仿宋_GB2312"/>
          <w:sz w:val="28"/>
          <w:szCs w:val="28"/>
          <w:lang w:bidi="ar"/>
        </w:rPr>
        <w:t xml:space="preserve">2025年6月，第三方单位对该地块开展土壤污染状况初步调查，并编制完成污染状况调查报告；经检测分析，该地块属于污染地块。2025年12月，第三方单位对地块开展土壤污染状况详细调查，并编制完成土壤污染状况详细调查报告。2026年2月，第三方单位开展土壤污染风险评估工作，并编制完成风险评估报告风险评估结果表明：地块内土壤中关注污染物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）和4-氯苯胺人体健康风险不可接受，地下水中关注污染物人体健康风险可接受，需对地块污染土壤进行修复。</w:t>
      </w:r>
      <w:bookmarkEnd w:id="196"/>
      <w:r/>
      <w:r/>
    </w:p>
    <w:p>
      <w:pPr>
        <w:ind w:firstLine="560"/>
        <w:keepLines w:val="0"/>
        <w:keepNext w:val="0"/>
        <w:pageBreakBefore w:val="0"/>
        <w:spacing w:line="560" w:lineRule="exact"/>
        <w:widowControl w:val="off"/>
        <w:rPr>
          <w:rFonts w:hint="eastAsia" w:ascii="方正仿宋_GBK" w:hAnsi="方正仿宋_GBK" w:eastAsia="方正仿宋_GBK" w:cs="方正仿宋_GBK"/>
          <w:sz w:val="28"/>
          <w:szCs w:val="22"/>
        </w:rPr>
        <w:outlineLvl w:val="9"/>
      </w:pPr>
      <w:r>
        <w:rPr>
          <w:rFonts w:hint="eastAsia" w:ascii="仿宋_GB2312" w:hAnsi="仿宋_GB2312" w:eastAsia="仿宋_GB2312" w:cs="仿宋_GB2312"/>
          <w:sz w:val="28"/>
          <w:szCs w:val="28"/>
          <w:lang w:bidi="ar"/>
        </w:rPr>
        <w:t xml:space="preserve">2026年3月，第三方单位依据国家及地方相关规定，结合地块调查与风险评估结果，编制了该地块《修复技术方案》，并以此作为本项目招标工作的技术依据。</w:t>
      </w:r>
      <w:r/>
    </w:p>
    <w:p>
      <w:pPr>
        <w:pStyle w:val="889"/>
        <w:jc w:val="both"/>
        <w:keepLines w:val="0"/>
        <w:keepNext w:val="0"/>
        <w:spacing w:before="0" w:beforeAutospacing="0" w:after="0" w:afterAutospacing="0" w:line="0" w:lineRule="atLeast"/>
        <w:widowControl w:val="off"/>
        <w:rPr>
          <w:rFonts w:hint="eastAsia" w:ascii="方正仿宋_GBK" w:hAnsi="方正仿宋_GBK" w:eastAsia="方正仿宋_GBK" w:cs="方正仿宋_GBK"/>
          <w:b/>
          <w:bCs/>
          <w:color w:val="000000"/>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8"/>
          <w:szCs w:val="28"/>
          <w:highlight w:val="none"/>
          <w:lang w:val="en-US" w:eastAsia="zh-CN"/>
        </w:rPr>
        <w:t xml:space="preserve">四</w:t>
      </w:r>
      <w:r>
        <w:rPr>
          <w:rFonts w:hint="eastAsia" w:ascii="方正仿宋_GBK" w:hAnsi="方正仿宋_GBK" w:eastAsia="方正仿宋_GBK" w:cs="方正仿宋_GBK"/>
          <w:b/>
          <w:bCs/>
          <w:color w:val="000000"/>
          <w:sz w:val="28"/>
          <w:szCs w:val="28"/>
          <w:highlight w:val="none"/>
        </w:rPr>
        <w:t xml:space="preserve">、工作内容与要求</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1.工作内容：对江苏扬州化学工业园区原贵飞化工地块污染土壤进行修复，土壤修复土方量约为39370.92m³，土壤修复污染物包括：苯、石油烃（C6-C9）和4-氯苯胺。</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2.实施范围：原仪征贵飞化工有限公司地块红线范围内全部土壤修复工作，含前期、临时设施、土壤修复处置、自检、二次污染防控、配合效果评估、档案移交全部工作。</w:t>
      </w:r>
      <w:r/>
    </w:p>
    <w:p>
      <w:pPr>
        <w:ind w:firstLine="560"/>
        <w:keepLines w:val="0"/>
        <w:keepNext w:val="0"/>
        <w:pageBreakBefore w:val="0"/>
        <w:spacing w:line="560" w:lineRule="exact"/>
        <w:widowControl w:val="off"/>
        <w:rPr>
          <w:rFonts w:hint="eastAsia" w:ascii="仿宋_GB2312" w:hAnsi="仿宋_GB2312" w:eastAsia="仿宋_GB2312" w:cs="仿宋_GB2312"/>
          <w:b/>
          <w:bCs/>
          <w:i/>
          <w:iCs/>
          <w:sz w:val="28"/>
          <w:szCs w:val="28"/>
          <w:u w:val="single"/>
          <w:lang w:bidi="ar"/>
        </w:rPr>
      </w:pPr>
      <w:r>
        <w:rPr>
          <w:rFonts w:hint="eastAsia" w:ascii="仿宋_GB2312" w:hAnsi="仿宋_GB2312" w:eastAsia="仿宋_GB2312" w:cs="仿宋_GB2312"/>
          <w:i/>
          <w:iCs/>
          <w:sz w:val="28"/>
          <w:szCs w:val="28"/>
          <w:u w:val="single"/>
          <w:lang w:bidi="ar"/>
        </w:rPr>
        <w:t xml:space="preserve">3.修复质量标准：满足修复目标值要求，通过第三方效果评估，修复效果评估报告通过生态环境主管部门组织的专家评审，修复后的地块移出《江苏省建设用地土壤污染风险管控和修复名录》。</w:t>
      </w:r>
      <w:r>
        <w:rPr>
          <w:rFonts w:hint="eastAsia" w:ascii="仿宋_GB2312" w:hAnsi="仿宋_GB2312" w:eastAsia="仿宋_GB2312" w:cs="仿宋_GB2312"/>
          <w:b/>
          <w:bCs/>
          <w:i/>
          <w:iCs/>
          <w:sz w:val="28"/>
          <w:szCs w:val="28"/>
          <w:u w:val="single"/>
          <w:lang w:bidi="ar"/>
        </w:rPr>
        <w:t xml:space="preserve">（提供承诺函原件扫描上传）</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4.修复技术：原地异位常温解吸、水泥窑协同处置等技术，具体详见《修复技术方案》。</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5.实施过程中涉及深基坑内容的，按照该地块《基坑支护设计》，开展基坑支护实施与土方开挖。</w:t>
      </w:r>
      <w:r/>
    </w:p>
    <w:p>
      <w:pPr>
        <w:pStyle w:val="889"/>
        <w:jc w:val="both"/>
        <w:keepLines w:val="0"/>
        <w:keepNext w:val="0"/>
        <w:pageBreakBefore w:val="0"/>
        <w:spacing w:before="0" w:beforeAutospacing="0" w:after="0" w:afterAutospacing="0" w:line="560" w:lineRule="exact"/>
        <w:widowControl w:val="off"/>
        <w:rPr>
          <w:rFonts w:hint="eastAsia" w:ascii="方正仿宋_GBK" w:hAnsi="方正仿宋_GBK" w:eastAsia="方正仿宋_GBK" w:cs="方正仿宋_GBK"/>
          <w:sz w:val="28"/>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_GB2312" w:hAnsi="仿宋_GB2312" w:eastAsia="仿宋_GB2312" w:cs="仿宋_GB2312"/>
          <w:sz w:val="28"/>
          <w:szCs w:val="28"/>
          <w:lang w:bidi="ar"/>
        </w:rPr>
        <w:t xml:space="preserve">6. 本项目要求中标</w:t>
      </w:r>
      <w:r>
        <w:rPr>
          <w:rFonts w:hint="eastAsia" w:ascii="仿宋_GB2312" w:hAnsi="仿宋_GB2312" w:eastAsia="仿宋_GB2312" w:cs="仿宋_GB2312"/>
          <w:sz w:val="28"/>
          <w:szCs w:val="28"/>
          <w:lang w:val="en-US" w:eastAsia="zh-CN" w:bidi="ar"/>
        </w:rPr>
        <w:t xml:space="preserve">人</w:t>
      </w:r>
      <w:r>
        <w:rPr>
          <w:rFonts w:hint="eastAsia" w:ascii="仿宋_GB2312" w:hAnsi="仿宋_GB2312" w:eastAsia="仿宋_GB2312" w:cs="仿宋_GB2312"/>
          <w:sz w:val="28"/>
          <w:szCs w:val="28"/>
          <w:lang w:bidi="ar"/>
        </w:rPr>
        <w:t xml:space="preserve">在实施过程中合理配置项目负责人（具有二级注册建造师证书且具备安全生产考核合格B证）及相应岗位人员。</w:t>
      </w:r>
      <w:r/>
    </w:p>
    <w:p>
      <w:pPr>
        <w:pStyle w:val="889"/>
        <w:jc w:val="both"/>
        <w:keepLines w:val="0"/>
        <w:keepNext w:val="0"/>
        <w:spacing w:before="0" w:beforeAutospacing="0" w:after="0" w:afterAutospacing="0" w:line="0" w:lineRule="atLeast"/>
        <w:widowControl w:val="off"/>
        <w:rPr>
          <w:rFonts w:hint="eastAsia" w:ascii="方正仿宋_GBK" w:hAnsi="方正仿宋_GBK" w:eastAsia="方正仿宋_GBK" w:cs="方正仿宋_GBK"/>
          <w:sz w:val="28"/>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8"/>
          <w:szCs w:val="28"/>
          <w:highlight w:val="none"/>
          <w:lang w:val="en-US" w:eastAsia="zh-CN"/>
        </w:rPr>
        <w:t xml:space="preserve">五</w:t>
      </w:r>
      <w:r>
        <w:rPr>
          <w:rFonts w:hint="eastAsia" w:ascii="方正仿宋_GBK" w:hAnsi="方正仿宋_GBK" w:eastAsia="方正仿宋_GBK" w:cs="方正仿宋_GBK"/>
          <w:b/>
          <w:bCs/>
          <w:color w:val="000000"/>
          <w:sz w:val="28"/>
          <w:szCs w:val="28"/>
          <w:highlight w:val="none"/>
        </w:rPr>
        <w:t xml:space="preserve">、其他要求</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1.投标人的投标报价应是投标人在报价文件中提出的各项支付金额的总和，也应是完成投标报价文件所列采购需求的全部费用。</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2.投标报价必须包括完成本项目实施完成的所有费用在内，包括但不限于人工费、材料费、机械使用费、管理费和利润、税费、专家论证费、政策性文件规定的各项规费等费用。</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3.本项目需求清单凡未能注明做法或项目内容无法描述详细的清单项目按现行相关规范、修复方案及常规工艺实施并由投标</w:t>
      </w:r>
      <w:r>
        <w:rPr>
          <w:rFonts w:hint="eastAsia" w:ascii="仿宋_GB2312" w:hAnsi="仿宋_GB2312" w:eastAsia="仿宋_GB2312" w:cs="仿宋_GB2312"/>
          <w:sz w:val="28"/>
          <w:szCs w:val="28"/>
          <w:lang w:val="en-US" w:eastAsia="zh-CN" w:bidi="ar"/>
        </w:rPr>
        <w:t xml:space="preserve">人</w:t>
      </w:r>
      <w:r>
        <w:rPr>
          <w:rFonts w:hint="eastAsia" w:ascii="仿宋_GB2312" w:hAnsi="仿宋_GB2312" w:eastAsia="仿宋_GB2312" w:cs="仿宋_GB2312"/>
          <w:sz w:val="28"/>
          <w:szCs w:val="28"/>
          <w:lang w:bidi="ar"/>
        </w:rPr>
        <w:t xml:space="preserve">自主报价并包含在投标总价中。</w:t>
      </w:r>
      <w:r/>
    </w:p>
    <w:p>
      <w:pPr>
        <w:ind w:firstLine="560"/>
        <w:keepLines w:val="0"/>
        <w:keepNext w:val="0"/>
        <w:pageBreakBefore w:val="0"/>
        <w:spacing w:line="560" w:lineRule="exact"/>
        <w:widowControl w:val="off"/>
        <w:rPr>
          <w:rFonts w:hint="eastAsia" w:ascii="仿宋_GB2312" w:hAnsi="仿宋_GB2312" w:eastAsia="仿宋_GB2312" w:cs="仿宋_GB2312"/>
          <w:i/>
          <w:iCs/>
          <w:sz w:val="28"/>
          <w:szCs w:val="28"/>
          <w:u w:val="single"/>
          <w:lang w:bidi="ar"/>
        </w:rPr>
      </w:pPr>
      <w:r>
        <w:rPr>
          <w:rFonts w:hint="eastAsia" w:ascii="仿宋_GB2312" w:hAnsi="仿宋_GB2312" w:eastAsia="仿宋_GB2312" w:cs="仿宋_GB2312"/>
          <w:i/>
          <w:iCs/>
          <w:sz w:val="28"/>
          <w:szCs w:val="28"/>
          <w:u w:val="single"/>
          <w:lang w:bidi="ar"/>
        </w:rPr>
        <w:t xml:space="preserve">4.自进场之日起，中标人应全面负责照管、维护本项目和用于本项目的材料、设备以及工地范围内既有设施，直至项目验收通过，移交手续完备。实施期间，如发生损失，应由中标人负责赔偿。做好项目现场周围地下管线（包括地块内现有管线）和邻近建筑物、构筑物（含文物保护建筑）、古树名木保护工作，并将预计可能发生的费用列入投标报价，结算时不再增加。</w:t>
      </w:r>
      <w:r>
        <w:rPr>
          <w:rFonts w:hint="eastAsia" w:ascii="仿宋_GB2312" w:hAnsi="仿宋_GB2312" w:eastAsia="仿宋_GB2312" w:cs="仿宋_GB2312"/>
          <w:b/>
          <w:bCs/>
          <w:i/>
          <w:iCs/>
          <w:sz w:val="28"/>
          <w:szCs w:val="28"/>
          <w:u w:val="single"/>
          <w:lang w:bidi="ar"/>
        </w:rPr>
        <w:t xml:space="preserve">（提供承诺函原件扫描上传）</w:t>
      </w:r>
      <w:r/>
    </w:p>
    <w:p>
      <w:pPr>
        <w:ind w:firstLine="560"/>
        <w:keepLines w:val="0"/>
        <w:keepNext w:val="0"/>
        <w:pageBreakBefore w:val="0"/>
        <w:spacing w:line="560" w:lineRule="exact"/>
        <w:widowControl w:val="off"/>
        <w:rPr>
          <w:rFonts w:hint="eastAsia" w:ascii="方正仿宋_GBK" w:hAnsi="方正仿宋_GBK" w:eastAsia="方正仿宋_GBK" w:cs="方正仿宋_GBK"/>
          <w:b/>
          <w:bCs/>
          <w:color w:val="000000"/>
          <w:sz w:val="28"/>
          <w:szCs w:val="28"/>
          <w:highlight w:val="none"/>
          <w:lang w:val="en-US" w:eastAsia="zh-CN"/>
        </w:rPr>
      </w:pPr>
      <w:r>
        <w:rPr>
          <w:rFonts w:hint="eastAsia" w:ascii="仿宋_GB2312" w:hAnsi="仿宋_GB2312" w:eastAsia="仿宋_GB2312" w:cs="仿宋_GB2312"/>
          <w:iCs/>
          <w:sz w:val="28"/>
          <w:szCs w:val="28"/>
          <w:lang w:bidi="ar"/>
        </w:rPr>
        <w:t xml:space="preserve">5. 履行具体要求：具备第三方修复效果评估进场条件；配合完成修复效果评估，直至地块移出污染地块名录。如因效果评估评审等行政流程导致延期，不属于中标人责任，但中标人必须全程配合。</w:t>
      </w:r>
      <w:r/>
    </w:p>
    <w:p>
      <w:pPr>
        <w:pStyle w:val="889"/>
        <w:jc w:val="both"/>
        <w:keepLines w:val="0"/>
        <w:keepNext w:val="0"/>
        <w:spacing w:before="0" w:beforeAutospacing="0" w:after="0" w:afterAutospacing="0" w:line="0" w:lineRule="atLeast"/>
        <w:widowControl w:val="off"/>
        <w:rPr>
          <w:rFonts w:hint="eastAsia" w:ascii="方正仿宋_GBK" w:hAnsi="方正仿宋_GBK" w:eastAsia="方正仿宋_GBK" w:cs="方正仿宋_GBK"/>
          <w:b/>
          <w:bCs/>
          <w:color w:val="000000"/>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8"/>
          <w:szCs w:val="28"/>
          <w:highlight w:val="none"/>
          <w:lang w:val="en-US" w:eastAsia="zh-CN"/>
        </w:rPr>
        <w:t xml:space="preserve">六、现场施工安全要求</w:t>
      </w:r>
      <w:r/>
    </w:p>
    <w:p>
      <w:pPr>
        <w:ind w:firstLine="560"/>
        <w:keepLines w:val="0"/>
        <w:keepNext w:val="0"/>
        <w:pageBreakBefore w:val="0"/>
        <w:spacing w:after="157" w:line="560" w:lineRule="exact"/>
        <w:widowControl w:val="off"/>
        <w:rPr>
          <w:rFonts w:hint="eastAsia" w:ascii="方正仿宋_GBK" w:hAnsi="方正仿宋_GBK" w:eastAsia="方正仿宋_GBK" w:cs="方正仿宋_GBK"/>
          <w:b/>
          <w:bCs/>
          <w:i/>
          <w:iCs/>
          <w:sz w:val="28"/>
          <w:szCs w:val="28"/>
          <w:u w:val="single"/>
          <w:lang w:val="en-US" w:eastAsia="zh-CN" w:bidi="ar"/>
        </w:rPr>
      </w:pPr>
      <w:r>
        <w:rPr>
          <w:rFonts w:hint="eastAsia" w:ascii="仿宋_GB2312" w:hAnsi="仿宋_GB2312" w:eastAsia="仿宋_GB2312" w:cs="仿宋_GB2312"/>
          <w:i/>
          <w:iCs/>
          <w:sz w:val="28"/>
          <w:szCs w:val="28"/>
          <w:u w:val="single"/>
        </w:rPr>
        <w:t xml:space="preserve">本项目踏勘、现场采样、污染场地作业、化学品使用、运输处置、交通、恶劣天气、地下未知污染风险、作业人员等安全问题均由中标人承担，与采购人无关。</w:t>
      </w:r>
      <w:r>
        <w:rPr>
          <w:rFonts w:hint="eastAsia" w:ascii="仿宋_GB2312" w:hAnsi="仿宋_GB2312" w:eastAsia="仿宋_GB2312" w:cs="仿宋_GB2312"/>
          <w:b/>
          <w:bCs/>
          <w:i/>
          <w:iCs/>
          <w:sz w:val="28"/>
          <w:szCs w:val="28"/>
          <w:u w:val="single"/>
          <w:lang w:bidi="ar"/>
        </w:rPr>
        <w:t xml:space="preserve">（提供承诺函原件扫描上传）</w:t>
      </w:r>
      <w:r/>
    </w:p>
    <w:p>
      <w:pPr>
        <w:pStyle w:val="889"/>
        <w:jc w:val="both"/>
        <w:keepLines w:val="0"/>
        <w:keepNext w:val="0"/>
        <w:spacing w:before="0" w:beforeAutospacing="0" w:after="0" w:afterAutospacing="0" w:line="0" w:lineRule="atLeast"/>
        <w:widowControl w:val="off"/>
        <w:rPr>
          <w:rFonts w:hint="eastAsia" w:ascii="方正仿宋_GBK" w:hAnsi="方正仿宋_GBK" w:eastAsia="方正仿宋_GBK" w:cs="方正仿宋_GBK"/>
          <w:b/>
          <w:bCs/>
          <w:color w:val="000000"/>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8"/>
          <w:szCs w:val="28"/>
          <w:highlight w:val="none"/>
          <w:lang w:val="en-US" w:eastAsia="zh-CN"/>
        </w:rPr>
        <w:t xml:space="preserve">七、建设需求 </w:t>
      </w:r>
      <w:r/>
    </w:p>
    <w:p>
      <w:pPr>
        <w:ind w:firstLine="560"/>
        <w:keepLines w:val="0"/>
        <w:keepNext w:val="0"/>
        <w:pageBreakBefore w:val="0"/>
        <w:spacing w:after="157" w:line="560" w:lineRule="exact"/>
        <w:widowControl w:val="off"/>
        <w:rPr>
          <w:rFonts w:hint="eastAsia"/>
        </w:rPr>
      </w:pPr>
      <w:r>
        <w:rPr>
          <w:rFonts w:hint="eastAsia" w:ascii="仿宋_GB2312" w:hAnsi="仿宋_GB2312" w:eastAsia="仿宋_GB2312" w:cs="仿宋_GB2312"/>
          <w:iCs/>
          <w:sz w:val="28"/>
          <w:szCs w:val="28"/>
          <w:lang w:bidi="ar"/>
        </w:rPr>
        <w:t xml:space="preserve">本项目依据该地块已备案的土壤污染详细调查报告、风险评估报告、修复技术方案，开展地块污染土壤修复治理工作，地下水中关注污染物人体健康风险可接受，本项目不对地下水开展修复工作，通过实施土壤修复、二次污染防控、自检等全部工作，使地块土壤污染物满足修复目标值要求。</w:t>
      </w:r>
      <w:r/>
    </w:p>
    <w:p>
      <w:pPr>
        <w:pStyle w:val="889"/>
        <w:jc w:val="both"/>
        <w:keepLines w:val="0"/>
        <w:keepNext w:val="0"/>
        <w:pageBreakBefore w:val="0"/>
        <w:spacing w:before="0" w:beforeAutospacing="0" w:after="0" w:afterAutospacing="0" w:line="0" w:lineRule="atLeast"/>
        <w:widowControl w:val="off"/>
        <w:rPr>
          <w:rFonts w:hint="eastAsia" w:ascii="方正仿宋_GBK" w:hAnsi="方正仿宋_GBK" w:eastAsia="方正仿宋_GBK" w:cs="方正仿宋_GBK"/>
          <w:b/>
          <w:bCs/>
          <w:color w:val="000000"/>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8"/>
          <w:szCs w:val="28"/>
          <w:highlight w:val="none"/>
          <w:lang w:val="en-US" w:eastAsia="zh-CN"/>
        </w:rPr>
        <w:t xml:space="preserve">八、执行标准、技术导则和规范</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1.相关标准</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1.1.《土壤环境质量建设用地土壤污染风险管控标准（试行）》（GB36600-2018）；</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1.2.《地下水质量标准》（GB/T14848-2017）。</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2.相关技术导则和规范</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2.1.《建设用地土壤污染状况调查技术导则》（HJ25.1-2019）；</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2.2.《建设用地土壤污染风险管控和修复监测技术导则》（HJ25.2-2019）；</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2.3.《建设用地土壤污染风险评估技术导则》（HJ25.3-2019）；</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2.4.《建设用地土壤修复技术导则》（HJ25.4-2019）；</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2.5.《污染地块风险管控与土壤修复效果评估技术导则（试行）》（HJ25.5-2018）；</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2.6.《建设用地土壤环境调查评估技术指南》（原环境保护部，2017年12月14日）</w:t>
      </w:r>
      <w:r/>
    </w:p>
    <w:p>
      <w:pPr>
        <w:keepLines w:val="0"/>
        <w:keepNext w:val="0"/>
        <w:pageBreakBefore w:val="0"/>
        <w:spacing w:line="560" w:lineRule="exact"/>
        <w:widowControl w:val="off"/>
        <w:rPr>
          <w:rFonts w:hint="eastAsia" w:ascii="仿宋_GB2312" w:hAnsi="仿宋_GB2312" w:eastAsia="仿宋_GB2312" w:cs="仿宋_GB2312"/>
          <w:b/>
          <w:bCs/>
          <w:iCs/>
          <w:sz w:val="28"/>
          <w:szCs w:val="28"/>
          <w:lang w:bidi="ar"/>
        </w:rPr>
      </w:pPr>
      <w:r>
        <w:rPr>
          <w:rFonts w:hint="eastAsia" w:ascii="仿宋_GB2312" w:hAnsi="仿宋_GB2312" w:eastAsia="仿宋_GB2312" w:cs="仿宋_GB2312"/>
          <w:b/>
          <w:bCs/>
          <w:iCs/>
          <w:sz w:val="28"/>
          <w:szCs w:val="28"/>
          <w:lang w:val="en-US" w:eastAsia="zh-CN" w:bidi="ar"/>
        </w:rPr>
        <w:t xml:space="preserve">九、</w:t>
      </w:r>
      <w:r>
        <w:rPr>
          <w:rFonts w:hint="eastAsia" w:ascii="仿宋_GB2312" w:hAnsi="仿宋_GB2312" w:eastAsia="仿宋_GB2312" w:cs="仿宋_GB2312"/>
          <w:b/>
          <w:bCs/>
          <w:iCs/>
          <w:sz w:val="28"/>
          <w:szCs w:val="28"/>
          <w:lang w:bidi="ar"/>
        </w:rPr>
        <w:t xml:space="preserve">项目地块基本情况</w:t>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pPr>
      <w:r/>
      <w:bookmarkStart w:id="197" w:name="_Toc16462"/>
      <w:r>
        <w:rPr>
          <w:rFonts w:hint="eastAsia" w:ascii="仿宋_GB2312" w:hAnsi="仿宋_GB2312" w:eastAsia="仿宋_GB2312" w:cs="仿宋_GB2312"/>
          <w:b/>
          <w:bCs/>
          <w:sz w:val="28"/>
          <w:szCs w:val="28"/>
          <w:lang w:bidi="ar"/>
        </w:rPr>
        <w:t xml:space="preserve">1.项目背景</w:t>
      </w:r>
      <w:bookmarkEnd w:id="197"/>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2024年贵飞化工地块开展初步调查，2025年6月通过专家评审，根据初步调查结果，贵飞化工地块土壤苯和4-氯苯胺超标，地下水存在挥发酚、耗氧量、氨氮、石油烃（C6-C9）、二甲苯、六氯乙烷、砷、4-氯苯胺和阴离子表面活性剂等因子超标。2025年12月，业主单位委托第三方单位对原仪征贵飞化工有限公司地块开展土壤污染状况详细调查，2026年2月通过专家评审，详细调查土壤苯、石油烃（C6-C9）超标，地下水挥发酚、阴离子表面活性剂、氨氮、硫酸根、铝、总硬度、耗氧</w:t>
      </w:r>
      <w:r>
        <w:rPr>
          <w:rFonts w:hint="eastAsia" w:ascii="仿宋_GB2312" w:hAnsi="仿宋_GB2312" w:eastAsia="仿宋_GB2312" w:cs="仿宋_GB2312"/>
          <w:sz w:val="28"/>
          <w:szCs w:val="28"/>
        </w:rPr>
        <w:t xml:space="preserve">量、砷、苯、4-氯苯胺、2,4,6-三氯酚、石油烃(C10-C40)、石油烃（C6-C9）等因子超标，贵飞化工地块为污染地块，需进行进一步的风险评估工作。2026年3月，第三方单位开展土壤污染风险评估工作，风险评估报告分别于2026年3月、4月通过市级、省级专家评审，风险评估结果表明：土壤关注污染物为苯、石油烃（C6-C9）和4-氯苯胺风险不可接受，需采取修复措施；地下水石油烃（C10-C40）、石油烃（C6-C9）、苯、4-氯苯胺、2,4,6-三氯酚、六氯乙烷、间,对-二甲苯、砷和铝等人体健康风险可接受。</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2026年4月，为消除污染隐患，确保人居安全，委托第三方单位按照国家及地方的有关规定，结合调查及风险评估结果，因地制宜制定了该地块《修复技术方案》，并依据此方案开展本项目招标工作。</w:t>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pPr>
      <w:r/>
      <w:bookmarkStart w:id="198" w:name="_Toc30249"/>
      <w:r>
        <w:rPr>
          <w:rFonts w:hint="eastAsia" w:ascii="仿宋_GB2312" w:hAnsi="仿宋_GB2312" w:eastAsia="仿宋_GB2312" w:cs="仿宋_GB2312"/>
          <w:b/>
          <w:bCs/>
          <w:sz w:val="28"/>
          <w:szCs w:val="28"/>
          <w:lang w:bidi="ar"/>
        </w:rPr>
        <w:t xml:space="preserve">2.地块土地利用规划</w:t>
      </w:r>
      <w:bookmarkEnd w:id="198"/>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-66674</wp:posOffset>
                </wp:positionH>
                <wp:positionV relativeFrom="paragraph">
                  <wp:posOffset>1089660</wp:posOffset>
                </wp:positionV>
                <wp:extent cx="5401310" cy="3539490"/>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401310" cy="3539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2pt;mso-position-horizontal:absolute;mso-position-vertical-relative:text;margin-top:85.8pt;mso-position-vertical:absolute;width:425.3pt;height:278.7pt;mso-wrap-distance-left:9.0pt;mso-wrap-distance-top:0.0pt;mso-wrap-distance-right:9.0pt;mso-wrap-distance-bottom:0.0pt;" stroked="f">
                <v:path textboxrect="0,0,0,0"/>
                <w10:wrap type="topAndBottom"/>
                <v:imagedata r:id="rId18" o:title=""/>
              </v:shape>
            </w:pict>
          </mc:Fallback>
        </mc:AlternateContent>
      </w:r>
      <w:r>
        <w:rPr>
          <w:rFonts w:hint="eastAsia" w:ascii="仿宋_GB2312" w:hAnsi="仿宋_GB2312" w:eastAsia="仿宋_GB2312" w:cs="仿宋_GB2312"/>
          <w:sz w:val="28"/>
          <w:szCs w:val="28"/>
          <w:lang w:bidi="ar"/>
        </w:rPr>
        <w:t xml:space="preserve">根据《江苏扬州化学工业园区详细规划》，本次评估地块规划为二类工业用地，属于《土壤环境质量建设用地土壤污染风险管控标准（试行）》（GB 36600-2018）中的“第二类用地”。</w: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图1 贵飞化工土地利用规划图</w:t>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outlineLvl w:val="9"/>
      </w:pPr>
      <w:r/>
      <w:bookmarkStart w:id="199" w:name="_Toc18129"/>
      <w:r>
        <w:rPr>
          <w:rFonts w:hint="eastAsia" w:ascii="仿宋_GB2312" w:hAnsi="仿宋_GB2312" w:eastAsia="仿宋_GB2312" w:cs="仿宋_GB2312"/>
          <w:b/>
          <w:bCs/>
          <w:sz w:val="28"/>
          <w:szCs w:val="28"/>
          <w:lang w:bidi="ar"/>
        </w:rPr>
        <w:t xml:space="preserve">3.地块污染状况及风险评估情况</w:t>
      </w:r>
      <w:bookmarkEnd w:id="199"/>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outlineLvl w:val="9"/>
      </w:pPr>
      <w:r/>
      <w:bookmarkStart w:id="200" w:name="_Toc28693"/>
      <w:r>
        <w:rPr>
          <w:rFonts w:hint="eastAsia" w:ascii="仿宋_GB2312" w:hAnsi="仿宋_GB2312" w:eastAsia="仿宋_GB2312" w:cs="仿宋_GB2312"/>
          <w:b/>
          <w:bCs/>
          <w:sz w:val="28"/>
          <w:szCs w:val="28"/>
          <w:lang w:bidi="ar"/>
        </w:rPr>
        <w:t xml:space="preserve">3.1.详细调查结论</w:t>
      </w:r>
      <w:bookmarkEnd w:id="200"/>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贵飞化工地块特征污染物主要包括碳四、苯、二甲苯、石油烃（C</w:t>
      </w:r>
      <w:r>
        <w:rPr>
          <w:rFonts w:hint="eastAsia" w:ascii="仿宋_GB2312" w:hAnsi="仿宋_GB2312" w:eastAsia="仿宋_GB2312" w:cs="仿宋_GB2312"/>
          <w:sz w:val="28"/>
          <w:szCs w:val="28"/>
          <w:vertAlign w:val="subscript"/>
          <w:lang w:bidi="ar"/>
        </w:rPr>
        <w:t xml:space="preserve">10</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40</w:t>
      </w:r>
      <w:r>
        <w:rPr>
          <w:rFonts w:hint="eastAsia" w:ascii="仿宋_GB2312" w:hAnsi="仿宋_GB2312" w:eastAsia="仿宋_GB2312" w:cs="仿宋_GB2312"/>
          <w:sz w:val="28"/>
          <w:szCs w:val="28"/>
          <w:lang w:bidi="ar"/>
        </w:rPr>
        <w:t xml:space="preserve">）、石油烃（C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）、甲苯、马来酸酐、甲醇、甲基叔丁基醚、丁烷、丁烯、镍、钴、钼、锌、锰、铁、二甲基二硫、环丁砜、单乙醇胺、氨氮、挥发酚、硫化物、苯胺类、酚类、氯代烷烃、烧碱、pH。</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土壤污染状况调查期间在地块内储罐区、主生产装置区、小试生产装置区、顺酐生产装置区、废水处理区、产品装车区等重点区域及周边共布设112个（不包括对照点），地下水点位32个（不包括对照点），送检土壤样品553个（不含平行），地下水样品35个（不含平行）。</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根据详细调查结果，地块内土壤样品pH在7.13~10.59之间。12个土壤点位出现超标，超标指标为苯、石油烃（C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），最大超标深度为7.5m，超标区域主要集中于罐区三、主生产装置区及顺酐生产装置区。地下水超标因子有潜水含水层浅层（浊度、氨氮、阴离子表面活性剂、耗氧量、色度、挥发酚、铝、苯、石油烃（C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）、石油烃（C</w:t>
      </w:r>
      <w:r>
        <w:rPr>
          <w:rFonts w:hint="eastAsia" w:ascii="仿宋_GB2312" w:hAnsi="仿宋_GB2312" w:eastAsia="仿宋_GB2312" w:cs="仿宋_GB2312"/>
          <w:sz w:val="28"/>
          <w:szCs w:val="28"/>
          <w:vertAlign w:val="subscript"/>
          <w:lang w:bidi="ar"/>
        </w:rPr>
        <w:t xml:space="preserve">10</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40</w:t>
      </w:r>
      <w:r>
        <w:rPr>
          <w:rFonts w:hint="eastAsia" w:ascii="仿宋_GB2312" w:hAnsi="仿宋_GB2312" w:eastAsia="仿宋_GB2312" w:cs="仿宋_GB2312"/>
          <w:sz w:val="28"/>
          <w:szCs w:val="28"/>
          <w:lang w:bidi="ar"/>
        </w:rPr>
        <w:t xml:space="preserve">）、4-氯苯胺、间,对-二甲苯、硫酸根、总硬度、2,4,6-三氯酚）、潜水含水层底部（浊度、氨氮、总硬度、硫酸根、砷）、承压含水层（浊度），其中有机物超标点位主要为GW5、XW6、XW8、GW4、GW8和XW3等，主要位于罐区、主生产装置区、顺酐生产装置区，超标层位为潜水含水层。</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本地块潜在风险源主要为土壤及地下水超标区域，用地规划为二类工业用地（第二类用地），敏感受体为成人，地块内土壤关注污染物为苯、石油烃（C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）和4-氯苯胺，地下水关注污染物为苯、间，对-二甲苯、4-氯苯胺、2,4,6-三氯酚、六氯乙烷、石油烃(C</w:t>
      </w:r>
      <w:r>
        <w:rPr>
          <w:rFonts w:hint="eastAsia" w:ascii="仿宋_GB2312" w:hAnsi="仿宋_GB2312" w:eastAsia="仿宋_GB2312" w:cs="仿宋_GB2312"/>
          <w:sz w:val="28"/>
          <w:szCs w:val="28"/>
          <w:vertAlign w:val="subscript"/>
          <w:lang w:bidi="ar"/>
        </w:rPr>
        <w:t xml:space="preserve">10</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40</w:t>
      </w:r>
      <w:r>
        <w:rPr>
          <w:rFonts w:hint="eastAsia" w:ascii="仿宋_GB2312" w:hAnsi="仿宋_GB2312" w:eastAsia="仿宋_GB2312" w:cs="仿宋_GB2312"/>
          <w:sz w:val="28"/>
          <w:szCs w:val="28"/>
          <w:lang w:bidi="ar"/>
        </w:rPr>
        <w:t xml:space="preserve">)、石油烃(C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)、挥发酚、氨氮、铝、砷等。综合以上调查结果，确定该地块属于污染地块。</w:t>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outlineLvl w:val="9"/>
      </w:pPr>
      <w:r/>
      <w:bookmarkStart w:id="201" w:name="_Toc15087"/>
      <w:r>
        <w:rPr>
          <w:rFonts w:hint="eastAsia" w:ascii="仿宋_GB2312" w:hAnsi="仿宋_GB2312" w:eastAsia="仿宋_GB2312" w:cs="仿宋_GB2312"/>
          <w:b/>
          <w:bCs/>
          <w:sz w:val="28"/>
          <w:szCs w:val="28"/>
          <w:lang w:bidi="ar"/>
        </w:rPr>
        <w:t xml:space="preserve">3.2.风险评估结论</w:t>
      </w:r>
      <w:bookmarkEnd w:id="201"/>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风险评估阶段，本地块潜在风险源主要为土壤及地下水超标区域，用地规划为二类工业用地（第二类用地），敏感受体为成人，地块内土壤关注污染物为苯、石油烃（C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）和4-氯苯胺，地下水关注污染物为苯、间，对-二甲苯、4-氯苯胺、2,4,6-三氯酚、六氯乙烷、石油烃(C</w:t>
      </w:r>
      <w:r>
        <w:rPr>
          <w:rFonts w:hint="eastAsia" w:ascii="仿宋_GB2312" w:hAnsi="仿宋_GB2312" w:eastAsia="仿宋_GB2312" w:cs="仿宋_GB2312"/>
          <w:sz w:val="28"/>
          <w:szCs w:val="28"/>
          <w:vertAlign w:val="subscript"/>
          <w:lang w:bidi="ar"/>
        </w:rPr>
        <w:t xml:space="preserve">10</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40</w:t>
      </w:r>
      <w:r>
        <w:rPr>
          <w:rFonts w:hint="eastAsia" w:ascii="仿宋_GB2312" w:hAnsi="仿宋_GB2312" w:eastAsia="仿宋_GB2312" w:cs="仿宋_GB2312"/>
          <w:sz w:val="28"/>
          <w:szCs w:val="28"/>
          <w:lang w:bidi="ar"/>
        </w:rPr>
        <w:t xml:space="preserve">)、石油烃(C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)、挥发酚、氨氮、铝、砷。</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本地块主要为有机污染，土壤暴露途径考虑经口摄入土壤途径、皮肤接触土壤途径、吸入土壤颗粒物途径、吸入室外空气中来自表层土壤的气态污染物途径、吸入室外空气中来自下层土壤的气态污染物途径和吸入室内空气中来自下层土壤的气态污染物</w:t>
      </w:r>
      <w:bookmarkStart w:id="202" w:name="OLE_LINK223"/>
      <w:r>
        <w:rPr>
          <w:rFonts w:hint="eastAsia" w:ascii="仿宋_GB2312" w:hAnsi="仿宋_GB2312" w:eastAsia="仿宋_GB2312" w:cs="仿宋_GB2312"/>
          <w:sz w:val="28"/>
          <w:szCs w:val="28"/>
          <w:lang w:bidi="ar"/>
        </w:rPr>
        <w:t xml:space="preserve">六种暴露途径</w:t>
      </w:r>
      <w:bookmarkEnd w:id="202"/>
      <w:r>
        <w:rPr>
          <w:rFonts w:hint="eastAsia" w:ascii="仿宋_GB2312" w:hAnsi="仿宋_GB2312" w:eastAsia="仿宋_GB2312" w:cs="仿宋_GB2312"/>
          <w:sz w:val="28"/>
          <w:szCs w:val="28"/>
          <w:lang w:bidi="ar"/>
        </w:rPr>
        <w:t xml:space="preserve">；本区域地下水不作饮用，地下水暴露途径主要为吸入室外空气中来自地下水的气态污染物、吸入室内空气中来自地下水的气态污染物、皮肤接触地下水三种暴露途径。</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根据风险评估结果，土壤关注污染物致癌风险在1.89E-06~3.01E-03之间，其中，苯和4-氯苯胺单一污染物致癌风险均大于1E-06，风险不可接受；石油烃（C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）未计算出单一污染物致癌风险。土壤关注污染物危害指数在4.85E-02~1.34E+02之间，其中部分点位苯和石油烃（C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）单一污染物危害指数大于1，风险不可接受；4-氯苯胺的单一污染物危害指数小于1，风险可接受。本地块土壤关注污染物苯、石油烃（C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）、4-氯苯胺的健康风险不可接受。</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地下水关注污染物（间,对-二甲苯、石油烃（C</w:t>
      </w:r>
      <w:r>
        <w:rPr>
          <w:rFonts w:hint="eastAsia" w:ascii="仿宋_GB2312" w:hAnsi="仿宋_GB2312" w:eastAsia="仿宋_GB2312" w:cs="仿宋_GB2312"/>
          <w:sz w:val="28"/>
          <w:szCs w:val="28"/>
          <w:vertAlign w:val="subscript"/>
          <w:lang w:bidi="ar"/>
        </w:rPr>
        <w:t xml:space="preserve">10</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40</w:t>
      </w:r>
      <w:r>
        <w:rPr>
          <w:rFonts w:hint="eastAsia" w:ascii="仿宋_GB2312" w:hAnsi="仿宋_GB2312" w:eastAsia="仿宋_GB2312" w:cs="仿宋_GB2312"/>
          <w:sz w:val="28"/>
          <w:szCs w:val="28"/>
          <w:lang w:bidi="ar"/>
        </w:rPr>
        <w:t xml:space="preserve">）、铝、挥发酚和氨氮）未计算出单一污染物致癌风险，苯、2,4,6-三氯酚、六氯乙烷和砷的单一污染物致癌风险在6.38E-13~1.05E-07之间，均小于10-6；地下水关注污染物危害指数在1.04E-11~8.42E-02之间，均小于1，风险可接受。本地块地下水关注污染物健康风险均可接受。</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该地块土壤中关注污染物风险不可接受，需采取修复措施；该地块地下水关注污染物苯、间,对-二甲苯、4-氯苯胺、2,4,6-三氯酚、六氯乙烷、石油烃（C</w:t>
      </w:r>
      <w:r>
        <w:rPr>
          <w:rFonts w:hint="eastAsia" w:ascii="仿宋_GB2312" w:hAnsi="仿宋_GB2312" w:eastAsia="仿宋_GB2312" w:cs="仿宋_GB2312"/>
          <w:sz w:val="28"/>
          <w:szCs w:val="28"/>
          <w:vertAlign w:val="subscript"/>
          <w:lang w:bidi="ar"/>
        </w:rPr>
        <w:t xml:space="preserve">10</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40</w:t>
      </w:r>
      <w:r>
        <w:rPr>
          <w:rFonts w:hint="eastAsia" w:ascii="仿宋_GB2312" w:hAnsi="仿宋_GB2312" w:eastAsia="仿宋_GB2312" w:cs="仿宋_GB2312"/>
          <w:sz w:val="28"/>
          <w:szCs w:val="28"/>
          <w:lang w:bidi="ar"/>
        </w:rPr>
        <w:t xml:space="preserve">）、石油烃（C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）、挥发酚、氨氮、铝和砷等人体健康风险可接受，因此地下水无需修复。</w:t>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outlineLvl w:val="9"/>
      </w:pPr>
      <w:r/>
      <w:bookmarkStart w:id="203" w:name="_Toc2461"/>
      <w:r>
        <w:rPr>
          <w:rFonts w:hint="eastAsia" w:ascii="仿宋_GB2312" w:hAnsi="仿宋_GB2312" w:eastAsia="仿宋_GB2312" w:cs="仿宋_GB2312"/>
          <w:b/>
          <w:bCs/>
          <w:sz w:val="28"/>
          <w:szCs w:val="28"/>
          <w:lang w:bidi="ar"/>
        </w:rPr>
        <w:t xml:space="preserve">4.修复目标与修复范围</w:t>
      </w:r>
      <w:bookmarkEnd w:id="203"/>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outlineLvl w:val="9"/>
      </w:pPr>
      <w:r/>
      <w:bookmarkStart w:id="204" w:name="_Toc18001"/>
      <w:r>
        <w:rPr>
          <w:rFonts w:hint="eastAsia" w:ascii="仿宋_GB2312" w:hAnsi="仿宋_GB2312" w:eastAsia="仿宋_GB2312" w:cs="仿宋_GB2312"/>
          <w:b/>
          <w:bCs/>
          <w:sz w:val="28"/>
          <w:szCs w:val="28"/>
          <w:lang w:bidi="ar"/>
        </w:rPr>
        <w:t xml:space="preserve">4.1.修复目标</w:t>
      </w:r>
      <w:bookmarkEnd w:id="204"/>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根据已备案的《原仪征贵飞化工有限公司地块土壤污染风险评估报告》（2026年5月），基于保守考虑，选择使用场地实测参数计算出的风险评估控制值作为修复目标值；4-氯苯胺风险评估控制值与使用《建设用地土壤污染风险评估技术导则》（HJ 25.3-2019）中规定的默认参数，推导计算得出的风险控制值均为8.55 mg/kg，选择使用其作为修复目标值。</w: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表1污染土壤建议修复目标值</w:t>
      </w:r>
      <w:r/>
    </w:p>
    <w:tbl>
      <w:tblPr>
        <w:tblStyle w:val="868"/>
        <w:tblW w:w="9075" w:type="dxa"/>
        <w:tblInd w:w="-3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427"/>
        <w:gridCol w:w="1144"/>
        <w:gridCol w:w="1989"/>
        <w:gridCol w:w="1989"/>
        <w:gridCol w:w="877"/>
        <w:gridCol w:w="1034"/>
      </w:tblGrid>
      <w:tr>
        <w:trPr>
          <w:trHeight w:val="20"/>
          <w:tblHead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dxa"/>
            <w:vAlign w:val="center"/>
            <w:vMerge w:val="restart"/>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2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标准</w:t>
            </w:r>
            <w:r/>
          </w:p>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基于健康风险评估的控制值</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土壤环境质量 建设用地土壤污染风险筛选值（试行）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土壤环境质量 建设用地土壤污染风险管制值（试行）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江苏省地方标准筛选值</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4" w:type="dxa"/>
            <w:vAlign w:val="center"/>
            <w:vMerge w:val="restart"/>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修复目标值</w:t>
            </w:r>
            <w:r/>
          </w:p>
        </w:tc>
      </w:tr>
      <w:tr>
        <w:trPr>
          <w:trHeight w:val="20"/>
          <w:tblHeader/>
        </w:trPr>
        <w:tc>
          <w:tcPr>
            <w:tcBorders>
              <w:top w:val="single" w:color="auto" w:sz="4" w:space="0"/>
              <w:left w:val="single" w:color="auto" w:sz="4" w:space="0"/>
              <w:bottom w:val="single" w:color="auto" w:sz="4" w:space="0"/>
              <w:right w:val="single" w:color="auto" w:sz="4" w:space="0"/>
            </w:tcBorders>
            <w:tcW w:w="615" w:type="dxa"/>
            <w:vAlign w:val="center"/>
            <w:vMerge w:val="continue"/>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2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标准</w:t>
            </w:r>
            <w:r/>
          </w:p>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分类</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第二类用地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第二类用地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第二类用地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工农业区</w:t>
            </w:r>
            <w:r/>
          </w:p>
        </w:tc>
        <w:tc>
          <w:tcPr>
            <w:tcBorders>
              <w:top w:val="single" w:color="auto" w:sz="4" w:space="0"/>
              <w:left w:val="single" w:color="auto" w:sz="4" w:space="0"/>
              <w:bottom w:val="single" w:color="auto" w:sz="4" w:space="0"/>
              <w:right w:val="single" w:color="auto" w:sz="4" w:space="0"/>
            </w:tcBorders>
            <w:tcW w:w="1034" w:type="dxa"/>
            <w:vAlign w:val="center"/>
            <w:vMerge w:val="continue"/>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rHeight w:val="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2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苯</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2.82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40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4"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4</w:t>
            </w:r>
            <w:r/>
          </w:p>
        </w:tc>
      </w:tr>
      <w:tr>
        <w:trPr>
          <w:trHeight w:val="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2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石油烃（C6-C9）</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158</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bookmarkStart w:id="205" w:name="RANGE!M4"/>
            <w:r>
              <w:rPr>
                <w:rFonts w:hint="eastAsia" w:ascii="仿宋_GB2312" w:hAnsi="仿宋_GB2312" w:eastAsia="仿宋_GB2312" w:cs="仿宋_GB2312"/>
                <w:sz w:val="28"/>
                <w:szCs w:val="28"/>
                <w:lang w:bidi="ar"/>
              </w:rPr>
              <w:t xml:space="preserve">164①</w:t>
            </w:r>
            <w:bookmarkEnd w:id="205"/>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4"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158</w:t>
            </w:r>
            <w:r/>
          </w:p>
        </w:tc>
      </w:tr>
      <w:tr>
        <w:trPr>
          <w:trHeight w:val="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2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4-氯苯胺</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8.55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bookmarkStart w:id="206" w:name="RANGE!M5"/>
            <w:r>
              <w:rPr>
                <w:rFonts w:hint="eastAsia" w:ascii="仿宋_GB2312" w:hAnsi="仿宋_GB2312" w:eastAsia="仿宋_GB2312" w:cs="仿宋_GB2312"/>
                <w:sz w:val="28"/>
                <w:szCs w:val="28"/>
                <w:lang w:bidi="ar"/>
              </w:rPr>
              <w:t xml:space="preserve">8.55①</w:t>
            </w:r>
            <w:bookmarkEnd w:id="206"/>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7"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34"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8.55</w:t>
            </w:r>
            <w:r/>
          </w:p>
        </w:tc>
      </w:tr>
      <w:tr>
        <w:trPr>
          <w:trHeight w:val="20"/>
        </w:trPr>
        <w:tc>
          <w:tcPr>
            <w:gridSpan w:val="7"/>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075"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备注：“①”使用《建设用地土壤污染风险评估技术导则》（HJ 25.3-2019）中规定的默认参数，推导计算得出的风险控制值</w:t>
            </w:r>
            <w:r/>
          </w:p>
        </w:tc>
      </w:tr>
    </w:tbl>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outlineLvl w:val="9"/>
      </w:pPr>
      <w:r/>
      <w:bookmarkStart w:id="207" w:name="_Toc12967"/>
      <w:r>
        <w:rPr>
          <w:rFonts w:hint="eastAsia" w:ascii="仿宋_GB2312" w:hAnsi="仿宋_GB2312" w:eastAsia="仿宋_GB2312" w:cs="仿宋_GB2312"/>
          <w:b/>
          <w:bCs/>
          <w:sz w:val="28"/>
          <w:szCs w:val="28"/>
          <w:lang w:bidi="ar"/>
        </w:rPr>
        <w:t xml:space="preserve">4.2.修复范围</w:t>
      </w:r>
      <w:bookmarkEnd w:id="207"/>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bookmarkStart w:id="208" w:name="_Hlk83403383"/>
      <w:r>
        <w:rPr>
          <w:rFonts w:hint="eastAsia" w:ascii="仿宋_GB2312" w:hAnsi="仿宋_GB2312" w:eastAsia="仿宋_GB2312" w:cs="仿宋_GB2312"/>
          <w:sz w:val="28"/>
          <w:szCs w:val="28"/>
          <w:lang w:bidi="ar"/>
        </w:rPr>
        <w:t xml:space="preserve">本次调查范围为地块红线范围内，修复范围及方量仅考虑地块红线范围内，连接污染点位周围未超标点位划定的范围为该点位的修复范围。</w:t>
      </w:r>
      <w:bookmarkEnd w:id="208"/>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修复方量按照以下公式进行计算：修复方量=面积×厚度。通过与修复目标值进行比较，各深度范围内需要修复的深度及方量分别如下：</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（1）第①层0-2.0m深度范围内，地块内目标污染物为苯、石油烃（C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）在0-2.0m超标，超标厚度为2.0m，修复厚度为2.0m，红线范围内修复面积为2932.71m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，修复土壤方量5865.42M³。</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（2）第②层2.0-4.0m深度范围内，需修复目标污染物为苯、石油烃（C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）在2.0-4.0m深度范围超标，超标厚度为2.0m，修复厚度为2.0m，红线范围内修复面积为5522m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，修复方量为11044M³。</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（3）第③层4.0-6.0m深度范围内，修复目标污染物为苯、石油烃（C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），在4.0-6.0m深度范围超标，超标厚度为2.0m，修复厚度为2.0m，红线范围内修复面积为4551.1m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，修复方量为9102.2M³。</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（4）第④层6.0-8.0m深度范围内，修复目标污染物为苯，苯在6.0-7.5m深度范围超标，超标厚度为1.5m，修复厚度为2.0m，红线范围内修复面积为1989.69m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，修复土壤方量为3979.38M³。</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（5）S25超标点位区域，修复目标污染物为苯，苯在2.0-2.5m深度范围超标，超标厚度为0.5m，修复深度为3.0m，红线范围内修复面积为584.55m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，修复土壤方量为1753.65M³。</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（6）S26超标点位区域，修复目标污染物为4-氯苯胺，4-氯苯胺在1.0-1.5m深度范围超标，超标厚度为0.5m，修复深度为2.5m，红线范围内修复面积为702.58m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，修复土壤方量为1756.45M³。</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（7）S27超标点位区域，修复目标污染物为苯，苯在5.0-6.0m深度范围超标，超标厚度为1.0m，修复深度为4.0m，红线范围内修复面积为676.06m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，修复土壤方量为2704.24M³。</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（8）S30超标点位区域，修复目标污染物为石油烃（C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）在1.5-2.0m深度范围超标，超标厚度为0.5m，修复深度为3.0m，红线范围内修复面积为463.42m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，修复土壤方量为1390.26M³。</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（9）XS17超标点位区域，修复目标污染物为苯，苯在2.5-3.0m深度范围超标，超标厚度为0.5m，修复深度为2.0m，红线范围内修复面积为887.66m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，修复土壤方量为1775.32M³。</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综上，贵飞化工地块需修复土壤方量共计为39370.92M³，叠加各个深度修复范围后，本地块土壤修复面积约为9240.05m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，相关统计见表2，修复范围见图。</w: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表2 各层次修复土壤土方量统计表</w:t>
      </w:r>
      <w:r/>
    </w:p>
    <w:tbl>
      <w:tblPr>
        <w:tblStyle w:val="868"/>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319"/>
        <w:gridCol w:w="1350"/>
        <w:gridCol w:w="1485"/>
        <w:gridCol w:w="1379"/>
        <w:gridCol w:w="2789"/>
      </w:tblGrid>
      <w:tr>
        <w:trPr>
          <w:jc w:val="center"/>
          <w:trHeight w:val="20"/>
          <w:tblHeader/>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序号</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修复深度/m</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修复面积/m</w:t>
            </w:r>
            <w:r>
              <w:rPr>
                <w:rFonts w:hint="eastAsia" w:ascii="仿宋_GB2312" w:hAnsi="仿宋_GB2312" w:eastAsia="仿宋_GB2312" w:cs="仿宋_GB2312"/>
                <w:sz w:val="28"/>
                <w:szCs w:val="28"/>
                <w:vertAlign w:val="superscript"/>
                <w:lang w:bidi="ar"/>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修复土层厚度/m</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土壤方量/M³</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目标污染物</w:t>
            </w:r>
            <w:r/>
          </w:p>
        </w:tc>
      </w:tr>
      <w:tr>
        <w:trPr>
          <w:jc w:val="center"/>
          <w:trHeight w:val="2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0-2.0</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2932.71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5865.42</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2.0-4.0</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5522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11044</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苯、石油烃</w:t>
            </w:r>
            <w:bookmarkStart w:id="209" w:name="OLE_LINK234"/>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w:t>
            </w:r>
            <w:bookmarkEnd w:id="209"/>
            <w:r/>
            <w:r/>
          </w:p>
        </w:tc>
      </w:tr>
      <w:tr>
        <w:trPr>
          <w:jc w:val="center"/>
          <w:trHeight w:val="2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4.0-6.0</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4551.1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9102.2</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6.0-8.0</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1989.69</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3979.38</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w:t>
            </w:r>
            <w:r/>
          </w:p>
        </w:tc>
      </w:tr>
      <w:tr>
        <w:trPr>
          <w:jc w:val="center"/>
          <w:trHeight w:val="2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1.0-4.0</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584.55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1753.65</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w:t>
            </w:r>
            <w:r/>
          </w:p>
        </w:tc>
      </w:tr>
      <w:tr>
        <w:trPr>
          <w:jc w:val="center"/>
          <w:trHeight w:val="2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6</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0-2.5</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702.58</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2.5</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1756.45</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4-氯苯胺</w:t>
            </w:r>
            <w:r/>
          </w:p>
        </w:tc>
      </w:tr>
      <w:tr>
        <w:trPr>
          <w:jc w:val="center"/>
          <w:trHeight w:val="2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7</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0-3.0</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463.42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1390.26</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8</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3.0-7.0</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676.06</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2704.24</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w:t>
            </w:r>
            <w:r/>
          </w:p>
        </w:tc>
      </w:tr>
      <w:tr>
        <w:trPr>
          <w:jc w:val="center"/>
          <w:trHeight w:val="20"/>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9</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2.0-4.0</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887.66</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1775.32</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w:t>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合计</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18309.77</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39370.92</w:t>
            </w:r>
            <w:r/>
          </w:p>
        </w:tc>
        <w:tc>
          <w:tcPr>
            <w:tcBorders>
              <w:top w:val="single" w:color="auto" w:sz="4" w:space="0"/>
              <w:left w:val="single" w:color="auto" w:sz="4" w:space="0"/>
              <w:bottom w:val="single" w:color="auto" w:sz="4" w:space="0"/>
              <w:right w:val="single" w:color="auto" w:sz="4" w:space="0"/>
            </w:tcBorders>
            <w:tcW w:w="278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）、4-氯苯胺</w:t>
            </w:r>
            <w:r/>
          </w:p>
        </w:tc>
      </w:tr>
    </w:tbl>
    <w:p>
      <w:pPr>
        <w:jc w:val="center"/>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-257174</wp:posOffset>
                </wp:positionH>
                <wp:positionV relativeFrom="paragraph">
                  <wp:posOffset>238125</wp:posOffset>
                </wp:positionV>
                <wp:extent cx="5742940" cy="481774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42940" cy="4817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20.2pt;mso-position-horizontal:absolute;mso-position-vertical-relative:text;margin-top:18.8pt;mso-position-vertical:absolute;width:452.2pt;height:379.3pt;mso-wrap-distance-left:9.0pt;mso-wrap-distance-top:0.0pt;mso-wrap-distance-right:9.0pt;mso-wrap-distance-bottom:0.0pt;" stroked="f">
                <v:path textboxrect="0,0,0,0"/>
                <w10:wrap type="topAndBottom"/>
                <v:imagedata r:id="rId19" o:title=""/>
              </v:shape>
            </w:pict>
          </mc:Fallback>
        </mc:AlternateConten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图2 贵飞化工地块土壤修复范围叠加图</w:t>
      </w:r>
      <w:r/>
    </w:p>
    <w:p>
      <w:pPr>
        <w:rPr>
          <w:rFonts w:hint="eastAsia" w:ascii="仿宋_GB2312" w:hAnsi="仿宋_GB2312" w:eastAsia="仿宋_GB2312" w:cs="仿宋_GB2312"/>
          <w:sz w:val="28"/>
          <w:szCs w:val="28"/>
          <w:lang w:bidi="ar"/>
        </w:rPr>
        <w:sectPr>
          <w:footerReference w:type="default" r:id="rId14"/>
          <w:footnotePr/>
          <w:endnotePr/>
          <w:type w:val="nextPage"/>
          <w:pgSz w:w="11906" w:h="16838" w:orient="portrait"/>
          <w:pgMar w:top="1440" w:right="1800" w:bottom="1440" w:left="1800" w:header="850" w:footer="992" w:gutter="0"/>
          <w:cols w:num="1" w:sep="0" w:space="720" w:equalWidth="1"/>
          <w:docGrid w:linePitch="360"/>
        </w:sectPr>
      </w:pPr>
      <w:r>
        <w:rPr>
          <w:rFonts w:hint="eastAsia" w:ascii="仿宋_GB2312" w:hAnsi="仿宋_GB2312" w:eastAsia="仿宋_GB2312" w:cs="仿宋_GB2312"/>
          <w:sz w:val="28"/>
          <w:szCs w:val="28"/>
          <w:lang w:bidi="ar"/>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inline xmlns:wp="http://schemas.openxmlformats.org/drawingml/2006/wordprocessingDrawing" distT="0" distB="0" distL="0" distR="0">
                <wp:extent cx="5219700" cy="36957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19700" cy="3695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1.0pt;height:291.0pt;mso-wrap-distance-left:0.0pt;mso-wrap-distance-top:0.0pt;mso-wrap-distance-right:0.0pt;mso-wrap-distance-bottom:0.0pt;" stroked="f">
                <v:path textboxrect="0,0,0,0"/>
                <v:imagedata r:id="rId20" o:title=""/>
              </v:shape>
            </w:pict>
          </mc:Fallback>
        </mc:AlternateConten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图3 污染集中区第①层（0-2.0m）土壤修复范围</w:t>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inline xmlns:wp="http://schemas.openxmlformats.org/drawingml/2006/wordprocessingDrawing" distT="0" distB="0" distL="0" distR="0">
                <wp:extent cx="5219700" cy="36893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19700" cy="3689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1.0pt;height:290.5pt;mso-wrap-distance-left:0.0pt;mso-wrap-distance-top:0.0pt;mso-wrap-distance-right:0.0pt;mso-wrap-distance-bottom:0.0pt;" stroked="f">
                <v:path textboxrect="0,0,0,0"/>
                <v:imagedata r:id="rId21" o:title=""/>
              </v:shape>
            </w:pict>
          </mc:Fallback>
        </mc:AlternateConten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图4 污染集中区第②层（2.0-4.0m）土壤修复范围</w:t>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inline xmlns:wp="http://schemas.openxmlformats.org/drawingml/2006/wordprocessingDrawing" distT="0" distB="0" distL="0" distR="0">
                <wp:extent cx="5219700" cy="36830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219700" cy="368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1.0pt;height:290.0pt;mso-wrap-distance-left:0.0pt;mso-wrap-distance-top:0.0pt;mso-wrap-distance-right:0.0pt;mso-wrap-distance-bottom:0.0pt;" stroked="f">
                <v:path textboxrect="0,0,0,0"/>
                <v:imagedata r:id="rId22" o:title=""/>
              </v:shape>
            </w:pict>
          </mc:Fallback>
        </mc:AlternateConten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图5 污染集中区第③层（4.0-6.0m）土壤修复范围</w:t>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inline xmlns:wp="http://schemas.openxmlformats.org/drawingml/2006/wordprocessingDrawing" distT="0" distB="0" distL="0" distR="0">
                <wp:extent cx="5219700" cy="36957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19700" cy="3695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1.0pt;height:291.0pt;mso-wrap-distance-left:0.0pt;mso-wrap-distance-top:0.0pt;mso-wrap-distance-right:0.0pt;mso-wrap-distance-bottom:0.0pt;" stroked="f">
                <v:path textboxrect="0,0,0,0"/>
                <v:imagedata r:id="rId23" o:title=""/>
              </v:shape>
            </w:pict>
          </mc:Fallback>
        </mc:AlternateConten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图6 污染集中区第④层（6.0-8.0m）土壤修复范围</w:t>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inline xmlns:wp="http://schemas.openxmlformats.org/drawingml/2006/wordprocessingDrawing" distT="0" distB="0" distL="0" distR="0">
                <wp:extent cx="5219700" cy="36957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19700" cy="3695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1.0pt;height:291.0pt;mso-wrap-distance-left:0.0pt;mso-wrap-distance-top:0.0pt;mso-wrap-distance-right:0.0pt;mso-wrap-distance-bottom:0.0pt;" stroked="f">
                <v:path textboxrect="0,0,0,0"/>
                <v:imagedata r:id="rId24" o:title=""/>
              </v:shape>
            </w:pict>
          </mc:Fallback>
        </mc:AlternateContent>
      </w:r>
      <w:r/>
    </w:p>
    <w:p>
      <w:pPr>
        <w:jc w:val="center"/>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图7 污染独立区域土壤修复范围</w:t>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outlineLvl w:val="9"/>
      </w:pPr>
      <w:r/>
      <w:bookmarkStart w:id="210" w:name="_Toc28737"/>
      <w:r>
        <w:rPr>
          <w:rFonts w:hint="eastAsia" w:ascii="仿宋_GB2312" w:hAnsi="仿宋_GB2312" w:eastAsia="仿宋_GB2312" w:cs="仿宋_GB2312"/>
          <w:b/>
          <w:bCs/>
          <w:sz w:val="28"/>
          <w:szCs w:val="28"/>
          <w:lang w:bidi="ar"/>
        </w:rPr>
        <w:t xml:space="preserve">5.修复技术方案</w:t>
      </w:r>
      <w:bookmarkEnd w:id="210"/>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outlineLvl w:val="9"/>
      </w:pPr>
      <w:r/>
      <w:bookmarkStart w:id="211" w:name="_Toc12754"/>
      <w:r>
        <w:rPr>
          <w:rFonts w:hint="eastAsia" w:ascii="仿宋_GB2312" w:hAnsi="仿宋_GB2312" w:eastAsia="仿宋_GB2312" w:cs="仿宋_GB2312"/>
          <w:b/>
          <w:bCs/>
          <w:sz w:val="28"/>
          <w:szCs w:val="28"/>
          <w:lang w:bidi="ar"/>
        </w:rPr>
        <w:t xml:space="preserve">5.1.修复方案技术路线</w:t>
      </w:r>
      <w:bookmarkEnd w:id="211"/>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根据地块修复技术筛选结果和可行性评估，经综合考虑，对于中低浓度（超标倍数＜10倍）苯和石油烃（C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）（超标倍数＜10倍）污染土壤优先采用原地异位常温解吸技术进行修复治理；为进一步保证修复效果，原地异位化学氧化技术可作为中低浓度（超标倍数＜10倍）苯和石油烃（C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）（超标倍数＜10倍）污染土壤经常温解吸修复不合格后的备用技术。对于4-氯苯胺、高浓度（超标倍数≥10倍）苯和石油烃（C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）（超标倍数≥10倍）污染土壤采用水泥窑协同处置技术进行修复治理。</w:t>
      </w:r>
      <w:r/>
    </w:p>
    <w:p>
      <w:pPr>
        <w:ind w:firstLine="562"/>
        <w:keepLines w:val="0"/>
        <w:keepNext w:val="0"/>
        <w:pageBreakBefore w:val="0"/>
        <w:spacing w:line="560" w:lineRule="exact"/>
        <w:widowControl w:val="off"/>
        <w:rPr>
          <w:rFonts w:hint="eastAsia" w:ascii="仿宋_GB2312" w:hAnsi="仿宋_GB2312" w:eastAsia="仿宋_GB2312" w:cs="仿宋_GB2312"/>
          <w:b/>
          <w:bCs/>
          <w:sz w:val="28"/>
          <w:szCs w:val="28"/>
        </w:rPr>
        <w:outlineLvl w:val="9"/>
      </w:pPr>
      <w:r/>
      <w:bookmarkStart w:id="212" w:name="_Toc230098351"/>
      <w:r/>
      <w:bookmarkStart w:id="213" w:name="_Toc14194"/>
      <w:r>
        <w:rPr>
          <w:rFonts w:hint="eastAsia" w:ascii="仿宋_GB2312" w:hAnsi="仿宋_GB2312" w:eastAsia="仿宋_GB2312" w:cs="仿宋_GB2312"/>
          <w:b/>
          <w:bCs/>
          <w:sz w:val="28"/>
          <w:szCs w:val="28"/>
          <w:lang w:bidi="ar"/>
        </w:rPr>
        <w:t xml:space="preserve">5.2.修复工程量估算</w:t>
      </w:r>
      <w:bookmarkEnd w:id="212"/>
      <w:r/>
      <w:bookmarkEnd w:id="213"/>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本项目土壤中修复目标污染物为苯、石油烃（C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）、4-氯苯胺，最大修复深度为8.0m，总修复方量39370.92M³。推荐修复方案中涉及的4-氯苯胺、高浓度（超标倍数≥10倍）苯和石油烃（C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）（超标倍数≥10倍）污染土壤方量合计10673.8M³，具体分布如下所示。</w: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表3 修复方案中水泥窑协同处置污染土壤统计表</w:t>
      </w:r>
      <w:r/>
    </w:p>
    <w:tbl>
      <w:tblPr>
        <w:tblStyle w:val="868"/>
        <w:tblW w:w="9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311"/>
        <w:gridCol w:w="1489"/>
        <w:gridCol w:w="1504"/>
        <w:gridCol w:w="1041"/>
        <w:gridCol w:w="1923"/>
      </w:tblGrid>
      <w:tr>
        <w:trPr>
          <w:jc w:val="center"/>
          <w:trHeight w:val="372"/>
          <w:tblHead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7"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1"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污染斑块</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修复深度（m）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修复面积（m</w:t>
            </w:r>
            <w:r>
              <w:rPr>
                <w:rFonts w:hint="eastAsia" w:ascii="仿宋_GB2312" w:hAnsi="仿宋_GB2312" w:eastAsia="仿宋_GB2312" w:cs="仿宋_GB2312"/>
                <w:sz w:val="28"/>
                <w:szCs w:val="28"/>
                <w:vertAlign w:val="superscript"/>
                <w:lang w:bidi="ar"/>
              </w:rPr>
              <w:t xml:space="preserve">2</w:t>
            </w:r>
            <w:r>
              <w:rPr>
                <w:rFonts w:hint="eastAsia" w:ascii="仿宋_GB2312" w:hAnsi="仿宋_GB2312"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厚度（m）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32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方量（M³）</w:t>
            </w:r>
            <w:r/>
          </w:p>
        </w:tc>
      </w:tr>
      <w:tr>
        <w:trPr>
          <w:jc w:val="center"/>
          <w:trHeight w:val="3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7"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XS5-0-3.0m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0-3.0m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624.92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1874.76</w:t>
            </w:r>
            <w:r/>
          </w:p>
        </w:tc>
      </w:tr>
      <w:tr>
        <w:trPr>
          <w:jc w:val="center"/>
          <w:trHeight w:val="3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7" w:type="dxa"/>
            <w:vAlign w:val="center"/>
            <w:vMerge w:val="restart"/>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1" w:type="dxa"/>
            <w:vAlign w:val="center"/>
            <w:vMerge w:val="restart"/>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XS9-2.0-4.0m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2.0-4.0m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730.41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1460.82</w:t>
            </w:r>
            <w:r/>
          </w:p>
        </w:tc>
      </w:tr>
      <w:tr>
        <w:trPr>
          <w:jc w:val="center"/>
          <w:trHeight w:val="324"/>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2311" w:type="dxa"/>
            <w:vAlign w:val="center"/>
            <w:vMerge w:val="continue"/>
            <w:textDirection w:val="lrTb"/>
            <w:noWrap w:val="false"/>
          </w:tcPr>
          <w:p>
            <w:pP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3.0-4.0m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176.14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176.14</w:t>
            </w:r>
            <w:r/>
          </w:p>
        </w:tc>
      </w:tr>
      <w:tr>
        <w:trPr>
          <w:jc w:val="center"/>
          <w:trHeight w:val="3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7"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BS2-4.0-5.0m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4.0-5.0m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856.78</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856.78</w:t>
            </w:r>
            <w:r/>
          </w:p>
        </w:tc>
      </w:tr>
      <w:tr>
        <w:trPr>
          <w:jc w:val="center"/>
          <w:trHeight w:val="3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7"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XS19-4.0-5.0m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4.0-5.0m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927.71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927.71</w:t>
            </w:r>
            <w:r/>
          </w:p>
        </w:tc>
      </w:tr>
      <w:tr>
        <w:trPr>
          <w:jc w:val="center"/>
          <w:trHeight w:val="3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7"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XS15-6.0-7.0m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6.0-7.0m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883.37</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883.37</w:t>
            </w:r>
            <w:r/>
          </w:p>
        </w:tc>
      </w:tr>
      <w:tr>
        <w:trPr>
          <w:jc w:val="center"/>
          <w:trHeight w:val="3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7"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6</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S24-2.0-3.5m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1.5-4.0m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984.95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2462.38</w:t>
            </w:r>
            <w:r/>
          </w:p>
        </w:tc>
      </w:tr>
      <w:tr>
        <w:trPr>
          <w:jc w:val="center"/>
          <w:trHeight w:val="3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7"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7</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XS25-3.0-4.0m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3.0-4.0m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275.14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275.14</w:t>
            </w:r>
            <w:r/>
          </w:p>
        </w:tc>
      </w:tr>
      <w:tr>
        <w:trPr>
          <w:jc w:val="center"/>
          <w:trHeight w:val="3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7"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8</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S26-0-2.5m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89"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0-2.5m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04"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702.69</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1"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1756.73</w:t>
            </w:r>
            <w:r/>
          </w:p>
        </w:tc>
      </w:tr>
      <w:tr>
        <w:trPr>
          <w:jc w:val="center"/>
          <w:trHeight w:val="324"/>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2"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合计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23" w:type="dxa"/>
            <w:vAlign w:val="center"/>
            <w:textDirection w:val="lrTb"/>
            <w:noWrap w:val="false"/>
          </w:tcPr>
          <w:p>
            <w:pPr>
              <w:jc w:val="center"/>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10673.8</w:t>
            </w:r>
            <w:r/>
          </w:p>
        </w:tc>
      </w:tr>
    </w:tbl>
    <w:p>
      <w:pPr>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根据上述推荐的修复方案，地块土壤修复方量及相应修复工艺如下所示。</w:t>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bidi="ar"/>
        </w:rPr>
        <w:t xml:space="preserve">表4 地块土壤修复方量统计表</w:t>
      </w:r>
      <w:r/>
    </w:p>
    <w:tbl>
      <w:tblPr>
        <w:tblStyle w:val="868"/>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1586"/>
        <w:gridCol w:w="2809"/>
        <w:gridCol w:w="3301"/>
      </w:tblGrid>
      <w:tr>
        <w:trPr>
          <w:jc w:val="center"/>
          <w:trHeight w:val="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93"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修复工艺</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8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修复深度（m）</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80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修复方量（M³）</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0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目标污染物</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93"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原地异位常温解吸</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8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0</w:t>
            </w:r>
            <w:r>
              <w:rPr>
                <w:rFonts w:ascii="Times New Roman" w:hAnsi="Times New Roman" w:cs="Times New Roman"/>
                <w:lang w:bidi="ar"/>
              </w:rPr>
              <w:t xml:space="preserve">~</w:t>
            </w:r>
            <w:r>
              <w:rPr>
                <w:rFonts w:hint="eastAsia" w:ascii="仿宋_GB2312" w:hAnsi="仿宋_GB2312" w:eastAsia="仿宋_GB2312" w:cs="仿宋_GB2312"/>
                <w:sz w:val="28"/>
                <w:szCs w:val="28"/>
                <w:lang w:bidi="ar"/>
              </w:rPr>
              <w:t xml:space="preserve">8</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80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28697.1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0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93"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原地异位化学氧化</w:t>
            </w:r>
            <w:r/>
          </w:p>
        </w:tc>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39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根据现场异位常温解吸修复效果决定</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0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93"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水泥窑协同处置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8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0</w:t>
            </w:r>
            <w:r>
              <w:rPr>
                <w:rFonts w:ascii="Times New Roman" w:hAnsi="Times New Roman" w:cs="Times New Roman"/>
                <w:lang w:bidi="ar"/>
              </w:rPr>
              <w:t xml:space="preserve">~</w:t>
            </w:r>
            <w:r>
              <w:rPr>
                <w:rFonts w:hint="eastAsia" w:ascii="仿宋_GB2312" w:hAnsi="仿宋_GB2312" w:eastAsia="仿宋_GB2312" w:cs="仿宋_GB2312"/>
                <w:sz w:val="28"/>
                <w:szCs w:val="28"/>
                <w:lang w:bidi="ar"/>
              </w:rPr>
              <w:t xml:space="preserve">7</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809"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bookmarkStart w:id="214" w:name="RANGE!D17"/>
            <w:r>
              <w:rPr>
                <w:rFonts w:hint="eastAsia" w:ascii="仿宋_GB2312" w:hAnsi="仿宋_GB2312" w:eastAsia="仿宋_GB2312" w:cs="仿宋_GB2312"/>
                <w:sz w:val="28"/>
                <w:szCs w:val="28"/>
                <w:lang w:bidi="ar"/>
              </w:rPr>
              <w:t xml:space="preserve">10673.8</w:t>
            </w:r>
            <w:bookmarkEnd w:id="214"/>
            <w:r>
              <w:rPr>
                <w:rFonts w:hint="eastAsia" w:ascii="仿宋_GB2312" w:hAnsi="仿宋_GB2312" w:eastAsia="仿宋_GB2312" w:cs="仿宋_GB2312"/>
                <w:sz w:val="28"/>
                <w:szCs w:val="28"/>
                <w:lang w:bidi="ar"/>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01"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苯、石油烃（C</w:t>
            </w:r>
            <w:r>
              <w:rPr>
                <w:rFonts w:hint="eastAsia" w:ascii="仿宋_GB2312" w:hAnsi="仿宋_GB2312" w:eastAsia="仿宋_GB2312" w:cs="仿宋_GB2312"/>
                <w:sz w:val="28"/>
                <w:szCs w:val="28"/>
                <w:vertAlign w:val="subscript"/>
                <w:lang w:bidi="ar"/>
              </w:rPr>
              <w:t xml:space="preserve">6</w:t>
            </w:r>
            <w:r>
              <w:rPr>
                <w:rFonts w:hint="eastAsia" w:ascii="仿宋_GB2312" w:hAnsi="仿宋_GB2312" w:eastAsia="仿宋_GB2312" w:cs="仿宋_GB2312"/>
                <w:sz w:val="28"/>
                <w:szCs w:val="28"/>
                <w:lang w:bidi="ar"/>
              </w:rPr>
              <w:t xml:space="preserve">-C</w:t>
            </w:r>
            <w:r>
              <w:rPr>
                <w:rFonts w:hint="eastAsia" w:ascii="仿宋_GB2312" w:hAnsi="仿宋_GB2312" w:eastAsia="仿宋_GB2312" w:cs="仿宋_GB2312"/>
                <w:sz w:val="28"/>
                <w:szCs w:val="28"/>
                <w:vertAlign w:val="subscript"/>
                <w:lang w:bidi="ar"/>
              </w:rPr>
              <w:t xml:space="preserve">9</w:t>
            </w:r>
            <w:r>
              <w:rPr>
                <w:rFonts w:hint="eastAsia" w:ascii="仿宋_GB2312" w:hAnsi="仿宋_GB2312" w:eastAsia="仿宋_GB2312" w:cs="仿宋_GB2312"/>
                <w:sz w:val="28"/>
                <w:szCs w:val="28"/>
                <w:lang w:bidi="ar"/>
              </w:rPr>
              <w:t xml:space="preserve">）、4-氯苯胺</w:t>
            </w:r>
            <w:r/>
          </w:p>
        </w:tc>
      </w:tr>
    </w:tbl>
    <w:p>
      <w:pPr>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inline xmlns:wp="http://schemas.openxmlformats.org/drawingml/2006/wordprocessingDrawing" distT="0" distB="0" distL="0" distR="0">
                <wp:extent cx="5219700" cy="36893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19700" cy="3689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1.0pt;height:290.5pt;mso-wrap-distance-left:0.0pt;mso-wrap-distance-top:0.0pt;mso-wrap-distance-right:0.0pt;mso-wrap-distance-bottom:0.0pt;" stroked="f">
                <v:path textboxrect="0,0,0,0"/>
                <v:imagedata r:id="rId25" o:title=""/>
              </v:shape>
            </w:pict>
          </mc:Fallback>
        </mc:AlternateContent>
      </w:r>
      <w:r/>
    </w:p>
    <w:p>
      <w:pPr>
        <w:jc w:val="center"/>
        <w:rPr>
          <w:rFonts w:hint="eastAsia" w:ascii="仿宋_GB2312" w:hAnsi="仿宋_GB2312" w:eastAsia="仿宋_GB2312" w:cs="仿宋_GB2312"/>
          <w:sz w:val="28"/>
          <w:szCs w:val="28"/>
          <w:lang w:bidi="ar"/>
        </w:rPr>
      </w:pPr>
      <w:r>
        <w:rPr>
          <w:rFonts w:hint="eastAsia" w:ascii="仿宋_GB2312" w:hAnsi="仿宋_GB2312" w:eastAsia="仿宋_GB2312" w:cs="仿宋_GB2312"/>
          <w:sz w:val="28"/>
          <w:szCs w:val="28"/>
          <w:lang w:bidi="ar"/>
        </w:rPr>
        <w:t xml:space="preserve">图8 水泥窑协同处置污染土壤范围图</w:t>
      </w:r>
      <w:r/>
    </w:p>
    <w:p>
      <w:pPr>
        <w:keepLines w:val="0"/>
        <w:keepNext w:val="0"/>
        <w:pageBreakBefore w:val="0"/>
        <w:spacing w:line="560" w:lineRule="exact"/>
        <w:widowControl w:val="off"/>
        <w:rPr>
          <w:rFonts w:hint="eastAsia" w:ascii="仿宋_GB2312" w:hAnsi="仿宋_GB2312" w:eastAsia="仿宋_GB2312" w:cs="仿宋_GB2312"/>
          <w:b/>
          <w:bCs/>
          <w:iCs/>
          <w:sz w:val="28"/>
          <w:szCs w:val="28"/>
          <w:lang w:bidi="ar"/>
        </w:rPr>
        <w:outlineLvl w:val="9"/>
      </w:pPr>
      <w:r>
        <w:rPr>
          <w:rFonts w:hint="eastAsia" w:ascii="仿宋_GB2312" w:hAnsi="仿宋_GB2312" w:eastAsia="仿宋_GB2312" w:cs="仿宋_GB2312"/>
          <w:b/>
          <w:bCs/>
          <w:iCs/>
          <w:sz w:val="28"/>
          <w:szCs w:val="28"/>
          <w:lang w:val="en-US" w:eastAsia="zh-CN" w:bidi="ar"/>
        </w:rPr>
        <w:t xml:space="preserve">十、</w:t>
      </w:r>
      <w:r>
        <w:rPr>
          <w:rFonts w:hint="eastAsia" w:ascii="仿宋_GB2312" w:hAnsi="仿宋_GB2312" w:eastAsia="仿宋_GB2312" w:cs="仿宋_GB2312"/>
          <w:b/>
          <w:bCs/>
          <w:iCs/>
          <w:sz w:val="28"/>
          <w:szCs w:val="28"/>
          <w:lang w:bidi="ar"/>
        </w:rPr>
        <w:t xml:space="preserve">主要建设实施内容</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1.施工前期工作</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1.1.施工进场准备：现场踏勘、资料复核、施工组织方案设计、办理相关施工手续等。</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1.2.现场临时设施：施工围挡（围挡高度≥1.8m全封闭施工）、密闭预处理大棚、常温解吸密闭处理大棚、废气收集处理系统（预处理大棚设置1根15m排气筒，常温解吸大棚设置2根15m排气筒）、废水收集处理系统、临时道路、排水导排、防雨防渗、危废临时储存区、材料仓库、办公临建设施建设。</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1.3.自检准备：委托具备相应资质检测机构，开展相关监测。</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2.污染土壤开挖、转运、修复</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2.1.按照修复范围、修复深度开展基坑开挖，严格区分常温解吸处理土壤、水泥窑协同处置土壤；基坑开挖完成开展坑底、坑壁自检。</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2.2.土壤场内短驳：密闭运输、车辆全覆盖，场内道路硬化，洒水抑尘；异味严重作业面开展相应抑制措施，必要喷洒生物除臭剂。</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2.3.外运水泥窑协同处置土壤：按照江苏省污染土壤转运管理要求，提前报备转运计划，密闭车辆运输，确定合规水泥窑协同处置单位，完整留存转运联单、处置凭证。</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3.原地异位常温解吸修复</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3.1.污染土壤转运进入密闭大棚开展常温解吸处理；配套负压抽气，废气采用滤筒除尘+活性炭吸附工艺，处理后有组织达标排放。</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3.2.修复后土壤按照每500M³设置1个采样网格开展自检；检测指标苯、石油烃（C</w:t>
      </w:r>
      <w:r>
        <w:rPr>
          <w:rFonts w:hint="eastAsia" w:ascii="仿宋_GB2312" w:hAnsi="仿宋_GB2312" w:eastAsia="仿宋_GB2312" w:cs="仿宋_GB2312"/>
          <w:sz w:val="28"/>
          <w:szCs w:val="28"/>
          <w:vertAlign w:val="subscript"/>
        </w:rPr>
        <w:t xml:space="preserve">6</w:t>
      </w:r>
      <w:r>
        <w:rPr>
          <w:rFonts w:hint="eastAsia" w:ascii="仿宋_GB2312" w:hAnsi="仿宋_GB2312" w:eastAsia="仿宋_GB2312" w:cs="仿宋_GB2312"/>
          <w:sz w:val="28"/>
          <w:szCs w:val="28"/>
        </w:rPr>
        <w:t xml:space="preserve">-C</w:t>
      </w:r>
      <w:r>
        <w:rPr>
          <w:rFonts w:hint="eastAsia" w:ascii="仿宋_GB2312" w:hAnsi="仿宋_GB2312" w:eastAsia="仿宋_GB2312" w:cs="仿宋_GB2312"/>
          <w:sz w:val="28"/>
          <w:szCs w:val="28"/>
          <w:vertAlign w:val="subscript"/>
        </w:rPr>
        <w:t xml:space="preserve">9</w:t>
      </w:r>
      <w:r>
        <w:rPr>
          <w:rFonts w:hint="eastAsia" w:ascii="仿宋_GB2312" w:hAnsi="仿宋_GB2312" w:eastAsia="仿宋_GB2312" w:cs="仿宋_GB2312"/>
          <w:sz w:val="28"/>
          <w:szCs w:val="28"/>
        </w:rPr>
        <w:t xml:space="preserve">），检测结果满足修复目标方可提交效果评估；不达标土壤继续开展常温解吸处理或启用原地异位化学氧化备用工艺处理。</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4.原地异位化学氧化（备用工艺）</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常温解吸处理不达标的土壤启用本工艺；在密闭大棚内实施药剂拌合养护；配套废气收集处理；处理完成后采样自检，达标后方可提交效果评估。</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5.水泥窑协同处置</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高浓度污染土壤、含4-氯苯胺污染土壤经预处理后密闭装车，合规转运至具备资质水泥窑协同处置单位处置；完整留存接收回执、处置凭证、转运联单，全过程台账归档。</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6.基坑自检与回填</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6.1.基坑开挖完成后，坑底、侧壁按照HJ25.5-2018布点要求采样自检；坑底系统布点，侧壁分层布点；检测指标苯、石油烃（C</w:t>
      </w:r>
      <w:r>
        <w:rPr>
          <w:rFonts w:hint="eastAsia" w:ascii="仿宋_GB2312" w:hAnsi="仿宋_GB2312" w:eastAsia="仿宋_GB2312" w:cs="仿宋_GB2312"/>
          <w:sz w:val="28"/>
          <w:szCs w:val="28"/>
          <w:vertAlign w:val="subscript"/>
        </w:rPr>
        <w:t xml:space="preserve">6</w:t>
      </w:r>
      <w:r>
        <w:rPr>
          <w:rFonts w:hint="eastAsia" w:ascii="仿宋_GB2312" w:hAnsi="仿宋_GB2312" w:eastAsia="仿宋_GB2312" w:cs="仿宋_GB2312"/>
          <w:sz w:val="28"/>
          <w:szCs w:val="28"/>
        </w:rPr>
        <w:t xml:space="preserve">-C</w:t>
      </w:r>
      <w:r>
        <w:rPr>
          <w:rFonts w:hint="eastAsia" w:ascii="仿宋_GB2312" w:hAnsi="仿宋_GB2312" w:eastAsia="仿宋_GB2312" w:cs="仿宋_GB2312"/>
          <w:sz w:val="28"/>
          <w:szCs w:val="28"/>
          <w:vertAlign w:val="subscript"/>
        </w:rPr>
        <w:t xml:space="preserve">9</w:t>
      </w:r>
      <w:r>
        <w:rPr>
          <w:rFonts w:hint="eastAsia" w:ascii="仿宋_GB2312" w:hAnsi="仿宋_GB2312" w:eastAsia="仿宋_GB2312" w:cs="仿宋_GB2312"/>
          <w:sz w:val="28"/>
          <w:szCs w:val="28"/>
        </w:rPr>
        <w:t xml:space="preserve">）、4-氯苯胺。自检不合格继续清挖，直至达到修复目标或地块红线边界。</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6.2.基坑自检合格后，经效果评估通过后采用达标修复后土壤或者合规洁净土壤分层回填、平整。</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7. 二次污染防治</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7.1.废气、扬尘控制：全封闭大棚负压收集废气；挖掘作业面抑尘、除臭；大风天气增加洒水频次；有组织废气排气筒定期监测；无组织大气定期监测。</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7.2.废水控制：基坑降水、车辆冲洗废水、大棚冲洗废水全部收集进入现场废水处理设施，处理达标后纳管排放；生活污水接入市政管网。</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7.3.固废管理：修复治理过程中产生的危险废物按相关规定处置；建立危废台账。一般建筑垃圾分类处置。</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7.4.噪声控制：高噪声设备远离敏感点；合理安排施工时间；夜间施工提前报批；定期噪声监测。</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8. 施工期环境监测</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8.1.大气监测：施工前本底监测；施工期每月至少1次；竣工后1次；包含有组织排气筒监测、无组织厂界上下风向监测；监测因子包含苯系物、VOCs、颗粒物、臭气浓度等。</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8.2.废水监测：废水设施处理后排放批次开展监测，达标纳管。</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8.3.噪声监测：施工前本底；施工期每月昼夜间监测1次；竣工后1次；执行GB12523-2025标准。</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9.修复自检工作</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投标人必须建立</w:t>
      </w:r>
      <w:r>
        <w:rPr>
          <w:rFonts w:hint="eastAsia" w:ascii="仿宋_GB2312" w:hAnsi="仿宋_GB2312" w:eastAsia="仿宋_GB2312" w:cs="仿宋_GB2312"/>
          <w:sz w:val="28"/>
          <w:szCs w:val="28"/>
          <w:lang w:bidi="ar"/>
        </w:rPr>
        <w:t xml:space="preserve">自检制度和计划方案</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bidi="ar"/>
        </w:rPr>
        <w:t xml:space="preserve">委托具有相应检测资质的实验室开展</w:t>
      </w:r>
      <w:r>
        <w:rPr>
          <w:rFonts w:hint="eastAsia" w:ascii="仿宋_GB2312" w:hAnsi="仿宋_GB2312" w:eastAsia="仿宋_GB2312" w:cs="仿宋_GB2312"/>
          <w:sz w:val="28"/>
          <w:szCs w:val="28"/>
        </w:rPr>
        <w:t xml:space="preserve">：基坑坑底坑壁清挖自检、异位处理土壤堆体自检；废水排放自检；形成全套自检报告；自检合格后方可申请开展第三方修复效果评估。</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10. 配合修复效果评估工作</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投标人全力配合招标人委托的第三方修复效果评估单位开展现场踏勘、采样、资料收集；按照评审要求补充资料；配合完成修复效果评估报告专家评审。</w:t>
      </w:r>
      <w:r/>
    </w:p>
    <w:p>
      <w:pPr>
        <w:keepLines w:val="0"/>
        <w:keepNext w:val="0"/>
        <w:pageBreakBefore w:val="0"/>
        <w:spacing w:before="120" w:after="80"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11.全过程资料归档</w:t>
      </w:r>
      <w:r/>
    </w:p>
    <w:p>
      <w:pPr>
        <w:ind w:firstLine="482"/>
        <w:keepLines w:val="0"/>
        <w:keepNext w:val="0"/>
        <w:pageBreakBefore w:val="0"/>
        <w:spacing w:after="361" w:line="5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完整收集施工全过程资料：施工记录、开挖记录、转运联单、处置凭证、检测报告、设备运行台账、应急处置记录（如有）、影像资料；按照生态环境部门档案要求装订成册，移交招标人。</w:t>
      </w:r>
      <w:r/>
    </w:p>
    <w:p>
      <w:pPr>
        <w:rPr>
          <w:rFonts w:hint="eastAsia" w:ascii="仿宋_GB2312" w:hAnsi="仿宋_GB2312" w:eastAsia="仿宋_GB2312" w:cs="仿宋_GB2312"/>
          <w:b/>
          <w:bCs/>
          <w:iCs/>
          <w:sz w:val="28"/>
          <w:szCs w:val="28"/>
          <w:lang w:bidi="ar"/>
        </w:rPr>
      </w:pPr>
      <w:r>
        <w:rPr>
          <w:rFonts w:hint="eastAsia" w:ascii="仿宋_GB2312" w:hAnsi="仿宋_GB2312" w:eastAsia="仿宋_GB2312" w:cs="仿宋_GB2312"/>
          <w:b/>
          <w:bCs/>
          <w:iCs/>
          <w:sz w:val="28"/>
          <w:szCs w:val="28"/>
          <w:lang w:val="en-US" w:eastAsia="zh-CN" w:bidi="ar"/>
        </w:rPr>
        <w:t xml:space="preserve">十一、</w:t>
      </w:r>
      <w:r>
        <w:rPr>
          <w:rFonts w:hint="eastAsia" w:ascii="仿宋_GB2312" w:hAnsi="仿宋_GB2312" w:eastAsia="仿宋_GB2312" w:cs="仿宋_GB2312"/>
          <w:b/>
          <w:bCs/>
          <w:iCs/>
          <w:sz w:val="28"/>
          <w:szCs w:val="28"/>
          <w:lang w:bidi="ar"/>
        </w:rPr>
        <w:t xml:space="preserve">建设清单</w:t>
      </w:r>
      <w:r/>
    </w:p>
    <w:tbl>
      <w:tblPr>
        <w:tblStyle w:val="892"/>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3499"/>
        <w:gridCol w:w="817"/>
        <w:gridCol w:w="885"/>
        <w:gridCol w:w="3300"/>
      </w:tblGrid>
      <w:tr>
        <w:trPr>
          <w:cantSplit/>
          <w:jc w:val="center"/>
          <w:tblHeader/>
        </w:trPr>
        <w:tc>
          <w:tcPr>
            <w:shd w:val="clear" w:color="auto" w:fill="f2f2f2"/>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序号</w:t>
            </w:r>
            <w:r/>
          </w:p>
        </w:tc>
        <w:tc>
          <w:tcPr>
            <w:shd w:val="clear" w:color="auto" w:fill="f2f2f2"/>
            <w:tcW w:w="3499"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模块/工作内容</w:t>
            </w:r>
            <w:r/>
          </w:p>
        </w:tc>
        <w:tc>
          <w:tcPr>
            <w:shd w:val="clear" w:color="auto" w:fill="f2f2f2"/>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数量</w:t>
            </w:r>
            <w:r/>
          </w:p>
        </w:tc>
        <w:tc>
          <w:tcPr>
            <w:shd w:val="clear" w:color="auto" w:fill="f2f2f2"/>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单位</w:t>
            </w:r>
            <w:r/>
          </w:p>
        </w:tc>
        <w:tc>
          <w:tcPr>
            <w:shd w:val="clear" w:color="auto" w:fill="f2f2f2"/>
            <w:tcW w:w="3300"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sz w:val="28"/>
                <w:szCs w:val="28"/>
              </w:rPr>
              <w:t xml:space="preserve">备注</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3499" w:type="dxa"/>
            <w:vAlign w:val="center"/>
            <w:textDirection w:val="lrTb"/>
            <w:noWrap w:val="false"/>
          </w:tcPr>
          <w:p>
            <w:pP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施工前期及临时设施（围挡、密闭大棚、废气处理、废水处理、临建设施等）</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含设计、采购、安装拆除</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2</w:t>
            </w:r>
            <w:r/>
          </w:p>
        </w:tc>
        <w:tc>
          <w:tcPr>
            <w:tcW w:w="3499" w:type="dxa"/>
            <w:vAlign w:val="center"/>
            <w:textDirection w:val="lrTb"/>
            <w:noWrap w:val="false"/>
          </w:tcPr>
          <w:p>
            <w:pP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污染土壤和清洁土壤（含放坡土）开挖、场内转运</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污染土壤总方量39370.92m³（以实际为准），清洁土壤以实际施工为准</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3</w:t>
            </w:r>
            <w:r/>
          </w:p>
        </w:tc>
        <w:tc>
          <w:tcPr>
            <w:tcW w:w="3499"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原地异位常温解吸修复</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28697.10m³，含备用化学氧化工艺</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4</w:t>
            </w:r>
            <w:r/>
          </w:p>
        </w:tc>
        <w:tc>
          <w:tcPr>
            <w:tcW w:w="3499" w:type="dxa"/>
            <w:vAlign w:val="center"/>
            <w:textDirection w:val="lrTb"/>
            <w:noWrap w:val="false"/>
          </w:tcPr>
          <w:p>
            <w:pP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水泥窑协同处置（含预处理、运输、处置费）</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10673.82m³</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5</w:t>
            </w:r>
            <w:r/>
          </w:p>
        </w:tc>
        <w:tc>
          <w:tcPr>
            <w:tcW w:w="3499"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基坑自检、土壤堆体自检</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自检工作</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6</w:t>
            </w:r>
            <w:r/>
          </w:p>
        </w:tc>
        <w:tc>
          <w:tcPr>
            <w:tcW w:w="3499"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基坑回填、场地平整</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基坑自检合格后实施</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7</w:t>
            </w:r>
            <w:r/>
          </w:p>
        </w:tc>
        <w:tc>
          <w:tcPr>
            <w:tcW w:w="3499"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施工期二次污染防控、施工期环境监测</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废气、废水、噪声、固废全过程管控与监测</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8</w:t>
            </w:r>
            <w:r/>
          </w:p>
        </w:tc>
        <w:tc>
          <w:tcPr>
            <w:tcW w:w="3499"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配合第三方修复效果评估、评审、备案</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含现场配合、资料提供、问题整改</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9</w:t>
            </w:r>
            <w:r/>
          </w:p>
        </w:tc>
        <w:tc>
          <w:tcPr>
            <w:tcW w:w="3499"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项目全过程资料整理归档</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纸质+电子档案移交招标人</w:t>
            </w:r>
            <w:r/>
          </w:p>
        </w:tc>
      </w:tr>
      <w:tr>
        <w:trPr>
          <w:cantSplit/>
          <w:jc w:val="center"/>
        </w:trPr>
        <w:tc>
          <w:tcPr>
            <w:tcW w:w="65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10</w:t>
            </w:r>
            <w:r/>
          </w:p>
        </w:tc>
        <w:tc>
          <w:tcPr>
            <w:tcW w:w="3499"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安全文明施工、应急管理</w:t>
            </w:r>
            <w:r/>
          </w:p>
        </w:tc>
        <w:tc>
          <w:tcPr>
            <w:tcW w:w="817"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tcW w:w="885" w:type="dxa"/>
            <w:vAlign w:val="center"/>
            <w:textDirection w:val="lrTb"/>
            <w:noWrap w:val="false"/>
          </w:tcPr>
          <w:p>
            <w:pPr>
              <w:jc w:val="cente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tcW w:w="3300" w:type="dxa"/>
            <w:vAlign w:val="center"/>
            <w:textDirection w:val="lrTb"/>
            <w:noWrap w:val="false"/>
          </w:tcPr>
          <w:p>
            <w:pPr>
              <w:keepLines w:val="0"/>
              <w:keepNext w:val="0"/>
              <w:pageBreakBefore w:val="0"/>
              <w:spacing w:before="40" w:after="40"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含安全防护、应急预案、应急物资</w:t>
            </w:r>
            <w:r/>
          </w:p>
        </w:tc>
      </w:tr>
    </w:tbl>
    <w:p>
      <w:pPr>
        <w:rPr>
          <w:rFonts w:hint="eastAsia" w:ascii="仿宋_GB2312" w:hAnsi="仿宋_GB2312" w:eastAsia="仿宋_GB2312" w:cs="仿宋_GB2312"/>
          <w:b/>
          <w:bCs/>
          <w:iCs/>
          <w:sz w:val="28"/>
          <w:szCs w:val="28"/>
          <w:lang w:val="en-US" w:eastAsia="zh-CN" w:bidi="ar"/>
        </w:rPr>
      </w:pPr>
      <w:r>
        <w:rPr>
          <w:rFonts w:hint="eastAsia" w:ascii="仿宋_GB2312" w:hAnsi="仿宋_GB2312" w:eastAsia="仿宋_GB2312" w:cs="仿宋_GB2312"/>
          <w:b/>
          <w:bCs/>
          <w:iCs/>
          <w:sz w:val="28"/>
          <w:szCs w:val="28"/>
          <w:lang w:val="en-US" w:eastAsia="zh-CN" w:bidi="ar"/>
        </w:rPr>
      </w:r>
      <w:r/>
    </w:p>
    <w:p>
      <w:pPr>
        <w:keepLines w:val="0"/>
        <w:keepNext w:val="0"/>
        <w:pageBreakBefore w:val="0"/>
        <w:widowControl w:val="off"/>
        <w:rPr>
          <w:rFonts w:hint="eastAsia" w:ascii="仿宋_GB2312" w:hAnsi="仿宋_GB2312" w:eastAsia="仿宋_GB2312" w:cs="仿宋_GB2312"/>
          <w:b/>
          <w:bCs/>
          <w:iCs/>
          <w:sz w:val="28"/>
          <w:szCs w:val="28"/>
          <w:lang w:bidi="ar"/>
        </w:rPr>
      </w:pPr>
      <w:r>
        <w:rPr>
          <w:rFonts w:hint="eastAsia" w:ascii="仿宋_GB2312" w:hAnsi="仿宋_GB2312" w:eastAsia="仿宋_GB2312" w:cs="仿宋_GB2312"/>
          <w:b/>
          <w:bCs/>
          <w:iCs/>
          <w:sz w:val="28"/>
          <w:szCs w:val="28"/>
          <w:lang w:val="en-US" w:eastAsia="zh-CN" w:bidi="ar"/>
        </w:rPr>
        <w:t xml:space="preserve">十二、</w:t>
      </w:r>
      <w:r>
        <w:rPr>
          <w:rFonts w:hint="eastAsia" w:ascii="仿宋_GB2312" w:hAnsi="仿宋_GB2312" w:eastAsia="仿宋_GB2312" w:cs="仿宋_GB2312"/>
          <w:b/>
          <w:bCs/>
          <w:iCs/>
          <w:sz w:val="28"/>
          <w:szCs w:val="28"/>
          <w:lang w:bidi="ar"/>
        </w:rPr>
        <w:t xml:space="preserve">项目实施方案总体要求</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lang w:val="en-US" w:eastAsia="zh-CN"/>
        </w:rPr>
        <w:outlineLvl w:val="9"/>
      </w:pPr>
      <w:r>
        <w:rPr>
          <w:rFonts w:hint="eastAsia" w:ascii="仿宋_GB2312" w:hAnsi="仿宋_GB2312" w:eastAsia="仿宋_GB2312" w:cs="仿宋_GB2312"/>
          <w:b/>
          <w:sz w:val="28"/>
          <w:szCs w:val="28"/>
        </w:rPr>
        <w:t xml:space="preserve">1.项目总体概况</w:t>
      </w:r>
      <w:r>
        <w:rPr>
          <w:rFonts w:hint="eastAsia" w:ascii="仿宋_GB2312" w:hAnsi="仿宋_GB2312" w:eastAsia="仿宋_GB2312" w:cs="仿宋_GB2312"/>
          <w:b/>
          <w:sz w:val="28"/>
          <w:szCs w:val="28"/>
          <w:lang w:val="en-US" w:eastAsia="zh-CN"/>
        </w:rPr>
        <w:t xml:space="preserve">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江苏扬州化学工业园区原贵飞化工地块污染土壤修复项目，主要是实施土壤修复、二次污染防控、自检等全部工作，使地块土壤污染物满足修复目标值要求。</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项目是贯彻落实《中华人民共和国生态环境法典》、《江苏省土壤污染防治条例》，推进污染地块安全利用的重点工程，也是保障区域生态环境安全的核心举措。</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项目修复范围依据前述“地块基本情况”，开展地块污染土壤修复治理工作，地下水中关注污染物人体健康风险可接受，本项目不对地下水开展修复工作。</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投标人全面梳理地块历史沿革，掌握地块从农用地到工业用地的使用变迁过程，熟悉地块重点污染区域的布局情况，结合详细调查结论，精准掌握苯、石油烃（C</w:t>
      </w:r>
      <w:r>
        <w:rPr>
          <w:rFonts w:hint="eastAsia" w:ascii="仿宋_GB2312" w:hAnsi="仿宋_GB2312" w:eastAsia="仿宋_GB2312" w:cs="仿宋_GB2312"/>
          <w:sz w:val="28"/>
          <w:szCs w:val="28"/>
          <w:vertAlign w:val="subscript"/>
        </w:rPr>
        <w:t xml:space="preserve">6</w:t>
      </w:r>
      <w:r>
        <w:rPr>
          <w:rFonts w:hint="eastAsia" w:ascii="仿宋_GB2312" w:hAnsi="仿宋_GB2312" w:eastAsia="仿宋_GB2312" w:cs="仿宋_GB2312"/>
          <w:sz w:val="28"/>
          <w:szCs w:val="28"/>
        </w:rPr>
        <w:t xml:space="preserve">-C</w:t>
      </w:r>
      <w:r>
        <w:rPr>
          <w:rFonts w:hint="eastAsia" w:ascii="仿宋_GB2312" w:hAnsi="仿宋_GB2312" w:eastAsia="仿宋_GB2312" w:cs="仿宋_GB2312"/>
          <w:sz w:val="28"/>
          <w:szCs w:val="28"/>
          <w:vertAlign w:val="subscript"/>
        </w:rPr>
        <w:t xml:space="preserve">9</w:t>
      </w:r>
      <w:r>
        <w:rPr>
          <w:rFonts w:hint="eastAsia" w:ascii="仿宋_GB2312" w:hAnsi="仿宋_GB2312" w:eastAsia="仿宋_GB2312" w:cs="仿宋_GB2312"/>
          <w:sz w:val="28"/>
          <w:szCs w:val="28"/>
        </w:rPr>
        <w:t xml:space="preserve">）、4-氯苯胺目标污染物的空间分布特征、深度及超标倍数，为后续施工方案编制、工艺参数设定提供基础依据，并对整体施工内容与施工目标进行简要分析。</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 xml:space="preserve">2.地块概念模型方案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投标人需对地块水文地质、污染源、污染分布、敏感受体、暴露途径及修复实施过程中地块概念模型更新情况等进行描述。地块概念模型一般包括下列信息：</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（1）地块修复概况：修复范围、修复目标、修复模式、修复技术等。</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（2）地质与水文地质情况：关注地块地质与水文地质条件。</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（3）污染物情况：污染源、目标污染物原始浓度、污染物空间分布特征及其潜在运移途径。</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（4）敏感受体：潜在敏感受体与周边环境情况。</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（5）暴露途径：结合地块规划用途资料，分析修复工程污染介质与受体的相对位置关系、受体的关键暴露途径等。</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 xml:space="preserve">3.项目技术方案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土壤开挖需严格按照修复范围图实施分区开挖，根据污染物类型、超标浓度及修复工艺划分开挖单元，明确各单元开挖顺序、堆放位置及转运路线，对常温解吸处理土壤和水泥窑协同处置土壤实施分区堆放、分批次转运，严禁不同类型污染土壤混装混运。</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（1）原地异位常温解吸工艺：需明确核心参数控制要求。</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（2）水泥窑协同处置工艺：需严格执行江苏省污染土壤转运管理相关规定，高浓度污染土壤及含4-氯苯胺污染土壤经预处理后采用密闭车辆运输，转运前需向生态环境主管部门报备转运计划。</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（3）备用化学氧化工艺：结合实际情况调整药剂配比及投加量，确保污染物降解至修复目标值以下。</w:t>
      </w:r>
      <w:r/>
    </w:p>
    <w:p>
      <w:pPr>
        <w:keepLines w:val="0"/>
        <w:keepNext w:val="0"/>
        <w:pageBreakBefore w:val="0"/>
        <w:spacing w:before="120" w:after="80" w:line="560" w:lineRule="exact"/>
        <w:widowControl w:val="off"/>
        <w:rPr>
          <w:rFonts w:hint="default"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 xml:space="preserve">4.项目重点难点分析方案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投标人需从技术和管理两个层面分析项目重点、难点，制定系统性应对措施，确保各项风险可控、难点得到有效解决，为项目顺利实施提供保障。项目重点难点情况包括但不限于下述情况：</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（1）有机污染土壤异味、VOCs废气等二次污染分析。</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（2）高浓度污染土壤水泥窑协同处置转运安全合规分析。</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（3）工期紧张，多工艺并行施工组织分析。</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（4）施工期间周边环境敏感目标分析。</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（5）自检、效果评估环节闭环分析。</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 xml:space="preserve">5.项目实施方案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制定科学可行的实施方案：严格依据本项目的污染范围、现场作业条件及分段分区施工规划，统筹开展全周期总体施工部署；明确各作业阶段的先后逻辑与衔接节点，在满足环保管控、安全文明施工要求的前提下完成现场平面布置，分区划定施工作业区、材料堆放区、水处理设施区与办公区；严格按照规范要求制定各分部分项工程的专项实施方案，细化每道工序的作业标准、验收要求与质量管控要点，保障各工序有序衔接、各板块协同推进，确保项目整体施工进度与质量完全符合招标文件要求。</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 xml:space="preserve">6.进度保证方案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制定科学可行的进度保证方案，结合本项目施工规划，合理划分关键里程碑节点，使整体进度管理有据可依。同时，编制详细施工进度计划，对各项施工内容、作业顺序、时间安排及资源投入进行系统排布，确保各工序衔接紧密、各板块协同推进。</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针对可能影响工期的风险点，投标人系统分析各类制约因素，从人员保障、设备保障、工序穿插、应急预案、管理保障等方面提出保障措施，确保各项资源高效配置、各作业环节有序衔接，保障项目工期目标。</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 xml:space="preserve">7.环境管理方案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投标人环境管理需严格遵循“预防为主、防治结合、过程管控、达标排放”的原则，建立全覆盖的二次污染防控体系：</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（1）二次污染防范措施：有针对性制定扬尘和废气污染控制、废水污染控制、固体废物污染控制、噪声污染控制措施等，二次污染防治措施采用针对性的技术与设备。</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（2）二次污染监测计划：大气环境监测、废水污染排放监测、噪声污染源监测等。</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 xml:space="preserve">8.质量控制及保障方案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投标人需建立覆盖项目实施全流程的质量管理体系，确保修复工程质量达到国家相关规范及招标文件要求。</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（1）重点加强土方开挖、污染土壤分类修复、自检等关键环节质量控制。</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（2）建立全过程质量追溯机制，完善内部质量审核机制，对发现的问题及时整改，定期对质量管理体系运行情况进行评估优化，确保修复工程质量全过程受控。</w:t>
      </w:r>
      <w:r/>
    </w:p>
    <w:p>
      <w:pPr>
        <w:keepLines w:val="0"/>
        <w:keepNext w:val="0"/>
        <w:pageBreakBefore w:val="0"/>
        <w:spacing w:before="120" w:after="80" w:line="560" w:lineRule="exact"/>
        <w:widowControl w:val="off"/>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 xml:space="preserve">9.c资源配置与保障方案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投标人劳动力配置遵循“专业匹配、经验丰富、数量充足”的原则，配备涵盖项目管理、技术、施工、安全、等各专业的人员团队。</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（1）各岗位职责明确：明确项目经理、技术负责人、安全负责人、施工员、资料员等的具体岗位职责。</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（2）主要施工机械设备：土方设备类满足土壤开挖、转运、回填需求；修复设备（系统）类：满足土壤修复处置需求；监测设备类：满足现场快速检测需求；其他辅助设备类：满足辅助施工及应急需求。</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（3）材料供应保障：需制定完善的采购、储存、使用管理制度，确保材料供应稳定。</w:t>
      </w:r>
      <w:r/>
    </w:p>
    <w:p>
      <w:pPr>
        <w:keepLines w:val="0"/>
        <w:keepNext w:val="0"/>
        <w:pageBreakBefore w:val="0"/>
        <w:spacing w:before="120" w:after="80" w:line="560" w:lineRule="exact"/>
        <w:widowControl w:val="off"/>
        <w:rPr>
          <w:rFonts w:hint="default"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 xml:space="preserve">10.安全文明施工及应急预案方案</w:t>
      </w:r>
      <w:r/>
    </w:p>
    <w:p>
      <w:pPr>
        <w:ind w:firstLine="48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严格遵循“安全第一、预防为主、综合治理”方针，建立健全安全文明施工管理体系与应急预案，针对有限空间作业、机械作业、危险化学品药剂管理、土壤转运交通、临时用电、消防安全等重点环节制定专项管控要求，全流程落实持证上岗、专人监护、台账登记、定期巡检等管控措施，确保施工期间不发生任何安全责任事故。</w:t>
      </w:r>
      <w:r/>
    </w:p>
    <w:p>
      <w:pPr>
        <w:jc w:val="center"/>
        <w:spacing w:before="200" w:after="120"/>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 xml:space="preserve">十三、</w:t>
      </w:r>
      <w:r>
        <w:rPr>
          <w:rFonts w:hint="eastAsia" w:ascii="仿宋_GB2312" w:hAnsi="仿宋_GB2312" w:eastAsia="仿宋_GB2312" w:cs="仿宋_GB2312"/>
          <w:b/>
          <w:sz w:val="28"/>
          <w:szCs w:val="28"/>
        </w:rPr>
        <w:t xml:space="preserve">江苏扬州化学工业园区原贵飞化工地块污染土壤修复项目各分项最高限价附表</w:t>
      </w:r>
      <w:r/>
    </w:p>
    <w:tbl>
      <w:tblPr>
        <w:tblStyle w:val="868"/>
        <w:tblW w:w="10288" w:type="dxa"/>
        <w:tblInd w:w="-966" w:type="dxa"/>
        <w:tblLayout w:type="fixed"/>
        <w:tblCellMar>
          <w:left w:w="108" w:type="dxa"/>
          <w:top w:w="0" w:type="dxa"/>
          <w:right w:w="108" w:type="dxa"/>
          <w:bottom w:w="0" w:type="dxa"/>
        </w:tblCellMar>
        <w:tblLook w:val="04A0" w:firstRow="1" w:lastRow="0" w:firstColumn="1" w:lastColumn="0" w:noHBand="0" w:noVBand="1"/>
      </w:tblPr>
      <w:tblGrid>
        <w:gridCol w:w="705"/>
        <w:gridCol w:w="1395"/>
        <w:gridCol w:w="3840"/>
        <w:gridCol w:w="825"/>
        <w:gridCol w:w="1215"/>
        <w:gridCol w:w="795"/>
        <w:gridCol w:w="1513"/>
      </w:tblGrid>
      <w:tr>
        <w:trPr>
          <w:trHeight w:val="66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3840"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项目特征描述</w:t>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val="en-US" w:eastAsia="zh-CN"/>
              </w:rPr>
              <w:t xml:space="preserve">总</w:t>
            </w:r>
            <w:r>
              <w:rPr>
                <w:rFonts w:hint="eastAsia" w:ascii="仿宋_GB2312" w:hAnsi="仿宋_GB2312" w:eastAsia="仿宋_GB2312" w:cs="仿宋_GB2312"/>
                <w:sz w:val="28"/>
                <w:szCs w:val="28"/>
              </w:rPr>
              <w:t xml:space="preserve">价(元)</w:t>
            </w:r>
            <w:r/>
          </w:p>
        </w:tc>
      </w:tr>
      <w:tr>
        <w:trPr>
          <w:trHeight w:val="2119"/>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非污染土壤开挖</w:t>
            </w:r>
            <w:r/>
          </w:p>
        </w:tc>
        <w:tc>
          <w:tcPr>
            <w:shd w:val="clear" w:color="auto" w:fill="auto"/>
            <w:tcBorders>
              <w:top w:val="single" w:color="auto" w:sz="4" w:space="0"/>
              <w:left w:val="single" w:color="auto"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1、非污染土壤的开挖、包含开挖装车，涉及到桩间开挖自行考虑；</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2、转运3km以内；</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3、指定区域内土方打堆整形；</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4、开挖和运输过程的异味控制和安全文明施工；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5、具体做法详见《修复技术方案》；</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6、工程量按实结算。</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14446.93 </w:t>
            </w:r>
            <w:r/>
          </w:p>
        </w:tc>
        <w:tc>
          <w:tcPr>
            <w:shd w:val="clear" w:color="auto" w:fill="auto"/>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25 </w:t>
            </w:r>
            <w:r/>
          </w:p>
        </w:tc>
        <w:tc>
          <w:tcPr>
            <w:shd w:val="clear" w:color="auto" w:fill="auto"/>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361173.25 </w:t>
            </w:r>
            <w:r/>
          </w:p>
        </w:tc>
      </w:tr>
      <w:tr>
        <w:trPr>
          <w:trHeight w:val="2082"/>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污染土壤开挖</w:t>
            </w:r>
            <w:r/>
          </w:p>
        </w:tc>
        <w:tc>
          <w:tcPr>
            <w:shd w:val="clear" w:color="auto" w:fill="auto"/>
            <w:tcBorders>
              <w:top w:val="single" w:color="auto"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1、污染土壤的开挖、开挖装车，涉及到桩间开挖自行考虑；</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2、转运3km以内；</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3、指定区域内土方打堆整形；</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4、开挖和运输过程的异味控制和安全文明施工；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5、具体做法详见《修复技术方案》；</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6、工程量按实结算。</w:t>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39370.9</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984272.5</w:t>
            </w:r>
            <w:r/>
          </w:p>
        </w:tc>
      </w:tr>
      <w:tr>
        <w:trPr>
          <w:trHeight w:val="416"/>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水泥窑处置污染土壤预处理</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1、工作内容包含：污染土壤破碎、添加脱水剂、翻拌、阿鲁斗筛分（满足车辆运输和水泥窑接受要求）、预处理完成后开挖装车、建筑垃圾冲洗等；</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2、现场异味处置；</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3、施工过程中的异味控制和安全文明施工；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4、具体做法详见《修复技术方案》；</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5、工程量按实结算。</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10544.5</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90 </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949005 </w:t>
            </w:r>
            <w:r/>
          </w:p>
        </w:tc>
      </w:tr>
      <w:tr>
        <w:trPr>
          <w:trHeight w:val="74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水泥窑处置污染土方运输费</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（投标</w:t>
            </w:r>
            <w:r>
              <w:rPr>
                <w:rFonts w:hint="eastAsia" w:ascii="仿宋_GB2312" w:hAnsi="仿宋_GB2312" w:eastAsia="仿宋_GB2312" w:cs="仿宋_GB2312"/>
                <w:sz w:val="28"/>
                <w:szCs w:val="28"/>
                <w:lang w:val="en-US" w:eastAsia="zh-CN"/>
              </w:rPr>
              <w:t xml:space="preserve">人</w:t>
            </w:r>
            <w:r>
              <w:rPr>
                <w:rFonts w:hint="eastAsia" w:ascii="仿宋_GB2312" w:hAnsi="仿宋_GB2312" w:eastAsia="仿宋_GB2312" w:cs="仿宋_GB2312"/>
                <w:sz w:val="28"/>
                <w:szCs w:val="28"/>
              </w:rPr>
              <w:t xml:space="preserve">自行考虑选择厂家等相关因素，结算不调整）本测算按运距约100km；</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1、运输要求：污染土壤外运至水泥窑协同处置单位（必须采用符合环保要求的运输车辆，运输车辆必须密封严格、不洒不漏），运输至处置单位卸车；</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2、运距自行考虑：</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3、转运至水泥厂仓库、打堆；</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4、施工过程中的异味控制和安全文明施工；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5、水泥窑协同处置的土壤运至水泥窑路途中环保措施综合考虑，计入单价；</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6、工程量按实结算。</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10544.5</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100 </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1054450 </w:t>
            </w:r>
            <w:r/>
          </w:p>
        </w:tc>
      </w:tr>
      <w:tr>
        <w:trPr>
          <w:trHeight w:val="2622"/>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水泥窑处置污染土方修复费</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1、包含污染土壤的运输费、处置费、处置期间采取的防止二次污染的相关措施费等一切费用；</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2、主管部门手续办理；</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3、提供处置期间环境监测报告、水泥样品检测报告、处置证明、处置台账、联单等；</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4、施工过程中的异味控制和安全文明施工；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5、处置完成的土壤应满足《修复技术方案》中的技术要求；</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6、工程量按实结算。</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10544.5</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600 </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6326700 </w:t>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危废处置</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1、危废委外处理，包括尾气处理系统的废活性炭、水处理系统的污泥、个人防护用品、鉴定为危废的污染土等；</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2、具体运输和处置要求满足当地主管部门要求；</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3、工程量按实结算。</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226000</w:t>
            </w:r>
            <w:r/>
          </w:p>
        </w:tc>
      </w:tr>
      <w:tr>
        <w:trPr>
          <w:trHeight w:val="2299"/>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污染土壤常温解吸</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1、工作内容包含：利用专用设备将土壤打碎；将药剂均匀洒在污染土壤上、将药剂和土壤拌合均匀；养护一定时间进行多次搅拌、翻抛，本测算按翻抛次数6次；</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2、具体做法详见《修复技术方案》；</w:t>
            </w:r>
            <w:r>
              <w:rPr>
                <w:rFonts w:hint="eastAsia" w:ascii="仿宋_GB2312" w:hAnsi="仿宋_GB2312" w:eastAsia="仿宋_GB2312" w:cs="仿宋_GB2312"/>
                <w:sz w:val="28"/>
                <w:szCs w:val="28"/>
              </w:rPr>
              <w:br w:type="page" w:clear="all"/>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3、实施过程中需采用防止异味扩散的相关措施；</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4、施工过程中的异味控制和安全文明施工；</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5、工程量按实结算。</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28697.1</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350</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10043985 </w:t>
            </w:r>
            <w:r/>
          </w:p>
        </w:tc>
      </w:tr>
      <w:tr>
        <w:trPr>
          <w:trHeight w:val="1639"/>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回填方（场内净土）</w:t>
            </w:r>
            <w:r/>
          </w:p>
        </w:tc>
        <w:tc>
          <w:tcPr>
            <w:shd w:val="clear" w:color="auto" w:fill="auto"/>
            <w:tcBorders>
              <w:top w:val="single" w:color="auto"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1、场地内清洁土和修复合格的土壤回填、碾压到天然密实，包含：开挖装车、内倒、回填、碾压等；</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2、倒运距离自行考虑；</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3、施工过程中的异味控制和安全文明施工；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4、结算工程量=非污染土壤开挖工程量+污染土壤常温解吸工程量。</w:t>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43144.03</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35 </w:t>
            </w:r>
            <w:r/>
          </w:p>
        </w:tc>
        <w:tc>
          <w:tcPr>
            <w:shd w:val="clear" w:color="auto" w:fill="auto"/>
            <w:tcBorders>
              <w:top w:val="single" w:color="auto"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1510041 </w:t>
            </w:r>
            <w:r/>
          </w:p>
        </w:tc>
      </w:tr>
      <w:tr>
        <w:trPr>
          <w:trHeight w:val="1266"/>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回填方（场外净土）</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1、经相应资质检测单位检测合格的外购土壤回填、碾压到天然密实，包含：开挖装车、内倒、回填、碾压等；</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2、倒运距离自行考虑；</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3、考虑土壤购置费或场外运输费；</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4、施工过程中的异味控制和安全文明施工；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5、结算工程量=污染土壤水泥窑处置工程量。</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10673.8</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533690 </w:t>
            </w:r>
            <w:r/>
          </w:p>
        </w:tc>
      </w:tr>
      <w:tr>
        <w:trPr>
          <w:trHeight w:val="274"/>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自检和环境监测</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1、按照相关规范进行自检和修复过程中的环境监测；</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2、具体做法满足法律法规要求；</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3、包括：大气检测、尾气设备检测、土壤、地下水、地表水检测、潜在二次污染区检测、外购土检测、建筑垃圾、底泥等检测、施工过程周边环境监测</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4、施工过程中的异味控制和安全文明施工；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5、参照《江苏省环境监测专业服务收费管理办法》和《江苏省环境监测专业服务收费标准》，苏价费(2006)397号苏财综(2006)80号苏环计(2006)30号；</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6、总价包干。</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426000 </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426000 </w:t>
            </w:r>
            <w:r/>
          </w:p>
        </w:tc>
      </w:tr>
      <w:tr>
        <w:trPr>
          <w:trHeight w:val="1265"/>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废水处理费</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1、现场基坑废水、车辆冲洗水经处理后达到排放标准后方可排入市政管网；</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2、如现场废水经处理后达不到排放标准，应委托有资质单位进行处置；</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3、含沉淀池、氧化池、过滤池、过滤装置、药剂、废水检测、废水处置等费用；</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4、具体要求详见《修复技术方案》；</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5、投标单位根据投标方案及现场实际情况自行考虑，结算时不作调整；</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6、工作内容包括不限于：废水收集，水泵、软管、电线电缆等安装；支架水池建设等；排水管网建设、排水手续办理排水费缴纳等；提供收集、处置、排放台账；</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7、施工过程中的异味控制和安全文明施工；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8、工程量按实结算。</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10727.23</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165 </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1769992.95 </w:t>
            </w:r>
            <w:r/>
          </w:p>
        </w:tc>
      </w:tr>
      <w:tr>
        <w:trPr>
          <w:trHeight w:val="3499"/>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二次污染防治（不含大棚设施）</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1、防治污染土壤迁移沾染未污染土壤；</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2、运输车辆采用箱体式车辆，渣土运输过程中车厢严密遮盖，防治遗撒、飞扬；含车辆离开施工区时的除尘、除土等污染环境的清除费用；</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3、对开挖过程中除大棚区域外有明显异味的撒气味抑制剂，并覆盖密封性好的塑料膜或油膜，随揭随挖；</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4、具体要求详见《修复技术方案》；</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5、投标单位根据投标方案及现场实际情况自行考虑，结算时不作调整</w:t>
            </w: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工作内容包括不限于：施工区域异味防治；施工区域PID日常巡检；运输道路清扫;气味抑制剂车辆喷洒；在线监控采购及安装；危废间建设、危废收集处置；HDPE膜铺设；尾气设备、水处理设备活性炭处置；其他各类二次污染防治措施费等。</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299211.41 </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299211.41 </w:t>
            </w:r>
            <w:r/>
          </w:p>
        </w:tc>
      </w:tr>
      <w:tr>
        <w:trPr>
          <w:trHeight w:val="1339"/>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水泥搅拌桩</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1、类型：三轴水泥搅拌桩；</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2、桩截面尺寸：D850mm；</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3、水泥强度等级、掺量：P•O42.5普通硅酸盐水泥，水泥掺入量18%，具体详施工图，结算时按实。</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9108.2</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1821640 </w:t>
            </w:r>
            <w:r/>
          </w:p>
        </w:tc>
      </w:tr>
      <w:tr>
        <w:trPr>
          <w:trHeight w:val="1062"/>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高压旋喷桩</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1、类型：双重管高压旋喷桩；</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2、桩截面尺寸：D700mm；</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3、具体详图施工，结算时按实。</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13.86</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549</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7609.14 </w:t>
            </w:r>
            <w:r/>
          </w:p>
        </w:tc>
      </w:tr>
      <w:tr>
        <w:trPr>
          <w:trHeight w:val="1362"/>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H型钢</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1、搅拌桩内插H型钢HN700×300×13×24、钢连接梁HW300×300×10×15、型钢立柱HW350×350×12×19；</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2、材料按照租赁计算，运输距离按照30km计算,使用时间按照90天计算（包干），具体详施工图，结算时按实。</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1978.7</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2129 </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4212652.3 </w:t>
            </w:r>
            <w:r/>
          </w:p>
        </w:tc>
      </w:tr>
      <w:tr>
        <w:trPr>
          <w:trHeight w:val="1399"/>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钢板桩、钢管支撑、钢围檩</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1、桩长：6m~9m；</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2、拉森钢板桩:SP-Ⅳ型、Φ609×16钢管支撑、后排钢围檩；</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3、材料按照租赁计算，运输距离按照30km计算,使用时间按照90天计算（包干），具体详施工图（含支撑，围檩），结算时按实。</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T</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787.4</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2522 </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1985822.8 </w:t>
            </w:r>
            <w:r/>
          </w:p>
        </w:tc>
      </w:tr>
      <w:tr>
        <w:trPr>
          <w:trHeight w:val="1662"/>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细石混凝土护坡</w:t>
            </w:r>
            <w:r/>
          </w:p>
        </w:tc>
        <w:tc>
          <w:tcPr>
            <w:shd w:val="clear" w:color="auto" w:fill="auto"/>
            <w:tcBorders>
              <w:top w:val="single" w:color="auto" w:sz="4" w:space="0"/>
              <w:left w:val="none" w:color="000000" w:sz="4" w:space="0"/>
              <w:bottom w:val="single" w:color="auto" w:sz="4" w:space="0"/>
              <w:right w:val="single" w:color="auto" w:sz="4" w:space="0"/>
            </w:tcBorders>
            <w:tcW w:w="3840" w:type="dxa"/>
            <w:vAlign w:val="center"/>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1、部位：放坡段（含排水沟）；</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2、厚度：80mm厚C20细石混凝土；</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3、挂网喷射，φ8@200*200钢板网片；</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4、插筋1Ф16；</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5、具体详施工图，结算时按实。</w:t>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m2</w:t>
            </w:r>
            <w:r/>
          </w:p>
        </w:tc>
        <w:tc>
          <w:tcPr>
            <w:shd w:val="clear" w:color="auto" w:fill="auto"/>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2560</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159 </w:t>
            </w:r>
            <w:r/>
          </w:p>
        </w:tc>
        <w:tc>
          <w:tcPr>
            <w:shd w:val="clear" w:color="auto" w:fill="auto"/>
            <w:tcBorders>
              <w:top w:val="single" w:color="auto"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407040 </w:t>
            </w:r>
            <w:r/>
          </w:p>
        </w:tc>
      </w:tr>
      <w:tr>
        <w:trPr>
          <w:trHeight w:val="1422"/>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冠梁</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1、部位：桩顶冠梁、挡墙；</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2、混凝土种类：商品砼；</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3、混凝土强度等级：C30；</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4、具体详施工图，结算时按实。</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552.8</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1457</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805429.6</w:t>
            </w:r>
            <w:r/>
          </w:p>
        </w:tc>
      </w:tr>
      <w:tr>
        <w:trPr>
          <w:trHeight w:val="1219"/>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钢筋混凝土构件拆除</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1、构件名称：钢筋混凝土支撑粱及冠梁、挡墙；</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2、拆除物外运5km；</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3、工程量按实结算。</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m³</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552.8</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33168 </w:t>
            </w:r>
            <w:r/>
          </w:p>
        </w:tc>
      </w:tr>
      <w:tr>
        <w:trPr>
          <w:trHeight w:val="2239"/>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管井</w:t>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center"/>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1、深井管井降水使用:按照90个昼夜计算；</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2、钢筋混凝土滤水井管DN400；</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3、成井方式：钻机成孔；</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4、成井直径：D800；</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5、深度：按图实施；</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6、具体详施工图，结算时按实。</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座*天</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2520</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451080 </w:t>
            </w:r>
            <w:r/>
          </w:p>
        </w:tc>
      </w:tr>
      <w:tr>
        <w:trPr>
          <w:trHeight w:val="3251"/>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9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密闭大棚</w:t>
            </w:r>
            <w:r/>
          </w:p>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3840" w:type="dxa"/>
            <w:vAlign w:val="bottom"/>
            <w:textDirection w:val="lrTb"/>
            <w:noWrap w:val="false"/>
          </w:tcPr>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1、密闭大棚设置尾气处理系统，大棚中的污染气体收集至尾气处理系统中以避免土壤中的有机物挥发造成二次污染；</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2、大棚需保持微负压，主要设施设备为引风机、通风管路、布袋除尘器、活性炭吸附装置等；</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3、废气处置装置产生的废活性炭由有危废处置资质的厂家回收处置；</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4、要求详见《修复技术方案》；</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color w:val="ff0000"/>
                <w:sz w:val="28"/>
                <w:szCs w:val="28"/>
              </w:rPr>
              <w:br w:type="page" w:clear="all"/>
            </w:r>
            <w:r>
              <w:rPr>
                <w:rFonts w:hint="eastAsia" w:ascii="仿宋_GB2312" w:hAnsi="仿宋_GB2312" w:eastAsia="仿宋_GB2312" w:cs="仿宋_GB2312"/>
                <w:sz w:val="28"/>
                <w:szCs w:val="28"/>
              </w:rPr>
              <w:t xml:space="preserve">5、大棚要求：屋顶PVC白色遮光篷布，刀刮涂篷布；四周PVC白色透光篷布，刀刮涂篷布；铝合金6061-T6阳板氧化A10型材柱梁及剪刀撑等构件制作、安装、拆除，型材回收；</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6、尾气设备要求：按规范要求配备尾气设备，包括活性炭吸附装置、离心风机、烟囱采样平台、连接管道、风管（约100m）及辅材等所有尾气系统相关设施。包含：尾气处理设备的运输+安装+拆除出场费用；</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lang w:val="en-US" w:eastAsia="zh-CN"/>
              </w:rPr>
              <w:t xml:space="preserve">7</w:t>
            </w:r>
            <w:r>
              <w:rPr>
                <w:rFonts w:hint="eastAsia" w:ascii="仿宋_GB2312" w:hAnsi="仿宋_GB2312" w:eastAsia="仿宋_GB2312" w:cs="仿宋_GB2312"/>
                <w:sz w:val="28"/>
                <w:szCs w:val="28"/>
              </w:rPr>
              <w:t xml:space="preserve">、包含活性炭及使用后废活性炭吨袋收集打包装车处置、设备调试、使用过程维保、维修等；</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lang w:val="en-US" w:eastAsia="zh-CN"/>
              </w:rPr>
              <w:t xml:space="preserve">8</w:t>
            </w:r>
            <w:r>
              <w:rPr>
                <w:rFonts w:hint="eastAsia" w:ascii="仿宋_GB2312" w:hAnsi="仿宋_GB2312" w:eastAsia="仿宋_GB2312" w:cs="仿宋_GB2312"/>
                <w:sz w:val="28"/>
                <w:szCs w:val="28"/>
              </w:rPr>
              <w:t xml:space="preserve">、含活性炭更换（碘值600以上的活性炭）施工周期全过程的活性炭更换；</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lang w:val="en-US" w:eastAsia="zh-CN"/>
              </w:rPr>
              <w:t xml:space="preserve">9</w:t>
            </w:r>
            <w:r>
              <w:rPr>
                <w:rFonts w:hint="eastAsia" w:ascii="仿宋_GB2312" w:hAnsi="仿宋_GB2312" w:eastAsia="仿宋_GB2312" w:cs="仿宋_GB2312"/>
                <w:sz w:val="28"/>
                <w:szCs w:val="28"/>
              </w:rPr>
              <w:t xml:space="preserve">、施工过程中的异味控制和安全文明施工；</w:t>
            </w:r>
            <w:r/>
          </w:p>
          <w:p>
            <w:pPr>
              <w:jc w:val="left"/>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br w:type="page" w:clear="all"/>
            </w: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lang w:val="en-US" w:eastAsia="zh-CN"/>
              </w:rPr>
              <w:t xml:space="preserve">0</w:t>
            </w:r>
            <w:r>
              <w:rPr>
                <w:rFonts w:hint="eastAsia" w:ascii="仿宋_GB2312" w:hAnsi="仿宋_GB2312" w:eastAsia="仿宋_GB2312" w:cs="仿宋_GB2312"/>
                <w:sz w:val="28"/>
                <w:szCs w:val="28"/>
              </w:rPr>
              <w:t xml:space="preserve">、大棚面积按实结算。</w:t>
            </w:r>
            <w:r/>
          </w:p>
        </w:tc>
        <w:tc>
          <w:tcPr>
            <w:shd w:val="clear" w:color="auto" w:fill="auto"/>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360" w:lineRule="exact"/>
              <w:widowControl/>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5100</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301</w:t>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jc w:val="center"/>
              <w:keepLines w:val="0"/>
              <w:keepNext w:val="0"/>
              <w:pageBreakBefore w:val="0"/>
              <w:spacing w:line="360" w:lineRule="exact"/>
              <w:rPr>
                <w:rFonts w:hint="eastAsia" w:ascii="仿宋_GB2312" w:hAnsi="仿宋_GB2312" w:eastAsia="仿宋_GB2312" w:cs="仿宋_GB2312"/>
                <w:color w:val="000000"/>
                <w:sz w:val="28"/>
                <w:szCs w:val="28"/>
              </w:rPr>
              <w:outlineLvl w:val="9"/>
            </w:pPr>
            <w:r>
              <w:rPr>
                <w:rFonts w:hint="eastAsia" w:ascii="仿宋_GB2312" w:hAnsi="仿宋_GB2312" w:eastAsia="仿宋_GB2312" w:cs="仿宋_GB2312"/>
                <w:color w:val="000000"/>
                <w:sz w:val="28"/>
                <w:szCs w:val="28"/>
              </w:rPr>
              <w:t xml:space="preserve">1535100 </w:t>
            </w:r>
            <w:r/>
          </w:p>
        </w:tc>
      </w:tr>
    </w:tbl>
    <w:p>
      <w:pPr>
        <w:spacing w:before="200" w:after="120"/>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注：投标人的投标报价不得超过各项单价最高限价，否则按</w:t>
      </w:r>
      <w:r>
        <w:rPr>
          <w:rFonts w:hint="eastAsia" w:ascii="仿宋_GB2312" w:hAnsi="仿宋_GB2312" w:eastAsia="仿宋_GB2312" w:cs="仿宋_GB2312"/>
          <w:b/>
          <w:sz w:val="28"/>
          <w:szCs w:val="28"/>
          <w:lang w:val="en-US" w:eastAsia="zh-CN"/>
        </w:rPr>
        <w:t xml:space="preserve">无效投标</w:t>
      </w:r>
      <w:r>
        <w:rPr>
          <w:rFonts w:hint="eastAsia" w:ascii="仿宋_GB2312" w:hAnsi="仿宋_GB2312" w:eastAsia="仿宋_GB2312" w:cs="仿宋_GB2312"/>
          <w:b/>
          <w:sz w:val="28"/>
          <w:szCs w:val="28"/>
        </w:rPr>
        <w:t xml:space="preserve">。</w:t>
      </w:r>
      <w:r/>
    </w:p>
    <w:p>
      <w:pPr>
        <w:pStyle w:val="1076"/>
        <w:ind w:left="0" w:firstLine="0"/>
        <w:rPr>
          <w:rFonts w:hint="eastAsia"/>
        </w:rPr>
      </w:pPr>
      <w:r>
        <w:rPr>
          <w:rFonts w:hint="eastAsia"/>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color w:val="000000"/>
        </w:rPr>
      </w:pPr>
      <w:r>
        <w:rPr>
          <w:rFonts w:hint="eastAsia"/>
          <w:color w:val="000000"/>
        </w:rPr>
      </w:r>
      <w:r/>
    </w:p>
    <w:p>
      <w:pPr>
        <w:pStyle w:val="1046"/>
        <w:rPr>
          <w:rFonts w:hint="eastAsia" w:ascii="黑体" w:eastAsia="黑体"/>
          <w:bCs/>
          <w:color w:val="000000"/>
          <w:sz w:val="44"/>
        </w:rPr>
      </w:pPr>
      <w:r>
        <w:rPr>
          <w:rFonts w:hint="eastAsia" w:ascii="黑体" w:eastAsia="黑体"/>
          <w:bCs/>
          <w:color w:val="000000"/>
          <w:sz w:val="44"/>
        </w:rPr>
      </w:r>
      <w:r/>
    </w:p>
    <w:p>
      <w:pPr>
        <w:pStyle w:val="1046"/>
        <w:rPr>
          <w:rFonts w:hint="eastAsia" w:ascii="黑体" w:eastAsia="黑体"/>
          <w:bCs/>
          <w:color w:val="000000"/>
          <w:sz w:val="44"/>
        </w:rPr>
        <w:sectPr>
          <w:footerReference w:type="default" r:id="rId15"/>
          <w:footerReference w:type="first" r:id="rId16"/>
          <w:footnotePr/>
          <w:endnotePr/>
          <w:type w:val="nextPage"/>
          <w:pgSz w:w="11906" w:h="16838" w:orient="portrait"/>
          <w:pgMar w:top="1701" w:right="1644" w:bottom="1701" w:left="1644" w:header="851" w:footer="907" w:gutter="0"/>
          <w:pgNumType w:start="31"/>
          <w:cols w:num="1" w:sep="0" w:space="1701" w:equalWidth="1"/>
          <w:docGrid w:linePitch="360"/>
          <w:titlePg/>
        </w:sectPr>
      </w:pPr>
      <w:r>
        <w:rPr>
          <w:rFonts w:hint="eastAsia" w:ascii="黑体" w:eastAsia="黑体"/>
          <w:bCs/>
          <w:color w:val="000000"/>
          <w:sz w:val="44"/>
        </w:rPr>
      </w:r>
      <w:r/>
    </w:p>
    <w:p>
      <w:pPr>
        <w:pStyle w:val="1046"/>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132"/>
        <w:ind w:firstLine="439"/>
        <w:rPr>
          <w:rFonts w:cs="Arial"/>
          <w:color w:val="000000"/>
        </w:rPr>
      </w:pPr>
      <w:r>
        <w:rPr>
          <w:rFonts w:hint="eastAsia" w:cs="Arial"/>
          <w:color w:val="000000"/>
          <w:lang w:val="en-US" w:eastAsia="zh-CN"/>
        </w:rPr>
        <w:t xml:space="preserve">本项目</w:t>
      </w:r>
      <w:r>
        <w:rPr>
          <w:rFonts w:cs="Arial"/>
          <w:color w:val="000000"/>
        </w:rPr>
        <w:t xml:space="preserve">采用综合评分法，评标结果按评审后得分由高到低顺序排列。得分相同的，按投标报价由低到高顺序排列。得分且投标报价相同的并列。</w:t>
      </w:r>
      <w:r/>
    </w:p>
    <w:tbl>
      <w:tblPr>
        <w:tblStyle w:val="86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132"/>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86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的扣除价格，用扣除后的价格参与评审。（2）供应商需按照采购文件的要求提供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132"/>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1</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hint="eastAsia" w:ascii="宋体" w:hAnsi="宋体" w:eastAsia="宋体"/>
          <w:color w:val="000000"/>
          <w:sz w:val="24"/>
          <w:szCs w:val="24"/>
          <w:highlight w:val="green"/>
          <w:lang w:val="en-US" w:eastAsia="zh-CN"/>
        </w:rPr>
      </w:pPr>
      <w:r>
        <w:rPr>
          <w:rFonts w:hint="eastAsia" w:ascii="宋体" w:hAnsi="宋体" w:eastAsia="宋体"/>
          <w:color w:val="000000"/>
          <w:sz w:val="24"/>
          <w:szCs w:val="24"/>
          <w:highlight w:val="green"/>
          <w:lang w:val="en-US" w:eastAsia="zh-CN"/>
        </w:rPr>
        <w:t xml:space="preserve">7.采购本国产品的支持政策</w:t>
      </w:r>
      <w:r/>
    </w:p>
    <w:p>
      <w:pPr>
        <w:ind w:firstLine="480"/>
        <w:jc w:val="left"/>
        <w:spacing w:before="120" w:after="120" w:line="400" w:lineRule="exact"/>
        <w:rPr>
          <w:rFonts w:hint="eastAsia" w:ascii="宋体" w:hAnsi="宋体" w:eastAsia="宋体"/>
          <w:color w:val="000000"/>
          <w:sz w:val="24"/>
          <w:szCs w:val="24"/>
          <w:highlight w:val="green"/>
          <w:lang w:val="en-US" w:eastAsia="zh-CN"/>
        </w:rPr>
      </w:pPr>
      <w:r>
        <w:rPr>
          <w:rFonts w:hint="eastAsia" w:ascii="宋体" w:hAnsi="宋体" w:eastAsia="宋体"/>
          <w:color w:val="000000"/>
          <w:sz w:val="24"/>
          <w:szCs w:val="24"/>
          <w:highlight w:val="green"/>
          <w:lang w:val="en-US" w:eastAsia="zh-C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eastAsia="宋体"/>
          <w:color w:val="000000"/>
          <w:sz w:val="24"/>
          <w:szCs w:val="24"/>
          <w:highlight w:val="green"/>
        </w:rPr>
        <w:t xml:space="preserve">。</w:t>
      </w:r>
      <w:r/>
    </w:p>
    <w:p>
      <w:pPr>
        <w:ind w:firstLine="480"/>
        <w:jc w:val="left"/>
        <w:spacing w:before="120" w:after="120" w:line="400" w:lineRule="exact"/>
        <w:rPr>
          <w:rFonts w:hint="eastAsia" w:ascii="宋体" w:hAnsi="宋体" w:eastAsia="宋体"/>
          <w:color w:val="000000"/>
          <w:sz w:val="24"/>
          <w:szCs w:val="24"/>
          <w:highlight w:val="green"/>
          <w:lang w:val="en-US" w:eastAsia="zh-CN"/>
        </w:rPr>
      </w:pPr>
      <w:r>
        <w:rPr>
          <w:rFonts w:hint="eastAsia" w:ascii="宋体" w:hAnsi="宋体" w:eastAsia="宋体"/>
          <w:color w:val="000000"/>
          <w:sz w:val="24"/>
          <w:szCs w:val="24"/>
          <w:highlight w:val="green"/>
          <w:lang w:val="en-US" w:eastAsia="zh-CN"/>
        </w:rPr>
        <w:t xml:space="preserve">7.2 </w:t>
      </w:r>
      <w:r>
        <w:rPr>
          <w:rFonts w:hint="eastAsia" w:ascii="宋体" w:hAnsi="宋体" w:eastAsia="宋体"/>
          <w:color w:val="000000"/>
          <w:sz w:val="24"/>
          <w:szCs w:val="24"/>
          <w:highlight w:val="green"/>
        </w:rPr>
        <w:t xml:space="preserve">供应商需按照</w:t>
      </w:r>
      <w:r>
        <w:rPr>
          <w:rFonts w:hint="eastAsia" w:ascii="宋体" w:hAnsi="宋体" w:eastAsia="宋体"/>
          <w:color w:val="000000"/>
          <w:sz w:val="24"/>
          <w:szCs w:val="24"/>
          <w:highlight w:val="green"/>
          <w:lang w:eastAsia="zh-CN"/>
        </w:rPr>
        <w:t xml:space="preserve">招标</w:t>
      </w:r>
      <w:r>
        <w:rPr>
          <w:rFonts w:hint="eastAsia" w:ascii="宋体" w:hAnsi="宋体" w:eastAsia="宋体"/>
          <w:color w:val="000000"/>
          <w:sz w:val="24"/>
          <w:szCs w:val="24"/>
          <w:highlight w:val="green"/>
        </w:rPr>
        <w:t xml:space="preserve">文件的要求提供《关于符合本国产品标准的声明函》</w:t>
      </w:r>
      <w:r>
        <w:rPr>
          <w:rFonts w:hint="eastAsia" w:ascii="宋体" w:hAnsi="宋体" w:eastAsia="宋体"/>
          <w:color w:val="000000"/>
          <w:sz w:val="24"/>
          <w:szCs w:val="24"/>
          <w:highlight w:val="green"/>
          <w:lang w:eastAsia="zh-CN"/>
        </w:rPr>
        <w:t xml:space="preserve">（以下简称《声明函》），如不提供</w:t>
      </w:r>
      <w:r>
        <w:rPr>
          <w:rFonts w:hint="eastAsia" w:ascii="宋体" w:hAnsi="宋体" w:eastAsia="宋体"/>
          <w:color w:val="000000"/>
          <w:sz w:val="24"/>
          <w:szCs w:val="24"/>
          <w:highlight w:val="green"/>
          <w:lang w:val="en-US" w:eastAsia="zh-CN"/>
        </w:rPr>
        <w:t xml:space="preserve">将不享受本国产品价格评审优惠</w:t>
      </w:r>
      <w:r>
        <w:rPr>
          <w:rFonts w:hint="eastAsia" w:ascii="宋体" w:hAnsi="宋体" w:eastAsia="宋体"/>
          <w:color w:val="000000"/>
          <w:sz w:val="24"/>
          <w:szCs w:val="24"/>
          <w:highlight w:val="green"/>
        </w:rPr>
        <w:t xml:space="preserve">。</w:t>
      </w:r>
      <w:r/>
    </w:p>
    <w:p>
      <w:pPr>
        <w:ind w:firstLine="480"/>
        <w:jc w:val="left"/>
        <w:spacing w:before="120" w:after="120" w:line="400" w:lineRule="exact"/>
        <w:rPr>
          <w:rFonts w:hint="eastAsia" w:ascii="宋体" w:hAnsi="宋体" w:eastAsia="宋体"/>
          <w:color w:val="000000"/>
          <w:sz w:val="24"/>
          <w:szCs w:val="24"/>
          <w:highlight w:val="green"/>
        </w:rPr>
      </w:pPr>
      <w:r>
        <w:rPr>
          <w:rFonts w:hint="eastAsia" w:ascii="宋体" w:hAnsi="宋体" w:eastAsia="宋体"/>
          <w:color w:val="000000"/>
          <w:sz w:val="24"/>
          <w:szCs w:val="24"/>
          <w:highlight w:val="green"/>
        </w:rPr>
        <w:t xml:space="preserve">7.</w:t>
      </w:r>
      <w:r>
        <w:rPr>
          <w:rFonts w:hint="eastAsia" w:ascii="宋体" w:hAnsi="宋体" w:eastAsia="宋体"/>
          <w:color w:val="000000"/>
          <w:sz w:val="24"/>
          <w:szCs w:val="24"/>
          <w:highlight w:val="green"/>
          <w:lang w:val="en-US" w:eastAsia="zh-CN"/>
        </w:rPr>
        <w:t xml:space="preserve">3</w:t>
      </w:r>
      <w:r>
        <w:rPr>
          <w:rFonts w:hint="eastAsia" w:ascii="宋体" w:hAnsi="宋体" w:eastAsia="宋体"/>
          <w:color w:val="000000"/>
          <w:sz w:val="24"/>
          <w:szCs w:val="24"/>
          <w:highlight w:val="green"/>
        </w:rPr>
        <w:t xml:space="preserve"> 供应商需在《声明函》中逐一、准确填写产品名称、厂名、生产厂址三项信息</w:t>
      </w:r>
      <w:r>
        <w:rPr>
          <w:rFonts w:hint="eastAsia" w:ascii="宋体" w:hAnsi="宋体" w:eastAsia="宋体"/>
          <w:color w:val="auto"/>
          <w:sz w:val="24"/>
          <w:szCs w:val="24"/>
          <w:highlight w:val="green"/>
        </w:rPr>
        <w:t xml:space="preserve">（</w:t>
      </w:r>
      <w:r>
        <w:rPr>
          <w:rFonts w:hint="eastAsia" w:ascii="宋体" w:hAnsi="宋体" w:eastAsia="宋体"/>
          <w:color w:val="auto"/>
          <w:sz w:val="24"/>
          <w:szCs w:val="24"/>
          <w:highlight w:val="green"/>
          <w:lang w:val="en-US" w:eastAsia="zh-CN"/>
        </w:rPr>
        <w:t xml:space="preserve">《声明函》中标注“  /  ”的地方无需填写</w:t>
      </w:r>
      <w:r>
        <w:rPr>
          <w:rFonts w:hint="eastAsia" w:ascii="宋体" w:hAnsi="宋体" w:eastAsia="宋体"/>
          <w:color w:val="auto"/>
          <w:sz w:val="24"/>
          <w:szCs w:val="24"/>
          <w:highlight w:val="green"/>
        </w:rPr>
        <w:t xml:space="preserve">）</w:t>
      </w:r>
      <w:r>
        <w:rPr>
          <w:rFonts w:hint="eastAsia" w:ascii="宋体" w:hAnsi="宋体" w:eastAsia="宋体"/>
          <w:color w:val="000000"/>
          <w:sz w:val="24"/>
          <w:szCs w:val="24"/>
          <w:highlight w:val="green"/>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eastAsia="宋体"/>
          <w:color w:val="000000"/>
          <w:sz w:val="24"/>
          <w:szCs w:val="24"/>
          <w:highlight w:val="green"/>
        </w:rPr>
      </w:pPr>
      <w:r>
        <w:rPr>
          <w:rFonts w:hint="eastAsia" w:ascii="宋体" w:hAnsi="宋体" w:eastAsia="宋体"/>
          <w:color w:val="000000"/>
          <w:sz w:val="24"/>
          <w:szCs w:val="24"/>
          <w:highlight w:val="green"/>
        </w:rPr>
        <w:t xml:space="preserve">7.</w:t>
      </w:r>
      <w:r>
        <w:rPr>
          <w:rFonts w:hint="eastAsia" w:ascii="宋体" w:hAnsi="宋体" w:eastAsia="宋体"/>
          <w:color w:val="000000"/>
          <w:sz w:val="24"/>
          <w:szCs w:val="24"/>
          <w:highlight w:val="green"/>
          <w:lang w:val="en-US" w:eastAsia="zh-CN"/>
        </w:rPr>
        <w:t xml:space="preserve">4</w:t>
      </w:r>
      <w:r>
        <w:rPr>
          <w:rFonts w:hint="eastAsia" w:ascii="宋体" w:hAnsi="宋体" w:eastAsia="宋体"/>
          <w:color w:val="000000"/>
          <w:sz w:val="24"/>
          <w:szCs w:val="24"/>
          <w:highlight w:val="gree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olor w:val="000000"/>
          <w:sz w:val="24"/>
          <w:szCs w:val="24"/>
          <w:highlight w:val="green"/>
          <w:lang w:eastAsia="zh-CN"/>
        </w:rPr>
        <w:t xml:space="preserve">和招标文件</w:t>
      </w:r>
      <w:r>
        <w:rPr>
          <w:rFonts w:hint="eastAsia" w:ascii="宋体" w:hAnsi="宋体" w:eastAsia="宋体"/>
          <w:color w:val="000000"/>
          <w:sz w:val="24"/>
          <w:szCs w:val="24"/>
          <w:highlight w:val="green"/>
        </w:rPr>
        <w:t xml:space="preserve">规定的，供应商提供的相关产品视为不符合本国产品标准。</w:t>
      </w:r>
      <w:r/>
    </w:p>
    <w:p>
      <w:pPr>
        <w:pStyle w:val="1132"/>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tbl>
      <w:tblPr>
        <w:tblStyle w:val="868"/>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410"/>
        <w:gridCol w:w="5895"/>
        <w:gridCol w:w="856"/>
      </w:tblGrid>
      <w:tr>
        <w:trPr>
          <w:jc w:val="center"/>
          <w:trHeight w:val="20"/>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sz w:val="28"/>
                <w:szCs w:val="28"/>
                <w:lang w:val="en-US" w:eastAsia="zh-CN" w:bidi="ar"/>
              </w:rPr>
              <w:outlineLvl w:val="9"/>
            </w:pPr>
            <w:r>
              <w:rPr>
                <w:rFonts w:hint="eastAsia" w:ascii="仿宋_GB2312" w:hAnsi="仿宋_GB2312" w:eastAsia="仿宋_GB2312" w:cs="仿宋_GB2312"/>
                <w:b/>
                <w:bCs/>
                <w:sz w:val="28"/>
                <w:szCs w:val="28"/>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sz w:val="28"/>
                <w:szCs w:val="28"/>
              </w:rPr>
              <w:outlineLvl w:val="9"/>
            </w:pPr>
            <w:r>
              <w:rPr>
                <w:rFonts w:hint="eastAsia" w:ascii="仿宋_GB2312" w:hAnsi="仿宋_GB2312" w:eastAsia="仿宋_GB2312" w:cs="仿宋_GB2312"/>
                <w:b/>
                <w:bCs/>
                <w:sz w:val="28"/>
                <w:szCs w:val="28"/>
                <w:lang w:bidi="ar"/>
              </w:rPr>
              <w:t xml:space="preserve">评分项目</w:t>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sz w:val="28"/>
                <w:szCs w:val="28"/>
              </w:rPr>
              <w:outlineLvl w:val="9"/>
            </w:pPr>
            <w:r>
              <w:rPr>
                <w:rFonts w:hint="eastAsia" w:ascii="仿宋_GB2312" w:hAnsi="仿宋_GB2312" w:eastAsia="仿宋_GB2312" w:cs="仿宋_GB2312"/>
                <w:b/>
                <w:bCs/>
                <w:sz w:val="28"/>
                <w:szCs w:val="28"/>
                <w:lang w:bidi="ar"/>
              </w:rPr>
              <w:t xml:space="preserve">评  分  标  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b/>
                <w:bCs/>
                <w:sz w:val="28"/>
                <w:szCs w:val="28"/>
              </w:rPr>
              <w:outlineLvl w:val="9"/>
            </w:pPr>
            <w:r>
              <w:rPr>
                <w:rFonts w:hint="eastAsia" w:ascii="仿宋_GB2312" w:hAnsi="仿宋_GB2312" w:eastAsia="仿宋_GB2312" w:cs="仿宋_GB2312"/>
                <w:b/>
                <w:bCs/>
                <w:sz w:val="28"/>
                <w:szCs w:val="28"/>
                <w:lang w:bidi="ar"/>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lang w:val="en-US" w:eastAsia="zh-CN" w:bidi="ar"/>
              </w:rPr>
              <w:outlineLvl w:val="9"/>
            </w:pPr>
            <w:r>
              <w:rPr>
                <w:rFonts w:hint="eastAsia" w:ascii="仿宋_GB2312" w:hAnsi="仿宋_GB2312" w:eastAsia="仿宋_GB2312" w:cs="仿宋_GB2312"/>
                <w:sz w:val="28"/>
                <w:szCs w:val="28"/>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lang w:eastAsia="zh-CN"/>
              </w:rPr>
              <w:outlineLvl w:val="9"/>
            </w:pPr>
            <w:r>
              <w:rPr>
                <w:rFonts w:hint="eastAsia" w:ascii="仿宋_GB2312" w:hAnsi="仿宋_GB2312" w:eastAsia="仿宋_GB2312" w:cs="仿宋_GB2312"/>
                <w:sz w:val="28"/>
                <w:szCs w:val="28"/>
                <w:lang w:bidi="ar"/>
              </w:rPr>
              <w:t xml:space="preserve">投标报价</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val="en-US" w:eastAsia="zh-CN" w:bidi="ar"/>
              </w:rPr>
              <w:t xml:space="preserve">10分</w:t>
            </w:r>
            <w:r>
              <w:rPr>
                <w:rFonts w:hint="eastAsia" w:ascii="仿宋_GB2312" w:hAnsi="仿宋_GB2312" w:eastAsia="仿宋_GB2312" w:cs="仿宋_GB2312"/>
                <w:sz w:val="28"/>
                <w:szCs w:val="28"/>
                <w:lang w:eastAsia="zh-CN" w:bidi="ar"/>
              </w:rPr>
              <w:t xml:space="preserve">）</w:t>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以满足招标文件要求的最低投标报价为评标基准价，得满分10分，其他投标报价得分=（评标基准价／其他投标报价）×10×100%。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10分</w:t>
            </w:r>
            <w:r/>
          </w:p>
        </w:tc>
      </w:tr>
      <w:tr>
        <w:trPr>
          <w:jc w:val="center"/>
          <w:trHeight w:val="20"/>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lang w:val="en-US" w:eastAsia="zh-CN" w:bidi="ar"/>
              </w:rPr>
              <w:outlineLvl w:val="9"/>
            </w:pPr>
            <w:r>
              <w:rPr>
                <w:rFonts w:hint="eastAsia" w:ascii="仿宋_GB2312" w:hAnsi="仿宋_GB2312" w:eastAsia="仿宋_GB2312" w:cs="仿宋_GB2312"/>
                <w:sz w:val="28"/>
                <w:szCs w:val="28"/>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410" w:type="dxa"/>
            <w:vAlign w:val="center"/>
            <w:vMerge w:val="restart"/>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技术方案（50分）</w:t>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项目总体概况</w:t>
            </w:r>
            <w:r>
              <w:rPr>
                <w:rFonts w:hint="eastAsia" w:ascii="仿宋_GB2312" w:hAnsi="仿宋_GB2312" w:eastAsia="仿宋_GB2312" w:cs="仿宋_GB2312"/>
                <w:sz w:val="28"/>
                <w:szCs w:val="28"/>
                <w:lang w:val="en-US" w:eastAsia="zh-CN" w:bidi="ar"/>
              </w:rPr>
              <w:t xml:space="preserve">方案</w:t>
            </w:r>
            <w:r>
              <w:rPr>
                <w:rFonts w:hint="eastAsia" w:ascii="仿宋_GB2312" w:hAnsi="仿宋_GB2312" w:eastAsia="仿宋_GB2312" w:cs="仿宋_GB2312"/>
                <w:sz w:val="28"/>
                <w:szCs w:val="28"/>
                <w:lang w:bidi="ar"/>
              </w:rPr>
              <w:t xml:space="preserve">：对项目背景与地块情况理解分析、项目实施内容与目标理解分析等。优于招标文件要求得5分；符合招标文件要求得3分；不符合招标文件要求或未提供的不得分。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地块概念模型</w:t>
            </w:r>
            <w:r>
              <w:rPr>
                <w:rFonts w:hint="eastAsia" w:ascii="仿宋_GB2312" w:hAnsi="仿宋_GB2312" w:eastAsia="仿宋_GB2312" w:cs="仿宋_GB2312"/>
                <w:sz w:val="28"/>
                <w:szCs w:val="28"/>
                <w:lang w:val="en-US" w:eastAsia="zh-CN" w:bidi="ar"/>
              </w:rPr>
              <w:t xml:space="preserve">方案</w:t>
            </w:r>
            <w:r>
              <w:rPr>
                <w:rFonts w:hint="eastAsia" w:ascii="仿宋_GB2312" w:hAnsi="仿宋_GB2312" w:eastAsia="仿宋_GB2312" w:cs="仿宋_GB2312"/>
                <w:sz w:val="28"/>
                <w:szCs w:val="28"/>
                <w:lang w:bidi="ar"/>
              </w:rPr>
              <w:t xml:space="preserve">：对地块水文地质、污染源、污染分布、敏感受体、暴露途径及修复实施过程中地块概念模型更新情况等描述。优于招标文件要求得5分；符合招标文件要求得3分；不符合招标文件要求或未提供的不得分。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项目技术方案：对项目修复技术路线、工艺参数设计等内容进行叙述。优于招标文件要求得5分；符合招标文件要求得3分；不符合招标文件要求或未提供的不得分。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4</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项目重点难点分析</w:t>
            </w:r>
            <w:r>
              <w:rPr>
                <w:rFonts w:hint="eastAsia" w:ascii="仿宋_GB2312" w:hAnsi="仿宋_GB2312" w:eastAsia="仿宋_GB2312" w:cs="仿宋_GB2312"/>
                <w:sz w:val="28"/>
                <w:szCs w:val="28"/>
                <w:lang w:val="en-US" w:eastAsia="zh-CN" w:bidi="ar"/>
              </w:rPr>
              <w:t xml:space="preserve">方案</w:t>
            </w:r>
            <w:r>
              <w:rPr>
                <w:rFonts w:hint="eastAsia" w:ascii="仿宋_GB2312" w:hAnsi="仿宋_GB2312" w:eastAsia="仿宋_GB2312" w:cs="仿宋_GB2312"/>
                <w:sz w:val="28"/>
                <w:szCs w:val="28"/>
                <w:lang w:bidi="ar"/>
              </w:rPr>
              <w:t xml:space="preserve">：针对本项目实施过程中重点和难点问题的分析及解决措施等内容进行叙述。优于招标文件要求得5分；符合招标文件要求得3分；不符合招标文件要求或未提供的不得分。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项目实施方案：对项目总体施工部署、现场平面布置、分部分项实施方案等内容进行叙述。优于招标文件要求得5分；符合招标文件要求得3分；不符合招标文件要求或未提供的不得分。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6</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进度保证方案：对实施过程中进度计划及相关保障措施进行叙述。优于招标文件要求得5分；符合招标文件要求得3分；不符合招标文件要求或未提供的不得分。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7</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环境管理方案：对二次污染防治措施、施工过程环境监测等内容进行叙述。优于招标文件要求得5分；符合招标文件要求得3分；不符合招标文件要求或未提供的不得分。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8</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质量控制及保障方案：对项目质量控制及相关保障措施进行叙述。优于招标文件要求得5分；符合招标文件要求得3分；不符合招标文件要求或未提供的不得分。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9</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资源配置与保障方案：对劳动力、机械、材料配置及相关保障措施进行叙述。优于招标文件要求得5分；符合招标文件要求得3分；不符合招标文件要求或未提供的不得分。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10</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bidi="ar"/>
              </w:rPr>
              <w:t xml:space="preserve">安全文明施工及应急预案：对项目实施过程中安全文明施工措施、应急预案等内容进行叙述。优于招标文件要求得5分；符合招标文件要求得3分；不符合招标文件要求或未提供的不得分。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5分</w:t>
            </w:r>
            <w:r/>
          </w:p>
        </w:tc>
      </w:tr>
      <w:tr>
        <w:trPr>
          <w:jc w:val="center"/>
          <w:trHeight w:val="20"/>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lang w:val="en-US" w:eastAsia="zh-CN" w:bidi="ar"/>
              </w:rPr>
              <w:outlineLvl w:val="9"/>
            </w:pPr>
            <w:r>
              <w:rPr>
                <w:rFonts w:hint="eastAsia" w:ascii="仿宋_GB2312" w:hAnsi="仿宋_GB2312" w:eastAsia="仿宋_GB2312" w:cs="仿宋_GB2312"/>
                <w:sz w:val="28"/>
                <w:szCs w:val="28"/>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企业业绩（14分）</w:t>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投标人自2023年1月1日以来（以合同签订时间为准），完成类似本项目业绩，每提供一个得2分，满分14分。</w:t>
            </w:r>
            <w:r/>
          </w:p>
          <w:p>
            <w:pP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bCs/>
                <w:sz w:val="28"/>
                <w:szCs w:val="28"/>
                <w:lang w:bidi="ar"/>
              </w:rPr>
              <w:t xml:space="preserve">（提供合同、效果评估报告通过生态环境部门组织评审的专家意见或生态环境部门出具的效果评估报告等资料的备案证明等</w:t>
            </w:r>
            <w:r>
              <w:rPr>
                <w:rFonts w:hint="eastAsia" w:ascii="仿宋_GB2312" w:hAnsi="仿宋_GB2312" w:eastAsia="仿宋_GB2312" w:cs="仿宋_GB2312"/>
                <w:b/>
                <w:bCs/>
                <w:sz w:val="28"/>
                <w:szCs w:val="28"/>
                <w:lang w:eastAsia="zh-CN" w:bidi="ar"/>
              </w:rPr>
              <w:t xml:space="preserve">，</w:t>
            </w:r>
            <w:r>
              <w:rPr>
                <w:rFonts w:hint="eastAsia" w:ascii="仿宋_GB2312" w:hAnsi="仿宋_GB2312" w:eastAsia="仿宋_GB2312" w:cs="仿宋_GB2312"/>
                <w:b/>
                <w:bCs/>
                <w:sz w:val="28"/>
                <w:szCs w:val="28"/>
                <w:lang w:bidi="ar"/>
              </w:rPr>
              <w:t xml:space="preserve">原件扫描件上传。）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14分</w:t>
            </w:r>
            <w:r/>
          </w:p>
        </w:tc>
      </w:tr>
      <w:tr>
        <w:trPr>
          <w:jc w:val="center"/>
          <w:trHeight w:val="20"/>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lang w:val="en-US" w:eastAsia="zh-CN" w:bidi="ar"/>
              </w:rPr>
              <w:outlineLvl w:val="9"/>
            </w:pPr>
            <w:r>
              <w:rPr>
                <w:rFonts w:hint="eastAsia" w:ascii="仿宋_GB2312" w:hAnsi="仿宋_GB2312" w:eastAsia="仿宋_GB2312" w:cs="仿宋_GB2312"/>
                <w:sz w:val="28"/>
                <w:szCs w:val="28"/>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体系认证</w:t>
            </w:r>
            <w:r/>
          </w:p>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（2分）</w:t>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ind w:firstLine="560"/>
              <w:keepLines w:val="0"/>
              <w:keepNext w:val="0"/>
              <w:pageBreakBefore w:val="0"/>
              <w:spacing w:line="360" w:lineRule="exact"/>
              <w:widowControl w:val="off"/>
              <w:rPr>
                <w:rFonts w:hint="eastAsia" w:ascii="仿宋_GB2312" w:hAnsi="仿宋_GB2312" w:eastAsia="仿宋_GB2312" w:cs="仿宋_GB2312"/>
                <w:sz w:val="28"/>
                <w:szCs w:val="28"/>
                <w:lang w:bidi="ar"/>
              </w:rPr>
              <w:outlineLvl w:val="9"/>
            </w:pPr>
            <w:r>
              <w:rPr>
                <w:rFonts w:hint="eastAsia" w:ascii="仿宋_GB2312" w:hAnsi="仿宋_GB2312" w:eastAsia="仿宋_GB2312" w:cs="仿宋_GB2312"/>
                <w:sz w:val="28"/>
                <w:szCs w:val="28"/>
                <w:lang w:bidi="ar"/>
              </w:rPr>
              <w:t xml:space="preserve">投标人具有质量管理体系认证证书、环境管理体系认证证书的，每有一个得1分</w:t>
            </w:r>
            <w:r>
              <w:rPr>
                <w:rFonts w:hint="eastAsia" w:ascii="仿宋_GB2312" w:hAnsi="仿宋_GB2312" w:eastAsia="仿宋_GB2312" w:cs="仿宋_GB2312"/>
                <w:sz w:val="28"/>
                <w:szCs w:val="28"/>
                <w:lang w:eastAsia="zh-CN" w:bidi="ar"/>
              </w:rPr>
              <w:t xml:space="preserve">；</w:t>
            </w:r>
            <w:r>
              <w:rPr>
                <w:rFonts w:hint="eastAsia" w:ascii="仿宋_GB2312" w:hAnsi="仿宋_GB2312" w:eastAsia="仿宋_GB2312" w:cs="仿宋_GB2312"/>
                <w:sz w:val="28"/>
                <w:szCs w:val="28"/>
                <w:lang w:val="en-US" w:eastAsia="zh-CN" w:bidi="ar"/>
              </w:rPr>
              <w:t xml:space="preserve">满分得</w:t>
            </w:r>
            <w:r>
              <w:rPr>
                <w:rFonts w:hint="eastAsia" w:ascii="仿宋_GB2312" w:hAnsi="仿宋_GB2312" w:eastAsia="仿宋_GB2312" w:cs="仿宋_GB2312"/>
                <w:sz w:val="28"/>
                <w:szCs w:val="28"/>
                <w:lang w:bidi="ar"/>
              </w:rPr>
              <w:t xml:space="preserve">2分。</w:t>
            </w:r>
            <w:r/>
          </w:p>
          <w:p>
            <w:pP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bCs/>
                <w:sz w:val="28"/>
                <w:szCs w:val="28"/>
                <w:lang w:bidi="ar"/>
              </w:rPr>
              <w:t xml:space="preserve">（提供证书</w:t>
            </w:r>
            <w:r>
              <w:rPr>
                <w:rFonts w:hint="eastAsia" w:ascii="仿宋_GB2312" w:hAnsi="仿宋_GB2312" w:eastAsia="仿宋_GB2312" w:cs="仿宋_GB2312"/>
                <w:b/>
                <w:bCs/>
                <w:sz w:val="28"/>
                <w:szCs w:val="28"/>
                <w:lang w:eastAsia="zh-CN" w:bidi="ar"/>
              </w:rPr>
              <w:t xml:space="preserve">，</w:t>
            </w:r>
            <w:r>
              <w:rPr>
                <w:rFonts w:hint="eastAsia" w:ascii="仿宋_GB2312" w:hAnsi="仿宋_GB2312" w:eastAsia="仿宋_GB2312" w:cs="仿宋_GB2312"/>
                <w:b/>
                <w:bCs/>
                <w:sz w:val="28"/>
                <w:szCs w:val="28"/>
                <w:lang w:bidi="ar"/>
              </w:rPr>
              <w:t xml:space="preserve">原件扫描件上传）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2分</w:t>
            </w:r>
            <w:r/>
          </w:p>
        </w:tc>
      </w:tr>
      <w:tr>
        <w:trPr>
          <w:jc w:val="center"/>
          <w:trHeight w:val="20"/>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lang w:val="en-US" w:eastAsia="zh-CN" w:bidi="ar"/>
              </w:rPr>
              <w:outlineLvl w:val="9"/>
            </w:pPr>
            <w:r>
              <w:rPr>
                <w:rFonts w:hint="eastAsia" w:ascii="仿宋_GB2312" w:hAnsi="仿宋_GB2312" w:eastAsia="仿宋_GB2312" w:cs="仿宋_GB2312"/>
                <w:sz w:val="28"/>
                <w:szCs w:val="28"/>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410" w:type="dxa"/>
            <w:vAlign w:val="center"/>
            <w:vMerge w:val="restart"/>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项目团队实力（24分）</w:t>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（1）拟派项目负责人：</w:t>
            </w:r>
            <w:r/>
          </w:p>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bookmarkStart w:id="215" w:name="OLE_LINK19"/>
            <w:r>
              <w:rPr>
                <w:rFonts w:hint="eastAsia" w:ascii="仿宋_GB2312" w:hAnsi="仿宋_GB2312" w:eastAsia="仿宋_GB2312" w:cs="仿宋_GB2312"/>
                <w:sz w:val="28"/>
                <w:szCs w:val="28"/>
                <w:lang w:bidi="ar"/>
              </w:rPr>
              <w:t xml:space="preserve">具有一级注册建造师证书且具备安全生产考核合格证（B证）</w:t>
            </w:r>
            <w:bookmarkEnd w:id="215"/>
            <w:r>
              <w:rPr>
                <w:rFonts w:hint="eastAsia" w:ascii="仿宋_GB2312" w:hAnsi="仿宋_GB2312" w:eastAsia="仿宋_GB2312" w:cs="仿宋_GB2312"/>
                <w:sz w:val="28"/>
                <w:szCs w:val="28"/>
                <w:lang w:bidi="ar"/>
              </w:rPr>
              <w:t xml:space="preserve">的得3分。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sz w:val="28"/>
                <w:szCs w:val="28"/>
              </w:rPr>
              <w:outlineLvl w:val="9"/>
            </w:pPr>
            <w:r/>
            <w:bookmarkStart w:id="216" w:name="OLE_LINK3"/>
            <w:r>
              <w:rPr>
                <w:rFonts w:hint="eastAsia" w:ascii="仿宋_GB2312" w:hAnsi="仿宋_GB2312" w:eastAsia="仿宋_GB2312" w:cs="仿宋_GB2312"/>
                <w:sz w:val="28"/>
                <w:szCs w:val="28"/>
                <w:lang w:bidi="ar"/>
              </w:rPr>
              <w:t xml:space="preserve">（2）拟派技术负责人：</w:t>
            </w:r>
            <w:bookmarkEnd w:id="216"/>
            <w:r/>
            <w:r/>
          </w:p>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具</w:t>
            </w:r>
            <w:r>
              <w:rPr>
                <w:rFonts w:hint="eastAsia" w:ascii="仿宋_GB2312" w:hAnsi="仿宋_GB2312" w:eastAsia="仿宋_GB2312" w:cs="仿宋_GB2312"/>
                <w:sz w:val="28"/>
                <w:szCs w:val="28"/>
                <w:lang w:val="en-US" w:eastAsia="zh-CN" w:bidi="ar"/>
              </w:rPr>
              <w:t xml:space="preserve">有</w:t>
            </w:r>
            <w:r>
              <w:rPr>
                <w:rFonts w:hint="eastAsia" w:ascii="仿宋_GB2312" w:hAnsi="仿宋_GB2312" w:eastAsia="仿宋_GB2312" w:cs="仿宋_GB2312"/>
                <w:sz w:val="28"/>
                <w:szCs w:val="28"/>
                <w:lang w:bidi="ar"/>
              </w:rPr>
              <w:t xml:space="preserve">注册环保工程师证书的得3分。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3分</w:t>
            </w:r>
            <w:r/>
          </w:p>
        </w:tc>
      </w:tr>
      <w:tr>
        <w:trPr>
          <w:jc w:val="center"/>
          <w:trHeight w:val="20"/>
        </w:trPr>
        <w:tc>
          <w:tcPr>
            <w:tcBorders>
              <w:left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（3）拟派安全负责人：</w:t>
            </w:r>
            <w:r/>
          </w:p>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具有中级及以上注册安全工程师执业证书的得3分。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3分</w:t>
            </w:r>
            <w:r/>
          </w:p>
        </w:tc>
      </w:tr>
      <w:tr>
        <w:trPr>
          <w:jc w:val="center"/>
          <w:trHeight w:val="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keepLines w:val="0"/>
              <w:keepNext w:val="0"/>
              <w:pageBreakBefore w:val="0"/>
              <w:spacing w:line="360" w:lineRule="exact"/>
              <w:widowControl w:val="off"/>
              <w:rPr>
                <w:rFonts w:hint="eastAsia" w:ascii="仿宋_GB2312" w:hAnsi="仿宋_GB2312" w:eastAsia="仿宋_GB2312" w:cs="仿宋_GB2312"/>
                <w:sz w:val="28"/>
                <w:szCs w:val="28"/>
              </w:rPr>
              <w:outlineLvl w:val="9"/>
            </w:pPr>
            <w:r/>
            <w:bookmarkStart w:id="217" w:name="OLE_LINK1"/>
            <w:r>
              <w:rPr>
                <w:rFonts w:hint="eastAsia" w:ascii="仿宋_GB2312" w:hAnsi="仿宋_GB2312" w:eastAsia="仿宋_GB2312" w:cs="仿宋_GB2312"/>
                <w:sz w:val="28"/>
                <w:szCs w:val="28"/>
                <w:lang w:bidi="ar"/>
              </w:rPr>
              <w:t xml:space="preserve">（4）拟派项目组其他成员（不含项目负责人、技术负责人、安全负责人）：</w:t>
            </w:r>
            <w:r/>
          </w:p>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①具有注册</w:t>
            </w:r>
            <w:bookmarkStart w:id="224" w:name="_GoBack"/>
            <w:r>
              <w:rPr>
                <w:rFonts w:hint="eastAsia" w:ascii="仿宋_GB2312" w:hAnsi="仿宋_GB2312" w:eastAsia="仿宋_GB2312" w:cs="仿宋_GB2312"/>
                <w:sz w:val="28"/>
                <w:szCs w:val="28"/>
                <w:lang w:val="en-US" w:eastAsia="zh-CN" w:bidi="ar"/>
              </w:rPr>
              <w:t xml:space="preserve">公用</w:t>
            </w:r>
            <w:bookmarkEnd w:id="224"/>
            <w:r>
              <w:rPr>
                <w:rFonts w:hint="eastAsia" w:ascii="仿宋_GB2312" w:hAnsi="仿宋_GB2312" w:eastAsia="仿宋_GB2312" w:cs="仿宋_GB2312"/>
                <w:sz w:val="28"/>
                <w:szCs w:val="28"/>
                <w:lang w:bidi="ar"/>
              </w:rPr>
              <w:t xml:space="preserve">设备工程师（给排水）证书的得3分；</w:t>
            </w:r>
            <w:r/>
          </w:p>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②具有注册化工工程师证书的每有一人得3分，</w:t>
            </w:r>
            <w:r>
              <w:rPr>
                <w:rFonts w:hint="eastAsia" w:ascii="仿宋_GB2312" w:hAnsi="仿宋_GB2312" w:eastAsia="仿宋_GB2312" w:cs="仿宋_GB2312"/>
                <w:sz w:val="28"/>
                <w:szCs w:val="28"/>
                <w:lang w:val="en-US" w:eastAsia="zh-CN" w:bidi="ar"/>
              </w:rPr>
              <w:t xml:space="preserve">满分</w:t>
            </w:r>
            <w:r>
              <w:rPr>
                <w:rFonts w:hint="eastAsia" w:ascii="仿宋_GB2312" w:hAnsi="仿宋_GB2312" w:eastAsia="仿宋_GB2312" w:cs="仿宋_GB2312"/>
                <w:sz w:val="28"/>
                <w:szCs w:val="28"/>
                <w:lang w:bidi="ar"/>
              </w:rPr>
              <w:t xml:space="preserve">得6分；</w:t>
            </w:r>
            <w:r/>
          </w:p>
          <w:p>
            <w:pPr>
              <w:ind w:firstLine="560"/>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③具有注册环保工程师证书的每有一人得3分，</w:t>
            </w:r>
            <w:r>
              <w:rPr>
                <w:rFonts w:hint="eastAsia" w:ascii="仿宋_GB2312" w:hAnsi="仿宋_GB2312" w:eastAsia="仿宋_GB2312" w:cs="仿宋_GB2312"/>
                <w:sz w:val="28"/>
                <w:szCs w:val="28"/>
                <w:lang w:val="en-US" w:eastAsia="zh-CN" w:bidi="ar"/>
              </w:rPr>
              <w:t xml:space="preserve">满分</w:t>
            </w:r>
            <w:r>
              <w:rPr>
                <w:rFonts w:hint="eastAsia" w:ascii="仿宋_GB2312" w:hAnsi="仿宋_GB2312" w:eastAsia="仿宋_GB2312" w:cs="仿宋_GB2312"/>
                <w:sz w:val="28"/>
                <w:szCs w:val="28"/>
                <w:lang w:bidi="ar"/>
              </w:rPr>
              <w:t xml:space="preserve">得6分。</w:t>
            </w:r>
            <w:r/>
          </w:p>
          <w:p>
            <w:pP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b/>
                <w:bCs/>
                <w:sz w:val="28"/>
                <w:szCs w:val="28"/>
                <w:lang w:bidi="ar"/>
              </w:rPr>
              <w:t xml:space="preserve">（</w:t>
            </w:r>
            <w:r>
              <w:rPr>
                <w:rFonts w:hint="eastAsia" w:ascii="仿宋_GB2312" w:hAnsi="仿宋_GB2312" w:eastAsia="仿宋_GB2312" w:cs="仿宋_GB2312"/>
                <w:b/>
                <w:bCs/>
                <w:sz w:val="28"/>
                <w:szCs w:val="28"/>
                <w:lang w:val="en-US" w:eastAsia="zh-CN" w:bidi="ar"/>
              </w:rPr>
              <w:t xml:space="preserve">提供</w:t>
            </w:r>
            <w:r>
              <w:rPr>
                <w:rFonts w:hint="eastAsia" w:ascii="仿宋_GB2312" w:hAnsi="仿宋_GB2312" w:eastAsia="仿宋_GB2312" w:cs="仿宋_GB2312"/>
                <w:b/>
                <w:bCs/>
                <w:sz w:val="28"/>
                <w:szCs w:val="28"/>
                <w:lang w:bidi="ar"/>
              </w:rPr>
              <w:t xml:space="preserve">以上（1）至（4）项</w:t>
            </w:r>
            <w:r>
              <w:rPr>
                <w:rFonts w:hint="eastAsia" w:ascii="仿宋_GB2312" w:hAnsi="仿宋_GB2312" w:eastAsia="仿宋_GB2312" w:cs="仿宋_GB2312"/>
                <w:b/>
                <w:bCs/>
                <w:sz w:val="28"/>
                <w:szCs w:val="28"/>
                <w:lang w:val="en-US" w:eastAsia="zh-CN" w:bidi="ar"/>
              </w:rPr>
              <w:t xml:space="preserve">人员证书及投标人近三个月任意一个月为其缴纳社保的证明，原件扫描上传，</w:t>
            </w:r>
            <w:r>
              <w:rPr>
                <w:rFonts w:hint="eastAsia" w:ascii="仿宋_GB2312" w:hAnsi="仿宋_GB2312" w:eastAsia="仿宋_GB2312" w:cs="仿宋_GB2312"/>
                <w:b/>
                <w:bCs/>
                <w:sz w:val="28"/>
                <w:szCs w:val="28"/>
                <w:lang w:bidi="ar"/>
              </w:rPr>
              <w:t xml:space="preserve">一人多证不重复计分</w:t>
            </w:r>
            <w:r>
              <w:rPr>
                <w:rFonts w:hint="eastAsia" w:ascii="仿宋_GB2312" w:hAnsi="仿宋_GB2312" w:eastAsia="仿宋_GB2312" w:cs="仿宋_GB2312"/>
                <w:b/>
                <w:bCs/>
                <w:sz w:val="28"/>
                <w:szCs w:val="28"/>
                <w:lang w:val="en-US" w:eastAsia="zh-CN" w:bidi="ar"/>
              </w:rPr>
              <w:t xml:space="preserve">）</w:t>
            </w:r>
            <w:bookmarkEnd w:id="217"/>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360" w:lineRule="exact"/>
              <w:widowControl w:val="off"/>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lang w:bidi="ar"/>
              </w:rPr>
              <w:t xml:space="preserve">15分</w:t>
            </w:r>
            <w:r/>
          </w:p>
        </w:tc>
      </w:tr>
    </w:tbl>
    <w:p>
      <w:pPr>
        <w:ind w:firstLine="480"/>
        <w:spacing w:line="360" w:lineRule="auto"/>
        <w:rPr>
          <w:rFonts w:hint="eastAsia" w:ascii="宋体" w:hAnsi="宋体"/>
          <w:color w:val="ff0000"/>
          <w:sz w:val="24"/>
          <w:szCs w:val="24"/>
        </w:rPr>
      </w:pPr>
      <w:r>
        <w:rPr>
          <w:rFonts w:hint="eastAsia" w:ascii="宋体" w:hAnsi="宋体"/>
          <w:color w:val="ff0000"/>
          <w:sz w:val="24"/>
          <w:szCs w:val="24"/>
        </w:rPr>
      </w:r>
      <w:r/>
    </w:p>
    <w:p>
      <w:pPr>
        <w:pStyle w:val="1132"/>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46"/>
        <w:jc w:val="both"/>
        <w:rPr>
          <w:rFonts w:hint="eastAsia" w:ascii="黑体" w:eastAsia="黑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1046"/>
        <w:rPr>
          <w:rFonts w:hint="eastAsia" w:ascii="黑体" w:eastAsia="黑体"/>
          <w:bCs/>
          <w:color w:val="000000"/>
          <w:sz w:val="44"/>
        </w:rPr>
      </w:pPr>
      <w:r>
        <w:rPr>
          <w:rFonts w:hint="eastAsia" w:ascii="黑体" w:eastAsia="黑体"/>
          <w:bCs/>
          <w:color w:val="000000"/>
          <w:sz w:val="44"/>
        </w:rPr>
        <w:t xml:space="preserve">第六章  投标</w:t>
      </w:r>
      <w:bookmarkEnd w:id="193"/>
      <w:r/>
      <w:bookmarkEnd w:id="194"/>
      <w:r/>
      <w:bookmarkEnd w:id="195"/>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18" w:name="_Hlt26671244"/>
      <w:r/>
      <w:bookmarkEnd w:id="218"/>
      <w:r/>
      <w:bookmarkStart w:id="219" w:name="_Hlt26955039"/>
      <w:r/>
      <w:bookmarkEnd w:id="219"/>
      <w:r/>
      <w:bookmarkStart w:id="220" w:name="_Toc120614282"/>
      <w:r/>
      <w:bookmarkStart w:id="221" w:name="_Toc49090576"/>
      <w:r/>
      <w:bookmarkStart w:id="222" w:name="_Toc26554094"/>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891"/>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891"/>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w:t>
      </w:r>
      <w:r>
        <w:rPr>
          <w:rFonts w:hint="eastAsia" w:ascii="宋体" w:hAnsi="宋体" w:eastAsia="宋体" w:cs="Times New Roman"/>
          <w:sz w:val="24"/>
          <w:szCs w:val="21"/>
          <w:highlight w:val="none"/>
          <w:lang w:val="en-US" w:eastAsia="zh-CN" w:bidi="ar-SA"/>
        </w:rPr>
        <w:t xml:space="preserve">14</w:t>
      </w:r>
      <w:r>
        <w:rPr>
          <w:rFonts w:hint="eastAsia" w:ascii="宋体" w:hAnsi="宋体" w:eastAsia="宋体" w:cs="Times New Roman"/>
          <w:sz w:val="24"/>
          <w:szCs w:val="21"/>
          <w:lang w:val="en-US" w:eastAsia="zh-CN" w:bidi="ar-SA"/>
        </w:rPr>
        <w:t xml:space="preserve">）。</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w:t>
      </w:r>
      <w:r>
        <w:rPr>
          <w:rFonts w:ascii="宋体" w:hAnsi="宋体"/>
          <w:sz w:val="24"/>
          <w:szCs w:val="21"/>
          <w:highlight w:val="none"/>
        </w:rPr>
        <w:t xml:space="preserve">1</w:t>
      </w:r>
      <w:r>
        <w:rPr>
          <w:rFonts w:hint="eastAsia" w:ascii="宋体" w:hAnsi="宋体"/>
          <w:sz w:val="24"/>
          <w:szCs w:val="21"/>
          <w:highlight w:val="none"/>
          <w:lang w:val="en-US" w:eastAsia="zh-CN"/>
        </w:rPr>
        <w:t xml:space="preserve">5</w:t>
      </w:r>
      <w:r>
        <w:rPr>
          <w:rFonts w:hint="eastAsia" w:ascii="宋体" w:hAnsi="宋体"/>
          <w:sz w:val="24"/>
          <w:szCs w:val="21"/>
        </w:rPr>
        <w:t xml:space="preserve">）</w:t>
      </w:r>
      <w:r/>
    </w:p>
    <w:p>
      <w:pPr>
        <w:pStyle w:val="889"/>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889"/>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889"/>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ind w:firstLine="480"/>
        <w:spacing w:line="400" w:lineRule="exact"/>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highlight w:val="green"/>
        </w:rPr>
        <w:t xml:space="preserve">3.关于符合本国产品标准的声明函（格式见附件13）</w:t>
      </w:r>
      <w:r/>
    </w:p>
    <w:p>
      <w:pPr>
        <w:pStyle w:val="889"/>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cs="宋体"/>
          <w:b w:val="0"/>
          <w:bCs w:val="0"/>
          <w:color w:val="000000"/>
          <w:sz w:val="24"/>
          <w:szCs w:val="24"/>
          <w:lang w:val="en-US" w:eastAsia="zh-CN"/>
        </w:rPr>
      </w:r>
      <w:r/>
    </w:p>
    <w:p>
      <w:pPr>
        <w:pStyle w:val="889"/>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89"/>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89"/>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889"/>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89"/>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89"/>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889"/>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8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88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9"/>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tbl>
      <w:tblPr>
        <w:tblStyle w:val="868"/>
        <w:tblW w:w="8505"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009"/>
        <w:gridCol w:w="1247"/>
        <w:gridCol w:w="1268"/>
        <w:gridCol w:w="1255"/>
        <w:gridCol w:w="1231"/>
        <w:gridCol w:w="1779"/>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pStyle w:val="889"/>
              <w:jc w:val="center"/>
              <w:spacing w:line="360" w:lineRule="auto"/>
            </w:pPr>
            <w:r/>
            <w:bookmarkStart w:id="223" w:name="OLE_LINK4"/>
            <w:r>
              <w:rPr>
                <w:rFonts w:hint="eastAsia" w:ascii="宋体" w:hAnsi="宋体" w:cs="宋体"/>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89"/>
              <w:jc w:val="center"/>
              <w:spacing w:line="360" w:lineRule="auto"/>
            </w:pPr>
            <w:r>
              <w:rPr>
                <w:rFonts w:hint="eastAsia" w:ascii="宋体" w:hAnsi="宋体" w:cs="宋体"/>
                <w:color w:val="000000"/>
                <w:szCs w:val="24"/>
              </w:rPr>
              <w:t xml:space="preserve">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line="360" w:lineRule="auto"/>
            </w:pPr>
            <w:r>
              <w:rPr>
                <w:rFonts w:hint="eastAsia" w:ascii="宋体" w:hAnsi="宋体" w:cs="宋体"/>
                <w:color w:val="000000"/>
                <w:szCs w:val="24"/>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89"/>
              <w:jc w:val="center"/>
              <w:spacing w:line="360" w:lineRule="auto"/>
            </w:pPr>
            <w:r>
              <w:rPr>
                <w:rFonts w:hint="eastAsia" w:ascii="宋体" w:hAnsi="宋体" w:cs="宋体"/>
                <w:color w:val="000000"/>
                <w:szCs w:val="24"/>
              </w:rPr>
              <w:t xml:space="preserve">3</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9"/>
              <w:jc w:val="center"/>
              <w:spacing w:line="360" w:lineRule="auto"/>
            </w:pPr>
            <w:r>
              <w:rPr>
                <w:rFonts w:hint="eastAsia" w:ascii="宋体" w:hAnsi="宋体" w:cs="宋体"/>
                <w:color w:val="000000"/>
                <w:szCs w:val="24"/>
              </w:rPr>
              <w:t xml:space="preserve">4</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889"/>
              <w:jc w:val="center"/>
              <w:spacing w:line="360" w:lineRule="auto"/>
            </w:pPr>
            <w:r>
              <w:rPr>
                <w:rFonts w:hint="eastAsia" w:ascii="宋体" w:hAnsi="宋体" w:cs="宋体"/>
                <w:color w:val="000000"/>
                <w:szCs w:val="24"/>
              </w:rPr>
              <w:t xml:space="preserve">5</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9"/>
              <w:jc w:val="center"/>
              <w:spacing w:line="360" w:lineRule="auto"/>
            </w:pPr>
            <w:r>
              <w:rPr>
                <w:rFonts w:hint="eastAsia" w:ascii="宋体" w:hAnsi="宋体" w:cs="宋体"/>
                <w:color w:val="000000"/>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sz w:val="24"/>
                <w:szCs w:val="21"/>
              </w:rPr>
            </w:pPr>
            <w:r>
              <w:rPr>
                <w:sz w:val="24"/>
                <w:szCs w:val="21"/>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89"/>
              <w:jc w:val="center"/>
              <w:spacing w:line="360" w:lineRule="auto"/>
            </w:pPr>
            <w:r>
              <w:rPr>
                <w:rFonts w:hint="eastAsia" w:ascii="宋体" w:hAnsi="宋体" w:cs="宋体"/>
                <w:color w:val="000000"/>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line="360" w:lineRule="auto"/>
            </w:pPr>
            <w:r>
              <w:rPr>
                <w:rFonts w:hint="eastAsia" w:ascii="宋体" w:hAnsi="宋体" w:cs="宋体"/>
                <w:color w:val="000000"/>
                <w:szCs w:val="24"/>
              </w:rPr>
              <w:t xml:space="preserve">交付期</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89"/>
              <w:jc w:val="center"/>
              <w:spacing w:line="360" w:lineRule="auto"/>
            </w:pPr>
            <w:r>
              <w:rPr>
                <w:rFonts w:hint="eastAsia" w:ascii="宋体" w:hAnsi="宋体" w:cs="宋体"/>
                <w:color w:val="000000"/>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89"/>
              <w:jc w:val="center"/>
              <w:spacing w:line="360" w:lineRule="auto"/>
            </w:pPr>
            <w:r>
              <w:rPr>
                <w:rFonts w:hint="eastAsia" w:ascii="宋体" w:hAnsi="宋体" w:cs="宋体"/>
                <w:color w:val="000000"/>
                <w:szCs w:val="24"/>
              </w:rPr>
              <w:t xml:space="preserve">数量</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889"/>
              <w:jc w:val="center"/>
              <w:spacing w:line="360" w:lineRule="auto"/>
            </w:pPr>
            <w:r>
              <w:rPr>
                <w:rFonts w:hint="eastAsia" w:ascii="宋体" w:hAnsi="宋体" w:cs="宋体"/>
                <w:color w:val="000000"/>
                <w:szCs w:val="24"/>
              </w:rPr>
              <w:t xml:space="preserve">分项</w:t>
            </w:r>
            <w:r/>
          </w:p>
          <w:p>
            <w:pPr>
              <w:pStyle w:val="889"/>
              <w:jc w:val="center"/>
              <w:spacing w:line="360" w:lineRule="auto"/>
            </w:pPr>
            <w:r>
              <w:rPr>
                <w:rFonts w:hint="eastAsia" w:ascii="宋体" w:hAnsi="宋体" w:cs="宋体"/>
                <w:color w:val="000000"/>
                <w:szCs w:val="24"/>
              </w:rPr>
              <w:t xml:space="preserve">单价</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9"/>
              <w:jc w:val="center"/>
              <w:spacing w:line="360" w:lineRule="auto"/>
            </w:pPr>
            <w:r>
              <w:rPr>
                <w:rFonts w:hint="eastAsia" w:ascii="宋体" w:hAnsi="宋体" w:cs="宋体"/>
                <w:color w:val="000000"/>
                <w:szCs w:val="24"/>
              </w:rPr>
              <w:t xml:space="preserve">分项</w:t>
            </w:r>
            <w:r/>
          </w:p>
          <w:p>
            <w:pPr>
              <w:pStyle w:val="889"/>
              <w:jc w:val="center"/>
              <w:spacing w:line="360" w:lineRule="auto"/>
            </w:pPr>
            <w:r>
              <w:rPr>
                <w:rFonts w:hint="eastAsia" w:ascii="宋体" w:hAnsi="宋体" w:cs="宋体"/>
                <w:color w:val="000000"/>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89"/>
              <w:jc w:val="center"/>
              <w:spacing w:line="360" w:lineRule="auto"/>
            </w:pPr>
            <w:r>
              <w:rPr>
                <w:rFonts w:hint="eastAsia" w:ascii="宋体" w:hAnsi="宋体" w:cs="宋体"/>
                <w:color w:val="000000"/>
                <w:szCs w:val="24"/>
              </w:rPr>
              <w:t xml:space="preserve">1</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非污染土壤开挖</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9"/>
              <w:jc w:val="center"/>
              <w:spacing w:line="360" w:lineRule="auto"/>
            </w:pPr>
            <w:r>
              <w:rPr>
                <w:rFonts w:hint="eastAsia" w:ascii="宋体" w:hAnsi="宋体" w:cs="宋体"/>
                <w:color w:val="000000"/>
                <w:szCs w:val="24"/>
              </w:rPr>
              <w:t xml:space="preserve">合同签订后</w:t>
            </w:r>
            <w:r>
              <w:rPr>
                <w:rFonts w:hint="eastAsia" w:ascii="宋体" w:hAnsi="宋体" w:cs="宋体"/>
                <w:color w:val="000000"/>
                <w:szCs w:val="24"/>
                <w:u w:val="single"/>
              </w:rPr>
              <w:t xml:space="preserve">120 </w:t>
            </w:r>
            <w:r>
              <w:rPr>
                <w:rFonts w:hint="eastAsia" w:ascii="宋体" w:hAnsi="宋体" w:cs="宋体"/>
                <w:color w:val="000000"/>
                <w:szCs w:val="24"/>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14446.93 </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889"/>
              <w:jc w:val="center"/>
              <w:spacing w:line="360" w:lineRule="auto"/>
            </w:pPr>
            <w:r>
              <w:rPr>
                <w:rFonts w:hint="eastAsia" w:ascii="宋体" w:hAnsi="宋体" w:cs="宋体"/>
                <w:color w:val="000000"/>
                <w:szCs w:val="24"/>
              </w:rPr>
              <w:t xml:space="preserve">2</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污染土壤开挖</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39370.9</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水泥窑处置污染土壤预处理</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10544.5</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水泥窑处置污染土方运输费</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10544.5</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水泥窑处置污染土方修复费</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10544.5</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危废处置</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T</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113</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color w:val="ff0000"/>
                <w:sz w:val="20"/>
                <w:szCs w:val="20"/>
              </w:rPr>
            </w:pPr>
            <w:r>
              <w:rPr>
                <w:rFonts w:cs="宋体" w:asciiTheme="minorEastAsia" w:hAnsiTheme="minorEastAsia"/>
                <w:color w:val="ff0000"/>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ff0000"/>
                <w:szCs w:val="21"/>
              </w:rPr>
            </w:pPr>
            <w:r>
              <w:rPr>
                <w:rFonts w:asciiTheme="minorEastAsia" w:hAnsiTheme="minorEastAsia"/>
                <w:color w:val="ff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污染土壤常温解吸</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28697.1</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回填方（场内净土）</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43144.03</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回填方（场外净土）</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10673.8</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自检和环境监测</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废水处理费</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10727.23</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二次污染防治（不含大棚设施）</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水泥搅拌桩</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9108.2</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高压旋喷桩</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13.86</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H型钢</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T</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1978.7</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钢板桩、钢管支撑、钢围檩</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T</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787.4</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17</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细石混凝土护坡</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m2</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2560</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18</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冠梁</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552.8</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钢筋混凝土构件拆除</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m³</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552.8</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管井</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座*天</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2520</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21</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密闭大棚</w:t>
            </w:r>
            <w:r/>
          </w:p>
        </w:tc>
        <w:tc>
          <w:tcPr>
            <w:tcBorders>
              <w:top w:val="single" w:color="000000" w:sz="4" w:space="0"/>
              <w:left w:val="single" w:color="000000" w:sz="4" w:space="0"/>
              <w:bottom w:val="single" w:color="000000" w:sz="4" w:space="0"/>
              <w:right w:val="single" w:color="000000" w:sz="4" w:space="0"/>
            </w:tcBorders>
            <w:tcW w:w="1247" w:type="dxa"/>
            <w:textDirection w:val="lrTb"/>
            <w:noWrap w:val="false"/>
          </w:tcPr>
          <w:p>
            <w:r>
              <w:rPr>
                <w:rFonts w:hint="eastAsia" w:ascii="宋体" w:hAnsi="宋体" w:cs="宋体"/>
                <w:color w:val="000000"/>
              </w:rPr>
              <w:t xml:space="preserve">合同签订后</w:t>
            </w:r>
            <w:r>
              <w:rPr>
                <w:rFonts w:hint="eastAsia" w:ascii="宋体" w:hAnsi="宋体" w:cs="宋体"/>
                <w:color w:val="000000"/>
                <w:u w:val="single"/>
              </w:rPr>
              <w:t xml:space="preserve">120 </w:t>
            </w:r>
            <w:r>
              <w:rPr>
                <w:rFonts w:hint="eastAsia" w:ascii="宋体" w:hAnsi="宋体" w:cs="宋体"/>
                <w:color w:val="000000"/>
              </w:rPr>
              <w:t xml:space="preserve">日</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widowControl/>
              <w:rPr>
                <w:rFonts w:cs="宋体" w:asciiTheme="minorEastAsia" w:hAnsiTheme="minorEastAsia"/>
                <w:sz w:val="20"/>
                <w:szCs w:val="20"/>
              </w:rPr>
            </w:pPr>
            <w:r>
              <w:rPr>
                <w:rFonts w:hint="eastAsia" w:cs="宋体" w:asciiTheme="minorEastAsia" w:hAnsiTheme="minorEastAsia"/>
                <w:sz w:val="20"/>
                <w:szCs w:val="20"/>
              </w:rPr>
              <w:t xml:space="preserve">㎡</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rPr>
                <w:rFonts w:asciiTheme="minorEastAsia" w:hAnsiTheme="minorEastAsia"/>
                <w:color w:val="000000"/>
                <w:szCs w:val="21"/>
              </w:rPr>
            </w:pPr>
            <w:r>
              <w:rPr>
                <w:rFonts w:hint="eastAsia" w:asciiTheme="minorEastAsia" w:hAnsiTheme="minorEastAsia"/>
                <w:color w:val="000000"/>
                <w:szCs w:val="21"/>
              </w:rPr>
              <w:t xml:space="preserve">5100</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widowControl/>
              <w:rPr>
                <w:rFonts w:cs="宋体" w:asciiTheme="minorEastAsia" w:hAnsiTheme="minorEastAsia"/>
                <w:sz w:val="20"/>
                <w:szCs w:val="20"/>
              </w:rPr>
            </w:pPr>
            <w:r>
              <w:rPr>
                <w:rFonts w:cs="宋体" w:asciiTheme="minorEastAsia" w:hAnsiTheme="minorEastAsia"/>
                <w:sz w:val="20"/>
                <w:szCs w:val="20"/>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rPr>
                <w:rFonts w:asciiTheme="minorEastAsia" w:hAnsiTheme="minorEastAsia"/>
                <w:color w:val="000000"/>
                <w:szCs w:val="21"/>
              </w:rPr>
            </w:pPr>
            <w:r>
              <w:rPr>
                <w:rFonts w:asciiTheme="minorEastAsia" w:hAnsiTheme="minorEastAsia"/>
                <w:color w:val="000000"/>
                <w:szCs w:val="21"/>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726" w:type="dxa"/>
            <w:vAlign w:val="center"/>
            <w:textDirection w:val="lrTb"/>
            <w:noWrap w:val="false"/>
          </w:tcPr>
          <w:p>
            <w:pPr>
              <w:pStyle w:val="889"/>
              <w:jc w:val="center"/>
              <w:spacing w:line="360" w:lineRule="auto"/>
            </w:pPr>
            <w:r>
              <w:rPr>
                <w:rFonts w:hint="eastAsia" w:ascii="宋体" w:hAnsi="宋体" w:cs="宋体"/>
                <w:color w:val="000000"/>
                <w:szCs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89"/>
              <w:jc w:val="both"/>
              <w:spacing w:line="360" w:lineRule="auto"/>
            </w:pPr>
            <w:r>
              <w:t xml:space="preserve"> </w:t>
            </w:r>
            <w:r/>
          </w:p>
        </w:tc>
      </w:tr>
      <w:tr>
        <w:trPr>
          <w:tblCellSpacing w:w="0" w:type="dxa"/>
          <w:trHeight w:val="487"/>
        </w:trPr>
        <w:tc>
          <w:tcPr>
            <w:gridSpan w:val="7"/>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889"/>
              <w:jc w:val="both"/>
              <w:spacing w:line="360" w:lineRule="auto"/>
            </w:pPr>
            <w:r>
              <w:rPr>
                <w:rFonts w:hint="eastAsia" w:ascii="宋体" w:hAnsi="宋体" w:eastAsia="宋体" w:cs="宋体"/>
                <w:i w:val="0"/>
                <w:iCs w:val="0"/>
                <w:caps w:val="0"/>
                <w:color w:val="auto"/>
                <w:spacing w:val="0"/>
                <w:sz w:val="24"/>
                <w:szCs w:val="24"/>
                <w:highlight w:val="green"/>
                <w:lang w:eastAsia="zh-CN"/>
              </w:rPr>
              <w:t xml:space="preserve">本</w:t>
            </w:r>
            <w:r>
              <w:rPr>
                <w:rFonts w:hint="eastAsia" w:ascii="宋体" w:hAnsi="宋体" w:eastAsia="宋体" w:cs="宋体"/>
                <w:i w:val="0"/>
                <w:iCs w:val="0"/>
                <w:caps w:val="0"/>
                <w:color w:val="auto"/>
                <w:spacing w:val="0"/>
                <w:sz w:val="24"/>
                <w:szCs w:val="24"/>
                <w:highlight w:val="green"/>
              </w:rPr>
              <w:t xml:space="preserve">采购包</w:t>
            </w:r>
            <w:r>
              <w:rPr>
                <w:rFonts w:hint="eastAsia" w:ascii="宋体" w:hAnsi="宋体" w:eastAsia="宋体" w:cs="宋体"/>
                <w:i w:val="0"/>
                <w:iCs w:val="0"/>
                <w:caps w:val="0"/>
                <w:color w:val="auto"/>
                <w:spacing w:val="0"/>
                <w:sz w:val="24"/>
                <w:szCs w:val="24"/>
                <w:highlight w:val="green"/>
                <w:u w:val="none"/>
                <w:lang w:val="en-US" w:eastAsia="zh-CN"/>
              </w:rPr>
              <w:t xml:space="preserve">中</w:t>
            </w:r>
            <w:r>
              <w:rPr>
                <w:rFonts w:hint="eastAsia" w:ascii="宋体" w:hAnsi="宋体" w:eastAsia="宋体" w:cs="宋体"/>
                <w:i w:val="0"/>
                <w:iCs w:val="0"/>
                <w:caps w:val="0"/>
                <w:color w:val="auto"/>
                <w:spacing w:val="0"/>
                <w:sz w:val="24"/>
                <w:szCs w:val="24"/>
                <w:highlight w:val="green"/>
              </w:rPr>
              <w:t xml:space="preserve">提供的符合本国产品标准的</w:t>
            </w:r>
            <w:r>
              <w:rPr>
                <w:rFonts w:hint="eastAsia" w:ascii="宋体" w:hAnsi="宋体" w:eastAsia="宋体" w:cs="宋体"/>
                <w:i w:val="0"/>
                <w:iCs w:val="0"/>
                <w:caps w:val="0"/>
                <w:color w:val="auto"/>
                <w:spacing w:val="0"/>
                <w:sz w:val="24"/>
                <w:szCs w:val="24"/>
                <w:highlight w:val="green"/>
                <w:lang w:eastAsia="zh-CN"/>
              </w:rPr>
              <w:t xml:space="preserve">货物</w:t>
            </w:r>
            <w:r>
              <w:rPr>
                <w:rFonts w:hint="eastAsia" w:ascii="宋体" w:hAnsi="宋体" w:eastAsia="宋体" w:cs="宋体"/>
                <w:i w:val="0"/>
                <w:iCs w:val="0"/>
                <w:caps w:val="0"/>
                <w:color w:val="auto"/>
                <w:spacing w:val="0"/>
                <w:sz w:val="24"/>
                <w:szCs w:val="24"/>
                <w:highlight w:val="green"/>
              </w:rPr>
              <w:t xml:space="preserve">成本之和占</w:t>
            </w:r>
            <w:r>
              <w:rPr>
                <w:rFonts w:hint="eastAsia" w:ascii="宋体" w:hAnsi="宋体" w:eastAsia="宋体" w:cs="宋体"/>
                <w:i w:val="0"/>
                <w:iCs w:val="0"/>
                <w:caps w:val="0"/>
                <w:color w:val="auto"/>
                <w:spacing w:val="0"/>
                <w:sz w:val="24"/>
                <w:szCs w:val="24"/>
                <w:highlight w:val="green"/>
                <w:lang w:eastAsia="zh-CN"/>
              </w:rPr>
              <w:t xml:space="preserve">该采购包</w:t>
            </w:r>
            <w:r>
              <w:rPr>
                <w:rFonts w:hint="eastAsia" w:ascii="宋体" w:hAnsi="宋体" w:eastAsia="宋体" w:cs="宋体"/>
                <w:i w:val="0"/>
                <w:iCs w:val="0"/>
                <w:caps w:val="0"/>
                <w:strike w:val="0"/>
                <w:color w:val="auto"/>
                <w:spacing w:val="0"/>
                <w:sz w:val="24"/>
                <w:szCs w:val="24"/>
                <w:highlight w:val="green"/>
                <w:lang w:eastAsia="zh-CN"/>
              </w:rPr>
              <w:t xml:space="preserve">全部</w:t>
            </w:r>
            <w:r>
              <w:rPr>
                <w:rFonts w:hint="eastAsia" w:ascii="宋体" w:hAnsi="宋体" w:eastAsia="宋体" w:cs="宋体"/>
                <w:i w:val="0"/>
                <w:iCs w:val="0"/>
                <w:caps w:val="0"/>
                <w:color w:val="auto"/>
                <w:spacing w:val="0"/>
                <w:sz w:val="24"/>
                <w:szCs w:val="24"/>
                <w:highlight w:val="green"/>
              </w:rPr>
              <w:t xml:space="preserve">成本之和的比例</w:t>
            </w:r>
            <w:r>
              <w:rPr>
                <w:rFonts w:hint="eastAsia" w:ascii="宋体" w:hAnsi="宋体" w:eastAsia="宋体" w:cs="宋体"/>
                <w:i w:val="0"/>
                <w:iCs w:val="0"/>
                <w:caps w:val="0"/>
                <w:color w:val="auto"/>
                <w:spacing w:val="0"/>
                <w:sz w:val="24"/>
                <w:szCs w:val="24"/>
                <w:highlight w:val="green"/>
                <w:lang w:eastAsia="zh-CN"/>
              </w:rPr>
              <w:t xml:space="preserve">为</w:t>
            </w:r>
            <w:r>
              <w:rPr>
                <w:rFonts w:hint="eastAsia" w:ascii="宋体" w:hAnsi="宋体" w:eastAsia="宋体" w:cs="宋体"/>
                <w:color w:val="auto"/>
                <w:sz w:val="24"/>
                <w:szCs w:val="24"/>
                <w:highlight w:val="green"/>
                <w:u w:val="single"/>
                <w:lang w:val="en-US" w:eastAsia="zh-CN" w:bidi="ar-SA"/>
              </w:rPr>
              <w:t xml:space="preserve">XX</w:t>
            </w:r>
            <w:r>
              <w:rPr>
                <w:rFonts w:hint="eastAsia" w:ascii="宋体" w:hAnsi="宋体" w:eastAsia="宋体" w:cs="宋体"/>
                <w:i w:val="0"/>
                <w:iCs w:val="0"/>
                <w:caps w:val="0"/>
                <w:color w:val="auto"/>
                <w:spacing w:val="0"/>
                <w:sz w:val="24"/>
                <w:szCs w:val="24"/>
                <w:highlight w:val="green"/>
                <w:u w:val="none"/>
              </w:rPr>
              <w:t xml:space="preserve">%</w:t>
            </w:r>
            <w:r>
              <w:rPr>
                <w:rFonts w:hint="eastAsia" w:ascii="宋体" w:hAnsi="宋体" w:eastAsia="宋体" w:cs="宋体"/>
                <w:i w:val="0"/>
                <w:iCs w:val="0"/>
                <w:caps w:val="0"/>
                <w:color w:val="auto"/>
                <w:spacing w:val="0"/>
                <w:sz w:val="24"/>
                <w:szCs w:val="24"/>
                <w:highlight w:val="green"/>
                <w:lang w:eastAsia="zh-CN"/>
              </w:rPr>
              <w:t xml:space="preserve">。</w:t>
            </w:r>
            <w:bookmarkEnd w:id="223"/>
            <w:r/>
            <w:r/>
          </w:p>
        </w:tc>
      </w:tr>
    </w:tbl>
    <w:p>
      <w:pPr>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889"/>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88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8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highlight w:val="green"/>
          <w:lang w:val="en-US" w:eastAsia="zh-CN"/>
        </w:rPr>
        <w:t xml:space="preserve">投标总报价”数额为各“分项总价”之和。</w:t>
      </w:r>
      <w:r/>
    </w:p>
    <w:p>
      <w:pPr>
        <w:pStyle w:val="889"/>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keepLines w:val="0"/>
        <w:keepNext w:val="0"/>
        <w:pageBreakBefore w:val="0"/>
        <w:spacing w:line="400" w:lineRule="exact"/>
        <w:widowControl w:val="off"/>
        <w:rPr>
          <w:rFonts w:hint="eastAsia" w:ascii="宋体" w:hAnsi="宋体" w:eastAsia="宋体" w:cs="宋体"/>
          <w:color w:val="ff0000"/>
          <w:sz w:val="24"/>
          <w:szCs w:val="24"/>
          <w:highlight w:val="green"/>
          <w:lang w:val="en-US" w:eastAsia="zh-CN" w:bidi="ar"/>
        </w:rPr>
      </w:pPr>
      <w:r>
        <w:rPr>
          <w:rFonts w:hint="eastAsia" w:ascii="宋体" w:hAnsi="宋体" w:eastAsia="宋体" w:cs="宋体"/>
          <w:color w:val="ff0000"/>
          <w:sz w:val="24"/>
          <w:szCs w:val="24"/>
          <w:highlight w:val="green"/>
          <w:lang w:val="en-US" w:eastAsia="zh-CN" w:bidi="ar"/>
        </w:rPr>
        <w:t xml:space="preserve">3.分项服务不需填写品牌、规格型号、制造商、产地。</w:t>
      </w:r>
      <w:r/>
    </w:p>
    <w:p>
      <w:pPr>
        <w:keepLines w:val="0"/>
        <w:keepNext w:val="0"/>
        <w:pageBreakBefore w:val="0"/>
        <w:spacing w:line="4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highlight w:val="green"/>
          <w:lang w:val="en-US" w:eastAsia="zh-CN" w:bidi="ar"/>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8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 项目经办人可以根据项目实际需要对表格结构进行调整。</w:t>
      </w:r>
      <w:r/>
    </w:p>
    <w:p>
      <w:pPr>
        <w:pStyle w:val="1076"/>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shd w:val="clear" w:color="auto" w:fill="ffff00"/>
        </w:rPr>
      </w:r>
      <w:r/>
    </w:p>
    <w:p>
      <w:pPr>
        <w:pStyle w:val="1048"/>
      </w:p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891"/>
        <w:ind w:left="0" w:firstLine="0"/>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891"/>
        <w:rPr>
          <w:rFonts w:hint="eastAsia" w:ascii="宋体" w:hAnsi="宋体"/>
          <w:b/>
          <w:sz w:val="24"/>
          <w:szCs w:val="21"/>
        </w:rPr>
      </w:pPr>
      <w:r>
        <w:rPr>
          <w:rFonts w:hint="eastAsia" w:ascii="宋体" w:hAnsi="宋体"/>
          <w:b/>
          <w:sz w:val="24"/>
          <w:szCs w:val="21"/>
        </w:rPr>
      </w:r>
      <w:r/>
    </w:p>
    <w:p>
      <w:pPr>
        <w:pStyle w:val="891"/>
        <w:rPr>
          <w:rFonts w:hint="eastAsia" w:ascii="宋体" w:hAnsi="宋体"/>
          <w:b/>
          <w:sz w:val="24"/>
          <w:szCs w:val="21"/>
        </w:rPr>
      </w:pPr>
      <w:r>
        <w:rPr>
          <w:rFonts w:hint="eastAsia" w:ascii="宋体" w:hAnsi="宋体"/>
          <w:b/>
          <w:sz w:val="24"/>
          <w:szCs w:val="21"/>
        </w:rPr>
      </w:r>
      <w:r/>
    </w:p>
    <w:p>
      <w:pPr>
        <w:pStyle w:val="891"/>
        <w:rPr>
          <w:rFonts w:hint="eastAsia" w:ascii="宋体" w:hAnsi="宋体"/>
          <w:b/>
          <w:sz w:val="24"/>
          <w:szCs w:val="21"/>
        </w:rPr>
      </w:pPr>
      <w:r>
        <w:rPr>
          <w:rFonts w:hint="eastAsia" w:ascii="宋体" w:hAnsi="宋体"/>
          <w:b/>
          <w:sz w:val="24"/>
          <w:szCs w:val="21"/>
        </w:rPr>
      </w:r>
      <w:r/>
    </w:p>
    <w:p>
      <w:pPr>
        <w:pStyle w:val="891"/>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扬州市公共资源交易中心仪征分中心：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91"/>
        <w:rPr>
          <w:rFonts w:ascii="宋体" w:hAnsi="宋体"/>
          <w:b/>
          <w:color w:val="000000"/>
          <w:sz w:val="24"/>
          <w:szCs w:val="21"/>
        </w:rPr>
      </w:pPr>
      <w:r>
        <w:rPr>
          <w:rFonts w:ascii="宋体" w:hAnsi="宋体"/>
          <w:b/>
          <w:color w:val="000000"/>
          <w:sz w:val="24"/>
          <w:szCs w:val="21"/>
        </w:rPr>
      </w:r>
      <w:r/>
    </w:p>
    <w:p>
      <w:pPr>
        <w:pStyle w:val="891"/>
        <w:rPr>
          <w:rFonts w:ascii="宋体" w:hAnsi="宋体"/>
          <w:b/>
          <w:color w:val="000000"/>
          <w:sz w:val="24"/>
          <w:szCs w:val="21"/>
        </w:rPr>
      </w:pPr>
      <w:r>
        <w:rPr>
          <w:rFonts w:ascii="宋体" w:hAnsi="宋体"/>
          <w:b/>
          <w:color w:val="000000"/>
          <w:sz w:val="24"/>
          <w:szCs w:val="21"/>
        </w:rPr>
      </w:r>
      <w:r/>
    </w:p>
    <w:p>
      <w:pPr>
        <w:pStyle w:val="891"/>
        <w:rPr>
          <w:rFonts w:ascii="宋体" w:hAnsi="宋体"/>
          <w:b/>
          <w:color w:val="000000"/>
          <w:sz w:val="24"/>
          <w:szCs w:val="21"/>
        </w:rPr>
      </w:pPr>
      <w:r>
        <w:rPr>
          <w:rFonts w:ascii="宋体" w:hAnsi="宋体"/>
          <w:b/>
          <w:color w:val="000000"/>
          <w:sz w:val="24"/>
          <w:szCs w:val="21"/>
        </w:rPr>
      </w:r>
      <w:r/>
    </w:p>
    <w:p>
      <w:pPr>
        <w:pStyle w:val="891"/>
        <w:rPr>
          <w:rFonts w:ascii="宋体" w:hAnsi="宋体"/>
          <w:b/>
          <w:color w:val="000000"/>
          <w:sz w:val="24"/>
          <w:szCs w:val="21"/>
        </w:rPr>
      </w:pPr>
      <w:r>
        <w:rPr>
          <w:rFonts w:ascii="宋体" w:hAnsi="宋体"/>
          <w:b/>
          <w:color w:val="000000"/>
          <w:sz w:val="24"/>
          <w:szCs w:val="21"/>
        </w:rPr>
      </w:r>
      <w:r/>
    </w:p>
    <w:p>
      <w:pPr>
        <w:pStyle w:val="891"/>
        <w:rPr>
          <w:rFonts w:ascii="宋体" w:hAnsi="宋体"/>
          <w:b/>
          <w:color w:val="000000"/>
          <w:sz w:val="24"/>
          <w:szCs w:val="21"/>
        </w:rPr>
      </w:pPr>
      <w:r>
        <w:rPr>
          <w:rFonts w:ascii="宋体" w:hAnsi="宋体"/>
          <w:b/>
          <w:color w:val="000000"/>
          <w:sz w:val="24"/>
          <w:szCs w:val="21"/>
        </w:rPr>
      </w:r>
      <w:r/>
    </w:p>
    <w:p>
      <w:pPr>
        <w:pStyle w:val="891"/>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891"/>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86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91"/>
        <w:rPr>
          <w:rFonts w:ascii="宋体" w:hAnsi="宋体"/>
          <w:b/>
          <w:color w:val="000000"/>
          <w:sz w:val="24"/>
          <w:szCs w:val="21"/>
        </w:rPr>
      </w:pPr>
      <w:r>
        <w:rPr>
          <w:rFonts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rPr>
          <w:rFonts w:hint="eastAsia" w:ascii="宋体" w:hAnsi="宋体"/>
          <w:b/>
          <w:color w:val="000000"/>
          <w:sz w:val="24"/>
          <w:szCs w:val="21"/>
        </w:rPr>
      </w:pPr>
      <w:r>
        <w:rPr>
          <w:rFonts w:hint="eastAsia" w:ascii="宋体" w:hAnsi="宋体"/>
          <w:b/>
          <w:color w:val="000000"/>
          <w:sz w:val="24"/>
          <w:szCs w:val="21"/>
        </w:rPr>
      </w:r>
      <w:r/>
    </w:p>
    <w:p>
      <w:pPr>
        <w:pStyle w:val="891"/>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1"/>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889"/>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88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s="宋体"/>
          <w:color w:val="000000"/>
          <w:sz w:val="24"/>
          <w:szCs w:val="24"/>
          <w:lang w:val="en-US" w:eastAsia="zh-CN"/>
        </w:rPr>
        <w:t xml:space="preserve">仪征分中心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88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（江苏扬州化学工业园区原贵飞化工地块污染土壤修复项目）</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其他未列明</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8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8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8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8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89"/>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9"/>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889"/>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889"/>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9"/>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89"/>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89"/>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89"/>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889"/>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hint="eastAsia" w:ascii="宋体" w:hAnsi="宋体" w:eastAsia="等线" w:cs="仿宋"/>
          <w:b/>
          <w:color w:val="666666"/>
        </w:rPr>
      </w:pPr>
      <w:r>
        <w:rPr>
          <w:rFonts w:hint="eastAsia" w:ascii="宋体" w:hAnsi="宋体" w:eastAsia="等线" w:cs="仿宋"/>
          <w:b/>
          <w:color w:val="666666"/>
        </w:rPr>
      </w:r>
      <w:r/>
    </w:p>
    <w:p>
      <w:pPr>
        <w:jc w:val="left"/>
        <w:spacing w:before="300" w:after="452" w:line="360" w:lineRule="auto"/>
        <w:widowControl/>
        <w:rPr>
          <w:rFonts w:hint="default" w:ascii="宋体" w:hAnsi="宋体" w:eastAsia="宋体"/>
          <w:b/>
        </w:rPr>
      </w:pPr>
      <w:r>
        <w:rPr>
          <w:rFonts w:hint="eastAsia" w:ascii="宋体" w:hAnsi="宋体" w:eastAsia="等线" w:cs="仿宋"/>
          <w:b/>
        </w:rPr>
        <w:t xml:space="preserve">中小微企业划型标准如下：</w:t>
      </w:r>
      <w:r/>
    </w:p>
    <w:tbl>
      <w:tblPr>
        <w:tblStyle w:val="868"/>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firstLine="420"/>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hint="default" w:ascii="宋体" w:hAnsi="宋体" w:eastAsia="宋体"/>
                <w:color w:val="666666"/>
              </w:rPr>
            </w:pPr>
            <w:r>
              <w:rPr>
                <w:rFonts w:hint="default" w:ascii="宋体" w:hAnsi="宋体" w:eastAsia="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jc w:val="left"/>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jc w:val="center"/>
              <w:spacing w:beforeAutospacing="1" w:after="150" w:afterAutospacing="1" w:line="360" w:lineRule="auto"/>
              <w:widowControl w:val="off"/>
              <w:rPr>
                <w:rFonts w:ascii="Times New Roman" w:hAnsi="Times New Roman" w:eastAsia="宋体" w:cs="Times New Roman"/>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jc w:val="center"/>
              <w:spacing w:beforeAutospacing="1" w:after="150" w:afterAutospacing="1" w:line="360" w:lineRule="auto"/>
              <w:widowControl w:val="off"/>
              <w:rPr>
                <w:rFonts w:ascii="Times New Roman" w:hAnsi="Times New Roman" w:eastAsia="宋体" w:cs="仿宋"/>
                <w:color w:val="666666"/>
                <w:sz w:val="21"/>
                <w:szCs w:val="21"/>
                <w:lang w:val="en-US" w:eastAsia="zh-CN" w:bidi="ar-SA"/>
              </w:rPr>
            </w:pPr>
            <w:r>
              <w:rPr>
                <w:rFonts w:hint="eastAsia" w:ascii="Times New Roman" w:hAnsi="Times New Roman" w:eastAsia="宋体" w:cs="仿宋"/>
                <w:b/>
                <w:bCs/>
                <w:color w:val="666666"/>
                <w:sz w:val="21"/>
                <w:szCs w:val="21"/>
                <w:lang w:val="en-US" w:eastAsia="zh-CN" w:bidi="ar-SA"/>
              </w:rPr>
              <w:t xml:space="preserve">X＜10</w:t>
            </w:r>
            <w:r/>
          </w:p>
        </w:tc>
      </w:tr>
    </w:tbl>
    <w:p>
      <w:pPr>
        <w:ind w:firstLine="810"/>
        <w:jc w:val="left"/>
        <w:spacing w:before="300" w:after="452" w:line="360" w:lineRule="auto"/>
        <w:widowControl/>
        <w:rPr>
          <w:rFonts w:ascii="宋体" w:hAnsi="宋体"/>
          <w:b/>
          <w:color w:val="000000"/>
          <w:sz w:val="24"/>
          <w:szCs w:val="21"/>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jc w:val="center"/>
        <w:keepLines w:val="0"/>
        <w:keepNext w:val="0"/>
        <w:pageBreakBefore w:val="0"/>
        <w:spacing w:line="360" w:lineRule="auto"/>
        <w:rPr>
          <w:rFonts w:hint="eastAsia" w:ascii="宋体" w:hAnsi="宋体" w:eastAsia="宋体" w:cs="宋体"/>
          <w:color w:val="auto"/>
          <w:sz w:val="24"/>
          <w:szCs w:val="24"/>
          <w:highlight w:val="green"/>
        </w:rPr>
      </w:pPr>
      <w:r>
        <w:rPr>
          <w:rFonts w:hint="eastAsia" w:ascii="宋体" w:hAnsi="宋体" w:eastAsia="宋体" w:cs="宋体"/>
          <w:b/>
          <w:color w:val="auto"/>
          <w:sz w:val="24"/>
          <w:szCs w:val="24"/>
          <w:highlight w:val="green"/>
        </w:rPr>
        <w:t xml:space="preserve">附件13  关于符合本国产品标准的声明函（采购包号：**）</w:t>
      </w:r>
      <w:r/>
    </w:p>
    <w:p>
      <w:pPr>
        <w:pStyle w:val="889"/>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9"/>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9"/>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shd w:val="clear" w:color="auto" w:fill="ffffff"/>
        </w:rPr>
        <w:t xml:space="preserve">1.</w:t>
      </w:r>
      <w:r>
        <w:rPr>
          <w:rStyle w:val="895"/>
          <w:rFonts w:hint="eastAsia" w:ascii="宋体" w:hAnsi="宋体" w:eastAsia="宋体" w:cs="宋体"/>
          <w:i w:val="0"/>
          <w:iCs w:val="0"/>
          <w:caps w:val="0"/>
          <w:color w:val="auto"/>
          <w:spacing w:val="0"/>
          <w:sz w:val="24"/>
          <w:szCs w:val="24"/>
          <w:highlight w:val="green"/>
          <w:u w:val="single"/>
          <w:shd w:val="clear" w:color="auto" w:fill="ffffff"/>
        </w:rPr>
        <w:t xml:space="preserve">（产品名称1）</w:t>
      </w:r>
      <w:r>
        <w:rPr>
          <w:rStyle w:val="895"/>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green"/>
          <w:shd w:val="clear" w:color="auto" w:fill="ffffff"/>
        </w:rPr>
        <w:t xml:space="preserve">，生产厂为</w:t>
      </w:r>
      <w:r>
        <w:rPr>
          <w:rStyle w:val="895"/>
          <w:rFonts w:hint="eastAsia" w:ascii="宋体" w:hAnsi="宋体" w:eastAsia="宋体" w:cs="宋体"/>
          <w:i w:val="0"/>
          <w:iCs w:val="0"/>
          <w:caps w:val="0"/>
          <w:color w:val="auto"/>
          <w:spacing w:val="0"/>
          <w:sz w:val="24"/>
          <w:szCs w:val="24"/>
          <w:highlight w:val="green"/>
          <w:u w:val="single"/>
          <w:shd w:val="clear" w:color="auto" w:fill="ffffff"/>
        </w:rPr>
        <w:t xml:space="preserve">（厂名）</w:t>
      </w:r>
      <w:r>
        <w:rPr>
          <w:rStyle w:val="895"/>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green"/>
          <w:shd w:val="clear" w:color="auto" w:fill="ffffff"/>
        </w:rPr>
        <w:t xml:space="preserve">，厂址为</w:t>
      </w:r>
      <w:r>
        <w:rPr>
          <w:rStyle w:val="895"/>
          <w:rFonts w:hint="eastAsia" w:ascii="宋体" w:hAnsi="宋体" w:eastAsia="宋体" w:cs="宋体"/>
          <w:i w:val="0"/>
          <w:iCs w:val="0"/>
          <w:caps w:val="0"/>
          <w:color w:val="auto"/>
          <w:spacing w:val="0"/>
          <w:sz w:val="24"/>
          <w:szCs w:val="24"/>
          <w:highlight w:val="green"/>
          <w:u w:val="single"/>
          <w:shd w:val="clear" w:color="auto" w:fill="ffffff"/>
        </w:rPr>
        <w:t xml:space="preserve">（生产厂址）</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green"/>
          <w:shd w:val="clear" w:color="auto" w:fill="ffffff"/>
        </w:rPr>
        <w:t xml:space="preserve">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green"/>
          <w:shd w:val="clear" w:color="auto" w:fill="ffffff"/>
        </w:rPr>
        <w:t xml:space="preserve">在中国境内完成。</w:t>
      </w:r>
      <w:r/>
    </w:p>
    <w:p>
      <w:pPr>
        <w:pStyle w:val="889"/>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green"/>
          <w:shd w:val="clear" w:color="auto" w:fill="ffffff"/>
        </w:rPr>
        <w:t xml:space="preserve">.</w:t>
      </w:r>
      <w:r>
        <w:rPr>
          <w:rStyle w:val="895"/>
          <w:rFonts w:hint="eastAsia" w:ascii="宋体" w:hAnsi="宋体" w:eastAsia="宋体" w:cs="宋体"/>
          <w:i w:val="0"/>
          <w:iCs w:val="0"/>
          <w:caps w:val="0"/>
          <w:color w:val="auto"/>
          <w:spacing w:val="0"/>
          <w:sz w:val="24"/>
          <w:szCs w:val="24"/>
          <w:highlight w:val="green"/>
          <w:u w:val="single"/>
          <w:shd w:val="clear" w:color="auto" w:fill="ffffff"/>
        </w:rPr>
        <w:t xml:space="preserve">（产品名称</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2</w:t>
      </w:r>
      <w:r>
        <w:rPr>
          <w:rStyle w:val="895"/>
          <w:rFonts w:hint="eastAsia" w:ascii="宋体" w:hAnsi="宋体" w:eastAsia="宋体" w:cs="宋体"/>
          <w:i w:val="0"/>
          <w:iCs w:val="0"/>
          <w:caps w:val="0"/>
          <w:color w:val="auto"/>
          <w:spacing w:val="0"/>
          <w:sz w:val="24"/>
          <w:szCs w:val="24"/>
          <w:highlight w:val="green"/>
          <w:u w:val="single"/>
          <w:shd w:val="clear" w:color="auto" w:fill="ffffff"/>
        </w:rPr>
        <w:t xml:space="preserve">）</w:t>
      </w:r>
      <w:r>
        <w:rPr>
          <w:rFonts w:hint="eastAsia" w:ascii="宋体" w:hAnsi="宋体" w:eastAsia="宋体" w:cs="宋体"/>
          <w:i w:val="0"/>
          <w:iCs w:val="0"/>
          <w:caps w:val="0"/>
          <w:color w:val="auto"/>
          <w:spacing w:val="0"/>
          <w:sz w:val="24"/>
          <w:szCs w:val="24"/>
          <w:highlight w:val="green"/>
          <w:shd w:val="clear" w:color="auto" w:fill="ffffff"/>
        </w:rPr>
        <w:t xml:space="preserve">，生产厂为</w:t>
      </w:r>
      <w:r>
        <w:rPr>
          <w:rStyle w:val="895"/>
          <w:rFonts w:hint="eastAsia" w:ascii="宋体" w:hAnsi="宋体" w:eastAsia="宋体" w:cs="宋体"/>
          <w:i w:val="0"/>
          <w:iCs w:val="0"/>
          <w:caps w:val="0"/>
          <w:color w:val="auto"/>
          <w:spacing w:val="0"/>
          <w:sz w:val="24"/>
          <w:szCs w:val="24"/>
          <w:highlight w:val="green"/>
          <w:u w:val="single"/>
          <w:shd w:val="clear" w:color="auto" w:fill="ffffff"/>
        </w:rPr>
        <w:t xml:space="preserve">（厂名）</w:t>
      </w:r>
      <w:r>
        <w:rPr>
          <w:rFonts w:hint="eastAsia" w:ascii="宋体" w:hAnsi="宋体" w:eastAsia="宋体" w:cs="宋体"/>
          <w:i w:val="0"/>
          <w:iCs w:val="0"/>
          <w:caps w:val="0"/>
          <w:color w:val="auto"/>
          <w:spacing w:val="0"/>
          <w:sz w:val="24"/>
          <w:szCs w:val="24"/>
          <w:highlight w:val="green"/>
          <w:shd w:val="clear" w:color="auto" w:fill="ffffff"/>
        </w:rPr>
        <w:t xml:space="preserve">，厂址为</w:t>
      </w:r>
      <w:r>
        <w:rPr>
          <w:rStyle w:val="895"/>
          <w:rFonts w:hint="eastAsia" w:ascii="宋体" w:hAnsi="宋体" w:eastAsia="宋体" w:cs="宋体"/>
          <w:i w:val="0"/>
          <w:iCs w:val="0"/>
          <w:caps w:val="0"/>
          <w:color w:val="auto"/>
          <w:spacing w:val="0"/>
          <w:sz w:val="24"/>
          <w:szCs w:val="24"/>
          <w:highlight w:val="green"/>
          <w:u w:val="single"/>
          <w:shd w:val="clear" w:color="auto" w:fill="ffffff"/>
        </w:rPr>
        <w:t xml:space="preserve">（生产厂址）</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895"/>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在中国境内完成。</w:t>
      </w:r>
      <w:r/>
    </w:p>
    <w:p>
      <w:pPr>
        <w:pStyle w:val="889"/>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w:t>
      </w:r>
      <w:r/>
    </w:p>
    <w:p>
      <w:pPr>
        <w:pStyle w:val="889"/>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本公司（单位）对上述声明内容的真实性负责。如有虚假，愿承担相应法律责任。</w:t>
      </w:r>
      <w:r/>
    </w:p>
    <w:p>
      <w:pPr>
        <w:pStyle w:val="88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r>
      <w:r/>
    </w:p>
    <w:p>
      <w:pPr>
        <w:pStyle w:val="889"/>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公司（单位）名称（盖章）：　     </w:t>
      </w:r>
      <w:r/>
    </w:p>
    <w:p>
      <w:pPr>
        <w:pStyle w:val="889"/>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                            日期：　   年　  月　  日         </w:t>
      </w:r>
      <w:r/>
    </w:p>
    <w:p>
      <w:pPr>
        <w:pStyle w:val="88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1.产品如有型号，请在“产品名称”栏一并填写。</w:t>
      </w:r>
      <w:r/>
    </w:p>
    <w:p>
      <w:pPr>
        <w:pStyle w:val="88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2.生产厂名与厂址应与生产厂营业执照载明的相关信息保持一致。</w:t>
      </w:r>
      <w:r/>
    </w:p>
    <w:p>
      <w:pPr>
        <w:pStyle w:val="88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3.该产品的中国境内生产的组件成本占比相关要求实施前，“规定比例”栏可不填，下同。</w:t>
      </w:r>
      <w:r/>
    </w:p>
    <w:p>
      <w:pPr>
        <w:pStyle w:val="88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4.该产品的关键组件要求实施前，“关键组件”栏可不填，下同。</w:t>
      </w:r>
      <w:r/>
    </w:p>
    <w:p>
      <w:pPr>
        <w:pStyle w:val="88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5.该产品的关键工序要求实施前，“关键工序”栏可不填，下同。</w:t>
      </w:r>
      <w:r/>
    </w:p>
    <w:p>
      <w:pPr>
        <w:pStyle w:val="889"/>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6.《声明函》中标注“  /  ”的地方无需填写。</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highlight w:val="none"/>
          <w:lang w:val="en-US" w:eastAsia="zh-CN"/>
        </w:rPr>
        <w:t xml:space="preserve">14</w:t>
      </w:r>
      <w:r>
        <w:rPr>
          <w:rFonts w:ascii="宋体" w:hAnsi="宋体"/>
          <w:b/>
          <w:color w:val="000000"/>
          <w:sz w:val="24"/>
          <w:szCs w:val="21"/>
          <w:highlight w:val="none"/>
        </w:rPr>
        <w:t xml:space="preserve"> </w:t>
      </w:r>
      <w:r>
        <w:rPr>
          <w:rFonts w:hint="eastAsia" w:ascii="宋体" w:hAnsi="宋体"/>
          <w:b/>
          <w:color w:val="000000"/>
          <w:sz w:val="24"/>
          <w:szCs w:val="21"/>
          <w:highlight w:val="none"/>
          <w:lang w:val="en-US" w:eastAsia="zh-CN"/>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扬州市公共资源交易中心仪征分中心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5</w:t>
      </w:r>
      <w:r>
        <w:rPr>
          <w:rFonts w:ascii="宋体" w:hAnsi="宋体"/>
          <w:b/>
          <w:sz w:val="24"/>
          <w:szCs w:val="24"/>
          <w:highlight w:val="none"/>
        </w:rPr>
        <w:t xml:space="preserve"> </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0"/>
      <w:r/>
      <w:bookmarkEnd w:id="191"/>
      <w:r/>
      <w:bookmarkEnd w:id="192"/>
      <w:r/>
      <w:bookmarkEnd w:id="220"/>
      <w:r/>
      <w:bookmarkEnd w:id="221"/>
      <w:r/>
      <w:bookmarkEnd w:id="222"/>
      <w:r/>
      <w:r/>
    </w:p>
    <w:p>
      <w:pPr>
        <w:pStyle w:val="1048"/>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Style w:val="1118"/>
      </w:rPr>
      <w:framePr w:wrap="around" w:vAnchor="text" w:hAnchor="margin" w:xAlign="center" w:y="1"/>
    </w:pPr>
    <w:r>
      <w:fldChar w:fldCharType="begin"/>
    </w:r>
    <w:r>
      <w:rPr>
        <w:rStyle w:val="1118"/>
      </w:rPr>
      <w:instrText xml:space="preserve">PAGE  </w:instrText>
    </w:r>
    <w:r>
      <w:fldChar w:fldCharType="separate"/>
    </w:r>
    <w:r>
      <w:rPr>
        <w:rStyle w:val="1118"/>
      </w:rPr>
      <w:t xml:space="preserve">1</w:t>
    </w:r>
    <w:r>
      <w:fldChar w:fldCharType="end"/>
    </w:r>
    <w:r/>
  </w:p>
  <w:p>
    <w:pPr>
      <w:pStyle w:val="10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2880025</wp:posOffset>
              </wp:positionH>
              <wp:positionV relativeFrom="paragraph">
                <wp:posOffset>21525</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a:noFill/>
                      </a:ln>
                    </wps:spPr>
                    <wps:txbx>
                      <w:txbxContent>
                        <w:p>
                          <w:pPr>
                            <w:pStyle w:val="87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226.8pt;mso-position-horizontal:absolute;mso-position-vertical-relative:text;margin-top:1.7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tabs>
                              <w:tab w:val="center" w:pos="4153" w:leader="none"/>
                              <w:tab w:val="clear" w:pos="7143" w:leader="none"/>
                              <w:tab w:val="right" w:pos="8306" w:leader="none"/>
                              <w:tab w:val="clear" w:pos="14287" w:leader="none"/>
                            </w:tabs>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tabs>
                        <w:tab w:val="center" w:pos="4153" w:leader="none"/>
                        <w:tab w:val="clear" w:pos="7143" w:leader="none"/>
                        <w:tab w:val="right" w:pos="8306" w:leader="none"/>
                        <w:tab w:val="clear" w:pos="14287" w:leader="none"/>
                      </w:tabs>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lear" w:pos="4153" w:leader="none"/>
        <w:tab w:val="center" w:pos="4309"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2913380</wp:posOffset>
              </wp:positionH>
              <wp:positionV relativeFrom="paragraph">
                <wp:posOffset>21525</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argin-left:229.4pt;mso-position-horizontal:absolute;mso-position-vertical-relative:text;margin-top:1.7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2"/>
      <w:isLgl w:val="false"/>
      <w:suff w:val="nothing"/>
      <w:lvlText w:val=""/>
      <w:lvlJc w:val="left"/>
      <w:pPr>
        <w:ind w:left="0" w:firstLine="0"/>
      </w:pPr>
      <w:rPr>
        <w:rFonts w:hint="eastAsia"/>
      </w:rPr>
    </w:lvl>
    <w:lvl w:ilvl="6">
      <w:start w:val="1"/>
      <w:numFmt w:val="decimal"/>
      <w:pStyle w:val="1053"/>
      <w:isLgl w:val="false"/>
      <w:suff w:val="nothing"/>
      <w:lvlText w:val=""/>
      <w:lvlJc w:val="left"/>
      <w:pPr>
        <w:ind w:left="0" w:firstLine="0"/>
      </w:pPr>
      <w:rPr>
        <w:rFonts w:hint="eastAsia"/>
      </w:rPr>
    </w:lvl>
    <w:lvl w:ilvl="7">
      <w:start w:val="1"/>
      <w:numFmt w:val="decimal"/>
      <w:pStyle w:val="1054"/>
      <w:isLgl w:val="false"/>
      <w:suff w:val="nothing"/>
      <w:lvlText w:val=""/>
      <w:lvlJc w:val="left"/>
      <w:pPr>
        <w:ind w:left="0" w:firstLine="0"/>
      </w:pPr>
      <w:rPr>
        <w:rFonts w:hint="eastAsia"/>
      </w:rPr>
    </w:lvl>
    <w:lvl w:ilvl="8">
      <w:start w:val="1"/>
      <w:numFmt w:val="decimal"/>
      <w:pStyle w:val="1055"/>
      <w:isLgl w:val="false"/>
      <w:suff w:val="nothing"/>
      <w:lvlText w:val=""/>
      <w:lvlJc w:val="left"/>
      <w:pPr>
        <w:ind w:left="0" w:firstLine="0"/>
      </w:pPr>
      <w:rPr>
        <w:rFonts w:hint="eastAsia"/>
      </w:rPr>
    </w:lvl>
  </w:abstractNum>
  <w:abstractNum w:abstractNumId="5">
    <w:multiLevelType w:val="hybridMultilevel"/>
    <w:lvl w:ilvl="0">
      <w:start w:val="1"/>
      <w:numFmt w:val="decimal"/>
      <w:pStyle w:val="11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next w:val="869"/>
    <w:link w:val="116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58">
    <w:name w:val="Heading 1"/>
    <w:basedOn w:val="857"/>
    <w:next w:val="857"/>
    <w:link w:val="898"/>
    <w:uiPriority w:val="9"/>
    <w:qFormat/>
    <w:pPr>
      <w:keepLines/>
      <w:keepNext/>
      <w:spacing w:before="480" w:after="200"/>
      <w:outlineLvl w:val="0"/>
    </w:pPr>
    <w:rPr>
      <w:rFonts w:ascii="Arial" w:hAnsi="Arial" w:eastAsia="Arial" w:cs="Arial"/>
      <w:sz w:val="40"/>
      <w:szCs w:val="40"/>
    </w:rPr>
  </w:style>
  <w:style w:type="paragraph" w:styleId="859">
    <w:name w:val="Heading 2"/>
    <w:basedOn w:val="857"/>
    <w:next w:val="857"/>
    <w:link w:val="899"/>
    <w:uiPriority w:val="9"/>
    <w:unhideWhenUsed/>
    <w:qFormat/>
    <w:pPr>
      <w:keepLines/>
      <w:keepNext/>
      <w:spacing w:before="360" w:after="200"/>
      <w:outlineLvl w:val="1"/>
    </w:pPr>
    <w:rPr>
      <w:rFonts w:ascii="Arial" w:hAnsi="Arial" w:eastAsia="Arial" w:cs="Arial"/>
      <w:sz w:val="34"/>
    </w:rPr>
  </w:style>
  <w:style w:type="paragraph" w:styleId="860">
    <w:name w:val="Heading 3"/>
    <w:basedOn w:val="857"/>
    <w:next w:val="857"/>
    <w:link w:val="900"/>
    <w:uiPriority w:val="9"/>
    <w:unhideWhenUsed/>
    <w:qFormat/>
    <w:pPr>
      <w:keepLines/>
      <w:keepNext/>
      <w:spacing w:before="320" w:after="200"/>
      <w:outlineLvl w:val="2"/>
    </w:pPr>
    <w:rPr>
      <w:rFonts w:ascii="Arial" w:hAnsi="Arial" w:eastAsia="Arial" w:cs="Arial"/>
      <w:sz w:val="30"/>
      <w:szCs w:val="30"/>
    </w:rPr>
  </w:style>
  <w:style w:type="paragraph" w:styleId="861">
    <w:name w:val="Heading 4"/>
    <w:basedOn w:val="857"/>
    <w:next w:val="857"/>
    <w:link w:val="901"/>
    <w:uiPriority w:val="9"/>
    <w:unhideWhenUsed/>
    <w:qFormat/>
    <w:pPr>
      <w:keepLines/>
      <w:keepNext/>
      <w:spacing w:before="320" w:after="200"/>
      <w:outlineLvl w:val="3"/>
    </w:pPr>
    <w:rPr>
      <w:rFonts w:ascii="Arial" w:hAnsi="Arial" w:eastAsia="Arial" w:cs="Arial"/>
      <w:b/>
      <w:bCs/>
      <w:sz w:val="26"/>
      <w:szCs w:val="26"/>
    </w:rPr>
  </w:style>
  <w:style w:type="paragraph" w:styleId="862">
    <w:name w:val="Heading 5"/>
    <w:basedOn w:val="857"/>
    <w:next w:val="857"/>
    <w:link w:val="902"/>
    <w:uiPriority w:val="9"/>
    <w:unhideWhenUsed/>
    <w:qFormat/>
    <w:pPr>
      <w:keepLines/>
      <w:keepNext/>
      <w:spacing w:before="320" w:after="200"/>
      <w:outlineLvl w:val="4"/>
    </w:pPr>
    <w:rPr>
      <w:rFonts w:ascii="Arial" w:hAnsi="Arial" w:eastAsia="Arial" w:cs="Arial"/>
      <w:b/>
      <w:bCs/>
      <w:sz w:val="24"/>
      <w:szCs w:val="24"/>
    </w:rPr>
  </w:style>
  <w:style w:type="paragraph" w:styleId="863">
    <w:name w:val="Heading 6"/>
    <w:basedOn w:val="857"/>
    <w:next w:val="857"/>
    <w:link w:val="903"/>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905"/>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906"/>
    <w:uiPriority w:val="9"/>
    <w:unhideWhenUsed/>
    <w:qFormat/>
    <w:pPr>
      <w:keepLines/>
      <w:keepNext/>
      <w:spacing w:before="320" w:after="200"/>
      <w:outlineLvl w:val="8"/>
    </w:pPr>
    <w:rPr>
      <w:rFonts w:ascii="Arial" w:hAnsi="Arial" w:eastAsia="Arial" w:cs="Arial"/>
      <w:i/>
      <w:iCs/>
      <w:sz w:val="21"/>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customStyle="1">
    <w:name w:val="Default"/>
    <w:next w:val="857"/>
    <w:uiPriority w:val="0"/>
    <w:qFormat/>
    <w:pPr>
      <w:widowControl w:val="off"/>
    </w:pPr>
    <w:rPr>
      <w:rFonts w:ascii="宋体" w:hAnsi="Times New Roman" w:eastAsia="宋体" w:cs="宋体"/>
      <w:color w:val="000000"/>
      <w:sz w:val="24"/>
      <w:szCs w:val="24"/>
      <w:lang w:val="en-US" w:eastAsia="zh-CN" w:bidi="ar-SA"/>
    </w:rPr>
  </w:style>
  <w:style w:type="paragraph" w:styleId="870">
    <w:name w:val="toc 7"/>
    <w:basedOn w:val="857"/>
    <w:next w:val="857"/>
    <w:uiPriority w:val="39"/>
    <w:unhideWhenUsed/>
    <w:qFormat/>
    <w:pPr>
      <w:ind w:left="1701" w:right="0" w:firstLine="0"/>
      <w:spacing w:after="57"/>
    </w:pPr>
  </w:style>
  <w:style w:type="paragraph" w:styleId="871">
    <w:name w:val="Caption"/>
    <w:basedOn w:val="857"/>
    <w:next w:val="857"/>
    <w:uiPriority w:val="35"/>
    <w:semiHidden/>
    <w:unhideWhenUsed/>
    <w:qFormat/>
    <w:pPr>
      <w:spacing w:line="276" w:lineRule="auto"/>
    </w:pPr>
    <w:rPr>
      <w:b/>
      <w:bCs/>
      <w:color w:val="4f81bd" w:themeColor="accent1"/>
      <w:sz w:val="18"/>
      <w:szCs w:val="18"/>
    </w:rPr>
  </w:style>
  <w:style w:type="paragraph" w:styleId="872">
    <w:name w:val="annotation text"/>
    <w:basedOn w:val="857"/>
    <w:uiPriority w:val="99"/>
    <w:semiHidden/>
    <w:unhideWhenUsed/>
    <w:qFormat/>
    <w:pPr>
      <w:jc w:val="left"/>
    </w:pPr>
  </w:style>
  <w:style w:type="paragraph" w:styleId="873">
    <w:name w:val="Body Text"/>
    <w:basedOn w:val="857"/>
    <w:uiPriority w:val="0"/>
    <w:qFormat/>
    <w:rPr>
      <w:rFonts w:ascii="楷体_GB2312" w:hAnsi="Arial" w:eastAsia="楷体_GB2312" w:cs="Times New Roman"/>
      <w:sz w:val="28"/>
      <w:szCs w:val="28"/>
    </w:rPr>
  </w:style>
  <w:style w:type="paragraph" w:styleId="874">
    <w:name w:val="toc 5"/>
    <w:basedOn w:val="857"/>
    <w:next w:val="857"/>
    <w:uiPriority w:val="39"/>
    <w:unhideWhenUsed/>
    <w:qFormat/>
    <w:pPr>
      <w:ind w:left="1134" w:right="0" w:firstLine="0"/>
      <w:spacing w:after="57"/>
    </w:pPr>
  </w:style>
  <w:style w:type="paragraph" w:styleId="875">
    <w:name w:val="toc 3"/>
    <w:basedOn w:val="857"/>
    <w:next w:val="857"/>
    <w:uiPriority w:val="39"/>
    <w:unhideWhenUsed/>
    <w:qFormat/>
    <w:pPr>
      <w:ind w:left="567" w:right="0" w:firstLine="0"/>
      <w:spacing w:after="57"/>
    </w:pPr>
  </w:style>
  <w:style w:type="paragraph" w:styleId="876">
    <w:name w:val="Plain Text"/>
    <w:basedOn w:val="857"/>
    <w:uiPriority w:val="0"/>
    <w:qFormat/>
    <w:rPr>
      <w:rFonts w:ascii="宋体" w:hAnsi="Courier New" w:cs="Courier New"/>
    </w:rPr>
  </w:style>
  <w:style w:type="paragraph" w:styleId="877">
    <w:name w:val="toc 8"/>
    <w:basedOn w:val="857"/>
    <w:next w:val="857"/>
    <w:uiPriority w:val="39"/>
    <w:unhideWhenUsed/>
    <w:qFormat/>
    <w:pPr>
      <w:ind w:left="1984" w:right="0" w:firstLine="0"/>
      <w:spacing w:after="57"/>
    </w:pPr>
  </w:style>
  <w:style w:type="paragraph" w:styleId="878">
    <w:name w:val="endnote text"/>
    <w:basedOn w:val="857"/>
    <w:link w:val="1044"/>
    <w:uiPriority w:val="99"/>
    <w:semiHidden/>
    <w:unhideWhenUsed/>
    <w:qFormat/>
    <w:pPr>
      <w:spacing w:after="0" w:line="240" w:lineRule="auto"/>
    </w:pPr>
    <w:rPr>
      <w:sz w:val="20"/>
    </w:rPr>
  </w:style>
  <w:style w:type="paragraph" w:styleId="879">
    <w:name w:val="Footer"/>
    <w:basedOn w:val="857"/>
    <w:link w:val="917"/>
    <w:uiPriority w:val="99"/>
    <w:unhideWhenUsed/>
    <w:qFormat/>
    <w:pPr>
      <w:spacing w:after="0" w:line="240" w:lineRule="auto"/>
      <w:tabs>
        <w:tab w:val="center" w:pos="7143" w:leader="none"/>
        <w:tab w:val="right" w:pos="14287" w:leader="none"/>
      </w:tabs>
    </w:pPr>
  </w:style>
  <w:style w:type="paragraph" w:styleId="880">
    <w:name w:val="Header"/>
    <w:basedOn w:val="857"/>
    <w:link w:val="915"/>
    <w:uiPriority w:val="99"/>
    <w:unhideWhenUsed/>
    <w:qFormat/>
    <w:pPr>
      <w:spacing w:after="0" w:line="240" w:lineRule="auto"/>
      <w:tabs>
        <w:tab w:val="center" w:pos="7143" w:leader="none"/>
        <w:tab w:val="right" w:pos="14287" w:leader="none"/>
      </w:tabs>
    </w:pPr>
  </w:style>
  <w:style w:type="paragraph" w:styleId="881">
    <w:name w:val="toc 1"/>
    <w:basedOn w:val="857"/>
    <w:next w:val="857"/>
    <w:uiPriority w:val="39"/>
    <w:unhideWhenUsed/>
    <w:qFormat/>
    <w:pPr>
      <w:ind w:left="0" w:right="0" w:firstLine="0"/>
      <w:spacing w:after="57"/>
    </w:pPr>
  </w:style>
  <w:style w:type="paragraph" w:styleId="882">
    <w:name w:val="toc 4"/>
    <w:basedOn w:val="857"/>
    <w:next w:val="857"/>
    <w:uiPriority w:val="39"/>
    <w:unhideWhenUsed/>
    <w:qFormat/>
    <w:pPr>
      <w:ind w:left="850" w:right="0" w:firstLine="0"/>
      <w:spacing w:after="57"/>
    </w:pPr>
  </w:style>
  <w:style w:type="paragraph" w:styleId="883">
    <w:name w:val="Subtitle"/>
    <w:basedOn w:val="857"/>
    <w:next w:val="857"/>
    <w:link w:val="910"/>
    <w:uiPriority w:val="11"/>
    <w:qFormat/>
    <w:pPr>
      <w:spacing w:before="200" w:after="200"/>
    </w:pPr>
    <w:rPr>
      <w:sz w:val="24"/>
      <w:szCs w:val="24"/>
    </w:rPr>
  </w:style>
  <w:style w:type="paragraph" w:styleId="884">
    <w:name w:val="footnote text"/>
    <w:basedOn w:val="857"/>
    <w:link w:val="1043"/>
    <w:uiPriority w:val="99"/>
    <w:semiHidden/>
    <w:unhideWhenUsed/>
    <w:qFormat/>
    <w:pPr>
      <w:spacing w:after="40" w:line="240" w:lineRule="auto"/>
    </w:pPr>
    <w:rPr>
      <w:sz w:val="18"/>
    </w:rPr>
  </w:style>
  <w:style w:type="paragraph" w:styleId="885">
    <w:name w:val="toc 6"/>
    <w:basedOn w:val="857"/>
    <w:next w:val="857"/>
    <w:uiPriority w:val="39"/>
    <w:unhideWhenUsed/>
    <w:qFormat/>
    <w:pPr>
      <w:ind w:left="1417" w:right="0" w:firstLine="0"/>
      <w:spacing w:after="57"/>
    </w:pPr>
  </w:style>
  <w:style w:type="paragraph" w:styleId="886">
    <w:name w:val="table of figures"/>
    <w:basedOn w:val="857"/>
    <w:next w:val="857"/>
    <w:uiPriority w:val="99"/>
    <w:unhideWhenUsed/>
    <w:qFormat/>
    <w:pPr>
      <w:spacing w:after="0" w:afterAutospacing="0"/>
    </w:pPr>
  </w:style>
  <w:style w:type="paragraph" w:styleId="887">
    <w:name w:val="toc 2"/>
    <w:basedOn w:val="857"/>
    <w:next w:val="857"/>
    <w:uiPriority w:val="39"/>
    <w:unhideWhenUsed/>
    <w:qFormat/>
    <w:pPr>
      <w:ind w:left="283" w:right="0" w:firstLine="0"/>
      <w:spacing w:after="57"/>
    </w:pPr>
  </w:style>
  <w:style w:type="paragraph" w:styleId="888">
    <w:name w:val="toc 9"/>
    <w:basedOn w:val="857"/>
    <w:next w:val="857"/>
    <w:uiPriority w:val="39"/>
    <w:unhideWhenUsed/>
    <w:qFormat/>
    <w:pPr>
      <w:ind w:left="2268" w:right="0" w:firstLine="0"/>
      <w:spacing w:after="57"/>
    </w:pPr>
  </w:style>
  <w:style w:type="paragraph" w:styleId="889">
    <w:name w:val="Normal (Web)"/>
    <w:basedOn w:val="857"/>
    <w:uiPriority w:val="99"/>
    <w:semiHidden/>
    <w:unhideWhenUsed/>
    <w:qFormat/>
    <w:pPr>
      <w:ind w:left="0" w:right="0"/>
      <w:jc w:val="left"/>
      <w:spacing w:before="0" w:beforeAutospacing="1" w:after="0" w:afterAutospacing="1"/>
    </w:pPr>
    <w:rPr>
      <w:sz w:val="24"/>
      <w:lang w:val="en-US" w:eastAsia="zh-CN" w:bidi="ar"/>
    </w:rPr>
  </w:style>
  <w:style w:type="paragraph" w:styleId="890">
    <w:name w:val="Title"/>
    <w:basedOn w:val="857"/>
    <w:next w:val="857"/>
    <w:link w:val="909"/>
    <w:uiPriority w:val="10"/>
    <w:qFormat/>
    <w:pPr>
      <w:contextualSpacing/>
      <w:spacing w:before="300" w:after="200"/>
    </w:pPr>
    <w:rPr>
      <w:sz w:val="48"/>
      <w:szCs w:val="48"/>
    </w:rPr>
  </w:style>
  <w:style w:type="paragraph" w:styleId="891">
    <w:name w:val="Body Text First Indent"/>
    <w:basedOn w:val="873"/>
    <w:uiPriority w:val="0"/>
    <w:qFormat/>
    <w:pPr>
      <w:ind w:firstLine="200"/>
      <w:spacing w:line="360" w:lineRule="auto"/>
    </w:pPr>
    <w:rPr>
      <w:rFonts w:ascii="仿宋_GB2312" w:hAnsi="Times New Roman" w:eastAsia="仿宋_GB2312" w:cs="Times New Roman"/>
      <w:sz w:val="30"/>
      <w:szCs w:val="30"/>
    </w:rPr>
  </w:style>
  <w:style w:type="table" w:styleId="8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67"/>
    <w:uiPriority w:val="22"/>
    <w:qFormat/>
    <w:rPr>
      <w:b/>
      <w:bCs/>
    </w:rPr>
  </w:style>
  <w:style w:type="character" w:styleId="894">
    <w:name w:val="endnote reference"/>
    <w:uiPriority w:val="99"/>
    <w:semiHidden/>
    <w:unhideWhenUsed/>
    <w:qFormat/>
    <w:rPr>
      <w:vertAlign w:val="superscript"/>
    </w:rPr>
  </w:style>
  <w:style w:type="character" w:styleId="895">
    <w:name w:val="Emphasis"/>
    <w:uiPriority w:val="0"/>
    <w:qFormat/>
    <w:rPr>
      <w:i/>
    </w:rPr>
  </w:style>
  <w:style w:type="character" w:styleId="896">
    <w:name w:val="Hyperlink"/>
    <w:uiPriority w:val="99"/>
    <w:unhideWhenUsed/>
    <w:qFormat/>
    <w:rPr>
      <w:color w:val="0000ff" w:themeColor="hyperlink"/>
      <w:u w:val="single"/>
    </w:rPr>
  </w:style>
  <w:style w:type="character" w:styleId="897">
    <w:name w:val="footnote reference"/>
    <w:uiPriority w:val="99"/>
    <w:unhideWhenUsed/>
    <w:qFormat/>
    <w:rPr>
      <w:vertAlign w:val="superscript"/>
    </w:rPr>
  </w:style>
  <w:style w:type="character" w:styleId="898" w:customStyle="1">
    <w:name w:val="Heading 1 Char"/>
    <w:link w:val="858"/>
    <w:uiPriority w:val="9"/>
    <w:qFormat/>
    <w:rPr>
      <w:rFonts w:ascii="Arial" w:hAnsi="Arial" w:eastAsia="Arial" w:cs="Arial"/>
      <w:sz w:val="40"/>
      <w:szCs w:val="40"/>
    </w:rPr>
  </w:style>
  <w:style w:type="character" w:styleId="899" w:customStyle="1">
    <w:name w:val="Heading 2 Char"/>
    <w:link w:val="859"/>
    <w:uiPriority w:val="9"/>
    <w:qFormat/>
    <w:rPr>
      <w:rFonts w:ascii="Arial" w:hAnsi="Arial" w:eastAsia="Arial" w:cs="Arial"/>
      <w:sz w:val="34"/>
    </w:rPr>
  </w:style>
  <w:style w:type="character" w:styleId="900" w:customStyle="1">
    <w:name w:val="Heading 3 Char"/>
    <w:link w:val="860"/>
    <w:uiPriority w:val="9"/>
    <w:qFormat/>
    <w:rPr>
      <w:rFonts w:ascii="Arial" w:hAnsi="Arial" w:eastAsia="Arial" w:cs="Arial"/>
      <w:sz w:val="30"/>
      <w:szCs w:val="30"/>
    </w:rPr>
  </w:style>
  <w:style w:type="character" w:styleId="901" w:customStyle="1">
    <w:name w:val="Heading 4 Char"/>
    <w:link w:val="861"/>
    <w:uiPriority w:val="9"/>
    <w:qFormat/>
    <w:rPr>
      <w:rFonts w:ascii="Arial" w:hAnsi="Arial" w:eastAsia="Arial" w:cs="Arial"/>
      <w:b/>
      <w:bCs/>
      <w:sz w:val="26"/>
      <w:szCs w:val="26"/>
    </w:rPr>
  </w:style>
  <w:style w:type="character" w:styleId="902" w:customStyle="1">
    <w:name w:val="Heading 5 Char"/>
    <w:link w:val="862"/>
    <w:uiPriority w:val="9"/>
    <w:qFormat/>
    <w:rPr>
      <w:rFonts w:ascii="Arial" w:hAnsi="Arial" w:eastAsia="Arial" w:cs="Arial"/>
      <w:b/>
      <w:bCs/>
      <w:sz w:val="24"/>
      <w:szCs w:val="24"/>
    </w:rPr>
  </w:style>
  <w:style w:type="character" w:styleId="903" w:customStyle="1">
    <w:name w:val="Heading 6 Char"/>
    <w:link w:val="863"/>
    <w:uiPriority w:val="9"/>
    <w:qFormat/>
    <w:rPr>
      <w:rFonts w:ascii="Arial" w:hAnsi="Arial" w:eastAsia="Arial" w:cs="Arial"/>
      <w:b/>
      <w:bCs/>
      <w:sz w:val="22"/>
      <w:szCs w:val="22"/>
    </w:rPr>
  </w:style>
  <w:style w:type="character" w:styleId="904" w:customStyle="1">
    <w:name w:val="Heading 7 Char"/>
    <w:link w:val="864"/>
    <w:uiPriority w:val="9"/>
    <w:qFormat/>
    <w:rPr>
      <w:rFonts w:ascii="Arial" w:hAnsi="Arial" w:eastAsia="Arial" w:cs="Arial"/>
      <w:b/>
      <w:bCs/>
      <w:i/>
      <w:iCs/>
      <w:sz w:val="22"/>
      <w:szCs w:val="22"/>
    </w:rPr>
  </w:style>
  <w:style w:type="character" w:styleId="905" w:customStyle="1">
    <w:name w:val="Heading 8 Char"/>
    <w:link w:val="865"/>
    <w:uiPriority w:val="9"/>
    <w:qFormat/>
    <w:rPr>
      <w:rFonts w:ascii="Arial" w:hAnsi="Arial" w:eastAsia="Arial" w:cs="Arial"/>
      <w:i/>
      <w:iCs/>
      <w:sz w:val="22"/>
      <w:szCs w:val="22"/>
    </w:rPr>
  </w:style>
  <w:style w:type="character" w:styleId="906" w:customStyle="1">
    <w:name w:val="Heading 9 Char"/>
    <w:link w:val="866"/>
    <w:uiPriority w:val="9"/>
    <w:qFormat/>
    <w:rPr>
      <w:rFonts w:ascii="Arial" w:hAnsi="Arial" w:eastAsia="Arial" w:cs="Arial"/>
      <w:i/>
      <w:iCs/>
      <w:sz w:val="21"/>
      <w:szCs w:val="21"/>
    </w:rPr>
  </w:style>
  <w:style w:type="paragraph" w:styleId="907">
    <w:name w:val="List Paragraph"/>
    <w:basedOn w:val="857"/>
    <w:uiPriority w:val="34"/>
    <w:qFormat/>
    <w:pPr>
      <w:contextualSpacing/>
      <w:ind w:left="720"/>
    </w:pPr>
  </w:style>
  <w:style w:type="paragraph" w:styleId="908">
    <w:name w:val="No Spacing"/>
    <w:uiPriority w:val="1"/>
    <w:qFormat/>
    <w:pPr>
      <w:spacing w:before="0" w:after="0" w:line="240" w:lineRule="auto"/>
    </w:pPr>
    <w:rPr>
      <w:rFonts w:hint="default" w:ascii="Calibri" w:hAnsi="Calibri" w:eastAsia="宋体" w:cs="Times New Roman"/>
    </w:rPr>
  </w:style>
  <w:style w:type="character" w:styleId="909" w:customStyle="1">
    <w:name w:val="Title Char"/>
    <w:link w:val="890"/>
    <w:uiPriority w:val="10"/>
    <w:qFormat/>
    <w:rPr>
      <w:sz w:val="48"/>
      <w:szCs w:val="48"/>
    </w:rPr>
  </w:style>
  <w:style w:type="character" w:styleId="910" w:customStyle="1">
    <w:name w:val="Subtitle Char"/>
    <w:link w:val="883"/>
    <w:uiPriority w:val="11"/>
    <w:qFormat/>
    <w:rPr>
      <w:sz w:val="24"/>
      <w:szCs w:val="24"/>
    </w:rPr>
  </w:style>
  <w:style w:type="paragraph" w:styleId="911">
    <w:name w:val="Quote"/>
    <w:basedOn w:val="857"/>
    <w:next w:val="857"/>
    <w:link w:val="912"/>
    <w:uiPriority w:val="29"/>
    <w:qFormat/>
    <w:pPr>
      <w:ind w:left="720" w:right="720"/>
    </w:pPr>
    <w:rPr>
      <w:i/>
    </w:rPr>
  </w:style>
  <w:style w:type="character" w:styleId="912" w:customStyle="1">
    <w:name w:val="Quote Char"/>
    <w:link w:val="911"/>
    <w:uiPriority w:val="29"/>
    <w:qFormat/>
    <w:rPr>
      <w:i/>
    </w:rPr>
  </w:style>
  <w:style w:type="paragraph" w:styleId="913">
    <w:name w:val="Intense Quote"/>
    <w:basedOn w:val="857"/>
    <w:next w:val="857"/>
    <w:link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Intense Quote Char"/>
    <w:link w:val="913"/>
    <w:uiPriority w:val="30"/>
    <w:qFormat/>
    <w:rPr>
      <w:i/>
    </w:rPr>
  </w:style>
  <w:style w:type="character" w:styleId="915" w:customStyle="1">
    <w:name w:val="Header Char"/>
    <w:link w:val="880"/>
    <w:uiPriority w:val="99"/>
    <w:qFormat/>
  </w:style>
  <w:style w:type="character" w:styleId="916" w:customStyle="1">
    <w:name w:val="Footer Char"/>
    <w:link w:val="879"/>
    <w:uiPriority w:val="99"/>
    <w:qFormat/>
  </w:style>
  <w:style w:type="character" w:styleId="917" w:customStyle="1">
    <w:name w:val="Caption Char"/>
    <w:link w:val="879"/>
    <w:uiPriority w:val="99"/>
    <w:qFormat/>
  </w:style>
  <w:style w:type="table" w:styleId="9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Footnote Text Char"/>
    <w:link w:val="884"/>
    <w:uiPriority w:val="99"/>
    <w:qFormat/>
    <w:rPr>
      <w:sz w:val="18"/>
    </w:rPr>
  </w:style>
  <w:style w:type="character" w:styleId="1044" w:customStyle="1">
    <w:name w:val="Endnote Text Char"/>
    <w:link w:val="878"/>
    <w:uiPriority w:val="99"/>
    <w:qFormat/>
    <w:rPr>
      <w:sz w:val="20"/>
    </w:rPr>
  </w:style>
  <w:style w:type="paragraph" w:styleId="1045" w:customStyle="1">
    <w:name w:val="TOC Heading"/>
    <w:uiPriority w:val="39"/>
    <w:unhideWhenUsed/>
    <w:qFormat/>
    <w:rPr>
      <w:rFonts w:hint="default" w:ascii="Calibri" w:hAnsi="Calibri" w:eastAsia="宋体" w:cs="Times New Roman"/>
    </w:rPr>
  </w:style>
  <w:style w:type="paragraph" w:styleId="1046" w:customStyle="1">
    <w:name w:val="标题 11"/>
    <w:basedOn w:val="857"/>
    <w:next w:val="857"/>
    <w:link w:val="1058"/>
    <w:uiPriority w:val="0"/>
    <w:qFormat/>
    <w:pPr>
      <w:jc w:val="center"/>
      <w:keepNext/>
      <w:outlineLvl w:val="0"/>
    </w:pPr>
    <w:rPr>
      <w:rFonts w:ascii="楷体_GB2312" w:eastAsia="楷体_GB2312"/>
      <w:sz w:val="28"/>
      <w:szCs w:val="28"/>
    </w:rPr>
  </w:style>
  <w:style w:type="paragraph" w:styleId="1047" w:customStyle="1">
    <w:name w:val="标题 21"/>
    <w:basedOn w:val="857"/>
    <w:next w:val="1048"/>
    <w:link w:val="10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8" w:customStyle="1">
    <w:name w:val="正文缩进1"/>
    <w:basedOn w:val="857"/>
    <w:next w:val="857"/>
    <w:link w:val="1060"/>
    <w:uiPriority w:val="0"/>
    <w:qFormat/>
    <w:pPr>
      <w:ind w:firstLine="420"/>
    </w:pPr>
  </w:style>
  <w:style w:type="paragraph" w:styleId="1049" w:customStyle="1">
    <w:name w:val="标题 31"/>
    <w:basedOn w:val="857"/>
    <w:next w:val="1048"/>
    <w:link w:val="1061"/>
    <w:uiPriority w:val="0"/>
    <w:qFormat/>
    <w:pPr>
      <w:keepLines/>
      <w:keepNext/>
      <w:spacing w:before="260" w:after="260" w:line="416" w:lineRule="auto"/>
      <w:outlineLvl w:val="2"/>
    </w:pPr>
    <w:rPr>
      <w:b/>
      <w:bCs/>
      <w:sz w:val="32"/>
      <w:szCs w:val="32"/>
    </w:rPr>
  </w:style>
  <w:style w:type="paragraph" w:styleId="1050" w:customStyle="1">
    <w:name w:val="标题 41"/>
    <w:basedOn w:val="857"/>
    <w:next w:val="1048"/>
    <w:link w:val="1062"/>
    <w:uiPriority w:val="0"/>
    <w:qFormat/>
    <w:pPr>
      <w:keepLines/>
      <w:keepNext/>
      <w:spacing w:before="280" w:after="290" w:line="376" w:lineRule="auto"/>
      <w:outlineLvl w:val="3"/>
    </w:pPr>
    <w:rPr>
      <w:rFonts w:ascii="Arial" w:hAnsi="Arial" w:eastAsia="黑体" w:cs="Arial"/>
      <w:b/>
      <w:bCs/>
      <w:sz w:val="28"/>
      <w:szCs w:val="28"/>
    </w:rPr>
  </w:style>
  <w:style w:type="paragraph" w:styleId="1051" w:customStyle="1">
    <w:name w:val="标题 51"/>
    <w:basedOn w:val="857"/>
    <w:next w:val="1048"/>
    <w:link w:val="1063"/>
    <w:uiPriority w:val="0"/>
    <w:qFormat/>
    <w:pPr>
      <w:keepNext/>
      <w:outlineLvl w:val="4"/>
    </w:pPr>
    <w:rPr>
      <w:rFonts w:ascii="宋体"/>
      <w:color w:val="000000"/>
      <w:sz w:val="28"/>
      <w:szCs w:val="28"/>
    </w:rPr>
  </w:style>
  <w:style w:type="paragraph" w:styleId="1052" w:customStyle="1">
    <w:name w:val="标题 61"/>
    <w:basedOn w:val="857"/>
    <w:next w:val="857"/>
    <w:link w:val="106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3" w:customStyle="1">
    <w:name w:val="标题 71"/>
    <w:basedOn w:val="857"/>
    <w:next w:val="857"/>
    <w:link w:val="1065"/>
    <w:uiPriority w:val="0"/>
    <w:qFormat/>
    <w:pPr>
      <w:numPr>
        <w:ilvl w:val="6"/>
        <w:numId w:val="1"/>
      </w:numPr>
      <w:keepLines/>
      <w:keepNext/>
      <w:spacing w:before="240" w:after="64" w:line="320" w:lineRule="auto"/>
      <w:outlineLvl w:val="6"/>
    </w:pPr>
    <w:rPr>
      <w:b/>
      <w:bCs/>
      <w:sz w:val="24"/>
      <w:szCs w:val="24"/>
    </w:rPr>
  </w:style>
  <w:style w:type="paragraph" w:styleId="1054" w:customStyle="1">
    <w:name w:val="标题 81"/>
    <w:basedOn w:val="857"/>
    <w:next w:val="857"/>
    <w:link w:val="10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55" w:customStyle="1">
    <w:name w:val="标题 91"/>
    <w:basedOn w:val="857"/>
    <w:next w:val="857"/>
    <w:link w:val="1067"/>
    <w:uiPriority w:val="0"/>
    <w:qFormat/>
    <w:pPr>
      <w:numPr>
        <w:ilvl w:val="8"/>
        <w:numId w:val="1"/>
      </w:numPr>
      <w:keepLines/>
      <w:keepNext/>
      <w:spacing w:before="240" w:after="64" w:line="320" w:lineRule="auto"/>
      <w:outlineLvl w:val="8"/>
    </w:pPr>
    <w:rPr>
      <w:rFonts w:ascii="Arial" w:hAnsi="Arial" w:eastAsia="黑体"/>
    </w:rPr>
  </w:style>
  <w:style w:type="character" w:styleId="1056" w:customStyle="1">
    <w:name w:val="默认段落字体1"/>
    <w:link w:val="857"/>
    <w:uiPriority w:val="1"/>
    <w:unhideWhenUsed/>
    <w:qFormat/>
  </w:style>
  <w:style w:type="table" w:styleId="1057" w:customStyle="1">
    <w:name w:val="普通表格1"/>
    <w:uiPriority w:val="99"/>
    <w:unhideWhenUsed/>
    <w:qFormat/>
    <w:tblPr/>
  </w:style>
  <w:style w:type="character" w:styleId="1058" w:customStyle="1">
    <w:name w:val="标题 1 Char"/>
    <w:link w:val="1046"/>
    <w:uiPriority w:val="0"/>
    <w:qFormat/>
    <w:rPr>
      <w:rFonts w:ascii="楷体_GB2312" w:hAnsi="Times New Roman" w:eastAsia="楷体_GB2312" w:cs="Times New Roman"/>
      <w:sz w:val="28"/>
      <w:szCs w:val="28"/>
    </w:rPr>
  </w:style>
  <w:style w:type="character" w:styleId="1059" w:customStyle="1">
    <w:name w:val="标题 2 Char"/>
    <w:link w:val="1047"/>
    <w:uiPriority w:val="0"/>
    <w:qFormat/>
    <w:rPr>
      <w:rFonts w:ascii="Arial" w:hAnsi="Arial" w:eastAsia="幼圆" w:cs="Arial"/>
      <w:b/>
      <w:bCs/>
      <w:sz w:val="44"/>
      <w:szCs w:val="44"/>
    </w:rPr>
  </w:style>
  <w:style w:type="character" w:styleId="1060" w:customStyle="1">
    <w:name w:val="正文缩进 Char"/>
    <w:link w:val="1048"/>
    <w:uiPriority w:val="0"/>
    <w:qFormat/>
    <w:rPr>
      <w:rFonts w:ascii="Times New Roman" w:hAnsi="Times New Roman" w:eastAsia="宋体" w:cs="Times New Roman"/>
      <w:szCs w:val="21"/>
    </w:rPr>
  </w:style>
  <w:style w:type="character" w:styleId="1061" w:customStyle="1">
    <w:name w:val="标题 3 Char"/>
    <w:link w:val="1049"/>
    <w:uiPriority w:val="0"/>
    <w:qFormat/>
    <w:rPr>
      <w:rFonts w:ascii="Times New Roman" w:hAnsi="Times New Roman" w:eastAsia="宋体" w:cs="Times New Roman"/>
      <w:b/>
      <w:bCs/>
      <w:sz w:val="32"/>
      <w:szCs w:val="32"/>
    </w:rPr>
  </w:style>
  <w:style w:type="character" w:styleId="1062" w:customStyle="1">
    <w:name w:val="标题 4 Char"/>
    <w:link w:val="1050"/>
    <w:uiPriority w:val="0"/>
    <w:qFormat/>
    <w:rPr>
      <w:rFonts w:ascii="Arial" w:hAnsi="Arial" w:eastAsia="黑体" w:cs="Arial"/>
      <w:b/>
      <w:bCs/>
      <w:sz w:val="28"/>
      <w:szCs w:val="28"/>
    </w:rPr>
  </w:style>
  <w:style w:type="character" w:styleId="1063" w:customStyle="1">
    <w:name w:val="标题 5 Char"/>
    <w:link w:val="1051"/>
    <w:uiPriority w:val="0"/>
    <w:qFormat/>
    <w:rPr>
      <w:rFonts w:ascii="宋体" w:hAnsi="Times New Roman" w:eastAsia="宋体" w:cs="Times New Roman"/>
      <w:color w:val="000000"/>
      <w:sz w:val="28"/>
      <w:szCs w:val="28"/>
    </w:rPr>
  </w:style>
  <w:style w:type="character" w:styleId="1064" w:customStyle="1">
    <w:name w:val="标题 6 Char"/>
    <w:link w:val="1052"/>
    <w:uiPriority w:val="0"/>
    <w:qFormat/>
    <w:rPr>
      <w:rFonts w:ascii="Arial" w:hAnsi="Arial" w:eastAsia="黑体" w:cs="Times New Roman"/>
      <w:b/>
      <w:bCs/>
      <w:sz w:val="24"/>
      <w:szCs w:val="24"/>
    </w:rPr>
  </w:style>
  <w:style w:type="character" w:styleId="1065" w:customStyle="1">
    <w:name w:val="标题 7 Char"/>
    <w:link w:val="1053"/>
    <w:uiPriority w:val="0"/>
    <w:qFormat/>
    <w:rPr>
      <w:rFonts w:ascii="Times New Roman" w:hAnsi="Times New Roman" w:eastAsia="宋体" w:cs="Times New Roman"/>
      <w:b/>
      <w:bCs/>
      <w:sz w:val="24"/>
      <w:szCs w:val="24"/>
    </w:rPr>
  </w:style>
  <w:style w:type="character" w:styleId="1066" w:customStyle="1">
    <w:name w:val="标题 8 Char"/>
    <w:link w:val="1054"/>
    <w:uiPriority w:val="0"/>
    <w:qFormat/>
    <w:rPr>
      <w:rFonts w:ascii="Arial" w:hAnsi="Arial" w:eastAsia="黑体" w:cs="Times New Roman"/>
      <w:sz w:val="24"/>
      <w:szCs w:val="24"/>
    </w:rPr>
  </w:style>
  <w:style w:type="character" w:styleId="1067" w:customStyle="1">
    <w:name w:val="标题 9 Char"/>
    <w:link w:val="1055"/>
    <w:uiPriority w:val="0"/>
    <w:qFormat/>
    <w:rPr>
      <w:rFonts w:ascii="Arial" w:hAnsi="Arial" w:eastAsia="黑体" w:cs="Times New Roman"/>
      <w:szCs w:val="21"/>
    </w:rPr>
  </w:style>
  <w:style w:type="paragraph" w:styleId="1068" w:customStyle="1">
    <w:name w:val="列表 31"/>
    <w:basedOn w:val="857"/>
    <w:uiPriority w:val="0"/>
    <w:qFormat/>
    <w:pPr>
      <w:ind w:left="100" w:hanging="200"/>
    </w:pPr>
  </w:style>
  <w:style w:type="paragraph" w:styleId="1069" w:customStyle="1">
    <w:name w:val="目录 71"/>
    <w:basedOn w:val="857"/>
    <w:next w:val="857"/>
    <w:uiPriority w:val="0"/>
    <w:semiHidden/>
    <w:qFormat/>
    <w:pPr>
      <w:ind w:left="1260"/>
      <w:jc w:val="left"/>
    </w:pPr>
  </w:style>
  <w:style w:type="paragraph" w:styleId="1070" w:customStyle="1">
    <w:name w:val="文档结构图1"/>
    <w:basedOn w:val="857"/>
    <w:link w:val="1071"/>
    <w:uiPriority w:val="0"/>
    <w:semiHidden/>
    <w:qFormat/>
    <w:pPr>
      <w:shd w:val="clear" w:color="auto" w:fill="000080"/>
    </w:pPr>
  </w:style>
  <w:style w:type="character" w:styleId="1071" w:customStyle="1">
    <w:name w:val="文档结构图 Char"/>
    <w:link w:val="1070"/>
    <w:uiPriority w:val="0"/>
    <w:semiHidden/>
    <w:qFormat/>
    <w:rPr>
      <w:rFonts w:ascii="Times New Roman" w:hAnsi="Times New Roman" w:eastAsia="宋体" w:cs="Times New Roman"/>
      <w:szCs w:val="21"/>
      <w:shd w:val="clear" w:color="auto" w:fill="000080"/>
    </w:rPr>
  </w:style>
  <w:style w:type="paragraph" w:styleId="1072" w:customStyle="1">
    <w:name w:val="批注文字1"/>
    <w:basedOn w:val="857"/>
    <w:link w:val="1073"/>
    <w:uiPriority w:val="0"/>
    <w:semiHidden/>
    <w:qFormat/>
    <w:pPr>
      <w:jc w:val="left"/>
    </w:pPr>
  </w:style>
  <w:style w:type="character" w:styleId="1073" w:customStyle="1">
    <w:name w:val="批注文字 Char"/>
    <w:link w:val="1072"/>
    <w:uiPriority w:val="0"/>
    <w:semiHidden/>
    <w:qFormat/>
    <w:rPr>
      <w:rFonts w:ascii="Times New Roman" w:hAnsi="Times New Roman" w:eastAsia="宋体" w:cs="Times New Roman"/>
      <w:szCs w:val="21"/>
    </w:rPr>
  </w:style>
  <w:style w:type="paragraph" w:styleId="1074" w:customStyle="1">
    <w:name w:val="正文文本 31"/>
    <w:basedOn w:val="857"/>
    <w:link w:val="1075"/>
    <w:uiPriority w:val="0"/>
    <w:qFormat/>
    <w:rPr>
      <w:rFonts w:ascii="仿宋_GB2312" w:hAnsi="Arial" w:eastAsia="仿宋_GB2312"/>
      <w:sz w:val="32"/>
      <w:szCs w:val="32"/>
    </w:rPr>
  </w:style>
  <w:style w:type="character" w:styleId="1075" w:customStyle="1">
    <w:name w:val="正文文本 3 Char"/>
    <w:link w:val="1074"/>
    <w:uiPriority w:val="0"/>
    <w:qFormat/>
    <w:rPr>
      <w:rFonts w:ascii="仿宋_GB2312" w:hAnsi="Arial" w:eastAsia="仿宋_GB2312" w:cs="Times New Roman"/>
      <w:sz w:val="32"/>
      <w:szCs w:val="32"/>
    </w:rPr>
  </w:style>
  <w:style w:type="paragraph" w:styleId="1076" w:customStyle="1">
    <w:name w:val="正文文本1"/>
    <w:basedOn w:val="1077"/>
    <w:next w:val="1048"/>
    <w:link w:val="1078"/>
    <w:uiPriority w:val="0"/>
    <w:qFormat/>
    <w:rPr>
      <w:rFonts w:ascii="楷体_GB2312" w:hAnsi="Arial" w:eastAsia="楷体_GB2312"/>
      <w:sz w:val="28"/>
      <w:szCs w:val="28"/>
    </w:rPr>
  </w:style>
  <w:style w:type="paragraph" w:styleId="1077" w:customStyle="1">
    <w:name w:val="正文1"/>
    <w:basedOn w:val="857"/>
    <w:next w:val="1076"/>
    <w:uiPriority w:val="99"/>
    <w:qFormat/>
    <w:pPr>
      <w:ind w:firstLine="480"/>
      <w:spacing w:line="440" w:lineRule="exact"/>
    </w:pPr>
    <w:rPr>
      <w:rFonts w:ascii="微软雅黑" w:hAnsi="微软雅黑" w:eastAsia="微软雅黑"/>
      <w:sz w:val="24"/>
      <w:szCs w:val="20"/>
    </w:rPr>
  </w:style>
  <w:style w:type="character" w:styleId="1078" w:customStyle="1">
    <w:name w:val="正文文本 Char"/>
    <w:link w:val="1076"/>
    <w:uiPriority w:val="0"/>
    <w:qFormat/>
    <w:rPr>
      <w:rFonts w:ascii="楷体_GB2312" w:hAnsi="Arial" w:eastAsia="楷体_GB2312" w:cs="Times New Roman"/>
      <w:sz w:val="28"/>
      <w:szCs w:val="28"/>
    </w:rPr>
  </w:style>
  <w:style w:type="paragraph" w:styleId="1079" w:customStyle="1">
    <w:name w:val="正文文本缩进1"/>
    <w:basedOn w:val="857"/>
    <w:link w:val="1080"/>
    <w:uiPriority w:val="0"/>
    <w:qFormat/>
    <w:pPr>
      <w:ind w:firstLine="645"/>
    </w:pPr>
    <w:rPr>
      <w:rFonts w:ascii="楷体_GB2312" w:eastAsia="楷体_GB2312"/>
      <w:sz w:val="32"/>
      <w:szCs w:val="32"/>
    </w:rPr>
  </w:style>
  <w:style w:type="character" w:styleId="1080" w:customStyle="1">
    <w:name w:val="正文文本缩进 Char"/>
    <w:link w:val="1079"/>
    <w:uiPriority w:val="0"/>
    <w:qFormat/>
    <w:rPr>
      <w:rFonts w:ascii="楷体_GB2312" w:hAnsi="Times New Roman" w:eastAsia="楷体_GB2312" w:cs="Times New Roman"/>
      <w:sz w:val="32"/>
      <w:szCs w:val="32"/>
    </w:rPr>
  </w:style>
  <w:style w:type="paragraph" w:styleId="1081" w:customStyle="1">
    <w:name w:val="列表 21"/>
    <w:basedOn w:val="857"/>
    <w:uiPriority w:val="0"/>
    <w:qFormat/>
    <w:pPr>
      <w:ind w:left="100" w:hanging="200"/>
    </w:pPr>
  </w:style>
  <w:style w:type="paragraph" w:styleId="1082" w:customStyle="1">
    <w:name w:val="目录 51"/>
    <w:basedOn w:val="857"/>
    <w:next w:val="857"/>
    <w:uiPriority w:val="0"/>
    <w:semiHidden/>
    <w:qFormat/>
    <w:pPr>
      <w:ind w:left="840"/>
      <w:jc w:val="left"/>
    </w:pPr>
  </w:style>
  <w:style w:type="paragraph" w:styleId="1083" w:customStyle="1">
    <w:name w:val="目录 31"/>
    <w:basedOn w:val="857"/>
    <w:next w:val="857"/>
    <w:uiPriority w:val="0"/>
    <w:semiHidden/>
    <w:qFormat/>
    <w:pPr>
      <w:ind w:left="420"/>
      <w:jc w:val="left"/>
    </w:pPr>
    <w:rPr>
      <w:i/>
      <w:iCs/>
      <w:szCs w:val="24"/>
    </w:rPr>
  </w:style>
  <w:style w:type="paragraph" w:styleId="1084" w:customStyle="1">
    <w:name w:val="纯文本1"/>
    <w:basedOn w:val="857"/>
    <w:link w:val="1085"/>
    <w:uiPriority w:val="0"/>
    <w:qFormat/>
    <w:rPr>
      <w:rFonts w:ascii="宋体" w:hAnsi="Courier New" w:cs="Courier New"/>
    </w:rPr>
  </w:style>
  <w:style w:type="character" w:styleId="1085" w:customStyle="1">
    <w:name w:val="纯文本 Char"/>
    <w:link w:val="1084"/>
    <w:uiPriority w:val="0"/>
    <w:qFormat/>
    <w:rPr>
      <w:rFonts w:ascii="宋体" w:hAnsi="Courier New" w:eastAsia="宋体" w:cs="Courier New"/>
      <w:szCs w:val="21"/>
    </w:rPr>
  </w:style>
  <w:style w:type="paragraph" w:styleId="1086" w:customStyle="1">
    <w:name w:val="目录 81"/>
    <w:basedOn w:val="857"/>
    <w:next w:val="857"/>
    <w:uiPriority w:val="0"/>
    <w:semiHidden/>
    <w:qFormat/>
    <w:pPr>
      <w:ind w:left="1470"/>
      <w:jc w:val="left"/>
    </w:pPr>
  </w:style>
  <w:style w:type="paragraph" w:styleId="1087" w:customStyle="1">
    <w:name w:val="日期1"/>
    <w:basedOn w:val="857"/>
    <w:next w:val="857"/>
    <w:link w:val="1088"/>
    <w:uiPriority w:val="0"/>
    <w:qFormat/>
    <w:rPr>
      <w:sz w:val="24"/>
      <w:szCs w:val="24"/>
    </w:rPr>
  </w:style>
  <w:style w:type="character" w:styleId="1088" w:customStyle="1">
    <w:name w:val="日期 Char"/>
    <w:link w:val="1087"/>
    <w:uiPriority w:val="0"/>
    <w:qFormat/>
    <w:rPr>
      <w:rFonts w:ascii="Times New Roman" w:hAnsi="Times New Roman" w:eastAsia="宋体" w:cs="Times New Roman"/>
      <w:sz w:val="24"/>
      <w:szCs w:val="24"/>
    </w:rPr>
  </w:style>
  <w:style w:type="paragraph" w:styleId="1089" w:customStyle="1">
    <w:name w:val="正文文本缩进 21"/>
    <w:basedOn w:val="857"/>
    <w:link w:val="1090"/>
    <w:uiPriority w:val="0"/>
    <w:qFormat/>
    <w:pPr>
      <w:ind w:left="630" w:firstLine="645"/>
    </w:pPr>
    <w:rPr>
      <w:rFonts w:ascii="Arial" w:hAnsi="Arial" w:eastAsia="仿宋_GB2312" w:cs="Arial"/>
      <w:sz w:val="32"/>
      <w:szCs w:val="32"/>
    </w:rPr>
  </w:style>
  <w:style w:type="character" w:styleId="1090" w:customStyle="1">
    <w:name w:val="正文文本缩进 2 Char"/>
    <w:link w:val="1089"/>
    <w:uiPriority w:val="0"/>
    <w:qFormat/>
    <w:rPr>
      <w:rFonts w:ascii="Arial" w:hAnsi="Arial" w:eastAsia="仿宋_GB2312" w:cs="Arial"/>
      <w:sz w:val="32"/>
      <w:szCs w:val="32"/>
    </w:rPr>
  </w:style>
  <w:style w:type="paragraph" w:styleId="1091" w:customStyle="1">
    <w:name w:val="批注框文本1"/>
    <w:basedOn w:val="857"/>
    <w:link w:val="1092"/>
    <w:uiPriority w:val="0"/>
    <w:semiHidden/>
    <w:qFormat/>
    <w:rPr>
      <w:sz w:val="18"/>
      <w:szCs w:val="18"/>
    </w:rPr>
  </w:style>
  <w:style w:type="character" w:styleId="1092" w:customStyle="1">
    <w:name w:val="批注框文本 Char"/>
    <w:link w:val="1091"/>
    <w:uiPriority w:val="0"/>
    <w:semiHidden/>
    <w:qFormat/>
    <w:rPr>
      <w:rFonts w:ascii="Times New Roman" w:hAnsi="Times New Roman" w:eastAsia="宋体" w:cs="Times New Roman"/>
      <w:sz w:val="18"/>
      <w:szCs w:val="18"/>
    </w:rPr>
  </w:style>
  <w:style w:type="paragraph" w:styleId="1093" w:customStyle="1">
    <w:name w:val="页脚1"/>
    <w:basedOn w:val="857"/>
    <w:link w:val="1094"/>
    <w:uiPriority w:val="99"/>
    <w:qFormat/>
    <w:pPr>
      <w:jc w:val="left"/>
      <w:tabs>
        <w:tab w:val="center" w:pos="4153" w:leader="none"/>
        <w:tab w:val="right" w:pos="8306" w:leader="none"/>
      </w:tabs>
    </w:pPr>
    <w:rPr>
      <w:sz w:val="18"/>
      <w:szCs w:val="18"/>
    </w:rPr>
  </w:style>
  <w:style w:type="character" w:styleId="1094" w:customStyle="1">
    <w:name w:val="页脚 Char"/>
    <w:link w:val="1093"/>
    <w:uiPriority w:val="99"/>
    <w:qFormat/>
    <w:rPr>
      <w:rFonts w:ascii="Times New Roman" w:hAnsi="Times New Roman" w:eastAsia="宋体" w:cs="Times New Roman"/>
      <w:sz w:val="18"/>
      <w:szCs w:val="18"/>
    </w:rPr>
  </w:style>
  <w:style w:type="paragraph" w:styleId="1095" w:customStyle="1">
    <w:name w:val="页眉1"/>
    <w:basedOn w:val="857"/>
    <w:link w:val="1096"/>
    <w:uiPriority w:val="0"/>
    <w:qFormat/>
    <w:pPr>
      <w:jc w:val="center"/>
      <w:tabs>
        <w:tab w:val="center" w:pos="4153" w:leader="none"/>
        <w:tab w:val="right" w:pos="8306" w:leader="none"/>
      </w:tabs>
      <w:pBdr>
        <w:bottom w:val="single" w:color="000000" w:sz="6" w:space="1"/>
      </w:pBdr>
    </w:pPr>
    <w:rPr>
      <w:sz w:val="18"/>
      <w:szCs w:val="18"/>
    </w:rPr>
  </w:style>
  <w:style w:type="character" w:styleId="1096" w:customStyle="1">
    <w:name w:val="页眉 Char"/>
    <w:link w:val="1095"/>
    <w:uiPriority w:val="0"/>
    <w:qFormat/>
    <w:rPr>
      <w:rFonts w:ascii="Times New Roman" w:hAnsi="Times New Roman" w:eastAsia="宋体" w:cs="Times New Roman"/>
      <w:sz w:val="18"/>
      <w:szCs w:val="18"/>
    </w:rPr>
  </w:style>
  <w:style w:type="paragraph" w:styleId="1097" w:customStyle="1">
    <w:name w:val="目录 11"/>
    <w:basedOn w:val="857"/>
    <w:next w:val="857"/>
    <w:uiPriority w:val="0"/>
    <w:semiHidden/>
    <w:qFormat/>
    <w:pPr>
      <w:jc w:val="left"/>
      <w:spacing w:before="120" w:after="120" w:line="400" w:lineRule="exact"/>
      <w:tabs>
        <w:tab w:val="right" w:pos="8720" w:leader="dot"/>
      </w:tabs>
    </w:pPr>
    <w:rPr>
      <w:rFonts w:ascii="宋体" w:hAnsi="宋体"/>
      <w:caps/>
      <w:sz w:val="24"/>
      <w:szCs w:val="24"/>
    </w:rPr>
  </w:style>
  <w:style w:type="paragraph" w:styleId="1098" w:customStyle="1">
    <w:name w:val="目录 41"/>
    <w:basedOn w:val="857"/>
    <w:next w:val="857"/>
    <w:uiPriority w:val="0"/>
    <w:semiHidden/>
    <w:qFormat/>
    <w:pPr>
      <w:ind w:left="630"/>
      <w:jc w:val="left"/>
    </w:pPr>
  </w:style>
  <w:style w:type="paragraph" w:styleId="1099" w:customStyle="1">
    <w:name w:val="列表1"/>
    <w:basedOn w:val="857"/>
    <w:uiPriority w:val="0"/>
    <w:qFormat/>
    <w:pPr>
      <w:ind w:left="200" w:hanging="200"/>
    </w:pPr>
  </w:style>
  <w:style w:type="paragraph" w:styleId="1100" w:customStyle="1">
    <w:name w:val="目录 61"/>
    <w:basedOn w:val="857"/>
    <w:next w:val="857"/>
    <w:uiPriority w:val="0"/>
    <w:semiHidden/>
    <w:qFormat/>
    <w:pPr>
      <w:ind w:left="1050"/>
      <w:jc w:val="left"/>
    </w:pPr>
  </w:style>
  <w:style w:type="paragraph" w:styleId="1101" w:customStyle="1">
    <w:name w:val="正文文本缩进 31"/>
    <w:basedOn w:val="857"/>
    <w:link w:val="1102"/>
    <w:uiPriority w:val="0"/>
    <w:qFormat/>
    <w:pPr>
      <w:ind w:left="645" w:firstLine="645"/>
    </w:pPr>
    <w:rPr>
      <w:rFonts w:ascii="Arial" w:hAnsi="Arial" w:eastAsia="仿宋_GB2312" w:cs="Arial"/>
      <w:color w:val="ffff00"/>
      <w:sz w:val="32"/>
      <w:szCs w:val="32"/>
    </w:rPr>
  </w:style>
  <w:style w:type="character" w:styleId="1102" w:customStyle="1">
    <w:name w:val="正文文本缩进 3 Char"/>
    <w:link w:val="1101"/>
    <w:uiPriority w:val="0"/>
    <w:qFormat/>
    <w:rPr>
      <w:rFonts w:ascii="Arial" w:hAnsi="Arial" w:eastAsia="仿宋_GB2312" w:cs="Arial"/>
      <w:color w:val="ffff00"/>
      <w:sz w:val="32"/>
      <w:szCs w:val="32"/>
    </w:rPr>
  </w:style>
  <w:style w:type="paragraph" w:styleId="1103" w:customStyle="1">
    <w:name w:val="图表目录1"/>
    <w:basedOn w:val="857"/>
    <w:next w:val="857"/>
    <w:uiPriority w:val="0"/>
    <w:semiHidden/>
    <w:qFormat/>
    <w:pPr>
      <w:ind w:left="840" w:hanging="420"/>
    </w:pPr>
  </w:style>
  <w:style w:type="paragraph" w:styleId="1104" w:customStyle="1">
    <w:name w:val="目录 21"/>
    <w:basedOn w:val="857"/>
    <w:next w:val="857"/>
    <w:uiPriority w:val="0"/>
    <w:semiHidden/>
    <w:qFormat/>
    <w:pPr>
      <w:ind w:left="210"/>
      <w:jc w:val="left"/>
    </w:pPr>
    <w:rPr>
      <w:smallCaps/>
      <w:szCs w:val="24"/>
    </w:rPr>
  </w:style>
  <w:style w:type="paragraph" w:styleId="1105" w:customStyle="1">
    <w:name w:val="目录 91"/>
    <w:basedOn w:val="857"/>
    <w:next w:val="857"/>
    <w:uiPriority w:val="0"/>
    <w:semiHidden/>
    <w:qFormat/>
    <w:pPr>
      <w:ind w:left="1680"/>
      <w:jc w:val="left"/>
    </w:pPr>
  </w:style>
  <w:style w:type="paragraph" w:styleId="1106" w:customStyle="1">
    <w:name w:val="正文文本 21"/>
    <w:basedOn w:val="857"/>
    <w:link w:val="1107"/>
    <w:uiPriority w:val="0"/>
    <w:qFormat/>
    <w:pPr>
      <w:jc w:val="center"/>
      <w:widowControl/>
    </w:pPr>
    <w:rPr>
      <w:rFonts w:ascii="楷体_GB2312" w:eastAsia="楷体_GB2312"/>
      <w:sz w:val="28"/>
      <w:szCs w:val="28"/>
    </w:rPr>
  </w:style>
  <w:style w:type="character" w:styleId="1107" w:customStyle="1">
    <w:name w:val="正文文本 2 Char"/>
    <w:link w:val="1106"/>
    <w:uiPriority w:val="0"/>
    <w:qFormat/>
    <w:rPr>
      <w:rFonts w:ascii="楷体_GB2312" w:hAnsi="Times New Roman" w:eastAsia="楷体_GB2312" w:cs="Times New Roman"/>
      <w:sz w:val="28"/>
      <w:szCs w:val="28"/>
    </w:rPr>
  </w:style>
  <w:style w:type="paragraph" w:styleId="1108" w:customStyle="1">
    <w:name w:val="普通(网站)1"/>
    <w:basedOn w:val="857"/>
    <w:uiPriority w:val="99"/>
    <w:qFormat/>
    <w:pPr>
      <w:jc w:val="left"/>
      <w:spacing w:before="100" w:beforeAutospacing="1" w:after="100" w:afterAutospacing="1"/>
      <w:widowControl/>
    </w:pPr>
    <w:rPr>
      <w:rFonts w:ascii="宋体" w:hAnsi="宋体" w:cs="宋体"/>
      <w:sz w:val="24"/>
      <w:szCs w:val="24"/>
    </w:rPr>
  </w:style>
  <w:style w:type="paragraph" w:styleId="1109" w:customStyle="1">
    <w:name w:val="索引 11"/>
    <w:basedOn w:val="857"/>
    <w:next w:val="857"/>
    <w:uiPriority w:val="0"/>
    <w:semiHidden/>
    <w:qFormat/>
    <w:pPr>
      <w:spacing w:line="240" w:lineRule="atLeast"/>
    </w:pPr>
    <w:rPr>
      <w:b/>
      <w:bCs/>
    </w:rPr>
  </w:style>
  <w:style w:type="paragraph" w:styleId="1110" w:customStyle="1">
    <w:name w:val="批注主题1"/>
    <w:basedOn w:val="1072"/>
    <w:next w:val="1072"/>
    <w:link w:val="1111"/>
    <w:uiPriority w:val="0"/>
    <w:semiHidden/>
    <w:qFormat/>
    <w:rPr>
      <w:b/>
      <w:bCs/>
    </w:rPr>
  </w:style>
  <w:style w:type="character" w:styleId="1111" w:customStyle="1">
    <w:name w:val="批注主题 Char"/>
    <w:link w:val="1110"/>
    <w:uiPriority w:val="0"/>
    <w:semiHidden/>
    <w:qFormat/>
    <w:rPr>
      <w:rFonts w:ascii="Times New Roman" w:hAnsi="Times New Roman" w:eastAsia="宋体" w:cs="Times New Roman"/>
      <w:b/>
      <w:bCs/>
      <w:szCs w:val="21"/>
    </w:rPr>
  </w:style>
  <w:style w:type="paragraph" w:styleId="1112" w:customStyle="1">
    <w:name w:val="正文首行缩进1"/>
    <w:basedOn w:val="857"/>
    <w:link w:val="1113"/>
    <w:uiPriority w:val="0"/>
    <w:qFormat/>
    <w:pPr>
      <w:ind w:firstLine="200"/>
      <w:spacing w:line="360" w:lineRule="auto"/>
    </w:pPr>
    <w:rPr>
      <w:rFonts w:ascii="仿宋_GB2312" w:eastAsia="仿宋_GB2312"/>
      <w:sz w:val="30"/>
      <w:szCs w:val="30"/>
    </w:rPr>
  </w:style>
  <w:style w:type="character" w:styleId="1113" w:customStyle="1">
    <w:name w:val="正文首行缩进 Char"/>
    <w:link w:val="1112"/>
    <w:uiPriority w:val="0"/>
    <w:qFormat/>
    <w:rPr>
      <w:rFonts w:ascii="仿宋_GB2312" w:hAnsi="Times New Roman" w:eastAsia="仿宋_GB2312" w:cs="Times New Roman"/>
      <w:sz w:val="30"/>
      <w:szCs w:val="30"/>
    </w:rPr>
  </w:style>
  <w:style w:type="paragraph" w:styleId="1114" w:customStyle="1">
    <w:name w:val="正文首行缩进 21"/>
    <w:basedOn w:val="1079"/>
    <w:link w:val="1115"/>
    <w:uiPriority w:val="0"/>
    <w:qFormat/>
    <w:pPr>
      <w:ind w:firstLine="420"/>
      <w:spacing w:line="360" w:lineRule="auto"/>
    </w:pPr>
    <w:rPr>
      <w:rFonts w:ascii="宋体" w:hAnsi="宋体" w:eastAsia="宋体"/>
      <w:sz w:val="21"/>
      <w:szCs w:val="20"/>
    </w:rPr>
  </w:style>
  <w:style w:type="character" w:styleId="1115" w:customStyle="1">
    <w:name w:val="正文首行缩进 2 Char"/>
    <w:link w:val="1114"/>
    <w:uiPriority w:val="0"/>
    <w:qFormat/>
    <w:rPr>
      <w:rFonts w:ascii="宋体" w:hAnsi="宋体" w:eastAsia="宋体" w:cs="Times New Roman"/>
      <w:sz w:val="32"/>
      <w:szCs w:val="20"/>
    </w:rPr>
  </w:style>
  <w:style w:type="table" w:styleId="1116" w:customStyle="1">
    <w:name w:val="网格型1"/>
    <w:basedOn w:val="1057"/>
    <w:uiPriority w:val="0"/>
    <w:qFormat/>
    <w:pPr>
      <w:jc w:val="both"/>
      <w:widowControl w:val="off"/>
    </w:pPr>
    <w:rPr>
      <w:rFonts w:ascii="Times New Roman" w:hAnsi="Times New Roman" w:eastAsia="宋体" w:cs="Times New Roman"/>
      <w:sz w:val="20"/>
      <w:szCs w:val="20"/>
    </w:rPr>
    <w:tblPr/>
  </w:style>
  <w:style w:type="character" w:styleId="1117" w:customStyle="1">
    <w:name w:val="要点1"/>
    <w:link w:val="857"/>
    <w:uiPriority w:val="0"/>
    <w:qFormat/>
    <w:rPr>
      <w:b/>
      <w:bCs/>
    </w:rPr>
  </w:style>
  <w:style w:type="character" w:styleId="1118" w:customStyle="1">
    <w:name w:val="页码1"/>
    <w:link w:val="857"/>
    <w:uiPriority w:val="0"/>
    <w:qFormat/>
  </w:style>
  <w:style w:type="character" w:styleId="1119" w:customStyle="1">
    <w:name w:val="已访问的超链接1"/>
    <w:link w:val="857"/>
    <w:uiPriority w:val="0"/>
    <w:qFormat/>
    <w:rPr>
      <w:color w:val="800080"/>
      <w:u w:val="single"/>
    </w:rPr>
  </w:style>
  <w:style w:type="character" w:styleId="1120" w:customStyle="1">
    <w:name w:val="超链接1"/>
    <w:link w:val="857"/>
    <w:uiPriority w:val="0"/>
    <w:qFormat/>
    <w:rPr>
      <w:color w:val="0000ff"/>
      <w:u w:val="single"/>
    </w:rPr>
  </w:style>
  <w:style w:type="character" w:styleId="1121" w:customStyle="1">
    <w:name w:val="批注引用1"/>
    <w:link w:val="857"/>
    <w:uiPriority w:val="0"/>
    <w:semiHidden/>
    <w:qFormat/>
    <w:rPr>
      <w:sz w:val="21"/>
      <w:szCs w:val="21"/>
    </w:rPr>
  </w:style>
  <w:style w:type="character" w:styleId="1122" w:customStyle="1">
    <w:name w:val="font5 Char"/>
    <w:link w:val="857"/>
    <w:uiPriority w:val="0"/>
    <w:qFormat/>
    <w:rPr>
      <w:rFonts w:ascii="宋体" w:hAnsi="宋体" w:eastAsia="宋体"/>
      <w:sz w:val="28"/>
      <w:szCs w:val="28"/>
      <w:lang w:val="en-US" w:eastAsia="zh-CN" w:bidi="ar-SA"/>
    </w:rPr>
  </w:style>
  <w:style w:type="character" w:styleId="1123" w:customStyle="1">
    <w:name w:val="二级目录 Char"/>
    <w:link w:val="1124"/>
    <w:uiPriority w:val="0"/>
    <w:qFormat/>
    <w:rPr>
      <w:b/>
      <w:sz w:val="30"/>
      <w:szCs w:val="28"/>
    </w:rPr>
  </w:style>
  <w:style w:type="paragraph" w:styleId="1124" w:customStyle="1">
    <w:name w:val="二级目录"/>
    <w:next w:val="857"/>
    <w:link w:val="112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25" w:customStyle="1">
    <w:name w:val="列出段落 Char"/>
    <w:link w:val="1126"/>
    <w:uiPriority w:val="0"/>
    <w:qFormat/>
    <w:rPr>
      <w:rFonts w:ascii="Calibri" w:hAnsi="Calibri"/>
      <w:sz w:val="24"/>
      <w:szCs w:val="24"/>
      <w:lang w:eastAsia="en-US" w:bidi="en-US"/>
    </w:rPr>
  </w:style>
  <w:style w:type="paragraph" w:styleId="1126" w:customStyle="1">
    <w:name w:val="列出段落1"/>
    <w:basedOn w:val="857"/>
    <w:link w:val="1125"/>
    <w:uiPriority w:val="0"/>
    <w:qFormat/>
    <w:pPr>
      <w:contextualSpacing/>
      <w:ind w:left="720"/>
      <w:jc w:val="left"/>
      <w:widowControl/>
    </w:pPr>
    <w:rPr>
      <w:rFonts w:ascii="Calibri" w:hAnsi="Calibri" w:eastAsia="宋体" w:cs="Times New Roman"/>
      <w:sz w:val="24"/>
      <w:szCs w:val="24"/>
      <w:lang w:eastAsia="en-US" w:bidi="en-US"/>
    </w:rPr>
  </w:style>
  <w:style w:type="paragraph" w:styleId="1127" w:customStyle="1">
    <w:name w:val="Body Text(ch)"/>
    <w:basedOn w:val="857"/>
    <w:next w:val="1076"/>
    <w:uiPriority w:val="0"/>
    <w:qFormat/>
    <w:pPr>
      <w:spacing w:after="120"/>
    </w:pPr>
    <w:rPr>
      <w:rFonts w:ascii="宋体" w:hAnsi="Arial"/>
      <w:bCs/>
      <w:iCs/>
      <w:szCs w:val="24"/>
    </w:rPr>
  </w:style>
  <w:style w:type="paragraph" w:styleId="1128" w:customStyle="1">
    <w:name w:val="xl27"/>
    <w:basedOn w:val="8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xl26"/>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0" w:customStyle="1">
    <w:name w:val="Char"/>
    <w:basedOn w:val="857"/>
    <w:uiPriority w:val="0"/>
    <w:qFormat/>
    <w:pPr>
      <w:ind w:firstLine="200"/>
      <w:tabs>
        <w:tab w:val="left" w:pos="360" w:leader="none"/>
      </w:tabs>
    </w:pPr>
    <w:rPr>
      <w:sz w:val="28"/>
      <w:szCs w:val="30"/>
    </w:rPr>
  </w:style>
  <w:style w:type="paragraph" w:styleId="1131" w:customStyle="1">
    <w:name w:val=" Char"/>
    <w:basedOn w:val="1070"/>
    <w:uiPriority w:val="0"/>
    <w:qFormat/>
    <w:rPr>
      <w:rFonts w:ascii="Tahoma" w:hAnsi="Tahoma"/>
      <w:sz w:val="24"/>
      <w:szCs w:val="24"/>
    </w:rPr>
  </w:style>
  <w:style w:type="paragraph" w:styleId="1132" w:customStyle="1">
    <w:name w:val="普通正文"/>
    <w:basedOn w:val="857"/>
    <w:uiPriority w:val="0"/>
    <w:qFormat/>
    <w:pPr>
      <w:ind w:firstLine="480"/>
      <w:jc w:val="left"/>
      <w:spacing w:before="120" w:after="120" w:line="360" w:lineRule="auto"/>
    </w:pPr>
    <w:rPr>
      <w:rFonts w:ascii="Arial" w:hAnsi="Arial"/>
      <w:sz w:val="24"/>
      <w:szCs w:val="24"/>
    </w:rPr>
  </w:style>
  <w:style w:type="paragraph" w:styleId="1133" w:customStyle="1">
    <w:name w:val="table_lines"/>
    <w:basedOn w:val="857"/>
    <w:uiPriority w:val="0"/>
    <w:qFormat/>
    <w:pPr>
      <w:jc w:val="left"/>
      <w:widowControl/>
    </w:pPr>
    <w:rPr>
      <w:sz w:val="20"/>
      <w:szCs w:val="20"/>
      <w:lang w:val="de-DE" w:eastAsia="de-DE"/>
    </w:rPr>
  </w:style>
  <w:style w:type="paragraph" w:styleId="113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5" w:customStyle="1">
    <w:name w:val="font7"/>
    <w:basedOn w:val="857"/>
    <w:uiPriority w:val="0"/>
    <w:qFormat/>
    <w:pPr>
      <w:jc w:val="left"/>
      <w:spacing w:before="100" w:beforeAutospacing="1" w:after="100" w:afterAutospacing="1"/>
      <w:widowControl/>
    </w:pPr>
    <w:rPr>
      <w:rFonts w:hint="eastAsia" w:ascii="宋体" w:hAnsi="宋体"/>
      <w:sz w:val="18"/>
      <w:szCs w:val="18"/>
    </w:rPr>
  </w:style>
  <w:style w:type="paragraph" w:styleId="1136" w:customStyle="1">
    <w:name w:val=" Char Char Char Char"/>
    <w:basedOn w:val="1070"/>
    <w:uiPriority w:val="0"/>
    <w:qFormat/>
    <w:pPr>
      <w:spacing w:line="360" w:lineRule="auto"/>
    </w:pPr>
    <w:rPr>
      <w:rFonts w:ascii="Tahoma" w:hAnsi="Tahoma"/>
      <w:sz w:val="24"/>
      <w:szCs w:val="24"/>
    </w:rPr>
  </w:style>
  <w:style w:type="paragraph" w:styleId="1137" w:customStyle="1">
    <w:name w:val="列出段落"/>
    <w:basedOn w:val="857"/>
    <w:uiPriority w:val="0"/>
    <w:qFormat/>
    <w:pPr>
      <w:contextualSpacing/>
      <w:ind w:left="720"/>
      <w:jc w:val="left"/>
      <w:widowControl/>
    </w:pPr>
    <w:rPr>
      <w:rFonts w:ascii="Calibri" w:hAnsi="Calibri"/>
      <w:sz w:val="24"/>
      <w:szCs w:val="24"/>
      <w:lang w:eastAsia="en-US" w:bidi="en-US"/>
    </w:rPr>
  </w:style>
  <w:style w:type="paragraph" w:styleId="1138" w:customStyle="1">
    <w:name w:val="4"/>
    <w:basedOn w:val="857"/>
    <w:next w:val="1101"/>
    <w:uiPriority w:val="0"/>
    <w:qFormat/>
    <w:pPr>
      <w:ind w:firstLine="420"/>
      <w:spacing w:line="360" w:lineRule="auto"/>
    </w:pPr>
    <w:rPr>
      <w:color w:val="ff0000"/>
      <w:sz w:val="24"/>
      <w:szCs w:val="24"/>
    </w:rPr>
  </w:style>
  <w:style w:type="paragraph" w:styleId="1139" w:customStyle="1">
    <w:name w:val="普通 (Web)"/>
    <w:basedOn w:val="857"/>
    <w:uiPriority w:val="0"/>
    <w:qFormat/>
    <w:pPr>
      <w:jc w:val="left"/>
      <w:spacing w:before="100" w:beforeAutospacing="1" w:after="100" w:afterAutospacing="1"/>
      <w:widowControl/>
    </w:pPr>
    <w:rPr>
      <w:rFonts w:ascii="宋体" w:hAnsi="宋体"/>
      <w:sz w:val="24"/>
      <w:szCs w:val="24"/>
    </w:rPr>
  </w:style>
  <w:style w:type="paragraph" w:styleId="1140" w:customStyle="1">
    <w:name w:val=" Char Char Char Char Char Char Char Char Char Char"/>
    <w:basedOn w:val="857"/>
    <w:uiPriority w:val="0"/>
    <w:qFormat/>
    <w:pPr>
      <w:spacing w:line="360" w:lineRule="auto"/>
    </w:pPr>
    <w:rPr>
      <w:sz w:val="24"/>
      <w:szCs w:val="20"/>
    </w:rPr>
  </w:style>
  <w:style w:type="paragraph" w:styleId="1141" w:customStyle="1">
    <w:name w:val="样式1"/>
    <w:basedOn w:val="857"/>
    <w:uiPriority w:val="0"/>
    <w:qFormat/>
    <w:pPr>
      <w:numPr>
        <w:ilvl w:val="0"/>
        <w:numId w:val="3"/>
      </w:numPr>
    </w:pPr>
    <w:rPr>
      <w:rFonts w:ascii="宋体" w:hAnsi="宋体"/>
    </w:rPr>
  </w:style>
  <w:style w:type="paragraph" w:styleId="1142" w:customStyle="1">
    <w:name w:val="font6"/>
    <w:basedOn w:val="857"/>
    <w:uiPriority w:val="0"/>
    <w:qFormat/>
    <w:pPr>
      <w:jc w:val="left"/>
      <w:spacing w:before="100" w:beforeAutospacing="1" w:after="100" w:afterAutospacing="1"/>
      <w:widowControl/>
    </w:pPr>
    <w:rPr>
      <w:rFonts w:hint="eastAsia" w:ascii="宋体" w:hAnsi="宋体"/>
      <w:sz w:val="28"/>
      <w:szCs w:val="28"/>
      <w:u w:val="single"/>
    </w:rPr>
  </w:style>
  <w:style w:type="paragraph" w:styleId="1143" w:customStyle="1">
    <w:name w:val="xl25"/>
    <w:basedOn w:val="8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4" w:customStyle="1">
    <w:name w:val="图标"/>
    <w:basedOn w:val="857"/>
    <w:next w:val="8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5" w:customStyle="1">
    <w:name w:val="标题3"/>
    <w:basedOn w:val="857"/>
    <w:next w:val="857"/>
    <w:uiPriority w:val="0"/>
    <w:qFormat/>
    <w:pPr>
      <w:ind w:firstLine="624"/>
      <w:spacing w:line="590" w:lineRule="atLeast"/>
    </w:pPr>
    <w:rPr>
      <w:rFonts w:ascii="方正黑体_GBK" w:eastAsia="方正黑体_GBK"/>
      <w:sz w:val="32"/>
      <w:szCs w:val="32"/>
    </w:rPr>
  </w:style>
  <w:style w:type="paragraph" w:styleId="1146" w:customStyle="1">
    <w:name w:val="xl24"/>
    <w:basedOn w:val="8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7" w:customStyle="1">
    <w:name w:val="xl29"/>
    <w:basedOn w:val="85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8" w:customStyle="1">
    <w:name w:val="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1149" w:customStyle="1">
    <w:name w:val="xl28"/>
    <w:basedOn w:val="8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0" w:customStyle="1">
    <w:name w:val=" 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1151" w:customStyle="1">
    <w:name w:val="xl30"/>
    <w:basedOn w:val="857"/>
    <w:uiPriority w:val="0"/>
    <w:qFormat/>
    <w:pPr>
      <w:jc w:val="center"/>
      <w:spacing w:before="100" w:beforeAutospacing="1" w:after="100" w:afterAutospacing="1"/>
      <w:widowControl/>
    </w:pPr>
    <w:rPr>
      <w:rFonts w:ascii="宋体" w:hAnsi="宋体"/>
      <w:b/>
      <w:bCs/>
      <w:sz w:val="36"/>
      <w:szCs w:val="36"/>
    </w:rPr>
  </w:style>
  <w:style w:type="paragraph" w:styleId="1152" w:customStyle="1">
    <w:name w:val="Char Char Char Char"/>
    <w:basedOn w:val="1070"/>
    <w:uiPriority w:val="0"/>
    <w:qFormat/>
    <w:pPr>
      <w:spacing w:line="360" w:lineRule="auto"/>
    </w:pPr>
    <w:rPr>
      <w:rFonts w:ascii="Tahoma" w:hAnsi="Tahoma"/>
      <w:sz w:val="24"/>
      <w:szCs w:val="24"/>
    </w:rPr>
  </w:style>
  <w:style w:type="paragraph" w:styleId="1153" w:customStyle="1">
    <w:name w:val="table_1stline"/>
    <w:basedOn w:val="857"/>
    <w:uiPriority w:val="0"/>
    <w:qFormat/>
    <w:pPr>
      <w:jc w:val="left"/>
      <w:spacing w:before="120"/>
      <w:widowControl/>
    </w:pPr>
    <w:rPr>
      <w:bCs/>
      <w:sz w:val="20"/>
      <w:szCs w:val="20"/>
      <w:lang w:val="de-DE" w:eastAsia="de-DE"/>
    </w:rPr>
  </w:style>
  <w:style w:type="paragraph" w:styleId="1154" w:customStyle="1">
    <w:name w:val="font5"/>
    <w:basedOn w:val="857"/>
    <w:uiPriority w:val="0"/>
    <w:qFormat/>
    <w:pPr>
      <w:jc w:val="left"/>
      <w:spacing w:before="100" w:beforeAutospacing="1" w:after="100" w:afterAutospacing="1"/>
      <w:widowControl/>
    </w:pPr>
    <w:rPr>
      <w:rFonts w:hint="eastAsia" w:ascii="宋体" w:hAnsi="宋体"/>
      <w:sz w:val="28"/>
      <w:szCs w:val="28"/>
    </w:rPr>
  </w:style>
  <w:style w:type="paragraph" w:styleId="1155" w:customStyle="1">
    <w:name w:val="标题1"/>
    <w:basedOn w:val="857"/>
    <w:next w:val="8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158" w:customStyle="1">
    <w:name w:val="font41"/>
    <w:link w:val="857"/>
    <w:uiPriority w:val="0"/>
    <w:qFormat/>
    <w:rPr>
      <w:rFonts w:ascii="Times New Roman" w:hAnsi="Times New Roman" w:cs="Times New Roman"/>
      <w:color w:val="000000"/>
      <w:sz w:val="20"/>
      <w:szCs w:val="20"/>
      <w:u w:val="none"/>
    </w:rPr>
  </w:style>
  <w:style w:type="character" w:styleId="1159" w:customStyle="1">
    <w:name w:val="font21"/>
    <w:link w:val="857"/>
    <w:uiPriority w:val="0"/>
    <w:qFormat/>
    <w:rPr>
      <w:rFonts w:hint="eastAsia" w:ascii="宋体" w:hAnsi="宋体" w:eastAsia="宋体" w:cs="宋体"/>
      <w:b/>
      <w:bCs/>
      <w:color w:val="000000"/>
      <w:sz w:val="20"/>
      <w:szCs w:val="20"/>
      <w:u w:val="none"/>
    </w:rPr>
  </w:style>
  <w:style w:type="character" w:styleId="1160" w:customStyle="1">
    <w:name w:val="font31"/>
    <w:link w:val="857"/>
    <w:uiPriority w:val="0"/>
    <w:qFormat/>
    <w:rPr>
      <w:rFonts w:ascii="Times New Roman" w:hAnsi="Times New Roman" w:cs="Times New Roman"/>
      <w:color w:val="000000"/>
      <w:sz w:val="20"/>
      <w:szCs w:val="20"/>
      <w:u w:val="none"/>
    </w:r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8" textRotate="1"/>
    <customShpInfo spid="_x0000_s4097" textRotate="1"/>
    <customShpInfo spid="_x0000_s4101" textRotate="1"/>
    <customShpInfo spid="_x0000_s4099" textRotate="1"/>
    <customShpInfo spid="_x0000_s4100" textRotate="1"/>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曹瑜</cp:lastModifiedBy>
  <cp:revision>15</cp:revision>
  <dcterms:created xsi:type="dcterms:W3CDTF">2023-03-16T02:16:00Z</dcterms:created>
  <dcterms:modified xsi:type="dcterms:W3CDTF">2026-10-30T06:13:35Z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2052-11.8.2.12265</vt:lpwstr>
  </property>
  <property fmtid="{D5CDD505-2E9C-101B-9397-08002B2CF9AE}" pid="4" name="ICV">
    <vt:lpwstr>CE447ACFC7D442F5869170EB2CF9C89F_12</vt:lpwstr>
  </property>
</Properties>
</file>