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D4855">
      <w:pPr>
        <w:pageBreakBefore w:val="0"/>
        <w:kinsoku/>
        <w:wordWrap/>
        <w:overflowPunct/>
        <w:topLinePunct w:val="0"/>
        <w:autoSpaceDE/>
        <w:autoSpaceDN/>
        <w:bidi w:val="0"/>
        <w:spacing w:line="360" w:lineRule="auto"/>
        <w:jc w:val="right"/>
        <w:textAlignment w:val="auto"/>
        <w:rPr>
          <w:rFonts w:hint="eastAsia" w:ascii="Times New Roman" w:hAnsi="Times New Roman" w:eastAsia="宋体" w:cs="宋体"/>
          <w:color w:val="000000" w:themeColor="text1"/>
          <w:sz w:val="36"/>
          <w:highlight w:val="none"/>
          <w14:textFill>
            <w14:solidFill>
              <w14:schemeClr w14:val="tx1"/>
            </w14:solidFill>
          </w14:textFill>
        </w:rPr>
      </w:pPr>
    </w:p>
    <w:p w14:paraId="37A33CB1">
      <w:pPr>
        <w:pageBreakBefore w:val="0"/>
        <w:kinsoku/>
        <w:wordWrap/>
        <w:overflowPunct/>
        <w:topLinePunct w:val="0"/>
        <w:autoSpaceDE/>
        <w:autoSpaceDN/>
        <w:bidi w:val="0"/>
        <w:spacing w:line="360" w:lineRule="auto"/>
        <w:jc w:val="center"/>
        <w:textAlignment w:val="auto"/>
        <w:rPr>
          <w:rFonts w:ascii="Arial" w:hAnsi="Arial" w:eastAsia="黑体" w:cs="Arial"/>
          <w:b/>
          <w:color w:val="000000" w:themeColor="text1"/>
          <w:sz w:val="84"/>
          <w:szCs w:val="84"/>
          <w:highlight w:val="none"/>
          <w14:textFill>
            <w14:solidFill>
              <w14:schemeClr w14:val="tx1"/>
            </w14:solidFill>
          </w14:textFill>
        </w:rPr>
      </w:pPr>
    </w:p>
    <w:p w14:paraId="52C17442">
      <w:pPr>
        <w:pageBreakBefore w:val="0"/>
        <w:kinsoku/>
        <w:wordWrap/>
        <w:overflowPunct/>
        <w:topLinePunct w:val="0"/>
        <w:autoSpaceDE/>
        <w:autoSpaceDN/>
        <w:bidi w:val="0"/>
        <w:spacing w:line="360" w:lineRule="auto"/>
        <w:jc w:val="center"/>
        <w:textAlignment w:val="auto"/>
        <w:rPr>
          <w:rFonts w:ascii="Arial" w:hAnsi="Arial" w:eastAsia="黑体" w:cs="Arial"/>
          <w:b/>
          <w:color w:val="000000" w:themeColor="text1"/>
          <w:sz w:val="84"/>
          <w:szCs w:val="84"/>
          <w:highlight w:val="none"/>
          <w14:textFill>
            <w14:solidFill>
              <w14:schemeClr w14:val="tx1"/>
            </w14:solidFill>
          </w14:textFill>
        </w:rPr>
      </w:pPr>
    </w:p>
    <w:p w14:paraId="74317CCB">
      <w:pPr>
        <w:pageBreakBefore w:val="0"/>
        <w:kinsoku/>
        <w:wordWrap/>
        <w:overflowPunct/>
        <w:topLinePunct w:val="0"/>
        <w:autoSpaceDE/>
        <w:autoSpaceDN/>
        <w:bidi w:val="0"/>
        <w:spacing w:line="360" w:lineRule="auto"/>
        <w:jc w:val="center"/>
        <w:textAlignment w:val="auto"/>
        <w:rPr>
          <w:rFonts w:ascii="Arial" w:hAnsi="Arial" w:eastAsia="黑体" w:cs="Arial"/>
          <w:b/>
          <w:color w:val="000000" w:themeColor="text1"/>
          <w:sz w:val="84"/>
          <w:szCs w:val="84"/>
          <w:highlight w:val="none"/>
          <w14:textFill>
            <w14:solidFill>
              <w14:schemeClr w14:val="tx1"/>
            </w14:solidFill>
          </w14:textFill>
        </w:rPr>
      </w:pPr>
      <w:r>
        <w:rPr>
          <w:rFonts w:ascii="Arial" w:hAnsi="Arial" w:eastAsia="黑体" w:cs="Arial"/>
          <w:b/>
          <w:color w:val="000000" w:themeColor="text1"/>
          <w:sz w:val="84"/>
          <w:szCs w:val="84"/>
          <w:highlight w:val="none"/>
          <w14:textFill>
            <w14:solidFill>
              <w14:schemeClr w14:val="tx1"/>
            </w14:solidFill>
          </w14:textFill>
        </w:rPr>
        <w:t>招 标 文 件</w:t>
      </w:r>
    </w:p>
    <w:p w14:paraId="2FC2D20C">
      <w:pPr>
        <w:pageBreakBefore w:val="0"/>
        <w:kinsoku/>
        <w:wordWrap/>
        <w:overflowPunct/>
        <w:topLinePunct w:val="0"/>
        <w:autoSpaceDE/>
        <w:autoSpaceDN/>
        <w:bidi w:val="0"/>
        <w:spacing w:before="240" w:after="240" w:line="360" w:lineRule="auto"/>
        <w:jc w:val="center"/>
        <w:textAlignment w:val="auto"/>
        <w:rPr>
          <w:rFonts w:ascii="Arial" w:hAnsi="Arial" w:eastAsia="黑体" w:cs="Arial"/>
          <w:b/>
          <w:color w:val="000000" w:themeColor="text1"/>
          <w:sz w:val="72"/>
          <w:highlight w:val="none"/>
          <w14:textFill>
            <w14:solidFill>
              <w14:schemeClr w14:val="tx1"/>
            </w14:solidFill>
          </w14:textFill>
        </w:rPr>
      </w:pPr>
    </w:p>
    <w:p w14:paraId="4AE6F7D3">
      <w:pPr>
        <w:pageBreakBefore w:val="0"/>
        <w:kinsoku/>
        <w:wordWrap/>
        <w:overflowPunct/>
        <w:topLinePunct w:val="0"/>
        <w:autoSpaceDE/>
        <w:autoSpaceDN/>
        <w:bidi w:val="0"/>
        <w:spacing w:before="240" w:after="240" w:line="360" w:lineRule="auto"/>
        <w:ind w:left="3247" w:leftChars="475" w:hanging="2249" w:hangingChars="700"/>
        <w:textAlignment w:val="auto"/>
        <w:rPr>
          <w:rFonts w:hint="eastAsia" w:ascii="黑体" w:hAnsi="黑体" w:eastAsia="黑体" w:cs="Arial"/>
          <w:b/>
          <w:color w:val="000000" w:themeColor="text1"/>
          <w:sz w:val="32"/>
          <w:highlight w:val="none"/>
          <w:lang w:val="en-US" w:eastAsia="zh-CN"/>
          <w14:textFill>
            <w14:solidFill>
              <w14:schemeClr w14:val="tx1"/>
            </w14:solidFill>
          </w14:textFill>
        </w:rPr>
      </w:pPr>
      <w:r>
        <w:rPr>
          <w:rFonts w:hint="eastAsia" w:ascii="黑体" w:hAnsi="黑体" w:eastAsia="黑体" w:cs="Arial"/>
          <w:b/>
          <w:color w:val="000000" w:themeColor="text1"/>
          <w:sz w:val="32"/>
          <w:highlight w:val="none"/>
          <w14:textFill>
            <w14:solidFill>
              <w14:schemeClr w14:val="tx1"/>
            </w14:solidFill>
          </w14:textFill>
        </w:rPr>
        <w:t>项目</w:t>
      </w:r>
      <w:r>
        <w:rPr>
          <w:rFonts w:ascii="黑体" w:hAnsi="黑体" w:eastAsia="黑体" w:cs="Arial"/>
          <w:b/>
          <w:color w:val="000000" w:themeColor="text1"/>
          <w:sz w:val="32"/>
          <w:highlight w:val="none"/>
          <w14:textFill>
            <w14:solidFill>
              <w14:schemeClr w14:val="tx1"/>
            </w14:solidFill>
          </w14:textFill>
        </w:rPr>
        <w:t>编号：</w:t>
      </w:r>
      <w:r>
        <w:rPr>
          <w:rFonts w:hint="eastAsia" w:ascii="黑体" w:hAnsi="黑体" w:eastAsia="黑体" w:cs="Arial"/>
          <w:b/>
          <w:color w:val="000000" w:themeColor="text1"/>
          <w:sz w:val="32"/>
          <w:highlight w:val="none"/>
          <w:lang w:eastAsia="zh-CN"/>
          <w14:textFill>
            <w14:solidFill>
              <w14:schemeClr w14:val="tx1"/>
            </w14:solidFill>
          </w14:textFill>
        </w:rPr>
        <w:t>JSZC-321000-JWJL-G2026-0003</w:t>
      </w:r>
    </w:p>
    <w:p w14:paraId="0BB89EBE">
      <w:pPr>
        <w:pageBreakBefore w:val="0"/>
        <w:kinsoku/>
        <w:wordWrap/>
        <w:overflowPunct/>
        <w:topLinePunct w:val="0"/>
        <w:autoSpaceDE/>
        <w:autoSpaceDN/>
        <w:bidi w:val="0"/>
        <w:spacing w:before="240" w:after="240" w:line="360" w:lineRule="auto"/>
        <w:ind w:left="2564" w:leftChars="456" w:hanging="1606" w:hangingChars="500"/>
        <w:textAlignment w:val="auto"/>
        <w:rPr>
          <w:rFonts w:hint="eastAsia" w:ascii="黑体" w:hAnsi="黑体" w:eastAsia="黑体" w:cs="Arial"/>
          <w:b/>
          <w:color w:val="000000" w:themeColor="text1"/>
          <w:sz w:val="32"/>
          <w:highlight w:val="none"/>
          <w14:textFill>
            <w14:solidFill>
              <w14:schemeClr w14:val="tx1"/>
            </w14:solidFill>
          </w14:textFill>
        </w:rPr>
      </w:pPr>
      <w:r>
        <w:rPr>
          <w:rFonts w:hint="eastAsia" w:ascii="黑体" w:hAnsi="黑体" w:eastAsia="黑体" w:cs="Arial"/>
          <w:b/>
          <w:color w:val="000000" w:themeColor="text1"/>
          <w:sz w:val="32"/>
          <w:highlight w:val="none"/>
          <w14:textFill>
            <w14:solidFill>
              <w14:schemeClr w14:val="tx1"/>
            </w14:solidFill>
          </w14:textFill>
        </w:rPr>
        <w:t>项目名称：</w:t>
      </w:r>
      <w:r>
        <w:rPr>
          <w:rFonts w:hint="eastAsia" w:ascii="黑体" w:hAnsi="黑体" w:eastAsia="黑体" w:cs="Arial"/>
          <w:b/>
          <w:color w:val="000000" w:themeColor="text1"/>
          <w:sz w:val="32"/>
          <w:highlight w:val="none"/>
          <w:lang w:eastAsia="zh-CN"/>
          <w14:textFill>
            <w14:solidFill>
              <w14:schemeClr w14:val="tx1"/>
            </w14:solidFill>
          </w14:textFill>
        </w:rPr>
        <w:t>扬州市检验检测中心2026年食品检验检测设备更新项目</w:t>
      </w:r>
    </w:p>
    <w:p w14:paraId="05118401">
      <w:pPr>
        <w:pageBreakBefore w:val="0"/>
        <w:kinsoku/>
        <w:wordWrap/>
        <w:overflowPunct/>
        <w:topLinePunct w:val="0"/>
        <w:autoSpaceDE/>
        <w:autoSpaceDN/>
        <w:bidi w:val="0"/>
        <w:spacing w:line="360" w:lineRule="auto"/>
        <w:jc w:val="center"/>
        <w:textAlignment w:val="auto"/>
        <w:rPr>
          <w:rFonts w:ascii="Arial" w:hAnsi="Arial" w:cs="Arial"/>
          <w:color w:val="000000" w:themeColor="text1"/>
          <w:sz w:val="28"/>
          <w:highlight w:val="none"/>
          <w14:textFill>
            <w14:solidFill>
              <w14:schemeClr w14:val="tx1"/>
            </w14:solidFill>
          </w14:textFill>
        </w:rPr>
      </w:pPr>
    </w:p>
    <w:p w14:paraId="5B26ED40">
      <w:pPr>
        <w:pageBreakBefore w:val="0"/>
        <w:kinsoku/>
        <w:wordWrap/>
        <w:overflowPunct/>
        <w:topLinePunct w:val="0"/>
        <w:autoSpaceDE/>
        <w:autoSpaceDN/>
        <w:bidi w:val="0"/>
        <w:spacing w:line="360" w:lineRule="auto"/>
        <w:jc w:val="center"/>
        <w:textAlignment w:val="auto"/>
        <w:rPr>
          <w:rFonts w:ascii="Arial" w:hAnsi="Arial" w:cs="Arial"/>
          <w:color w:val="000000" w:themeColor="text1"/>
          <w:sz w:val="28"/>
          <w:highlight w:val="none"/>
          <w14:textFill>
            <w14:solidFill>
              <w14:schemeClr w14:val="tx1"/>
            </w14:solidFill>
          </w14:textFill>
        </w:rPr>
      </w:pPr>
    </w:p>
    <w:p w14:paraId="499D2063">
      <w:pPr>
        <w:pageBreakBefore w:val="0"/>
        <w:kinsoku/>
        <w:wordWrap/>
        <w:overflowPunct/>
        <w:topLinePunct w:val="0"/>
        <w:autoSpaceDE/>
        <w:autoSpaceDN/>
        <w:bidi w:val="0"/>
        <w:spacing w:line="360" w:lineRule="auto"/>
        <w:jc w:val="center"/>
        <w:textAlignment w:val="auto"/>
        <w:rPr>
          <w:rFonts w:ascii="Arial" w:hAnsi="Arial" w:cs="Arial"/>
          <w:color w:val="000000" w:themeColor="text1"/>
          <w:sz w:val="28"/>
          <w:highlight w:val="none"/>
          <w14:textFill>
            <w14:solidFill>
              <w14:schemeClr w14:val="tx1"/>
            </w14:solidFill>
          </w14:textFill>
        </w:rPr>
      </w:pPr>
    </w:p>
    <w:p w14:paraId="0131FDA4">
      <w:pPr>
        <w:pageBreakBefore w:val="0"/>
        <w:kinsoku/>
        <w:wordWrap/>
        <w:overflowPunct/>
        <w:topLinePunct w:val="0"/>
        <w:autoSpaceDE/>
        <w:autoSpaceDN/>
        <w:bidi w:val="0"/>
        <w:spacing w:line="360" w:lineRule="auto"/>
        <w:jc w:val="both"/>
        <w:textAlignment w:val="auto"/>
        <w:rPr>
          <w:rFonts w:ascii="Arial" w:hAnsi="Arial" w:cs="Arial"/>
          <w:color w:val="000000" w:themeColor="text1"/>
          <w:sz w:val="28"/>
          <w:highlight w:val="none"/>
          <w14:textFill>
            <w14:solidFill>
              <w14:schemeClr w14:val="tx1"/>
            </w14:solidFill>
          </w14:textFill>
        </w:rPr>
      </w:pPr>
    </w:p>
    <w:p w14:paraId="0D088A65">
      <w:pPr>
        <w:pageBreakBefore w:val="0"/>
        <w:kinsoku/>
        <w:wordWrap/>
        <w:overflowPunct/>
        <w:topLinePunct w:val="0"/>
        <w:autoSpaceDE/>
        <w:autoSpaceDN/>
        <w:bidi w:val="0"/>
        <w:spacing w:line="360" w:lineRule="auto"/>
        <w:ind w:left="1680" w:hanging="504"/>
        <w:jc w:val="left"/>
        <w:textAlignment w:val="auto"/>
        <w:rPr>
          <w:rFonts w:hint="eastAsia" w:ascii="Arial" w:hAnsi="Arial" w:eastAsia="黑体" w:cs="Arial"/>
          <w:b/>
          <w:color w:val="000000" w:themeColor="text1"/>
          <w:sz w:val="32"/>
          <w:highlight w:val="none"/>
          <w:lang w:eastAsia="zh-CN"/>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采   购   人：</w:t>
      </w:r>
      <w:r>
        <w:rPr>
          <w:rFonts w:hint="eastAsia" w:ascii="Arial" w:hAnsi="Arial" w:eastAsia="黑体" w:cs="Arial"/>
          <w:b/>
          <w:color w:val="000000" w:themeColor="text1"/>
          <w:sz w:val="32"/>
          <w:highlight w:val="none"/>
          <w:lang w:eastAsia="zh-CN"/>
          <w14:textFill>
            <w14:solidFill>
              <w14:schemeClr w14:val="tx1"/>
            </w14:solidFill>
          </w14:textFill>
        </w:rPr>
        <w:t>扬州市检验检测中心</w:t>
      </w:r>
    </w:p>
    <w:p w14:paraId="4CE65F78">
      <w:pPr>
        <w:pageBreakBefore w:val="0"/>
        <w:kinsoku/>
        <w:wordWrap/>
        <w:overflowPunct/>
        <w:topLinePunct w:val="0"/>
        <w:autoSpaceDE/>
        <w:autoSpaceDN/>
        <w:bidi w:val="0"/>
        <w:spacing w:line="360" w:lineRule="auto"/>
        <w:ind w:left="1418" w:hanging="262"/>
        <w:jc w:val="left"/>
        <w:textAlignment w:val="auto"/>
        <w:rPr>
          <w:rFonts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采购代理机构：</w:t>
      </w:r>
      <w:r>
        <w:rPr>
          <w:rFonts w:hint="eastAsia" w:ascii="Arial" w:hAnsi="Arial" w:eastAsia="黑体" w:cs="Arial"/>
          <w:b/>
          <w:color w:val="000000" w:themeColor="text1"/>
          <w:sz w:val="32"/>
          <w:highlight w:val="none"/>
          <w14:textFill>
            <w14:solidFill>
              <w14:schemeClr w14:val="tx1"/>
            </w14:solidFill>
          </w14:textFill>
        </w:rPr>
        <w:t>江苏省经纬建设监理有限公司</w:t>
      </w:r>
    </w:p>
    <w:p w14:paraId="466B1269">
      <w:pPr>
        <w:pageBreakBefore w:val="0"/>
        <w:kinsoku/>
        <w:wordWrap/>
        <w:overflowPunct/>
        <w:topLinePunct w:val="0"/>
        <w:autoSpaceDE/>
        <w:autoSpaceDN/>
        <w:bidi w:val="0"/>
        <w:spacing w:line="360" w:lineRule="auto"/>
        <w:ind w:left="1418" w:hanging="262"/>
        <w:jc w:val="left"/>
        <w:textAlignment w:val="auto"/>
        <w:rPr>
          <w:rFonts w:hint="eastAsia" w:ascii="Arial" w:hAnsi="Arial" w:eastAsia="黑体" w:cs="Arial"/>
          <w:b/>
          <w:color w:val="000000" w:themeColor="text1"/>
          <w:sz w:val="32"/>
          <w:highlight w:val="none"/>
          <w14:textFill>
            <w14:solidFill>
              <w14:schemeClr w14:val="tx1"/>
            </w14:solidFill>
          </w14:textFill>
        </w:rPr>
      </w:pPr>
      <w:r>
        <w:rPr>
          <w:rFonts w:ascii="Arial" w:hAnsi="Arial" w:eastAsia="黑体" w:cs="Arial"/>
          <w:b/>
          <w:color w:val="000000" w:themeColor="text1"/>
          <w:sz w:val="32"/>
          <w:highlight w:val="none"/>
          <w14:textFill>
            <w14:solidFill>
              <w14:schemeClr w14:val="tx1"/>
            </w14:solidFill>
          </w14:textFill>
        </w:rPr>
        <w:t>日        期：二O二</w:t>
      </w:r>
      <w:r>
        <w:rPr>
          <w:rFonts w:hint="eastAsia" w:ascii="Arial" w:hAnsi="Arial" w:eastAsia="黑体" w:cs="Arial"/>
          <w:b/>
          <w:color w:val="000000" w:themeColor="text1"/>
          <w:sz w:val="32"/>
          <w:highlight w:val="none"/>
          <w14:textFill>
            <w14:solidFill>
              <w14:schemeClr w14:val="tx1"/>
            </w14:solidFill>
          </w14:textFill>
        </w:rPr>
        <w:t>六</w:t>
      </w:r>
      <w:r>
        <w:rPr>
          <w:rFonts w:ascii="Arial" w:hAnsi="Arial" w:eastAsia="黑体" w:cs="Arial"/>
          <w:b/>
          <w:color w:val="000000" w:themeColor="text1"/>
          <w:sz w:val="32"/>
          <w:highlight w:val="none"/>
          <w14:textFill>
            <w14:solidFill>
              <w14:schemeClr w14:val="tx1"/>
            </w14:solidFill>
          </w14:textFill>
        </w:rPr>
        <w:t>年</w:t>
      </w:r>
      <w:r>
        <w:rPr>
          <w:rFonts w:hint="eastAsia" w:ascii="Arial" w:hAnsi="Arial" w:eastAsia="黑体" w:cs="Arial"/>
          <w:b/>
          <w:color w:val="000000" w:themeColor="text1"/>
          <w:sz w:val="32"/>
          <w:highlight w:val="none"/>
          <w:lang w:eastAsia="zh-CN"/>
          <w14:textFill>
            <w14:solidFill>
              <w14:schemeClr w14:val="tx1"/>
            </w14:solidFill>
          </w14:textFill>
        </w:rPr>
        <w:t>十</w:t>
      </w:r>
      <w:r>
        <w:rPr>
          <w:rFonts w:hint="eastAsia" w:ascii="Arial" w:hAnsi="Arial" w:eastAsia="黑体" w:cs="Arial"/>
          <w:b/>
          <w:color w:val="000000" w:themeColor="text1"/>
          <w:sz w:val="32"/>
          <w:highlight w:val="none"/>
          <w14:textFill>
            <w14:solidFill>
              <w14:schemeClr w14:val="tx1"/>
            </w14:solidFill>
          </w14:textFill>
        </w:rPr>
        <w:t>月</w:t>
      </w:r>
      <w:r>
        <w:rPr>
          <w:rFonts w:hint="eastAsia" w:ascii="Arial" w:hAnsi="Arial" w:eastAsia="黑体" w:cs="Arial"/>
          <w:b/>
          <w:color w:val="000000" w:themeColor="text1"/>
          <w:sz w:val="32"/>
          <w:highlight w:val="none"/>
          <w:lang w:eastAsia="zh-CN"/>
          <w14:textFill>
            <w14:solidFill>
              <w14:schemeClr w14:val="tx1"/>
            </w14:solidFill>
          </w14:textFill>
        </w:rPr>
        <w:t>十日</w:t>
      </w:r>
    </w:p>
    <w:p w14:paraId="4DD7145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sz w:val="36"/>
          <w:highlight w:val="none"/>
          <w14:textFill>
            <w14:solidFill>
              <w14:schemeClr w14:val="tx1"/>
            </w14:solidFill>
          </w14:textFill>
        </w:rPr>
      </w:pPr>
    </w:p>
    <w:sdt>
      <w:sdtPr>
        <w:rPr>
          <w:rFonts w:hint="default" w:ascii="宋体" w:hAnsi="宋体" w:eastAsia="宋体" w:cs="Times New Roman"/>
          <w:color w:val="000000" w:themeColor="text1"/>
          <w:sz w:val="21"/>
          <w:szCs w:val="22"/>
          <w:highlight w:val="none"/>
          <w:lang w:val="en-US" w:eastAsia="zh-CN" w:bidi="ar-SA"/>
          <w14:textFill>
            <w14:solidFill>
              <w14:schemeClr w14:val="tx1"/>
            </w14:solidFill>
          </w14:textFill>
        </w:rPr>
        <w:id w:val="147455955"/>
        <w15:color w:val="DBDBDB"/>
        <w:docPartObj>
          <w:docPartGallery w:val="Table of Contents"/>
          <w:docPartUnique/>
        </w:docPartObj>
      </w:sdtPr>
      <w:sdtEndPr>
        <w:rPr>
          <w:rFonts w:hint="default" w:ascii="宋体" w:hAnsi="宋体" w:eastAsia="宋体" w:cs="Times New Roman"/>
          <w:color w:val="000000" w:themeColor="text1"/>
          <w:sz w:val="21"/>
          <w:szCs w:val="22"/>
          <w:highlight w:val="none"/>
          <w:lang w:val="en-US" w:eastAsia="zh-CN" w:bidi="ar-SA"/>
          <w14:textFill>
            <w14:solidFill>
              <w14:schemeClr w14:val="tx1"/>
            </w14:solidFill>
          </w14:textFill>
        </w:rPr>
      </w:sdtEndPr>
      <w:sdtContent>
        <w:p w14:paraId="245C99C1">
          <w:pPr>
            <w:keepNext w:val="0"/>
            <w:keepLines w:val="0"/>
            <w:pageBreakBefore w:val="0"/>
            <w:widowControl w:val="0"/>
            <w:kinsoku/>
            <w:wordWrap/>
            <w:overflowPunct/>
            <w:topLinePunct w:val="0"/>
            <w:autoSpaceDE/>
            <w:autoSpaceDN/>
            <w:bidi w:val="0"/>
            <w:spacing w:before="0" w:after="0" w:line="360" w:lineRule="auto"/>
            <w:ind w:left="0" w:right="0" w:firstLine="0"/>
            <w:jc w:val="center"/>
            <w:textAlignment w:val="auto"/>
            <w:rPr>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t>目录</w:t>
          </w:r>
        </w:p>
        <w:p w14:paraId="001FA2E1">
          <w:pPr>
            <w:pStyle w:val="27"/>
            <w:keepNext w:val="0"/>
            <w:keepLines w:val="0"/>
            <w:pageBreakBefore w:val="0"/>
            <w:widowControl w:val="0"/>
            <w:tabs>
              <w:tab w:val="right" w:leader="dot" w:pos="8306"/>
            </w:tabs>
            <w:kinsoku/>
            <w:wordWrap/>
            <w:overflowPunct/>
            <w:topLinePunct w:val="0"/>
            <w:autoSpaceDE/>
            <w:autoSpaceDN/>
            <w:bidi w:val="0"/>
            <w:spacing w:line="360" w:lineRule="auto"/>
            <w:textAlignment w:val="auto"/>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TOC \o "1-1" \h \u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_Toc9352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第一章 采购公告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_Toc9352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p w14:paraId="628BE60A">
          <w:pPr>
            <w:pStyle w:val="27"/>
            <w:keepNext w:val="0"/>
            <w:keepLines w:val="0"/>
            <w:pageBreakBefore w:val="0"/>
            <w:widowControl w:val="0"/>
            <w:tabs>
              <w:tab w:val="right" w:leader="dot" w:pos="8306"/>
            </w:tabs>
            <w:kinsoku/>
            <w:wordWrap/>
            <w:overflowPunct/>
            <w:topLinePunct w:val="0"/>
            <w:autoSpaceDE/>
            <w:autoSpaceDN/>
            <w:bidi w:val="0"/>
            <w:spacing w:line="360" w:lineRule="auto"/>
            <w:textAlignment w:val="auto"/>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_Toc15067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_Toc15067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5</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p w14:paraId="08845B43">
          <w:pPr>
            <w:pStyle w:val="27"/>
            <w:keepNext w:val="0"/>
            <w:keepLines w:val="0"/>
            <w:pageBreakBefore w:val="0"/>
            <w:widowControl w:val="0"/>
            <w:tabs>
              <w:tab w:val="right" w:leader="dot" w:pos="8306"/>
            </w:tabs>
            <w:kinsoku/>
            <w:wordWrap/>
            <w:overflowPunct/>
            <w:topLinePunct w:val="0"/>
            <w:autoSpaceDE/>
            <w:autoSpaceDN/>
            <w:bidi w:val="0"/>
            <w:spacing w:line="360" w:lineRule="auto"/>
            <w:textAlignment w:val="auto"/>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_Toc12895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第三章 合同条款及格式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_Toc12895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18</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p w14:paraId="0CE5A897">
          <w:pPr>
            <w:pStyle w:val="27"/>
            <w:keepNext w:val="0"/>
            <w:keepLines w:val="0"/>
            <w:pageBreakBefore w:val="0"/>
            <w:widowControl w:val="0"/>
            <w:tabs>
              <w:tab w:val="right" w:leader="dot" w:pos="8306"/>
            </w:tabs>
            <w:kinsoku/>
            <w:wordWrap/>
            <w:overflowPunct/>
            <w:topLinePunct w:val="0"/>
            <w:autoSpaceDE/>
            <w:autoSpaceDN/>
            <w:bidi w:val="0"/>
            <w:spacing w:line="360" w:lineRule="auto"/>
            <w:textAlignment w:val="auto"/>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_Toc4495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s="Arial"/>
              <w:color w:val="000000" w:themeColor="text1"/>
              <w:sz w:val="28"/>
              <w:szCs w:val="28"/>
              <w:highlight w:val="none"/>
              <w:lang w:val="en-US" w:eastAsia="zh-CN" w:bidi="ar-SA"/>
              <w14:textFill>
                <w14:solidFill>
                  <w14:schemeClr w14:val="tx1"/>
                </w14:solidFill>
              </w14:textFill>
            </w:rPr>
            <w:t xml:space="preserve">第四章 </w:t>
          </w:r>
          <w:r>
            <w:rPr>
              <w:rFonts w:hint="eastAsia" w:ascii="Times New Roman" w:hAnsi="Times New Roman" w:eastAsia="宋体"/>
              <w:color w:val="000000" w:themeColor="text1"/>
              <w:sz w:val="28"/>
              <w:szCs w:val="28"/>
              <w:highlight w:val="none"/>
              <w14:textFill>
                <w14:solidFill>
                  <w14:schemeClr w14:val="tx1"/>
                </w14:solidFill>
              </w14:textFill>
            </w:rPr>
            <w:t>项目需求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_Toc4495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22</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p w14:paraId="26E799B1">
          <w:pPr>
            <w:pStyle w:val="27"/>
            <w:keepNext w:val="0"/>
            <w:keepLines w:val="0"/>
            <w:pageBreakBefore w:val="0"/>
            <w:widowControl w:val="0"/>
            <w:tabs>
              <w:tab w:val="right" w:leader="dot" w:pos="8306"/>
            </w:tabs>
            <w:kinsoku/>
            <w:wordWrap/>
            <w:overflowPunct/>
            <w:topLinePunct w:val="0"/>
            <w:autoSpaceDE/>
            <w:autoSpaceDN/>
            <w:bidi w:val="0"/>
            <w:spacing w:line="360" w:lineRule="auto"/>
            <w:textAlignment w:val="auto"/>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_Toc821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第五章 评标方法及评标标准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_Toc821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47</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p w14:paraId="53B8EF0C">
          <w:pPr>
            <w:pStyle w:val="27"/>
            <w:keepNext w:val="0"/>
            <w:keepLines w:val="0"/>
            <w:pageBreakBefore w:val="0"/>
            <w:widowControl w:val="0"/>
            <w:tabs>
              <w:tab w:val="right" w:leader="dot" w:pos="8306"/>
            </w:tabs>
            <w:kinsoku/>
            <w:wordWrap/>
            <w:overflowPunct/>
            <w:topLinePunct w:val="0"/>
            <w:autoSpaceDE/>
            <w:autoSpaceDN/>
            <w:bidi w:val="0"/>
            <w:spacing w:line="360" w:lineRule="auto"/>
            <w:textAlignment w:val="auto"/>
            <w:rPr>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begin"/>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instrText xml:space="preserve"> HYPERLINK \l _Toc8012 </w:instrText>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separate"/>
          </w:r>
          <w:r>
            <w:rPr>
              <w:rFonts w:hint="eastAsia" w:ascii="Times New Roman" w:hAnsi="Times New Roman" w:eastAsia="宋体"/>
              <w:color w:val="000000" w:themeColor="text1"/>
              <w:sz w:val="28"/>
              <w:szCs w:val="28"/>
              <w:highlight w:val="none"/>
              <w14:textFill>
                <w14:solidFill>
                  <w14:schemeClr w14:val="tx1"/>
                </w14:solidFill>
              </w14:textFill>
            </w:rPr>
            <w:t>第六章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_Toc8012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59</w:t>
          </w:r>
          <w:r>
            <w:rPr>
              <w:color w:val="000000" w:themeColor="text1"/>
              <w:sz w:val="28"/>
              <w:szCs w:val="28"/>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p w14:paraId="31785B79">
          <w:pPr>
            <w:keepNext w:val="0"/>
            <w:keepLines w:val="0"/>
            <w:pageBreakBefore w:val="0"/>
            <w:widowControl w:val="0"/>
            <w:kinsoku/>
            <w:wordWrap/>
            <w:overflowPunct/>
            <w:topLinePunct w:val="0"/>
            <w:autoSpaceDE/>
            <w:autoSpaceDN/>
            <w:bidi w:val="0"/>
            <w:spacing w:line="360" w:lineRule="auto"/>
            <w:textAlignment w:val="auto"/>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8"/>
              <w:szCs w:val="28"/>
              <w:highlight w:val="none"/>
              <w:lang w:val="en-US" w:eastAsia="zh-CN" w:bidi="ar-SA"/>
              <w14:textFill>
                <w14:solidFill>
                  <w14:schemeClr w14:val="tx1"/>
                </w14:solidFill>
              </w14:textFill>
            </w:rPr>
            <w:fldChar w:fldCharType="end"/>
          </w:r>
        </w:p>
      </w:sdtContent>
    </w:sdt>
    <w:p w14:paraId="6DA79614">
      <w:pPr>
        <w:pageBreakBefore w:val="0"/>
        <w:kinsoku/>
        <w:wordWrap/>
        <w:overflowPunct/>
        <w:topLinePunct w:val="0"/>
        <w:autoSpaceDE/>
        <w:autoSpaceDN/>
        <w:bidi w:val="0"/>
        <w:spacing w:line="360" w:lineRule="auto"/>
        <w:textAlignment w:val="auto"/>
        <w:rPr>
          <w:rFonts w:hint="eastAsia" w:ascii="Times New Roman" w:hAnsi="Times New Roman" w:eastAsia="宋体" w:cs="Times New Roman"/>
          <w:color w:val="000000" w:themeColor="text1"/>
          <w:sz w:val="21"/>
          <w:szCs w:val="22"/>
          <w:highlight w:val="none"/>
          <w:lang w:val="en-US" w:eastAsia="zh-CN" w:bidi="ar-SA"/>
          <w14:textFill>
            <w14:solidFill>
              <w14:schemeClr w14:val="tx1"/>
            </w14:solidFill>
          </w14:textFill>
        </w:rPr>
        <w:sectPr>
          <w:headerReference r:id="rId3" w:type="default"/>
          <w:footerReference r:id="rId4" w:type="default"/>
          <w:pgSz w:w="11906" w:h="16838"/>
          <w:pgMar w:top="1440" w:right="1800" w:bottom="1440" w:left="1800" w:header="851" w:footer="992" w:gutter="0"/>
          <w:cols w:space="1701" w:num="1"/>
          <w:docGrid w:linePitch="360" w:charSpace="0"/>
        </w:sectPr>
      </w:pPr>
    </w:p>
    <w:p w14:paraId="5E439CB9">
      <w:pPr>
        <w:pStyle w:val="2"/>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bookmarkStart w:id="0" w:name="_Toc27131"/>
      <w:bookmarkStart w:id="1" w:name="_Toc27214"/>
      <w:bookmarkStart w:id="2" w:name="_Toc13036"/>
      <w:bookmarkStart w:id="3" w:name="_Toc24386"/>
      <w:bookmarkStart w:id="4" w:name="_Toc9352"/>
      <w:r>
        <w:rPr>
          <w:rFonts w:hint="eastAsia" w:ascii="Times New Roman" w:hAnsi="Times New Roman" w:eastAsia="宋体"/>
          <w:color w:val="000000" w:themeColor="text1"/>
          <w:highlight w:val="none"/>
          <w14:textFill>
            <w14:solidFill>
              <w14:schemeClr w14:val="tx1"/>
            </w14:solidFill>
          </w14:textFill>
        </w:rPr>
        <w:t xml:space="preserve">第一章 </w:t>
      </w:r>
      <w:bookmarkStart w:id="5" w:name="_Toc27417"/>
      <w:bookmarkStart w:id="6" w:name="_Toc28446"/>
      <w:r>
        <w:rPr>
          <w:rFonts w:hint="eastAsia" w:ascii="Times New Roman" w:hAnsi="Times New Roman" w:eastAsia="宋体"/>
          <w:color w:val="000000" w:themeColor="text1"/>
          <w:highlight w:val="none"/>
          <w14:textFill>
            <w14:solidFill>
              <w14:schemeClr w14:val="tx1"/>
            </w14:solidFill>
          </w14:textFill>
        </w:rPr>
        <w:t>采购公告</w:t>
      </w:r>
      <w:bookmarkEnd w:id="0"/>
      <w:bookmarkEnd w:id="1"/>
      <w:bookmarkEnd w:id="2"/>
      <w:bookmarkEnd w:id="3"/>
      <w:bookmarkEnd w:id="4"/>
      <w:bookmarkEnd w:id="5"/>
      <w:bookmarkEnd w:id="6"/>
    </w:p>
    <w:p w14:paraId="335C21A3">
      <w:pPr>
        <w:pageBreakBefore w:val="0"/>
        <w:tabs>
          <w:tab w:val="left" w:pos="266"/>
        </w:tabs>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受</w:t>
      </w:r>
      <w:r>
        <w:rPr>
          <w:rFonts w:hint="eastAsia" w:ascii="Times New Roman" w:hAnsi="Times New Roman" w:cs="宋体"/>
          <w:color w:val="000000" w:themeColor="text1"/>
          <w:highlight w:val="none"/>
          <w:lang w:eastAsia="zh-CN"/>
          <w14:textFill>
            <w14:solidFill>
              <w14:schemeClr w14:val="tx1"/>
            </w14:solidFill>
          </w14:textFill>
        </w:rPr>
        <w:t>扬州市检验检测中心</w:t>
      </w:r>
      <w:r>
        <w:rPr>
          <w:rFonts w:hint="eastAsia" w:ascii="Times New Roman" w:hAnsi="Times New Roman" w:eastAsia="宋体" w:cs="宋体"/>
          <w:color w:val="000000" w:themeColor="text1"/>
          <w:highlight w:val="none"/>
          <w14:textFill>
            <w14:solidFill>
              <w14:schemeClr w14:val="tx1"/>
            </w14:solidFill>
          </w14:textFill>
        </w:rPr>
        <w:t>的委托</w:t>
      </w:r>
      <w:r>
        <w:rPr>
          <w:rFonts w:hint="eastAsia" w:ascii="Times New Roman" w:hAnsi="Times New Roman" w:cs="宋体"/>
          <w:color w:val="000000" w:themeColor="text1"/>
          <w:highlight w:val="none"/>
          <w:lang w:eastAsia="zh-CN"/>
          <w14:textFill>
            <w14:solidFill>
              <w14:schemeClr w14:val="tx1"/>
            </w14:solidFill>
          </w14:textFill>
        </w:rPr>
        <w:t>，江苏省经纬建设监理有限公司</w:t>
      </w:r>
      <w:r>
        <w:rPr>
          <w:rFonts w:hint="eastAsia" w:ascii="Times New Roman" w:hAnsi="Times New Roman" w:eastAsia="宋体" w:cs="宋体"/>
          <w:color w:val="000000" w:themeColor="text1"/>
          <w:highlight w:val="none"/>
          <w14:textFill>
            <w14:solidFill>
              <w14:schemeClr w14:val="tx1"/>
            </w14:solidFill>
          </w14:textFill>
        </w:rPr>
        <w:t>就</w:t>
      </w:r>
      <w:r>
        <w:rPr>
          <w:rFonts w:hint="eastAsia" w:ascii="Times New Roman" w:hAnsi="Times New Roman" w:cs="宋体"/>
          <w:color w:val="000000" w:themeColor="text1"/>
          <w:highlight w:val="none"/>
          <w:lang w:eastAsia="zh-CN"/>
          <w14:textFill>
            <w14:solidFill>
              <w14:schemeClr w14:val="tx1"/>
            </w14:solidFill>
          </w14:textFill>
        </w:rPr>
        <w:t>扬州市检验检测中心2026年食品检验检测设备更新项目</w:t>
      </w:r>
      <w:r>
        <w:rPr>
          <w:rFonts w:hint="eastAsia" w:ascii="Times New Roman" w:hAnsi="Times New Roman" w:eastAsia="宋体" w:cs="宋体"/>
          <w:color w:val="000000" w:themeColor="text1"/>
          <w:highlight w:val="none"/>
          <w14:textFill>
            <w14:solidFill>
              <w14:schemeClr w14:val="tx1"/>
            </w14:solidFill>
          </w14:textFill>
        </w:rPr>
        <w:t>（</w:t>
      </w:r>
      <w:r>
        <w:rPr>
          <w:rFonts w:hint="eastAsia" w:ascii="Times New Roman" w:hAnsi="Times New Roman" w:eastAsia="宋体" w:cs="宋体"/>
          <w:color w:val="000000" w:themeColor="text1"/>
          <w:szCs w:val="21"/>
          <w:highlight w:val="none"/>
          <w:lang w:eastAsia="zh-CN"/>
          <w14:textFill>
            <w14:solidFill>
              <w14:schemeClr w14:val="tx1"/>
            </w14:solidFill>
          </w14:textFill>
        </w:rPr>
        <w:t>JSZC-321000-JWJL-G2026-0003号</w:t>
      </w:r>
      <w:r>
        <w:rPr>
          <w:rFonts w:hint="eastAsia" w:ascii="Times New Roman" w:hAnsi="Times New Roman" w:eastAsia="宋体" w:cs="宋体"/>
          <w:color w:val="000000" w:themeColor="text1"/>
          <w:szCs w:val="21"/>
          <w:highlight w:val="none"/>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进行公开招标采购</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欢迎符合条件的供应商投标。</w:t>
      </w:r>
    </w:p>
    <w:p w14:paraId="20E78D31">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项目概况</w:t>
      </w:r>
    </w:p>
    <w:p w14:paraId="19399C73">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cs="宋体"/>
          <w:color w:val="000000" w:themeColor="text1"/>
          <w:highlight w:val="none"/>
          <w:u w:val="single"/>
          <w:lang w:eastAsia="zh-CN"/>
          <w14:textFill>
            <w14:solidFill>
              <w14:schemeClr w14:val="tx1"/>
            </w14:solidFill>
          </w14:textFill>
        </w:rPr>
        <w:t>扬州市检验检测中心2026年食品检验检测设备更新项目</w:t>
      </w:r>
      <w:r>
        <w:rPr>
          <w:rFonts w:hint="eastAsia" w:ascii="Times New Roman" w:hAnsi="Times New Roman" w:eastAsia="宋体" w:cs="宋体"/>
          <w:color w:val="000000" w:themeColor="text1"/>
          <w:highlight w:val="none"/>
          <w14:textFill>
            <w14:solidFill>
              <w14:schemeClr w14:val="tx1"/>
            </w14:solidFill>
          </w14:textFill>
        </w:rPr>
        <w:t>的潜在投标人可在</w:t>
      </w:r>
      <w:r>
        <w:rPr>
          <w:rFonts w:hint="eastAsia" w:ascii="Times New Roman" w:hAnsi="Times New Roman" w:eastAsia="宋体" w:cs="宋体"/>
          <w:color w:val="000000" w:themeColor="text1"/>
          <w:highlight w:val="none"/>
          <w:u w:val="single"/>
          <w:lang w:eastAsia="zh-CN"/>
          <w14:textFill>
            <w14:solidFill>
              <w14:schemeClr w14:val="tx1"/>
            </w14:solidFill>
          </w14:textFill>
        </w:rPr>
        <w:t>“扬州市政府采购网”、“江苏省政府采购网”和“中国政府采购网”</w:t>
      </w:r>
      <w:r>
        <w:rPr>
          <w:rFonts w:hint="eastAsia" w:ascii="Times New Roman" w:hAnsi="Times New Roman" w:eastAsia="宋体" w:cs="宋体"/>
          <w:color w:val="000000" w:themeColor="text1"/>
          <w:highlight w:val="none"/>
          <w:u w:val="single"/>
          <w14:textFill>
            <w14:solidFill>
              <w14:schemeClr w14:val="tx1"/>
            </w14:solidFill>
          </w14:textFill>
        </w:rPr>
        <w:t>自行免费下载</w:t>
      </w:r>
      <w:r>
        <w:rPr>
          <w:rFonts w:hint="eastAsia" w:ascii="Times New Roman" w:hAnsi="Times New Roman" w:eastAsia="宋体" w:cs="宋体"/>
          <w:color w:val="000000" w:themeColor="text1"/>
          <w:highlight w:val="none"/>
          <w14:textFill>
            <w14:solidFill>
              <w14:schemeClr w14:val="tx1"/>
            </w14:solidFill>
          </w14:textFill>
        </w:rPr>
        <w:t>招标文件</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并于</w:t>
      </w:r>
      <w:r>
        <w:rPr>
          <w:rFonts w:hint="eastAsia" w:ascii="Times New Roman" w:hAnsi="Times New Roman" w:eastAsia="宋体" w:cs="宋体"/>
          <w:bCs/>
          <w:color w:val="000000" w:themeColor="text1"/>
          <w:highlight w:val="none"/>
          <w:u w:val="single"/>
          <w14:textFill>
            <w14:solidFill>
              <w14:schemeClr w14:val="tx1"/>
            </w14:solidFill>
          </w14:textFill>
        </w:rPr>
        <w:t>2026年</w:t>
      </w:r>
      <w:r>
        <w:rPr>
          <w:rFonts w:hint="eastAsia" w:ascii="Times New Roman" w:hAnsi="Times New Roman" w:cs="宋体"/>
          <w:bCs/>
          <w:color w:val="000000" w:themeColor="text1"/>
          <w:highlight w:val="none"/>
          <w:u w:val="single"/>
          <w:lang w:val="en-US" w:eastAsia="zh-CN"/>
          <w14:textFill>
            <w14:solidFill>
              <w14:schemeClr w14:val="tx1"/>
            </w14:solidFill>
          </w14:textFill>
        </w:rPr>
        <w:t>11</w:t>
      </w:r>
      <w:r>
        <w:rPr>
          <w:rFonts w:hint="eastAsia" w:ascii="Times New Roman" w:hAnsi="Times New Roman" w:eastAsia="宋体" w:cs="宋体"/>
          <w:bCs/>
          <w:color w:val="000000" w:themeColor="text1"/>
          <w:highlight w:val="none"/>
          <w:u w:val="single"/>
          <w14:textFill>
            <w14:solidFill>
              <w14:schemeClr w14:val="tx1"/>
            </w14:solidFill>
          </w14:textFill>
        </w:rPr>
        <w:t>月</w:t>
      </w:r>
      <w:r>
        <w:rPr>
          <w:rFonts w:hint="eastAsia" w:ascii="Times New Roman" w:hAnsi="Times New Roman" w:cs="宋体"/>
          <w:bCs/>
          <w:color w:val="000000" w:themeColor="text1"/>
          <w:highlight w:val="none"/>
          <w:u w:val="single"/>
          <w:lang w:val="en-US" w:eastAsia="zh-CN"/>
          <w14:textFill>
            <w14:solidFill>
              <w14:schemeClr w14:val="tx1"/>
            </w14:solidFill>
          </w14:textFill>
        </w:rPr>
        <w:t>2</w:t>
      </w:r>
      <w:r>
        <w:rPr>
          <w:rFonts w:hint="eastAsia" w:ascii="Times New Roman" w:hAnsi="Times New Roman" w:eastAsia="宋体" w:cs="宋体"/>
          <w:bCs/>
          <w:color w:val="000000" w:themeColor="text1"/>
          <w:highlight w:val="none"/>
          <w:u w:val="single"/>
          <w14:textFill>
            <w14:solidFill>
              <w14:schemeClr w14:val="tx1"/>
            </w14:solidFill>
          </w14:textFill>
        </w:rPr>
        <w:t>日</w:t>
      </w:r>
      <w:r>
        <w:rPr>
          <w:rFonts w:hint="eastAsia" w:ascii="Times New Roman" w:hAnsi="Times New Roman" w:cs="宋体"/>
          <w:bCs/>
          <w:color w:val="000000" w:themeColor="text1"/>
          <w:highlight w:val="none"/>
          <w:u w:val="single"/>
          <w:lang w:eastAsia="zh-CN"/>
          <w14:textFill>
            <w14:solidFill>
              <w14:schemeClr w14:val="tx1"/>
            </w14:solidFill>
          </w14:textFill>
        </w:rPr>
        <w:t>上</w:t>
      </w:r>
      <w:r>
        <w:rPr>
          <w:rFonts w:hint="eastAsia" w:ascii="Times New Roman" w:hAnsi="Times New Roman" w:eastAsia="宋体" w:cs="宋体"/>
          <w:bCs/>
          <w:color w:val="000000" w:themeColor="text1"/>
          <w:highlight w:val="none"/>
          <w:u w:val="single"/>
          <w14:textFill>
            <w14:solidFill>
              <w14:schemeClr w14:val="tx1"/>
            </w14:solidFill>
          </w14:textFill>
        </w:rPr>
        <w:t>午</w:t>
      </w:r>
      <w:r>
        <w:rPr>
          <w:rFonts w:hint="eastAsia" w:ascii="Times New Roman" w:hAnsi="Times New Roman" w:cs="宋体"/>
          <w:bCs/>
          <w:color w:val="000000" w:themeColor="text1"/>
          <w:highlight w:val="none"/>
          <w:u w:val="single"/>
          <w:lang w:val="en-US" w:eastAsia="zh-CN"/>
          <w14:textFill>
            <w14:solidFill>
              <w14:schemeClr w14:val="tx1"/>
            </w14:solidFill>
          </w14:textFill>
        </w:rPr>
        <w:t>10</w:t>
      </w:r>
      <w:r>
        <w:rPr>
          <w:rFonts w:hint="eastAsia" w:ascii="Times New Roman" w:hAnsi="Times New Roman" w:cs="宋体"/>
          <w:bCs/>
          <w:color w:val="000000" w:themeColor="text1"/>
          <w:highlight w:val="none"/>
          <w:u w:val="single"/>
          <w:lang w:eastAsia="zh-CN"/>
          <w14:textFill>
            <w14:solidFill>
              <w14:schemeClr w14:val="tx1"/>
            </w14:solidFill>
          </w14:textFill>
        </w:rPr>
        <w:t>：0</w:t>
      </w:r>
      <w:r>
        <w:rPr>
          <w:rFonts w:hint="eastAsia" w:ascii="Times New Roman" w:hAnsi="Times New Roman" w:eastAsia="宋体" w:cs="宋体"/>
          <w:bCs/>
          <w:color w:val="000000" w:themeColor="text1"/>
          <w:highlight w:val="none"/>
          <w:u w:val="single"/>
          <w14:textFill>
            <w14:solidFill>
              <w14:schemeClr w14:val="tx1"/>
            </w14:solidFill>
          </w14:textFill>
        </w:rPr>
        <w:t>0</w:t>
      </w:r>
      <w:r>
        <w:rPr>
          <w:rFonts w:hint="eastAsia" w:ascii="Times New Roman" w:hAnsi="Times New Roman" w:eastAsia="宋体" w:cs="宋体"/>
          <w:bCs/>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s="宋体"/>
          <w:bCs/>
          <w:color w:val="000000" w:themeColor="text1"/>
          <w:highlight w:val="none"/>
          <w14:textFill>
            <w14:solidFill>
              <w14:schemeClr w14:val="tx1"/>
            </w14:solidFill>
          </w14:textFill>
        </w:rPr>
        <w:t>（北京时间）前递交投标文件</w:t>
      </w:r>
      <w:r>
        <w:rPr>
          <w:rFonts w:hint="eastAsia" w:ascii="Times New Roman" w:hAnsi="Times New Roman" w:eastAsia="宋体" w:cs="宋体"/>
          <w:color w:val="000000" w:themeColor="text1"/>
          <w:highlight w:val="none"/>
          <w14:textFill>
            <w14:solidFill>
              <w14:schemeClr w14:val="tx1"/>
            </w14:solidFill>
          </w14:textFill>
        </w:rPr>
        <w:t>。</w:t>
      </w:r>
    </w:p>
    <w:p w14:paraId="0E105044">
      <w:pPr>
        <w:pStyle w:val="312"/>
        <w:pageBreakBefore w:val="0"/>
        <w:kinsoku/>
        <w:wordWrap/>
        <w:overflowPunct/>
        <w:topLinePunct w:val="0"/>
        <w:autoSpaceDE/>
        <w:autoSpaceDN/>
        <w:bidi w:val="0"/>
        <w:spacing w:before="120" w:after="120" w:line="360" w:lineRule="auto"/>
        <w:ind w:firstLine="482"/>
        <w:textAlignment w:val="auto"/>
        <w:rPr>
          <w:rFonts w:hint="eastAsia" w:ascii="宋体" w:hAnsi="宋体" w:cs="宋体"/>
          <w:color w:val="000000" w:themeColor="text1"/>
          <w:sz w:val="24"/>
          <w:szCs w:val="20"/>
          <w:highlight w:val="none"/>
          <w14:textFill>
            <w14:solidFill>
              <w14:schemeClr w14:val="tx1"/>
            </w14:solidFill>
          </w14:textFill>
        </w:rPr>
      </w:pPr>
      <w:bookmarkStart w:id="7" w:name="_Toc35393790"/>
      <w:bookmarkStart w:id="8" w:name="_Toc28359079"/>
      <w:bookmarkStart w:id="9" w:name="_Toc38985263"/>
      <w:bookmarkStart w:id="10" w:name="_Toc28359002"/>
      <w:bookmarkStart w:id="11" w:name="_Toc35393621"/>
      <w:bookmarkStart w:id="12" w:name="_Hlk24379207"/>
      <w:r>
        <w:rPr>
          <w:rFonts w:hint="eastAsia" w:ascii="宋体" w:hAnsi="宋体" w:cs="宋体"/>
          <w:color w:val="000000" w:themeColor="text1"/>
          <w:sz w:val="24"/>
          <w:szCs w:val="20"/>
          <w:highlight w:val="none"/>
          <w14:textFill>
            <w14:solidFill>
              <w14:schemeClr w14:val="tx1"/>
            </w14:solidFill>
          </w14:textFill>
        </w:rPr>
        <w:t>一、项目基本情况</w:t>
      </w:r>
      <w:bookmarkEnd w:id="7"/>
      <w:bookmarkEnd w:id="8"/>
      <w:bookmarkEnd w:id="9"/>
      <w:bookmarkEnd w:id="10"/>
      <w:bookmarkEnd w:id="11"/>
    </w:p>
    <w:p w14:paraId="1E096FFD">
      <w:pPr>
        <w:keepNext w:val="0"/>
        <w:keepLines w:val="0"/>
        <w:pageBreakBefore w:val="0"/>
        <w:widowControl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1.项目编号：</w:t>
      </w:r>
      <w:r>
        <w:rPr>
          <w:rFonts w:hint="eastAsia" w:ascii="Times New Roman" w:hAnsi="Times New Roman" w:cs="宋体"/>
          <w:color w:val="000000" w:themeColor="text1"/>
          <w:szCs w:val="21"/>
          <w:highlight w:val="none"/>
          <w:lang w:eastAsia="zh-CN"/>
          <w14:textFill>
            <w14:solidFill>
              <w14:schemeClr w14:val="tx1"/>
            </w14:solidFill>
          </w14:textFill>
        </w:rPr>
        <w:t>JSZC-321000-JWJL-G2026-0003</w:t>
      </w:r>
      <w:r>
        <w:rPr>
          <w:rFonts w:hint="eastAsia" w:ascii="Times New Roman" w:hAnsi="Times New Roman" w:eastAsia="宋体" w:cs="宋体"/>
          <w:color w:val="000000" w:themeColor="text1"/>
          <w:szCs w:val="21"/>
          <w:highlight w:val="none"/>
          <w:lang w:eastAsia="zh-CN"/>
          <w14:textFill>
            <w14:solidFill>
              <w14:schemeClr w14:val="tx1"/>
            </w14:solidFill>
          </w14:textFill>
        </w:rPr>
        <w:t>号</w:t>
      </w:r>
    </w:p>
    <w:p w14:paraId="2D6694DF">
      <w:pPr>
        <w:keepNext w:val="0"/>
        <w:keepLines w:val="0"/>
        <w:pageBreakBefore w:val="0"/>
        <w:widowControl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2.项目名称：</w:t>
      </w:r>
      <w:bookmarkEnd w:id="12"/>
      <w:r>
        <w:rPr>
          <w:rFonts w:hint="eastAsia" w:ascii="Times New Roman" w:hAnsi="Times New Roman" w:cs="宋体"/>
          <w:color w:val="000000" w:themeColor="text1"/>
          <w:highlight w:val="none"/>
          <w:lang w:eastAsia="zh-CN"/>
          <w14:textFill>
            <w14:solidFill>
              <w14:schemeClr w14:val="tx1"/>
            </w14:solidFill>
          </w14:textFill>
        </w:rPr>
        <w:t>扬州市检验检测中心2026年食品检验检测设备更新项目</w:t>
      </w:r>
    </w:p>
    <w:p w14:paraId="5A3752D0">
      <w:pPr>
        <w:pageBreakBefore w:val="0"/>
        <w:kinsoku/>
        <w:wordWrap/>
        <w:overflowPunct/>
        <w:topLinePunct w:val="0"/>
        <w:autoSpaceDE/>
        <w:autoSpaceDN/>
        <w:bidi w:val="0"/>
        <w:spacing w:line="360" w:lineRule="auto"/>
        <w:ind w:firstLine="420"/>
        <w:textAlignment w:val="auto"/>
        <w:rPr>
          <w:rFonts w:hint="default" w:ascii="Times New Roman" w:hAnsi="Times New Roman" w:eastAsia="宋体"/>
          <w:color w:val="000000" w:themeColor="text1"/>
          <w:sz w:val="21"/>
          <w:szCs w:val="21"/>
          <w:highlight w:val="none"/>
          <w:lang w:val="en-US"/>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3.预算金额：</w:t>
      </w:r>
      <w:r>
        <w:rPr>
          <w:rFonts w:hint="eastAsia" w:ascii="Times New Roman" w:hAnsi="Times New Roman" w:cs="宋体"/>
          <w:color w:val="000000" w:themeColor="text1"/>
          <w:sz w:val="21"/>
          <w:szCs w:val="21"/>
          <w:highlight w:val="none"/>
          <w:lang w:val="en-US" w:eastAsia="zh-CN"/>
          <w14:textFill>
            <w14:solidFill>
              <w14:schemeClr w14:val="tx1"/>
            </w14:solidFill>
          </w14:textFill>
        </w:rPr>
        <w:t>403</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万元</w:t>
      </w:r>
      <w:r>
        <w:rPr>
          <w:rFonts w:hint="eastAsia" w:ascii="Times New Roman" w:hAnsi="Times New Roman" w:cs="宋体"/>
          <w:color w:val="000000" w:themeColor="text1"/>
          <w:sz w:val="21"/>
          <w:szCs w:val="21"/>
          <w:highlight w:val="none"/>
          <w:lang w:val="en-US" w:eastAsia="zh-CN"/>
          <w14:textFill>
            <w14:solidFill>
              <w14:schemeClr w14:val="tx1"/>
            </w14:solidFill>
          </w14:textFill>
        </w:rPr>
        <w:t>，共分4个包（其中包1：64万元；包2：69.9万元，包3：104.4万元，包4：164.7万元）</w:t>
      </w:r>
    </w:p>
    <w:p w14:paraId="5B1DF40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4.</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最高限价：</w:t>
      </w:r>
      <w:r>
        <w:rPr>
          <w:rFonts w:hint="eastAsia" w:ascii="Times New Roman" w:hAnsi="Times New Roman" w:cs="宋体"/>
          <w:color w:val="000000" w:themeColor="text1"/>
          <w:sz w:val="21"/>
          <w:szCs w:val="21"/>
          <w:highlight w:val="none"/>
          <w:lang w:val="en-US" w:eastAsia="zh-CN"/>
          <w14:textFill>
            <w14:solidFill>
              <w14:schemeClr w14:val="tx1"/>
            </w14:solidFill>
          </w14:textFill>
        </w:rPr>
        <w:t>403</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万元</w:t>
      </w:r>
      <w:r>
        <w:rPr>
          <w:rFonts w:hint="eastAsia" w:ascii="Times New Roman" w:hAnsi="Times New Roman" w:cs="宋体"/>
          <w:color w:val="000000" w:themeColor="text1"/>
          <w:sz w:val="21"/>
          <w:szCs w:val="21"/>
          <w:highlight w:val="none"/>
          <w:lang w:val="en-US" w:eastAsia="zh-CN"/>
          <w14:textFill>
            <w14:solidFill>
              <w14:schemeClr w14:val="tx1"/>
            </w14:solidFill>
          </w14:textFill>
        </w:rPr>
        <w:t>，其中包1：64万元；包2：69.9万元，包3：104.4万元，包4：164.7万元，</w:t>
      </w:r>
      <w:r>
        <w:rPr>
          <w:rFonts w:hint="eastAsia" w:ascii="Times New Roman" w:hAnsi="Times New Roman" w:eastAsia="宋体" w:cs="宋体"/>
          <w:color w:val="000000" w:themeColor="text1"/>
          <w:sz w:val="21"/>
          <w:szCs w:val="22"/>
          <w:highlight w:val="none"/>
          <w:lang w:val="en-US" w:eastAsia="zh-CN" w:bidi="ar-SA"/>
          <w14:textFill>
            <w14:solidFill>
              <w14:schemeClr w14:val="tx1"/>
            </w14:solidFill>
          </w14:textFill>
        </w:rPr>
        <w:t>报价超过最高限价的为无效投标文件。</w:t>
      </w:r>
    </w:p>
    <w:p w14:paraId="230E678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5.采购需求：</w:t>
      </w:r>
    </w:p>
    <w:tbl>
      <w:tblPr>
        <w:tblStyle w:val="39"/>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17"/>
        <w:gridCol w:w="2903"/>
        <w:gridCol w:w="835"/>
        <w:gridCol w:w="1246"/>
        <w:gridCol w:w="1132"/>
        <w:gridCol w:w="904"/>
      </w:tblGrid>
      <w:tr w14:paraId="4B07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686" w:type="pct"/>
            <w:shd w:val="clear" w:color="auto" w:fill="auto"/>
            <w:noWrap w:val="0"/>
            <w:tcMar>
              <w:top w:w="0" w:type="dxa"/>
              <w:left w:w="108" w:type="dxa"/>
              <w:bottom w:w="0" w:type="dxa"/>
              <w:right w:w="108" w:type="dxa"/>
            </w:tcMar>
            <w:vAlign w:val="center"/>
          </w:tcPr>
          <w:p w14:paraId="5BCAAD4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包号</w:t>
            </w:r>
          </w:p>
        </w:tc>
        <w:tc>
          <w:tcPr>
            <w:tcW w:w="1783" w:type="pct"/>
            <w:shd w:val="clear" w:color="auto" w:fill="auto"/>
            <w:noWrap w:val="0"/>
            <w:tcMar>
              <w:top w:w="0" w:type="dxa"/>
              <w:left w:w="108" w:type="dxa"/>
              <w:bottom w:w="0" w:type="dxa"/>
              <w:right w:w="108" w:type="dxa"/>
            </w:tcMar>
            <w:vAlign w:val="center"/>
          </w:tcPr>
          <w:p w14:paraId="4147422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513" w:type="pct"/>
            <w:shd w:val="clear" w:color="auto" w:fill="auto"/>
            <w:noWrap w:val="0"/>
            <w:tcMar>
              <w:top w:w="0" w:type="dxa"/>
              <w:left w:w="108" w:type="dxa"/>
              <w:bottom w:w="0" w:type="dxa"/>
              <w:right w:w="108" w:type="dxa"/>
            </w:tcMar>
            <w:vAlign w:val="center"/>
          </w:tcPr>
          <w:p w14:paraId="2B64DB4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tc>
        <w:tc>
          <w:tcPr>
            <w:tcW w:w="765" w:type="pct"/>
            <w:shd w:val="clear" w:color="auto" w:fill="auto"/>
            <w:noWrap w:val="0"/>
            <w:tcMar>
              <w:top w:w="0" w:type="dxa"/>
              <w:left w:w="108" w:type="dxa"/>
              <w:bottom w:w="0" w:type="dxa"/>
              <w:right w:w="108" w:type="dxa"/>
            </w:tcMar>
            <w:vAlign w:val="center"/>
          </w:tcPr>
          <w:p w14:paraId="516014F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预算金额（万元）</w:t>
            </w:r>
          </w:p>
        </w:tc>
        <w:tc>
          <w:tcPr>
            <w:tcW w:w="695" w:type="pct"/>
            <w:shd w:val="clear" w:color="auto" w:fill="auto"/>
            <w:noWrap w:val="0"/>
            <w:vAlign w:val="center"/>
          </w:tcPr>
          <w:p w14:paraId="5AA8B1F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最高限价（万元）</w:t>
            </w:r>
          </w:p>
        </w:tc>
        <w:tc>
          <w:tcPr>
            <w:tcW w:w="555" w:type="pct"/>
            <w:shd w:val="clear" w:color="auto" w:fill="auto"/>
            <w:noWrap w:val="0"/>
            <w:vAlign w:val="center"/>
          </w:tcPr>
          <w:p w14:paraId="7998A6A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419F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6" w:type="pct"/>
            <w:vMerge w:val="restart"/>
            <w:shd w:val="clear" w:color="auto" w:fill="auto"/>
            <w:noWrap w:val="0"/>
            <w:tcMar>
              <w:top w:w="0" w:type="dxa"/>
              <w:left w:w="108" w:type="dxa"/>
              <w:bottom w:w="0" w:type="dxa"/>
              <w:right w:w="108" w:type="dxa"/>
            </w:tcMar>
            <w:vAlign w:val="center"/>
          </w:tcPr>
          <w:p w14:paraId="44E307D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783" w:type="pct"/>
            <w:shd w:val="clear" w:color="auto" w:fill="auto"/>
            <w:noWrap w:val="0"/>
            <w:tcMar>
              <w:top w:w="0" w:type="dxa"/>
              <w:left w:w="108" w:type="dxa"/>
              <w:bottom w:w="0" w:type="dxa"/>
              <w:right w:w="108" w:type="dxa"/>
            </w:tcMar>
            <w:vAlign w:val="center"/>
          </w:tcPr>
          <w:p w14:paraId="74EAE033">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全自动凯氏定氮仪</w:t>
            </w:r>
          </w:p>
        </w:tc>
        <w:tc>
          <w:tcPr>
            <w:tcW w:w="513" w:type="pct"/>
            <w:shd w:val="clear" w:color="auto" w:fill="auto"/>
            <w:noWrap w:val="0"/>
            <w:tcMar>
              <w:top w:w="0" w:type="dxa"/>
              <w:left w:w="108" w:type="dxa"/>
              <w:bottom w:w="0" w:type="dxa"/>
              <w:right w:w="108" w:type="dxa"/>
            </w:tcMar>
            <w:vAlign w:val="center"/>
          </w:tcPr>
          <w:p w14:paraId="1C263E94">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1</w:t>
            </w:r>
          </w:p>
        </w:tc>
        <w:tc>
          <w:tcPr>
            <w:tcW w:w="765" w:type="pct"/>
            <w:shd w:val="clear" w:color="auto" w:fill="auto"/>
            <w:noWrap w:val="0"/>
            <w:tcMar>
              <w:top w:w="0" w:type="dxa"/>
              <w:left w:w="108" w:type="dxa"/>
              <w:bottom w:w="0" w:type="dxa"/>
              <w:right w:w="108" w:type="dxa"/>
            </w:tcMar>
            <w:vAlign w:val="center"/>
          </w:tcPr>
          <w:p w14:paraId="07585F7F">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26</w:t>
            </w:r>
          </w:p>
        </w:tc>
        <w:tc>
          <w:tcPr>
            <w:tcW w:w="695" w:type="pct"/>
            <w:shd w:val="clear" w:color="auto" w:fill="auto"/>
            <w:noWrap w:val="0"/>
            <w:vAlign w:val="center"/>
          </w:tcPr>
          <w:p w14:paraId="1536D5E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26</w:t>
            </w:r>
          </w:p>
        </w:tc>
        <w:tc>
          <w:tcPr>
            <w:tcW w:w="555" w:type="pct"/>
            <w:shd w:val="clear" w:color="auto" w:fill="auto"/>
            <w:noWrap w:val="0"/>
            <w:vAlign w:val="center"/>
          </w:tcPr>
          <w:p w14:paraId="1CB9DC2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r>
      <w:tr w14:paraId="44CC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tcMar>
              <w:top w:w="0" w:type="dxa"/>
              <w:left w:w="108" w:type="dxa"/>
              <w:bottom w:w="0" w:type="dxa"/>
              <w:right w:w="108" w:type="dxa"/>
            </w:tcMar>
            <w:vAlign w:val="center"/>
          </w:tcPr>
          <w:p w14:paraId="4B23D72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783" w:type="pct"/>
            <w:shd w:val="clear" w:color="auto" w:fill="auto"/>
            <w:noWrap w:val="0"/>
            <w:tcMar>
              <w:top w:w="0" w:type="dxa"/>
              <w:left w:w="108" w:type="dxa"/>
              <w:bottom w:w="0" w:type="dxa"/>
              <w:right w:w="108" w:type="dxa"/>
            </w:tcMar>
            <w:vAlign w:val="center"/>
          </w:tcPr>
          <w:p w14:paraId="1C203871">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脂肪测定仪</w:t>
            </w:r>
          </w:p>
        </w:tc>
        <w:tc>
          <w:tcPr>
            <w:tcW w:w="513" w:type="pct"/>
            <w:shd w:val="clear" w:color="auto" w:fill="auto"/>
            <w:noWrap w:val="0"/>
            <w:tcMar>
              <w:top w:w="0" w:type="dxa"/>
              <w:left w:w="108" w:type="dxa"/>
              <w:bottom w:w="0" w:type="dxa"/>
              <w:right w:w="108" w:type="dxa"/>
            </w:tcMar>
            <w:vAlign w:val="center"/>
          </w:tcPr>
          <w:p w14:paraId="276D5F06">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1</w:t>
            </w:r>
          </w:p>
        </w:tc>
        <w:tc>
          <w:tcPr>
            <w:tcW w:w="765" w:type="pct"/>
            <w:shd w:val="clear" w:color="auto" w:fill="auto"/>
            <w:noWrap w:val="0"/>
            <w:tcMar>
              <w:top w:w="0" w:type="dxa"/>
              <w:left w:w="108" w:type="dxa"/>
              <w:bottom w:w="0" w:type="dxa"/>
              <w:right w:w="108" w:type="dxa"/>
            </w:tcMar>
            <w:vAlign w:val="center"/>
          </w:tcPr>
          <w:p w14:paraId="1EA63B5F">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38</w:t>
            </w:r>
          </w:p>
        </w:tc>
        <w:tc>
          <w:tcPr>
            <w:tcW w:w="695" w:type="pct"/>
            <w:shd w:val="clear" w:color="auto" w:fill="auto"/>
            <w:noWrap w:val="0"/>
            <w:vAlign w:val="center"/>
          </w:tcPr>
          <w:p w14:paraId="6B6FB36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38</w:t>
            </w:r>
          </w:p>
        </w:tc>
        <w:tc>
          <w:tcPr>
            <w:tcW w:w="555" w:type="pct"/>
            <w:shd w:val="clear" w:color="auto" w:fill="auto"/>
            <w:noWrap w:val="0"/>
            <w:vAlign w:val="center"/>
          </w:tcPr>
          <w:p w14:paraId="3F98AD5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r>
      <w:tr w14:paraId="6BC82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shd w:val="clear" w:color="auto" w:fill="auto"/>
            <w:noWrap w:val="0"/>
            <w:tcMar>
              <w:top w:w="0" w:type="dxa"/>
              <w:left w:w="108" w:type="dxa"/>
              <w:bottom w:w="0" w:type="dxa"/>
              <w:right w:w="108" w:type="dxa"/>
            </w:tcMar>
            <w:vAlign w:val="center"/>
          </w:tcPr>
          <w:p w14:paraId="737FB15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1783" w:type="pct"/>
            <w:shd w:val="clear" w:color="auto" w:fill="auto"/>
            <w:noWrap w:val="0"/>
            <w:tcMar>
              <w:top w:w="0" w:type="dxa"/>
              <w:left w:w="108" w:type="dxa"/>
              <w:bottom w:w="0" w:type="dxa"/>
              <w:right w:w="108" w:type="dxa"/>
            </w:tcMar>
            <w:vAlign w:val="center"/>
          </w:tcPr>
          <w:p w14:paraId="06175DB8">
            <w:pPr>
              <w:pStyle w:val="311"/>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10"/>
                <w:sz w:val="21"/>
                <w:szCs w:val="21"/>
                <w:highlight w:val="none"/>
                <w14:textFill>
                  <w14:solidFill>
                    <w14:schemeClr w14:val="tx1"/>
                  </w14:solidFill>
                </w14:textFill>
              </w:rPr>
              <w:t>全自动微生物生化鉴定</w:t>
            </w:r>
            <w:r>
              <w:rPr>
                <w:rFonts w:hint="eastAsia" w:cs="宋体"/>
                <w:b w:val="0"/>
                <w:bCs w:val="0"/>
                <w:color w:val="000000" w:themeColor="text1"/>
                <w:spacing w:val="-10"/>
                <w:sz w:val="21"/>
                <w:szCs w:val="21"/>
                <w:highlight w:val="none"/>
                <w:lang w:val="en-US" w:eastAsia="zh-CN"/>
                <w14:textFill>
                  <w14:solidFill>
                    <w14:schemeClr w14:val="tx1"/>
                  </w14:solidFill>
                </w14:textFill>
              </w:rPr>
              <w:t>系统</w:t>
            </w:r>
          </w:p>
        </w:tc>
        <w:tc>
          <w:tcPr>
            <w:tcW w:w="513" w:type="pct"/>
            <w:shd w:val="clear" w:color="auto" w:fill="auto"/>
            <w:noWrap w:val="0"/>
            <w:tcMar>
              <w:top w:w="0" w:type="dxa"/>
              <w:left w:w="108" w:type="dxa"/>
              <w:bottom w:w="0" w:type="dxa"/>
              <w:right w:w="108" w:type="dxa"/>
            </w:tcMar>
            <w:vAlign w:val="center"/>
          </w:tcPr>
          <w:p w14:paraId="6246DFE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765" w:type="pct"/>
            <w:shd w:val="clear" w:color="auto" w:fill="auto"/>
            <w:noWrap w:val="0"/>
            <w:tcMar>
              <w:top w:w="0" w:type="dxa"/>
              <w:left w:w="108" w:type="dxa"/>
              <w:bottom w:w="0" w:type="dxa"/>
              <w:right w:w="108" w:type="dxa"/>
            </w:tcMar>
            <w:vAlign w:val="center"/>
          </w:tcPr>
          <w:p w14:paraId="025382A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69.9</w:t>
            </w:r>
          </w:p>
        </w:tc>
        <w:tc>
          <w:tcPr>
            <w:tcW w:w="695" w:type="pct"/>
            <w:shd w:val="clear" w:color="auto" w:fill="auto"/>
            <w:noWrap w:val="0"/>
            <w:vAlign w:val="center"/>
          </w:tcPr>
          <w:p w14:paraId="25137FD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69.9</w:t>
            </w:r>
          </w:p>
        </w:tc>
        <w:tc>
          <w:tcPr>
            <w:tcW w:w="555" w:type="pct"/>
            <w:shd w:val="clear" w:color="auto" w:fill="auto"/>
            <w:noWrap w:val="0"/>
            <w:vAlign w:val="center"/>
          </w:tcPr>
          <w:p w14:paraId="3F1F218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r>
      <w:tr w14:paraId="00BA3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shd w:val="clear" w:color="auto" w:fill="auto"/>
            <w:noWrap w:val="0"/>
            <w:tcMar>
              <w:top w:w="0" w:type="dxa"/>
              <w:left w:w="108" w:type="dxa"/>
              <w:bottom w:w="0" w:type="dxa"/>
              <w:right w:w="108" w:type="dxa"/>
            </w:tcMar>
            <w:vAlign w:val="center"/>
          </w:tcPr>
          <w:p w14:paraId="0E44C6C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783" w:type="pct"/>
            <w:shd w:val="clear" w:color="auto" w:fill="auto"/>
            <w:noWrap w:val="0"/>
            <w:tcMar>
              <w:top w:w="0" w:type="dxa"/>
              <w:left w:w="108" w:type="dxa"/>
              <w:bottom w:w="0" w:type="dxa"/>
              <w:right w:w="108" w:type="dxa"/>
            </w:tcMar>
            <w:vAlign w:val="center"/>
          </w:tcPr>
          <w:p w14:paraId="2ECF39E2">
            <w:pPr>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火焰/石墨炉原子吸收光谱仪</w:t>
            </w:r>
          </w:p>
        </w:tc>
        <w:tc>
          <w:tcPr>
            <w:tcW w:w="513" w:type="pct"/>
            <w:shd w:val="clear" w:color="auto" w:fill="auto"/>
            <w:noWrap w:val="0"/>
            <w:tcMar>
              <w:top w:w="0" w:type="dxa"/>
              <w:left w:w="108" w:type="dxa"/>
              <w:bottom w:w="0" w:type="dxa"/>
              <w:right w:w="108" w:type="dxa"/>
            </w:tcMar>
            <w:vAlign w:val="center"/>
          </w:tcPr>
          <w:p w14:paraId="0063DC8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tcMar>
              <w:top w:w="0" w:type="dxa"/>
              <w:left w:w="108" w:type="dxa"/>
              <w:bottom w:w="0" w:type="dxa"/>
              <w:right w:w="108" w:type="dxa"/>
            </w:tcMar>
            <w:vAlign w:val="center"/>
          </w:tcPr>
          <w:p w14:paraId="2112DB0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695" w:type="pct"/>
            <w:shd w:val="clear" w:color="auto" w:fill="auto"/>
            <w:noWrap w:val="0"/>
            <w:vAlign w:val="center"/>
          </w:tcPr>
          <w:p w14:paraId="6F8977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555" w:type="pct"/>
            <w:shd w:val="clear" w:color="auto" w:fill="auto"/>
            <w:noWrap w:val="0"/>
            <w:vAlign w:val="center"/>
          </w:tcPr>
          <w:p w14:paraId="4942CAF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6A55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3267EEE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783" w:type="pct"/>
            <w:shd w:val="clear" w:color="auto" w:fill="auto"/>
            <w:noWrap w:val="0"/>
            <w:vAlign w:val="center"/>
          </w:tcPr>
          <w:p w14:paraId="54FB25FD">
            <w:pPr>
              <w:pStyle w:val="311"/>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紫外分光光度计</w:t>
            </w:r>
          </w:p>
        </w:tc>
        <w:tc>
          <w:tcPr>
            <w:tcW w:w="513" w:type="pct"/>
            <w:shd w:val="clear" w:color="auto" w:fill="auto"/>
            <w:noWrap w:val="0"/>
            <w:vAlign w:val="center"/>
          </w:tcPr>
          <w:p w14:paraId="5E20DA0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vAlign w:val="center"/>
          </w:tcPr>
          <w:p w14:paraId="649F62A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695" w:type="pct"/>
            <w:shd w:val="clear" w:color="auto" w:fill="auto"/>
            <w:noWrap w:val="0"/>
            <w:vAlign w:val="center"/>
          </w:tcPr>
          <w:p w14:paraId="64BF472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555" w:type="pct"/>
            <w:shd w:val="clear" w:color="auto" w:fill="auto"/>
            <w:noWrap w:val="0"/>
            <w:vAlign w:val="center"/>
          </w:tcPr>
          <w:p w14:paraId="7129E5C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0310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3645A71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vAlign w:val="center"/>
          </w:tcPr>
          <w:p w14:paraId="09D931D3">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pacing w:val="-1"/>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紫外分光光度计</w:t>
            </w:r>
          </w:p>
        </w:tc>
        <w:tc>
          <w:tcPr>
            <w:tcW w:w="835" w:type="dxa"/>
            <w:shd w:val="clear" w:color="auto" w:fill="auto"/>
            <w:noWrap w:val="0"/>
            <w:vAlign w:val="center"/>
          </w:tcPr>
          <w:p w14:paraId="6A03B73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04249FD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1132" w:type="dxa"/>
            <w:shd w:val="clear" w:color="auto" w:fill="auto"/>
            <w:noWrap w:val="0"/>
            <w:vAlign w:val="center"/>
          </w:tcPr>
          <w:p w14:paraId="6F52636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555" w:type="pct"/>
            <w:shd w:val="clear" w:color="auto" w:fill="auto"/>
            <w:noWrap w:val="0"/>
            <w:vAlign w:val="center"/>
          </w:tcPr>
          <w:p w14:paraId="4ED7838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6ECA9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1A0286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783" w:type="pct"/>
            <w:shd w:val="clear" w:color="auto" w:fill="auto"/>
            <w:noWrap w:val="0"/>
            <w:vAlign w:val="center"/>
          </w:tcPr>
          <w:p w14:paraId="374D9A88">
            <w:pPr>
              <w:pStyle w:val="311"/>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全自动电位滴定仪</w:t>
            </w:r>
          </w:p>
        </w:tc>
        <w:tc>
          <w:tcPr>
            <w:tcW w:w="513" w:type="pct"/>
            <w:shd w:val="clear" w:color="auto" w:fill="auto"/>
            <w:noWrap w:val="0"/>
            <w:vAlign w:val="center"/>
          </w:tcPr>
          <w:p w14:paraId="5F0A74E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vAlign w:val="center"/>
          </w:tcPr>
          <w:p w14:paraId="095203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25</w:t>
            </w:r>
          </w:p>
        </w:tc>
        <w:tc>
          <w:tcPr>
            <w:tcW w:w="695" w:type="pct"/>
            <w:shd w:val="clear" w:color="auto" w:fill="auto"/>
            <w:noWrap w:val="0"/>
            <w:vAlign w:val="center"/>
          </w:tcPr>
          <w:p w14:paraId="2BC613F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25</w:t>
            </w:r>
          </w:p>
        </w:tc>
        <w:tc>
          <w:tcPr>
            <w:tcW w:w="555" w:type="pct"/>
            <w:shd w:val="clear" w:color="auto" w:fill="auto"/>
            <w:noWrap w:val="0"/>
            <w:vAlign w:val="center"/>
          </w:tcPr>
          <w:p w14:paraId="47445FF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7FA7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70D3EE8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783" w:type="pct"/>
            <w:shd w:val="clear" w:color="auto" w:fill="auto"/>
            <w:noWrap w:val="0"/>
            <w:vAlign w:val="center"/>
          </w:tcPr>
          <w:p w14:paraId="7C05ABB4">
            <w:pPr>
              <w:pStyle w:val="311"/>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超低温冰箱</w:t>
            </w:r>
          </w:p>
        </w:tc>
        <w:tc>
          <w:tcPr>
            <w:tcW w:w="513" w:type="pct"/>
            <w:shd w:val="clear" w:color="auto" w:fill="auto"/>
            <w:noWrap w:val="0"/>
            <w:vAlign w:val="center"/>
          </w:tcPr>
          <w:p w14:paraId="0587E38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vAlign w:val="center"/>
          </w:tcPr>
          <w:p w14:paraId="6C59993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4.5</w:t>
            </w:r>
          </w:p>
        </w:tc>
        <w:tc>
          <w:tcPr>
            <w:tcW w:w="695" w:type="pct"/>
            <w:shd w:val="clear" w:color="auto" w:fill="auto"/>
            <w:noWrap w:val="0"/>
            <w:vAlign w:val="center"/>
          </w:tcPr>
          <w:p w14:paraId="0295CF7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4.5</w:t>
            </w:r>
          </w:p>
        </w:tc>
        <w:tc>
          <w:tcPr>
            <w:tcW w:w="555" w:type="pct"/>
            <w:shd w:val="clear" w:color="auto" w:fill="auto"/>
            <w:noWrap w:val="0"/>
            <w:vAlign w:val="center"/>
          </w:tcPr>
          <w:p w14:paraId="434AEB5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4A949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shd w:val="clear" w:color="auto" w:fill="auto"/>
            <w:noWrap w:val="0"/>
            <w:vAlign w:val="center"/>
          </w:tcPr>
          <w:p w14:paraId="60CA06C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783" w:type="pct"/>
            <w:shd w:val="clear" w:color="auto" w:fill="auto"/>
            <w:noWrap w:val="0"/>
            <w:vAlign w:val="center"/>
          </w:tcPr>
          <w:p w14:paraId="5E14B5E8">
            <w:pPr>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default" w:ascii="宋体" w:hAnsi="宋体" w:eastAsia="宋体" w:cs="宋体"/>
                <w:b w:val="0"/>
                <w:bCs w:val="0"/>
                <w:color w:val="000000" w:themeColor="text1"/>
                <w:spacing w:val="-5"/>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气相色谱仪</w:t>
            </w:r>
            <w:r>
              <w:rPr>
                <w:rFonts w:hint="eastAsia" w:ascii="宋体" w:hAnsi="宋体" w:cs="宋体"/>
                <w:b w:val="0"/>
                <w:bCs w:val="0"/>
                <w:color w:val="000000" w:themeColor="text1"/>
                <w:spacing w:val="-9"/>
                <w:sz w:val="2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9"/>
                <w:sz w:val="21"/>
                <w:szCs w:val="21"/>
                <w:highlight w:val="none"/>
                <w14:textFill>
                  <w14:solidFill>
                    <w14:schemeClr w14:val="tx1"/>
                  </w14:solidFill>
                </w14:textFill>
              </w:rPr>
              <w:t>含顶空进样器</w:t>
            </w:r>
            <w:r>
              <w:rPr>
                <w:rFonts w:hint="eastAsia" w:ascii="宋体" w:hAnsi="宋体" w:eastAsia="宋体" w:cs="宋体"/>
                <w:b w:val="0"/>
                <w:bCs w:val="0"/>
                <w:color w:val="000000" w:themeColor="text1"/>
                <w:spacing w:val="-9"/>
                <w:sz w:val="21"/>
                <w:szCs w:val="21"/>
                <w:highlight w:val="none"/>
                <w:lang w:val="en-US" w:eastAsia="zh-CN"/>
                <w14:textFill>
                  <w14:solidFill>
                    <w14:schemeClr w14:val="tx1"/>
                  </w14:solidFill>
                </w14:textFill>
              </w:rPr>
              <w:t>）</w:t>
            </w:r>
          </w:p>
        </w:tc>
        <w:tc>
          <w:tcPr>
            <w:tcW w:w="513" w:type="pct"/>
            <w:shd w:val="clear" w:color="auto" w:fill="auto"/>
            <w:noWrap w:val="0"/>
            <w:vAlign w:val="center"/>
          </w:tcPr>
          <w:p w14:paraId="12F960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vAlign w:val="center"/>
          </w:tcPr>
          <w:p w14:paraId="01AE782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54.9</w:t>
            </w:r>
          </w:p>
        </w:tc>
        <w:tc>
          <w:tcPr>
            <w:tcW w:w="695" w:type="pct"/>
            <w:shd w:val="clear" w:color="auto" w:fill="auto"/>
            <w:noWrap w:val="0"/>
            <w:vAlign w:val="center"/>
          </w:tcPr>
          <w:p w14:paraId="5433DD4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54.9</w:t>
            </w:r>
          </w:p>
        </w:tc>
        <w:tc>
          <w:tcPr>
            <w:tcW w:w="555" w:type="pct"/>
            <w:shd w:val="clear" w:color="auto" w:fill="auto"/>
            <w:noWrap w:val="0"/>
            <w:vAlign w:val="center"/>
          </w:tcPr>
          <w:p w14:paraId="3B7BE4E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5F990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65AB3B8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783" w:type="pct"/>
            <w:shd w:val="clear" w:color="auto" w:fill="auto"/>
            <w:noWrap w:val="0"/>
            <w:vAlign w:val="center"/>
          </w:tcPr>
          <w:p w14:paraId="78266216">
            <w:pPr>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b w:val="0"/>
                <w:bCs w:val="0"/>
                <w:color w:val="000000" w:themeColor="text1"/>
                <w:spacing w:val="-9"/>
                <w:sz w:val="21"/>
                <w:szCs w:val="21"/>
                <w:highlight w:val="none"/>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气相色谱仪</w:t>
            </w:r>
          </w:p>
        </w:tc>
        <w:tc>
          <w:tcPr>
            <w:tcW w:w="513" w:type="pct"/>
            <w:shd w:val="clear" w:color="auto" w:fill="auto"/>
            <w:noWrap w:val="0"/>
            <w:vAlign w:val="center"/>
          </w:tcPr>
          <w:p w14:paraId="512F6AD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vAlign w:val="center"/>
          </w:tcPr>
          <w:p w14:paraId="4D194D5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44.9</w:t>
            </w:r>
          </w:p>
        </w:tc>
        <w:tc>
          <w:tcPr>
            <w:tcW w:w="695" w:type="pct"/>
            <w:shd w:val="clear" w:color="auto" w:fill="auto"/>
            <w:noWrap w:val="0"/>
            <w:vAlign w:val="center"/>
          </w:tcPr>
          <w:p w14:paraId="1A423BA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44.9</w:t>
            </w:r>
          </w:p>
        </w:tc>
        <w:tc>
          <w:tcPr>
            <w:tcW w:w="555" w:type="pct"/>
            <w:shd w:val="clear" w:color="auto" w:fill="auto"/>
            <w:noWrap w:val="0"/>
            <w:vAlign w:val="center"/>
          </w:tcPr>
          <w:p w14:paraId="5A66BE9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014B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21B8396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783" w:type="pct"/>
            <w:shd w:val="clear" w:color="auto" w:fill="auto"/>
            <w:noWrap w:val="0"/>
            <w:vAlign w:val="center"/>
          </w:tcPr>
          <w:p w14:paraId="2F46A584">
            <w:pPr>
              <w:pStyle w:val="311"/>
              <w:keepNext w:val="0"/>
              <w:keepLines w:val="0"/>
              <w:pageBreakBefore w:val="0"/>
              <w:widowControl/>
              <w:kinsoku/>
              <w:wordWrap/>
              <w:overflowPunct/>
              <w:topLinePunct w:val="0"/>
              <w:autoSpaceDE/>
              <w:autoSpaceDN/>
              <w:bidi w:val="0"/>
              <w:spacing w:line="360" w:lineRule="auto"/>
              <w:ind w:left="0" w:right="0" w:firstLine="0"/>
              <w:jc w:val="center"/>
              <w:textAlignment w:val="auto"/>
              <w:rPr>
                <w:rFonts w:hint="eastAsia" w:ascii="宋体" w:hAnsi="宋体" w:eastAsia="宋体" w:cs="宋体"/>
                <w:b w:val="0"/>
                <w:bCs w:val="0"/>
                <w:color w:val="000000" w:themeColor="text1"/>
                <w:spacing w:val="-5"/>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液相色谱仪</w:t>
            </w:r>
          </w:p>
        </w:tc>
        <w:tc>
          <w:tcPr>
            <w:tcW w:w="513" w:type="pct"/>
            <w:shd w:val="clear" w:color="auto" w:fill="auto"/>
            <w:noWrap w:val="0"/>
            <w:vAlign w:val="center"/>
          </w:tcPr>
          <w:p w14:paraId="260ECBC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765" w:type="pct"/>
            <w:shd w:val="clear" w:color="auto" w:fill="auto"/>
            <w:noWrap w:val="0"/>
            <w:vAlign w:val="center"/>
          </w:tcPr>
          <w:p w14:paraId="078B5C0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695" w:type="pct"/>
            <w:shd w:val="clear" w:color="auto" w:fill="auto"/>
            <w:noWrap w:val="0"/>
            <w:vAlign w:val="center"/>
          </w:tcPr>
          <w:p w14:paraId="5977927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555" w:type="pct"/>
            <w:shd w:val="clear" w:color="auto" w:fill="auto"/>
            <w:noWrap w:val="0"/>
            <w:vAlign w:val="center"/>
          </w:tcPr>
          <w:p w14:paraId="3F6A186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bl>
    <w:p w14:paraId="6F4F07D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投标单位可选择其中任何一个包组投标</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也可几个包组兼投</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但投标单位只能按开标顺序中其中一个包组</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不得兼中（开标顺序</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cs="宋体"/>
          <w:b/>
          <w:bCs/>
          <w:color w:val="000000" w:themeColor="text1"/>
          <w:highlight w:val="none"/>
          <w:lang w:val="en-US" w:eastAsia="zh-CN"/>
          <w14:textFill>
            <w14:solidFill>
              <w14:schemeClr w14:val="tx1"/>
            </w14:solidFill>
          </w14:textFill>
        </w:rPr>
        <w:t>1</w:t>
      </w:r>
      <w:r>
        <w:rPr>
          <w:rFonts w:hint="eastAsia" w:ascii="Times New Roman" w:hAnsi="Times New Roman" w:eastAsia="宋体" w:cs="宋体"/>
          <w:b/>
          <w:bCs/>
          <w:color w:val="000000" w:themeColor="text1"/>
          <w:highlight w:val="none"/>
          <w14:textFill>
            <w14:solidFill>
              <w14:schemeClr w14:val="tx1"/>
            </w14:solidFill>
          </w14:textFill>
        </w:rPr>
        <w:t>-</w:t>
      </w:r>
      <w:r>
        <w:rPr>
          <w:rFonts w:hint="eastAsia" w:ascii="Times New Roman" w:hAnsi="Times New Roman" w:cs="宋体"/>
          <w:b/>
          <w:bCs/>
          <w:color w:val="000000" w:themeColor="text1"/>
          <w:highlight w:val="none"/>
          <w:lang w:val="en-US" w:eastAsia="zh-CN"/>
          <w14:textFill>
            <w14:solidFill>
              <w14:schemeClr w14:val="tx1"/>
            </w14:solidFill>
          </w14:textFill>
        </w:rPr>
        <w:t>2</w:t>
      </w:r>
      <w:r>
        <w:rPr>
          <w:rFonts w:hint="eastAsia" w:ascii="Times New Roman" w:hAnsi="Times New Roman" w:eastAsia="宋体" w:cs="宋体"/>
          <w:b/>
          <w:bCs/>
          <w:color w:val="000000" w:themeColor="text1"/>
          <w:highlight w:val="none"/>
          <w14:textFill>
            <w14:solidFill>
              <w14:schemeClr w14:val="tx1"/>
            </w14:solidFill>
          </w14:textFill>
        </w:rPr>
        <w:t>-</w:t>
      </w:r>
      <w:r>
        <w:rPr>
          <w:rFonts w:hint="eastAsia" w:ascii="Times New Roman" w:hAnsi="Times New Roman" w:cs="宋体"/>
          <w:b/>
          <w:bCs/>
          <w:color w:val="000000" w:themeColor="text1"/>
          <w:highlight w:val="none"/>
          <w:lang w:val="en-US" w:eastAsia="zh-CN"/>
          <w14:textFill>
            <w14:solidFill>
              <w14:schemeClr w14:val="tx1"/>
            </w14:solidFill>
          </w14:textFill>
        </w:rPr>
        <w:t>3-4</w:t>
      </w:r>
      <w:r>
        <w:rPr>
          <w:rFonts w:hint="eastAsia" w:ascii="Times New Roman" w:hAnsi="Times New Roman" w:eastAsia="宋体" w:cs="宋体"/>
          <w:b/>
          <w:bCs/>
          <w:color w:val="000000" w:themeColor="text1"/>
          <w:highlight w:val="none"/>
          <w14:textFill>
            <w14:solidFill>
              <w14:schemeClr w14:val="tx1"/>
            </w14:solidFill>
          </w14:textFill>
        </w:rPr>
        <w:t>）</w:t>
      </w:r>
    </w:p>
    <w:p w14:paraId="59CB343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 xml:space="preserve">6.合同履行期限：见招标文件第四章。 </w:t>
      </w:r>
    </w:p>
    <w:p w14:paraId="49ABA8B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7.本项目</w:t>
      </w:r>
      <w:r>
        <w:rPr>
          <w:rFonts w:hint="eastAsia" w:ascii="Times New Roman" w:hAnsi="Times New Roman" w:eastAsia="宋体" w:cs="宋体"/>
          <w:i/>
          <w:iCs/>
          <w:color w:val="000000" w:themeColor="text1"/>
          <w:highlight w:val="none"/>
          <w:u w:val="single"/>
          <w14:textFill>
            <w14:solidFill>
              <w14:schemeClr w14:val="tx1"/>
            </w14:solidFill>
          </w14:textFill>
        </w:rPr>
        <w:t>不接受</w:t>
      </w:r>
      <w:r>
        <w:rPr>
          <w:rFonts w:hint="eastAsia" w:ascii="Times New Roman" w:hAnsi="Times New Roman" w:eastAsia="宋体" w:cs="宋体"/>
          <w:color w:val="000000" w:themeColor="text1"/>
          <w:highlight w:val="none"/>
          <w14:textFill>
            <w14:solidFill>
              <w14:schemeClr w14:val="tx1"/>
            </w14:solidFill>
          </w14:textFill>
        </w:rPr>
        <w:t>联合体响应。</w:t>
      </w:r>
    </w:p>
    <w:p w14:paraId="5B95C8E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cs="宋体"/>
          <w:color w:val="000000" w:themeColor="text1"/>
          <w:highlight w:val="none"/>
          <w:lang w:val="en-US" w:eastAsia="zh-CN"/>
          <w14:textFill>
            <w14:solidFill>
              <w14:schemeClr w14:val="tx1"/>
            </w14:solidFill>
          </w14:textFill>
        </w:rPr>
        <w:t>8.</w:t>
      </w:r>
      <w:r>
        <w:rPr>
          <w:rFonts w:hint="eastAsia" w:ascii="Times New Roman" w:hAnsi="Times New Roman" w:eastAsia="宋体" w:cs="宋体"/>
          <w:color w:val="000000" w:themeColor="text1"/>
          <w:highlight w:val="none"/>
          <w14:textFill>
            <w14:solidFill>
              <w14:schemeClr w14:val="tx1"/>
            </w14:solidFill>
          </w14:textFill>
        </w:rPr>
        <w:t>本项目</w:t>
      </w:r>
      <w:r>
        <w:rPr>
          <w:rFonts w:hint="eastAsia" w:ascii="Times New Roman" w:hAnsi="Times New Roman" w:eastAsia="宋体" w:cs="宋体"/>
          <w:i/>
          <w:iCs/>
          <w:color w:val="000000" w:themeColor="text1"/>
          <w:highlight w:val="none"/>
          <w:u w:val="single"/>
          <w14:textFill>
            <w14:solidFill>
              <w14:schemeClr w14:val="tx1"/>
            </w14:solidFill>
          </w14:textFill>
        </w:rPr>
        <w:t>不接受</w:t>
      </w:r>
      <w:r>
        <w:rPr>
          <w:rFonts w:hint="eastAsia" w:ascii="Times New Roman" w:hAnsi="Times New Roman" w:eastAsia="宋体" w:cs="宋体"/>
          <w:color w:val="000000" w:themeColor="text1"/>
          <w:highlight w:val="none"/>
          <w14:textFill>
            <w14:solidFill>
              <w14:schemeClr w14:val="tx1"/>
            </w14:solidFill>
          </w14:textFill>
        </w:rPr>
        <w:t>进口产品投标。</w:t>
      </w:r>
    </w:p>
    <w:p w14:paraId="11E624A5">
      <w:pPr>
        <w:pStyle w:val="312"/>
        <w:pageBreakBefore w:val="0"/>
        <w:kinsoku/>
        <w:wordWrap/>
        <w:overflowPunct/>
        <w:topLinePunct w:val="0"/>
        <w:autoSpaceDE/>
        <w:autoSpaceDN/>
        <w:bidi w:val="0"/>
        <w:spacing w:before="120" w:after="120" w:line="360" w:lineRule="auto"/>
        <w:ind w:firstLine="482"/>
        <w:textAlignment w:val="auto"/>
        <w:rPr>
          <w:rFonts w:hint="eastAsia" w:ascii="宋体" w:hAnsi="宋体" w:cs="宋体"/>
          <w:color w:val="000000" w:themeColor="text1"/>
          <w:sz w:val="24"/>
          <w:szCs w:val="20"/>
          <w:highlight w:val="none"/>
          <w14:textFill>
            <w14:solidFill>
              <w14:schemeClr w14:val="tx1"/>
            </w14:solidFill>
          </w14:textFill>
        </w:rPr>
      </w:pPr>
      <w:bookmarkStart w:id="13" w:name="_Toc38985264"/>
      <w:bookmarkStart w:id="14" w:name="_Toc28359080"/>
      <w:bookmarkStart w:id="15" w:name="_Toc35393791"/>
      <w:bookmarkStart w:id="16" w:name="_Toc28359003"/>
      <w:bookmarkStart w:id="17" w:name="_Toc35393622"/>
      <w:r>
        <w:rPr>
          <w:rFonts w:hint="eastAsia" w:ascii="宋体" w:hAnsi="宋体" w:cs="宋体"/>
          <w:color w:val="000000" w:themeColor="text1"/>
          <w:sz w:val="24"/>
          <w:szCs w:val="20"/>
          <w:highlight w:val="none"/>
          <w14:textFill>
            <w14:solidFill>
              <w14:schemeClr w14:val="tx1"/>
            </w14:solidFill>
          </w14:textFill>
        </w:rPr>
        <w:t>二、申请人的资格要求：</w:t>
      </w:r>
      <w:bookmarkEnd w:id="13"/>
      <w:bookmarkEnd w:id="14"/>
      <w:bookmarkEnd w:id="15"/>
      <w:bookmarkEnd w:id="16"/>
      <w:bookmarkEnd w:id="17"/>
    </w:p>
    <w:p w14:paraId="40F7D5F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（一）通用资格要求</w:t>
      </w:r>
      <w:r>
        <w:rPr>
          <w:rFonts w:hint="eastAsia" w:ascii="Times New Roman" w:hAnsi="Times New Roman" w:eastAsia="宋体" w:cs="宋体"/>
          <w:color w:val="000000" w:themeColor="text1"/>
          <w:szCs w:val="21"/>
          <w:highlight w:val="none"/>
          <w:lang w:val="en-US" w:eastAsia="zh-CN"/>
          <w14:textFill>
            <w14:solidFill>
              <w14:schemeClr w14:val="tx1"/>
            </w14:solidFill>
          </w14:textFill>
        </w:rPr>
        <w:tab/>
      </w:r>
    </w:p>
    <w:p w14:paraId="7D32F6C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bookmarkStart w:id="18" w:name="_Toc38985265"/>
      <w:bookmarkStart w:id="19" w:name="_Toc28359004"/>
      <w:bookmarkStart w:id="20" w:name="_Toc28359081"/>
      <w:bookmarkStart w:id="21" w:name="_Toc35393623"/>
      <w:bookmarkStart w:id="22" w:name="_Toc35393792"/>
      <w:r>
        <w:rPr>
          <w:rFonts w:hint="eastAsia" w:ascii="Times New Roman" w:hAnsi="Times New Roman" w:eastAsia="宋体" w:cs="宋体"/>
          <w:color w:val="000000" w:themeColor="text1"/>
          <w:szCs w:val="21"/>
          <w:highlight w:val="none"/>
          <w14:textFill>
            <w14:solidFill>
              <w14:schemeClr w14:val="tx1"/>
            </w14:solidFill>
          </w14:textFill>
        </w:rPr>
        <w:t>1.满足《中华人民共和国政府采购法》第二十二条规定：</w:t>
      </w:r>
    </w:p>
    <w:p w14:paraId="548B536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1.1法人或者其他组织的营业执照等证明文件</w:t>
      </w:r>
      <w:r>
        <w:rPr>
          <w:rFonts w:hint="eastAsia" w:ascii="Times New Roman" w:hAnsi="Times New Roman" w:cs="宋体"/>
          <w:i/>
          <w:iCs/>
          <w:color w:val="000000" w:themeColor="text1"/>
          <w:szCs w:val="21"/>
          <w:highlight w:val="none"/>
          <w:u w:val="single"/>
          <w:lang w:eastAsia="zh-CN"/>
          <w14:textFill>
            <w14:solidFill>
              <w14:schemeClr w14:val="tx1"/>
            </w14:solidFill>
          </w14:textFill>
        </w:rPr>
        <w:t>，</w:t>
      </w:r>
      <w:r>
        <w:rPr>
          <w:rFonts w:hint="eastAsia" w:ascii="Times New Roman" w:hAnsi="Times New Roman" w:eastAsia="宋体" w:cs="宋体"/>
          <w:i/>
          <w:iCs/>
          <w:color w:val="000000" w:themeColor="text1"/>
          <w:szCs w:val="21"/>
          <w:highlight w:val="none"/>
          <w:u w:val="single"/>
          <w14:textFill>
            <w14:solidFill>
              <w14:schemeClr w14:val="tx1"/>
            </w14:solidFill>
          </w14:textFill>
        </w:rPr>
        <w:t>自然人的身份证明</w:t>
      </w:r>
    </w:p>
    <w:p w14:paraId="48137A6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 xml:space="preserve">1.2 </w:t>
      </w:r>
      <w:r>
        <w:rPr>
          <w:rFonts w:hint="eastAsia" w:ascii="Times New Roman" w:hAnsi="Times New Roman" w:eastAsia="宋体" w:cs="宋体"/>
          <w:i/>
          <w:iCs/>
          <w:color w:val="000000" w:themeColor="text1"/>
          <w:szCs w:val="21"/>
          <w:highlight w:val="none"/>
          <w:u w:val="single"/>
          <w:lang w:eastAsia="zh-CN"/>
          <w14:textFill>
            <w14:solidFill>
              <w14:schemeClr w14:val="tx1"/>
            </w14:solidFill>
          </w14:textFill>
        </w:rPr>
        <w:t>上一年度</w:t>
      </w:r>
      <w:r>
        <w:rPr>
          <w:rFonts w:hint="eastAsia" w:ascii="Times New Roman" w:hAnsi="Times New Roman" w:eastAsia="宋体" w:cs="宋体"/>
          <w:i/>
          <w:iCs/>
          <w:color w:val="000000" w:themeColor="text1"/>
          <w:szCs w:val="21"/>
          <w:highlight w:val="none"/>
          <w:u w:val="single"/>
          <w14:textFill>
            <w14:solidFill>
              <w14:schemeClr w14:val="tx1"/>
            </w14:solidFill>
          </w14:textFill>
        </w:rPr>
        <w:t>的财务报告情况</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（成立不满一年无需提供）</w:t>
      </w:r>
    </w:p>
    <w:p w14:paraId="50B867A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i/>
          <w:iCs/>
          <w:color w:val="000000" w:themeColor="text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1.3 依法缴纳税收和社会保障资金的相关材料</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（提供提交响应文件截止时间前一年内至少一个月依法缴纳税收及缴纳社会保障资金的证明材料。供应商依法享受缓缴、免缴税收、社会保障资金的提供证明材料。）（新成立企业距投标截止日不足30日的</w:t>
      </w:r>
      <w:r>
        <w:rPr>
          <w:rFonts w:hint="eastAsia" w:ascii="Times New Roman" w:hAnsi="Times New Roman" w:cs="宋体"/>
          <w:b/>
          <w:bCs/>
          <w:i/>
          <w:iCs/>
          <w:color w:val="000000" w:themeColor="text1"/>
          <w:szCs w:val="21"/>
          <w:highlight w:val="none"/>
          <w:u w:val="single"/>
          <w:lang w:eastAsia="zh-CN"/>
          <w14:textFill>
            <w14:solidFill>
              <w14:schemeClr w14:val="tx1"/>
            </w14:solidFill>
          </w14:textFill>
        </w:rPr>
        <w:t>，</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可不提供</w:t>
      </w:r>
      <w:r>
        <w:rPr>
          <w:rFonts w:hint="eastAsia" w:ascii="Times New Roman" w:hAnsi="Times New Roman" w:cs="宋体"/>
          <w:b/>
          <w:bCs/>
          <w:i/>
          <w:iCs/>
          <w:color w:val="000000" w:themeColor="text1"/>
          <w:szCs w:val="21"/>
          <w:highlight w:val="none"/>
          <w:u w:val="single"/>
          <w:lang w:eastAsia="zh-CN"/>
          <w14:textFill>
            <w14:solidFill>
              <w14:schemeClr w14:val="tx1"/>
            </w14:solidFill>
          </w14:textFill>
        </w:rPr>
        <w:t>，</w:t>
      </w:r>
      <w:r>
        <w:rPr>
          <w:rFonts w:hint="eastAsia" w:ascii="Times New Roman" w:hAnsi="Times New Roman" w:eastAsia="宋体" w:cs="宋体"/>
          <w:b/>
          <w:bCs/>
          <w:i/>
          <w:iCs/>
          <w:color w:val="000000" w:themeColor="text1"/>
          <w:szCs w:val="21"/>
          <w:highlight w:val="none"/>
          <w:u w:val="single"/>
          <w14:textFill>
            <w14:solidFill>
              <w14:schemeClr w14:val="tx1"/>
            </w14:solidFill>
          </w14:textFill>
        </w:rPr>
        <w:t>以新办企业营业执照发放日期为准）；</w:t>
      </w:r>
    </w:p>
    <w:p w14:paraId="7D80138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1.4 具备履行合同所必需的设备和专业技术能力的书面声明；</w:t>
      </w:r>
    </w:p>
    <w:p w14:paraId="66A10FB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1.5 参加政府采购活动前3年内在经营活动中没有重大违法记录的书面声明；</w:t>
      </w:r>
    </w:p>
    <w:p w14:paraId="64B2CB3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1.6 供应商信用承诺书；</w:t>
      </w:r>
    </w:p>
    <w:p w14:paraId="7A680A1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i/>
          <w:iCs/>
          <w:color w:val="000000" w:themeColor="text1"/>
          <w:szCs w:val="21"/>
          <w:highlight w:val="none"/>
          <w:u w:val="single"/>
          <w14:textFill>
            <w14:solidFill>
              <w14:schemeClr w14:val="tx1"/>
            </w14:solidFill>
          </w14:textFill>
        </w:rPr>
        <w:t>1.7 未被“信用中国”网站（www.creditchina.gov.cn）、“中国政府采购网"</w:t>
      </w:r>
      <w:r>
        <w:rPr>
          <w:rFonts w:hint="eastAsia" w:ascii="Times New Roman" w:hAnsi="Times New Roman" w:eastAsia="宋体" w:cs="宋体"/>
          <w:i/>
          <w:iCs/>
          <w:color w:val="000000" w:themeColor="text1"/>
          <w:szCs w:val="21"/>
          <w:highlight w:val="none"/>
          <w:u w:val="single"/>
          <w:lang w:eastAsia="zh-CN"/>
          <w14:textFill>
            <w14:solidFill>
              <w14:schemeClr w14:val="tx1"/>
            </w14:solidFill>
          </w14:textFill>
        </w:rPr>
        <w:t>（</w:t>
      </w:r>
      <w:r>
        <w:rPr>
          <w:rFonts w:hint="eastAsia" w:ascii="Times New Roman" w:hAnsi="Times New Roman" w:eastAsia="宋体" w:cs="宋体"/>
          <w:i/>
          <w:iCs/>
          <w:color w:val="000000" w:themeColor="text1"/>
          <w:szCs w:val="21"/>
          <w:highlight w:val="none"/>
          <w:u w:val="single"/>
          <w14:textFill>
            <w14:solidFill>
              <w14:schemeClr w14:val="tx1"/>
            </w14:solidFill>
          </w14:textFill>
        </w:rPr>
        <w:t>www.ccgp.gov.cn）列入失信被执行人、重大税收违法案件当事人名单、政府采购严重违法失信行为记录名单及其他不符合《中华人民共和国政府采购法》第二十二条规定条件的信用记录。</w:t>
      </w:r>
    </w:p>
    <w:p w14:paraId="0C7E832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i/>
          <w:color w:val="000000" w:themeColor="text1"/>
          <w:szCs w:val="21"/>
          <w:highlight w:val="none"/>
          <w:u w:val="singl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2.落实政府采购政策需满足的资格要求：</w:t>
      </w:r>
      <w:r>
        <w:rPr>
          <w:rFonts w:hint="eastAsia" w:ascii="Times New Roman" w:hAnsi="Times New Roman" w:cs="宋体"/>
          <w:i/>
          <w:color w:val="000000" w:themeColor="text1"/>
          <w:szCs w:val="21"/>
          <w:highlight w:val="none"/>
          <w:u w:val="single"/>
          <w:lang w:val="en-US" w:eastAsia="zh-CN"/>
          <w14:textFill>
            <w14:solidFill>
              <w14:schemeClr w14:val="tx1"/>
            </w14:solidFill>
          </w14:textFill>
        </w:rPr>
        <w:t>本项目非预留份额的采购项目或采购包，执行价格扣除优患政策，给予小微型企业、监狱企业或残疾人福利性单位报价20%的扣除，用扣除后的价格参加评車。价格扣除比例对小型企业和微型企业同等对待，不作区分。监狱企业、残疾人福利单位属于小型、微型企业的，不重复享受政策。</w:t>
      </w:r>
    </w:p>
    <w:p w14:paraId="43C044B1">
      <w:pPr>
        <w:pageBreakBefore w:val="0"/>
        <w:kinsoku/>
        <w:wordWrap/>
        <w:overflowPunct/>
        <w:topLinePunct w:val="0"/>
        <w:autoSpaceDE/>
        <w:autoSpaceDN/>
        <w:bidi w:val="0"/>
        <w:spacing w:line="360" w:lineRule="auto"/>
        <w:ind w:firstLine="420"/>
        <w:textAlignment w:val="auto"/>
        <w:rPr>
          <w:rFonts w:hint="default"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（二）本项目的特定资格要求</w:t>
      </w:r>
      <w:r>
        <w:rPr>
          <w:rFonts w:hint="eastAsia" w:ascii="Times New Roman" w:hAnsi="Times New Roman" w:cs="宋体"/>
          <w:color w:val="000000" w:themeColor="text1"/>
          <w:sz w:val="21"/>
          <w:szCs w:val="21"/>
          <w:highlight w:val="none"/>
          <w:lang w:val="en-US" w:eastAsia="zh-CN"/>
          <w14:textFill>
            <w14:solidFill>
              <w14:schemeClr w14:val="tx1"/>
            </w14:solidFill>
          </w14:textFill>
        </w:rPr>
        <w:t>：无</w:t>
      </w:r>
    </w:p>
    <w:p w14:paraId="37FA03C9">
      <w:pPr>
        <w:pageBreakBefore w:val="0"/>
        <w:tabs>
          <w:tab w:val="left" w:pos="266"/>
        </w:tabs>
        <w:kinsoku/>
        <w:wordWrap/>
        <w:overflowPunct/>
        <w:topLinePunct w:val="0"/>
        <w:autoSpaceDE/>
        <w:autoSpaceDN/>
        <w:bidi w:val="0"/>
        <w:spacing w:line="360" w:lineRule="auto"/>
        <w:ind w:firstLine="482" w:firstLineChars="200"/>
        <w:textAlignment w:val="auto"/>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三、获取招标文件</w:t>
      </w:r>
      <w:bookmarkEnd w:id="18"/>
      <w:bookmarkEnd w:id="19"/>
      <w:bookmarkEnd w:id="20"/>
      <w:bookmarkEnd w:id="21"/>
      <w:bookmarkEnd w:id="22"/>
    </w:p>
    <w:p w14:paraId="52041A0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bookmarkStart w:id="23" w:name="_Toc28359005"/>
      <w:bookmarkStart w:id="24" w:name="_Toc28359082"/>
      <w:bookmarkStart w:id="25" w:name="_Toc35393793"/>
      <w:bookmarkStart w:id="26" w:name="_Toc35393624"/>
      <w:bookmarkStart w:id="27" w:name="_Toc38985266"/>
      <w:r>
        <w:rPr>
          <w:rFonts w:hint="eastAsia" w:ascii="Times New Roman" w:hAnsi="Times New Roman" w:eastAsia="宋体" w:cs="宋体"/>
          <w:color w:val="000000" w:themeColor="text1"/>
          <w:highlight w:val="none"/>
          <w14:textFill>
            <w14:solidFill>
              <w14:schemeClr w14:val="tx1"/>
            </w14:solidFill>
          </w14:textFill>
        </w:rPr>
        <w:t>1.时间：自招标文件公告发布之日起5个工作日。</w:t>
      </w:r>
    </w:p>
    <w:p w14:paraId="7C9050B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2.获取方式：在“扬州市政府采购网”、“江苏政府采购网”“中国政府采购网”自行免费下载招标文件。本项目采用网上注册登记方式。</w:t>
      </w:r>
    </w:p>
    <w:p w14:paraId="4740DE17">
      <w:pPr>
        <w:pageBreakBefore w:val="0"/>
        <w:tabs>
          <w:tab w:val="left" w:pos="266"/>
        </w:tabs>
        <w:kinsoku/>
        <w:wordWrap/>
        <w:overflowPunct/>
        <w:topLinePunct w:val="0"/>
        <w:autoSpaceDE/>
        <w:autoSpaceDN/>
        <w:bidi w:val="0"/>
        <w:spacing w:line="360" w:lineRule="auto"/>
        <w:ind w:firstLine="422"/>
        <w:textAlignment w:val="auto"/>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四、提交投标文件</w:t>
      </w:r>
      <w:bookmarkEnd w:id="23"/>
      <w:bookmarkEnd w:id="24"/>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截止时间、开标时间和地点</w:t>
      </w:r>
      <w:bookmarkEnd w:id="25"/>
      <w:bookmarkEnd w:id="26"/>
      <w:bookmarkEnd w:id="27"/>
    </w:p>
    <w:p w14:paraId="270EEEB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1.时间：</w:t>
      </w:r>
      <w:r>
        <w:rPr>
          <w:rFonts w:hint="eastAsia" w:ascii="Times New Roman" w:hAnsi="Times New Roman" w:eastAsia="宋体" w:cs="宋体"/>
          <w:bCs/>
          <w:color w:val="000000" w:themeColor="text1"/>
          <w:highlight w:val="none"/>
          <w:u w:val="single"/>
          <w14:textFill>
            <w14:solidFill>
              <w14:schemeClr w14:val="tx1"/>
            </w14:solidFill>
          </w14:textFill>
        </w:rPr>
        <w:t>2026年</w:t>
      </w:r>
      <w:r>
        <w:rPr>
          <w:rFonts w:hint="eastAsia" w:ascii="Times New Roman" w:hAnsi="Times New Roman" w:cs="宋体"/>
          <w:bCs/>
          <w:color w:val="000000" w:themeColor="text1"/>
          <w:highlight w:val="none"/>
          <w:u w:val="single"/>
          <w:lang w:val="en-US" w:eastAsia="zh-CN"/>
          <w14:textFill>
            <w14:solidFill>
              <w14:schemeClr w14:val="tx1"/>
            </w14:solidFill>
          </w14:textFill>
        </w:rPr>
        <w:t>11</w:t>
      </w:r>
      <w:r>
        <w:rPr>
          <w:rFonts w:hint="eastAsia" w:ascii="Times New Roman" w:hAnsi="Times New Roman" w:eastAsia="宋体" w:cs="宋体"/>
          <w:bCs/>
          <w:color w:val="000000" w:themeColor="text1"/>
          <w:highlight w:val="none"/>
          <w:u w:val="single"/>
          <w14:textFill>
            <w14:solidFill>
              <w14:schemeClr w14:val="tx1"/>
            </w14:solidFill>
          </w14:textFill>
        </w:rPr>
        <w:t>月2日</w:t>
      </w:r>
      <w:r>
        <w:rPr>
          <w:rFonts w:hint="eastAsia" w:ascii="Times New Roman" w:hAnsi="Times New Roman" w:cs="宋体"/>
          <w:bCs/>
          <w:color w:val="000000" w:themeColor="text1"/>
          <w:highlight w:val="none"/>
          <w:u w:val="single"/>
          <w:lang w:eastAsia="zh-CN"/>
          <w14:textFill>
            <w14:solidFill>
              <w14:schemeClr w14:val="tx1"/>
            </w14:solidFill>
          </w14:textFill>
        </w:rPr>
        <w:t>上</w:t>
      </w:r>
      <w:r>
        <w:rPr>
          <w:rFonts w:hint="eastAsia" w:ascii="Times New Roman" w:hAnsi="Times New Roman" w:eastAsia="宋体" w:cs="宋体"/>
          <w:bCs/>
          <w:color w:val="000000" w:themeColor="text1"/>
          <w:highlight w:val="none"/>
          <w:u w:val="single"/>
          <w14:textFill>
            <w14:solidFill>
              <w14:schemeClr w14:val="tx1"/>
            </w14:solidFill>
          </w14:textFill>
        </w:rPr>
        <w:t>午</w:t>
      </w:r>
      <w:r>
        <w:rPr>
          <w:rFonts w:hint="eastAsia" w:ascii="Times New Roman" w:hAnsi="Times New Roman" w:cs="宋体"/>
          <w:bCs/>
          <w:color w:val="000000" w:themeColor="text1"/>
          <w:highlight w:val="none"/>
          <w:u w:val="single"/>
          <w:lang w:val="en-US" w:eastAsia="zh-CN"/>
          <w14:textFill>
            <w14:solidFill>
              <w14:schemeClr w14:val="tx1"/>
            </w14:solidFill>
          </w14:textFill>
        </w:rPr>
        <w:t>10</w:t>
      </w:r>
      <w:r>
        <w:rPr>
          <w:rFonts w:hint="eastAsia" w:ascii="Times New Roman" w:hAnsi="Times New Roman" w:cs="宋体"/>
          <w:bCs/>
          <w:color w:val="000000" w:themeColor="text1"/>
          <w:highlight w:val="none"/>
          <w:u w:val="single"/>
          <w:lang w:eastAsia="zh-CN"/>
          <w14:textFill>
            <w14:solidFill>
              <w14:schemeClr w14:val="tx1"/>
            </w14:solidFill>
          </w14:textFill>
        </w:rPr>
        <w:t>：0</w:t>
      </w:r>
      <w:r>
        <w:rPr>
          <w:rFonts w:hint="eastAsia" w:ascii="Times New Roman" w:hAnsi="Times New Roman" w:eastAsia="宋体" w:cs="宋体"/>
          <w:bCs/>
          <w:color w:val="000000" w:themeColor="text1"/>
          <w:highlight w:val="none"/>
          <w:u w:val="single"/>
          <w14:textFill>
            <w14:solidFill>
              <w14:schemeClr w14:val="tx1"/>
            </w14:solidFill>
          </w14:textFill>
        </w:rPr>
        <w:t xml:space="preserve">0  </w:t>
      </w:r>
      <w:r>
        <w:rPr>
          <w:rFonts w:hint="eastAsia" w:ascii="Times New Roman" w:hAnsi="Times New Roman" w:eastAsia="宋体" w:cs="宋体"/>
          <w:color w:val="000000" w:themeColor="text1"/>
          <w:highlight w:val="none"/>
          <w14:textFill>
            <w14:solidFill>
              <w14:schemeClr w14:val="tx1"/>
            </w14:solidFill>
          </w14:textFill>
        </w:rPr>
        <w:t>（北京时间）</w:t>
      </w:r>
    </w:p>
    <w:p w14:paraId="35CE7FF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2.开标地点：</w:t>
      </w:r>
      <w:r>
        <w:rPr>
          <w:rFonts w:hint="eastAsia" w:ascii="Times New Roman" w:hAnsi="Times New Roman" w:eastAsia="宋体" w:cs="宋体"/>
          <w:color w:val="000000" w:themeColor="text1"/>
          <w:szCs w:val="21"/>
          <w:highlight w:val="none"/>
          <w14:textFill>
            <w14:solidFill>
              <w14:schemeClr w14:val="tx1"/>
            </w14:solidFill>
          </w14:textFill>
        </w:rPr>
        <w:t>“苏采云”系统（网址：http</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//jszfcg.jsczt.cn/）</w:t>
      </w:r>
    </w:p>
    <w:p w14:paraId="062E5AD7">
      <w:pPr>
        <w:pageBreakBefore w:val="0"/>
        <w:tabs>
          <w:tab w:val="left" w:pos="266"/>
        </w:tabs>
        <w:kinsoku/>
        <w:wordWrap/>
        <w:overflowPunct/>
        <w:topLinePunct w:val="0"/>
        <w:autoSpaceDE/>
        <w:autoSpaceDN/>
        <w:bidi w:val="0"/>
        <w:spacing w:line="360" w:lineRule="auto"/>
        <w:ind w:firstLine="422"/>
        <w:textAlignment w:val="auto"/>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bookmarkStart w:id="28" w:name="_Toc35393625"/>
      <w:bookmarkStart w:id="29" w:name="_Toc35393794"/>
      <w:bookmarkStart w:id="30" w:name="_Toc38985267"/>
      <w:bookmarkStart w:id="31" w:name="_Toc28359007"/>
      <w:bookmarkStart w:id="32" w:name="_Toc28359084"/>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五、公告期限</w:t>
      </w:r>
      <w:bookmarkEnd w:id="28"/>
      <w:bookmarkEnd w:id="29"/>
      <w:bookmarkEnd w:id="30"/>
      <w:bookmarkEnd w:id="31"/>
      <w:bookmarkEnd w:id="32"/>
    </w:p>
    <w:p w14:paraId="760523C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bookmarkStart w:id="33" w:name="_Toc35393626"/>
      <w:bookmarkStart w:id="34" w:name="_Toc35393795"/>
      <w:bookmarkStart w:id="35" w:name="_Toc38985268"/>
      <w:r>
        <w:rPr>
          <w:rFonts w:hint="eastAsia" w:ascii="Times New Roman" w:hAnsi="Times New Roman" w:eastAsia="宋体" w:cs="宋体"/>
          <w:color w:val="000000" w:themeColor="text1"/>
          <w:highlight w:val="none"/>
          <w14:textFill>
            <w14:solidFill>
              <w14:schemeClr w14:val="tx1"/>
            </w14:solidFill>
          </w14:textFill>
        </w:rPr>
        <w:t>自本公告发布之日起5个工作日。</w:t>
      </w:r>
    </w:p>
    <w:p w14:paraId="497D6AB7">
      <w:pPr>
        <w:pageBreakBefore w:val="0"/>
        <w:tabs>
          <w:tab w:val="left" w:pos="266"/>
        </w:tabs>
        <w:kinsoku/>
        <w:wordWrap/>
        <w:overflowPunct/>
        <w:topLinePunct w:val="0"/>
        <w:autoSpaceDE/>
        <w:autoSpaceDN/>
        <w:bidi w:val="0"/>
        <w:spacing w:line="360" w:lineRule="auto"/>
        <w:ind w:firstLine="422"/>
        <w:textAlignment w:val="auto"/>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六、其他补充事宜</w:t>
      </w:r>
      <w:bookmarkEnd w:id="33"/>
      <w:bookmarkEnd w:id="34"/>
      <w:bookmarkEnd w:id="35"/>
    </w:p>
    <w:p w14:paraId="0DBFEE0E">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highlight w:val="none"/>
          <w14:textFill>
            <w14:solidFill>
              <w14:schemeClr w14:val="tx1"/>
            </w14:solidFill>
          </w14:textFill>
        </w:rPr>
      </w:pPr>
      <w:bookmarkStart w:id="36" w:name="_Toc28359008"/>
      <w:bookmarkStart w:id="37" w:name="_Toc35393627"/>
      <w:bookmarkStart w:id="38" w:name="_Toc28359085"/>
      <w:bookmarkStart w:id="39" w:name="_Toc35393796"/>
      <w:bookmarkStart w:id="40" w:name="_Toc38985269"/>
      <w:r>
        <w:rPr>
          <w:rFonts w:hint="eastAsia" w:ascii="Times New Roman" w:hAnsi="Times New Roman" w:eastAsia="宋体" w:cs="宋体"/>
          <w:b/>
          <w:bCs/>
          <w:color w:val="000000" w:themeColor="text1"/>
          <w:highlight w:val="none"/>
          <w14:textFill>
            <w14:solidFill>
              <w14:schemeClr w14:val="tx1"/>
            </w14:solidFill>
          </w14:textFill>
        </w:rPr>
        <w:t>1.本次采购采用“政府采购管理交易系统（苏采云）”</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招标、投标、评标和中标结果发布全程电子化</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开标方式为不见面开标。供应商应当按照《“苏采云”系统供应商操作手册》参加投标活动。如供应商未按要求操作</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由此所产生的风险由供应商自行承担。</w:t>
      </w:r>
    </w:p>
    <w:p w14:paraId="1E3BD51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2.供应商如确定参加投标</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可自行下载采购文件及有关资料</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按照《操作手册》进行注册</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领取CA和办理电子签章</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并按《操作手册》要求制作、上传电子投标文件</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技术支持联系方式：13813140731。</w:t>
      </w:r>
    </w:p>
    <w:p w14:paraId="4B09EB0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w:t>
      </w:r>
      <w:r>
        <w:rPr>
          <w:rFonts w:hint="eastAsia" w:ascii="Times New Roman" w:hAnsi="Times New Roman" w:eastAsia="宋体" w:cs="宋体"/>
          <w:color w:val="000000" w:themeColor="text1"/>
          <w:highlight w:val="none"/>
          <w14:textFill>
            <w14:solidFill>
              <w14:schemeClr w14:val="tx1"/>
            </w14:solidFill>
          </w14:textFill>
        </w:rPr>
        <w:t>本次招标</w:t>
      </w:r>
      <w:r>
        <w:rPr>
          <w:rFonts w:hint="eastAsia" w:ascii="Times New Roman" w:hAnsi="Times New Roman" w:eastAsia="宋体" w:cs="宋体"/>
          <w:color w:val="000000" w:themeColor="text1"/>
          <w:highlight w:val="none"/>
          <w:u w:val="single"/>
          <w14:textFill>
            <w14:solidFill>
              <w14:schemeClr w14:val="tx1"/>
            </w14:solidFill>
          </w14:textFill>
        </w:rPr>
        <w:t>不收取</w:t>
      </w:r>
      <w:r>
        <w:rPr>
          <w:rFonts w:hint="eastAsia" w:ascii="Times New Roman" w:hAnsi="Times New Roman" w:eastAsia="宋体" w:cs="宋体"/>
          <w:color w:val="000000" w:themeColor="text1"/>
          <w:highlight w:val="none"/>
          <w14:textFill>
            <w14:solidFill>
              <w14:schemeClr w14:val="tx1"/>
            </w14:solidFill>
          </w14:textFill>
        </w:rPr>
        <w:t>投标保证金。</w:t>
      </w:r>
    </w:p>
    <w:p w14:paraId="4841354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4.</w:t>
      </w:r>
      <w:r>
        <w:rPr>
          <w:rFonts w:hint="eastAsia" w:ascii="Times New Roman" w:hAnsi="Times New Roman" w:eastAsia="宋体" w:cs="宋体"/>
          <w:bCs/>
          <w:color w:val="000000" w:themeColor="text1"/>
          <w:highlight w:val="none"/>
          <w14:textFill>
            <w14:solidFill>
              <w14:schemeClr w14:val="tx1"/>
            </w14:solidFill>
          </w14:textFill>
        </w:rPr>
        <w:t>有关本次招标的事项若存在变动或修改</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敬请及时关注</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“扬州市政府采购网”“江苏省政府采购网”和“中国政府采购网”</w:t>
      </w:r>
      <w:r>
        <w:rPr>
          <w:rFonts w:hint="eastAsia" w:ascii="Times New Roman" w:hAnsi="Times New Roman" w:eastAsia="宋体" w:cs="宋体"/>
          <w:bCs/>
          <w:color w:val="000000" w:themeColor="text1"/>
          <w:highlight w:val="none"/>
          <w14:textFill>
            <w14:solidFill>
              <w14:schemeClr w14:val="tx1"/>
            </w14:solidFill>
          </w14:textFill>
        </w:rPr>
        <w:t>发布的信息。</w:t>
      </w:r>
    </w:p>
    <w:p w14:paraId="3234C61C">
      <w:pPr>
        <w:pageBreakBefore w:val="0"/>
        <w:tabs>
          <w:tab w:val="left" w:pos="266"/>
        </w:tabs>
        <w:kinsoku/>
        <w:wordWrap/>
        <w:overflowPunct/>
        <w:topLinePunct w:val="0"/>
        <w:autoSpaceDE/>
        <w:autoSpaceDN/>
        <w:bidi w:val="0"/>
        <w:spacing w:line="360" w:lineRule="auto"/>
        <w:ind w:firstLine="422"/>
        <w:textAlignment w:val="auto"/>
        <w:rPr>
          <w:rFonts w:hint="eastAsia" w:ascii="Times New Roman" w:hAnsi="Times New Roman" w:eastAsia="宋体" w:cs="宋体"/>
          <w:b/>
          <w:i/>
          <w:iCs/>
          <w:color w:val="000000" w:themeColor="text1"/>
          <w:highlight w:val="none"/>
          <w:u w:val="single"/>
          <w14:textFill>
            <w14:solidFill>
              <w14:schemeClr w14:val="tx1"/>
            </w14:solidFill>
          </w14:textFill>
        </w:rPr>
      </w:pPr>
      <w:r>
        <w:rPr>
          <w:rFonts w:hint="eastAsia" w:ascii="Times New Roman" w:hAnsi="Times New Roman" w:eastAsia="宋体" w:cs="宋体"/>
          <w:b/>
          <w:i/>
          <w:iCs/>
          <w:color w:val="000000" w:themeColor="text1"/>
          <w:highlight w:val="none"/>
          <w:u w:val="single"/>
          <w14:textFill>
            <w14:solidFill>
              <w14:schemeClr w14:val="tx1"/>
            </w14:solidFill>
          </w14:textFill>
        </w:rPr>
        <w:t>5.本项目招标文件中所有斜体下划线部分为实质性条款</w:t>
      </w:r>
      <w:r>
        <w:rPr>
          <w:rFonts w:hint="eastAsia" w:ascii="Times New Roman" w:hAnsi="Times New Roman" w:cs="宋体"/>
          <w:b/>
          <w:i/>
          <w:iCs/>
          <w:color w:val="000000" w:themeColor="text1"/>
          <w:highlight w:val="none"/>
          <w:u w:val="single"/>
          <w:lang w:eastAsia="zh-CN"/>
          <w14:textFill>
            <w14:solidFill>
              <w14:schemeClr w14:val="tx1"/>
            </w14:solidFill>
          </w14:textFill>
        </w:rPr>
        <w:t>，</w:t>
      </w:r>
      <w:r>
        <w:rPr>
          <w:rFonts w:hint="eastAsia" w:ascii="Times New Roman" w:hAnsi="Times New Roman" w:eastAsia="宋体" w:cs="宋体"/>
          <w:b/>
          <w:i/>
          <w:iCs/>
          <w:color w:val="000000" w:themeColor="text1"/>
          <w:highlight w:val="none"/>
          <w:u w:val="single"/>
          <w14:textFill>
            <w14:solidFill>
              <w14:schemeClr w14:val="tx1"/>
            </w14:solidFill>
          </w14:textFill>
        </w:rPr>
        <w:t>如不满足</w:t>
      </w:r>
      <w:r>
        <w:rPr>
          <w:rFonts w:hint="eastAsia" w:ascii="Times New Roman" w:hAnsi="Times New Roman" w:cs="宋体"/>
          <w:b/>
          <w:i/>
          <w:iCs/>
          <w:color w:val="000000" w:themeColor="text1"/>
          <w:highlight w:val="none"/>
          <w:u w:val="single"/>
          <w:lang w:eastAsia="zh-CN"/>
          <w14:textFill>
            <w14:solidFill>
              <w14:schemeClr w14:val="tx1"/>
            </w14:solidFill>
          </w14:textFill>
        </w:rPr>
        <w:t>，</w:t>
      </w:r>
      <w:r>
        <w:rPr>
          <w:rFonts w:hint="eastAsia" w:ascii="Times New Roman" w:hAnsi="Times New Roman" w:eastAsia="宋体" w:cs="宋体"/>
          <w:b/>
          <w:i/>
          <w:iCs/>
          <w:color w:val="000000" w:themeColor="text1"/>
          <w:highlight w:val="none"/>
          <w:u w:val="single"/>
          <w14:textFill>
            <w14:solidFill>
              <w14:schemeClr w14:val="tx1"/>
            </w14:solidFill>
          </w14:textFill>
        </w:rPr>
        <w:t>则为无效投标。</w:t>
      </w:r>
    </w:p>
    <w:p w14:paraId="0F707161">
      <w:pPr>
        <w:pageBreakBefore w:val="0"/>
        <w:tabs>
          <w:tab w:val="left" w:pos="266"/>
        </w:tabs>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6.如在开标时间发生系统崩溃等不可预见的情况</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造成开评标活动无法正常进行的</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将延迟开评标</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具体开评标时间另行通知。</w:t>
      </w:r>
    </w:p>
    <w:p w14:paraId="4C677E77">
      <w:pPr>
        <w:pageBreakBefore w:val="0"/>
        <w:tabs>
          <w:tab w:val="left" w:pos="266"/>
        </w:tabs>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7.为落实好政府采购履约资金扶持政策</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中标/成交供应商可凭政府采购合同办理融资贷款</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详见江苏政府采购网“政采贷”专栏。</w:t>
      </w:r>
    </w:p>
    <w:p w14:paraId="70B023E3">
      <w:pPr>
        <w:pageBreakBefore w:val="0"/>
        <w:tabs>
          <w:tab w:val="left" w:pos="266"/>
        </w:tabs>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8.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如属政府强制采购产品未提供认证证书的或认证证书提供不全的将视为未实质性响应采购要求。其他条件相同情况下</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本项目优先采购节能产品、环境标志产品。</w:t>
      </w:r>
    </w:p>
    <w:p w14:paraId="0E032EA7">
      <w:pPr>
        <w:pageBreakBefore w:val="0"/>
        <w:tabs>
          <w:tab w:val="left" w:pos="266"/>
        </w:tabs>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9.供应商对于所投产品的包装应按照“财办库〔2020〕123号《关于印发《商品包装政府采购需求标准（试行）》《快递包装政府采购需求标准（试行）》的通知》”执行。</w:t>
      </w:r>
    </w:p>
    <w:p w14:paraId="0FD9AE6D">
      <w:pPr>
        <w:keepNext w:val="0"/>
        <w:keepLines w:val="0"/>
        <w:pageBreakBefore w:val="0"/>
        <w:tabs>
          <w:tab w:val="left" w:pos="266"/>
        </w:tabs>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10.集中现场考察或答疑：采购人不组织</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投标人可自行考察。未考察现场或考察工作不详细的投标人中标后</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不得以不完全了解现场情况为理由而向采购人提出任何索赔或其他要求</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对此采购人不承担任何责任并将不作任何答复。</w:t>
      </w:r>
    </w:p>
    <w:p w14:paraId="033C8816">
      <w:pPr>
        <w:pageBreakBefore w:val="0"/>
        <w:tabs>
          <w:tab w:val="left" w:pos="266"/>
        </w:tabs>
        <w:kinsoku/>
        <w:wordWrap/>
        <w:overflowPunct/>
        <w:topLinePunct w:val="0"/>
        <w:autoSpaceDE/>
        <w:autoSpaceDN/>
        <w:bidi w:val="0"/>
        <w:spacing w:line="360" w:lineRule="auto"/>
        <w:ind w:firstLine="422"/>
        <w:textAlignment w:val="auto"/>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t>七、本次招标联系方式</w:t>
      </w:r>
      <w:bookmarkEnd w:id="36"/>
      <w:bookmarkEnd w:id="37"/>
      <w:bookmarkEnd w:id="38"/>
      <w:bookmarkEnd w:id="39"/>
      <w:bookmarkEnd w:id="40"/>
    </w:p>
    <w:p w14:paraId="56ADC281">
      <w:pPr>
        <w:pageBreakBefore w:val="0"/>
        <w:widowControl/>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bookmarkStart w:id="41" w:name="_Toc28359087"/>
      <w:bookmarkStart w:id="42" w:name="_Toc28359010"/>
      <w:r>
        <w:rPr>
          <w:rFonts w:hint="eastAsia" w:ascii="Times New Roman" w:hAnsi="Times New Roman" w:eastAsia="宋体" w:cs="宋体"/>
          <w:color w:val="000000" w:themeColor="text1"/>
          <w:highlight w:val="none"/>
          <w14:textFill>
            <w14:solidFill>
              <w14:schemeClr w14:val="tx1"/>
            </w14:solidFill>
          </w14:textFill>
        </w:rPr>
        <w:t>1.采购人信息</w:t>
      </w:r>
    </w:p>
    <w:p w14:paraId="1F394C91">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名 称：</w:t>
      </w:r>
      <w:r>
        <w:rPr>
          <w:rFonts w:hint="eastAsia" w:ascii="Times New Roman" w:hAnsi="Times New Roman" w:cs="宋体"/>
          <w:color w:val="000000" w:themeColor="text1"/>
          <w:szCs w:val="21"/>
          <w:highlight w:val="none"/>
          <w:lang w:eastAsia="zh-CN"/>
          <w14:textFill>
            <w14:solidFill>
              <w14:schemeClr w14:val="tx1"/>
            </w14:solidFill>
          </w14:textFill>
        </w:rPr>
        <w:t>扬州市检验检测中心</w:t>
      </w:r>
    </w:p>
    <w:p w14:paraId="6E0BB551">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highlight w:val="none"/>
          <w:lang w:eastAsia="zh-CN"/>
          <w14:textFill>
            <w14:solidFill>
              <w14:schemeClr w14:val="tx1"/>
            </w14:solidFill>
          </w14:textFill>
        </w:rPr>
      </w:pPr>
      <w:bookmarkStart w:id="43" w:name="_Toc28359009"/>
      <w:bookmarkStart w:id="44" w:name="_Toc28359086"/>
      <w:r>
        <w:rPr>
          <w:rFonts w:hint="eastAsia" w:ascii="Times New Roman" w:hAnsi="Times New Roman" w:eastAsia="宋体" w:cs="宋体"/>
          <w:color w:val="000000" w:themeColor="text1"/>
          <w:highlight w:val="none"/>
          <w14:textFill>
            <w14:solidFill>
              <w14:schemeClr w14:val="tx1"/>
            </w14:solidFill>
          </w14:textFill>
        </w:rPr>
        <w:t>地 址：</w:t>
      </w:r>
      <w:r>
        <w:rPr>
          <w:rFonts w:hint="eastAsia" w:ascii="Times New Roman" w:hAnsi="Times New Roman" w:eastAsia="宋体"/>
          <w:color w:val="000000" w:themeColor="text1"/>
          <w:szCs w:val="21"/>
          <w:highlight w:val="none"/>
          <w:lang w:eastAsia="zh-CN"/>
          <w14:textFill>
            <w14:solidFill>
              <w14:schemeClr w14:val="tx1"/>
            </w14:solidFill>
          </w14:textFill>
        </w:rPr>
        <w:t>江苏省扬州市杭集镇龙王路6号</w:t>
      </w:r>
    </w:p>
    <w:p w14:paraId="11A2947F">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联系人：朱姜</w:t>
      </w:r>
    </w:p>
    <w:p w14:paraId="59F4197B">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联系方式：</w:t>
      </w:r>
      <w:r>
        <w:rPr>
          <w:rFonts w:hint="eastAsia" w:ascii="Times New Roman" w:hAnsi="Times New Roman" w:eastAsia="宋体" w:cs="宋体"/>
          <w:color w:val="000000" w:themeColor="text1"/>
          <w:highlight w:val="none"/>
          <w:lang w:val="en-US" w:eastAsia="zh-CN"/>
          <w14:textFill>
            <w14:solidFill>
              <w14:schemeClr w14:val="tx1"/>
            </w14:solidFill>
          </w14:textFill>
        </w:rPr>
        <w:t xml:space="preserve">18005273082 </w:t>
      </w:r>
    </w:p>
    <w:p w14:paraId="238AFAE2">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2.采购代理机构信息</w:t>
      </w:r>
      <w:bookmarkEnd w:id="43"/>
      <w:bookmarkEnd w:id="44"/>
    </w:p>
    <w:p w14:paraId="50463C9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lang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名称：</w:t>
      </w:r>
      <w:r>
        <w:rPr>
          <w:rFonts w:hint="eastAsia" w:ascii="Times New Roman" w:hAnsi="Times New Roman" w:cs="宋体"/>
          <w:color w:val="000000" w:themeColor="text1"/>
          <w:szCs w:val="21"/>
          <w:highlight w:val="none"/>
          <w:lang w:eastAsia="zh-CN"/>
          <w14:textFill>
            <w14:solidFill>
              <w14:schemeClr w14:val="tx1"/>
            </w14:solidFill>
          </w14:textFill>
        </w:rPr>
        <w:t>江苏省经纬建设监理有限公司</w:t>
      </w:r>
    </w:p>
    <w:p w14:paraId="730997C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地址：</w:t>
      </w:r>
      <w:r>
        <w:rPr>
          <w:rFonts w:hint="eastAsia" w:ascii="Times New Roman" w:hAnsi="Times New Roman" w:eastAsia="宋体" w:cs="宋体"/>
          <w:color w:val="000000" w:themeColor="text1"/>
          <w:szCs w:val="21"/>
          <w:highlight w:val="none"/>
          <w14:textFill>
            <w14:solidFill>
              <w14:schemeClr w14:val="tx1"/>
            </w14:solidFill>
          </w14:textFill>
        </w:rPr>
        <w:t>扬州市新城河路182号五楼北侧</w:t>
      </w:r>
    </w:p>
    <w:p w14:paraId="1D572439">
      <w:pPr>
        <w:pageBreakBefore w:val="0"/>
        <w:kinsoku/>
        <w:wordWrap/>
        <w:overflowPunct/>
        <w:topLinePunct w:val="0"/>
        <w:autoSpaceDE/>
        <w:autoSpaceDN/>
        <w:bidi w:val="0"/>
        <w:spacing w:line="360" w:lineRule="auto"/>
        <w:ind w:firstLine="420"/>
        <w:textAlignment w:val="auto"/>
        <w:rPr>
          <w:rFonts w:hint="default" w:ascii="Times New Roman" w:hAnsi="Times New Roman" w:eastAsia="宋体" w:cs="宋体"/>
          <w:color w:val="000000" w:themeColor="text1"/>
          <w:highlight w:val="non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联系人：</w:t>
      </w:r>
      <w:r>
        <w:rPr>
          <w:rFonts w:hint="eastAsia" w:ascii="Times New Roman" w:hAnsi="Times New Roman" w:eastAsia="宋体" w:cs="宋体"/>
          <w:color w:val="000000" w:themeColor="text1"/>
          <w:szCs w:val="21"/>
          <w:highlight w:val="none"/>
          <w:lang w:val="en-US" w:eastAsia="zh-CN"/>
          <w14:textFill>
            <w14:solidFill>
              <w14:schemeClr w14:val="tx1"/>
            </w14:solidFill>
          </w14:textFill>
        </w:rPr>
        <w:t>陈安源</w:t>
      </w:r>
    </w:p>
    <w:p w14:paraId="5672C85A">
      <w:pPr>
        <w:pageBreakBefore w:val="0"/>
        <w:kinsoku/>
        <w:wordWrap/>
        <w:overflowPunct/>
        <w:topLinePunct w:val="0"/>
        <w:autoSpaceDE/>
        <w:autoSpaceDN/>
        <w:bidi w:val="0"/>
        <w:spacing w:line="360" w:lineRule="auto"/>
        <w:ind w:firstLine="420"/>
        <w:textAlignment w:val="auto"/>
        <w:rPr>
          <w:rFonts w:hint="default" w:ascii="Times New Roman" w:hAnsi="Times New Roman" w:eastAsia="宋体" w:cs="宋体"/>
          <w:color w:val="000000" w:themeColor="text1"/>
          <w:highlight w:val="none"/>
          <w:u w:val="single"/>
          <w:lang w:val="en-US" w:eastAsia="zh-CN"/>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联系方式：</w:t>
      </w:r>
      <w:bookmarkEnd w:id="41"/>
      <w:bookmarkEnd w:id="42"/>
      <w:r>
        <w:rPr>
          <w:rFonts w:hint="eastAsia" w:ascii="Times New Roman" w:hAnsi="Times New Roman" w:eastAsia="宋体" w:cs="宋体"/>
          <w:color w:val="000000" w:themeColor="text1"/>
          <w:highlight w:val="none"/>
          <w:lang w:val="en-US" w:eastAsia="zh-CN"/>
          <w14:textFill>
            <w14:solidFill>
              <w14:schemeClr w14:val="tx1"/>
            </w14:solidFill>
          </w14:textFill>
        </w:rPr>
        <w:t>0</w:t>
      </w:r>
      <w:r>
        <w:rPr>
          <w:rFonts w:hint="eastAsia" w:ascii="Times New Roman" w:hAnsi="Times New Roman" w:cs="宋体"/>
          <w:color w:val="000000" w:themeColor="text1"/>
          <w:highlight w:val="none"/>
          <w:lang w:val="en-US" w:eastAsia="zh-CN"/>
          <w14:textFill>
            <w14:solidFill>
              <w14:schemeClr w14:val="tx1"/>
            </w14:solidFill>
          </w14:textFill>
        </w:rPr>
        <w:t>25</w:t>
      </w:r>
      <w:r>
        <w:rPr>
          <w:rFonts w:hint="eastAsia" w:ascii="Times New Roman" w:hAnsi="Times New Roman" w:eastAsia="宋体" w:cs="宋体"/>
          <w:color w:val="000000" w:themeColor="text1"/>
          <w:highlight w:val="none"/>
          <w:lang w:val="en-US"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83739000</w:t>
      </w:r>
      <w:r>
        <w:rPr>
          <w:rFonts w:hint="eastAsia" w:ascii="Times New Roman" w:hAnsi="Times New Roman" w:eastAsia="宋体"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lang w:eastAsia="zh-CN"/>
          <w14:textFill>
            <w14:solidFill>
              <w14:schemeClr w14:val="tx1"/>
            </w14:solidFill>
          </w14:textFill>
        </w:rPr>
        <w:t>13852710086</w:t>
      </w:r>
    </w:p>
    <w:p w14:paraId="501A3CE9">
      <w:pPr>
        <w:pageBreakBefore w:val="0"/>
        <w:kinsoku/>
        <w:overflowPunct/>
        <w:topLinePunct w:val="0"/>
        <w:autoSpaceDE/>
        <w:autoSpaceDN/>
        <w:bidi w:val="0"/>
        <w:spacing w:line="360" w:lineRule="auto"/>
        <w:textAlignment w:val="auto"/>
        <w:rPr>
          <w:rFonts w:hint="eastAsia" w:ascii="Times New Roman" w:hAnsi="Times New Roman" w:eastAsia="宋体"/>
          <w:color w:val="000000" w:themeColor="text1"/>
          <w:highlight w:val="none"/>
          <w14:textFill>
            <w14:solidFill>
              <w14:schemeClr w14:val="tx1"/>
            </w14:solidFill>
          </w14:textFill>
        </w:rPr>
      </w:pPr>
      <w:bookmarkStart w:id="45" w:name="_Toc27937"/>
      <w:bookmarkStart w:id="46" w:name="_Toc23235"/>
      <w:bookmarkStart w:id="47" w:name="_Toc55204178"/>
      <w:bookmarkStart w:id="48" w:name="_Toc13371"/>
      <w:bookmarkStart w:id="49" w:name="_Toc8455"/>
      <w:bookmarkStart w:id="50" w:name="_Toc15067"/>
      <w:bookmarkStart w:id="51" w:name="_Toc19440"/>
      <w:r>
        <w:rPr>
          <w:rFonts w:hint="eastAsia" w:ascii="Times New Roman" w:hAnsi="Times New Roman" w:eastAsia="宋体"/>
          <w:color w:val="000000" w:themeColor="text1"/>
          <w:highlight w:val="none"/>
          <w14:textFill>
            <w14:solidFill>
              <w14:schemeClr w14:val="tx1"/>
            </w14:solidFill>
          </w14:textFill>
        </w:rPr>
        <w:br w:type="page"/>
      </w:r>
    </w:p>
    <w:p w14:paraId="0ED0C087">
      <w:pPr>
        <w:pStyle w:val="2"/>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r>
        <w:rPr>
          <w:rFonts w:hint="eastAsia" w:ascii="Times New Roman" w:hAnsi="Times New Roman" w:eastAsia="宋体"/>
          <w:color w:val="000000" w:themeColor="text1"/>
          <w:highlight w:val="none"/>
          <w14:textFill>
            <w14:solidFill>
              <w14:schemeClr w14:val="tx1"/>
            </w14:solidFill>
          </w14:textFill>
        </w:rPr>
        <w:t>第二章 投标人须知</w:t>
      </w:r>
      <w:bookmarkEnd w:id="45"/>
      <w:bookmarkEnd w:id="46"/>
      <w:bookmarkEnd w:id="47"/>
      <w:bookmarkEnd w:id="48"/>
      <w:bookmarkEnd w:id="49"/>
      <w:bookmarkEnd w:id="50"/>
      <w:bookmarkEnd w:id="51"/>
    </w:p>
    <w:p w14:paraId="65F62DAC">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1.招标方式</w:t>
      </w:r>
    </w:p>
    <w:p w14:paraId="3113384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1.1 本次招标采取公开招标方式</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本招标文件仅适用于</w:t>
      </w:r>
      <w:r>
        <w:rPr>
          <w:rFonts w:hint="eastAsia" w:ascii="Times New Roman" w:hAnsi="Times New Roman" w:cs="宋体"/>
          <w:bCs/>
          <w:color w:val="000000" w:themeColor="text1"/>
          <w:szCs w:val="21"/>
          <w:highlight w:val="none"/>
          <w:lang w:eastAsia="zh-CN"/>
          <w14:textFill>
            <w14:solidFill>
              <w14:schemeClr w14:val="tx1"/>
            </w14:solidFill>
          </w14:textFill>
        </w:rPr>
        <w:t>JSZC-321000-JWJL-G2026-0003</w:t>
      </w:r>
      <w:r>
        <w:rPr>
          <w:rFonts w:hint="eastAsia" w:ascii="Times New Roman" w:hAnsi="Times New Roman" w:eastAsia="宋体" w:cs="宋体"/>
          <w:bCs/>
          <w:color w:val="000000" w:themeColor="text1"/>
          <w:szCs w:val="21"/>
          <w:highlight w:val="none"/>
          <w:lang w:eastAsia="zh-CN"/>
          <w14:textFill>
            <w14:solidFill>
              <w14:schemeClr w14:val="tx1"/>
            </w14:solidFill>
          </w14:textFill>
        </w:rPr>
        <w:t>号</w:t>
      </w:r>
      <w:r>
        <w:rPr>
          <w:rFonts w:hint="eastAsia" w:ascii="Times New Roman" w:hAnsi="Times New Roman" w:eastAsia="宋体" w:cs="宋体"/>
          <w:bCs/>
          <w:color w:val="000000" w:themeColor="text1"/>
          <w:szCs w:val="21"/>
          <w:highlight w:val="none"/>
          <w14:textFill>
            <w14:solidFill>
              <w14:schemeClr w14:val="tx1"/>
            </w14:solidFill>
          </w14:textFill>
        </w:rPr>
        <w:t>项目。</w:t>
      </w:r>
    </w:p>
    <w:p w14:paraId="060882F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2.投标人</w:t>
      </w:r>
    </w:p>
    <w:p w14:paraId="359292A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2.1 本招标文件中“供应商”</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即“投标人”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是指参加投标竞争</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并符合招标文件规定资格条件的法人、其他组织或者自然人。</w:t>
      </w:r>
    </w:p>
    <w:p w14:paraId="7C7D0FD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2.2合格的投标人</w:t>
      </w:r>
    </w:p>
    <w:p w14:paraId="3771E8B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2.2.1 满足招标公告中供应商的资格条件要求的规定。</w:t>
      </w:r>
    </w:p>
    <w:p w14:paraId="2B2A51C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2.2.2 满足本文件实质性条款的规定。</w:t>
      </w:r>
    </w:p>
    <w:p w14:paraId="5B22D052">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3.适用法律</w:t>
      </w:r>
    </w:p>
    <w:p w14:paraId="6C4CEEE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3.1 本次招标及由此产生的合同受中华人民共和国有关的法律法规制约和保护。</w:t>
      </w:r>
    </w:p>
    <w:p w14:paraId="3976A34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3.2在本项目政府采购活动过程中</w:t>
      </w:r>
      <w:r>
        <w:rPr>
          <w:rFonts w:hint="eastAsia" w:ascii="Times New Roman" w:hAnsi="Times New Roman"/>
          <w:bCs/>
          <w:color w:val="000000" w:themeColor="text1"/>
          <w:szCs w:val="21"/>
          <w:highlight w:val="none"/>
          <w:lang w:eastAsia="zh-CN"/>
          <w14:textFill>
            <w14:solidFill>
              <w14:schemeClr w14:val="tx1"/>
            </w14:solidFill>
          </w14:textFill>
        </w:rPr>
        <w:t>，</w:t>
      </w:r>
      <w:r>
        <w:rPr>
          <w:rFonts w:hint="eastAsia" w:ascii="Times New Roman" w:hAnsi="Times New Roman" w:eastAsia="宋体"/>
          <w:bCs/>
          <w:color w:val="000000" w:themeColor="text1"/>
          <w:szCs w:val="21"/>
          <w:highlight w:val="none"/>
          <w14:textFill>
            <w14:solidFill>
              <w14:schemeClr w14:val="tx1"/>
            </w14:solidFill>
          </w14:textFill>
        </w:rPr>
        <w:t>如果所执行的标准有更新的</w:t>
      </w:r>
      <w:r>
        <w:rPr>
          <w:rFonts w:hint="eastAsia" w:ascii="Times New Roman" w:hAnsi="Times New Roman"/>
          <w:bCs/>
          <w:color w:val="000000" w:themeColor="text1"/>
          <w:szCs w:val="21"/>
          <w:highlight w:val="none"/>
          <w:lang w:eastAsia="zh-CN"/>
          <w14:textFill>
            <w14:solidFill>
              <w14:schemeClr w14:val="tx1"/>
            </w14:solidFill>
          </w14:textFill>
        </w:rPr>
        <w:t>，</w:t>
      </w:r>
      <w:r>
        <w:rPr>
          <w:rFonts w:hint="eastAsia" w:ascii="Times New Roman" w:hAnsi="Times New Roman" w:eastAsia="宋体"/>
          <w:bCs/>
          <w:color w:val="000000" w:themeColor="text1"/>
          <w:szCs w:val="21"/>
          <w:highlight w:val="none"/>
          <w14:textFill>
            <w14:solidFill>
              <w14:schemeClr w14:val="tx1"/>
            </w14:solidFill>
          </w14:textFill>
        </w:rPr>
        <w:t>按照最新标准执行。</w:t>
      </w:r>
    </w:p>
    <w:p w14:paraId="2C4CDA91">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4.投标费用</w:t>
      </w:r>
    </w:p>
    <w:p w14:paraId="659FB02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4.1 投标人应自行承担所有与参加投标有关的费用</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无论投标过程中的做法和结果如 何</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 xml:space="preserve">代理机构在任何情况下均无义务和责任承担这些费用。 </w:t>
      </w:r>
    </w:p>
    <w:p w14:paraId="65C8F98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4.2</w:t>
      </w:r>
      <w:r>
        <w:rPr>
          <w:rFonts w:hint="eastAsia" w:ascii="Times New Roman" w:hAnsi="Times New Roman" w:eastAsia="宋体"/>
          <w:b/>
          <w:bCs/>
          <w:color w:val="000000" w:themeColor="text1"/>
          <w:szCs w:val="21"/>
          <w:highlight w:val="none"/>
          <w14:textFill>
            <w14:solidFill>
              <w14:schemeClr w14:val="tx1"/>
            </w14:solidFill>
          </w14:textFill>
        </w:rPr>
        <w:t>本项目代理服务费由</w:t>
      </w:r>
      <w:r>
        <w:rPr>
          <w:rFonts w:hint="eastAsia" w:ascii="Times New Roman" w:hAnsi="Times New Roman"/>
          <w:b/>
          <w:bCs/>
          <w:color w:val="000000" w:themeColor="text1"/>
          <w:szCs w:val="21"/>
          <w:highlight w:val="none"/>
          <w:lang w:eastAsia="zh-CN"/>
          <w14:textFill>
            <w14:solidFill>
              <w14:schemeClr w14:val="tx1"/>
            </w14:solidFill>
          </w14:textFill>
        </w:rPr>
        <w:t>中标人</w:t>
      </w:r>
      <w:r>
        <w:rPr>
          <w:rFonts w:hint="eastAsia" w:ascii="Times New Roman" w:hAnsi="Times New Roman" w:eastAsia="宋体"/>
          <w:b/>
          <w:bCs/>
          <w:color w:val="000000" w:themeColor="text1"/>
          <w:szCs w:val="21"/>
          <w:highlight w:val="none"/>
          <w14:textFill>
            <w14:solidFill>
              <w14:schemeClr w14:val="tx1"/>
            </w14:solidFill>
          </w14:textFill>
        </w:rPr>
        <w:t>支付。本次采购的代理服务费</w:t>
      </w:r>
      <w:r>
        <w:rPr>
          <w:rFonts w:hint="eastAsia" w:ascii="Times New Roman" w:hAnsi="Times New Roman"/>
          <w:b/>
          <w:bCs/>
          <w:color w:val="000000" w:themeColor="text1"/>
          <w:szCs w:val="21"/>
          <w:highlight w:val="none"/>
          <w:lang w:eastAsia="zh-CN"/>
          <w14:textFill>
            <w14:solidFill>
              <w14:schemeClr w14:val="tx1"/>
            </w14:solidFill>
          </w14:textFill>
        </w:rPr>
        <w:t>为</w:t>
      </w:r>
      <w:r>
        <w:rPr>
          <w:rFonts w:hint="eastAsia" w:ascii="Times New Roman" w:hAnsi="Times New Roman"/>
          <w:b/>
          <w:bCs/>
          <w:color w:val="000000" w:themeColor="text1"/>
          <w:szCs w:val="21"/>
          <w:highlight w:val="none"/>
          <w:lang w:val="en-US" w:eastAsia="zh-CN"/>
          <w14:textFill>
            <w14:solidFill>
              <w14:schemeClr w14:val="tx1"/>
            </w14:solidFill>
          </w14:textFill>
        </w:rPr>
        <w:t>15000元（包1：2500元；包2：2500元；包3：4000元；包4：6000元）</w:t>
      </w:r>
      <w:r>
        <w:rPr>
          <w:rFonts w:hint="eastAsia" w:ascii="Times New Roman" w:hAnsi="Times New Roman"/>
          <w:b/>
          <w:bCs/>
          <w:color w:val="000000" w:themeColor="text1"/>
          <w:szCs w:val="21"/>
          <w:highlight w:val="none"/>
          <w:lang w:eastAsia="zh-CN"/>
          <w14:textFill>
            <w14:solidFill>
              <w14:schemeClr w14:val="tx1"/>
            </w14:solidFill>
          </w14:textFill>
        </w:rPr>
        <w:t>，</w:t>
      </w:r>
      <w:r>
        <w:rPr>
          <w:rFonts w:hint="eastAsia" w:ascii="Times New Roman" w:hAnsi="Times New Roman" w:eastAsia="宋体"/>
          <w:b/>
          <w:bCs/>
          <w:color w:val="000000" w:themeColor="text1"/>
          <w:szCs w:val="21"/>
          <w:highlight w:val="none"/>
          <w14:textFill>
            <w14:solidFill>
              <w14:schemeClr w14:val="tx1"/>
            </w14:solidFill>
          </w14:textFill>
        </w:rPr>
        <w:t>由</w:t>
      </w:r>
      <w:r>
        <w:rPr>
          <w:rFonts w:hint="eastAsia" w:ascii="Times New Roman" w:hAnsi="Times New Roman"/>
          <w:b/>
          <w:bCs/>
          <w:color w:val="000000" w:themeColor="text1"/>
          <w:szCs w:val="21"/>
          <w:highlight w:val="none"/>
          <w:lang w:eastAsia="zh-CN"/>
          <w14:textFill>
            <w14:solidFill>
              <w14:schemeClr w14:val="tx1"/>
            </w14:solidFill>
          </w14:textFill>
        </w:rPr>
        <w:t>中标人</w:t>
      </w:r>
      <w:r>
        <w:rPr>
          <w:rFonts w:hint="eastAsia" w:ascii="Times New Roman" w:hAnsi="Times New Roman" w:eastAsia="宋体"/>
          <w:b/>
          <w:bCs/>
          <w:color w:val="000000" w:themeColor="text1"/>
          <w:szCs w:val="21"/>
          <w:highlight w:val="none"/>
          <w14:textFill>
            <w14:solidFill>
              <w14:schemeClr w14:val="tx1"/>
            </w14:solidFill>
          </w14:textFill>
        </w:rPr>
        <w:t>在领取</w:t>
      </w:r>
      <w:r>
        <w:rPr>
          <w:rFonts w:hint="eastAsia" w:ascii="Times New Roman" w:hAnsi="Times New Roman"/>
          <w:b/>
          <w:bCs/>
          <w:color w:val="000000" w:themeColor="text1"/>
          <w:szCs w:val="21"/>
          <w:highlight w:val="none"/>
          <w:lang w:eastAsia="zh-CN"/>
          <w14:textFill>
            <w14:solidFill>
              <w14:schemeClr w14:val="tx1"/>
            </w14:solidFill>
          </w14:textFill>
        </w:rPr>
        <w:t>中标</w:t>
      </w:r>
      <w:r>
        <w:rPr>
          <w:rFonts w:hint="eastAsia" w:ascii="Times New Roman" w:hAnsi="Times New Roman" w:eastAsia="宋体"/>
          <w:b/>
          <w:bCs/>
          <w:color w:val="000000" w:themeColor="text1"/>
          <w:szCs w:val="21"/>
          <w:highlight w:val="none"/>
          <w14:textFill>
            <w14:solidFill>
              <w14:schemeClr w14:val="tx1"/>
            </w14:solidFill>
          </w14:textFill>
        </w:rPr>
        <w:t>通知书前一次性足额支付给代理机构</w:t>
      </w:r>
      <w:r>
        <w:rPr>
          <w:rFonts w:hint="eastAsia" w:ascii="Times New Roman" w:hAnsi="Times New Roman"/>
          <w:b/>
          <w:bCs/>
          <w:color w:val="000000" w:themeColor="text1"/>
          <w:szCs w:val="21"/>
          <w:highlight w:val="none"/>
          <w:lang w:eastAsia="zh-CN"/>
          <w14:textFill>
            <w14:solidFill>
              <w14:schemeClr w14:val="tx1"/>
            </w14:solidFill>
          </w14:textFill>
        </w:rPr>
        <w:t>，</w:t>
      </w:r>
      <w:r>
        <w:rPr>
          <w:rFonts w:hint="eastAsia" w:ascii="Times New Roman" w:hAnsi="Times New Roman" w:eastAsia="宋体"/>
          <w:b/>
          <w:bCs/>
          <w:color w:val="000000" w:themeColor="text1"/>
          <w:szCs w:val="21"/>
          <w:highlight w:val="none"/>
          <w14:textFill>
            <w14:solidFill>
              <w14:schemeClr w14:val="tx1"/>
            </w14:solidFill>
          </w14:textFill>
        </w:rPr>
        <w:t>采购人不再另行支付。</w:t>
      </w:r>
    </w:p>
    <w:p w14:paraId="14E02D1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（1）代理服务费以人民币支付；</w:t>
      </w:r>
    </w:p>
    <w:p w14:paraId="740EAA1D">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（2）代理服务费一次性以电汇或转账等非现金形式支付。</w:t>
      </w:r>
    </w:p>
    <w:p w14:paraId="49A7838C">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代理服务费开户银行：华夏银行南京分行城西支行</w:t>
      </w:r>
    </w:p>
    <w:p w14:paraId="21749927">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Cs w:val="21"/>
          <w:highlight w:val="none"/>
          <w:lang w:eastAsia="zh-CN"/>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开户名称：</w:t>
      </w:r>
      <w:r>
        <w:rPr>
          <w:rFonts w:hint="eastAsia" w:ascii="Times New Roman" w:hAnsi="Times New Roman"/>
          <w:b/>
          <w:bCs/>
          <w:color w:val="000000" w:themeColor="text1"/>
          <w:szCs w:val="21"/>
          <w:highlight w:val="none"/>
          <w:lang w:eastAsia="zh-CN"/>
          <w14:textFill>
            <w14:solidFill>
              <w14:schemeClr w14:val="tx1"/>
            </w14:solidFill>
          </w14:textFill>
        </w:rPr>
        <w:t>江苏省经纬建设监理有限公司</w:t>
      </w:r>
    </w:p>
    <w:p w14:paraId="295A5D4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开户账号：4136 2000 01819900 0064 26</w:t>
      </w:r>
    </w:p>
    <w:p w14:paraId="606446DC">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4.</w:t>
      </w:r>
      <w:r>
        <w:rPr>
          <w:rFonts w:hint="eastAsia" w:ascii="Times New Roman" w:hAnsi="Times New Roman" w:eastAsia="宋体"/>
          <w:b/>
          <w:bCs/>
          <w:color w:val="000000" w:themeColor="text1"/>
          <w:szCs w:val="21"/>
          <w:highlight w:val="none"/>
          <w:lang w:val="en-US" w:eastAsia="zh-CN"/>
          <w14:textFill>
            <w14:solidFill>
              <w14:schemeClr w14:val="tx1"/>
            </w14:solidFill>
          </w14:textFill>
        </w:rPr>
        <w:t>3</w:t>
      </w:r>
      <w:r>
        <w:rPr>
          <w:rFonts w:hint="eastAsia" w:ascii="Times New Roman" w:hAnsi="Times New Roman" w:eastAsia="宋体" w:cs="宋体"/>
          <w:b/>
          <w:bCs/>
          <w:color w:val="000000" w:themeColor="text1"/>
          <w:sz w:val="21"/>
          <w:szCs w:val="21"/>
          <w:highlight w:val="none"/>
          <w14:textFill>
            <w14:solidFill>
              <w14:schemeClr w14:val="tx1"/>
            </w14:solidFill>
          </w14:textFill>
        </w:rPr>
        <w:t>专家评审费按照《扬州市财政局关于进一步规范扬州市政府采购专家评审费标准的通知》（扬财购〔2020〕40号）执行</w:t>
      </w:r>
      <w:r>
        <w:rPr>
          <w:rFonts w:hint="eastAsia" w:ascii="Times New Roman" w:hAnsi="Times New Roman" w:cs="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b/>
          <w:bCs/>
          <w:color w:val="000000" w:themeColor="text1"/>
          <w:sz w:val="21"/>
          <w:szCs w:val="21"/>
          <w:highlight w:val="none"/>
          <w14:textFill>
            <w14:solidFill>
              <w14:schemeClr w14:val="tx1"/>
            </w14:solidFill>
          </w14:textFill>
        </w:rPr>
        <w:t>由采购人支付。</w:t>
      </w:r>
    </w:p>
    <w:p w14:paraId="086D5775">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5.招标文件的约束力</w:t>
      </w:r>
    </w:p>
    <w:p w14:paraId="73F4F69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5.1 投标人一旦参加本项目采购活动</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即被认为接受了本招标文件的规定和约束。</w:t>
      </w:r>
    </w:p>
    <w:p w14:paraId="22646E34">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6.招标文件构成</w:t>
      </w:r>
    </w:p>
    <w:p w14:paraId="17349F9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6.1 招标文件由以下部分组成：</w:t>
      </w:r>
    </w:p>
    <w:p w14:paraId="6A06283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（1）招标公告</w:t>
      </w:r>
    </w:p>
    <w:p w14:paraId="4B12131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（2）投标人须知</w:t>
      </w:r>
      <w:r>
        <w:rPr>
          <w:rFonts w:hint="eastAsia" w:ascii="Times New Roman" w:hAnsi="Times New Roman" w:eastAsia="宋体" w:cs="宋体"/>
          <w:bCs/>
          <w:color w:val="000000" w:themeColor="text1"/>
          <w:szCs w:val="21"/>
          <w:highlight w:val="none"/>
          <w14:textFill>
            <w14:solidFill>
              <w14:schemeClr w14:val="tx1"/>
            </w14:solidFill>
          </w14:textFill>
        </w:rPr>
        <w:tab/>
      </w:r>
    </w:p>
    <w:p w14:paraId="2C900C2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（3）合同条款及格式</w:t>
      </w:r>
    </w:p>
    <w:p w14:paraId="31E4917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（4）项目需求</w:t>
      </w:r>
    </w:p>
    <w:p w14:paraId="1900648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（5）评标方法与评标标准</w:t>
      </w:r>
    </w:p>
    <w:p w14:paraId="35CE597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（6）投标文件格式</w:t>
      </w:r>
    </w:p>
    <w:p w14:paraId="0145DBB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请仔细检查招标文件是否齐全</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如有缺漏请立即与代理机构联系解决。</w:t>
      </w:r>
    </w:p>
    <w:p w14:paraId="0604ADC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6.2 招标的最小单位是包。招标服务数量及技术要求中未分包的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供应商对要求提供的服务不得部分投标；招标服务数量及技术要求中已经分包的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应当以包为单位投标。</w:t>
      </w:r>
    </w:p>
    <w:p w14:paraId="7C489A3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6.3 招标文件如果要求供应商提交备选投标方案的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供应商可以提交备选方案；否则</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备选方案将被拒绝。</w:t>
      </w:r>
    </w:p>
    <w:p w14:paraId="448F7B7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6.4 投标人应认真阅读招标文件中所有的事项、格式、条款和规范等要求。按招标文件要求和规定编制投标文件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并保证所提供的全部资料的真实性</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以使其投标文件对招标文件作出实质性响应</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否则其风险由投标人自行承担。</w:t>
      </w:r>
    </w:p>
    <w:p w14:paraId="52A4D886">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7.招标文件的澄清</w:t>
      </w:r>
    </w:p>
    <w:p w14:paraId="27A300F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7.1 任何要求对招标文件进行澄清的投标人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应在投标截止日期的十日前按招标公告中的通讯地址</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以书面形式通知代理机构。</w:t>
      </w:r>
    </w:p>
    <w:p w14:paraId="7269167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8.招标文件的修改</w:t>
      </w:r>
    </w:p>
    <w:p w14:paraId="6EF949D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8.1 在投标截止时间前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代理机构可以对招标文件进行修改。</w:t>
      </w:r>
    </w:p>
    <w:p w14:paraId="272B3DD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8.2代理机构在招标文件要求提交投标文件截止时间前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有权按照法定要求推迟投标截止时间和开标时间。</w:t>
      </w:r>
    </w:p>
    <w:p w14:paraId="025814C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8.3招标文件的修改将在</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“扬州市政府采购网”“江苏省政府采购网”和“中国政府采购网”</w:t>
      </w:r>
      <w:r>
        <w:rPr>
          <w:rFonts w:hint="eastAsia" w:ascii="Times New Roman" w:hAnsi="Times New Roman" w:eastAsia="宋体" w:cs="宋体"/>
          <w:bCs/>
          <w:color w:val="000000" w:themeColor="text1"/>
          <w:szCs w:val="21"/>
          <w:highlight w:val="none"/>
          <w14:textFill>
            <w14:solidFill>
              <w14:schemeClr w14:val="tx1"/>
            </w14:solidFill>
          </w14:textFill>
        </w:rPr>
        <w:t>公布</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补充文件将作为招标文件的组成部分</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并对投标人具有约束力。</w:t>
      </w:r>
    </w:p>
    <w:p w14:paraId="7D9F73A3">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9.投标文件的语言、度量衡单位、货币</w:t>
      </w:r>
    </w:p>
    <w:p w14:paraId="2AC5313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9.1投标人提交的投标文件以及投标人与代理机构就有关投标的所有来往通知、函件和文件均应使用简体中文。</w:t>
      </w:r>
    </w:p>
    <w:p w14:paraId="78F1BF5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9.2 除技术性能另有规定外</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投标文件所使用的度量衡单位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均须采用国家法定计量单位。</w:t>
      </w:r>
    </w:p>
    <w:p w14:paraId="0BFDF6B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9.3投标人应使用人民币报价。</w:t>
      </w:r>
    </w:p>
    <w:p w14:paraId="07C9C14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10.投标文件构成</w:t>
      </w:r>
    </w:p>
    <w:p w14:paraId="5C01146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10.1投标文件由以下部分组成</w:t>
      </w:r>
    </w:p>
    <w:p w14:paraId="0C16DE9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（1）资格审查响应对照表</w:t>
      </w:r>
    </w:p>
    <w:p w14:paraId="024B31E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（2）符合性审查响应对照表</w:t>
      </w:r>
    </w:p>
    <w:p w14:paraId="144CB00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（3）非实质性响应对照表</w:t>
      </w:r>
    </w:p>
    <w:p w14:paraId="7CE7368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（4）开标一览表 </w:t>
      </w:r>
    </w:p>
    <w:p w14:paraId="6738B6C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（5）分项报价表 </w:t>
      </w:r>
    </w:p>
    <w:p w14:paraId="1006B48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（6）技术参数响应及偏离表 </w:t>
      </w:r>
    </w:p>
    <w:p w14:paraId="386FA21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（7）商务条款响应及偏离表 </w:t>
      </w:r>
    </w:p>
    <w:p w14:paraId="4B2204A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（8）其他 （投标人认为有必要提供的声明和文件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如有自拟并自行添加）</w:t>
      </w:r>
    </w:p>
    <w:p w14:paraId="6741A15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10.2投标人应当根据招标文件要求编制投标文件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投标文件应对招标文件提出的要求和条件作出响应</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并在相应的投标文件中逐条标明满足与否。</w:t>
      </w:r>
    </w:p>
    <w:p w14:paraId="046DF73A">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11.证明投标人资格及符合招标文件规定的文件</w:t>
      </w:r>
    </w:p>
    <w:p w14:paraId="3C318E8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11.1投标人应按要求提交资格证明文件及符合招标文件规定的文件。</w:t>
      </w:r>
    </w:p>
    <w:p w14:paraId="2186CA3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11.2投标人应提交证明其有资格参加投标和中标后有能力独立履行合同的文件。</w:t>
      </w:r>
    </w:p>
    <w:p w14:paraId="4FC5EEE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11.3投标人除必须具有履行合同所需提供的产品或服务的能力外</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还必须具备相应的财务、技术方面的能力。</w:t>
      </w:r>
    </w:p>
    <w:p w14:paraId="064028F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11.4投标人应提交根据合同要求提供的证明服务质量合格以及符合招标文件规定的证明文件。</w:t>
      </w:r>
    </w:p>
    <w:p w14:paraId="4AE3DD5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11.5证明投标人所提供服务与招标文件的要求相一致的文件可以是手册、图纸、文字资料和数据。</w:t>
      </w:r>
    </w:p>
    <w:p w14:paraId="7CB1041C">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12.投标配置与分项报价表</w:t>
      </w:r>
    </w:p>
    <w:p w14:paraId="219F85B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12.1 投标人应按照招标文件规定格式填报投标配置与分项报价表</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在表中标明所提供的设备品牌或服务名称、规格、型号、原产地、主要部件型号及其功能的中文说明和供货期。每项货物和服务等只允许有一个报价</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任何有选择的报价将不予接受（如有备选配件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备选配件的报价不属于选择的报价）。</w:t>
      </w:r>
    </w:p>
    <w:p w14:paraId="78CE483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12.2 标的物</w:t>
      </w:r>
    </w:p>
    <w:p w14:paraId="1BBC78A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采购人需求的服务供应、安装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调试及有关技术服务等。</w:t>
      </w:r>
    </w:p>
    <w:p w14:paraId="32767EE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12.3有关费用处理</w:t>
      </w:r>
    </w:p>
    <w:p w14:paraId="1AE3E08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招标报价采用总承包方式</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投标人的报价应包括所投产品费用、安装调试费、测试验收费、培训费、运行维护费用、税金、国际国内运输保险、报关清关、开证、办理全套免税手续费用及其他有关的为完成本项目发生的所有费用</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招标文件中另有规定的除外。</w:t>
      </w:r>
    </w:p>
    <w:p w14:paraId="24FAE32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12.4其它费用处理</w:t>
      </w:r>
    </w:p>
    <w:p w14:paraId="15E2BD5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招标文件未列明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而投标人认为必需的费用也需列入报价。</w:t>
      </w:r>
    </w:p>
    <w:p w14:paraId="3283B7B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12.5投标货币</w:t>
      </w:r>
    </w:p>
    <w:p w14:paraId="06E4BA1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投标文件中的服务单价和总价无特殊规定的采用人民币报价</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以元为单位标注。招标文件中另有规定的按规定执行。</w:t>
      </w:r>
    </w:p>
    <w:p w14:paraId="65FCE99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12.6 投标配置与分项报价表上的价格应按下列方式分开填写：</w:t>
      </w:r>
    </w:p>
    <w:p w14:paraId="0FF368F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1.项目总价：包括采购人需求的产品价格、质量保证费用、培训费用及售后服务费用</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项目在指定地点、环境交付、安装、调试、验收所需费用和所有相关税金费用及为完成整个项目所产生的其他所有费用。</w:t>
      </w:r>
    </w:p>
    <w:p w14:paraId="213BA70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2.项目单价按投标配置及分项报价表中要求填报。</w:t>
      </w:r>
    </w:p>
    <w:p w14:paraId="3E227B31">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13.技术参数响应及偏离表、商务条款响应及偏离表及投标货物说明</w:t>
      </w:r>
    </w:p>
    <w:p w14:paraId="5156ADC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13.1 对招标文件中的技术与商务条款要求逐项作出响应或偏离</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并说明原因；</w:t>
      </w:r>
    </w:p>
    <w:p w14:paraId="511849A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13.2 提供参加本项目类似案例简介；</w:t>
      </w:r>
    </w:p>
    <w:p w14:paraId="16208A1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13.3 培训计划；</w:t>
      </w:r>
    </w:p>
    <w:p w14:paraId="45CBB00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13.4 详细阐述所投货物的主要组成部分、功能设计、实现思路及关键技术；</w:t>
      </w:r>
    </w:p>
    <w:p w14:paraId="206FDC5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13.5 投标人认为需要的其他技术文件或说明。</w:t>
      </w:r>
    </w:p>
    <w:p w14:paraId="284E6FC1">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14.服务承诺及售后服务机构、人员的情况介绍</w:t>
      </w:r>
    </w:p>
    <w:p w14:paraId="42C59D1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14.1投标人的服务承诺应按不低于招标文件中商务要求的标准。</w:t>
      </w:r>
    </w:p>
    <w:p w14:paraId="00582E1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14.2提供投标人有关售后服务的管理制度、售后服务机构的分布情况、售后服务人员的数量、素质、技术水平及售后服务的反应能力。</w:t>
      </w:r>
    </w:p>
    <w:p w14:paraId="13E01B8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15.投标函和开标一览表</w:t>
      </w:r>
    </w:p>
    <w:p w14:paraId="2B2A363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15.1 投标人应按照招标文件中提供的格式完整、正确填写投标函、开标一览表。</w:t>
      </w:r>
    </w:p>
    <w:p w14:paraId="35D999A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15.2 开标一览表中的价格应与投标文件中分项报价表中的价格一致</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如不一致</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不作为无效投标处理</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但评标时按开标一览表中价格为准。</w:t>
      </w:r>
    </w:p>
    <w:p w14:paraId="511275A5">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16.投标有效期</w:t>
      </w:r>
    </w:p>
    <w:p w14:paraId="4C9208A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16.1 投标有效期为开标之日起六十（60）天。投标有效期比规定短的将被视为非响应性投标而予以拒绝。</w:t>
      </w:r>
    </w:p>
    <w:p w14:paraId="6A07C6D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16.2 在特殊情况下</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代理机构于原投标有效期满之前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5FEF34CA">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bookmarkStart w:id="52" w:name="_Toc462564084"/>
      <w:bookmarkStart w:id="53" w:name="_Toc16938541"/>
      <w:bookmarkStart w:id="54" w:name="_Toc513029225"/>
      <w:bookmarkStart w:id="55" w:name="_Toc20823297"/>
      <w:r>
        <w:rPr>
          <w:rFonts w:hint="eastAsia" w:ascii="Times New Roman" w:hAnsi="Times New Roman" w:eastAsia="宋体" w:cs="宋体"/>
          <w:b/>
          <w:color w:val="000000" w:themeColor="text1"/>
          <w:szCs w:val="21"/>
          <w:highlight w:val="none"/>
          <w14:textFill>
            <w14:solidFill>
              <w14:schemeClr w14:val="tx1"/>
            </w14:solidFill>
          </w14:textFill>
        </w:rPr>
        <w:t>17.投标文件</w:t>
      </w:r>
      <w:bookmarkEnd w:id="52"/>
      <w:bookmarkEnd w:id="53"/>
      <w:bookmarkEnd w:id="54"/>
      <w:bookmarkEnd w:id="55"/>
      <w:r>
        <w:rPr>
          <w:rFonts w:hint="eastAsia" w:ascii="Times New Roman" w:hAnsi="Times New Roman" w:eastAsia="宋体" w:cs="宋体"/>
          <w:b/>
          <w:color w:val="000000" w:themeColor="text1"/>
          <w:szCs w:val="21"/>
          <w:highlight w:val="none"/>
          <w14:textFill>
            <w14:solidFill>
              <w14:schemeClr w14:val="tx1"/>
            </w14:solidFill>
          </w14:textFill>
        </w:rPr>
        <w:t>的递交</w:t>
      </w:r>
    </w:p>
    <w:p w14:paraId="25CF23C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17.1 电子投标文件的递交投标人应当按照《操作手册》规定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在投标截止时间前制作并上传电子投标文件。</w:t>
      </w:r>
      <w:bookmarkStart w:id="56" w:name="_Toc20823298"/>
      <w:bookmarkStart w:id="57" w:name="_Toc513029226"/>
      <w:bookmarkStart w:id="58" w:name="_Toc16938542"/>
    </w:p>
    <w:p w14:paraId="495F77E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17.2政府采购管理交易系统（苏采云）相关要求是本招标文件的组成部分。</w:t>
      </w:r>
    </w:p>
    <w:p w14:paraId="5576FC8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17.3投标人应对 CA 证书妥善保管</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如被他人盗用投标</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因此带来的结果均由投标人自行承担。</w:t>
      </w:r>
    </w:p>
    <w:p w14:paraId="6496340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17.4投标人应当对招标文件提出的要求和条件作出实质性响应</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并在电子投标系统逐条应答。</w:t>
      </w:r>
    </w:p>
    <w:p w14:paraId="23176A9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17.5投标人应对要求提供的资格证明文件（如资质证书、资格证书）、技术资料（如白皮书、彩页、手册、检测报告等）扫描上传至投标系统。</w:t>
      </w:r>
    </w:p>
    <w:p w14:paraId="6B7F3F4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17.6投标人应当在招标文件要求提交投标文件的截止时间前</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将投标文件提交至“苏采云”系统</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逾期提交的投标文件</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“苏采云”系统将自动拒收。</w:t>
      </w:r>
    </w:p>
    <w:p w14:paraId="410DC39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17.7各投标人应在规定时间内凭CA证书进行网上解密。</w:t>
      </w:r>
    </w:p>
    <w:p w14:paraId="7A0AD991">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18.投标截止日期</w:t>
      </w:r>
      <w:bookmarkEnd w:id="56"/>
      <w:bookmarkEnd w:id="57"/>
      <w:bookmarkEnd w:id="58"/>
    </w:p>
    <w:p w14:paraId="7E10B46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szCs w:val="21"/>
          <w:highlight w:val="none"/>
          <w:u w:val="single"/>
          <w14:textFill>
            <w14:solidFill>
              <w14:schemeClr w14:val="tx1"/>
            </w14:solidFill>
          </w14:textFill>
        </w:rPr>
      </w:pPr>
      <w:r>
        <w:rPr>
          <w:rFonts w:hint="eastAsia" w:ascii="Times New Roman" w:hAnsi="Times New Roman" w:eastAsia="宋体" w:cs="宋体"/>
          <w:bCs/>
          <w:i/>
          <w:iCs/>
          <w:color w:val="000000" w:themeColor="text1"/>
          <w:szCs w:val="21"/>
          <w:highlight w:val="none"/>
          <w:u w:val="single"/>
          <w14:textFill>
            <w14:solidFill>
              <w14:schemeClr w14:val="tx1"/>
            </w14:solidFill>
          </w14:textFill>
        </w:rPr>
        <w:t>18.1 投标人上传电子投标文件的时间不得迟于招标公告中规定的投标截止时间。</w:t>
      </w:r>
    </w:p>
    <w:p w14:paraId="6011BB8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投标人应充分考虑网络环境、网络带宽等风险因素</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如因投标人自身原因造成的电子投标文件上传不成功由投标人自行承担全部责任。</w:t>
      </w:r>
    </w:p>
    <w:p w14:paraId="798CFE8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18.2 代理机构可以按照规定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通过修改招标文件延长投标截止日期</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在此情况下</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投标人的所有权利和义务以及投标人受制的截止日期均应以延长后新的截止日期为准。</w:t>
      </w:r>
    </w:p>
    <w:p w14:paraId="6515C880">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bookmarkStart w:id="59" w:name="_Toc20823299"/>
      <w:bookmarkStart w:id="60" w:name="_Toc513029227"/>
      <w:bookmarkStart w:id="61" w:name="_Toc16938543"/>
      <w:r>
        <w:rPr>
          <w:rFonts w:hint="eastAsia" w:ascii="Times New Roman" w:hAnsi="Times New Roman" w:eastAsia="宋体" w:cs="宋体"/>
          <w:b/>
          <w:color w:val="000000" w:themeColor="text1"/>
          <w:szCs w:val="21"/>
          <w:highlight w:val="none"/>
          <w14:textFill>
            <w14:solidFill>
              <w14:schemeClr w14:val="tx1"/>
            </w14:solidFill>
          </w14:textFill>
        </w:rPr>
        <w:t>19.投标文件</w:t>
      </w:r>
      <w:bookmarkEnd w:id="59"/>
      <w:bookmarkEnd w:id="60"/>
      <w:bookmarkEnd w:id="61"/>
      <w:r>
        <w:rPr>
          <w:rFonts w:hint="eastAsia" w:ascii="Times New Roman" w:hAnsi="Times New Roman" w:eastAsia="宋体" w:cs="宋体"/>
          <w:b/>
          <w:color w:val="000000" w:themeColor="text1"/>
          <w:szCs w:val="21"/>
          <w:highlight w:val="none"/>
          <w14:textFill>
            <w14:solidFill>
              <w14:schemeClr w14:val="tx1"/>
            </w14:solidFill>
          </w14:textFill>
        </w:rPr>
        <w:t>的拒收</w:t>
      </w:r>
    </w:p>
    <w:p w14:paraId="4223504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19.1代理机构拒绝接收在其规定的投标截止时间后上传的任何投标文件。</w:t>
      </w:r>
    </w:p>
    <w:p w14:paraId="33E6367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bookmarkStart w:id="62" w:name="_Toc513029228"/>
      <w:bookmarkStart w:id="63" w:name="_Toc20823300"/>
      <w:bookmarkStart w:id="64" w:name="_Toc16938544"/>
      <w:r>
        <w:rPr>
          <w:rFonts w:hint="eastAsia" w:ascii="Times New Roman" w:hAnsi="Times New Roman" w:eastAsia="宋体" w:cs="宋体"/>
          <w:b/>
          <w:color w:val="000000" w:themeColor="text1"/>
          <w:szCs w:val="21"/>
          <w:highlight w:val="none"/>
          <w14:textFill>
            <w14:solidFill>
              <w14:schemeClr w14:val="tx1"/>
            </w14:solidFill>
          </w14:textFill>
        </w:rPr>
        <w:t>20.投标文件的撤回和修改</w:t>
      </w:r>
      <w:bookmarkEnd w:id="62"/>
      <w:bookmarkEnd w:id="63"/>
      <w:bookmarkEnd w:id="64"/>
    </w:p>
    <w:p w14:paraId="2E332CB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20.1 投标文件的撤回</w:t>
      </w:r>
    </w:p>
    <w:p w14:paraId="11A96E8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20.1.1 电子投标文件的撤回</w:t>
      </w:r>
    </w:p>
    <w:p w14:paraId="467A5F5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投标人可在投标截止时间前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撤回其电子投标文件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具体操作方法见《操作手册》。</w:t>
      </w:r>
    </w:p>
    <w:p w14:paraId="561B17E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20.1.2 投标人撤回电子投标文件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则认为其不再参与本项目投标活动。</w:t>
      </w:r>
    </w:p>
    <w:p w14:paraId="0702106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20.2 投标文件的修改</w:t>
      </w:r>
    </w:p>
    <w:p w14:paraId="25118FD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投标人可在投标截止时间前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对其电子投标文件进行修改</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具体操作方法见《操作手册》。</w:t>
      </w:r>
    </w:p>
    <w:p w14:paraId="01C820B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20.3 在投标截止时间之后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投标人不得对其电子投标文件作任何修改。</w:t>
      </w:r>
    </w:p>
    <w:p w14:paraId="73DD27D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20.4 在投标截止时间至招标文件中规定的投标有效期满之间的这段时间内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投标人不得撤回其投标。</w:t>
      </w:r>
    </w:p>
    <w:p w14:paraId="37FCAFB1">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21.开标</w:t>
      </w:r>
    </w:p>
    <w:p w14:paraId="78876AD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21.1 代理机构将在招标公告中规定的时间和地点组织公开开标。投标人应当按照《操作手册》规定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参加开标活动。投标人未参加开标的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视同认可开标结果。</w:t>
      </w:r>
    </w:p>
    <w:p w14:paraId="7054647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bCs w:val="0"/>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14:textFill>
            <w14:solidFill>
              <w14:schemeClr w14:val="tx1"/>
            </w14:solidFill>
          </w14:textFill>
        </w:rPr>
        <w:t>21.2开标仪式由代理机构组织。“政府采购管理交易系统（苏采云）”将自动对项目进行开标</w:t>
      </w:r>
      <w:r>
        <w:rPr>
          <w:rFonts w:hint="eastAsia" w:ascii="Times New Roman" w:hAnsi="Times New Roman" w:cs="宋体"/>
          <w:b/>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val="0"/>
          <w:color w:val="000000" w:themeColor="text1"/>
          <w:szCs w:val="21"/>
          <w:highlight w:val="none"/>
          <w14:textFill>
            <w14:solidFill>
              <w14:schemeClr w14:val="tx1"/>
            </w14:solidFill>
          </w14:textFill>
        </w:rPr>
        <w:t>并宣读各投标人的《开标一览表》。</w:t>
      </w:r>
    </w:p>
    <w:p w14:paraId="48CF954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21.3投标人在开标过程中</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涉及</w:t>
      </w:r>
      <w:r>
        <w:rPr>
          <w:rFonts w:hint="eastAsia" w:ascii="Times New Roman" w:hAnsi="Times New Roman" w:eastAsia="宋体" w:cs="宋体"/>
          <w:bCs/>
          <w:color w:val="000000" w:themeColor="text1"/>
          <w:szCs w:val="21"/>
          <w:highlight w:val="none"/>
          <w14:textFill>
            <w14:solidFill>
              <w14:schemeClr w14:val="tx1"/>
            </w14:solidFill>
          </w14:textFill>
        </w:rPr>
        <w:t>的投标文件解密、开标结果确认等工作</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应按照《操作手册》规定执行。</w:t>
      </w:r>
    </w:p>
    <w:p w14:paraId="020AC30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22.评标委员会</w:t>
      </w:r>
    </w:p>
    <w:p w14:paraId="0763758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22.1 开标后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代理机构将立即组织评标委员会（以下简称评委会）进行评标。</w:t>
      </w:r>
    </w:p>
    <w:p w14:paraId="250DF61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22.2 评委会由采购人代表和有关技术、经济等方面的专家组成</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且人员构成符合政府采购有关规定。</w:t>
      </w:r>
    </w:p>
    <w:p w14:paraId="0F5A7C2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22.3评委会独立工作</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负责评审所有投标文件并确定中标候选人。</w:t>
      </w:r>
    </w:p>
    <w:p w14:paraId="23B7FD45">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23.评标过程的保密与公正</w:t>
      </w:r>
    </w:p>
    <w:p w14:paraId="53B233C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23.1公开开标后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直至签订合同之日止</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凡是与审查、澄清、评价和比较投标的有关资料以及授标建议等</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采购人、评委、代理机构工作人员均不得向投标人或与评标无关的其他人员透露。</w:t>
      </w:r>
    </w:p>
    <w:p w14:paraId="21B67DF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23.2在评标过程中</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投标人不得以任何行为影响评标过程</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否则其投标文件将被作为无效投标文件。</w:t>
      </w:r>
    </w:p>
    <w:p w14:paraId="6C6DEE4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23.3 在评标期间</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代理机构将设专门工作人员与投标人联系。</w:t>
      </w:r>
    </w:p>
    <w:p w14:paraId="1074B01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23.4 代理机构和评委会不向未中标的投标人解释未中标原因</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也不公布评标过程中的相关细节。</w:t>
      </w:r>
    </w:p>
    <w:p w14:paraId="3CFB5C8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23.5 采用综合评分法的项目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未中标的投标人可于中标结果公告期限届满之日起通过“政府采购管理交易系统（苏采云）”查看自己的评审得分及排序情况。</w:t>
      </w:r>
    </w:p>
    <w:p w14:paraId="5FB66D75">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24.投标的澄清</w:t>
      </w:r>
    </w:p>
    <w:p w14:paraId="277BA0E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24.1评标期间</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为有助于对投标文件的审查、评价和比较</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评委会有权以电子函件形式要求投标人对其投标文件进行澄清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但并非对每个投标人都作澄清要求。</w:t>
      </w:r>
    </w:p>
    <w:p w14:paraId="13C92D7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24.2接到评委会澄清要求的投标人应派人按评委会规定的时间和格式在“政府采购管理交易系统（苏采云）”中做出澄清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澄清的内容作为投标文件的补充部分</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但投标的价格和实质性的内容不得做任何更改。具体操作方式见《操作手册》。</w:t>
      </w:r>
    </w:p>
    <w:p w14:paraId="3DA64A5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24.3 接到评委会澄清要求的投标人如未按规定作出澄清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其风险由投标人自行承担。</w:t>
      </w:r>
    </w:p>
    <w:p w14:paraId="3546420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25.对投标文件的初审</w:t>
      </w:r>
    </w:p>
    <w:p w14:paraId="638D5C3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25.1投标文件初审分为资格审查和符合性审查。</w:t>
      </w:r>
    </w:p>
    <w:p w14:paraId="47D240F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25.1.1资格审查：依据法律法规和招标文件的规定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由采购人对投标文件中的资格证明文件进行审查。并将审查结论以书面形式向评委会反馈。</w:t>
      </w:r>
    </w:p>
    <w:p w14:paraId="3C1CAD11">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采购人在进行资格性审查的同时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将在“信用中国”网站（www.creditchina.gov.cn）、“中国政府采购网”（www.ccgp.gov.cn）对投标人是否被列入失信被执行人、重大税收违法案件当事人名单、政府采购严重失信行为记录名单情况进行查询</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以确定投标人是否具备投标资格。查询结果将以网页打印的形式留存并归档。</w:t>
      </w:r>
    </w:p>
    <w:p w14:paraId="5825FA9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若接受联合体投标的项目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两个以上的自然人、法人或者其他组织组成一个联合体</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以一个供应商的身份共同参加政府采购活动的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联合体成员存在不良信用记录的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视同联合体存在不良信用记录。</w:t>
      </w:r>
    </w:p>
    <w:p w14:paraId="1EE493C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25.1.2符合性检查：依据招标文件的规定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由评委会从投标文件的有效性、完整性和对招标文件的响应程度进行审查</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以确定是否对招标文件的实质性要求作出响应。</w:t>
      </w:r>
    </w:p>
    <w:p w14:paraId="3714F99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25.1.3 未通过资格审查或符合性审查的投标人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代理机构将在“政府采购管理交易系统（苏采云）”中告知未通过资格审查或符合性审查的原因</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评审结束后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代理机构将不再告知未通过资格审查或符合性审查的原因。</w:t>
      </w:r>
    </w:p>
    <w:p w14:paraId="0D07460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25.2在详细评标之前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评委会将首先审查每份投标文件是否实质性响应了招标文件的要求。实质性响应的投标应该是与招标文件要求的全部条款、条件和规格相符</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没有重大偏离或保留的投标。</w:t>
      </w:r>
    </w:p>
    <w:p w14:paraId="2EB500B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所谓重大偏离或保留是指与招标文件规定的实质性要求存在负偏离</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或者在实质上与招标文件不一致</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而且限制了合同中买方（采购人）和见证方（代理机构）的权利或投标人的义务</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纠正这些偏离或保留将会对其他实质性响应要求的投标人的竞争地位产生不公正的影响。是否属于重大偏离由评委会按照少数服从多数的原则作出结论。评委决定投标文件的响应性只根据投标文件本身的内容</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而不寻求外部的证据。</w:t>
      </w:r>
    </w:p>
    <w:p w14:paraId="36881D8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25.3如果投标文件实质上没有响应招标文件的要求</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评委会将予以拒绝</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投标人不得通过修改或撤销不符合要求的偏离或保留而使其投标成为实质性响应的投标。</w:t>
      </w:r>
    </w:p>
    <w:p w14:paraId="3569A49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25.4评委会将对确定为实质性响应的投标进行进一步审核</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看其是否有计算上或累加上的算术错误</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修正错误的原则如下：</w:t>
      </w:r>
    </w:p>
    <w:p w14:paraId="5FC6BC4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（1）投标文件中开标一览表内容与投标文件中相应内容不一致的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以开标一览表为准。</w:t>
      </w:r>
    </w:p>
    <w:p w14:paraId="217923A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（2）大写金额与小写金额不一致的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以大写金额为准。</w:t>
      </w:r>
    </w:p>
    <w:p w14:paraId="33E0079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（3）单价金额小数点或者百分比有明显错位的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以开标一览表的总价为准</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并修改单价。</w:t>
      </w:r>
    </w:p>
    <w:p w14:paraId="04568BE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（4）总价金额与按单价汇总金额不一致的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以单价金额计算结果为准。</w:t>
      </w:r>
    </w:p>
    <w:p w14:paraId="6C62256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同时出现两种以上错误的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按照前款规定的顺序修正。</w:t>
      </w:r>
    </w:p>
    <w:p w14:paraId="0B42901D">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25.5评委会将按上述修正错误的方法调整投标文件中的投标报价</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并通过“政府采购管理交易系统（苏采云）”告知投标人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调整后的价格对投标人具有约束力。如果投标人不接受修正后的价格</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则其投标将被拒绝。</w:t>
      </w:r>
    </w:p>
    <w:p w14:paraId="2B0792D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25.6评委会将允许修正投标文件中不构成重大偏离的、微小的、非正规的、不一致的或不规则的地方</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但这些修改不能影响任何投标人相应的名次排列。</w:t>
      </w:r>
    </w:p>
    <w:p w14:paraId="1986A78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25.7采用最低评标价法的采购项目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提供相同品牌产品的不同投标人参加同一合同项下投标的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以其中通过资格审查、符合性审查且报价最低的参加评标；报价相同的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由评委会按照招标文件规定的方式确定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招标文件未规定的通过随机抽取的方式确定一个参加评标的投标人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其他投标无效。</w:t>
      </w:r>
    </w:p>
    <w:p w14:paraId="3F38AA7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使用综合评分法的采购项目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提供相同品牌产品且通过资格审查、符合性审查的不同投标人参加同一合同项下投标的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按一家投标人计算</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评审后得分最高的同品牌投标人获得中标人推荐资格；评审得分相同的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由评委会根据招标文件规定的方式确定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招标文件未规定的采取随机抽取的方式确定一个中标候选人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其他同品牌投标人不作为中标候选人。</w:t>
      </w:r>
    </w:p>
    <w:p w14:paraId="7020EB8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非单一产品采购项目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招标文件中将载明其中的核心产品。多家投标人提供的核心产品品牌相同的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按前两款规定处理。</w:t>
      </w:r>
    </w:p>
    <w:p w14:paraId="645B6AA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25.8 投标人在开、评标全过程中应保持通信畅通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并安排专人与代理机构及评委会联系。</w:t>
      </w:r>
    </w:p>
    <w:p w14:paraId="2CF8CB75">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25.</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9</w:t>
      </w:r>
      <w:r>
        <w:rPr>
          <w:rFonts w:hint="eastAsia" w:ascii="Times New Roman" w:hAnsi="Times New Roman" w:eastAsia="宋体"/>
          <w:b/>
          <w:bCs/>
          <w:color w:val="000000" w:themeColor="text1"/>
          <w:sz w:val="21"/>
          <w:szCs w:val="21"/>
          <w:highlight w:val="none"/>
          <w14:textFill>
            <w14:solidFill>
              <w14:schemeClr w14:val="tx1"/>
            </w14:solidFill>
          </w14:textFill>
        </w:rPr>
        <w:t xml:space="preserve"> 异常低价投标审查</w:t>
      </w:r>
    </w:p>
    <w:p w14:paraId="0CC2490B">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25.9.1评标过程中出现下列情形之一的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评标委员会应当启动异常低价投标审查程序</w:t>
      </w:r>
      <w:r>
        <w:rPr>
          <w:rFonts w:hint="eastAsia" w:ascii="Times New Roman" w:hAnsi="Times New Roman"/>
          <w:b/>
          <w:bCs/>
          <w:color w:val="000000" w:themeColor="text1"/>
          <w:sz w:val="21"/>
          <w:szCs w:val="21"/>
          <w:highlight w:val="none"/>
          <w:lang w:eastAsia="zh-CN"/>
          <w14:textFill>
            <w14:solidFill>
              <w14:schemeClr w14:val="tx1"/>
            </w14:solidFill>
          </w14:textFill>
        </w:rPr>
        <w:t>：</w:t>
      </w:r>
    </w:p>
    <w:p w14:paraId="55AC5560">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1.投标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报价低于全部通过符合性审查供应商投标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报价平均值50%的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即投标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报价〈全部通过符合性审查供应商投标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报价平均值</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50%</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p>
    <w:p w14:paraId="06780553">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2.投标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报价低于通过符合性审查的次低报价供应商投标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报价50%的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即投标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报价〈通过符合性审查的次低报价供应商投标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50%</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p>
    <w:p w14:paraId="740ACCCB">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3.投标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报价低于采购项目最高限价45%的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即投标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报价&lt;采购项目最高限价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45%</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p>
    <w:p w14:paraId="200B3DAB">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4.评审委员会基于专业判断</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认为供应商报价过低</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有可能影响产品质量或者不能诚信履约的其他情形。</w:t>
      </w:r>
    </w:p>
    <w:p w14:paraId="004E15AC">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25.9.2评审委员会启动异常低价投标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审查后</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属于前述第1项至第4项情形的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应当要求相关供应商在评审现场合理的时间内对投标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价格作出解释</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提供项目具体成本测算等与报价合理性相关的书面说明及必要的证明材料</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包括但不限于原材料成本、人工成本、制造费用等</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给予相关供应商的合理时间不少于30分钟。其中</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属于第3项情形</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供应商已随投标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文件一并提交相关书面说明及必要的证明材料的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在评审现场可不再重复提交。</w:t>
      </w:r>
    </w:p>
    <w:p w14:paraId="28C1A001">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25.9.3评审委员会依据专业经验</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参考同类项目中标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成交</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价格、类似产品市场价格水平、行业人工费用标准、国家有关部门指导行业协会发布的行业平均成本等情况</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对报价合理性进行判断。投标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供应商不能提供书面说明、证明材料</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或者提供的书面说明、证明材料不能证明其报价合理性的</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评审委员会应当将其作为无效投标</w:t>
      </w:r>
      <w:r>
        <w:rPr>
          <w:rFonts w:hint="eastAsia" w:ascii="Times New Roman" w:hAnsi="Times New Roman" w:eastAsia="宋体"/>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响应</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处理。</w:t>
      </w:r>
    </w:p>
    <w:p w14:paraId="26AB45FC">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26.无效投标、废标及投标人不足三家的处理</w:t>
      </w:r>
    </w:p>
    <w:p w14:paraId="3D4AE54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26.1无效投标条款</w:t>
      </w:r>
    </w:p>
    <w:p w14:paraId="23A1D4B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26.1.1 投标人未成功解密电子投标文件的。</w:t>
      </w:r>
    </w:p>
    <w:p w14:paraId="7DF5590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26.1.2 投标人未按照招标文件要求上传电子投标文件的。</w:t>
      </w:r>
    </w:p>
    <w:p w14:paraId="35C9911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26.1.3投标人在报价时采用选择性报价的。</w:t>
      </w:r>
    </w:p>
    <w:p w14:paraId="223677D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26.1.4投标人不具备招标文件中规定的资格要求的。</w:t>
      </w:r>
    </w:p>
    <w:p w14:paraId="1E32F6F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26.1.5投标人的报价超过了采购预算或最高限价的。</w:t>
      </w:r>
    </w:p>
    <w:p w14:paraId="68DCBCF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26.1.6未通过符合性审查的。</w:t>
      </w:r>
    </w:p>
    <w:p w14:paraId="6C5DB47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26.1.7不符合招标文件中规定的其他实质性要求和条件的（</w:t>
      </w:r>
      <w:r>
        <w:rPr>
          <w:rFonts w:hint="eastAsia" w:ascii="Times New Roman" w:hAnsi="Times New Roman" w:eastAsia="宋体" w:cs="宋体"/>
          <w:bCs/>
          <w:i/>
          <w:iCs/>
          <w:color w:val="000000" w:themeColor="text1"/>
          <w:szCs w:val="21"/>
          <w:highlight w:val="none"/>
          <w:u w:val="single"/>
          <w14:textFill>
            <w14:solidFill>
              <w14:schemeClr w14:val="tx1"/>
            </w14:solidFill>
          </w14:textFill>
        </w:rPr>
        <w:t>本招标文件中斜体且有下划线部分为实质性要求和条件</w:t>
      </w:r>
      <w:r>
        <w:rPr>
          <w:rFonts w:hint="eastAsia" w:ascii="Times New Roman" w:hAnsi="Times New Roman" w:eastAsia="宋体" w:cs="宋体"/>
          <w:bCs/>
          <w:color w:val="000000" w:themeColor="text1"/>
          <w:szCs w:val="21"/>
          <w:highlight w:val="none"/>
          <w14:textFill>
            <w14:solidFill>
              <w14:schemeClr w14:val="tx1"/>
            </w14:solidFill>
          </w14:textFill>
        </w:rPr>
        <w:t>）。</w:t>
      </w:r>
    </w:p>
    <w:p w14:paraId="3586DD2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26.1.8 投标人被 “信用中国”网站（www.creditchina.gov.cn）、“中国政府采购网"</w:t>
      </w:r>
      <w:r>
        <w:rPr>
          <w:rFonts w:hint="eastAsia" w:ascii="Times New Roman" w:hAnsi="Times New Roman" w:eastAsia="宋体"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www.ccgp.gov.cn）列入失信被执行人或重大税收违法案件当事人名单或政府采购严重失信行为记录名单。若接受联合体的项目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两个以上的自然人、法人或者其他组织组成一个联合体</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以一个供应商的身份共同参加政府采购活动的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联合体成员存在不良信用记录的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视同联合体存在不良应用记录。</w:t>
      </w:r>
    </w:p>
    <w:p w14:paraId="0EF200A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26.1.9  投标文件含有采购人不能接受的附加条件的。</w:t>
      </w:r>
    </w:p>
    <w:p w14:paraId="441F044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26.1.10 评标委员会按照本招标文件规定对投标人进行异常低价投标审查后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认为投标人不能证明其报价合理性的。</w:t>
      </w:r>
    </w:p>
    <w:p w14:paraId="5CEE724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26.1.11 本项目采购产品被财政部、国家发改委、生态环境部等列入“节能产品品目清单”、“环境标志产品品目清单”强制采购范围</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而投标人所投标产品不在强制采购范围内的。（投标产品如属于政府强制采购节能产品品目清单范围内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投标文件中必须提供国家确定的认证机构出具的、处于有效期之内的该节能产品认证证书图片）</w:t>
      </w:r>
    </w:p>
    <w:p w14:paraId="3ADB861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26.1.12 投标文件未按照招标文件要求加盖电子签章。</w:t>
      </w:r>
    </w:p>
    <w:p w14:paraId="2299B77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val="0"/>
          <w:bCs/>
          <w:color w:val="000000" w:themeColor="text1"/>
          <w:szCs w:val="21"/>
          <w:highlight w:val="none"/>
          <w14:textFill>
            <w14:solidFill>
              <w14:schemeClr w14:val="tx1"/>
            </w14:solidFill>
          </w14:textFill>
        </w:rPr>
        <w:t xml:space="preserve">26.1.13 </w:t>
      </w:r>
      <w:r>
        <w:rPr>
          <w:rFonts w:hint="eastAsia" w:ascii="Times New Roman" w:hAnsi="Times New Roman" w:eastAsia="宋体" w:cs="宋体"/>
          <w:b w:val="0"/>
          <w:bCs/>
          <w:color w:val="000000" w:themeColor="text1"/>
          <w:szCs w:val="21"/>
          <w:highlight w:val="none"/>
          <w:lang w:val="en-US" w:eastAsia="zh-CN"/>
          <w14:textFill>
            <w14:solidFill>
              <w14:schemeClr w14:val="tx1"/>
            </w14:solidFill>
          </w14:textFill>
        </w:rPr>
        <w:t>投标人所投标产品不符合招标文件中所列国家强制性标准的。</w:t>
      </w:r>
    </w:p>
    <w:p w14:paraId="5D87053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26.1.14其他</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法律法规</w:t>
      </w:r>
      <w:r>
        <w:rPr>
          <w:rFonts w:hint="eastAsia" w:ascii="Times New Roman" w:hAnsi="Times New Roman" w:eastAsia="宋体" w:cs="宋体"/>
          <w:bCs/>
          <w:color w:val="000000" w:themeColor="text1"/>
          <w:szCs w:val="21"/>
          <w:highlight w:val="none"/>
          <w14:textFill>
            <w14:solidFill>
              <w14:schemeClr w14:val="tx1"/>
            </w14:solidFill>
          </w14:textFill>
        </w:rPr>
        <w:t>及本招标文件规定的无效投标的情形。</w:t>
      </w:r>
    </w:p>
    <w:p w14:paraId="4CA23C1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26.2废标条款：</w:t>
      </w:r>
    </w:p>
    <w:p w14:paraId="43DD066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26.2.1符合专业条件的供应商或者对招标文件作实质响应的供应商不足三家的。</w:t>
      </w:r>
    </w:p>
    <w:p w14:paraId="49238BE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26.2.2出现影响采购公正的违法、违规行为的。</w:t>
      </w:r>
    </w:p>
    <w:p w14:paraId="54A9D7D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26.2.3因重大变故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采购任务取消的。</w:t>
      </w:r>
    </w:p>
    <w:p w14:paraId="17852AB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26.2.4评委会认定招标文件存在歧义、重大缺陷导致评审工作无法进行。</w:t>
      </w:r>
    </w:p>
    <w:p w14:paraId="025C452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26.3 投标截止时间结束后参加投标的供应商不足三家的处理：</w:t>
      </w:r>
    </w:p>
    <w:p w14:paraId="3D3BBDD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26.3.1如出现投标截止时间结束后参加投标的供应商或者在评标期间对招标文件做出实质性响应的供应商不足三家情况</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按政府采购相关规定执行。</w:t>
      </w:r>
    </w:p>
    <w:p w14:paraId="62740F7D">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27.确定中标单位</w:t>
      </w:r>
    </w:p>
    <w:p w14:paraId="1D8DED6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27.1评委会根据本招标文件规定的评标方法与评标标准向采购人推荐出中标候选人。</w:t>
      </w:r>
    </w:p>
    <w:p w14:paraId="1804D3D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27.2 采购人应根据评委会推荐的中标候选人确定中标人。</w:t>
      </w:r>
    </w:p>
    <w:p w14:paraId="30DF499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27.3代理机构将在</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“扬州市政府采购网”“江苏省政府采购网”和“中国政府采购网”</w:t>
      </w:r>
      <w:r>
        <w:rPr>
          <w:rFonts w:hint="eastAsia" w:ascii="Times New Roman" w:hAnsi="Times New Roman" w:eastAsia="宋体" w:cs="宋体"/>
          <w:bCs/>
          <w:color w:val="000000" w:themeColor="text1"/>
          <w:szCs w:val="21"/>
          <w:highlight w:val="none"/>
          <w14:textFill>
            <w14:solidFill>
              <w14:schemeClr w14:val="tx1"/>
            </w14:solidFill>
          </w14:textFill>
        </w:rPr>
        <w:t>发布中标公告</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公告期限为1个工作日。</w:t>
      </w:r>
    </w:p>
    <w:p w14:paraId="196891A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27.4若有充分证据证明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中标人出现下列情况之一的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一经查实</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将被取消中标资格：</w:t>
      </w:r>
    </w:p>
    <w:p w14:paraId="63DB011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27.4.1提供虚假材料谋取中标的；</w:t>
      </w:r>
    </w:p>
    <w:p w14:paraId="217DBFB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27.4.2向采购人、代理机构行贿或者提供其他不正当利益的；</w:t>
      </w:r>
    </w:p>
    <w:p w14:paraId="0B4604F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27.4.3恶意竞争</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投标总报价明显低于其自身合理成本且又无法提供证明的；</w:t>
      </w:r>
    </w:p>
    <w:p w14:paraId="0E48695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27.4.4属于本文件规定的无效条件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但在评标过程中又未被评委会发现的；</w:t>
      </w:r>
    </w:p>
    <w:p w14:paraId="3A2BC69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27.4.5与采购人或者其他投标人恶意串通的；</w:t>
      </w:r>
    </w:p>
    <w:p w14:paraId="73169E1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27.4.6采取不正当手段诋毁、排挤其他供应商的；</w:t>
      </w:r>
    </w:p>
    <w:p w14:paraId="4CBF9B1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27.4.7不符合法律法规的规定的。</w:t>
      </w:r>
    </w:p>
    <w:p w14:paraId="5C7EF8F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27.5. 有下列情形之一的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视为投标人串通投标</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投标无效：</w:t>
      </w:r>
    </w:p>
    <w:p w14:paraId="36A6499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27.5.1不同投标人的投标文件由同一单位或者个人编制。</w:t>
      </w:r>
    </w:p>
    <w:p w14:paraId="17B3A72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经查实</w:t>
      </w:r>
      <w:r>
        <w:rPr>
          <w:rFonts w:hint="eastAsia" w:ascii="Times New Roman" w:hAnsi="Times New Roman" w:cs="宋体"/>
          <w:b/>
          <w:color w:val="000000" w:themeColor="text1"/>
          <w:szCs w:val="21"/>
          <w:highlight w:val="none"/>
          <w:lang w:eastAsia="zh-CN"/>
          <w14:textFill>
            <w14:solidFill>
              <w14:schemeClr w14:val="tx1"/>
            </w14:solidFill>
          </w14:textFill>
        </w:rPr>
        <w:t>，</w:t>
      </w:r>
      <w:r>
        <w:rPr>
          <w:rFonts w:hint="eastAsia" w:ascii="Times New Roman" w:hAnsi="Times New Roman" w:eastAsia="宋体" w:cs="宋体"/>
          <w:b/>
          <w:color w:val="000000" w:themeColor="text1"/>
          <w:szCs w:val="21"/>
          <w:highlight w:val="none"/>
          <w14:textFill>
            <w14:solidFill>
              <w14:schemeClr w14:val="tx1"/>
            </w14:solidFill>
          </w14:textFill>
        </w:rPr>
        <w:t>不同投标人的电子投标文件出自同一台电脑的：不同投标人的标书制作工具客户端标识码存在一致的；不同投标人从同一互联网协议地址上传投标文件的。</w:t>
      </w:r>
    </w:p>
    <w:p w14:paraId="66DE94E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27.5.2不同投标人委托同一单位或者个人办理投标事宜。</w:t>
      </w:r>
    </w:p>
    <w:p w14:paraId="41D9477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27.5.3 不同投标人的投标文件载明的项目管理成员或者联系人员为同一人。</w:t>
      </w:r>
    </w:p>
    <w:p w14:paraId="4ECF4D2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27.5.4不同投标人的投标文件异常一致或者投标报价呈规律性差异。</w:t>
      </w:r>
    </w:p>
    <w:p w14:paraId="238655C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27.5.5不同投标人的投标文件相互混装。</w:t>
      </w:r>
    </w:p>
    <w:p w14:paraId="0B99FE97">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28、质疑处理</w:t>
      </w:r>
    </w:p>
    <w:p w14:paraId="4CD6D9D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28.1提出质疑的供应商应当是参与所质疑项目采购活动的供应商。潜在供应商依法获取其可质疑的采购文件的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可以对采购文件提出质疑。</w:t>
      </w:r>
    </w:p>
    <w:p w14:paraId="2611EE0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对项目需求部分的质疑</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潜在供应商应向采购人提出</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由采购人负责答复。</w:t>
      </w:r>
    </w:p>
    <w:p w14:paraId="4E6694E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28.2投标人认为采购文件、采购过程和中标或成交结果使自己的权益受到损害的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可以在知道或应知其权益受到损害之日起7个工作日内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以书面形式向采购人或代理机构提出质疑。</w:t>
      </w:r>
    </w:p>
    <w:p w14:paraId="63645E8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28.2.1对采购文件提出质疑的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应当在获取采购文件之日或者采购文件公告期限届满之日起7个工作日内提出。</w:t>
      </w:r>
    </w:p>
    <w:p w14:paraId="2E52AC4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28.2.2对采购过程提出质疑的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为各采购程序环节结束之日起7个工作日内提出。</w:t>
      </w:r>
    </w:p>
    <w:p w14:paraId="2842C71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28.2.3对中标结果提出质疑的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为中标结果公告期限届满之日起7个工作日内提出。</w:t>
      </w:r>
    </w:p>
    <w:p w14:paraId="3AAED81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28.3供应商应在法定质疑期内一次性提出针对同一采购程序环节的质疑。供应商如在法定期限内对同一采购程序环节提出多次质疑的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代理机构、采购人将只对供应商第一次质疑作出答复。</w:t>
      </w:r>
    </w:p>
    <w:p w14:paraId="377299B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28.4质疑函必须按照《质疑函范本》及《授权委托书》要求的格式和内容进行填写</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格式见网址：http：//zfcg.yangzhou.gov.cn。供应商如组成联合体参加投标</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则《质疑函范本》及《授权委托书》中要求签字、盖章、加盖公章之处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联合体各方均须按要求签字、盖章、加盖公章。</w:t>
      </w:r>
    </w:p>
    <w:p w14:paraId="262F734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28.5 采购人及</w:t>
      </w:r>
      <w:r>
        <w:rPr>
          <w:rFonts w:hint="eastAsia" w:ascii="Times New Roman" w:hAnsi="Times New Roman" w:eastAsia="宋体" w:cs="宋体"/>
          <w:bCs/>
          <w:color w:val="000000" w:themeColor="text1"/>
          <w:szCs w:val="21"/>
          <w:highlight w:val="none"/>
          <w:lang w:eastAsia="zh-CN"/>
          <w14:textFill>
            <w14:solidFill>
              <w14:schemeClr w14:val="tx1"/>
            </w14:solidFill>
          </w14:textFill>
        </w:rPr>
        <w:t>代理机构</w:t>
      </w:r>
      <w:r>
        <w:rPr>
          <w:rFonts w:hint="eastAsia" w:ascii="Times New Roman" w:hAnsi="Times New Roman" w:eastAsia="宋体" w:cs="宋体"/>
          <w:bCs/>
          <w:color w:val="000000" w:themeColor="text1"/>
          <w:szCs w:val="21"/>
          <w:highlight w:val="none"/>
          <w14:textFill>
            <w14:solidFill>
              <w14:schemeClr w14:val="tx1"/>
            </w14:solidFill>
          </w14:textFill>
        </w:rPr>
        <w:t>只接收以纸质原件形式送达的质疑</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同时需与采购代理机构经办人确认是否收到《质疑函》</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如供应商未按上述要求去做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将自行承担所产生的风险。</w:t>
      </w:r>
      <w:r>
        <w:rPr>
          <w:rFonts w:hint="eastAsia" w:ascii="Times New Roman" w:hAnsi="Times New Roman" w:eastAsia="宋体"/>
          <w:bCs/>
          <w:color w:val="000000" w:themeColor="text1"/>
          <w:szCs w:val="21"/>
          <w:highlight w:val="none"/>
          <w14:textFill>
            <w14:solidFill>
              <w14:schemeClr w14:val="tx1"/>
            </w14:solidFill>
          </w14:textFill>
        </w:rPr>
        <w:t>（代理机构及采购人不接受无快递运单号的快递。）</w:t>
      </w:r>
    </w:p>
    <w:p w14:paraId="3AEA161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bCs/>
          <w:color w:val="000000" w:themeColor="text1"/>
          <w:szCs w:val="21"/>
          <w:highlight w:val="none"/>
          <w14:textFill>
            <w14:solidFill>
              <w14:schemeClr w14:val="tx1"/>
            </w14:solidFill>
          </w14:textFill>
        </w:rPr>
        <w:t>采购人质疑接收人及联系方式见招标文件第一章。</w:t>
      </w:r>
    </w:p>
    <w:p w14:paraId="643ACB2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28.6代理机构收到质疑申请后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将对质疑的形式和内容进行审查</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如质疑内容、格式不符合规定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代理机构将告知质疑人进行补正。</w:t>
      </w:r>
    </w:p>
    <w:p w14:paraId="3D23C1F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28.7质疑人应当在法定质疑期限内进行补正并重新提交质疑函。</w:t>
      </w:r>
    </w:p>
    <w:p w14:paraId="4999F70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28.8 以下情形的质疑不予受理</w:t>
      </w:r>
    </w:p>
    <w:p w14:paraId="289FA58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28.8.1 内容不符合《政府采购质疑和投诉办法》第十二条规定的质疑。</w:t>
      </w:r>
    </w:p>
    <w:p w14:paraId="3FE331C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28.8.2 超出政府采购法定期限的质疑。</w:t>
      </w:r>
    </w:p>
    <w:p w14:paraId="023E8D8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28.8.3 以传真、电子邮件等方式递交的非原件形式的质疑。</w:t>
      </w:r>
    </w:p>
    <w:p w14:paraId="08AFBF7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28.8.4 未参加投标活动的供应商或在投标活动中自身权益未受到损害的供应商所提出的质疑。</w:t>
      </w:r>
    </w:p>
    <w:p w14:paraId="45F29F3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28.8.5供应商组成联合体参加投标</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联合体中任何一方或多方未按要求签字、盖章、加盖公章的质疑。</w:t>
      </w:r>
    </w:p>
    <w:p w14:paraId="7275186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28.9 供应商提出书面质疑必须有理、有据</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不得捏造事实、提供虚假材料进行恶意质疑。否则</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一经查实</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代理机构有权依据政府采购的有关规定</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 xml:space="preserve">报请政府采购监管部门对该供应商进行相应的行政处罚和记录该供应商的失信信息。 </w:t>
      </w:r>
    </w:p>
    <w:p w14:paraId="745CEA5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28.10代理机构应当在收到供应商的书面质疑后7个工作日内作出答复</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并以书面形式通知质疑供应商和其他有关供应商</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但答复的内容不得涉及商业秘密。</w:t>
      </w:r>
    </w:p>
    <w:p w14:paraId="677585D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29.中标通知书</w:t>
      </w:r>
    </w:p>
    <w:p w14:paraId="656285B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29.l 中标结果确定后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代理机构将向中标人发出中标通知书。</w:t>
      </w:r>
    </w:p>
    <w:p w14:paraId="044835F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29.</w:t>
      </w: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2</w:t>
      </w:r>
      <w:r>
        <w:rPr>
          <w:rFonts w:hint="eastAsia" w:ascii="Times New Roman" w:hAnsi="Times New Roman" w:eastAsia="宋体"/>
          <w:bCs/>
          <w:color w:val="000000" w:themeColor="text1"/>
          <w:szCs w:val="21"/>
          <w:highlight w:val="none"/>
          <w14:textFill>
            <w14:solidFill>
              <w14:schemeClr w14:val="tx1"/>
            </w14:solidFill>
          </w14:textFill>
        </w:rPr>
        <w:t>中标人可在“政府采购管理交易系统（苏采云）”中标通知书下载模块中自行下载中标通知书。</w:t>
      </w:r>
    </w:p>
    <w:p w14:paraId="5D1E547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29.3</w:t>
      </w:r>
      <w:r>
        <w:rPr>
          <w:rFonts w:hint="eastAsia" w:ascii="Times New Roman" w:hAnsi="Times New Roman" w:eastAsia="宋体" w:cs="宋体"/>
          <w:bCs/>
          <w:color w:val="000000" w:themeColor="text1"/>
          <w:szCs w:val="21"/>
          <w:highlight w:val="none"/>
          <w14:textFill>
            <w14:solidFill>
              <w14:schemeClr w14:val="tx1"/>
            </w14:solidFill>
          </w14:textFill>
        </w:rPr>
        <w:t>中标通知书将是合同的一个组成部分。对采购人和中标人均具有法律效力。中标通知书发出后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采购人改变中标结果的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或者中标人放弃中标项目的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应当依法承担法律责任。</w:t>
      </w:r>
    </w:p>
    <w:p w14:paraId="6820918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30. 签订合同</w:t>
      </w:r>
    </w:p>
    <w:p w14:paraId="651BA91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30.l中标人应在中标通知书发出之日起三十日内</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按照招标文件确定的事项与采购人签订政府采购合同。</w:t>
      </w:r>
    </w:p>
    <w:p w14:paraId="2BA3BA2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30.2 招标文件、中标人的投标文件及招标过程中有关澄清、承诺文件均应作为合同附件。</w:t>
      </w:r>
    </w:p>
    <w:p w14:paraId="074281A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30.3 合同在“政府采购管理交易系统（苏采云）”中签订</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签订合同后</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i/>
          <w:iCs/>
          <w:color w:val="000000" w:themeColor="text1"/>
          <w:szCs w:val="21"/>
          <w:highlight w:val="none"/>
          <w:u w:val="single"/>
          <w14:textFill>
            <w14:solidFill>
              <w14:schemeClr w14:val="tx1"/>
            </w14:solidFill>
          </w14:textFill>
        </w:rPr>
        <w:t>中标人不得将货物或服务及其他服务进行转包</w:t>
      </w:r>
      <w:r>
        <w:rPr>
          <w:rFonts w:hint="eastAsia" w:ascii="Times New Roman" w:hAnsi="Times New Roman" w:eastAsia="宋体" w:cs="宋体"/>
          <w:bCs/>
          <w:color w:val="000000" w:themeColor="text1"/>
          <w:szCs w:val="21"/>
          <w:highlight w:val="none"/>
          <w14:textFill>
            <w14:solidFill>
              <w14:schemeClr w14:val="tx1"/>
            </w14:solidFill>
          </w14:textFill>
        </w:rPr>
        <w:t>。未经采购人同意</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中标人也不得采用分包的形式履行合同</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否则采购人有权终止合同</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中标人的履约保证金将不予退还。转包或分包造成采购人损失的</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中标人应承担赔偿责任。</w:t>
      </w:r>
    </w:p>
    <w:p w14:paraId="5E55FB4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30.4采购人不得向中标人提出任何不合理的要求作为签订合同的条件</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不得与中标人私下订立背离合同实质性内容的协议。所签订的合同不得对招标文件确定事项和中标人投标文件作实质性修改。</w:t>
      </w:r>
    </w:p>
    <w:p w14:paraId="5F7B45B4">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31、货物（包含与货物相关的服务）的追加</w:t>
      </w:r>
    </w:p>
    <w:p w14:paraId="072A0A4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val="0"/>
          <w:bCs/>
          <w:color w:val="000000" w:themeColor="text1"/>
          <w:szCs w:val="21"/>
          <w:highlight w:val="none"/>
          <w14:textFill>
            <w14:solidFill>
              <w14:schemeClr w14:val="tx1"/>
            </w14:solidFill>
          </w14:textFill>
        </w:rPr>
      </w:pPr>
      <w:r>
        <w:rPr>
          <w:rFonts w:hint="eastAsia" w:ascii="Times New Roman" w:hAnsi="Times New Roman" w:eastAsia="宋体" w:cs="宋体"/>
          <w:b w:val="0"/>
          <w:bCs/>
          <w:color w:val="000000" w:themeColor="text1"/>
          <w:szCs w:val="21"/>
          <w:highlight w:val="none"/>
          <w14:textFill>
            <w14:solidFill>
              <w14:schemeClr w14:val="tx1"/>
            </w14:solidFill>
          </w14:textFill>
        </w:rPr>
        <w:t>31.1政府采购合同履行中</w:t>
      </w:r>
      <w:r>
        <w:rPr>
          <w:rFonts w:hint="eastAsia" w:ascii="Times New Roman" w:hAnsi="Times New Roman" w:cs="宋体"/>
          <w:b w:val="0"/>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color w:val="000000" w:themeColor="text1"/>
          <w:szCs w:val="21"/>
          <w:highlight w:val="none"/>
          <w14:textFill>
            <w14:solidFill>
              <w14:schemeClr w14:val="tx1"/>
            </w14:solidFill>
          </w14:textFill>
        </w:rPr>
        <w:t>采购人需追加与合同标的相同的货物（包含与货物相关的服务）的</w:t>
      </w:r>
      <w:r>
        <w:rPr>
          <w:rFonts w:hint="eastAsia" w:ascii="Times New Roman" w:hAnsi="Times New Roman" w:cs="宋体"/>
          <w:b w:val="0"/>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color w:val="000000" w:themeColor="text1"/>
          <w:szCs w:val="21"/>
          <w:highlight w:val="none"/>
          <w14:textFill>
            <w14:solidFill>
              <w14:schemeClr w14:val="tx1"/>
            </w14:solidFill>
          </w14:textFill>
        </w:rPr>
        <w:t>在不改变合同其他条款的前提下</w:t>
      </w:r>
      <w:r>
        <w:rPr>
          <w:rFonts w:hint="eastAsia" w:ascii="Times New Roman" w:hAnsi="Times New Roman" w:cs="宋体"/>
          <w:b w:val="0"/>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color w:val="000000" w:themeColor="text1"/>
          <w:szCs w:val="21"/>
          <w:highlight w:val="none"/>
          <w14:textFill>
            <w14:solidFill>
              <w14:schemeClr w14:val="tx1"/>
            </w14:solidFill>
          </w14:textFill>
        </w:rPr>
        <w:t>可以与中标供应商协商签订补充合同</w:t>
      </w:r>
      <w:r>
        <w:rPr>
          <w:rFonts w:hint="eastAsia" w:ascii="Times New Roman" w:hAnsi="Times New Roman" w:cs="宋体"/>
          <w:b w:val="0"/>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color w:val="000000" w:themeColor="text1"/>
          <w:szCs w:val="21"/>
          <w:highlight w:val="none"/>
          <w14:textFill>
            <w14:solidFill>
              <w14:schemeClr w14:val="tx1"/>
            </w14:solidFill>
          </w14:textFill>
        </w:rPr>
        <w:t>但所有补充合同的采购金额不超过原合同金额10%。</w:t>
      </w:r>
    </w:p>
    <w:p w14:paraId="38FFCE78">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32、政府采购履约资金扶持政策</w:t>
      </w:r>
    </w:p>
    <w:p w14:paraId="5B71DBE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 w:val="0"/>
          <w:bCs/>
          <w:color w:val="000000" w:themeColor="text1"/>
          <w:szCs w:val="21"/>
          <w:highlight w:val="none"/>
          <w14:textFill>
            <w14:solidFill>
              <w14:schemeClr w14:val="tx1"/>
            </w14:solidFill>
          </w14:textFill>
        </w:rPr>
      </w:pPr>
      <w:r>
        <w:rPr>
          <w:rFonts w:hint="eastAsia" w:ascii="Times New Roman" w:hAnsi="Times New Roman" w:eastAsia="宋体" w:cs="宋体"/>
          <w:b w:val="0"/>
          <w:bCs/>
          <w:color w:val="000000" w:themeColor="text1"/>
          <w:szCs w:val="21"/>
          <w:highlight w:val="none"/>
          <w14:textFill>
            <w14:solidFill>
              <w14:schemeClr w14:val="tx1"/>
            </w14:solidFill>
          </w14:textFill>
        </w:rPr>
        <w:t>中标供应商可凭政府采购合同办理融资贷款</w:t>
      </w:r>
      <w:r>
        <w:rPr>
          <w:rFonts w:hint="eastAsia" w:ascii="Times New Roman" w:hAnsi="Times New Roman" w:cs="宋体"/>
          <w:b w:val="0"/>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color w:val="000000" w:themeColor="text1"/>
          <w:szCs w:val="21"/>
          <w:highlight w:val="none"/>
          <w14:textFill>
            <w14:solidFill>
              <w14:schemeClr w14:val="tx1"/>
            </w14:solidFill>
          </w14:textFill>
        </w:rPr>
        <w:t>详情请见江苏政府采购网“政采贷”专栏。</w:t>
      </w:r>
    </w:p>
    <w:p w14:paraId="2FF16C8F">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lang w:val="en-US" w:eastAsia="zh-CN"/>
          <w14:textFill>
            <w14:solidFill>
              <w14:schemeClr w14:val="tx1"/>
            </w14:solidFill>
          </w14:textFill>
        </w:rPr>
        <w:t>33</w:t>
      </w:r>
      <w:r>
        <w:rPr>
          <w:rFonts w:hint="eastAsia" w:ascii="Times New Roman" w:hAnsi="Times New Roman" w:eastAsia="宋体" w:cs="宋体"/>
          <w:b/>
          <w:color w:val="000000" w:themeColor="text1"/>
          <w:szCs w:val="21"/>
          <w:highlight w:val="none"/>
          <w14:textFill>
            <w14:solidFill>
              <w14:schemeClr w14:val="tx1"/>
            </w14:solidFill>
          </w14:textFill>
        </w:rPr>
        <w:t>、电子投标文件要求</w:t>
      </w:r>
    </w:p>
    <w:p w14:paraId="05530A0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33</w:t>
      </w:r>
      <w:r>
        <w:rPr>
          <w:rFonts w:hint="eastAsia" w:ascii="Times New Roman" w:hAnsi="Times New Roman" w:eastAsia="宋体" w:cs="宋体"/>
          <w:bCs/>
          <w:color w:val="000000" w:themeColor="text1"/>
          <w:szCs w:val="21"/>
          <w:highlight w:val="none"/>
          <w14:textFill>
            <w14:solidFill>
              <w14:schemeClr w14:val="tx1"/>
            </w14:solidFill>
          </w14:textFill>
        </w:rPr>
        <w:t>.1政府采购管理交易系统（苏采云）相关要求是本招标文件的组成部分。</w:t>
      </w:r>
    </w:p>
    <w:p w14:paraId="36C8768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33</w:t>
      </w:r>
      <w:r>
        <w:rPr>
          <w:rFonts w:hint="eastAsia" w:ascii="Times New Roman" w:hAnsi="Times New Roman" w:eastAsia="宋体" w:cs="宋体"/>
          <w:bCs/>
          <w:color w:val="000000" w:themeColor="text1"/>
          <w:szCs w:val="21"/>
          <w:highlight w:val="none"/>
          <w14:textFill>
            <w14:solidFill>
              <w14:schemeClr w14:val="tx1"/>
            </w14:solidFill>
          </w14:textFill>
        </w:rPr>
        <w:t>.2投标人应对 CA 证书妥善保管</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如被他人盗用投标</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因此带来的结果均由投标人自行承担。</w:t>
      </w:r>
    </w:p>
    <w:p w14:paraId="7DD2C26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33</w:t>
      </w:r>
      <w:r>
        <w:rPr>
          <w:rFonts w:hint="eastAsia" w:ascii="Times New Roman" w:hAnsi="Times New Roman" w:eastAsia="宋体" w:cs="宋体"/>
          <w:bCs/>
          <w:color w:val="000000" w:themeColor="text1"/>
          <w:szCs w:val="21"/>
          <w:highlight w:val="none"/>
          <w14:textFill>
            <w14:solidFill>
              <w14:schemeClr w14:val="tx1"/>
            </w14:solidFill>
          </w14:textFill>
        </w:rPr>
        <w:t>.3投标人应当对招标文件提出的要求和条件作出实质性响应</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并在电子投标系统逐条应答。</w:t>
      </w:r>
    </w:p>
    <w:p w14:paraId="3542839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33</w:t>
      </w:r>
      <w:r>
        <w:rPr>
          <w:rFonts w:hint="eastAsia" w:ascii="Times New Roman" w:hAnsi="Times New Roman" w:eastAsia="宋体" w:cs="宋体"/>
          <w:bCs/>
          <w:color w:val="000000" w:themeColor="text1"/>
          <w:szCs w:val="21"/>
          <w:highlight w:val="none"/>
          <w14:textFill>
            <w14:solidFill>
              <w14:schemeClr w14:val="tx1"/>
            </w14:solidFill>
          </w14:textFill>
        </w:rPr>
        <w:t>.4投标人应对要求提供的资格证明文件（如资质证书、资格证书）、技术资料（如白皮书、彩页、手册、检测报告等）扫描上传至投标系统。</w:t>
      </w:r>
    </w:p>
    <w:p w14:paraId="3871501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lang w:val="en-US" w:eastAsia="zh-CN"/>
          <w14:textFill>
            <w14:solidFill>
              <w14:schemeClr w14:val="tx1"/>
            </w14:solidFill>
          </w14:textFill>
        </w:rPr>
        <w:t>34</w:t>
      </w:r>
      <w:r>
        <w:rPr>
          <w:rFonts w:hint="eastAsia" w:ascii="Times New Roman" w:hAnsi="Times New Roman" w:eastAsia="宋体" w:cs="宋体"/>
          <w:b/>
          <w:bCs/>
          <w:color w:val="000000" w:themeColor="text1"/>
          <w:highlight w:val="none"/>
          <w14:textFill>
            <w14:solidFill>
              <w14:schemeClr w14:val="tx1"/>
            </w14:solidFill>
          </w14:textFill>
        </w:rPr>
        <w:t>、其他</w:t>
      </w:r>
    </w:p>
    <w:p w14:paraId="655FD3C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lang w:eastAsia="zh-CN"/>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34</w:t>
      </w:r>
      <w:r>
        <w:rPr>
          <w:rFonts w:hint="eastAsia" w:ascii="Times New Roman" w:hAnsi="Times New Roman" w:eastAsia="宋体" w:cs="宋体"/>
          <w:bCs/>
          <w:color w:val="000000" w:themeColor="text1"/>
          <w:szCs w:val="21"/>
          <w:highlight w:val="none"/>
          <w14:textFill>
            <w14:solidFill>
              <w14:schemeClr w14:val="tx1"/>
            </w14:solidFill>
          </w14:textFill>
        </w:rPr>
        <w:t>.1 依据《政府采购促进中小企业发展管理办法》享受享受扶持政策获得政府采购合同的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小微企业不得将合同分包给大中型企业</w:t>
      </w:r>
      <w:r>
        <w:rPr>
          <w:rFonts w:hint="eastAsia" w:ascii="Times New Roman" w:hAnsi="Times New Roman" w:eastAsia="宋体"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中型企业不得将合同分包给大型企业</w:t>
      </w:r>
      <w:r>
        <w:rPr>
          <w:rFonts w:hint="eastAsia" w:ascii="Times New Roman" w:hAnsi="Times New Roman" w:eastAsia="宋体" w:cs="宋体"/>
          <w:bCs/>
          <w:color w:val="000000" w:themeColor="text1"/>
          <w:szCs w:val="21"/>
          <w:highlight w:val="none"/>
          <w:lang w:eastAsia="zh-CN"/>
          <w14:textFill>
            <w14:solidFill>
              <w14:schemeClr w14:val="tx1"/>
            </w14:solidFill>
          </w14:textFill>
        </w:rPr>
        <w:t>。</w:t>
      </w:r>
    </w:p>
    <w:p w14:paraId="6A37F59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
          <w:bCs w:val="0"/>
          <w:color w:val="000000" w:themeColor="text1"/>
          <w:szCs w:val="21"/>
          <w:highlight w:val="none"/>
          <w:lang w:val="en-US" w:eastAsia="zh-CN"/>
          <w14:textFill>
            <w14:solidFill>
              <w14:schemeClr w14:val="tx1"/>
            </w14:solidFill>
          </w14:textFill>
        </w:rPr>
        <w:t>35、</w:t>
      </w:r>
      <w:r>
        <w:rPr>
          <w:rFonts w:hint="eastAsia" w:ascii="Times New Roman" w:hAnsi="Times New Roman" w:eastAsia="宋体" w:cs="宋体"/>
          <w:b/>
          <w:bCs w:val="0"/>
          <w:color w:val="000000" w:themeColor="text1"/>
          <w:szCs w:val="21"/>
          <w:highlight w:val="none"/>
          <w14:textFill>
            <w14:solidFill>
              <w14:schemeClr w14:val="tx1"/>
            </w14:solidFill>
          </w14:textFill>
        </w:rPr>
        <w:t>绿色采购</w:t>
      </w:r>
    </w:p>
    <w:p w14:paraId="58988A6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35</w:t>
      </w:r>
      <w:r>
        <w:rPr>
          <w:rFonts w:hint="eastAsia" w:ascii="Times New Roman" w:hAnsi="Times New Roman" w:eastAsia="宋体" w:cs="宋体"/>
          <w:bCs/>
          <w:color w:val="000000" w:themeColor="text1"/>
          <w:szCs w:val="21"/>
          <w:highlight w:val="none"/>
          <w14:textFill>
            <w14:solidFill>
              <w14:schemeClr w14:val="tx1"/>
            </w14:solidFill>
          </w14:textFill>
        </w:rPr>
        <w:t>.1中标/成交</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提供产品及相关快递服务的具体包装要求和履约验收相关条款，</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须严格执行，必要时应按照要求在履约验收环节出具检测报告。</w:t>
      </w:r>
    </w:p>
    <w:p w14:paraId="05141D07">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35</w:t>
      </w:r>
      <w:r>
        <w:rPr>
          <w:rFonts w:hint="eastAsia" w:ascii="Times New Roman" w:hAnsi="Times New Roman" w:eastAsia="宋体" w:cs="宋体"/>
          <w:bCs/>
          <w:color w:val="000000" w:themeColor="text1"/>
          <w:szCs w:val="21"/>
          <w:highlight w:val="none"/>
          <w14:textFill>
            <w14:solidFill>
              <w14:schemeClr w14:val="tx1"/>
            </w14:solidFill>
          </w14:textFill>
        </w:rPr>
        <w:t>.2涉及数据中心相关设备、运维服务的，应按照《关于印发〈绿色数据中心政府采购需求标准（试行）</w:t>
      </w: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的通知》（财办库〔2023〕7号）、《江苏省财政厅关于加强政府绿色采购有关事项的通知》（苏财购〔2023〕65号）等文件执行。中标/成交</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应</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提高</w:t>
      </w:r>
      <w:r>
        <w:rPr>
          <w:rFonts w:hint="eastAsia" w:ascii="Times New Roman" w:hAnsi="Times New Roman" w:eastAsia="宋体" w:cs="宋体"/>
          <w:bCs/>
          <w:color w:val="000000" w:themeColor="text1"/>
          <w:szCs w:val="21"/>
          <w:highlight w:val="none"/>
          <w14:textFill>
            <w14:solidFill>
              <w14:schemeClr w14:val="tx1"/>
            </w14:solidFill>
          </w14:textFill>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应按合同约定提供设备或服务。</w:t>
      </w:r>
    </w:p>
    <w:p w14:paraId="6155966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35.</w:t>
      </w:r>
      <w:r>
        <w:rPr>
          <w:rFonts w:hint="eastAsia" w:ascii="Times New Roman" w:hAnsi="Times New Roman" w:eastAsia="宋体" w:cs="宋体"/>
          <w:bCs/>
          <w:color w:val="000000" w:themeColor="text1"/>
          <w:szCs w:val="21"/>
          <w:highlight w:val="none"/>
          <w14:textFill>
            <w14:solidFill>
              <w14:schemeClr w14:val="tx1"/>
            </w14:solidFill>
          </w14:textFill>
        </w:rPr>
        <w:t>3采购产品中涉及涂料、胶黏剂、油墨、清洗剂等挥发性有机物产品的，属于强制性标准的，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应当提供符合国家和江苏省相关VOCs 含量限制标准的产品。采购产品中涉及通用类货物、家具的，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应当优先使用低挥发性原辅材料，采购人将使用低VOCs含量的涂料、胶黏剂等纳入政府采购合同条款的，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必须严格执行。</w:t>
      </w:r>
    </w:p>
    <w:p w14:paraId="6965881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35</w:t>
      </w:r>
      <w:r>
        <w:rPr>
          <w:rFonts w:hint="eastAsia" w:ascii="Times New Roman" w:hAnsi="Times New Roman" w:eastAsia="宋体" w:cs="宋体"/>
          <w:bCs/>
          <w:color w:val="000000" w:themeColor="text1"/>
          <w:szCs w:val="21"/>
          <w:highlight w:val="none"/>
          <w14:textFill>
            <w14:solidFill>
              <w14:schemeClr w14:val="tx1"/>
            </w14:solidFill>
          </w14:textFill>
        </w:rPr>
        <w:t>.4采购产品中涉及数据库、操作系统、通用服务器、工作站、一体式计算机、便携式计算机、台式计算机的，</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Times New Roman" w:hAnsi="Times New Roman" w:eastAsia="宋体" w:cs="宋体"/>
          <w:bCs/>
          <w:color w:val="000000" w:themeColor="text1"/>
          <w:szCs w:val="21"/>
          <w:highlight w:val="none"/>
          <w:lang w:eastAsia="zh-CN"/>
          <w14:textFill>
            <w14:solidFill>
              <w14:schemeClr w14:val="tx1"/>
            </w14:solidFill>
          </w14:textFill>
        </w:rPr>
        <w:t>投标人</w:t>
      </w:r>
      <w:r>
        <w:rPr>
          <w:rFonts w:hint="eastAsia" w:ascii="Times New Roman" w:hAnsi="Times New Roman" w:eastAsia="宋体" w:cs="宋体"/>
          <w:bCs/>
          <w:color w:val="000000" w:themeColor="text1"/>
          <w:szCs w:val="21"/>
          <w:highlight w:val="none"/>
          <w14:textFill>
            <w14:solidFill>
              <w14:schemeClr w14:val="tx1"/>
            </w14:solidFill>
          </w14:textFill>
        </w:rPr>
        <w:t>所提供的上述产品进行验收，必要时可以委托依法取得检测、认证资质的机构进行检测、认证。</w:t>
      </w:r>
    </w:p>
    <w:p w14:paraId="4292C462">
      <w:pPr>
        <w:pageBreakBefore w:val="0"/>
        <w:kinsoku/>
        <w:wordWrap/>
        <w:overflowPunct/>
        <w:topLinePunct w:val="0"/>
        <w:autoSpaceDE/>
        <w:autoSpaceDN/>
        <w:bidi w:val="0"/>
        <w:spacing w:line="360" w:lineRule="auto"/>
        <w:ind w:firstLine="420"/>
        <w:textAlignment w:val="auto"/>
        <w:rPr>
          <w:rFonts w:hint="default" w:ascii="Times New Roman" w:hAnsi="Times New Roman" w:eastAsia="宋体" w:cs="宋体"/>
          <w:bCs/>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Cs/>
          <w:color w:val="000000" w:themeColor="text1"/>
          <w:szCs w:val="21"/>
          <w:highlight w:val="none"/>
          <w:lang w:val="en-US" w:eastAsia="zh-CN"/>
          <w14:textFill>
            <w14:solidFill>
              <w14:schemeClr w14:val="tx1"/>
            </w14:solidFill>
          </w14:textFill>
        </w:rPr>
        <w:t>35</w:t>
      </w:r>
      <w:r>
        <w:rPr>
          <w:rFonts w:hint="eastAsia" w:ascii="Times New Roman" w:hAnsi="Times New Roman" w:eastAsia="宋体" w:cs="宋体"/>
          <w:bCs/>
          <w:color w:val="000000" w:themeColor="text1"/>
          <w:szCs w:val="21"/>
          <w:highlight w:val="none"/>
          <w14:textFill>
            <w14:solidFill>
              <w14:schemeClr w14:val="tx1"/>
            </w14:solidFill>
          </w14:textFill>
        </w:rPr>
        <w:t>.5落实政府采购《绿色建筑和绿色建材政府采购需求标准》（财库〔2022〕35号文）和《政府采购支持绿色建材促进建筑品质提升政策项目实施指南》（财办库〔2023〕52号）文件标准。</w:t>
      </w:r>
    </w:p>
    <w:p w14:paraId="78E8149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br w:type="page" w:clear="all"/>
      </w:r>
    </w:p>
    <w:p w14:paraId="76662442">
      <w:pPr>
        <w:pStyle w:val="2"/>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bookmarkStart w:id="65" w:name="_Toc12895"/>
      <w:bookmarkStart w:id="66" w:name="_Toc23141"/>
      <w:bookmarkStart w:id="67" w:name="_Toc7691"/>
      <w:bookmarkStart w:id="68" w:name="_Toc1445"/>
      <w:bookmarkStart w:id="69" w:name="_Toc18307"/>
      <w:bookmarkStart w:id="70" w:name="_Toc55204179"/>
      <w:bookmarkStart w:id="71" w:name="_Toc30440"/>
      <w:bookmarkStart w:id="72" w:name="_Hlk69392822"/>
      <w:r>
        <w:rPr>
          <w:rFonts w:hint="eastAsia" w:ascii="Times New Roman" w:hAnsi="Times New Roman" w:eastAsia="宋体"/>
          <w:color w:val="000000" w:themeColor="text1"/>
          <w:highlight w:val="none"/>
          <w14:textFill>
            <w14:solidFill>
              <w14:schemeClr w14:val="tx1"/>
            </w14:solidFill>
          </w14:textFill>
        </w:rPr>
        <w:t>第三章 合同条款及格式</w:t>
      </w:r>
      <w:bookmarkEnd w:id="65"/>
      <w:bookmarkEnd w:id="66"/>
      <w:bookmarkEnd w:id="67"/>
      <w:bookmarkEnd w:id="68"/>
      <w:bookmarkEnd w:id="69"/>
      <w:bookmarkEnd w:id="70"/>
      <w:bookmarkEnd w:id="71"/>
    </w:p>
    <w:p w14:paraId="13C2B303">
      <w:pPr>
        <w:pStyle w:val="261"/>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以下为中标后签订本项目合同的通用条款</w:t>
      </w:r>
      <w:r>
        <w:rPr>
          <w:rFonts w:hint="eastAsia" w:ascii="Times New Roman" w:hAnsi="Times New Roman" w:cs="宋体"/>
          <w:color w:val="000000" w:themeColor="text1"/>
          <w:sz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highlight w:val="none"/>
          <w14:textFill>
            <w14:solidFill>
              <w14:schemeClr w14:val="tx1"/>
            </w14:solidFill>
          </w14:textFill>
        </w:rPr>
        <w:t>中标人不得提出实质性的修改</w:t>
      </w:r>
      <w:r>
        <w:rPr>
          <w:rFonts w:hint="eastAsia" w:ascii="Times New Roman" w:hAnsi="Times New Roman" w:cs="宋体"/>
          <w:color w:val="000000" w:themeColor="text1"/>
          <w:sz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highlight w:val="none"/>
          <w14:textFill>
            <w14:solidFill>
              <w14:schemeClr w14:val="tx1"/>
            </w14:solidFill>
          </w14:textFill>
        </w:rPr>
        <w:t>关于专用条款将由采购人与中标人结合本项目具体情况协商后签订。</w:t>
      </w:r>
    </w:p>
    <w:bookmarkEnd w:id="72"/>
    <w:p w14:paraId="16936EA9">
      <w:pPr>
        <w:pStyle w:val="261"/>
        <w:pageBreakBefore w:val="0"/>
        <w:kinsoku/>
        <w:wordWrap/>
        <w:overflowPunct/>
        <w:topLinePunct w:val="0"/>
        <w:autoSpaceDE/>
        <w:autoSpaceDN/>
        <w:bidi w:val="0"/>
        <w:spacing w:line="360" w:lineRule="auto"/>
        <w:ind w:firstLine="422"/>
        <w:jc w:val="center"/>
        <w:textAlignment w:val="auto"/>
        <w:rPr>
          <w:rFonts w:hint="eastAsia" w:ascii="Times New Roman" w:hAnsi="Times New Roman" w:eastAsia="宋体" w:cs="宋体"/>
          <w:b/>
          <w:bCs/>
          <w:color w:val="000000" w:themeColor="text1"/>
          <w:sz w:val="21"/>
          <w:highlight w:val="none"/>
          <w14:textFill>
            <w14:solidFill>
              <w14:schemeClr w14:val="tx1"/>
            </w14:solidFill>
          </w14:textFill>
        </w:rPr>
      </w:pPr>
    </w:p>
    <w:p w14:paraId="1F6A5FE6">
      <w:pPr>
        <w:pStyle w:val="20"/>
        <w:pageBreakBefore w:val="0"/>
        <w:kinsoku/>
        <w:wordWrap/>
        <w:overflowPunct/>
        <w:topLinePunct w:val="0"/>
        <w:autoSpaceDE/>
        <w:autoSpaceDN/>
        <w:bidi w:val="0"/>
        <w:spacing w:line="360" w:lineRule="auto"/>
        <w:ind w:firstLine="422"/>
        <w:jc w:val="center"/>
        <w:textAlignment w:val="auto"/>
        <w:rPr>
          <w:rFonts w:hint="eastAsia" w:ascii="Times New Roman" w:hAnsi="Times New Roman" w:eastAsia="宋体"/>
          <w:b/>
          <w:bCs/>
          <w:color w:val="000000" w:themeColor="text1"/>
          <w:sz w:val="21"/>
          <w:highlight w:val="none"/>
          <w14:textFill>
            <w14:solidFill>
              <w14:schemeClr w14:val="tx1"/>
            </w14:solidFill>
          </w14:textFill>
        </w:rPr>
      </w:pPr>
      <w:bookmarkStart w:id="73" w:name="_Toc14006"/>
      <w:bookmarkStart w:id="74" w:name="_Toc3819"/>
      <w:bookmarkStart w:id="75" w:name="_Toc17457"/>
      <w:bookmarkStart w:id="76" w:name="_Toc15957"/>
      <w:r>
        <w:rPr>
          <w:rFonts w:hint="eastAsia" w:ascii="Times New Roman" w:hAnsi="Times New Roman" w:eastAsia="宋体"/>
          <w:b/>
          <w:bCs/>
          <w:color w:val="000000" w:themeColor="text1"/>
          <w:sz w:val="21"/>
          <w:highlight w:val="none"/>
          <w14:textFill>
            <w14:solidFill>
              <w14:schemeClr w14:val="tx1"/>
            </w14:solidFill>
          </w14:textFill>
        </w:rPr>
        <w:t>扬州市政府采购合同（货物</w:t>
      </w:r>
      <w:r>
        <w:rPr>
          <w:rFonts w:hint="eastAsia" w:ascii="Times New Roman" w:hAnsi="Times New Roman" w:eastAsia="宋体"/>
          <w:b/>
          <w:bCs/>
          <w:color w:val="000000" w:themeColor="text1"/>
          <w:sz w:val="21"/>
          <w:highlight w:val="none"/>
          <w:lang w:eastAsia="zh-CN"/>
          <w14:textFill>
            <w14:solidFill>
              <w14:schemeClr w14:val="tx1"/>
            </w14:solidFill>
          </w14:textFill>
        </w:rPr>
        <w:t>）</w:t>
      </w:r>
      <w:r>
        <w:rPr>
          <w:rFonts w:hint="eastAsia" w:ascii="Times New Roman" w:hAnsi="Times New Roman" w:eastAsia="宋体"/>
          <w:b/>
          <w:bCs/>
          <w:color w:val="000000" w:themeColor="text1"/>
          <w:sz w:val="21"/>
          <w:highlight w:val="none"/>
          <w14:textFill>
            <w14:solidFill>
              <w14:schemeClr w14:val="tx1"/>
            </w14:solidFill>
          </w14:textFill>
        </w:rPr>
        <w:t>（合同编号）</w:t>
      </w:r>
    </w:p>
    <w:p w14:paraId="440B4550">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项目名称：</w:t>
      </w:r>
      <w:r>
        <w:rPr>
          <w:rFonts w:hint="eastAsia" w:ascii="Times New Roman" w:hAnsi="Times New Roman"/>
          <w:color w:val="000000" w:themeColor="text1"/>
          <w:sz w:val="21"/>
          <w:highlight w:val="none"/>
          <w:lang w:eastAsia="zh-CN"/>
          <w14:textFill>
            <w14:solidFill>
              <w14:schemeClr w14:val="tx1"/>
            </w14:solidFill>
          </w14:textFill>
        </w:rPr>
        <w:t>扬州市检验检测中心2026年食品检验检测设备更新项目</w:t>
      </w:r>
    </w:p>
    <w:p w14:paraId="6E786A2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项目编号：</w:t>
      </w:r>
      <w:r>
        <w:rPr>
          <w:rFonts w:hint="eastAsia" w:ascii="Times New Roman" w:hAnsi="Times New Roman"/>
          <w:color w:val="000000" w:themeColor="text1"/>
          <w:sz w:val="21"/>
          <w:highlight w:val="none"/>
          <w:lang w:eastAsia="zh-CN"/>
          <w14:textFill>
            <w14:solidFill>
              <w14:schemeClr w14:val="tx1"/>
            </w14:solidFill>
          </w14:textFill>
        </w:rPr>
        <w:t>JSZC-321000-JWJL-G2026-0003</w:t>
      </w:r>
      <w:r>
        <w:rPr>
          <w:rFonts w:hint="eastAsia" w:ascii="Times New Roman" w:hAnsi="Times New Roman"/>
          <w:color w:val="000000" w:themeColor="text1"/>
          <w:sz w:val="21"/>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21"/>
          <w:highlight w:val="none"/>
          <w:lang w:eastAsia="zh-CN"/>
          <w14:textFill>
            <w14:solidFill>
              <w14:schemeClr w14:val="tx1"/>
            </w14:solidFill>
          </w14:textFill>
        </w:rPr>
        <w:t>号</w:t>
      </w:r>
    </w:p>
    <w:p w14:paraId="15ADCD05">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color w:val="000000" w:themeColor="text1"/>
          <w:sz w:val="21"/>
          <w:highlight w:val="none"/>
          <w:lang w:eastAsia="zh-CN"/>
          <w14:textFill>
            <w14:solidFill>
              <w14:schemeClr w14:val="tx1"/>
            </w14:solidFill>
          </w14:textFill>
        </w:rPr>
        <w:t>包号：</w:t>
      </w:r>
    </w:p>
    <w:p w14:paraId="66113D54">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甲方：（买方）</w:t>
      </w:r>
      <w:r>
        <w:rPr>
          <w:rFonts w:hint="eastAsia" w:ascii="Times New Roman" w:hAnsi="Times New Roman"/>
          <w:color w:val="000000" w:themeColor="text1"/>
          <w:sz w:val="21"/>
          <w:highlight w:val="none"/>
          <w:lang w:eastAsia="zh-CN"/>
          <w14:textFill>
            <w14:solidFill>
              <w14:schemeClr w14:val="tx1"/>
            </w14:solidFill>
          </w14:textFill>
        </w:rPr>
        <w:t>扬州市检验检测中心</w:t>
      </w:r>
    </w:p>
    <w:p w14:paraId="4865FFA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乙方：（卖方）_________</w:t>
      </w:r>
    </w:p>
    <w:p w14:paraId="444FEEE2">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甲、乙双方根据</w:t>
      </w:r>
      <w:r>
        <w:rPr>
          <w:rFonts w:hint="eastAsia" w:ascii="Times New Roman" w:hAnsi="Times New Roman"/>
          <w:color w:val="000000" w:themeColor="text1"/>
          <w:sz w:val="21"/>
          <w:highlight w:val="none"/>
          <w:lang w:eastAsia="zh-CN"/>
          <w14:textFill>
            <w14:solidFill>
              <w14:schemeClr w14:val="tx1"/>
            </w14:solidFill>
          </w14:textFill>
        </w:rPr>
        <w:t>江苏省经纬建设监理有限公司</w:t>
      </w:r>
      <w:r>
        <w:rPr>
          <w:rFonts w:hint="eastAsia" w:ascii="Times New Roman" w:hAnsi="Times New Roman" w:eastAsia="宋体"/>
          <w:color w:val="000000" w:themeColor="text1"/>
          <w:sz w:val="21"/>
          <w:highlight w:val="none"/>
          <w14:textFill>
            <w14:solidFill>
              <w14:schemeClr w14:val="tx1"/>
            </w14:solidFill>
          </w14:textFill>
        </w:rPr>
        <w:t>项目公开招标的结果</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签署本合同。</w:t>
      </w:r>
    </w:p>
    <w:p w14:paraId="733DB166">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一、货物及伴随服务</w:t>
      </w:r>
    </w:p>
    <w:p w14:paraId="2FEF4ACF">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1.1 货物及服务名称：</w:t>
      </w:r>
    </w:p>
    <w:p w14:paraId="43690D2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ascii="Times New Roman" w:hAnsi="Times New Roman" w:eastAsia="宋体"/>
          <w:color w:val="000000" w:themeColor="text1"/>
          <w:sz w:val="21"/>
          <w:highlight w:val="none"/>
          <w14:textFill>
            <w14:solidFill>
              <w14:schemeClr w14:val="tx1"/>
            </w14:solidFill>
          </w14:textFill>
        </w:rPr>
        <w:t>1.2 型号规格：</w:t>
      </w:r>
    </w:p>
    <w:p w14:paraId="54485EB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ascii="Times New Roman" w:hAnsi="Times New Roman" w:eastAsia="宋体"/>
          <w:color w:val="000000" w:themeColor="text1"/>
          <w:sz w:val="21"/>
          <w:highlight w:val="none"/>
          <w14:textFill>
            <w14:solidFill>
              <w14:schemeClr w14:val="tx1"/>
            </w14:solidFill>
          </w14:textFill>
        </w:rPr>
        <w:t>1.3 数量（单位）</w:t>
      </w:r>
    </w:p>
    <w:p w14:paraId="235C289E">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二、合同金额</w:t>
      </w:r>
    </w:p>
    <w:p w14:paraId="7462903F">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2.1 本合同金额为（大写）：____________________________________圆（_______________元）人民币。</w:t>
      </w:r>
    </w:p>
    <w:p w14:paraId="238D879F">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三、技术资料</w:t>
      </w:r>
    </w:p>
    <w:p w14:paraId="208237A9">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3.1乙方应按招标文件规定的时间向甲方提供使用货物及服务的有关技术资料。</w:t>
      </w:r>
    </w:p>
    <w:p w14:paraId="6EC38413">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3.2 没有甲方事先书面同意</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乙方不得将由甲方提供的有关合同或任何合同条文、规格、计划、图纸、样品或资料提供给与履行本合同无关的任何其他人。即使向履行本合同有关的人员提供</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也应注意保密并限于履行合同的必需范围。</w:t>
      </w:r>
    </w:p>
    <w:p w14:paraId="7C5AE843">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四、知识产权</w:t>
      </w:r>
    </w:p>
    <w:p w14:paraId="021D3329">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4.1乙方应保证甲方在使用、接受本合同货物及服务或其任何一部分时不受第三方提出侵犯其专利权、版权、商标权和工业设计权等知识产权的起诉。一旦出现侵权</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由乙方负全部责任。</w:t>
      </w:r>
    </w:p>
    <w:p w14:paraId="7FC5BD1D">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五、产权担保</w:t>
      </w:r>
    </w:p>
    <w:p w14:paraId="53EC8F7F">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5.1 乙方保证所交付的货物及服务的所有权完全属于乙方且无任何抵押、查封等产权瑕疵。</w:t>
      </w:r>
    </w:p>
    <w:p w14:paraId="313F2269">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六、履约保证金</w:t>
      </w:r>
    </w:p>
    <w:p w14:paraId="17B2A7C8">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ascii="Times New Roman" w:hAnsi="Times New Roman" w:eastAsia="宋体"/>
          <w:color w:val="000000" w:themeColor="text1"/>
          <w:sz w:val="21"/>
          <w:highlight w:val="none"/>
          <w14:textFill>
            <w14:solidFill>
              <w14:schemeClr w14:val="tx1"/>
            </w14:solidFill>
          </w14:textFill>
        </w:rPr>
        <w:t>6.1 收取履约保证金的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允许中标人自主选择支票、汇票、本票、保函等非现金形式缴纳或提交</w:t>
      </w:r>
      <w:r>
        <w:rPr>
          <w:rFonts w:hint="eastAsia" w:ascii="Times New Roman" w:hAnsi="Times New Roman"/>
          <w:color w:val="000000" w:themeColor="text1"/>
          <w:sz w:val="21"/>
          <w:highlight w:val="none"/>
          <w:lang w:eastAsia="zh-CN"/>
          <w14:textFill>
            <w14:solidFill>
              <w14:schemeClr w14:val="tx1"/>
            </w14:solidFill>
          </w14:textFill>
        </w:rPr>
        <w:t>，</w:t>
      </w:r>
      <w:r>
        <w:rPr>
          <w:rFonts w:ascii="Times New Roman" w:hAnsi="Times New Roman" w:eastAsia="宋体"/>
          <w:color w:val="000000" w:themeColor="text1"/>
          <w:sz w:val="21"/>
          <w:highlight w:val="none"/>
          <w14:textFill>
            <w14:solidFill>
              <w14:schemeClr w14:val="tx1"/>
            </w14:solidFill>
          </w14:textFill>
        </w:rPr>
        <w:t>应当在采购合同中约定履约保证金退还的方式、时间、条件和不予退还的情形</w:t>
      </w:r>
      <w:r>
        <w:rPr>
          <w:rFonts w:hint="eastAsia" w:ascii="Times New Roman" w:hAnsi="Times New Roman"/>
          <w:color w:val="000000" w:themeColor="text1"/>
          <w:sz w:val="21"/>
          <w:highlight w:val="none"/>
          <w:lang w:eastAsia="zh-CN"/>
          <w14:textFill>
            <w14:solidFill>
              <w14:schemeClr w14:val="tx1"/>
            </w14:solidFill>
          </w14:textFill>
        </w:rPr>
        <w:t>，</w:t>
      </w:r>
      <w:r>
        <w:rPr>
          <w:rFonts w:ascii="Times New Roman" w:hAnsi="Times New Roman" w:eastAsia="宋体"/>
          <w:color w:val="000000" w:themeColor="text1"/>
          <w:sz w:val="21"/>
          <w:highlight w:val="none"/>
          <w14:textFill>
            <w14:solidFill>
              <w14:schemeClr w14:val="tx1"/>
            </w14:solidFill>
          </w14:textFill>
        </w:rPr>
        <w:t>明确逾期退还履约保证金的违约责任。</w:t>
      </w:r>
    </w:p>
    <w:p w14:paraId="6691F439">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6.2履约保证金用以约束乙方在合同履行中的行为</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以及弥补合同履行中由于乙方自身行为可能给甲方带来的各种损失；若履约保证金额不足以弥补乙方违约造成甲方损失的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甲方可继续向乙方主张索赔。</w:t>
      </w:r>
    </w:p>
    <w:p w14:paraId="48968905">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6.3 履约保证金扣除甲方应得的补偿后的余额</w:t>
      </w:r>
      <w:r>
        <w:rPr>
          <w:rFonts w:hint="eastAsia" w:ascii="Times New Roman" w:hAnsi="Times New Roman" w:cs="宋体"/>
          <w:color w:val="000000" w:themeColor="text1"/>
          <w:sz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highlight w:val="none"/>
          <w14:textFill>
            <w14:solidFill>
              <w14:schemeClr w14:val="tx1"/>
            </w14:solidFill>
          </w14:textFill>
        </w:rPr>
        <w:t>在本合同履行结束后由甲方无息退还。逾期退还的</w:t>
      </w:r>
      <w:r>
        <w:rPr>
          <w:rFonts w:hint="eastAsia" w:ascii="Times New Roman" w:hAnsi="Times New Roman" w:cs="宋体"/>
          <w:color w:val="000000" w:themeColor="text1"/>
          <w:sz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highlight w:val="none"/>
          <w14:textFill>
            <w14:solidFill>
              <w14:schemeClr w14:val="tx1"/>
            </w14:solidFill>
          </w14:textFill>
        </w:rPr>
        <w:t>按中国人民银行同期贷款基准利率上浮20%后的利率支付超期资金占用费</w:t>
      </w:r>
      <w:r>
        <w:rPr>
          <w:rFonts w:hint="eastAsia" w:ascii="Times New Roman" w:hAnsi="Times New Roman" w:cs="宋体"/>
          <w:color w:val="000000" w:themeColor="text1"/>
          <w:sz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highlight w:val="none"/>
          <w14:textFill>
            <w14:solidFill>
              <w14:schemeClr w14:val="tx1"/>
            </w14:solidFill>
          </w14:textFill>
        </w:rPr>
        <w:t>但因乙方自身原因导致无法及时退还的除外。 </w:t>
      </w:r>
    </w:p>
    <w:p w14:paraId="57EA5BD2">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6.4 履约保证金收取：</w:t>
      </w:r>
      <w:r>
        <w:rPr>
          <w:rFonts w:hint="eastAsia" w:ascii="Times New Roman" w:hAnsi="Times New Roman" w:eastAsia="宋体"/>
          <w:color w:val="000000" w:themeColor="text1"/>
          <w:sz w:val="21"/>
          <w:highlight w:val="none"/>
          <w:u w:val="single"/>
          <w14:textFill>
            <w14:solidFill>
              <w14:schemeClr w14:val="tx1"/>
            </w14:solidFill>
          </w14:textFill>
        </w:rPr>
        <w:t>无</w:t>
      </w:r>
    </w:p>
    <w:p w14:paraId="1222A8EE">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七、转包或分包</w:t>
      </w:r>
    </w:p>
    <w:p w14:paraId="72D582B8">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7.1本合同范围的货物及服务</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应由乙方直接供应</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不得转让他人供应；</w:t>
      </w:r>
    </w:p>
    <w:p w14:paraId="396ECFAE">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7.2 除非得到甲方的书面同意</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乙方不得部分分包给他人供应。</w:t>
      </w:r>
    </w:p>
    <w:p w14:paraId="69BE9CA2">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7.3如有转让和未经甲方同意的分包行为</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甲方有权给予终止合同。</w:t>
      </w:r>
    </w:p>
    <w:p w14:paraId="51FEB03C">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八、质保期</w:t>
      </w:r>
    </w:p>
    <w:p w14:paraId="76951A7C">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8.1 质保期</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年。（自交货验收合格之日起计）</w:t>
      </w:r>
    </w:p>
    <w:p w14:paraId="1978751F">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九、交付期、交付方式及交付地点</w:t>
      </w:r>
    </w:p>
    <w:p w14:paraId="1575B5C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u w:val="singl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9.1 交付期：</w:t>
      </w:r>
      <w:r>
        <w:rPr>
          <w:rFonts w:hint="eastAsia" w:ascii="Times New Roman" w:hAnsi="Times New Roman" w:eastAsia="宋体"/>
          <w:color w:val="000000" w:themeColor="text1"/>
          <w:sz w:val="21"/>
          <w:highlight w:val="none"/>
          <w:u w:val="none"/>
          <w14:textFill>
            <w14:solidFill>
              <w14:schemeClr w14:val="tx1"/>
            </w14:solidFill>
          </w14:textFill>
        </w:rPr>
        <w:t>合同签订后自接采购人通知之日起</w:t>
      </w:r>
      <w:r>
        <w:rPr>
          <w:rFonts w:hint="eastAsia" w:ascii="Times New Roman" w:hAnsi="Times New Roman"/>
          <w:color w:val="000000" w:themeColor="text1"/>
          <w:sz w:val="2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sz w:val="21"/>
          <w:highlight w:val="none"/>
          <w:u w:val="none"/>
          <w14:textFill>
            <w14:solidFill>
              <w14:schemeClr w14:val="tx1"/>
            </w14:solidFill>
          </w14:textFill>
        </w:rPr>
        <w:t>内（除不可抗力、非乙方原因）全部供货及安装完毕</w:t>
      </w:r>
      <w:r>
        <w:rPr>
          <w:rFonts w:hint="eastAsia" w:ascii="Times New Roman" w:hAnsi="Times New Roman"/>
          <w:color w:val="000000" w:themeColor="text1"/>
          <w:sz w:val="21"/>
          <w:highlight w:val="none"/>
          <w:u w:val="none"/>
          <w:lang w:eastAsia="zh-CN"/>
          <w14:textFill>
            <w14:solidFill>
              <w14:schemeClr w14:val="tx1"/>
            </w14:solidFill>
          </w14:textFill>
        </w:rPr>
        <w:t>，</w:t>
      </w:r>
      <w:r>
        <w:rPr>
          <w:rFonts w:hint="eastAsia" w:ascii="Times New Roman" w:hAnsi="Times New Roman" w:eastAsia="宋体"/>
          <w:color w:val="000000" w:themeColor="text1"/>
          <w:sz w:val="21"/>
          <w:highlight w:val="none"/>
          <w:u w:val="none"/>
          <w14:textFill>
            <w14:solidFill>
              <w14:schemeClr w14:val="tx1"/>
            </w14:solidFill>
          </w14:textFill>
        </w:rPr>
        <w:t>并完成全部验收、文档整理工作</w:t>
      </w:r>
      <w:r>
        <w:rPr>
          <w:rFonts w:hint="eastAsia" w:ascii="Times New Roman" w:hAnsi="Times New Roman" w:eastAsia="宋体"/>
          <w:color w:val="000000" w:themeColor="text1"/>
          <w:sz w:val="21"/>
          <w:highlight w:val="none"/>
          <w:u w:val="none"/>
          <w:lang w:eastAsia="zh-CN"/>
          <w14:textFill>
            <w14:solidFill>
              <w14:schemeClr w14:val="tx1"/>
            </w14:solidFill>
          </w14:textFill>
        </w:rPr>
        <w:t>。</w:t>
      </w:r>
    </w:p>
    <w:p w14:paraId="08B19359">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9.2 交付方式：甲方指定方式</w:t>
      </w:r>
    </w:p>
    <w:p w14:paraId="68DA5BD4">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9.3 交付地点：甲方指定地点</w:t>
      </w:r>
    </w:p>
    <w:p w14:paraId="66B50CEE">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十、货款支付</w:t>
      </w:r>
    </w:p>
    <w:p w14:paraId="6A21AFC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10.1 本合同项下所有款项均以人民币支付。 </w:t>
      </w:r>
    </w:p>
    <w:p w14:paraId="264D64A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10.2 本合同项下的采购资金由甲方支付</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付款前乙方向甲方开具发票。</w:t>
      </w:r>
    </w:p>
    <w:p w14:paraId="164D34D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10.3 甲方付款方式：</w:t>
      </w:r>
    </w:p>
    <w:p w14:paraId="3B175F6B">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合同签订后，采购人在收到投标人开具的增值税发票后的10个工作日内支付30%预付款；货物交付、安装、调试且验收合格后，采购人在收到投标人开具的增值税发票后的10个工作日内支付70%尾款。</w:t>
      </w:r>
    </w:p>
    <w:p w14:paraId="24BC7783">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十一、税费</w:t>
      </w:r>
    </w:p>
    <w:p w14:paraId="11D1560E">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11.1本合同执行中相关的一切税费均由乙方负担。</w:t>
      </w:r>
    </w:p>
    <w:p w14:paraId="7814E5F7">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十二、质量保证及售后服务</w:t>
      </w:r>
    </w:p>
    <w:p w14:paraId="736EF373">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12.1 乙方应按招标文件规定的货物及服务性能、技术要求、质量标准向甲方提供。</w:t>
      </w:r>
    </w:p>
    <w:p w14:paraId="0A700F75">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12.2 乙方提供的货物及服务在质量期内因服务及产品本身的质量问题发生故障</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乙方应负责免费更换。对达不到技术要求者</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根据实际情况</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经双方协商</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可按以下办法处理：</w:t>
      </w:r>
    </w:p>
    <w:p w14:paraId="5F8A018E">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⑴更换：由乙方承担所发生的全部费用。</w:t>
      </w:r>
    </w:p>
    <w:p w14:paraId="1EFA4E6A">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⑵贬值处理：由甲乙双方合议定价。</w:t>
      </w:r>
    </w:p>
    <w:p w14:paraId="00A6F6EF">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⑶退还处理：乙方应退还甲方支付的合同款</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同时应承担该货物及服务的直接费用（运输、保险、检验、款项利息及银行手续费等）。</w:t>
      </w:r>
    </w:p>
    <w:p w14:paraId="281F08E1">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12.3 如在使用过程中发生质量问题</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乙方在接到甲方通知后在</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小时内到达甲方现场。</w:t>
      </w:r>
    </w:p>
    <w:p w14:paraId="11989ED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12.4 在质保期内</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乙方应对货物及服务出现的质量及安全问题负责处理解决并承担一切费用。</w:t>
      </w:r>
    </w:p>
    <w:p w14:paraId="4D6EB8D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12.5上述的货物及服务免费保修期为</w:t>
      </w:r>
      <w:r>
        <w:rPr>
          <w:rFonts w:hint="eastAsia" w:ascii="Times New Roman" w:hAnsi="Times New Roman" w:eastAsia="宋体"/>
          <w:color w:val="000000" w:themeColor="text1"/>
          <w:sz w:val="21"/>
          <w:highlight w:val="none"/>
          <w:u w:val="single"/>
          <w14:textFill>
            <w14:solidFill>
              <w14:schemeClr w14:val="tx1"/>
            </w14:solidFill>
          </w14:textFill>
        </w:rPr>
        <w:t xml:space="preserve">   </w:t>
      </w:r>
      <w:r>
        <w:rPr>
          <w:rFonts w:hint="eastAsia" w:ascii="Times New Roman" w:hAnsi="Times New Roman" w:eastAsia="宋体"/>
          <w:color w:val="000000" w:themeColor="text1"/>
          <w:sz w:val="21"/>
          <w:highlight w:val="none"/>
          <w14:textFill>
            <w14:solidFill>
              <w14:schemeClr w14:val="tx1"/>
            </w14:solidFill>
          </w14:textFill>
        </w:rPr>
        <w:t>年</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因人为因素出现的故障不在免费保修范围内。超过保修期的机器设备</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终生维修</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维修时只收部件成本费。</w:t>
      </w:r>
    </w:p>
    <w:p w14:paraId="7DAAA6BD">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十三、调试和验收</w:t>
      </w:r>
    </w:p>
    <w:p w14:paraId="4A35C9A4">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13.1 甲方对乙方提交的货物及服务依据招标文件上的技术规格要求和国家有关质量标准进行现场初步验收</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外观、说明书符合招标文件技术要求的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给予签收</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初步验收不合格的不予签收。交付后</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甲方需在五个工作日内验收。</w:t>
      </w:r>
    </w:p>
    <w:p w14:paraId="58505294">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13.2 乙方交付前应对货物及服务作出全面检查和对验收文件进行整理</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并列出清单</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作为甲方交付验收和使用的技术条件依据</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检验的结果应随货物及服务交甲方。</w:t>
      </w:r>
    </w:p>
    <w:p w14:paraId="2CE58EF6">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13.3 甲方对乙方提供的货物及服务在使用前进行调试时</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乙方需负责安装并培训甲方的使用操作人员</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并协助甲方一起调试</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直到符合技术要求</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甲方才做最终验收。</w:t>
      </w:r>
    </w:p>
    <w:p w14:paraId="5F557577">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13.4 对技术复杂的货物及服务</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甲方可请国家认可的专业检测机构参与初步验收及最终验收</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并由其出具质量检测报告。</w:t>
      </w:r>
    </w:p>
    <w:p w14:paraId="6F6311A5">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13.5 验收时乙方必须在现场</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验收完毕后作出验收结果报告；验收费用由甲乙双方协商解决。</w:t>
      </w:r>
    </w:p>
    <w:p w14:paraId="5098F253">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十四、货物及服务包装、发运及运输</w:t>
      </w:r>
    </w:p>
    <w:p w14:paraId="79F45AC3">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14.1 乙方应在货物及服务发运前对其进行满足运输距离、防潮、防震、防锈和防破损装卸等要求包装</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以保证货物及服务安全运达甲方指定地点。</w:t>
      </w:r>
    </w:p>
    <w:p w14:paraId="74A5C869">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14.2 使用说明书、质量检验证明书、随配附件和工具以及清单一并交付甲方。</w:t>
      </w:r>
    </w:p>
    <w:p w14:paraId="0D956731">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14.3 乙方在货物及服务发运手续办理完毕后24小时内或交付到甲方48小时前通知甲方</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以准备接受交付。</w:t>
      </w:r>
    </w:p>
    <w:p w14:paraId="4637D926">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14.4 货物在交付甲方前发生的风险均由乙方负责。</w:t>
      </w:r>
    </w:p>
    <w:p w14:paraId="0F9B59AA">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14.5 货物及服务在规定的交付期限内由乙方送达甲方指定的地点视为交付</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乙方同时需通知甲方货物及服务已送达。</w:t>
      </w:r>
    </w:p>
    <w:p w14:paraId="7451BAED">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十五、违约责任</w:t>
      </w:r>
    </w:p>
    <w:p w14:paraId="2797FD8A">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15.1 甲方无正当理由拒收货物及服务的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甲方向乙方偿付拒收款项总值的百分之五违约金。</w:t>
      </w:r>
    </w:p>
    <w:p w14:paraId="11EA8C96">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15.2 甲方无故逾期验收和办理款项支付手续的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甲方应按逾期付款总额每日万分之五向乙方支付违约金。</w:t>
      </w:r>
    </w:p>
    <w:p w14:paraId="390ADB44">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15.3 乙方逾期交付货物及服务的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乙方应按逾期交付总额每日万分之五向甲方支付违约金</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由甲方从待付款项中扣除。逾期超过约定日期10个工作日不能交付的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甲方可解除本合同。乙方因逾期交付或因其他违约行为导致甲方解除合同的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乙方应向甲方支付合同总值5%的违约金</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如造成甲方损失超过违约金的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 xml:space="preserve">超出部分由乙方继续承担赔偿责任。 </w:t>
      </w:r>
    </w:p>
    <w:p w14:paraId="191C197E">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15.4 乙方所交的货物及服务数量、质量不符合合同规定及招标文件规定标准的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甲方有权拒收该货物及服务</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乙方愿意更换货物及服务但逾期交付的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按乙方逾期交付处理。乙方拒绝更换货物及服务的</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甲方可单方面解除合同。</w:t>
      </w:r>
    </w:p>
    <w:p w14:paraId="08ECAE3E">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十六、不可抗力事件处理</w:t>
      </w:r>
    </w:p>
    <w:p w14:paraId="345430C2">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16.1 在合同有效期内</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任何一方因不可抗力事件导致不能履行合同</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则合同履行期可延长</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其延长期与不可抗力影响期相同。</w:t>
      </w:r>
    </w:p>
    <w:p w14:paraId="2772C040">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16.2 不可抗力事件发生后</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应立即通知对方</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并寄送有关权威机构出具的证明。</w:t>
      </w:r>
    </w:p>
    <w:p w14:paraId="7D9C6BCE">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16.3 不可抗力事件延续120天以上</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双方应通过友好协商</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确定是否继续履行合同。</w:t>
      </w:r>
    </w:p>
    <w:p w14:paraId="1CD83291">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十七、诉讼</w:t>
      </w:r>
    </w:p>
    <w:p w14:paraId="5F3EAD0A">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17.1 双方在执行合同中所发生的一切争议</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应通过协商解决。如协商不成</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可向合同签订地法院起诉</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合同签订地在此约定为扬州市。</w:t>
      </w:r>
    </w:p>
    <w:p w14:paraId="2041C555">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bCs/>
          <w:color w:val="000000" w:themeColor="text1"/>
          <w:szCs w:val="21"/>
          <w:highlight w:val="none"/>
          <w14:textFill>
            <w14:solidFill>
              <w14:schemeClr w14:val="tx1"/>
            </w14:solidFill>
          </w14:textFill>
        </w:rPr>
        <w:t>十八、</w:t>
      </w:r>
      <w:r>
        <w:rPr>
          <w:rFonts w:hint="eastAsia" w:ascii="Times New Roman" w:hAnsi="Times New Roman" w:eastAsia="宋体" w:cs="宋体"/>
          <w:bCs/>
          <w:color w:val="000000" w:themeColor="text1"/>
          <w:highlight w:val="none"/>
          <w14:textFill>
            <w14:solidFill>
              <w14:schemeClr w14:val="tx1"/>
            </w14:solidFill>
          </w14:textFill>
        </w:rPr>
        <w:t>为落实好政府采购履约资金扶持政策</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乙方可凭政府采购合同办理融资贷款</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详见江苏政府采购网“政采贷”专栏</w:t>
      </w:r>
      <w:r>
        <w:rPr>
          <w:rFonts w:hint="eastAsia" w:ascii="Times New Roman" w:hAnsi="Times New Roman" w:eastAsia="宋体"/>
          <w:color w:val="000000" w:themeColor="text1"/>
          <w:szCs w:val="21"/>
          <w:highlight w:val="none"/>
          <w14:textFill>
            <w14:solidFill>
              <w14:schemeClr w14:val="tx1"/>
            </w14:solidFill>
          </w14:textFill>
        </w:rPr>
        <w:t>。</w:t>
      </w:r>
    </w:p>
    <w:p w14:paraId="5F2CB8A3">
      <w:pPr>
        <w:pStyle w:val="2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highlight w:val="none"/>
          <w14:textFill>
            <w14:solidFill>
              <w14:schemeClr w14:val="tx1"/>
            </w14:solidFill>
          </w14:textFill>
        </w:rPr>
      </w:pPr>
      <w:r>
        <w:rPr>
          <w:rFonts w:hint="eastAsia" w:ascii="Times New Roman" w:hAnsi="Times New Roman" w:eastAsia="宋体"/>
          <w:b/>
          <w:bCs/>
          <w:color w:val="000000" w:themeColor="text1"/>
          <w:sz w:val="21"/>
          <w:highlight w:val="none"/>
          <w14:textFill>
            <w14:solidFill>
              <w14:schemeClr w14:val="tx1"/>
            </w14:solidFill>
          </w14:textFill>
        </w:rPr>
        <w:t>十九、合同生效及其它</w:t>
      </w:r>
    </w:p>
    <w:p w14:paraId="4B488A74">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19.1 合同经双方法定代表人签章并加盖单位公章</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并经</w:t>
      </w:r>
      <w:r>
        <w:rPr>
          <w:rFonts w:hint="eastAsia" w:ascii="Times New Roman" w:hAnsi="Times New Roman"/>
          <w:color w:val="000000" w:themeColor="text1"/>
          <w:sz w:val="21"/>
          <w:highlight w:val="none"/>
          <w:lang w:eastAsia="zh-CN"/>
          <w14:textFill>
            <w14:solidFill>
              <w14:schemeClr w14:val="tx1"/>
            </w14:solidFill>
          </w14:textFill>
        </w:rPr>
        <w:t>江苏省经纬建设监理有限公司</w:t>
      </w:r>
      <w:r>
        <w:rPr>
          <w:rFonts w:hint="eastAsia" w:ascii="Times New Roman" w:hAnsi="Times New Roman" w:eastAsia="宋体"/>
          <w:color w:val="000000" w:themeColor="text1"/>
          <w:sz w:val="21"/>
          <w:highlight w:val="none"/>
          <w14:textFill>
            <w14:solidFill>
              <w14:schemeClr w14:val="tx1"/>
            </w14:solidFill>
          </w14:textFill>
        </w:rPr>
        <w:t>见证盖章后生效。</w:t>
      </w:r>
    </w:p>
    <w:p w14:paraId="0A34B908">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19.2本合同未尽事宜</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遵照《</w:t>
      </w:r>
      <w:r>
        <w:rPr>
          <w:rFonts w:hint="eastAsia" w:ascii="Times New Roman" w:hAnsi="Times New Roman" w:eastAsia="宋体"/>
          <w:color w:val="000000" w:themeColor="text1"/>
          <w:sz w:val="21"/>
          <w:highlight w:val="none"/>
          <w:lang w:val="en-US" w:eastAsia="zh-CN"/>
          <w14:textFill>
            <w14:solidFill>
              <w14:schemeClr w14:val="tx1"/>
            </w14:solidFill>
          </w14:textFill>
        </w:rPr>
        <w:t>中华人民共和国</w:t>
      </w:r>
      <w:r>
        <w:rPr>
          <w:rFonts w:hint="eastAsia" w:ascii="Times New Roman" w:hAnsi="Times New Roman" w:eastAsia="宋体"/>
          <w:color w:val="000000" w:themeColor="text1"/>
          <w:sz w:val="21"/>
          <w:highlight w:val="none"/>
          <w14:textFill>
            <w14:solidFill>
              <w14:schemeClr w14:val="tx1"/>
            </w14:solidFill>
          </w14:textFill>
        </w:rPr>
        <w:t>民法典》有关条文执行。</w:t>
      </w:r>
    </w:p>
    <w:p w14:paraId="5F942E4C">
      <w:pPr>
        <w:pStyle w:val="20"/>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19.3 本合同正本一式四份</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具有同等法律效力</w:t>
      </w:r>
      <w:r>
        <w:rPr>
          <w:rFonts w:hint="eastAsia" w:ascii="Times New Roman" w:hAnsi="Times New Roman"/>
          <w:color w:val="000000" w:themeColor="text1"/>
          <w:sz w:val="21"/>
          <w:highlight w:val="none"/>
          <w:lang w:eastAsia="zh-CN"/>
          <w14:textFill>
            <w14:solidFill>
              <w14:schemeClr w14:val="tx1"/>
            </w14:solidFill>
          </w14:textFill>
        </w:rPr>
        <w:t>，</w:t>
      </w:r>
      <w:r>
        <w:rPr>
          <w:rFonts w:hint="eastAsia" w:ascii="Times New Roman" w:hAnsi="Times New Roman" w:eastAsia="宋体"/>
          <w:color w:val="000000" w:themeColor="text1"/>
          <w:sz w:val="21"/>
          <w:highlight w:val="none"/>
          <w14:textFill>
            <w14:solidFill>
              <w14:schemeClr w14:val="tx1"/>
            </w14:solidFill>
          </w14:textFill>
        </w:rPr>
        <w:t xml:space="preserve">甲方、乙方。  </w:t>
      </w:r>
    </w:p>
    <w:tbl>
      <w:tblPr>
        <w:tblStyle w:val="39"/>
        <w:tblW w:w="8522" w:type="dxa"/>
        <w:tblInd w:w="135" w:type="dxa"/>
        <w:tblLayout w:type="fixed"/>
        <w:tblCellMar>
          <w:top w:w="0" w:type="dxa"/>
          <w:left w:w="108" w:type="dxa"/>
          <w:bottom w:w="0" w:type="dxa"/>
          <w:right w:w="108" w:type="dxa"/>
        </w:tblCellMar>
      </w:tblPr>
      <w:tblGrid>
        <w:gridCol w:w="4284"/>
        <w:gridCol w:w="4238"/>
      </w:tblGrid>
      <w:tr w14:paraId="38F63708">
        <w:tblPrEx>
          <w:tblCellMar>
            <w:top w:w="0" w:type="dxa"/>
            <w:left w:w="108" w:type="dxa"/>
            <w:bottom w:w="0" w:type="dxa"/>
            <w:right w:w="108" w:type="dxa"/>
          </w:tblCellMar>
        </w:tblPrEx>
        <w:tc>
          <w:tcPr>
            <w:tcW w:w="4284" w:type="dxa"/>
            <w:tcBorders>
              <w:top w:val="nil"/>
              <w:left w:val="nil"/>
              <w:bottom w:val="nil"/>
              <w:right w:val="nil"/>
            </w:tcBorders>
            <w:noWrap w:val="0"/>
          </w:tcPr>
          <w:p w14:paraId="2D16FA73">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甲方：</w:t>
            </w:r>
            <w:r>
              <w:rPr>
                <w:rFonts w:hint="eastAsia" w:ascii="Times New Roman" w:hAnsi="Times New Roman"/>
                <w:color w:val="000000" w:themeColor="text1"/>
                <w:sz w:val="21"/>
                <w:highlight w:val="none"/>
                <w:lang w:eastAsia="zh-CN"/>
                <w14:textFill>
                  <w14:solidFill>
                    <w14:schemeClr w14:val="tx1"/>
                  </w14:solidFill>
                </w14:textFill>
              </w:rPr>
              <w:t>扬州市检验检测中心</w:t>
            </w:r>
          </w:p>
        </w:tc>
        <w:tc>
          <w:tcPr>
            <w:tcW w:w="4238" w:type="dxa"/>
            <w:tcBorders>
              <w:top w:val="nil"/>
              <w:left w:val="nil"/>
              <w:bottom w:val="nil"/>
              <w:right w:val="nil"/>
            </w:tcBorders>
            <w:noWrap w:val="0"/>
          </w:tcPr>
          <w:p w14:paraId="2D932736">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乙方： </w:t>
            </w:r>
          </w:p>
        </w:tc>
      </w:tr>
      <w:tr w14:paraId="75768B4A">
        <w:tblPrEx>
          <w:tblCellMar>
            <w:top w:w="0" w:type="dxa"/>
            <w:left w:w="108" w:type="dxa"/>
            <w:bottom w:w="0" w:type="dxa"/>
            <w:right w:w="108" w:type="dxa"/>
          </w:tblCellMar>
        </w:tblPrEx>
        <w:tc>
          <w:tcPr>
            <w:tcW w:w="4284" w:type="dxa"/>
            <w:tcBorders>
              <w:top w:val="nil"/>
              <w:left w:val="nil"/>
              <w:bottom w:val="nil"/>
              <w:right w:val="nil"/>
            </w:tcBorders>
            <w:noWrap w:val="0"/>
          </w:tcPr>
          <w:p w14:paraId="1300BC22">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地址：</w:t>
            </w:r>
          </w:p>
        </w:tc>
        <w:tc>
          <w:tcPr>
            <w:tcW w:w="4238" w:type="dxa"/>
            <w:tcBorders>
              <w:top w:val="nil"/>
              <w:left w:val="nil"/>
              <w:bottom w:val="nil"/>
              <w:right w:val="nil"/>
            </w:tcBorders>
            <w:noWrap w:val="0"/>
          </w:tcPr>
          <w:p w14:paraId="7FE1F34E">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地址： </w:t>
            </w:r>
          </w:p>
        </w:tc>
      </w:tr>
      <w:tr w14:paraId="7DCEEAFB">
        <w:tblPrEx>
          <w:tblCellMar>
            <w:top w:w="0" w:type="dxa"/>
            <w:left w:w="108" w:type="dxa"/>
            <w:bottom w:w="0" w:type="dxa"/>
            <w:right w:w="108" w:type="dxa"/>
          </w:tblCellMar>
        </w:tblPrEx>
        <w:tc>
          <w:tcPr>
            <w:tcW w:w="4284" w:type="dxa"/>
            <w:tcBorders>
              <w:top w:val="nil"/>
              <w:left w:val="nil"/>
              <w:bottom w:val="nil"/>
              <w:right w:val="nil"/>
            </w:tcBorders>
            <w:noWrap w:val="0"/>
          </w:tcPr>
          <w:p w14:paraId="319A4685">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法定代表人或授权代表：</w:t>
            </w:r>
          </w:p>
        </w:tc>
        <w:tc>
          <w:tcPr>
            <w:tcW w:w="4238" w:type="dxa"/>
            <w:tcBorders>
              <w:top w:val="nil"/>
              <w:left w:val="nil"/>
              <w:bottom w:val="nil"/>
              <w:right w:val="nil"/>
            </w:tcBorders>
            <w:noWrap w:val="0"/>
          </w:tcPr>
          <w:p w14:paraId="278DA4D3">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法定代表人或授权代表：</w:t>
            </w:r>
          </w:p>
        </w:tc>
      </w:tr>
      <w:tr w14:paraId="07C82C44">
        <w:tblPrEx>
          <w:tblCellMar>
            <w:top w:w="0" w:type="dxa"/>
            <w:left w:w="108" w:type="dxa"/>
            <w:bottom w:w="0" w:type="dxa"/>
            <w:right w:w="108" w:type="dxa"/>
          </w:tblCellMar>
        </w:tblPrEx>
        <w:tc>
          <w:tcPr>
            <w:tcW w:w="4284" w:type="dxa"/>
            <w:tcBorders>
              <w:top w:val="nil"/>
              <w:left w:val="nil"/>
              <w:bottom w:val="nil"/>
              <w:right w:val="nil"/>
            </w:tcBorders>
            <w:noWrap w:val="0"/>
          </w:tcPr>
          <w:p w14:paraId="59800C47">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联系电话：</w:t>
            </w:r>
          </w:p>
        </w:tc>
        <w:tc>
          <w:tcPr>
            <w:tcW w:w="4238" w:type="dxa"/>
            <w:tcBorders>
              <w:top w:val="nil"/>
              <w:left w:val="nil"/>
              <w:bottom w:val="nil"/>
              <w:right w:val="nil"/>
            </w:tcBorders>
            <w:noWrap w:val="0"/>
          </w:tcPr>
          <w:p w14:paraId="6D121C1A">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联系电话：</w:t>
            </w:r>
          </w:p>
        </w:tc>
      </w:tr>
      <w:tr w14:paraId="679C9CBE">
        <w:tblPrEx>
          <w:tblCellMar>
            <w:top w:w="0" w:type="dxa"/>
            <w:left w:w="108" w:type="dxa"/>
            <w:bottom w:w="0" w:type="dxa"/>
            <w:right w:w="108" w:type="dxa"/>
          </w:tblCellMar>
        </w:tblPrEx>
        <w:tc>
          <w:tcPr>
            <w:tcW w:w="4284" w:type="dxa"/>
            <w:tcBorders>
              <w:top w:val="nil"/>
              <w:left w:val="nil"/>
              <w:bottom w:val="nil"/>
              <w:right w:val="nil"/>
            </w:tcBorders>
            <w:noWrap w:val="0"/>
          </w:tcPr>
          <w:p w14:paraId="09CB753C">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 xml:space="preserve">日期：      年    月    日  </w:t>
            </w:r>
          </w:p>
        </w:tc>
        <w:tc>
          <w:tcPr>
            <w:tcW w:w="4238" w:type="dxa"/>
            <w:tcBorders>
              <w:top w:val="nil"/>
              <w:left w:val="nil"/>
              <w:bottom w:val="nil"/>
              <w:right w:val="nil"/>
            </w:tcBorders>
            <w:noWrap w:val="0"/>
          </w:tcPr>
          <w:p w14:paraId="38C5ADAD">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日期：      年    月    日</w:t>
            </w:r>
          </w:p>
          <w:p w14:paraId="06A69D61">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lang w:eastAsia="zh-CN"/>
                <w14:textFill>
                  <w14:solidFill>
                    <w14:schemeClr w14:val="tx1"/>
                  </w14:solidFill>
                </w14:textFill>
              </w:rPr>
            </w:pPr>
          </w:p>
        </w:tc>
      </w:tr>
      <w:tr w14:paraId="75BF39A5">
        <w:tblPrEx>
          <w:tblCellMar>
            <w:top w:w="0" w:type="dxa"/>
            <w:left w:w="108" w:type="dxa"/>
            <w:bottom w:w="0" w:type="dxa"/>
            <w:right w:w="108" w:type="dxa"/>
          </w:tblCellMar>
        </w:tblPrEx>
        <w:tc>
          <w:tcPr>
            <w:tcW w:w="4284" w:type="dxa"/>
            <w:tcBorders>
              <w:top w:val="nil"/>
              <w:left w:val="nil"/>
              <w:bottom w:val="nil"/>
              <w:right w:val="nil"/>
            </w:tcBorders>
            <w:noWrap w:val="0"/>
          </w:tcPr>
          <w:p w14:paraId="689548B7">
            <w:pPr>
              <w:pStyle w:val="20"/>
              <w:pageBreakBefore w:val="0"/>
              <w:kinsoku/>
              <w:wordWrap/>
              <w:overflowPunct/>
              <w:topLinePunct w:val="0"/>
              <w:autoSpaceDE/>
              <w:autoSpaceDN/>
              <w:bidi w:val="0"/>
              <w:spacing w:line="360" w:lineRule="auto"/>
              <w:textAlignment w:val="auto"/>
              <w:rPr>
                <w:rFonts w:hint="eastAsia" w:ascii="Times New Roman" w:hAnsi="Times New Roman"/>
                <w:color w:val="000000" w:themeColor="text1"/>
                <w:sz w:val="21"/>
                <w:highlight w:val="none"/>
                <w:lang w:eastAsia="zh-CN"/>
                <w14:textFill>
                  <w14:solidFill>
                    <w14:schemeClr w14:val="tx1"/>
                  </w14:solidFill>
                </w14:textFill>
              </w:rPr>
            </w:pPr>
            <w:r>
              <w:rPr>
                <w:rFonts w:hint="eastAsia" w:ascii="Times New Roman" w:hAnsi="Times New Roman"/>
                <w:color w:val="000000" w:themeColor="text1"/>
                <w:sz w:val="21"/>
                <w:highlight w:val="none"/>
                <w:lang w:eastAsia="zh-CN"/>
                <w14:textFill>
                  <w14:solidFill>
                    <w14:schemeClr w14:val="tx1"/>
                  </w14:solidFill>
                </w14:textFill>
              </w:rPr>
              <w:t>见证方：江苏省经纬建设监理有限公司</w:t>
            </w:r>
          </w:p>
          <w:p w14:paraId="282713E2">
            <w:pPr>
              <w:pStyle w:val="20"/>
              <w:pageBreakBefore w:val="0"/>
              <w:kinsoku/>
              <w:wordWrap/>
              <w:overflowPunct/>
              <w:topLinePunct w:val="0"/>
              <w:autoSpaceDE/>
              <w:autoSpaceDN/>
              <w:bidi w:val="0"/>
              <w:spacing w:line="360" w:lineRule="auto"/>
              <w:textAlignment w:val="auto"/>
              <w:rPr>
                <w:rFonts w:hint="eastAsia" w:ascii="Times New Roman" w:hAnsi="Times New Roman"/>
                <w:color w:val="000000" w:themeColor="text1"/>
                <w:sz w:val="21"/>
                <w:highlight w:val="none"/>
                <w:lang w:eastAsia="zh-CN"/>
                <w14:textFill>
                  <w14:solidFill>
                    <w14:schemeClr w14:val="tx1"/>
                  </w14:solidFill>
                </w14:textFill>
              </w:rPr>
            </w:pPr>
            <w:r>
              <w:rPr>
                <w:rFonts w:hint="eastAsia" w:ascii="Times New Roman" w:hAnsi="Times New Roman" w:eastAsia="宋体"/>
                <w:color w:val="000000" w:themeColor="text1"/>
                <w:sz w:val="21"/>
                <w:highlight w:val="none"/>
                <w14:textFill>
                  <w14:solidFill>
                    <w14:schemeClr w14:val="tx1"/>
                  </w14:solidFill>
                </w14:textFill>
              </w:rPr>
              <w:t>日期：      年    月    日</w:t>
            </w:r>
          </w:p>
        </w:tc>
        <w:tc>
          <w:tcPr>
            <w:tcW w:w="4238" w:type="dxa"/>
            <w:tcBorders>
              <w:top w:val="nil"/>
              <w:left w:val="nil"/>
              <w:bottom w:val="nil"/>
              <w:right w:val="nil"/>
            </w:tcBorders>
            <w:noWrap w:val="0"/>
          </w:tcPr>
          <w:p w14:paraId="3A91E48E">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p>
        </w:tc>
      </w:tr>
      <w:tr w14:paraId="26A4A1AD">
        <w:tblPrEx>
          <w:tblCellMar>
            <w:top w:w="0" w:type="dxa"/>
            <w:left w:w="108" w:type="dxa"/>
            <w:bottom w:w="0" w:type="dxa"/>
            <w:right w:w="108" w:type="dxa"/>
          </w:tblCellMar>
        </w:tblPrEx>
        <w:tc>
          <w:tcPr>
            <w:tcW w:w="4284" w:type="dxa"/>
            <w:tcBorders>
              <w:top w:val="nil"/>
              <w:left w:val="nil"/>
              <w:bottom w:val="nil"/>
              <w:right w:val="nil"/>
            </w:tcBorders>
            <w:noWrap w:val="0"/>
          </w:tcPr>
          <w:p w14:paraId="4A3DA81A">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p>
        </w:tc>
        <w:tc>
          <w:tcPr>
            <w:tcW w:w="4238" w:type="dxa"/>
            <w:tcBorders>
              <w:top w:val="nil"/>
              <w:left w:val="nil"/>
              <w:bottom w:val="nil"/>
              <w:right w:val="nil"/>
            </w:tcBorders>
            <w:noWrap w:val="0"/>
          </w:tcPr>
          <w:p w14:paraId="02A351AC">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p>
        </w:tc>
      </w:tr>
      <w:tr w14:paraId="67605811">
        <w:tblPrEx>
          <w:tblCellMar>
            <w:top w:w="0" w:type="dxa"/>
            <w:left w:w="108" w:type="dxa"/>
            <w:bottom w:w="0" w:type="dxa"/>
            <w:right w:w="108" w:type="dxa"/>
          </w:tblCellMar>
        </w:tblPrEx>
        <w:tc>
          <w:tcPr>
            <w:tcW w:w="4284" w:type="dxa"/>
            <w:tcBorders>
              <w:top w:val="nil"/>
              <w:left w:val="nil"/>
              <w:bottom w:val="nil"/>
              <w:right w:val="nil"/>
            </w:tcBorders>
            <w:noWrap w:val="0"/>
          </w:tcPr>
          <w:p w14:paraId="39E0B377">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p>
        </w:tc>
        <w:tc>
          <w:tcPr>
            <w:tcW w:w="4238" w:type="dxa"/>
            <w:tcBorders>
              <w:top w:val="nil"/>
              <w:left w:val="nil"/>
              <w:bottom w:val="nil"/>
              <w:right w:val="nil"/>
            </w:tcBorders>
            <w:noWrap w:val="0"/>
          </w:tcPr>
          <w:p w14:paraId="0F6E2039">
            <w:pPr>
              <w:pStyle w:val="20"/>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highlight w:val="none"/>
                <w14:textFill>
                  <w14:solidFill>
                    <w14:schemeClr w14:val="tx1"/>
                  </w14:solidFill>
                </w14:textFill>
              </w:rPr>
            </w:pPr>
          </w:p>
        </w:tc>
      </w:tr>
    </w:tbl>
    <w:p w14:paraId="437473E1">
      <w:pPr>
        <w:pStyle w:val="2"/>
        <w:pageBreakBefore w:val="0"/>
        <w:numPr>
          <w:ilvl w:val="0"/>
          <w:numId w:val="0"/>
        </w:numPr>
        <w:kinsoku/>
        <w:wordWrap/>
        <w:overflowPunct/>
        <w:topLinePunct w:val="0"/>
        <w:autoSpaceDE/>
        <w:autoSpaceDN/>
        <w:bidi w:val="0"/>
        <w:spacing w:line="360" w:lineRule="auto"/>
        <w:textAlignment w:val="auto"/>
        <w:rPr>
          <w:rFonts w:hint="eastAsia" w:ascii="Times New Roman" w:hAnsi="Times New Roman" w:eastAsia="宋体" w:cs="Arial"/>
          <w:b/>
          <w:color w:val="000000" w:themeColor="text1"/>
          <w:sz w:val="30"/>
          <w:szCs w:val="40"/>
          <w:highlight w:val="none"/>
          <w:lang w:val="en-US" w:eastAsia="zh-CN" w:bidi="ar-SA"/>
          <w14:textFill>
            <w14:solidFill>
              <w14:schemeClr w14:val="tx1"/>
            </w14:solidFill>
          </w14:textFill>
        </w:rPr>
        <w:sectPr>
          <w:footerReference r:id="rId5" w:type="default"/>
          <w:pgSz w:w="11906" w:h="16838"/>
          <w:pgMar w:top="1440" w:right="1800" w:bottom="1440" w:left="1800" w:header="851" w:footer="992" w:gutter="0"/>
          <w:pgNumType w:start="1"/>
          <w:cols w:space="1701" w:num="1"/>
          <w:docGrid w:linePitch="360" w:charSpace="0"/>
        </w:sectPr>
      </w:pPr>
    </w:p>
    <w:p w14:paraId="6EDFCACE">
      <w:pPr>
        <w:pStyle w:val="2"/>
        <w:pageBreakBefore w:val="0"/>
        <w:numPr>
          <w:ilvl w:val="0"/>
          <w:numId w:val="0"/>
        </w:numPr>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bookmarkStart w:id="77" w:name="_Toc31443"/>
      <w:bookmarkStart w:id="78" w:name="_Toc4495"/>
      <w:r>
        <w:rPr>
          <w:rFonts w:hint="eastAsia" w:ascii="Times New Roman" w:hAnsi="Times New Roman" w:eastAsia="宋体" w:cs="Arial"/>
          <w:b/>
          <w:color w:val="000000" w:themeColor="text1"/>
          <w:sz w:val="30"/>
          <w:szCs w:val="40"/>
          <w:highlight w:val="none"/>
          <w:lang w:val="en-US" w:eastAsia="zh-CN" w:bidi="ar-SA"/>
          <w14:textFill>
            <w14:solidFill>
              <w14:schemeClr w14:val="tx1"/>
            </w14:solidFill>
          </w14:textFill>
        </w:rPr>
        <w:t xml:space="preserve">第四章 </w:t>
      </w:r>
      <w:r>
        <w:rPr>
          <w:rFonts w:hint="eastAsia" w:ascii="Times New Roman" w:hAnsi="Times New Roman" w:eastAsia="宋体"/>
          <w:color w:val="000000" w:themeColor="text1"/>
          <w:highlight w:val="none"/>
          <w14:textFill>
            <w14:solidFill>
              <w14:schemeClr w14:val="tx1"/>
            </w14:solidFill>
          </w14:textFill>
        </w:rPr>
        <w:t>项目需求</w:t>
      </w:r>
      <w:bookmarkEnd w:id="73"/>
      <w:bookmarkEnd w:id="74"/>
      <w:bookmarkEnd w:id="75"/>
      <w:bookmarkEnd w:id="76"/>
      <w:bookmarkEnd w:id="77"/>
      <w:bookmarkEnd w:id="78"/>
    </w:p>
    <w:p w14:paraId="34987184">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bCs/>
          <w:color w:val="000000" w:themeColor="text1"/>
          <w:highlight w:val="none"/>
          <w14:textFill>
            <w14:solidFill>
              <w14:schemeClr w14:val="tx1"/>
            </w14:solidFill>
          </w14:textFill>
        </w:rPr>
      </w:pPr>
      <w:bookmarkStart w:id="79" w:name="_Toc319408306"/>
      <w:bookmarkStart w:id="80" w:name="_Toc55204181"/>
      <w:r>
        <w:rPr>
          <w:rFonts w:hint="eastAsia" w:ascii="Times New Roman" w:hAnsi="Times New Roman" w:eastAsia="宋体" w:cs="宋体"/>
          <w:b/>
          <w:bCs/>
          <w:color w:val="000000" w:themeColor="text1"/>
          <w:highlight w:val="none"/>
          <w14:textFill>
            <w14:solidFill>
              <w14:schemeClr w14:val="tx1"/>
            </w14:solidFill>
          </w14:textFill>
        </w:rPr>
        <w:t>注：本章内容</w:t>
      </w:r>
      <w:r>
        <w:rPr>
          <w:rFonts w:hint="eastAsia" w:ascii="Times New Roman" w:hAnsi="Times New Roman" w:eastAsia="宋体" w:cs="宋体"/>
          <w:b/>
          <w:bCs/>
          <w:color w:val="000000" w:themeColor="text1"/>
          <w:highlight w:val="none"/>
          <w:lang w:eastAsia="zh-CN"/>
          <w14:textFill>
            <w14:solidFill>
              <w14:schemeClr w14:val="tx1"/>
            </w14:solidFill>
          </w14:textFill>
        </w:rPr>
        <w:t>中</w:t>
      </w:r>
      <w:r>
        <w:rPr>
          <w:rFonts w:hint="eastAsia" w:ascii="Times New Roman" w:hAnsi="Times New Roman" w:eastAsia="宋体" w:cs="宋体"/>
          <w:b/>
          <w:bCs/>
          <w:color w:val="000000" w:themeColor="text1"/>
          <w:highlight w:val="none"/>
          <w14:textFill>
            <w14:solidFill>
              <w14:schemeClr w14:val="tx1"/>
            </w14:solidFill>
          </w14:textFill>
        </w:rPr>
        <w:t>斜体且有下划线部分为实质性要求和条件</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投标文件不满足的</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视为无效投标处理。请各供应商制作电子投标文件时</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将实质性响应的内容在政府采购管理交易系统（苏采云）“符合证明文件格式”中准确填写或上传。</w:t>
      </w:r>
    </w:p>
    <w:p w14:paraId="44021A40">
      <w:pPr>
        <w:pageBreakBefore w:val="0"/>
        <w:kinsoku/>
        <w:wordWrap/>
        <w:overflowPunct/>
        <w:topLinePunct w:val="0"/>
        <w:autoSpaceDE/>
        <w:autoSpaceDN/>
        <w:bidi w:val="0"/>
        <w:spacing w:line="360" w:lineRule="auto"/>
        <w:ind w:firstLine="422"/>
        <w:contextualSpacing/>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以下技术参数内容为参考标准</w:t>
      </w:r>
      <w:r>
        <w:rPr>
          <w:rFonts w:hint="eastAsia" w:ascii="Times New Roman" w:hAnsi="Times New Roman" w:cs="宋体"/>
          <w:b/>
          <w:color w:val="000000" w:themeColor="text1"/>
          <w:szCs w:val="21"/>
          <w:highlight w:val="none"/>
          <w:lang w:eastAsia="zh-CN"/>
          <w14:textFill>
            <w14:solidFill>
              <w14:schemeClr w14:val="tx1"/>
            </w14:solidFill>
          </w14:textFill>
        </w:rPr>
        <w:t>，</w:t>
      </w:r>
      <w:r>
        <w:rPr>
          <w:rFonts w:hint="eastAsia" w:ascii="Times New Roman" w:hAnsi="Times New Roman" w:eastAsia="宋体" w:cs="宋体"/>
          <w:b/>
          <w:color w:val="000000" w:themeColor="text1"/>
          <w:szCs w:val="21"/>
          <w:highlight w:val="none"/>
          <w14:textFill>
            <w14:solidFill>
              <w14:schemeClr w14:val="tx1"/>
            </w14:solidFill>
          </w14:textFill>
        </w:rPr>
        <w:t>投标人应根据自身产品实际情况提供满足使用需求、性能等于或高于以下技术参数标准的产品。如在各技术参数中仅为某一品牌或型号所有的</w:t>
      </w:r>
      <w:r>
        <w:rPr>
          <w:rFonts w:hint="eastAsia" w:ascii="Times New Roman" w:hAnsi="Times New Roman" w:cs="宋体"/>
          <w:b/>
          <w:color w:val="000000" w:themeColor="text1"/>
          <w:szCs w:val="21"/>
          <w:highlight w:val="none"/>
          <w:lang w:eastAsia="zh-CN"/>
          <w14:textFill>
            <w14:solidFill>
              <w14:schemeClr w14:val="tx1"/>
            </w14:solidFill>
          </w14:textFill>
        </w:rPr>
        <w:t>，</w:t>
      </w:r>
      <w:r>
        <w:rPr>
          <w:rFonts w:hint="eastAsia" w:ascii="Times New Roman" w:hAnsi="Times New Roman" w:eastAsia="宋体" w:cs="宋体"/>
          <w:b/>
          <w:color w:val="000000" w:themeColor="text1"/>
          <w:szCs w:val="21"/>
          <w:highlight w:val="none"/>
          <w14:textFill>
            <w14:solidFill>
              <w14:schemeClr w14:val="tx1"/>
            </w14:solidFill>
          </w14:textFill>
        </w:rPr>
        <w:t>仅起说明作用</w:t>
      </w:r>
      <w:r>
        <w:rPr>
          <w:rFonts w:hint="eastAsia" w:ascii="Times New Roman" w:hAnsi="Times New Roman" w:cs="宋体"/>
          <w:b/>
          <w:color w:val="000000" w:themeColor="text1"/>
          <w:szCs w:val="21"/>
          <w:highlight w:val="none"/>
          <w:lang w:eastAsia="zh-CN"/>
          <w14:textFill>
            <w14:solidFill>
              <w14:schemeClr w14:val="tx1"/>
            </w14:solidFill>
          </w14:textFill>
        </w:rPr>
        <w:t>，</w:t>
      </w:r>
      <w:r>
        <w:rPr>
          <w:rFonts w:hint="eastAsia" w:ascii="Times New Roman" w:hAnsi="Times New Roman" w:eastAsia="宋体" w:cs="宋体"/>
          <w:b/>
          <w:color w:val="000000" w:themeColor="text1"/>
          <w:szCs w:val="21"/>
          <w:highlight w:val="none"/>
          <w14:textFill>
            <w14:solidFill>
              <w14:schemeClr w14:val="tx1"/>
            </w14:solidFill>
          </w14:textFill>
        </w:rPr>
        <w:t>并没有任何限制性</w:t>
      </w:r>
      <w:r>
        <w:rPr>
          <w:rFonts w:hint="eastAsia" w:ascii="Times New Roman" w:hAnsi="Times New Roman" w:cs="宋体"/>
          <w:b/>
          <w:color w:val="000000" w:themeColor="text1"/>
          <w:szCs w:val="21"/>
          <w:highlight w:val="none"/>
          <w:lang w:eastAsia="zh-CN"/>
          <w14:textFill>
            <w14:solidFill>
              <w14:schemeClr w14:val="tx1"/>
            </w14:solidFill>
          </w14:textFill>
        </w:rPr>
        <w:t>，</w:t>
      </w:r>
      <w:r>
        <w:rPr>
          <w:rFonts w:hint="eastAsia" w:ascii="Times New Roman" w:hAnsi="Times New Roman" w:eastAsia="宋体" w:cs="宋体"/>
          <w:b/>
          <w:color w:val="000000" w:themeColor="text1"/>
          <w:szCs w:val="21"/>
          <w:highlight w:val="none"/>
          <w14:textFill>
            <w14:solidFill>
              <w14:schemeClr w14:val="tx1"/>
            </w14:solidFill>
          </w14:textFill>
        </w:rPr>
        <w:t>投标人可以选用替代标准。</w:t>
      </w:r>
    </w:p>
    <w:p w14:paraId="3BF1C388">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b/>
          <w:bCs/>
          <w:color w:val="000000" w:themeColor="text1"/>
          <w:sz w:val="21"/>
          <w:szCs w:val="21"/>
          <w:highlight w:val="none"/>
          <w14:textFill>
            <w14:solidFill>
              <w14:schemeClr w14:val="tx1"/>
            </w14:solidFill>
          </w14:textFill>
        </w:rPr>
      </w:pPr>
      <w:r>
        <w:rPr>
          <w:rFonts w:hint="eastAsia" w:ascii="Times New Roman" w:hAnsi="Times New Roman" w:eastAsia="宋体"/>
          <w:b/>
          <w:bCs/>
          <w:color w:val="000000" w:themeColor="text1"/>
          <w:sz w:val="21"/>
          <w:szCs w:val="21"/>
          <w:highlight w:val="none"/>
          <w14:textFill>
            <w14:solidFill>
              <w14:schemeClr w14:val="tx1"/>
            </w14:solidFill>
          </w14:textFill>
        </w:rPr>
        <w:t>项目属性</w:t>
      </w:r>
      <w:r>
        <w:rPr>
          <w:rFonts w:hint="eastAsia" w:ascii="Times New Roman" w:hAnsi="Times New Roman"/>
          <w:b/>
          <w:bCs/>
          <w:color w:val="000000" w:themeColor="text1"/>
          <w:sz w:val="21"/>
          <w:szCs w:val="21"/>
          <w:highlight w:val="none"/>
          <w:lang w:eastAsia="zh-CN"/>
          <w14:textFill>
            <w14:solidFill>
              <w14:schemeClr w14:val="tx1"/>
            </w14:solidFill>
          </w14:textFill>
        </w:rPr>
        <w:t>：</w:t>
      </w:r>
      <w:r>
        <w:rPr>
          <w:rFonts w:hint="eastAsia" w:ascii="Times New Roman" w:hAnsi="Times New Roman" w:eastAsia="宋体"/>
          <w:b/>
          <w:bCs/>
          <w:color w:val="000000" w:themeColor="text1"/>
          <w:sz w:val="21"/>
          <w:szCs w:val="21"/>
          <w:highlight w:val="none"/>
          <w14:textFill>
            <w14:solidFill>
              <w14:schemeClr w14:val="tx1"/>
            </w14:solidFill>
          </w14:textFill>
        </w:rPr>
        <w:t>货物类项目</w:t>
      </w:r>
    </w:p>
    <w:p w14:paraId="40BE608E">
      <w:pPr>
        <w:pStyle w:val="16"/>
        <w:keepNext w:val="0"/>
        <w:keepLines w:val="0"/>
        <w:pageBreakBefore w:val="0"/>
        <w:widowControl w:val="0"/>
        <w:kinsoku/>
        <w:wordWrap/>
        <w:overflowPunct/>
        <w:topLinePunct w:val="0"/>
        <w:autoSpaceDE/>
        <w:autoSpaceDN/>
        <w:bidi w:val="0"/>
        <w:spacing w:after="0" w:line="360" w:lineRule="auto"/>
        <w:ind w:left="0" w:firstLine="422"/>
        <w:textAlignment w:val="auto"/>
        <w:outlineLvl w:val="1"/>
        <w:rPr>
          <w:rFonts w:hint="eastAsia" w:ascii="Times New Roman" w:hAnsi="Times New Roman" w:eastAsia="宋体" w:cs="宋体"/>
          <w:b/>
          <w:bCs/>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b/>
          <w:bCs/>
          <w:color w:val="000000" w:themeColor="text1"/>
          <w:sz w:val="21"/>
          <w:szCs w:val="21"/>
          <w:highlight w:val="none"/>
          <w:lang w:eastAsia="zh-CN"/>
          <w14:textFill>
            <w14:solidFill>
              <w14:schemeClr w14:val="tx1"/>
            </w14:solidFill>
          </w14:textFill>
        </w:rPr>
        <w:t>一、采购清单：</w:t>
      </w:r>
    </w:p>
    <w:tbl>
      <w:tblPr>
        <w:tblStyle w:val="39"/>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17"/>
        <w:gridCol w:w="2903"/>
        <w:gridCol w:w="835"/>
        <w:gridCol w:w="1246"/>
        <w:gridCol w:w="1132"/>
        <w:gridCol w:w="904"/>
      </w:tblGrid>
      <w:tr w14:paraId="54FD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686" w:type="pct"/>
            <w:shd w:val="clear" w:color="auto" w:fill="auto"/>
            <w:noWrap w:val="0"/>
            <w:tcMar>
              <w:top w:w="0" w:type="dxa"/>
              <w:left w:w="108" w:type="dxa"/>
              <w:bottom w:w="0" w:type="dxa"/>
              <w:right w:w="108" w:type="dxa"/>
            </w:tcMar>
            <w:vAlign w:val="center"/>
          </w:tcPr>
          <w:p w14:paraId="57610D2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包号</w:t>
            </w:r>
          </w:p>
        </w:tc>
        <w:tc>
          <w:tcPr>
            <w:tcW w:w="1783" w:type="pct"/>
            <w:shd w:val="clear" w:color="auto" w:fill="auto"/>
            <w:noWrap w:val="0"/>
            <w:tcMar>
              <w:top w:w="0" w:type="dxa"/>
              <w:left w:w="108" w:type="dxa"/>
              <w:bottom w:w="0" w:type="dxa"/>
              <w:right w:w="108" w:type="dxa"/>
            </w:tcMar>
            <w:vAlign w:val="center"/>
          </w:tcPr>
          <w:p w14:paraId="374519E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513" w:type="pct"/>
            <w:shd w:val="clear" w:color="auto" w:fill="auto"/>
            <w:noWrap w:val="0"/>
            <w:tcMar>
              <w:top w:w="0" w:type="dxa"/>
              <w:left w:w="108" w:type="dxa"/>
              <w:bottom w:w="0" w:type="dxa"/>
              <w:right w:w="108" w:type="dxa"/>
            </w:tcMar>
            <w:vAlign w:val="center"/>
          </w:tcPr>
          <w:p w14:paraId="6F6F80E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tc>
        <w:tc>
          <w:tcPr>
            <w:tcW w:w="765" w:type="pct"/>
            <w:shd w:val="clear" w:color="auto" w:fill="auto"/>
            <w:noWrap w:val="0"/>
            <w:tcMar>
              <w:top w:w="0" w:type="dxa"/>
              <w:left w:w="108" w:type="dxa"/>
              <w:bottom w:w="0" w:type="dxa"/>
              <w:right w:w="108" w:type="dxa"/>
            </w:tcMar>
            <w:vAlign w:val="center"/>
          </w:tcPr>
          <w:p w14:paraId="0886A22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预算金额（万元）</w:t>
            </w:r>
          </w:p>
        </w:tc>
        <w:tc>
          <w:tcPr>
            <w:tcW w:w="695" w:type="pct"/>
            <w:shd w:val="clear" w:color="auto" w:fill="auto"/>
            <w:noWrap w:val="0"/>
            <w:vAlign w:val="center"/>
          </w:tcPr>
          <w:p w14:paraId="15C5075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最高限价（万元）</w:t>
            </w:r>
          </w:p>
        </w:tc>
        <w:tc>
          <w:tcPr>
            <w:tcW w:w="555" w:type="pct"/>
            <w:shd w:val="clear" w:color="auto" w:fill="auto"/>
            <w:noWrap w:val="0"/>
            <w:vAlign w:val="center"/>
          </w:tcPr>
          <w:p w14:paraId="15EDDBB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1C62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shd w:val="clear" w:color="auto" w:fill="auto"/>
            <w:noWrap w:val="0"/>
            <w:tcMar>
              <w:top w:w="0" w:type="dxa"/>
              <w:left w:w="108" w:type="dxa"/>
              <w:bottom w:w="0" w:type="dxa"/>
              <w:right w:w="108" w:type="dxa"/>
            </w:tcMar>
            <w:vAlign w:val="center"/>
          </w:tcPr>
          <w:p w14:paraId="4DF61D5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903" w:type="dxa"/>
            <w:shd w:val="clear" w:color="auto" w:fill="auto"/>
            <w:noWrap w:val="0"/>
            <w:tcMar>
              <w:top w:w="0" w:type="dxa"/>
              <w:left w:w="108" w:type="dxa"/>
              <w:bottom w:w="0" w:type="dxa"/>
              <w:right w:w="108" w:type="dxa"/>
            </w:tcMar>
            <w:vAlign w:val="center"/>
          </w:tcPr>
          <w:p w14:paraId="0ED0AAD1">
            <w:pPr>
              <w:keepNext w:val="0"/>
              <w:keepLines w:val="0"/>
              <w:pageBreakBefore w:val="0"/>
              <w:widowControl/>
              <w:suppressLineNumbers w:val="0"/>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全自动凯氏定氮仪</w:t>
            </w:r>
          </w:p>
        </w:tc>
        <w:tc>
          <w:tcPr>
            <w:tcW w:w="513" w:type="pct"/>
            <w:shd w:val="clear" w:color="auto" w:fill="auto"/>
            <w:noWrap w:val="0"/>
            <w:tcMar>
              <w:top w:w="0" w:type="dxa"/>
              <w:left w:w="108" w:type="dxa"/>
              <w:bottom w:w="0" w:type="dxa"/>
              <w:right w:w="108" w:type="dxa"/>
            </w:tcMar>
            <w:vAlign w:val="center"/>
          </w:tcPr>
          <w:p w14:paraId="3EF69FD7">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1</w:t>
            </w:r>
          </w:p>
        </w:tc>
        <w:tc>
          <w:tcPr>
            <w:tcW w:w="1246" w:type="dxa"/>
            <w:shd w:val="clear" w:color="auto" w:fill="auto"/>
            <w:noWrap w:val="0"/>
            <w:tcMar>
              <w:top w:w="0" w:type="dxa"/>
              <w:left w:w="108" w:type="dxa"/>
              <w:bottom w:w="0" w:type="dxa"/>
              <w:right w:w="108" w:type="dxa"/>
            </w:tcMar>
            <w:vAlign w:val="center"/>
          </w:tcPr>
          <w:p w14:paraId="7A63E5BD">
            <w:pPr>
              <w:keepNext w:val="0"/>
              <w:keepLines w:val="0"/>
              <w:pageBreakBefore w:val="0"/>
              <w:widowControl/>
              <w:suppressLineNumbers w:val="0"/>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26</w:t>
            </w:r>
          </w:p>
        </w:tc>
        <w:tc>
          <w:tcPr>
            <w:tcW w:w="1132" w:type="dxa"/>
            <w:shd w:val="clear" w:color="auto" w:fill="auto"/>
            <w:noWrap w:val="0"/>
            <w:vAlign w:val="center"/>
          </w:tcPr>
          <w:p w14:paraId="2E129B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26</w:t>
            </w:r>
          </w:p>
        </w:tc>
        <w:tc>
          <w:tcPr>
            <w:tcW w:w="555" w:type="pct"/>
            <w:shd w:val="clear" w:color="auto" w:fill="auto"/>
            <w:noWrap w:val="0"/>
            <w:vAlign w:val="center"/>
          </w:tcPr>
          <w:p w14:paraId="173F63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核心</w:t>
            </w:r>
          </w:p>
          <w:p w14:paraId="45A481B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产品</w:t>
            </w:r>
          </w:p>
        </w:tc>
      </w:tr>
      <w:tr w14:paraId="16AA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tcMar>
              <w:top w:w="0" w:type="dxa"/>
              <w:left w:w="108" w:type="dxa"/>
              <w:bottom w:w="0" w:type="dxa"/>
              <w:right w:w="108" w:type="dxa"/>
            </w:tcMar>
            <w:vAlign w:val="center"/>
          </w:tcPr>
          <w:p w14:paraId="603A12A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tcMar>
              <w:top w:w="0" w:type="dxa"/>
              <w:left w:w="108" w:type="dxa"/>
              <w:bottom w:w="0" w:type="dxa"/>
              <w:right w:w="108" w:type="dxa"/>
            </w:tcMar>
            <w:vAlign w:val="center"/>
          </w:tcPr>
          <w:p w14:paraId="3EC36184">
            <w:pPr>
              <w:keepNext w:val="0"/>
              <w:keepLines w:val="0"/>
              <w:pageBreakBefore w:val="0"/>
              <w:widowControl/>
              <w:suppressLineNumbers w:val="0"/>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脂肪测定仪</w:t>
            </w:r>
          </w:p>
        </w:tc>
        <w:tc>
          <w:tcPr>
            <w:tcW w:w="513" w:type="pct"/>
            <w:shd w:val="clear" w:color="auto" w:fill="auto"/>
            <w:noWrap w:val="0"/>
            <w:tcMar>
              <w:top w:w="0" w:type="dxa"/>
              <w:left w:w="108" w:type="dxa"/>
              <w:bottom w:w="0" w:type="dxa"/>
              <w:right w:w="108" w:type="dxa"/>
            </w:tcMar>
            <w:vAlign w:val="center"/>
          </w:tcPr>
          <w:p w14:paraId="479BDA54">
            <w:pPr>
              <w:keepNext w:val="0"/>
              <w:keepLines w:val="0"/>
              <w:pageBreakBefore w:val="0"/>
              <w:widowControl/>
              <w:suppressLineNumbers w:val="0"/>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1</w:t>
            </w:r>
          </w:p>
        </w:tc>
        <w:tc>
          <w:tcPr>
            <w:tcW w:w="1246" w:type="dxa"/>
            <w:shd w:val="clear" w:color="auto" w:fill="auto"/>
            <w:noWrap w:val="0"/>
            <w:tcMar>
              <w:top w:w="0" w:type="dxa"/>
              <w:left w:w="108" w:type="dxa"/>
              <w:bottom w:w="0" w:type="dxa"/>
              <w:right w:w="108" w:type="dxa"/>
            </w:tcMar>
            <w:vAlign w:val="center"/>
          </w:tcPr>
          <w:p w14:paraId="3596EB9D">
            <w:pPr>
              <w:keepNext w:val="0"/>
              <w:keepLines w:val="0"/>
              <w:pageBreakBefore w:val="0"/>
              <w:widowControl/>
              <w:suppressLineNumbers w:val="0"/>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38</w:t>
            </w:r>
          </w:p>
        </w:tc>
        <w:tc>
          <w:tcPr>
            <w:tcW w:w="1132" w:type="dxa"/>
            <w:shd w:val="clear" w:color="auto" w:fill="auto"/>
            <w:noWrap w:val="0"/>
            <w:vAlign w:val="center"/>
          </w:tcPr>
          <w:p w14:paraId="35F8EA3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38</w:t>
            </w:r>
          </w:p>
        </w:tc>
        <w:tc>
          <w:tcPr>
            <w:tcW w:w="555" w:type="pct"/>
            <w:shd w:val="clear" w:color="auto" w:fill="auto"/>
            <w:noWrap w:val="0"/>
            <w:vAlign w:val="center"/>
          </w:tcPr>
          <w:p w14:paraId="6A608A8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r>
      <w:tr w14:paraId="116BA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shd w:val="clear" w:color="auto" w:fill="auto"/>
            <w:noWrap w:val="0"/>
            <w:tcMar>
              <w:top w:w="0" w:type="dxa"/>
              <w:left w:w="108" w:type="dxa"/>
              <w:bottom w:w="0" w:type="dxa"/>
              <w:right w:w="108" w:type="dxa"/>
            </w:tcMar>
            <w:vAlign w:val="center"/>
          </w:tcPr>
          <w:p w14:paraId="16FF71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2903" w:type="dxa"/>
            <w:shd w:val="clear" w:color="auto" w:fill="auto"/>
            <w:noWrap w:val="0"/>
            <w:tcMar>
              <w:top w:w="0" w:type="dxa"/>
              <w:left w:w="108" w:type="dxa"/>
              <w:bottom w:w="0" w:type="dxa"/>
              <w:right w:w="108" w:type="dxa"/>
            </w:tcMar>
            <w:vAlign w:val="center"/>
          </w:tcPr>
          <w:p w14:paraId="7FD503A5">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pacing w:val="-10"/>
                <w:sz w:val="21"/>
                <w:szCs w:val="21"/>
                <w:highlight w:val="none"/>
                <w14:textFill>
                  <w14:solidFill>
                    <w14:schemeClr w14:val="tx1"/>
                  </w14:solidFill>
                </w14:textFill>
              </w:rPr>
              <w:t>全自动微生物生化鉴定</w:t>
            </w:r>
            <w:r>
              <w:rPr>
                <w:rFonts w:hint="eastAsia" w:cs="宋体"/>
                <w:b w:val="0"/>
                <w:bCs w:val="0"/>
                <w:color w:val="000000" w:themeColor="text1"/>
                <w:spacing w:val="-10"/>
                <w:sz w:val="21"/>
                <w:szCs w:val="21"/>
                <w:highlight w:val="none"/>
                <w:lang w:val="en-US" w:eastAsia="zh-CN"/>
                <w14:textFill>
                  <w14:solidFill>
                    <w14:schemeClr w14:val="tx1"/>
                  </w14:solidFill>
                </w14:textFill>
              </w:rPr>
              <w:t>系统</w:t>
            </w:r>
          </w:p>
        </w:tc>
        <w:tc>
          <w:tcPr>
            <w:tcW w:w="513" w:type="pct"/>
            <w:shd w:val="clear" w:color="auto" w:fill="auto"/>
            <w:noWrap w:val="0"/>
            <w:tcMar>
              <w:top w:w="0" w:type="dxa"/>
              <w:left w:w="108" w:type="dxa"/>
              <w:bottom w:w="0" w:type="dxa"/>
              <w:right w:w="108" w:type="dxa"/>
            </w:tcMar>
            <w:vAlign w:val="center"/>
          </w:tcPr>
          <w:p w14:paraId="609690F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1246" w:type="dxa"/>
            <w:shd w:val="clear" w:color="auto" w:fill="auto"/>
            <w:noWrap w:val="0"/>
            <w:tcMar>
              <w:top w:w="0" w:type="dxa"/>
              <w:left w:w="108" w:type="dxa"/>
              <w:bottom w:w="0" w:type="dxa"/>
              <w:right w:w="108" w:type="dxa"/>
            </w:tcMar>
            <w:vAlign w:val="center"/>
          </w:tcPr>
          <w:p w14:paraId="0FD289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69.9</w:t>
            </w:r>
          </w:p>
        </w:tc>
        <w:tc>
          <w:tcPr>
            <w:tcW w:w="1132" w:type="dxa"/>
            <w:shd w:val="clear" w:color="auto" w:fill="auto"/>
            <w:noWrap w:val="0"/>
            <w:vAlign w:val="center"/>
          </w:tcPr>
          <w:p w14:paraId="463075B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69.9</w:t>
            </w:r>
          </w:p>
        </w:tc>
        <w:tc>
          <w:tcPr>
            <w:tcW w:w="555" w:type="pct"/>
            <w:shd w:val="clear" w:color="auto" w:fill="auto"/>
            <w:noWrap w:val="0"/>
            <w:vAlign w:val="center"/>
          </w:tcPr>
          <w:p w14:paraId="2C67371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r>
      <w:tr w14:paraId="1C9B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shd w:val="clear" w:color="auto" w:fill="auto"/>
            <w:noWrap w:val="0"/>
            <w:tcMar>
              <w:top w:w="0" w:type="dxa"/>
              <w:left w:w="108" w:type="dxa"/>
              <w:bottom w:w="0" w:type="dxa"/>
              <w:right w:w="108" w:type="dxa"/>
            </w:tcMar>
            <w:vAlign w:val="center"/>
          </w:tcPr>
          <w:p w14:paraId="39C93A1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2903" w:type="dxa"/>
            <w:shd w:val="clear" w:color="auto" w:fill="auto"/>
            <w:noWrap w:val="0"/>
            <w:tcMar>
              <w:top w:w="0" w:type="dxa"/>
              <w:left w:w="108" w:type="dxa"/>
              <w:bottom w:w="0" w:type="dxa"/>
              <w:right w:w="108" w:type="dxa"/>
            </w:tcMar>
            <w:vAlign w:val="center"/>
          </w:tcPr>
          <w:p w14:paraId="4EB8A8ED">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火焰/石墨炉原子吸收光谱仪</w:t>
            </w:r>
          </w:p>
        </w:tc>
        <w:tc>
          <w:tcPr>
            <w:tcW w:w="513" w:type="pct"/>
            <w:shd w:val="clear" w:color="auto" w:fill="auto"/>
            <w:noWrap w:val="0"/>
            <w:tcMar>
              <w:top w:w="0" w:type="dxa"/>
              <w:left w:w="108" w:type="dxa"/>
              <w:bottom w:w="0" w:type="dxa"/>
              <w:right w:w="108" w:type="dxa"/>
            </w:tcMar>
            <w:vAlign w:val="center"/>
          </w:tcPr>
          <w:p w14:paraId="56522EE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tcMar>
              <w:top w:w="0" w:type="dxa"/>
              <w:left w:w="108" w:type="dxa"/>
              <w:bottom w:w="0" w:type="dxa"/>
              <w:right w:w="108" w:type="dxa"/>
            </w:tcMar>
            <w:vAlign w:val="center"/>
          </w:tcPr>
          <w:p w14:paraId="6A4C425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1132" w:type="dxa"/>
            <w:shd w:val="clear" w:color="auto" w:fill="auto"/>
            <w:noWrap w:val="0"/>
            <w:vAlign w:val="center"/>
          </w:tcPr>
          <w:p w14:paraId="1B9DDB0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555" w:type="pct"/>
            <w:shd w:val="clear" w:color="auto" w:fill="auto"/>
            <w:noWrap w:val="0"/>
            <w:vAlign w:val="center"/>
          </w:tcPr>
          <w:p w14:paraId="4DFB3FD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核心</w:t>
            </w:r>
          </w:p>
          <w:p w14:paraId="560F0D4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产品</w:t>
            </w:r>
          </w:p>
        </w:tc>
      </w:tr>
      <w:tr w14:paraId="4305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688AAA8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vAlign w:val="center"/>
          </w:tcPr>
          <w:p w14:paraId="027052BA">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紫外分光光度计</w:t>
            </w:r>
          </w:p>
        </w:tc>
        <w:tc>
          <w:tcPr>
            <w:tcW w:w="835" w:type="dxa"/>
            <w:shd w:val="clear" w:color="auto" w:fill="auto"/>
            <w:noWrap w:val="0"/>
            <w:vAlign w:val="center"/>
          </w:tcPr>
          <w:p w14:paraId="282375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29BBAEB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1132" w:type="dxa"/>
            <w:shd w:val="clear" w:color="auto" w:fill="auto"/>
            <w:noWrap w:val="0"/>
            <w:vAlign w:val="center"/>
          </w:tcPr>
          <w:p w14:paraId="32BADC6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904" w:type="dxa"/>
            <w:shd w:val="clear" w:color="auto" w:fill="auto"/>
            <w:noWrap w:val="0"/>
            <w:vAlign w:val="center"/>
          </w:tcPr>
          <w:p w14:paraId="52A5417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5978F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7470D4F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vAlign w:val="center"/>
          </w:tcPr>
          <w:p w14:paraId="38FE1950">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pacing w:val="-1"/>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紫外分光光度计</w:t>
            </w:r>
          </w:p>
        </w:tc>
        <w:tc>
          <w:tcPr>
            <w:tcW w:w="835" w:type="dxa"/>
            <w:shd w:val="clear" w:color="auto" w:fill="auto"/>
            <w:noWrap w:val="0"/>
            <w:vAlign w:val="center"/>
          </w:tcPr>
          <w:p w14:paraId="7743AEA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0F80956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1132" w:type="dxa"/>
            <w:shd w:val="clear" w:color="auto" w:fill="auto"/>
            <w:noWrap w:val="0"/>
            <w:vAlign w:val="center"/>
          </w:tcPr>
          <w:p w14:paraId="113FB3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w:t>
            </w:r>
          </w:p>
        </w:tc>
        <w:tc>
          <w:tcPr>
            <w:tcW w:w="904" w:type="dxa"/>
            <w:shd w:val="clear" w:color="auto" w:fill="auto"/>
            <w:noWrap w:val="0"/>
            <w:vAlign w:val="center"/>
          </w:tcPr>
          <w:p w14:paraId="18C64AD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7B85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2136CAF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vAlign w:val="center"/>
          </w:tcPr>
          <w:p w14:paraId="5DE06371">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3"/>
                <w:sz w:val="21"/>
                <w:szCs w:val="21"/>
                <w:highlight w:val="none"/>
                <w14:textFill>
                  <w14:solidFill>
                    <w14:schemeClr w14:val="tx1"/>
                  </w14:solidFill>
                </w14:textFill>
              </w:rPr>
              <w:t>全自动电位滴定仪</w:t>
            </w:r>
          </w:p>
        </w:tc>
        <w:tc>
          <w:tcPr>
            <w:tcW w:w="513" w:type="pct"/>
            <w:shd w:val="clear" w:color="auto" w:fill="auto"/>
            <w:noWrap w:val="0"/>
            <w:vAlign w:val="center"/>
          </w:tcPr>
          <w:p w14:paraId="21EC4CF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1134DD7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25</w:t>
            </w:r>
          </w:p>
        </w:tc>
        <w:tc>
          <w:tcPr>
            <w:tcW w:w="1132" w:type="dxa"/>
            <w:shd w:val="clear" w:color="auto" w:fill="auto"/>
            <w:noWrap w:val="0"/>
            <w:vAlign w:val="center"/>
          </w:tcPr>
          <w:p w14:paraId="7E37FD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25</w:t>
            </w:r>
          </w:p>
        </w:tc>
        <w:tc>
          <w:tcPr>
            <w:tcW w:w="555" w:type="pct"/>
            <w:shd w:val="clear" w:color="auto" w:fill="auto"/>
            <w:noWrap w:val="0"/>
            <w:vAlign w:val="center"/>
          </w:tcPr>
          <w:p w14:paraId="7BD9D69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3D93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6C5F44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vAlign w:val="center"/>
          </w:tcPr>
          <w:p w14:paraId="6771DEA4">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pacing w:val="-2"/>
                <w:sz w:val="21"/>
                <w:szCs w:val="21"/>
                <w:highlight w:val="none"/>
                <w14:textFill>
                  <w14:solidFill>
                    <w14:schemeClr w14:val="tx1"/>
                  </w14:solidFill>
                </w14:textFill>
              </w:rPr>
              <w:t>超低温冰箱</w:t>
            </w:r>
          </w:p>
        </w:tc>
        <w:tc>
          <w:tcPr>
            <w:tcW w:w="513" w:type="pct"/>
            <w:shd w:val="clear" w:color="auto" w:fill="auto"/>
            <w:noWrap w:val="0"/>
            <w:vAlign w:val="center"/>
          </w:tcPr>
          <w:p w14:paraId="5B5BFEE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2F18083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4.5</w:t>
            </w:r>
          </w:p>
        </w:tc>
        <w:tc>
          <w:tcPr>
            <w:tcW w:w="1132" w:type="dxa"/>
            <w:shd w:val="clear" w:color="auto" w:fill="auto"/>
            <w:noWrap w:val="0"/>
            <w:vAlign w:val="center"/>
          </w:tcPr>
          <w:p w14:paraId="7761D52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4.5</w:t>
            </w:r>
          </w:p>
        </w:tc>
        <w:tc>
          <w:tcPr>
            <w:tcW w:w="555" w:type="pct"/>
            <w:shd w:val="clear" w:color="auto" w:fill="auto"/>
            <w:noWrap w:val="0"/>
            <w:vAlign w:val="center"/>
          </w:tcPr>
          <w:p w14:paraId="46AA7E7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3259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restart"/>
            <w:shd w:val="clear" w:color="auto" w:fill="auto"/>
            <w:noWrap w:val="0"/>
            <w:vAlign w:val="center"/>
          </w:tcPr>
          <w:p w14:paraId="466382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2903" w:type="dxa"/>
            <w:shd w:val="clear" w:color="auto" w:fill="auto"/>
            <w:noWrap w:val="0"/>
            <w:vAlign w:val="center"/>
          </w:tcPr>
          <w:p w14:paraId="2E3DA0DD">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pacing w:val="-5"/>
                <w:sz w:val="21"/>
                <w:szCs w:val="21"/>
                <w:highlight w:val="none"/>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气相色谱仪</w:t>
            </w:r>
            <w:r>
              <w:rPr>
                <w:rFonts w:hint="eastAsia" w:ascii="宋体" w:hAnsi="宋体" w:cs="宋体"/>
                <w:b w:val="0"/>
                <w:bCs w:val="0"/>
                <w:color w:val="000000" w:themeColor="text1"/>
                <w:spacing w:val="-9"/>
                <w:sz w:val="2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9"/>
                <w:sz w:val="21"/>
                <w:szCs w:val="21"/>
                <w:highlight w:val="none"/>
                <w14:textFill>
                  <w14:solidFill>
                    <w14:schemeClr w14:val="tx1"/>
                  </w14:solidFill>
                </w14:textFill>
              </w:rPr>
              <w:t>含顶空进样器</w:t>
            </w:r>
            <w:r>
              <w:rPr>
                <w:rFonts w:hint="eastAsia" w:ascii="宋体" w:hAnsi="宋体" w:eastAsia="宋体" w:cs="宋体"/>
                <w:b w:val="0"/>
                <w:bCs w:val="0"/>
                <w:color w:val="000000" w:themeColor="text1"/>
                <w:spacing w:val="-9"/>
                <w:sz w:val="21"/>
                <w:szCs w:val="21"/>
                <w:highlight w:val="none"/>
                <w:lang w:val="en-US" w:eastAsia="zh-CN"/>
                <w14:textFill>
                  <w14:solidFill>
                    <w14:schemeClr w14:val="tx1"/>
                  </w14:solidFill>
                </w14:textFill>
              </w:rPr>
              <w:t>）</w:t>
            </w:r>
          </w:p>
        </w:tc>
        <w:tc>
          <w:tcPr>
            <w:tcW w:w="513" w:type="pct"/>
            <w:shd w:val="clear" w:color="auto" w:fill="auto"/>
            <w:noWrap w:val="0"/>
            <w:vAlign w:val="center"/>
          </w:tcPr>
          <w:p w14:paraId="4167DBE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59ACAA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54.9</w:t>
            </w:r>
          </w:p>
        </w:tc>
        <w:tc>
          <w:tcPr>
            <w:tcW w:w="1132" w:type="dxa"/>
            <w:shd w:val="clear" w:color="auto" w:fill="auto"/>
            <w:noWrap w:val="0"/>
            <w:vAlign w:val="center"/>
          </w:tcPr>
          <w:p w14:paraId="366163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54.9</w:t>
            </w:r>
          </w:p>
        </w:tc>
        <w:tc>
          <w:tcPr>
            <w:tcW w:w="555" w:type="pct"/>
            <w:shd w:val="clear" w:color="auto" w:fill="auto"/>
            <w:noWrap w:val="0"/>
            <w:vAlign w:val="center"/>
          </w:tcPr>
          <w:p w14:paraId="7C46389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6D05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012591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903" w:type="dxa"/>
            <w:shd w:val="clear" w:color="auto" w:fill="auto"/>
            <w:noWrap w:val="0"/>
            <w:vAlign w:val="center"/>
          </w:tcPr>
          <w:p w14:paraId="53FB803E">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pacing w:val="-9"/>
                <w:sz w:val="21"/>
                <w:szCs w:val="21"/>
                <w:highlight w:val="none"/>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气相色谱仪</w:t>
            </w:r>
          </w:p>
        </w:tc>
        <w:tc>
          <w:tcPr>
            <w:tcW w:w="513" w:type="pct"/>
            <w:shd w:val="clear" w:color="auto" w:fill="auto"/>
            <w:noWrap w:val="0"/>
            <w:vAlign w:val="center"/>
          </w:tcPr>
          <w:p w14:paraId="63C5E10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25A01D0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44.9</w:t>
            </w:r>
          </w:p>
        </w:tc>
        <w:tc>
          <w:tcPr>
            <w:tcW w:w="1132" w:type="dxa"/>
            <w:shd w:val="clear" w:color="auto" w:fill="auto"/>
            <w:noWrap w:val="0"/>
            <w:vAlign w:val="center"/>
          </w:tcPr>
          <w:p w14:paraId="2363413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44.9</w:t>
            </w:r>
          </w:p>
        </w:tc>
        <w:tc>
          <w:tcPr>
            <w:tcW w:w="555" w:type="pct"/>
            <w:shd w:val="clear" w:color="auto" w:fill="auto"/>
            <w:noWrap w:val="0"/>
            <w:vAlign w:val="center"/>
          </w:tcPr>
          <w:p w14:paraId="3EDE88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r w14:paraId="13EC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6" w:type="pct"/>
            <w:vMerge w:val="continue"/>
            <w:shd w:val="clear" w:color="auto" w:fill="auto"/>
            <w:noWrap w:val="0"/>
            <w:vAlign w:val="center"/>
          </w:tcPr>
          <w:p w14:paraId="261A6D2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2903" w:type="dxa"/>
            <w:shd w:val="clear" w:color="auto" w:fill="auto"/>
            <w:noWrap w:val="0"/>
            <w:vAlign w:val="center"/>
          </w:tcPr>
          <w:p w14:paraId="7BE570B7">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b w:val="0"/>
                <w:bCs w:val="0"/>
                <w:color w:val="000000" w:themeColor="text1"/>
                <w:spacing w:val="-5"/>
                <w:sz w:val="21"/>
                <w:szCs w:val="21"/>
                <w:highlight w:val="none"/>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液相色谱仪</w:t>
            </w:r>
          </w:p>
        </w:tc>
        <w:tc>
          <w:tcPr>
            <w:tcW w:w="513" w:type="pct"/>
            <w:shd w:val="clear" w:color="auto" w:fill="auto"/>
            <w:noWrap w:val="0"/>
            <w:vAlign w:val="center"/>
          </w:tcPr>
          <w:p w14:paraId="66F7829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46" w:type="dxa"/>
            <w:shd w:val="clear" w:color="auto" w:fill="auto"/>
            <w:noWrap w:val="0"/>
            <w:vAlign w:val="center"/>
          </w:tcPr>
          <w:p w14:paraId="02B13F7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1132" w:type="dxa"/>
            <w:shd w:val="clear" w:color="auto" w:fill="auto"/>
            <w:noWrap w:val="0"/>
            <w:vAlign w:val="center"/>
          </w:tcPr>
          <w:p w14:paraId="29AD0C2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64.9</w:t>
            </w:r>
          </w:p>
        </w:tc>
        <w:tc>
          <w:tcPr>
            <w:tcW w:w="555" w:type="pct"/>
            <w:shd w:val="clear" w:color="auto" w:fill="auto"/>
            <w:noWrap w:val="0"/>
            <w:vAlign w:val="center"/>
          </w:tcPr>
          <w:p w14:paraId="08349A2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核心</w:t>
            </w:r>
          </w:p>
          <w:p w14:paraId="256D8F3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jc w:val="center"/>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产品</w:t>
            </w:r>
          </w:p>
        </w:tc>
      </w:tr>
    </w:tbl>
    <w:p w14:paraId="6AE218CB">
      <w:pPr>
        <w:pageBreakBefore w:val="0"/>
        <w:kinsoku/>
        <w:wordWrap/>
        <w:overflowPunct/>
        <w:topLinePunct w:val="0"/>
        <w:autoSpaceDE/>
        <w:autoSpaceDN/>
        <w:bidi w:val="0"/>
        <w:spacing w:line="360" w:lineRule="auto"/>
        <w:ind w:firstLine="422"/>
        <w:textAlignment w:val="auto"/>
        <w:rPr>
          <w:rFonts w:hint="eastAsia" w:ascii="Times New Roman" w:hAnsi="Times New Roman" w:cs="宋体"/>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投标单位可选择其中任何一个包组投标</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也可几个包组兼投</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但投标单位只能按开标顺序中其中一个包组</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eastAsia="宋体" w:cs="宋体"/>
          <w:b/>
          <w:bCs/>
          <w:color w:val="000000" w:themeColor="text1"/>
          <w:highlight w:val="none"/>
          <w14:textFill>
            <w14:solidFill>
              <w14:schemeClr w14:val="tx1"/>
            </w14:solidFill>
          </w14:textFill>
        </w:rPr>
        <w:t>不得兼中（开标顺序</w:t>
      </w:r>
      <w:r>
        <w:rPr>
          <w:rFonts w:hint="eastAsia" w:ascii="Times New Roman" w:hAnsi="Times New Roman" w:cs="宋体"/>
          <w:b/>
          <w:bCs/>
          <w:color w:val="000000" w:themeColor="text1"/>
          <w:highlight w:val="none"/>
          <w:lang w:eastAsia="zh-CN"/>
          <w14:textFill>
            <w14:solidFill>
              <w14:schemeClr w14:val="tx1"/>
            </w14:solidFill>
          </w14:textFill>
        </w:rPr>
        <w:t>：</w:t>
      </w:r>
      <w:r>
        <w:rPr>
          <w:rFonts w:hint="eastAsia" w:ascii="Times New Roman" w:hAnsi="Times New Roman" w:cs="宋体"/>
          <w:b/>
          <w:bCs/>
          <w:color w:val="000000" w:themeColor="text1"/>
          <w:highlight w:val="none"/>
          <w:lang w:val="en-US" w:eastAsia="zh-CN"/>
          <w14:textFill>
            <w14:solidFill>
              <w14:schemeClr w14:val="tx1"/>
            </w14:solidFill>
          </w14:textFill>
        </w:rPr>
        <w:t>1</w:t>
      </w:r>
      <w:r>
        <w:rPr>
          <w:rFonts w:hint="eastAsia" w:ascii="Times New Roman" w:hAnsi="Times New Roman" w:eastAsia="宋体" w:cs="宋体"/>
          <w:b/>
          <w:bCs/>
          <w:color w:val="000000" w:themeColor="text1"/>
          <w:highlight w:val="none"/>
          <w14:textFill>
            <w14:solidFill>
              <w14:schemeClr w14:val="tx1"/>
            </w14:solidFill>
          </w14:textFill>
        </w:rPr>
        <w:t>-</w:t>
      </w:r>
      <w:r>
        <w:rPr>
          <w:rFonts w:hint="eastAsia" w:ascii="Times New Roman" w:hAnsi="Times New Roman" w:cs="宋体"/>
          <w:b/>
          <w:bCs/>
          <w:color w:val="000000" w:themeColor="text1"/>
          <w:highlight w:val="none"/>
          <w:lang w:val="en-US" w:eastAsia="zh-CN"/>
          <w14:textFill>
            <w14:solidFill>
              <w14:schemeClr w14:val="tx1"/>
            </w14:solidFill>
          </w14:textFill>
        </w:rPr>
        <w:t>2</w:t>
      </w:r>
      <w:r>
        <w:rPr>
          <w:rFonts w:hint="eastAsia" w:ascii="Times New Roman" w:hAnsi="Times New Roman" w:eastAsia="宋体" w:cs="宋体"/>
          <w:b/>
          <w:bCs/>
          <w:color w:val="000000" w:themeColor="text1"/>
          <w:highlight w:val="none"/>
          <w14:textFill>
            <w14:solidFill>
              <w14:schemeClr w14:val="tx1"/>
            </w14:solidFill>
          </w14:textFill>
        </w:rPr>
        <w:t>-</w:t>
      </w:r>
      <w:r>
        <w:rPr>
          <w:rFonts w:hint="eastAsia" w:ascii="Times New Roman" w:hAnsi="Times New Roman" w:cs="宋体"/>
          <w:b/>
          <w:bCs/>
          <w:color w:val="000000" w:themeColor="text1"/>
          <w:highlight w:val="none"/>
          <w:lang w:val="en-US" w:eastAsia="zh-CN"/>
          <w14:textFill>
            <w14:solidFill>
              <w14:schemeClr w14:val="tx1"/>
            </w14:solidFill>
          </w14:textFill>
        </w:rPr>
        <w:t>3-4</w:t>
      </w:r>
      <w:r>
        <w:rPr>
          <w:rFonts w:hint="eastAsia" w:ascii="Times New Roman" w:hAnsi="Times New Roman" w:eastAsia="宋体" w:cs="宋体"/>
          <w:b/>
          <w:bCs/>
          <w:color w:val="000000" w:themeColor="text1"/>
          <w:highlight w:val="none"/>
          <w14:textFill>
            <w14:solidFill>
              <w14:schemeClr w14:val="tx1"/>
            </w14:solidFill>
          </w14:textFill>
        </w:rPr>
        <w:t>）</w:t>
      </w:r>
    </w:p>
    <w:p w14:paraId="7AC2BB72">
      <w:pPr>
        <w:pageBreakBefore w:val="0"/>
        <w:kinsoku/>
        <w:wordWrap/>
        <w:overflowPunct/>
        <w:topLinePunct w:val="0"/>
        <w:autoSpaceDE/>
        <w:autoSpaceDN/>
        <w:bidi w:val="0"/>
        <w:spacing w:line="360" w:lineRule="auto"/>
        <w:ind w:firstLine="422"/>
        <w:textAlignment w:val="auto"/>
        <w:outlineLvl w:val="1"/>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cs="宋体"/>
          <w:b/>
          <w:bCs/>
          <w:color w:val="000000" w:themeColor="text1"/>
          <w:szCs w:val="21"/>
          <w:highlight w:val="none"/>
          <w:lang w:val="en-US" w:eastAsia="zh-CN"/>
          <w14:textFill>
            <w14:solidFill>
              <w14:schemeClr w14:val="tx1"/>
            </w14:solidFill>
          </w14:textFill>
        </w:rPr>
        <w:t>二</w:t>
      </w:r>
      <w:r>
        <w:rPr>
          <w:rFonts w:hint="eastAsia" w:ascii="Times New Roman" w:hAnsi="Times New Roman" w:eastAsia="宋体" w:cs="宋体"/>
          <w:b/>
          <w:bCs/>
          <w:color w:val="000000" w:themeColor="text1"/>
          <w:szCs w:val="21"/>
          <w:highlight w:val="none"/>
          <w:lang w:val="en-US" w:eastAsia="zh-CN"/>
          <w14:textFill>
            <w14:solidFill>
              <w14:schemeClr w14:val="tx1"/>
            </w14:solidFill>
          </w14:textFill>
        </w:rPr>
        <w:t>、</w:t>
      </w:r>
      <w:r>
        <w:rPr>
          <w:rFonts w:hint="eastAsia" w:ascii="Times New Roman" w:hAnsi="Times New Roman" w:eastAsia="宋体" w:cs="宋体"/>
          <w:b/>
          <w:bCs/>
          <w:color w:val="000000" w:themeColor="text1"/>
          <w:szCs w:val="21"/>
          <w:highlight w:val="none"/>
          <w14:textFill>
            <w14:solidFill>
              <w14:schemeClr w14:val="tx1"/>
            </w14:solidFill>
          </w14:textFill>
        </w:rPr>
        <w:t>政府采购中实施本国产品标准及相关政策</w:t>
      </w:r>
    </w:p>
    <w:p w14:paraId="0FB40669">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1.本项目对采购本国产品给予政策支持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具体内容见招标文件“第五章评标方法与评标标准”。</w:t>
      </w:r>
    </w:p>
    <w:p w14:paraId="60A1629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2.适用本国产品标准的货物具体是指《政府采购品目分类目录》中的货物类产品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但不包括其中的房屋和构筑物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文物和陈列品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图书和档案</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特种动植物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农林牧渔业产品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矿与矿物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电力、城市燃气、蒸汽和热水、水</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食品、饮料和烟草原料</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无形资产。</w:t>
      </w:r>
    </w:p>
    <w:p w14:paraId="4357D822">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3.本国产品应当在中国境内生产</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即在中华人民共和国关境内实现从原材料、组件到产品的属性改变。从具体情形看</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在国内保税区、综合保税区等海关特殊监管区域生产的产品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属于在中国境内生产的产品；对医疗器械产品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取得药品监督管理部门授予的准字号医疗器械注册证的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属于在中国境内生产的产品；其他产品</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根据实际情况判断是否在中国境内生产。</w:t>
      </w:r>
    </w:p>
    <w:bookmarkEnd w:id="79"/>
    <w:p w14:paraId="47DA3F2F">
      <w:pPr>
        <w:pStyle w:val="38"/>
        <w:pageBreakBefore w:val="0"/>
        <w:numPr>
          <w:ilvl w:val="0"/>
          <w:numId w:val="0"/>
        </w:numPr>
        <w:kinsoku/>
        <w:wordWrap/>
        <w:overflowPunct/>
        <w:topLinePunct w:val="0"/>
        <w:autoSpaceDE/>
        <w:autoSpaceDN/>
        <w:bidi w:val="0"/>
        <w:spacing w:after="0" w:line="360" w:lineRule="auto"/>
        <w:ind w:firstLine="426"/>
        <w:textAlignment w:val="auto"/>
        <w:outlineLvl w:val="1"/>
        <w:rPr>
          <w:rFonts w:hint="eastAsia" w:ascii="Times New Roman" w:hAnsi="Times New Roman"/>
          <w:b/>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t>三、</w:t>
      </w:r>
      <w:r>
        <w:rPr>
          <w:rFonts w:hint="eastAsia" w:ascii="Times New Roman" w:hAnsi="Times New Roman"/>
          <w:b/>
          <w:color w:val="000000" w:themeColor="text1"/>
          <w:sz w:val="21"/>
          <w:szCs w:val="21"/>
          <w:highlight w:val="none"/>
          <w:lang w:val="en-US" w:eastAsia="zh-CN"/>
          <w14:textFill>
            <w14:solidFill>
              <w14:schemeClr w14:val="tx1"/>
            </w14:solidFill>
          </w14:textFill>
        </w:rPr>
        <w:t>技术及商务要求</w:t>
      </w:r>
    </w:p>
    <w:p w14:paraId="1F46EE38">
      <w:pPr>
        <w:pStyle w:val="38"/>
        <w:pageBreakBefore w:val="0"/>
        <w:numPr>
          <w:ilvl w:val="0"/>
          <w:numId w:val="0"/>
        </w:numPr>
        <w:kinsoku/>
        <w:wordWrap/>
        <w:overflowPunct/>
        <w:topLinePunct w:val="0"/>
        <w:autoSpaceDE/>
        <w:autoSpaceDN/>
        <w:bidi w:val="0"/>
        <w:spacing w:after="0" w:line="360" w:lineRule="auto"/>
        <w:ind w:firstLine="426"/>
        <w:textAlignment w:val="auto"/>
        <w:outlineLvl w:val="1"/>
        <w:rPr>
          <w:rFonts w:hint="eastAsia" w:ascii="Times New Roman" w:hAnsi="Times New Roman"/>
          <w:b/>
          <w:color w:val="000000" w:themeColor="text1"/>
          <w:sz w:val="21"/>
          <w:szCs w:val="21"/>
          <w:highlight w:val="none"/>
          <w:lang w:val="en-US" w:eastAsia="zh-CN"/>
          <w14:textFill>
            <w14:solidFill>
              <w14:schemeClr w14:val="tx1"/>
            </w14:solidFill>
          </w14:textFill>
        </w:rPr>
      </w:pPr>
      <w:r>
        <w:rPr>
          <w:rFonts w:hint="eastAsia" w:ascii="Times New Roman" w:hAnsi="Times New Roman"/>
          <w:b/>
          <w:color w:val="000000" w:themeColor="text1"/>
          <w:sz w:val="21"/>
          <w:szCs w:val="21"/>
          <w:highlight w:val="none"/>
          <w:lang w:val="en-US" w:eastAsia="zh-CN"/>
          <w14:textFill>
            <w14:solidFill>
              <w14:schemeClr w14:val="tx1"/>
            </w14:solidFill>
          </w14:textFill>
        </w:rPr>
        <w:t>注：★、▲参数以及采购需求中明确要求提供证明材料的，须按要求在投标文件中提供相关证明材料（如实物图片、网站截图、白皮书、产品彩页、技术资料书、检测报告等），若相关技术参数中有明确证明材料要求，则提供对应证明材料。</w:t>
      </w:r>
    </w:p>
    <w:p w14:paraId="0A348443">
      <w:pPr>
        <w:keepNext w:val="0"/>
        <w:keepLines w:val="0"/>
        <w:pageBreakBefore w:val="0"/>
        <w:widowControl w:val="0"/>
        <w:numPr>
          <w:ilvl w:val="0"/>
          <w:numId w:val="0"/>
        </w:numPr>
        <w:kinsoku/>
        <w:wordWrap/>
        <w:overflowPunct/>
        <w:topLinePunct w:val="0"/>
        <w:autoSpaceDE/>
        <w:autoSpaceDN/>
        <w:bidi w:val="0"/>
        <w:spacing w:line="360" w:lineRule="auto"/>
        <w:ind w:firstLine="422"/>
        <w:textAlignment w:val="auto"/>
        <w:outlineLvl w:val="2"/>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包1：</w:t>
      </w:r>
      <w:r>
        <w:rPr>
          <w:rFonts w:hint="eastAsia" w:ascii="宋体" w:hAnsi="宋体" w:eastAsia="宋体" w:cs="宋体"/>
          <w:b/>
          <w:color w:val="000000" w:themeColor="text1"/>
          <w:sz w:val="21"/>
          <w:szCs w:val="21"/>
          <w:highlight w:val="none"/>
          <w14:textFill>
            <w14:solidFill>
              <w14:schemeClr w14:val="tx1"/>
            </w14:solidFill>
          </w14:textFill>
        </w:rPr>
        <w:t>货物需求一览表</w:t>
      </w:r>
    </w:p>
    <w:tbl>
      <w:tblPr>
        <w:tblStyle w:val="39"/>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9"/>
        <w:gridCol w:w="2977"/>
        <w:gridCol w:w="1523"/>
        <w:gridCol w:w="2041"/>
        <w:gridCol w:w="1185"/>
      </w:tblGrid>
      <w:tr w14:paraId="521D7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jc w:val="center"/>
        </w:trPr>
        <w:tc>
          <w:tcPr>
            <w:tcW w:w="337" w:type="pct"/>
            <w:shd w:val="clear" w:color="auto" w:fill="auto"/>
            <w:noWrap/>
            <w:tcMar>
              <w:top w:w="15" w:type="dxa"/>
              <w:left w:w="15" w:type="dxa"/>
              <w:right w:w="15" w:type="dxa"/>
            </w:tcMar>
            <w:vAlign w:val="center"/>
          </w:tcPr>
          <w:p w14:paraId="0A512DAB">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品目</w:t>
            </w:r>
          </w:p>
        </w:tc>
        <w:tc>
          <w:tcPr>
            <w:tcW w:w="1796" w:type="pct"/>
            <w:shd w:val="clear" w:color="auto" w:fill="auto"/>
            <w:noWrap/>
            <w:tcMar>
              <w:top w:w="15" w:type="dxa"/>
              <w:left w:w="15" w:type="dxa"/>
              <w:right w:w="15" w:type="dxa"/>
            </w:tcMar>
            <w:vAlign w:val="center"/>
          </w:tcPr>
          <w:p w14:paraId="78A16966">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设备名称</w:t>
            </w:r>
          </w:p>
        </w:tc>
        <w:tc>
          <w:tcPr>
            <w:tcW w:w="919" w:type="pct"/>
            <w:shd w:val="clear" w:color="auto" w:fill="FFFFFF"/>
            <w:noWrap/>
            <w:tcMar>
              <w:top w:w="15" w:type="dxa"/>
              <w:left w:w="15" w:type="dxa"/>
              <w:right w:w="15" w:type="dxa"/>
            </w:tcMar>
            <w:vAlign w:val="center"/>
          </w:tcPr>
          <w:p w14:paraId="4C0C4650">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数量</w:t>
            </w:r>
          </w:p>
        </w:tc>
        <w:tc>
          <w:tcPr>
            <w:tcW w:w="1231" w:type="pct"/>
            <w:shd w:val="clear" w:color="auto" w:fill="auto"/>
            <w:noWrap/>
            <w:tcMar>
              <w:top w:w="15" w:type="dxa"/>
              <w:left w:w="15" w:type="dxa"/>
              <w:right w:w="15" w:type="dxa"/>
            </w:tcMar>
            <w:vAlign w:val="center"/>
          </w:tcPr>
          <w:p w14:paraId="1461F8AE">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交货地点</w:t>
            </w:r>
          </w:p>
        </w:tc>
        <w:tc>
          <w:tcPr>
            <w:tcW w:w="715" w:type="pct"/>
          </w:tcPr>
          <w:p w14:paraId="3E9E76BF">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备注</w:t>
            </w:r>
          </w:p>
        </w:tc>
      </w:tr>
      <w:tr w14:paraId="4149E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jc w:val="center"/>
        </w:trPr>
        <w:tc>
          <w:tcPr>
            <w:tcW w:w="337" w:type="pct"/>
            <w:shd w:val="clear" w:color="auto" w:fill="auto"/>
            <w:noWrap/>
            <w:tcMar>
              <w:top w:w="15" w:type="dxa"/>
              <w:left w:w="15" w:type="dxa"/>
              <w:right w:w="15" w:type="dxa"/>
            </w:tcMar>
            <w:vAlign w:val="center"/>
          </w:tcPr>
          <w:p w14:paraId="1747F790">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w:t>
            </w:r>
          </w:p>
        </w:tc>
        <w:tc>
          <w:tcPr>
            <w:tcW w:w="1796" w:type="pct"/>
            <w:shd w:val="clear" w:color="auto" w:fill="auto"/>
            <w:noWrap/>
            <w:tcMar>
              <w:top w:w="15" w:type="dxa"/>
              <w:left w:w="15" w:type="dxa"/>
              <w:right w:w="15" w:type="dxa"/>
            </w:tcMar>
            <w:vAlign w:val="center"/>
          </w:tcPr>
          <w:p w14:paraId="50895539">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全自动凯氏定氮仪</w:t>
            </w:r>
          </w:p>
        </w:tc>
        <w:tc>
          <w:tcPr>
            <w:tcW w:w="919" w:type="pct"/>
            <w:shd w:val="clear" w:color="auto" w:fill="FFFFFF"/>
            <w:noWrap/>
            <w:tcMar>
              <w:top w:w="15" w:type="dxa"/>
              <w:left w:w="15" w:type="dxa"/>
              <w:right w:w="15" w:type="dxa"/>
            </w:tcMar>
            <w:vAlign w:val="center"/>
          </w:tcPr>
          <w:p w14:paraId="5EE42298">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231" w:type="pct"/>
            <w:vMerge w:val="restart"/>
            <w:shd w:val="clear" w:color="auto" w:fill="auto"/>
            <w:noWrap/>
            <w:tcMar>
              <w:top w:w="15" w:type="dxa"/>
              <w:left w:w="15" w:type="dxa"/>
              <w:right w:w="15" w:type="dxa"/>
            </w:tcMar>
            <w:vAlign w:val="center"/>
          </w:tcPr>
          <w:p w14:paraId="4A70295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扬州市检验检测中心</w:t>
            </w:r>
          </w:p>
          <w:p w14:paraId="25EC05D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（扬州市生态科技新城杭集镇龙王路6号）</w:t>
            </w:r>
          </w:p>
          <w:p w14:paraId="5E0DE8E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或指定地点</w:t>
            </w:r>
          </w:p>
        </w:tc>
        <w:tc>
          <w:tcPr>
            <w:tcW w:w="715" w:type="pct"/>
          </w:tcPr>
          <w:p w14:paraId="357266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核心产品</w:t>
            </w:r>
          </w:p>
        </w:tc>
      </w:tr>
      <w:tr w14:paraId="33BFC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jc w:val="center"/>
        </w:trPr>
        <w:tc>
          <w:tcPr>
            <w:tcW w:w="337" w:type="pct"/>
            <w:shd w:val="clear" w:color="auto" w:fill="auto"/>
            <w:noWrap/>
            <w:tcMar>
              <w:top w:w="15" w:type="dxa"/>
              <w:left w:w="15" w:type="dxa"/>
              <w:right w:w="15" w:type="dxa"/>
            </w:tcMar>
            <w:vAlign w:val="center"/>
          </w:tcPr>
          <w:p w14:paraId="0603B9ED">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p>
        </w:tc>
        <w:tc>
          <w:tcPr>
            <w:tcW w:w="1796" w:type="pct"/>
            <w:shd w:val="clear" w:color="auto" w:fill="auto"/>
            <w:noWrap/>
            <w:tcMar>
              <w:top w:w="15" w:type="dxa"/>
              <w:left w:w="15" w:type="dxa"/>
              <w:right w:w="15" w:type="dxa"/>
            </w:tcMar>
            <w:vAlign w:val="center"/>
          </w:tcPr>
          <w:p w14:paraId="07F9DAD0">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脂肪测定仪</w:t>
            </w:r>
          </w:p>
        </w:tc>
        <w:tc>
          <w:tcPr>
            <w:tcW w:w="919" w:type="pct"/>
            <w:shd w:val="clear" w:color="auto" w:fill="FFFFFF"/>
            <w:noWrap/>
            <w:tcMar>
              <w:top w:w="15" w:type="dxa"/>
              <w:left w:w="15" w:type="dxa"/>
              <w:right w:w="15" w:type="dxa"/>
            </w:tcMar>
            <w:vAlign w:val="center"/>
          </w:tcPr>
          <w:p w14:paraId="4E0B4AF4">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231" w:type="pct"/>
            <w:vMerge w:val="continue"/>
            <w:shd w:val="clear" w:color="auto" w:fill="auto"/>
            <w:noWrap/>
            <w:tcMar>
              <w:top w:w="15" w:type="dxa"/>
              <w:left w:w="15" w:type="dxa"/>
              <w:right w:w="15" w:type="dxa"/>
            </w:tcMar>
            <w:vAlign w:val="center"/>
          </w:tcPr>
          <w:p w14:paraId="1B6330D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715" w:type="pct"/>
          </w:tcPr>
          <w:p w14:paraId="55FEB2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p>
        </w:tc>
      </w:tr>
    </w:tbl>
    <w:p w14:paraId="0FE1374D">
      <w:pPr>
        <w:keepNext w:val="0"/>
        <w:keepLines w:val="0"/>
        <w:pageBreakBefore w:val="0"/>
        <w:widowControl w:val="0"/>
        <w:numPr>
          <w:ilvl w:val="0"/>
          <w:numId w:val="0"/>
        </w:numPr>
        <w:kinsoku/>
        <w:wordWrap/>
        <w:overflowPunct/>
        <w:topLinePunct w:val="0"/>
        <w:autoSpaceDE/>
        <w:autoSpaceDN/>
        <w:bidi w:val="0"/>
        <w:spacing w:line="360" w:lineRule="auto"/>
        <w:ind w:firstLine="422"/>
        <w:textAlignment w:val="auto"/>
        <w:outlineLvl w:val="2"/>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（一）、技术要求</w:t>
      </w:r>
    </w:p>
    <w:p w14:paraId="35321800">
      <w:pPr>
        <w:pStyle w:val="310"/>
        <w:pageBreakBefore w:val="0"/>
        <w:kinsoku/>
        <w:wordWrap/>
        <w:overflowPunct/>
        <w:topLinePunct w:val="0"/>
        <w:autoSpaceDE/>
        <w:autoSpaceDN/>
        <w:bidi w:val="0"/>
        <w:spacing w:line="360" w:lineRule="auto"/>
        <w:ind w:left="0" w:leftChars="0" w:firstLine="0" w:firstLineChars="0"/>
        <w:textAlignment w:val="auto"/>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品目1：全自动凯氏定氮仪</w:t>
      </w:r>
    </w:p>
    <w:p w14:paraId="76EBC2D5">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核心参数</w:t>
      </w:r>
      <w:r>
        <w:rPr>
          <w:rFonts w:hint="eastAsia" w:ascii="宋体" w:hAnsi="宋体" w:cs="宋体"/>
          <w:b/>
          <w:bCs/>
          <w:color w:val="000000" w:themeColor="text1"/>
          <w:highlight w:val="none"/>
          <w:lang w:eastAsia="zh-CN"/>
          <w14:textFill>
            <w14:solidFill>
              <w14:schemeClr w14:val="tx1"/>
            </w14:solidFill>
          </w14:textFill>
        </w:rPr>
        <w:t>】</w:t>
      </w:r>
    </w:p>
    <w:p w14:paraId="341E67C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★1、符合标准方法程度</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完全符合国标GB 5009.5-20</w:t>
      </w:r>
      <w:r>
        <w:rPr>
          <w:rFonts w:hint="eastAsia" w:ascii="宋体" w:hAnsi="宋体" w:cs="宋体"/>
          <w:color w:val="000000" w:themeColor="text1"/>
          <w:highlight w:val="none"/>
          <w:lang w:val="en-US" w:eastAsia="zh-CN"/>
          <w14:textFill>
            <w14:solidFill>
              <w14:schemeClr w14:val="tx1"/>
            </w14:solidFill>
          </w14:textFill>
        </w:rPr>
        <w:t>25</w:t>
      </w:r>
      <w:r>
        <w:rPr>
          <w:rFonts w:hint="eastAsia" w:ascii="宋体" w:hAnsi="宋体" w:eastAsia="宋体" w:cs="宋体"/>
          <w:color w:val="000000" w:themeColor="text1"/>
          <w:highlight w:val="none"/>
          <w14:textFill>
            <w14:solidFill>
              <w14:schemeClr w14:val="tx1"/>
            </w14:solidFill>
          </w14:textFill>
        </w:rPr>
        <w:t>第一方法检测要求：浓硫酸消化、碱性环境蒸汽蒸馏、硼酸吸收、指示剂滴定终点颜色判定法。滴定原理</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比色法，不需使用任何电极，检测范围：0.1-210mg 氮；回收率≥99.5%（1-210mgN）；重现性RSD≤1%。</w:t>
      </w:r>
    </w:p>
    <w:p w14:paraId="5F4C48C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★2、消化系统采用铝模块整体加热，处理能力：≥20个/批，样品消化时间：1-1.5小时；控温范围：室温-440℃；温度精度：1℃；在400℃时的温度稳定性：±2℃；快速升温：从20℃升温到400℃所需时间35分钟。</w:t>
      </w:r>
    </w:p>
    <w:p w14:paraId="2412C0E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cs="宋体"/>
          <w:color w:val="000000" w:themeColor="text1"/>
          <w:highlight w:val="none"/>
          <w:lang w:val="en-US" w:eastAsia="zh-CN"/>
          <w14:textFill>
            <w14:solidFill>
              <w14:schemeClr w14:val="tx1"/>
            </w14:solidFill>
          </w14:textFill>
        </w:rPr>
        <w:t>≥20位</w:t>
      </w:r>
      <w:r>
        <w:rPr>
          <w:rFonts w:hint="eastAsia" w:ascii="宋体" w:hAnsi="宋体" w:eastAsia="宋体" w:cs="宋体"/>
          <w:color w:val="000000" w:themeColor="text1"/>
          <w:highlight w:val="none"/>
          <w14:textFill>
            <w14:solidFill>
              <w14:schemeClr w14:val="tx1"/>
            </w14:solidFill>
          </w14:textFill>
        </w:rPr>
        <w:t>自动进样器，</w:t>
      </w:r>
      <w:r>
        <w:rPr>
          <w:rFonts w:hint="eastAsia" w:ascii="宋体" w:hAnsi="宋体" w:eastAsia="宋体" w:cs="宋体"/>
          <w:color w:val="000000" w:themeColor="text1"/>
          <w:szCs w:val="21"/>
          <w:highlight w:val="none"/>
          <w14:textFill>
            <w14:solidFill>
              <w14:schemeClr w14:val="tx1"/>
            </w14:solidFill>
          </w14:textFill>
        </w:rPr>
        <w:t>能容纳至少一个20位消化管架，进行20个样品的无人值守检验。消化后的样品不需转移消化管和样品，只需将消化管架直接放入进样器中，内置机械装置会自动进样检测。</w:t>
      </w:r>
    </w:p>
    <w:p w14:paraId="214D866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具备智能安全监控系统</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包括试管在位和试管更换传感器、蒸汽发生器液位/过压传感器等一系列的安全保护措施，确保操作者安全。内置滴定系统，主机内置</w:t>
      </w:r>
      <w:r>
        <w:rPr>
          <w:rFonts w:hint="eastAsia" w:ascii="宋体" w:hAnsi="宋体" w:cs="宋体"/>
          <w:color w:val="000000" w:themeColor="text1"/>
          <w:szCs w:val="21"/>
          <w:highlight w:val="none"/>
          <w:lang w:val="en-US" w:eastAsia="zh-CN"/>
          <w14:textFill>
            <w14:solidFill>
              <w14:schemeClr w14:val="tx1"/>
            </w14:solidFill>
          </w14:textFill>
        </w:rPr>
        <w:t>操作系统，液晶彩色触摸屏操作。</w:t>
      </w:r>
    </w:p>
    <w:p w14:paraId="416E73B9">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重要参数</w:t>
      </w:r>
      <w:r>
        <w:rPr>
          <w:rFonts w:hint="eastAsia" w:ascii="宋体" w:hAnsi="宋体" w:cs="宋体"/>
          <w:b/>
          <w:bCs/>
          <w:color w:val="000000" w:themeColor="text1"/>
          <w:highlight w:val="none"/>
          <w:lang w:eastAsia="zh-CN"/>
          <w14:textFill>
            <w14:solidFill>
              <w14:schemeClr w14:val="tx1"/>
            </w14:solidFill>
          </w14:textFill>
        </w:rPr>
        <w:t>】</w:t>
      </w:r>
    </w:p>
    <w:p w14:paraId="09D978F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▲1、内置滴定系统</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正压式，滴定酸桶以及所有管路内置在主机箱体内，内置颜色终点自动校正程序，不需人工调整。滴定器容量≥35ml</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滴定过程中不停机情况下滴定器液体可自动充满，并在分析完成后自动回填，而不会影响精度。标准酸位于滴定系统上部，避免气泡产生，最大提高准确度。</w:t>
      </w:r>
    </w:p>
    <w:p w14:paraId="2BA0812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▲2、试剂泵</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采用高精度风箱泵</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机械泵</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，不受环境影响，固定体积加液，加液量稳定</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试剂泵体积0-120ml，每10ml一个步进，应用灵活。长期使用稳定，无需进行试剂泵维护与校正。</w:t>
      </w:r>
    </w:p>
    <w:p w14:paraId="1663527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配备全方位的液位、过温、过压传感器，确保操作者安全。包括：各种安全保护：消化管在位、消化管更换，安全门互锁、蒸汽发生器过温、过压及液位、自动冷却水流量控制、滴定终点液位监控等保护功能。</w:t>
      </w:r>
    </w:p>
    <w:p w14:paraId="190F681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▲4、蒸馏馏出液温度监控：有，直接监控馏出液温度，不可通过监测冷却水温度来间接监控。</w:t>
      </w:r>
    </w:p>
    <w:p w14:paraId="537503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▲5、双蒸馏模式：包括蒸汽平衡添加蒸馏模式及延时蒸馏模式</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 xml:space="preserve"> 蒸汽发生器在0-8小时内可保持待机，停止一段时间后，可快速启动分析。</w:t>
      </w:r>
    </w:p>
    <w:p w14:paraId="7704463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▲6、工业设计中包含不少于4个过载电流保护点，尤其是针对：蒸汽夹阀、接收液泵和碱泵、蒸汽发生器水泵等涉及安全的核心件，进行电流过载保护。</w:t>
      </w:r>
    </w:p>
    <w:p w14:paraId="3D4E53A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▲7、自带软件控制的全自动旋转互锁式透明安全门。实验中全封闭，除非紧急停机，全程实验中由软件控制，不能手动打开。无条件保证操作者的绝对安全。</w:t>
      </w:r>
    </w:p>
    <w:p w14:paraId="6D48D3B4">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一般参数</w:t>
      </w:r>
      <w:r>
        <w:rPr>
          <w:rFonts w:hint="eastAsia" w:ascii="宋体" w:hAnsi="宋体" w:cs="宋体"/>
          <w:b/>
          <w:bCs/>
          <w:color w:val="000000" w:themeColor="text1"/>
          <w:highlight w:val="none"/>
          <w:lang w:eastAsia="zh-CN"/>
          <w14:textFill>
            <w14:solidFill>
              <w14:schemeClr w14:val="tx1"/>
            </w14:solidFill>
          </w14:textFill>
        </w:rPr>
        <w:t>】</w:t>
      </w:r>
    </w:p>
    <w:p w14:paraId="7812B00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1、定氮仪主机内置全自动蛋白质分析控制系统，包括：样品稀释、碱液添加、吸收液和指示剂添加、蒸馏、滴定、计算以及消化管自动排空、滴定缸自动清洗等全自动功能，试管排废能力：200ml可在15s内排空。</w:t>
      </w:r>
    </w:p>
    <w:p w14:paraId="5BB0F79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2、蒸馏旁路</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有，可用于直接蒸馏应用，放置各种规格的吸收瓶容量瓶。</w:t>
      </w:r>
    </w:p>
    <w:p w14:paraId="56CECE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3、通用消化管接头，可直接使用250ml/400ml/750ml消化管。</w:t>
      </w:r>
    </w:p>
    <w:p w14:paraId="2DE1B3D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4、滴定缸：内置于主机，每次开机和完成一个样品检测后自动清洗；馏出液进入滴定缸管路有单向阀设计，防止倒吸。</w:t>
      </w:r>
    </w:p>
    <w:p w14:paraId="180D78A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5、滴定酸桶与滴定缸采用电容式液位感应器，可程序设定任意液位，满足不同实验要求</w:t>
      </w:r>
    </w:p>
    <w:p w14:paraId="265CEF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6、具有冷机预热功能，第一个分析样品前，自动运行预热程序，确保首个样品分析结果。</w:t>
      </w:r>
    </w:p>
    <w:p w14:paraId="2A3FE7C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7、操作界面：彩色触摸屏，中文操作界面</w:t>
      </w:r>
    </w:p>
    <w:p w14:paraId="2CA693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8、蒸馏滴定时间：30mg N用时5分钟；200mg N用时8分钟。</w:t>
      </w:r>
    </w:p>
    <w:p w14:paraId="375E48E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9、消化系统同时适用于100ml/250ml/400ml消化管。</w:t>
      </w:r>
    </w:p>
    <w:p w14:paraId="0AD29BC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10、可对消化参数-温度和时间进行设定，PID可编程的全自动消化控制系统，带有超温保护装置。软件可以设置程序升温和时间。可储存消化应用程序≥250个，应用程序的消化步骤最多可达23步。</w:t>
      </w:r>
    </w:p>
    <w:p w14:paraId="6435662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11、使用250ml规格消化管时，消化固体样品可多达5g，消化液体样品可多达15ml</w:t>
      </w:r>
    </w:p>
    <w:p w14:paraId="0A5CF4A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使用100ml规格消化管时，消化固体样品可多达1g，消化液体样品可多达3ml</w:t>
      </w:r>
    </w:p>
    <w:p w14:paraId="357DE7F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、配排废罩，可将消化过程中产生的废气排走，提供一致的消化条件，并改善工作环境。</w:t>
      </w:r>
    </w:p>
    <w:p w14:paraId="3CA0440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、凯氏定氮仪进样器，</w:t>
      </w:r>
      <w:r>
        <w:rPr>
          <w:rFonts w:hint="eastAsia" w:ascii="宋体" w:hAnsi="宋体" w:eastAsia="宋体" w:cs="宋体"/>
          <w:color w:val="000000" w:themeColor="text1"/>
          <w:szCs w:val="21"/>
          <w:highlight w:val="none"/>
          <w14:textFill>
            <w14:solidFill>
              <w14:schemeClr w14:val="tx1"/>
            </w14:solidFill>
          </w14:textFill>
        </w:rPr>
        <w:t>用于和凯氏定氮仪联用，自动进样，进行无人值守的操作。连续工作8小时以上。外壳是化学染色的可回收材料，耐腐蚀，易清理，使用寿命长。</w:t>
      </w:r>
    </w:p>
    <w:p w14:paraId="50AF9DF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、配置要求</w:t>
      </w:r>
    </w:p>
    <w:p w14:paraId="016824A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全自动定氮仪主机一台</w:t>
      </w:r>
    </w:p>
    <w:p w14:paraId="48C9DA8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20位及以上消化炉一台，排废罩一套</w:t>
      </w:r>
    </w:p>
    <w:p w14:paraId="6D4A181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20位及以上自动进样器一台</w:t>
      </w:r>
    </w:p>
    <w:p w14:paraId="72B00E8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250ml消化管40根</w:t>
      </w:r>
    </w:p>
    <w:p w14:paraId="34B073B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20位及以上250ml消化管架2个</w:t>
      </w:r>
    </w:p>
    <w:p w14:paraId="3813E8D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品目</w:t>
      </w:r>
      <w:r>
        <w:rPr>
          <w:rFonts w:hint="eastAsia" w:ascii="宋体" w:hAnsi="宋体" w:eastAsia="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全自动脂肪测定仪</w:t>
      </w:r>
    </w:p>
    <w:p w14:paraId="7DDFD44B">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【核心参数】</w:t>
      </w:r>
    </w:p>
    <w:p w14:paraId="3FB4948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内置</w:t>
      </w:r>
      <w:r>
        <w:rPr>
          <w:rFonts w:hint="eastAsia" w:ascii="宋体" w:hAnsi="宋体" w:eastAsia="宋体" w:cs="宋体"/>
          <w:color w:val="000000" w:themeColor="text1"/>
          <w:highlight w:val="none"/>
          <w14:textFill>
            <w14:solidFill>
              <w14:schemeClr w14:val="tx1"/>
            </w14:solidFill>
          </w14:textFill>
        </w:rPr>
        <w:t>符合国际及国家标准的索氏浸提方法，检测范围：0.1-100%；重复性：RSD≤1%（5-100%）。批处理能力</w:t>
      </w:r>
      <w:r>
        <w:rPr>
          <w:rFonts w:hint="eastAsia" w:ascii="宋体" w:hAnsi="宋体" w:cs="宋体"/>
          <w:color w:val="000000" w:themeColor="text1"/>
          <w:highlight w:val="none"/>
          <w:lang w:val="en-US" w:eastAsia="zh-CN"/>
          <w14:textFill>
            <w14:solidFill>
              <w14:schemeClr w14:val="tx1"/>
            </w14:solidFill>
          </w14:textFill>
        </w:rPr>
        <w:t>不小于</w:t>
      </w:r>
      <w:r>
        <w:rPr>
          <w:rFonts w:hint="eastAsia" w:ascii="宋体" w:hAnsi="宋体" w:eastAsia="宋体" w:cs="宋体"/>
          <w:color w:val="000000" w:themeColor="text1"/>
          <w:highlight w:val="none"/>
          <w14:textFill>
            <w14:solidFill>
              <w14:schemeClr w14:val="tx1"/>
            </w14:solidFill>
          </w14:textFill>
        </w:rPr>
        <w:t>6个/批。</w:t>
      </w:r>
    </w:p>
    <w:p w14:paraId="3F30A79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★2、可实现所有冷热浸提方法，每个浸提过程包括：热浸提、淋洗和溶剂回收。针对不同溶剂可在室温—285℃之间设置不同的浸提温度。每个步骤可单独设置时间，从0分钟至数十个小时不等。</w:t>
      </w:r>
    </w:p>
    <w:p w14:paraId="067DC25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★3、系统中包括独立的浸提单元和控制单元，将电子控制和溶剂提取分开，能够最大程度的保证操作安全。每个位置可单独加热或关闭，增加操作灵活性。</w:t>
      </w:r>
    </w:p>
    <w:p w14:paraId="53AC377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【重要参数】</w:t>
      </w:r>
    </w:p>
    <w:p w14:paraId="0D7F639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▲1、超温报警功能：三级过温保护（145℃，210℃和330℃），对不同的溶剂采用不同的温度保护，保证操作安全。</w:t>
      </w:r>
    </w:p>
    <w:p w14:paraId="2E234BF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▲2、快速溶剂添加转盘在密闭状态下进行溶剂的添加，避免操作者暴露于溶剂环境。</w:t>
      </w:r>
    </w:p>
    <w:p w14:paraId="2852E7F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▲3、仪器能够独立完成浸提过程，不需要额外配置压缩空气或氮气保护等装置。</w:t>
      </w:r>
    </w:p>
    <w:p w14:paraId="6CC9D6E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▲4、溶剂泄露报警传感器能够探测任何泄漏的溶剂，以保证操作安全。</w:t>
      </w:r>
    </w:p>
    <w:p w14:paraId="307BE44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▲5、溶剂可自动回收，并有溶剂罐排空报警功能，以避免溶剂存在时的误操作，增加安全性。</w:t>
      </w:r>
    </w:p>
    <w:p w14:paraId="3256354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w:t>
      </w:r>
      <w:r>
        <w:rPr>
          <w:rFonts w:hint="eastAsia" w:ascii="宋体" w:hAnsi="宋体" w:cs="宋体"/>
          <w:b/>
          <w:bCs/>
          <w:color w:val="000000" w:themeColor="text1"/>
          <w:highlight w:val="none"/>
          <w:lang w:eastAsia="zh-CN"/>
          <w14:textFill>
            <w14:solidFill>
              <w14:schemeClr w14:val="tx1"/>
            </w14:solidFill>
          </w14:textFill>
        </w:rPr>
        <w:t>一般</w:t>
      </w:r>
      <w:r>
        <w:rPr>
          <w:rFonts w:hint="eastAsia" w:ascii="宋体" w:hAnsi="宋体" w:eastAsia="宋体" w:cs="宋体"/>
          <w:b/>
          <w:bCs/>
          <w:color w:val="000000" w:themeColor="text1"/>
          <w:highlight w:val="none"/>
          <w14:textFill>
            <w14:solidFill>
              <w14:schemeClr w14:val="tx1"/>
            </w14:solidFill>
          </w14:textFill>
        </w:rPr>
        <w:t>参数】</w:t>
      </w:r>
    </w:p>
    <w:p w14:paraId="1FF138B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1、全自动操作系统，运行中不需人员看守，自动关机功能支持过夜操作。内置通风橱功能，避免溶剂蒸气聚集，增加安全性。</w:t>
      </w:r>
    </w:p>
    <w:p w14:paraId="61F7D2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3、自调节的加热板，保证最大的热传递，能够处理宽范围的溶剂，包括沸点</w:t>
      </w:r>
      <w:r>
        <w:rPr>
          <w:rFonts w:hint="eastAsia" w:ascii="宋体" w:hAnsi="宋体" w:eastAsia="宋体" w:cs="宋体"/>
          <w:color w:val="000000" w:themeColor="text1"/>
          <w:highlight w:val="none"/>
          <w:lang w:eastAsia="zh-CN"/>
          <w14:textFill>
            <w14:solidFill>
              <w14:schemeClr w14:val="tx1"/>
            </w14:solidFill>
          </w14:textFill>
        </w:rPr>
        <w:t>较</w:t>
      </w:r>
      <w:r>
        <w:rPr>
          <w:rFonts w:hint="eastAsia" w:ascii="宋体" w:hAnsi="宋体" w:eastAsia="宋体" w:cs="宋体"/>
          <w:color w:val="000000" w:themeColor="text1"/>
          <w:highlight w:val="none"/>
          <w14:textFill>
            <w14:solidFill>
              <w14:schemeClr w14:val="tx1"/>
            </w14:solidFill>
          </w14:textFill>
        </w:rPr>
        <w:t>高的溶剂。</w:t>
      </w:r>
    </w:p>
    <w:p w14:paraId="04A6AD3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4、多种规格的浸提杯可选，能在浸提过程中使用40ml，80ml或110ml的溶剂，增加操作灵活性。</w:t>
      </w:r>
    </w:p>
    <w:p w14:paraId="3E8500A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5、全套的批次处理工具，整个过程中完全避免手工接触和转移滤纸筒及浸提杯，防止样品污染。</w:t>
      </w:r>
    </w:p>
    <w:p w14:paraId="7C47248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6、配置要求</w:t>
      </w:r>
    </w:p>
    <w:p w14:paraId="2414AEA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全自动索氏浸提系统一套：包括浸提单元和控制单元各一个。</w:t>
      </w:r>
    </w:p>
    <w:p w14:paraId="3AFA22F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全套的批次处理工具：包括铝浸提杯2套（12个/套）、密封圈1套、滤筒支架1套，滤筒接头1套（6个/套）、滤纸筒4套（100个）、浸提纸筒装载工具、滤纸筒称样支架、浸提杯把持器1个、浸提杯手夹1个、浸提杯干燥架1个、溶剂添加管和溶剂回收罐。</w:t>
      </w:r>
    </w:p>
    <w:p w14:paraId="03F5C035">
      <w:pPr>
        <w:keepNext w:val="0"/>
        <w:keepLines w:val="0"/>
        <w:pageBreakBefore w:val="0"/>
        <w:widowControl w:val="0"/>
        <w:numPr>
          <w:ilvl w:val="0"/>
          <w:numId w:val="0"/>
        </w:numPr>
        <w:kinsoku/>
        <w:wordWrap/>
        <w:overflowPunct/>
        <w:topLinePunct w:val="0"/>
        <w:autoSpaceDE/>
        <w:autoSpaceDN/>
        <w:bidi w:val="0"/>
        <w:spacing w:line="360" w:lineRule="auto"/>
        <w:ind w:firstLine="422" w:firstLineChars="200"/>
        <w:textAlignment w:val="auto"/>
        <w:outlineLvl w:val="1"/>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（二）商务要求</w:t>
      </w:r>
    </w:p>
    <w:p w14:paraId="17F488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1、付款方式：合同签订后，采购人在收到投标人开具的增值税发票后的10个工作日内支付30%预付款；货物交付、安装、调试且验收合格后，采购人在收到投标人开具的增值税发票后的10个工作日内支付70%尾款。</w:t>
      </w:r>
    </w:p>
    <w:p w14:paraId="725D3C5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2、交货期：合同签订后2个月内。</w:t>
      </w:r>
    </w:p>
    <w:p w14:paraId="32C9F5D5">
      <w:pPr>
        <w:pageBreakBefore w:val="0"/>
        <w:kinsoku/>
        <w:wordWrap/>
        <w:overflowPunct/>
        <w:topLinePunct w:val="0"/>
        <w:autoSpaceDE/>
        <w:autoSpaceDN/>
        <w:bidi w:val="0"/>
        <w:spacing w:line="360" w:lineRule="auto"/>
        <w:ind w:firstLine="420" w:firstLineChars="200"/>
        <w:textAlignment w:val="auto"/>
        <w:outlineLvl w:val="9"/>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全自动凯氏定氮仪、脂肪测定仪质量保证期不低于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则不得高于附件中的相应价格。</w:t>
      </w:r>
    </w:p>
    <w:p w14:paraId="68DEFAF3">
      <w:pPr>
        <w:pageBreakBefore w:val="0"/>
        <w:kinsoku/>
        <w:wordWrap/>
        <w:overflowPunct/>
        <w:topLinePunct w:val="0"/>
        <w:autoSpaceDE/>
        <w:autoSpaceDN/>
        <w:bidi w:val="0"/>
        <w:spacing w:line="360" w:lineRule="auto"/>
        <w:ind w:firstLine="422"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（三）其他</w:t>
      </w:r>
    </w:p>
    <w:p w14:paraId="3351DCED">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落实商品包装、快递包装政府采购需求标准。具体详见投标人须知第35条，在履约验收时按照本条款执行，违反本约定的对照合同违约条款追究违约责任。投标人一旦参与本项目，即完全响应本条款要求。</w:t>
      </w:r>
    </w:p>
    <w:p w14:paraId="3D2C08D8">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根据招标文件要求提供项目交货方案、进度方案、防护方案以及方案的科学合理、完整、切实可行性等内容。</w:t>
      </w:r>
    </w:p>
    <w:p w14:paraId="2F8DD2A6">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根据招标文件要求提供安装方案、调试方案、管理方案以及方案的科学合理、完整、切实可行性等内容。</w:t>
      </w:r>
    </w:p>
    <w:p w14:paraId="0719D6E9">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根据招标文件要求提供质量控制体系、质量检验标准、质量管理方案以及方案的科学合理、完整、切实可行性等内容。</w:t>
      </w:r>
    </w:p>
    <w:p w14:paraId="05CF7413">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根据招标文件要求提供人员培训方案、技术支持方案、采购人所需的技术和学术支持方案以及方案的科学合理、完整、切实可行性等内容。</w:t>
      </w:r>
    </w:p>
    <w:p w14:paraId="7E6ACE59">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根据招标文件要求提供售后方案、售后人员安排、售后响应措施以及方案的科学合理、完整、切实可行性等内容。</w:t>
      </w:r>
    </w:p>
    <w:p w14:paraId="0475A7BC">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根据招标文件要求提供应急预案、应急处理方案、应急人员安排以及方案的科学合理、完整、切实可行性等内容。</w:t>
      </w:r>
    </w:p>
    <w:p w14:paraId="29C21C62">
      <w:pPr>
        <w:keepNext w:val="0"/>
        <w:keepLines w:val="0"/>
        <w:pageBreakBefore w:val="0"/>
        <w:widowControl w:val="0"/>
        <w:numPr>
          <w:ilvl w:val="0"/>
          <w:numId w:val="0"/>
        </w:numPr>
        <w:kinsoku/>
        <w:wordWrap/>
        <w:overflowPunct/>
        <w:topLinePunct w:val="0"/>
        <w:autoSpaceDE/>
        <w:autoSpaceDN/>
        <w:bidi w:val="0"/>
        <w:spacing w:line="360" w:lineRule="auto"/>
        <w:ind w:firstLine="422"/>
        <w:textAlignment w:val="auto"/>
        <w:outlineLvl w:val="2"/>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包2：</w:t>
      </w:r>
      <w:r>
        <w:rPr>
          <w:rFonts w:hint="eastAsia" w:ascii="宋体" w:hAnsi="宋体" w:eastAsia="宋体" w:cs="宋体"/>
          <w:b/>
          <w:color w:val="000000" w:themeColor="text1"/>
          <w:sz w:val="21"/>
          <w:szCs w:val="21"/>
          <w:highlight w:val="none"/>
          <w14:textFill>
            <w14:solidFill>
              <w14:schemeClr w14:val="tx1"/>
            </w14:solidFill>
          </w14:textFill>
        </w:rPr>
        <w:t>货物需求一览表</w:t>
      </w:r>
    </w:p>
    <w:tbl>
      <w:tblPr>
        <w:tblStyle w:val="39"/>
        <w:tblW w:w="49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9"/>
        <w:gridCol w:w="2977"/>
        <w:gridCol w:w="1523"/>
        <w:gridCol w:w="2041"/>
        <w:gridCol w:w="1185"/>
      </w:tblGrid>
      <w:tr w14:paraId="0202A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 w:hRule="atLeast"/>
          <w:jc w:val="center"/>
        </w:trPr>
        <w:tc>
          <w:tcPr>
            <w:tcW w:w="337" w:type="pct"/>
            <w:shd w:val="clear" w:color="auto" w:fill="auto"/>
            <w:noWrap/>
            <w:tcMar>
              <w:top w:w="15" w:type="dxa"/>
              <w:left w:w="15" w:type="dxa"/>
              <w:right w:w="15" w:type="dxa"/>
            </w:tcMar>
            <w:vAlign w:val="center"/>
          </w:tcPr>
          <w:p w14:paraId="5FB12762">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品目</w:t>
            </w:r>
          </w:p>
        </w:tc>
        <w:tc>
          <w:tcPr>
            <w:tcW w:w="1796" w:type="pct"/>
            <w:shd w:val="clear" w:color="auto" w:fill="auto"/>
            <w:noWrap/>
            <w:tcMar>
              <w:top w:w="15" w:type="dxa"/>
              <w:left w:w="15" w:type="dxa"/>
              <w:right w:w="15" w:type="dxa"/>
            </w:tcMar>
            <w:vAlign w:val="center"/>
          </w:tcPr>
          <w:p w14:paraId="6F90BDFF">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设备名称</w:t>
            </w:r>
          </w:p>
        </w:tc>
        <w:tc>
          <w:tcPr>
            <w:tcW w:w="919" w:type="pct"/>
            <w:shd w:val="clear" w:color="auto" w:fill="FFFFFF"/>
            <w:noWrap/>
            <w:tcMar>
              <w:top w:w="15" w:type="dxa"/>
              <w:left w:w="15" w:type="dxa"/>
              <w:right w:w="15" w:type="dxa"/>
            </w:tcMar>
            <w:vAlign w:val="center"/>
          </w:tcPr>
          <w:p w14:paraId="464B286E">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bidi="ar"/>
                <w14:textFill>
                  <w14:solidFill>
                    <w14:schemeClr w14:val="tx1"/>
                  </w14:solidFill>
                </w14:textFill>
              </w:rPr>
              <w:t>数量</w:t>
            </w:r>
          </w:p>
        </w:tc>
        <w:tc>
          <w:tcPr>
            <w:tcW w:w="1231" w:type="pct"/>
            <w:shd w:val="clear" w:color="auto" w:fill="auto"/>
            <w:noWrap/>
            <w:tcMar>
              <w:top w:w="15" w:type="dxa"/>
              <w:left w:w="15" w:type="dxa"/>
              <w:right w:w="15" w:type="dxa"/>
            </w:tcMar>
            <w:vAlign w:val="center"/>
          </w:tcPr>
          <w:p w14:paraId="74176F5C">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交货地点</w:t>
            </w:r>
          </w:p>
        </w:tc>
        <w:tc>
          <w:tcPr>
            <w:tcW w:w="715" w:type="pct"/>
          </w:tcPr>
          <w:p w14:paraId="43D1ABBC">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备注</w:t>
            </w:r>
          </w:p>
        </w:tc>
      </w:tr>
      <w:tr w14:paraId="64970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jc w:val="center"/>
        </w:trPr>
        <w:tc>
          <w:tcPr>
            <w:tcW w:w="337" w:type="pct"/>
            <w:shd w:val="clear" w:color="auto" w:fill="auto"/>
            <w:noWrap/>
            <w:tcMar>
              <w:top w:w="15" w:type="dxa"/>
              <w:left w:w="15" w:type="dxa"/>
              <w:right w:w="15" w:type="dxa"/>
            </w:tcMar>
            <w:vAlign w:val="center"/>
          </w:tcPr>
          <w:p w14:paraId="04375E28">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w:t>
            </w:r>
          </w:p>
        </w:tc>
        <w:tc>
          <w:tcPr>
            <w:tcW w:w="1796" w:type="pct"/>
            <w:shd w:val="clear" w:color="auto" w:fill="auto"/>
            <w:noWrap/>
            <w:tcMar>
              <w:top w:w="15" w:type="dxa"/>
              <w:left w:w="15" w:type="dxa"/>
              <w:right w:w="15" w:type="dxa"/>
            </w:tcMar>
            <w:vAlign w:val="center"/>
          </w:tcPr>
          <w:p w14:paraId="7A75B06C">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pacing w:val="-10"/>
                <w:sz w:val="21"/>
                <w:szCs w:val="21"/>
                <w:highlight w:val="none"/>
                <w14:textFill>
                  <w14:solidFill>
                    <w14:schemeClr w14:val="tx1"/>
                  </w14:solidFill>
                </w14:textFill>
              </w:rPr>
              <w:t>全自动微生物生化鉴定</w:t>
            </w:r>
            <w:r>
              <w:rPr>
                <w:rFonts w:hint="eastAsia" w:cs="宋体"/>
                <w:b w:val="0"/>
                <w:bCs w:val="0"/>
                <w:color w:val="000000" w:themeColor="text1"/>
                <w:spacing w:val="-10"/>
                <w:sz w:val="21"/>
                <w:szCs w:val="21"/>
                <w:highlight w:val="none"/>
                <w:lang w:val="en-US" w:eastAsia="zh-CN"/>
                <w14:textFill>
                  <w14:solidFill>
                    <w14:schemeClr w14:val="tx1"/>
                  </w14:solidFill>
                </w14:textFill>
              </w:rPr>
              <w:t>系统</w:t>
            </w:r>
          </w:p>
        </w:tc>
        <w:tc>
          <w:tcPr>
            <w:tcW w:w="919" w:type="pct"/>
            <w:shd w:val="clear" w:color="auto" w:fill="FFFFFF"/>
            <w:noWrap/>
            <w:tcMar>
              <w:top w:w="15" w:type="dxa"/>
              <w:left w:w="15" w:type="dxa"/>
              <w:right w:w="15" w:type="dxa"/>
            </w:tcMar>
            <w:vAlign w:val="center"/>
          </w:tcPr>
          <w:p w14:paraId="61E8E480">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231" w:type="pct"/>
            <w:shd w:val="clear" w:color="auto" w:fill="auto"/>
            <w:noWrap/>
            <w:tcMar>
              <w:top w:w="15" w:type="dxa"/>
              <w:left w:w="15" w:type="dxa"/>
              <w:right w:w="15" w:type="dxa"/>
            </w:tcMar>
            <w:vAlign w:val="center"/>
          </w:tcPr>
          <w:p w14:paraId="3BDCB58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扬州市检验检测中心</w:t>
            </w:r>
          </w:p>
          <w:p w14:paraId="6CA9D9D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（扬州市生态科技新城杭集镇龙王路6号）</w:t>
            </w:r>
          </w:p>
          <w:p w14:paraId="7A419FF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或指定地点</w:t>
            </w:r>
          </w:p>
        </w:tc>
        <w:tc>
          <w:tcPr>
            <w:tcW w:w="715" w:type="pct"/>
          </w:tcPr>
          <w:p w14:paraId="600107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p>
        </w:tc>
      </w:tr>
    </w:tbl>
    <w:p w14:paraId="05B96E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【核心参数】</w:t>
      </w:r>
    </w:p>
    <w:p w14:paraId="655413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★1、仪器用于细菌的鉴定及药敏分析，仪器自动化加样，非利用手工重力倾入加样法进行加样，保证生物安全性。</w:t>
      </w:r>
    </w:p>
    <w:p w14:paraId="345191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★2、仪器自动加样，采用真空填充，自动充填。</w:t>
      </w:r>
    </w:p>
    <w:p w14:paraId="339B24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★3、具有</w:t>
      </w:r>
      <w:r>
        <w:rPr>
          <w:rFonts w:hint="eastAsia" w:ascii="宋体" w:hAnsi="宋体" w:cs="宋体"/>
          <w:color w:val="000000" w:themeColor="text1"/>
          <w:sz w:val="21"/>
          <w:szCs w:val="21"/>
          <w:highlight w:val="none"/>
          <w:lang w:val="en-US" w:eastAsia="zh-CN"/>
          <w14:textFill>
            <w14:solidFill>
              <w14:schemeClr w14:val="tx1"/>
            </w14:solidFill>
          </w14:textFill>
        </w:rPr>
        <w:t>至少7</w:t>
      </w:r>
      <w:r>
        <w:rPr>
          <w:rFonts w:hint="eastAsia" w:ascii="宋体" w:hAnsi="宋体" w:eastAsia="宋体" w:cs="宋体"/>
          <w:color w:val="000000" w:themeColor="text1"/>
          <w:sz w:val="21"/>
          <w:szCs w:val="21"/>
          <w:highlight w:val="none"/>
          <w:lang w:val="en-US" w:eastAsia="zh-CN"/>
          <w14:textFill>
            <w14:solidFill>
              <w14:schemeClr w14:val="tx1"/>
            </w14:solidFill>
          </w14:textFill>
        </w:rPr>
        <w:t>种独立鉴定板种类，</w:t>
      </w:r>
      <w:r>
        <w:rPr>
          <w:rFonts w:hint="eastAsia" w:ascii="宋体" w:hAnsi="宋体" w:cs="宋体"/>
          <w:color w:val="000000" w:themeColor="text1"/>
          <w:sz w:val="21"/>
          <w:szCs w:val="21"/>
          <w:highlight w:val="none"/>
          <w:lang w:val="en-US" w:eastAsia="zh-CN"/>
          <w14:textFill>
            <w14:solidFill>
              <w14:schemeClr w14:val="tx1"/>
            </w14:solidFill>
          </w14:textFill>
        </w:rPr>
        <w:t>至少</w:t>
      </w:r>
      <w:r>
        <w:rPr>
          <w:rFonts w:hint="eastAsia" w:ascii="宋体" w:hAnsi="宋体" w:eastAsia="宋体" w:cs="宋体"/>
          <w:color w:val="000000" w:themeColor="text1"/>
          <w:sz w:val="21"/>
          <w:szCs w:val="21"/>
          <w:highlight w:val="none"/>
          <w:lang w:val="en-US" w:eastAsia="zh-CN"/>
          <w14:textFill>
            <w14:solidFill>
              <w14:schemeClr w14:val="tx1"/>
            </w14:solidFill>
          </w14:textFill>
        </w:rPr>
        <w:t>包括：革兰氏阴性杆菌、革兰氏阳性菌、芽孢杆菌、厌氧菌、酵母菌、棒状杆菌</w:t>
      </w:r>
      <w:r>
        <w:rPr>
          <w:rFonts w:hint="eastAsia" w:ascii="宋体" w:hAnsi="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265499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★4、鉴定原理：生化反应比色、比浊法，方法学与GB标准保持一致。</w:t>
      </w:r>
    </w:p>
    <w:p w14:paraId="2D9F8F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★5、药敏：设备具有药敏功能，包括真菌药敏功能。</w:t>
      </w:r>
    </w:p>
    <w:p w14:paraId="6DF325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★6、仪器自动化：仪器内部实现自动加样、自动密封卡片、自动孵育、自动检测，结束后自动退出卡片到回收舱，实验结果、报告自动储存、备份。</w:t>
      </w:r>
    </w:p>
    <w:p w14:paraId="39A488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★7、仪器获得NMPA医疗器械注册证。</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（提供在有效期内的医疗器械注册证复印件）</w:t>
      </w:r>
    </w:p>
    <w:p w14:paraId="394486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★8、仪器能够鉴定革兰氏阴性菌、革兰氏阳性菌、酵母菌、厌氧菌、单核增生李斯特菌、大肠杆菌O157、芽孢杆</w:t>
      </w:r>
      <w:r>
        <w:rPr>
          <w:rFonts w:hint="eastAsia" w:ascii="宋体" w:hAnsi="宋体" w:cs="宋体"/>
          <w:color w:val="000000" w:themeColor="text1"/>
          <w:sz w:val="21"/>
          <w:szCs w:val="21"/>
          <w:highlight w:val="none"/>
          <w:lang w:val="en-US" w:eastAsia="zh-CN"/>
          <w14:textFill>
            <w14:solidFill>
              <w14:schemeClr w14:val="tx1"/>
            </w14:solidFill>
          </w14:textFill>
        </w:rPr>
        <w:t>菌</w:t>
      </w:r>
      <w:bookmarkStart w:id="137" w:name="_GoBack"/>
      <w:bookmarkEnd w:id="137"/>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需附仪器配套菌库作为证明材料）。</w:t>
      </w:r>
    </w:p>
    <w:p w14:paraId="643D11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【重要参数】</w:t>
      </w:r>
    </w:p>
    <w:p w14:paraId="33179B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▲1、可视化触摸操作屏，操作步骤直观展示，导航式步步引导样本上机、故障排除、仪器维护的操作，降低上机操作门槛。</w:t>
      </w:r>
    </w:p>
    <w:p w14:paraId="4B7DBF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▲2、每次同时自动真空充填上样不少于8个卡，每卡所需菌悬液小于4ml。</w:t>
      </w:r>
    </w:p>
    <w:p w14:paraId="0DC00C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▲3、仪器鉴定菌库≥600条目，提供与投标仪器型号一致的配套鉴定菌库。</w:t>
      </w:r>
    </w:p>
    <w:p w14:paraId="590D1F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▲4、具有独立≥60孔全封闭附独立条形码鉴定或药敏卡，加样过程中保证板条全封闭，在机器内部能保证待测样本为全封闭状态，保证生物安全性。</w:t>
      </w:r>
    </w:p>
    <w:p w14:paraId="09E254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▲5、仪器具有配套独立的专用厌氧菌鉴定卡和专用芽孢菌鉴定卡，培养及鉴定厌氧菌无需额外配置任何其它厌氧培养及检测设备即可完成。提供与投标仪器型号一致的配套原版试剂说明书。</w:t>
      </w:r>
    </w:p>
    <w:p w14:paraId="7FC1B9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▲6、主机由一体化的组件构成，紧凑连贯，自动化程度高，仪器尺寸长高宽均≤80cm。</w:t>
      </w:r>
    </w:p>
    <w:p w14:paraId="02A5EE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▲7、配备蓝牙比浊仪，检测浊度范围为0-4.0 麦氏，比浊管插入比浊仪后自动开启电源，无需拔出比浊管，即可连续读数，能存储最后10次测量值，可自动传输McF值至配套仪器系统软件，直观显示的McF 范围及是否匹配，无需人工匹配。</w:t>
      </w:r>
    </w:p>
    <w:p w14:paraId="26F4D7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8、菌悬液配置后，可直接上机，无需额外操作，设备结果完成不需要附加试剂显色。</w:t>
      </w:r>
    </w:p>
    <w:p w14:paraId="3D7A37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【一般参数】</w:t>
      </w:r>
    </w:p>
    <w:p w14:paraId="3A707B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1、光学系统：应用3个不同的波长光读取卡片反应结果。</w:t>
      </w:r>
    </w:p>
    <w:p w14:paraId="56775D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2、鉴定</w:t>
      </w:r>
      <w:r>
        <w:rPr>
          <w:rFonts w:hint="eastAsia" w:ascii="宋体" w:hAnsi="宋体" w:cs="宋体"/>
          <w:color w:val="000000" w:themeColor="text1"/>
          <w:sz w:val="21"/>
          <w:szCs w:val="21"/>
          <w:highlight w:val="none"/>
          <w:lang w:val="en-US" w:eastAsia="zh-CN"/>
          <w14:textFill>
            <w14:solidFill>
              <w14:schemeClr w14:val="tx1"/>
            </w14:solidFill>
          </w14:textFill>
        </w:rPr>
        <w:t>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速度：革兰氏阴性菌2～10小时；革兰氏阳性菌2～8小时。</w:t>
      </w:r>
    </w:p>
    <w:p w14:paraId="4F2386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鉴定分类</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到属、种、亚种。</w:t>
      </w:r>
    </w:p>
    <w:p w14:paraId="793872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、软件不定期免费升级，鉴定项目可以增加。</w:t>
      </w:r>
    </w:p>
    <w:p w14:paraId="5DFF4A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、检测方法：采用动态法检测，平均≤15分钟检测一次。</w:t>
      </w:r>
    </w:p>
    <w:p w14:paraId="198282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、用户可通过程序自行建立鉴定数据库，鉴定变种菌株。</w:t>
      </w:r>
    </w:p>
    <w:p w14:paraId="532C1F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、在仪器使用期限内无需校正耗材及费用。</w:t>
      </w:r>
    </w:p>
    <w:p w14:paraId="7415D6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、标准化及可溯源性：通过扫描条形码将标本信息录入电脑软件，实现标本的数据化控制，鉴定卡片上的条形码读出卡片类型，鉴定卡和标本信息关联，避免人为误差。</w:t>
      </w:r>
    </w:p>
    <w:p w14:paraId="2A8855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、具有数据管理功能：包括数据文件备份、合并、浏览、编辑及表格处理。统计功能可进行数十种表格的统计，并可手工输入人工鉴定结果参与数据库的分析。</w:t>
      </w:r>
    </w:p>
    <w:p w14:paraId="5144CC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、无需专用的培养基，无需石蜡油密封，无需做任何附加试验。</w:t>
      </w:r>
    </w:p>
    <w:p w14:paraId="19DA4116">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、联网功能：有电脑双向连线作业功能，直接与LIMS系统连接，免费开放通讯接口。</w:t>
      </w:r>
    </w:p>
    <w:p w14:paraId="170B216F">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配置清单</w:t>
      </w:r>
    </w:p>
    <w:p w14:paraId="3FA7672F">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主机1台</w:t>
      </w:r>
    </w:p>
    <w:p w14:paraId="3835E5B1">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数据处理系统及鉴定数据库1套</w:t>
      </w:r>
    </w:p>
    <w:p w14:paraId="615E4E28">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专用电脑操作系统1套</w:t>
      </w:r>
    </w:p>
    <w:p w14:paraId="5C3D3AC9">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不间断电源1台</w:t>
      </w:r>
    </w:p>
    <w:p w14:paraId="188320F1">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电子比浊器1台</w:t>
      </w:r>
    </w:p>
    <w:p w14:paraId="5F3A59F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条码读出器1台</w:t>
      </w:r>
    </w:p>
    <w:p w14:paraId="1B63B2B6">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操作手册1本</w:t>
      </w:r>
    </w:p>
    <w:p w14:paraId="161D7BD0">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加样枪1套</w:t>
      </w:r>
    </w:p>
    <w:p w14:paraId="42F9E93D">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稳压器1台</w:t>
      </w:r>
    </w:p>
    <w:p w14:paraId="34D37BF2">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分液器1台</w:t>
      </w:r>
    </w:p>
    <w:p w14:paraId="3024102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电脑1台</w:t>
      </w:r>
    </w:p>
    <w:p w14:paraId="4D4B7E9A">
      <w:pPr>
        <w:keepNext w:val="0"/>
        <w:keepLines w:val="0"/>
        <w:pageBreakBefore w:val="0"/>
        <w:widowControl w:val="0"/>
        <w:numPr>
          <w:ilvl w:val="0"/>
          <w:numId w:val="0"/>
        </w:numPr>
        <w:kinsoku/>
        <w:wordWrap/>
        <w:overflowPunct/>
        <w:topLinePunct w:val="0"/>
        <w:autoSpaceDE/>
        <w:autoSpaceDN/>
        <w:bidi w:val="0"/>
        <w:spacing w:line="360" w:lineRule="auto"/>
        <w:ind w:firstLine="422" w:firstLineChars="200"/>
        <w:textAlignment w:val="auto"/>
        <w:outlineLvl w:val="1"/>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（二）商务要求</w:t>
      </w:r>
    </w:p>
    <w:p w14:paraId="668DAD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1、付款方式：合同签订后，采购人在收到投标人开具的增值税发票后的10个工作日内支付30%预付款；货物交付、安装、调试且验收合格后，采购人在收到投标人开具的增值税发票后的10个工作日内支付70%尾款。</w:t>
      </w:r>
    </w:p>
    <w:p w14:paraId="677278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2、交货期：合同签订后2个月内。</w:t>
      </w:r>
    </w:p>
    <w:p w14:paraId="44AA5EE3">
      <w:pPr>
        <w:pageBreakBefore w:val="0"/>
        <w:kinsoku/>
        <w:wordWrap/>
        <w:overflowPunct/>
        <w:topLinePunct w:val="0"/>
        <w:autoSpaceDE/>
        <w:autoSpaceDN/>
        <w:bidi w:val="0"/>
        <w:spacing w:line="360" w:lineRule="auto"/>
        <w:ind w:firstLine="420" w:firstLineChars="200"/>
        <w:jc w:val="left"/>
        <w:textAlignment w:val="auto"/>
        <w:outlineLvl w:val="9"/>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全自动微生物生化鉴定系统质量保证期不低于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则不得高于附件中的相应价格。</w:t>
      </w:r>
    </w:p>
    <w:p w14:paraId="01460C3E">
      <w:pPr>
        <w:pageBreakBefore w:val="0"/>
        <w:kinsoku/>
        <w:wordWrap/>
        <w:overflowPunct/>
        <w:topLinePunct w:val="0"/>
        <w:autoSpaceDE/>
        <w:autoSpaceDN/>
        <w:bidi w:val="0"/>
        <w:spacing w:line="360" w:lineRule="auto"/>
        <w:ind w:firstLine="422"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（三）其他</w:t>
      </w:r>
    </w:p>
    <w:p w14:paraId="713E438D">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落实商品包装、快递包装政府采购需求标准。具体详见投标人须知第35条，在履约验收时按照本条款执行，违反本约定的对照合同违约条款追究违约责任。投标人一旦参与本项目，即完全响应本条款要求。</w:t>
      </w:r>
    </w:p>
    <w:p w14:paraId="0CF384E0">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根据招标文件要求提供项目交货方案、进度方案、防护方案以及方案的科学合理、完整、切实可行性等内容。</w:t>
      </w:r>
    </w:p>
    <w:p w14:paraId="26FC6479">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根据招标文件要求提供安装方案、调试方案、管理方案以及方案的科学合理、完整、切实可行性等内容。</w:t>
      </w:r>
    </w:p>
    <w:p w14:paraId="3D1F7DD2">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根据招标文件要求提供质量控制体系、质量检验标准、质量管理方案以及方案的科学合理、完整、切实可行性等内容。</w:t>
      </w:r>
    </w:p>
    <w:p w14:paraId="1A7079FF">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根据招标文件要求提供人员培训方案、技术支持方案、采购人所需的技术和学术支持方案以及方案的科学合理、完整、切实可行性等内容。</w:t>
      </w:r>
    </w:p>
    <w:p w14:paraId="13897EA3">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根据招标文件要求提供售后方案、售后人员安排、售后响应措施以及方案的科学合理、完整、切实可行性等内容。</w:t>
      </w:r>
    </w:p>
    <w:p w14:paraId="59C476F1">
      <w:pPr>
        <w:pageBreakBefore w:val="0"/>
        <w:kinsoku/>
        <w:wordWrap/>
        <w:overflowPunct/>
        <w:topLinePunct w:val="0"/>
        <w:autoSpaceDE/>
        <w:autoSpaceDN/>
        <w:bidi w:val="0"/>
        <w:spacing w:line="360" w:lineRule="auto"/>
        <w:ind w:firstLine="420" w:firstLineChars="200"/>
        <w:jc w:val="left"/>
        <w:textAlignment w:val="auto"/>
        <w:outlineLvl w:val="9"/>
        <w:rPr>
          <w:rFonts w:hint="eastAsia"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根据招标文件要求提供应急预案、应急处理方案、应急人员安排以及方案的科学合理、完整、切实可行性等内容。</w:t>
      </w:r>
    </w:p>
    <w:p w14:paraId="1E4E46E1">
      <w:pPr>
        <w:pageBreakBefore w:val="0"/>
        <w:kinsoku/>
        <w:wordWrap/>
        <w:overflowPunct/>
        <w:topLinePunct w:val="0"/>
        <w:autoSpaceDE/>
        <w:autoSpaceDN/>
        <w:bidi w:val="0"/>
        <w:spacing w:line="360" w:lineRule="auto"/>
        <w:jc w:val="left"/>
        <w:textAlignment w:val="auto"/>
        <w:outlineLvl w:val="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包3：</w:t>
      </w:r>
      <w:r>
        <w:rPr>
          <w:rFonts w:hint="eastAsia" w:ascii="宋体" w:hAnsi="宋体" w:eastAsia="宋体" w:cs="宋体"/>
          <w:b/>
          <w:color w:val="000000" w:themeColor="text1"/>
          <w:sz w:val="21"/>
          <w:szCs w:val="21"/>
          <w:highlight w:val="none"/>
          <w14:textFill>
            <w14:solidFill>
              <w14:schemeClr w14:val="tx1"/>
            </w14:solidFill>
          </w14:textFill>
        </w:rPr>
        <w:t>货物需求一览表</w:t>
      </w:r>
    </w:p>
    <w:tbl>
      <w:tblPr>
        <w:tblStyle w:val="39"/>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0"/>
        <w:gridCol w:w="3003"/>
        <w:gridCol w:w="1289"/>
        <w:gridCol w:w="2284"/>
        <w:gridCol w:w="1232"/>
      </w:tblGrid>
      <w:tr w14:paraId="7F05B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51" w:type="pct"/>
            <w:shd w:val="clear" w:color="auto" w:fill="auto"/>
            <w:noWrap/>
            <w:tcMar>
              <w:top w:w="15" w:type="dxa"/>
              <w:left w:w="15" w:type="dxa"/>
              <w:right w:w="15" w:type="dxa"/>
            </w:tcMar>
            <w:vAlign w:val="center"/>
          </w:tcPr>
          <w:p w14:paraId="000F63F7">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品目</w:t>
            </w:r>
          </w:p>
        </w:tc>
        <w:tc>
          <w:tcPr>
            <w:tcW w:w="1787" w:type="pct"/>
            <w:shd w:val="clear" w:color="auto" w:fill="auto"/>
            <w:noWrap/>
            <w:tcMar>
              <w:top w:w="15" w:type="dxa"/>
              <w:left w:w="15" w:type="dxa"/>
              <w:right w:w="15" w:type="dxa"/>
            </w:tcMar>
            <w:vAlign w:val="center"/>
          </w:tcPr>
          <w:p w14:paraId="5056493E">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设备名称</w:t>
            </w:r>
          </w:p>
        </w:tc>
        <w:tc>
          <w:tcPr>
            <w:tcW w:w="767" w:type="pct"/>
            <w:shd w:val="clear" w:color="auto" w:fill="FFFFFF"/>
            <w:noWrap/>
            <w:tcMar>
              <w:top w:w="15" w:type="dxa"/>
              <w:left w:w="15" w:type="dxa"/>
              <w:right w:w="15" w:type="dxa"/>
            </w:tcMar>
            <w:vAlign w:val="center"/>
          </w:tcPr>
          <w:p w14:paraId="508AA677">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数量</w:t>
            </w:r>
          </w:p>
        </w:tc>
        <w:tc>
          <w:tcPr>
            <w:tcW w:w="1359" w:type="pct"/>
            <w:shd w:val="clear" w:color="auto" w:fill="auto"/>
            <w:noWrap/>
            <w:tcMar>
              <w:top w:w="15" w:type="dxa"/>
              <w:left w:w="15" w:type="dxa"/>
              <w:right w:w="15" w:type="dxa"/>
            </w:tcMar>
            <w:vAlign w:val="center"/>
          </w:tcPr>
          <w:p w14:paraId="17C37224">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交货地点</w:t>
            </w:r>
          </w:p>
        </w:tc>
        <w:tc>
          <w:tcPr>
            <w:tcW w:w="733" w:type="pct"/>
            <w:shd w:val="clear" w:color="auto" w:fill="auto"/>
            <w:noWrap/>
            <w:tcMar>
              <w:top w:w="15" w:type="dxa"/>
              <w:left w:w="15" w:type="dxa"/>
              <w:right w:w="15" w:type="dxa"/>
            </w:tcMar>
            <w:vAlign w:val="center"/>
          </w:tcPr>
          <w:p w14:paraId="40B561C0">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备注</w:t>
            </w:r>
          </w:p>
        </w:tc>
      </w:tr>
      <w:tr w14:paraId="0FE7F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51" w:type="pct"/>
            <w:shd w:val="clear" w:color="auto" w:fill="auto"/>
            <w:noWrap/>
            <w:tcMar>
              <w:top w:w="15" w:type="dxa"/>
              <w:left w:w="15" w:type="dxa"/>
              <w:right w:w="15" w:type="dxa"/>
            </w:tcMar>
            <w:vAlign w:val="center"/>
          </w:tcPr>
          <w:p w14:paraId="4CFBF574">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1787" w:type="pct"/>
            <w:shd w:val="clear" w:color="auto" w:fill="auto"/>
            <w:noWrap/>
            <w:tcMar>
              <w:top w:w="15" w:type="dxa"/>
              <w:left w:w="15" w:type="dxa"/>
              <w:right w:w="15" w:type="dxa"/>
            </w:tcMar>
            <w:vAlign w:val="center"/>
          </w:tcPr>
          <w:p w14:paraId="737DA3D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火焰/石墨炉原子吸收光谱仪</w:t>
            </w:r>
          </w:p>
        </w:tc>
        <w:tc>
          <w:tcPr>
            <w:tcW w:w="767" w:type="pct"/>
            <w:shd w:val="clear" w:color="auto" w:fill="FFFFFF"/>
            <w:noWrap/>
            <w:tcMar>
              <w:top w:w="15" w:type="dxa"/>
              <w:left w:w="15" w:type="dxa"/>
              <w:right w:w="15" w:type="dxa"/>
            </w:tcMar>
            <w:vAlign w:val="center"/>
          </w:tcPr>
          <w:p w14:paraId="35C85FD5">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1359" w:type="pct"/>
            <w:vMerge w:val="restart"/>
            <w:shd w:val="clear" w:color="auto" w:fill="auto"/>
            <w:noWrap/>
            <w:tcMar>
              <w:top w:w="15" w:type="dxa"/>
              <w:left w:w="15" w:type="dxa"/>
              <w:right w:w="15" w:type="dxa"/>
            </w:tcMar>
            <w:vAlign w:val="center"/>
          </w:tcPr>
          <w:p w14:paraId="16C24E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扬州市检验检测中心</w:t>
            </w:r>
          </w:p>
          <w:p w14:paraId="4C02A0B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（扬州市生态科技新城杭集镇龙王路6号）</w:t>
            </w:r>
          </w:p>
          <w:p w14:paraId="0412BF3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指定地点</w:t>
            </w:r>
          </w:p>
        </w:tc>
        <w:tc>
          <w:tcPr>
            <w:tcW w:w="733" w:type="pct"/>
            <w:shd w:val="clear" w:color="auto" w:fill="auto"/>
            <w:noWrap/>
            <w:tcMar>
              <w:top w:w="15" w:type="dxa"/>
              <w:left w:w="15" w:type="dxa"/>
              <w:right w:w="15" w:type="dxa"/>
            </w:tcMar>
            <w:vAlign w:val="center"/>
          </w:tcPr>
          <w:p w14:paraId="52E2979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核心产品</w:t>
            </w:r>
          </w:p>
        </w:tc>
      </w:tr>
      <w:tr w14:paraId="4D6F2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51" w:type="pct"/>
            <w:shd w:val="clear" w:color="auto" w:fill="auto"/>
            <w:noWrap/>
            <w:tcMar>
              <w:top w:w="15" w:type="dxa"/>
              <w:left w:w="15" w:type="dxa"/>
              <w:right w:w="15" w:type="dxa"/>
            </w:tcMar>
            <w:vAlign w:val="center"/>
          </w:tcPr>
          <w:p w14:paraId="066525B8">
            <w:pPr>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1787" w:type="pct"/>
            <w:shd w:val="clear" w:color="auto" w:fill="auto"/>
            <w:noWrap/>
            <w:tcMar>
              <w:top w:w="15" w:type="dxa"/>
              <w:left w:w="15" w:type="dxa"/>
              <w:right w:w="15" w:type="dxa"/>
            </w:tcMar>
            <w:vAlign w:val="center"/>
          </w:tcPr>
          <w:p w14:paraId="6590337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紫外分光光度计</w:t>
            </w:r>
          </w:p>
        </w:tc>
        <w:tc>
          <w:tcPr>
            <w:tcW w:w="767" w:type="pct"/>
            <w:shd w:val="clear" w:color="auto" w:fill="FFFFFF"/>
            <w:noWrap/>
            <w:tcMar>
              <w:top w:w="15" w:type="dxa"/>
              <w:left w:w="15" w:type="dxa"/>
              <w:right w:w="15" w:type="dxa"/>
            </w:tcMar>
            <w:vAlign w:val="center"/>
          </w:tcPr>
          <w:p w14:paraId="3B238563">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1359" w:type="pct"/>
            <w:vMerge w:val="continue"/>
            <w:shd w:val="clear" w:color="auto" w:fill="auto"/>
            <w:noWrap/>
            <w:tcMar>
              <w:top w:w="15" w:type="dxa"/>
              <w:left w:w="15" w:type="dxa"/>
              <w:right w:w="15" w:type="dxa"/>
            </w:tcMar>
            <w:vAlign w:val="center"/>
          </w:tcPr>
          <w:p w14:paraId="16CFEE5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733" w:type="pct"/>
            <w:shd w:val="clear" w:color="auto" w:fill="auto"/>
            <w:noWrap/>
            <w:tcMar>
              <w:top w:w="15" w:type="dxa"/>
              <w:left w:w="15" w:type="dxa"/>
              <w:right w:w="15" w:type="dxa"/>
            </w:tcMar>
            <w:vAlign w:val="center"/>
          </w:tcPr>
          <w:p w14:paraId="7F2A474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r>
      <w:tr w14:paraId="24656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51" w:type="pct"/>
            <w:shd w:val="clear" w:color="auto" w:fill="auto"/>
            <w:noWrap/>
            <w:tcMar>
              <w:top w:w="15" w:type="dxa"/>
              <w:left w:w="15" w:type="dxa"/>
              <w:right w:w="15" w:type="dxa"/>
            </w:tcMar>
            <w:vAlign w:val="center"/>
          </w:tcPr>
          <w:p w14:paraId="2A00175E">
            <w:pPr>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787" w:type="pct"/>
            <w:shd w:val="clear" w:color="auto" w:fill="auto"/>
            <w:noWrap/>
            <w:tcMar>
              <w:top w:w="15" w:type="dxa"/>
              <w:left w:w="15" w:type="dxa"/>
              <w:right w:w="15" w:type="dxa"/>
            </w:tcMar>
            <w:vAlign w:val="center"/>
          </w:tcPr>
          <w:p w14:paraId="739407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全自动电位滴定仪</w:t>
            </w:r>
          </w:p>
        </w:tc>
        <w:tc>
          <w:tcPr>
            <w:tcW w:w="767" w:type="pct"/>
            <w:shd w:val="clear" w:color="auto" w:fill="FFFFFF"/>
            <w:noWrap/>
            <w:tcMar>
              <w:top w:w="15" w:type="dxa"/>
              <w:left w:w="15" w:type="dxa"/>
              <w:right w:w="15" w:type="dxa"/>
            </w:tcMar>
            <w:vAlign w:val="center"/>
          </w:tcPr>
          <w:p w14:paraId="2C5AE8B1">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1359" w:type="pct"/>
            <w:vMerge w:val="continue"/>
            <w:shd w:val="clear" w:color="auto" w:fill="auto"/>
            <w:noWrap/>
            <w:tcMar>
              <w:top w:w="15" w:type="dxa"/>
              <w:left w:w="15" w:type="dxa"/>
              <w:right w:w="15" w:type="dxa"/>
            </w:tcMar>
            <w:vAlign w:val="center"/>
          </w:tcPr>
          <w:p w14:paraId="0B283DF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733" w:type="pct"/>
            <w:shd w:val="clear" w:color="auto" w:fill="auto"/>
            <w:noWrap/>
            <w:tcMar>
              <w:top w:w="15" w:type="dxa"/>
              <w:left w:w="15" w:type="dxa"/>
              <w:right w:w="15" w:type="dxa"/>
            </w:tcMar>
            <w:vAlign w:val="center"/>
          </w:tcPr>
          <w:p w14:paraId="538872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r>
      <w:tr w14:paraId="02D44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51" w:type="pct"/>
            <w:shd w:val="clear" w:color="auto" w:fill="auto"/>
            <w:noWrap/>
            <w:tcMar>
              <w:top w:w="15" w:type="dxa"/>
              <w:left w:w="15" w:type="dxa"/>
              <w:right w:w="15" w:type="dxa"/>
            </w:tcMar>
            <w:vAlign w:val="center"/>
          </w:tcPr>
          <w:p w14:paraId="0F125F25">
            <w:pPr>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1787" w:type="pct"/>
            <w:shd w:val="clear" w:color="auto" w:fill="auto"/>
            <w:noWrap/>
            <w:tcMar>
              <w:top w:w="15" w:type="dxa"/>
              <w:left w:w="15" w:type="dxa"/>
              <w:right w:w="15" w:type="dxa"/>
            </w:tcMar>
            <w:vAlign w:val="center"/>
          </w:tcPr>
          <w:p w14:paraId="7063694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超低温冰箱</w:t>
            </w:r>
          </w:p>
        </w:tc>
        <w:tc>
          <w:tcPr>
            <w:tcW w:w="767" w:type="pct"/>
            <w:shd w:val="clear" w:color="auto" w:fill="FFFFFF"/>
            <w:noWrap/>
            <w:tcMar>
              <w:top w:w="15" w:type="dxa"/>
              <w:left w:w="15" w:type="dxa"/>
              <w:right w:w="15" w:type="dxa"/>
            </w:tcMar>
            <w:vAlign w:val="center"/>
          </w:tcPr>
          <w:p w14:paraId="736AC954">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1359" w:type="pct"/>
            <w:vMerge w:val="continue"/>
            <w:shd w:val="clear" w:color="auto" w:fill="auto"/>
            <w:noWrap/>
            <w:tcMar>
              <w:top w:w="15" w:type="dxa"/>
              <w:left w:w="15" w:type="dxa"/>
              <w:right w:w="15" w:type="dxa"/>
            </w:tcMar>
            <w:vAlign w:val="center"/>
          </w:tcPr>
          <w:p w14:paraId="0079E69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733" w:type="pct"/>
            <w:shd w:val="clear" w:color="auto" w:fill="auto"/>
            <w:noWrap/>
            <w:tcMar>
              <w:top w:w="15" w:type="dxa"/>
              <w:left w:w="15" w:type="dxa"/>
              <w:right w:w="15" w:type="dxa"/>
            </w:tcMar>
            <w:vAlign w:val="center"/>
          </w:tcPr>
          <w:p w14:paraId="5C8205B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r>
    </w:tbl>
    <w:p w14:paraId="4E0CC5E5">
      <w:pPr>
        <w:keepNext w:val="0"/>
        <w:keepLines w:val="0"/>
        <w:pageBreakBefore w:val="0"/>
        <w:widowControl w:val="0"/>
        <w:numPr>
          <w:ilvl w:val="0"/>
          <w:numId w:val="3"/>
        </w:numPr>
        <w:kinsoku/>
        <w:wordWrap/>
        <w:overflowPunct/>
        <w:topLinePunct w:val="0"/>
        <w:autoSpaceDE/>
        <w:autoSpaceDN/>
        <w:bidi w:val="0"/>
        <w:spacing w:line="360" w:lineRule="auto"/>
        <w:ind w:firstLine="422"/>
        <w:textAlignment w:val="auto"/>
        <w:outlineLvl w:val="1"/>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、技术要求</w:t>
      </w:r>
    </w:p>
    <w:p w14:paraId="3C9FE885">
      <w:pPr>
        <w:keepNext w:val="0"/>
        <w:keepLines w:val="0"/>
        <w:pageBreakBefore w:val="0"/>
        <w:widowControl w:val="0"/>
        <w:numPr>
          <w:ilvl w:val="0"/>
          <w:numId w:val="0"/>
        </w:numPr>
        <w:kinsoku/>
        <w:wordWrap/>
        <w:overflowPunct/>
        <w:topLinePunct w:val="0"/>
        <w:autoSpaceDE/>
        <w:autoSpaceDN/>
        <w:bidi w:val="0"/>
        <w:spacing w:line="360" w:lineRule="auto"/>
        <w:textAlignment w:val="auto"/>
        <w:outlineLvl w:val="2"/>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品目1：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火焰/石墨炉原子吸收光谱仪</w:t>
      </w:r>
    </w:p>
    <w:p w14:paraId="59250D8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【核心参数】</w:t>
      </w:r>
    </w:p>
    <w:p w14:paraId="53C837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自动快速选择元素灯</w:t>
      </w:r>
      <w:r>
        <w:rPr>
          <w:rFonts w:hint="eastAsia"/>
          <w:color w:val="000000" w:themeColor="text1"/>
          <w:highlight w:val="none"/>
          <w:lang w:eastAsia="zh-CN"/>
          <w14:textFill>
            <w14:solidFill>
              <w14:schemeClr w14:val="tx1"/>
            </w14:solidFill>
          </w14:textFill>
        </w:rPr>
        <w:t>。</w:t>
      </w:r>
    </w:p>
    <w:p w14:paraId="69E512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火焰和石墨炉都具有独立的光学平台和检测系统</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系统为火焰、石墨炉分体机设计或者一体化设计</w:t>
      </w:r>
      <w:r>
        <w:rPr>
          <w:rFonts w:hint="eastAsia"/>
          <w:color w:val="000000" w:themeColor="text1"/>
          <w:highlight w:val="none"/>
          <w:lang w:eastAsia="zh-CN"/>
          <w14:textFill>
            <w14:solidFill>
              <w14:schemeClr w14:val="tx1"/>
            </w14:solidFill>
          </w14:textFill>
        </w:rPr>
        <w:t>。</w:t>
      </w:r>
    </w:p>
    <w:p w14:paraId="330BFA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具备石墨炉稳定温度控制技术</w:t>
      </w:r>
      <w:r>
        <w:rPr>
          <w:rFonts w:hint="eastAsia"/>
          <w:color w:val="000000" w:themeColor="text1"/>
          <w:highlight w:val="none"/>
          <w:lang w:eastAsia="zh-CN"/>
          <w14:textFill>
            <w14:solidFill>
              <w14:schemeClr w14:val="tx1"/>
            </w14:solidFill>
          </w14:textFill>
        </w:rPr>
        <w:t>。</w:t>
      </w:r>
    </w:p>
    <w:p w14:paraId="7CB6B2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cs="Times New Roman"/>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全谱高灵敏度阵列式多象素点CCD固态检测器或者2根光电倍增管检测器。</w:t>
      </w:r>
    </w:p>
    <w:p w14:paraId="7E1D15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cs="Times New Roman"/>
          <w:color w:val="000000" w:themeColor="text1"/>
          <w:highlight w:val="none"/>
          <w:lang w:val="en-US" w:eastAsia="zh-CN"/>
          <w14:textFill>
            <w14:solidFill>
              <w14:schemeClr w14:val="tx1"/>
            </w14:solidFill>
          </w14:textFill>
        </w:rPr>
        <w:t>5</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石墨炉采用纵向塞曼背景校正，横向加热方式</w:t>
      </w:r>
      <w:r>
        <w:rPr>
          <w:rFonts w:hint="eastAsia" w:eastAsia="宋体" w:cs="Times New Roman"/>
          <w:color w:val="000000" w:themeColor="text1"/>
          <w:highlight w:val="none"/>
          <w:lang w:eastAsia="zh-CN"/>
          <w14:textFill>
            <w14:solidFill>
              <w14:schemeClr w14:val="tx1"/>
            </w14:solidFill>
          </w14:textFill>
        </w:rPr>
        <w:t>。</w:t>
      </w:r>
    </w:p>
    <w:p w14:paraId="255ADB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cs="Times New Roman"/>
          <w:color w:val="000000" w:themeColor="text1"/>
          <w:highlight w:val="none"/>
          <w:lang w:val="en-US" w:eastAsia="zh-CN"/>
          <w14:textFill>
            <w14:solidFill>
              <w14:schemeClr w14:val="tx1"/>
            </w14:solidFill>
          </w14:textFill>
        </w:rPr>
        <w:t>6</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灯选择：火焰≥8灯座（独立灯座），石墨≥8灯座（独立灯座），火焰和石墨炉分别做样分析8种元素无需换灯</w:t>
      </w:r>
      <w:r>
        <w:rPr>
          <w:rFonts w:hint="eastAsia" w:eastAsia="宋体" w:cs="Times New Roman"/>
          <w:color w:val="000000" w:themeColor="text1"/>
          <w:highlight w:val="none"/>
          <w:lang w:eastAsia="zh-CN"/>
          <w14:textFill>
            <w14:solidFill>
              <w14:schemeClr w14:val="tx1"/>
            </w14:solidFill>
          </w14:textFill>
        </w:rPr>
        <w:t>。</w:t>
      </w:r>
    </w:p>
    <w:p w14:paraId="0DAA1C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【重要参数】</w:t>
      </w:r>
    </w:p>
    <w:p w14:paraId="6D6D8A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电源：石墨炉电源内置，整个仪器为一个整体。</w:t>
      </w:r>
    </w:p>
    <w:p w14:paraId="3204C9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火焰进样系统维护方便，如：雾化器端盖打开，拿出放回扰流器再全部重新装好，可以在30秒内完全，方便快捷。</w:t>
      </w:r>
    </w:p>
    <w:p w14:paraId="0205AB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石墨炉加氧除碳炉内消解装置：在石墨炉灰化阶段软件可自动控制加氧时间和流量，软件流量最大可设置250ml/min，对食品、悬浮奶粉、食品添加剂等直接进样，无需样品消解，测量样品中的铅和砷，12.5ppb的加标回收率在95-105%范围，RSD小于3%。</w:t>
      </w:r>
    </w:p>
    <w:p w14:paraId="5AFEC7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石墨炉自动进样器≥146位（一次满载样品量），并带一个取样嘴清洗池。进样量1-99微升连续可调。自动进样器由主机供电并由软件控制。</w:t>
      </w:r>
    </w:p>
    <w:p w14:paraId="50FBEC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5</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石墨炉必须配备全彩色摄像装置，监控温度&gt; 1000度，以便实时监测石墨炉进样针的位置、样品溶液的干燥、灰化、原子化和清洗等全过程</w:t>
      </w:r>
    </w:p>
    <w:p w14:paraId="1A4647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【一般参数】</w:t>
      </w:r>
    </w:p>
    <w:p w14:paraId="3DDFA3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工作条件</w:t>
      </w:r>
    </w:p>
    <w:p w14:paraId="79B24C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电源要求：</w:t>
      </w:r>
      <w:r>
        <w:rPr>
          <w:rFonts w:hint="eastAsia" w:eastAsia="宋体" w:cs="Times New Roman"/>
          <w:color w:val="000000" w:themeColor="text1"/>
          <w:highlight w:val="none"/>
          <w14:textFill>
            <w14:solidFill>
              <w14:schemeClr w14:val="tx1"/>
            </w14:solidFill>
          </w14:textFill>
        </w:rPr>
        <w:tab/>
      </w:r>
      <w:r>
        <w:rPr>
          <w:rFonts w:hint="eastAsia" w:eastAsia="宋体" w:cs="Times New Roman"/>
          <w:color w:val="000000" w:themeColor="text1"/>
          <w:highlight w:val="none"/>
          <w14:textFill>
            <w14:solidFill>
              <w14:schemeClr w14:val="tx1"/>
            </w14:solidFill>
          </w14:textFill>
        </w:rPr>
        <w:t>230V （+5%~-10%），50/60 Hz；5000VA。</w:t>
      </w:r>
    </w:p>
    <w:p w14:paraId="113762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环境温度：</w:t>
      </w:r>
      <w:r>
        <w:rPr>
          <w:rFonts w:hint="eastAsia" w:eastAsia="宋体" w:cs="Times New Roman"/>
          <w:color w:val="000000" w:themeColor="text1"/>
          <w:highlight w:val="none"/>
          <w14:textFill>
            <w14:solidFill>
              <w14:schemeClr w14:val="tx1"/>
            </w14:solidFill>
          </w14:textFill>
        </w:rPr>
        <w:tab/>
      </w:r>
      <w:r>
        <w:rPr>
          <w:rFonts w:hint="eastAsia" w:eastAsia="宋体" w:cs="Times New Roman"/>
          <w:color w:val="000000" w:themeColor="text1"/>
          <w:highlight w:val="none"/>
          <w14:textFill>
            <w14:solidFill>
              <w14:schemeClr w14:val="tx1"/>
            </w14:solidFill>
          </w14:textFill>
        </w:rPr>
        <w:t>+15℃～+35℃。</w:t>
      </w:r>
    </w:p>
    <w:p w14:paraId="28FB83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相对湿度：</w:t>
      </w:r>
      <w:r>
        <w:rPr>
          <w:rFonts w:hint="eastAsia" w:eastAsia="宋体" w:cs="Times New Roman"/>
          <w:color w:val="000000" w:themeColor="text1"/>
          <w:highlight w:val="none"/>
          <w14:textFill>
            <w14:solidFill>
              <w14:schemeClr w14:val="tx1"/>
            </w14:solidFill>
          </w14:textFill>
        </w:rPr>
        <w:tab/>
      </w:r>
      <w:r>
        <w:rPr>
          <w:rFonts w:hint="eastAsia" w:eastAsia="宋体" w:cs="Times New Roman"/>
          <w:color w:val="000000" w:themeColor="text1"/>
          <w:highlight w:val="none"/>
          <w14:textFill>
            <w14:solidFill>
              <w14:schemeClr w14:val="tx1"/>
            </w14:solidFill>
          </w14:textFill>
        </w:rPr>
        <w:t>20～80%。</w:t>
      </w:r>
    </w:p>
    <w:p w14:paraId="566F63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系统描述</w:t>
      </w:r>
    </w:p>
    <w:p w14:paraId="66CAE4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台式设计原子吸收光谱仪，火焰、石墨炉一体机，并列式设计，切换时燃烧头和石墨管位置保持不变。</w:t>
      </w:r>
    </w:p>
    <w:p w14:paraId="4972C0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用途：进行金属元素和部分非金属元素的定性定量分析。</w:t>
      </w:r>
    </w:p>
    <w:p w14:paraId="4A0FEB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光学系统和检测器技术指标</w:t>
      </w:r>
    </w:p>
    <w:p w14:paraId="0BCBB6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波长范围：190－900nm</w:t>
      </w:r>
    </w:p>
    <w:p w14:paraId="577A50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狭缝：狭缝的宽度自动选择，狭缝的高度自动选择</w:t>
      </w:r>
    </w:p>
    <w:p w14:paraId="15EB3FB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实时双光束，1800线/mm，双闪耀波长236nm和597nm，超大面积光栅</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光栅面积64mm</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72mm；</w:t>
      </w:r>
    </w:p>
    <w:p w14:paraId="59E3D8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火焰系统技术指标</w:t>
      </w:r>
    </w:p>
    <w:p w14:paraId="1581E0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火焰AAS耐HF酸进样系统，耐： 50% </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v/v</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 xml:space="preserve"> HCl、HNO3、H2SO4、H3PO4，20% </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v/v</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 xml:space="preserve"> HF，30% </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w/v</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NaOH以及30%的高盐样品。可调式通用型雾化器，高强度惰性材料预混室，全钛燃烧头。</w:t>
      </w:r>
    </w:p>
    <w:p w14:paraId="3C3DAB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燃烧器系统：预混燃烧器可通过软件控制驱动装置自动换入样品室。火焰在光路中的准直，燃烧器的垂直，水平位置的调节完全自动化，并由软件控制自动进行位置最佳化。</w:t>
      </w:r>
    </w:p>
    <w:p w14:paraId="57C64F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火焰系统安全保护：安全联锁装置与燃烧头，雾化器/端盖，排液系统，废液桶液面高度，气体流量等联锁，防止在任何不当条件下点火，当监测不到火焰或任何锁定功能能激活时，联锁系统会自动关闭燃烧气体，以防万一。突然断电时，仪器会从任何操作方式按预设程序自动关机，确保安全。</w:t>
      </w:r>
    </w:p>
    <w:p w14:paraId="70B05A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火焰AAS的灵敏度，2ppm Cu 吸光度大于0.35，精密度RSD &lt; 0.4%。测量方法按照中华人民共和国国家标准GB/T 21187-2007的4.5.2.1和4.7.2.1试验程序进行。</w:t>
      </w:r>
    </w:p>
    <w:p w14:paraId="6928A8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Cu元素2ppm浓度，一小时连续测试12次/5分钟，每次测试值小于等于1%。</w:t>
      </w:r>
    </w:p>
    <w:p w14:paraId="1DC694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5</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石墨炉系统技术指标</w:t>
      </w:r>
    </w:p>
    <w:p w14:paraId="79760B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石墨炉：内、外气流由计算机分别单独控制。管外的保护气流防止石墨管被外部空气氧化。从而延长管子寿命，内部气流则将干燥和灰化步骤气化的基体成份清出管外。石墨炉的开、闭为计算机气动控制以便于石墨管的更换。</w:t>
      </w:r>
    </w:p>
    <w:p w14:paraId="7695FD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温度控制：红外探头石墨管温度实时监控，具有电压补偿和石墨管电阻变化补偿功能。</w:t>
      </w:r>
    </w:p>
    <w:p w14:paraId="7E832F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石墨管：标准配置为一体化平台（STPF）热解涂层石墨管。</w:t>
      </w:r>
    </w:p>
    <w:p w14:paraId="520C29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编程：可设置多达12步分析程序，每步均可按下列参数编程。</w:t>
      </w:r>
    </w:p>
    <w:p w14:paraId="7B8D71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FIFU功能：具有FIAS与石墨炉联用的功能，可对元素进行全自动的在线预浓缩。氢化物发生过程不受还原速度的影响，样品无需事先还原即可直接进行分析。As（V）、Sb（V）、Se（IV）和Hg（II）等直接分析的检出限为ppt量级。</w:t>
      </w:r>
    </w:p>
    <w:p w14:paraId="706F10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标配石墨炉加氧除碳炉内消解装置：在石墨炉灰化阶段软件可自动控制加氧时间和流量，对油、悬浮奶粉直接进样，无需样品消解，测量油、悬浮奶粉、血液样品中的铅和砷，12.5ppb的加标回收率在95-105%范围，RSD小于2%。</w:t>
      </w:r>
    </w:p>
    <w:p w14:paraId="646C90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石墨炉灵敏度，25ppb Cu 进样20微升，特征质量&lt;16.5pg，精密度RSD&lt;2%。测量方法按照中华人民共和国国家标准GB/T 21187-2007的4.5.2.2、4.6.2.2和4.7.2.2试验程序进行。</w:t>
      </w:r>
    </w:p>
    <w:p w14:paraId="546E70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以石墨炉方法测量1%氯化钠基体溶液中10ppb、20ppb、30ppb、40ppb、50ppb的铅标准溶液，以线性计算截距的校准方式，线性相关系数必须大于0.999（提供证明材料）。</w:t>
      </w:r>
    </w:p>
    <w:p w14:paraId="2B705F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以石墨炉方法测量，2ppb、4ppb、6ppb、8ppb的砷标准溶液，以线性计算截距的校准方式，线性相关系数必须大于0.999以上.</w:t>
      </w:r>
    </w:p>
    <w:p w14:paraId="11F813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石墨炉法样品进样体积（不包含基体改进剂和稀释液体积）60微升测量，测试0ppb、1ppb、2ppb、3ppb、4ppb的铜标准溶液，以线性计算截距的校准方式，线性相关系数必须大于0.999。</w:t>
      </w:r>
    </w:p>
    <w:p w14:paraId="658168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6</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操作软件和计算机技术指标</w:t>
      </w:r>
    </w:p>
    <w:p w14:paraId="107D1B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分析软件：全中文AAS操作软件，和中文帮助软件；而且测量报告也必须为全中文报告。控制软件可以在中文版Windows 11下运行，可以脱离仪器安装在其它计算机上进行模拟运行（模拟点火、熄火、样品分析），同时模拟软件具有数据处理功能，以便于教学、演示和培训。</w:t>
      </w:r>
    </w:p>
    <w:p w14:paraId="5B7675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数据处理：仪器吸收值、浓度或发射强度等读数可在0.01至100倍的范围内扩展。积分时间可按0.1秒的增量在0.1至120秒之间任选，读数方式包括时间平均积分、峰面积和峰高测量法，同时内置数理统计功能。</w:t>
      </w:r>
    </w:p>
    <w:p w14:paraId="120A17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校正曲线：多达15个标准点的各种校正曲线法供选择，可任选单标进行曲线斜率重校。</w:t>
      </w:r>
    </w:p>
    <w:p w14:paraId="10E71D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校正曲线拟合方式大于7种，可以任意选择。</w:t>
      </w:r>
    </w:p>
    <w:p w14:paraId="2251D0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每一元素的测量参数自动优化并推荐最佳值，无需使用者进行估计。</w:t>
      </w:r>
    </w:p>
    <w:p w14:paraId="56890C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具有在主软件运行时同时运行离线数据处理（Offline）的功能；</w:t>
      </w:r>
    </w:p>
    <w:p w14:paraId="2F9310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数据档案管理（Data Manager）功能，支持数据的备份、恢复、删除，支持数据的文本格式输出；</w:t>
      </w:r>
    </w:p>
    <w:p w14:paraId="2ACBE9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7</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服务要求</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安装仪器时，安装工程师需对本标书中提出的性能指标须逐项演示给用户，所有打“★”星号指标需要通过现场验收，无法通过验收则视为投标时虚假应标，做退货处理，并赔偿相应的损失。</w:t>
      </w:r>
    </w:p>
    <w:p w14:paraId="3D0D12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8、</w:t>
      </w:r>
      <w:r>
        <w:rPr>
          <w:rFonts w:hint="eastAsia" w:eastAsia="宋体" w:cs="Times New Roman"/>
          <w:b/>
          <w:bCs/>
          <w:color w:val="000000" w:themeColor="text1"/>
          <w:highlight w:val="none"/>
          <w14:textFill>
            <w14:solidFill>
              <w14:schemeClr w14:val="tx1"/>
            </w14:solidFill>
          </w14:textFill>
        </w:rPr>
        <w:t>配置清单</w:t>
      </w:r>
    </w:p>
    <w:p w14:paraId="5400E2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标准附件箱：1套（包括火焰、石墨炉、自动进样器）。</w:t>
      </w:r>
    </w:p>
    <w:p w14:paraId="76E2D8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横向加热石墨管：8只。</w:t>
      </w:r>
    </w:p>
    <w:p w14:paraId="492E22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空气压缩机和废液分离：1套。</w:t>
      </w:r>
    </w:p>
    <w:p w14:paraId="0F2AF7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循环冷却水系统：1套。</w:t>
      </w:r>
    </w:p>
    <w:p w14:paraId="62AE98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随机中文操作手册和英文操作手册：各1套。</w:t>
      </w:r>
    </w:p>
    <w:p w14:paraId="1D619A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原装编码元素灯：8只。</w:t>
      </w:r>
    </w:p>
    <w:p w14:paraId="1E6BF0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石墨炉加氧除碳炉内消解装置</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1套</w:t>
      </w:r>
      <w:r>
        <w:rPr>
          <w:rFonts w:hint="eastAsia" w:eastAsia="宋体" w:cs="Times New Roman"/>
          <w:color w:val="000000" w:themeColor="text1"/>
          <w:highlight w:val="none"/>
          <w:lang w:eastAsia="zh-CN"/>
          <w14:textFill>
            <w14:solidFill>
              <w14:schemeClr w14:val="tx1"/>
            </w14:solidFill>
          </w14:textFill>
        </w:rPr>
        <w:t>。</w:t>
      </w:r>
    </w:p>
    <w:p w14:paraId="25E0FD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另配UPS电源一套，电脑一台。</w:t>
      </w:r>
    </w:p>
    <w:p w14:paraId="77E61B1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品目2：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紫外分光光度计</w:t>
      </w:r>
    </w:p>
    <w:p w14:paraId="0B86C8E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【核心参数】</w:t>
      </w:r>
    </w:p>
    <w:p w14:paraId="3B17A9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双光束光学系统</w:t>
      </w:r>
    </w:p>
    <w:p w14:paraId="037113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波长范围至少</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 xml:space="preserve"> 190.0～1100.0nm</w:t>
      </w:r>
    </w:p>
    <w:p w14:paraId="2A45DB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波长准确性至少</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 xml:space="preserve"> ±0.3nm</w:t>
      </w:r>
    </w:p>
    <w:p w14:paraId="4A2CC8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波长重复性</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 xml:space="preserve"> ≤0.1nm</w:t>
      </w:r>
    </w:p>
    <w:p w14:paraId="333AFD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b/>
          <w:bCs/>
          <w:color w:val="000000" w:themeColor="text1"/>
          <w:sz w:val="21"/>
          <w:szCs w:val="22"/>
          <w:highlight w:val="none"/>
          <w:lang w:eastAsia="zh-CN"/>
          <w14:textFill>
            <w14:solidFill>
              <w14:schemeClr w14:val="tx1"/>
            </w14:solidFill>
          </w14:textFill>
        </w:rPr>
      </w:pPr>
      <w:r>
        <w:rPr>
          <w:rFonts w:hint="eastAsia" w:eastAsia="宋体"/>
          <w:b/>
          <w:bCs/>
          <w:color w:val="000000" w:themeColor="text1"/>
          <w:sz w:val="21"/>
          <w:szCs w:val="22"/>
          <w:highlight w:val="none"/>
          <w:lang w:eastAsia="zh-CN"/>
          <w14:textFill>
            <w14:solidFill>
              <w14:schemeClr w14:val="tx1"/>
            </w14:solidFill>
          </w14:textFill>
        </w:rPr>
        <w:t>【重要参数】</w:t>
      </w:r>
    </w:p>
    <w:p w14:paraId="438243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光谱带宽</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0.5/1/2/4/5nm 五档可调</w:t>
      </w:r>
    </w:p>
    <w:p w14:paraId="0A9734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olor w:val="000000" w:themeColor="text1"/>
          <w:sz w:val="21"/>
          <w:szCs w:val="22"/>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color w:val="000000" w:themeColor="text1"/>
          <w:sz w:val="21"/>
          <w:szCs w:val="22"/>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ascii="Calibri" w:hAnsi="Calibri" w:eastAsia="宋体"/>
          <w:color w:val="000000" w:themeColor="text1"/>
          <w:sz w:val="21"/>
          <w:szCs w:val="22"/>
          <w:highlight w:val="none"/>
          <w14:textFill>
            <w14:solidFill>
              <w14:schemeClr w14:val="tx1"/>
            </w14:solidFill>
          </w14:textFill>
        </w:rPr>
        <w:t>测量模式：光度测量，定量测量，光谱测量，动力学，时间扫描，多波长测量，生物方法测量，自定义方法测量。标准曲线有测量、系数输入、OD值输入三种定量法；光谱扫描可在设定时间间隔后实现1-99次自动、定时扫描；并可以对图谱三维、求导、谱面积、加减常数处理。</w:t>
      </w:r>
    </w:p>
    <w:p w14:paraId="5604E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s="Times New Roman"/>
          <w:b/>
          <w:bCs/>
          <w:color w:val="000000" w:themeColor="text1"/>
          <w:highlight w:val="none"/>
          <w:lang w:eastAsia="zh-CN"/>
          <w14:textFill>
            <w14:solidFill>
              <w14:schemeClr w14:val="tx1"/>
            </w14:solidFill>
          </w14:textFill>
        </w:rPr>
      </w:pPr>
      <w:r>
        <w:rPr>
          <w:rFonts w:hint="eastAsia" w:eastAsia="宋体" w:cs="Times New Roman"/>
          <w:b/>
          <w:bCs/>
          <w:color w:val="000000" w:themeColor="text1"/>
          <w:highlight w:val="none"/>
          <w:lang w:eastAsia="zh-CN"/>
          <w14:textFill>
            <w14:solidFill>
              <w14:schemeClr w14:val="tx1"/>
            </w14:solidFill>
          </w14:textFill>
        </w:rPr>
        <w:t>【其他参数】</w:t>
      </w:r>
    </w:p>
    <w:p w14:paraId="14F6F6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strike w:val="0"/>
          <w:color w:val="000000" w:themeColor="text1"/>
          <w:sz w:val="21"/>
          <w:szCs w:val="22"/>
          <w:highlight w:val="none"/>
          <w:lang w:val="en-US" w:eastAsia="zh-CN"/>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光源：进口氘灯和钨灯</w:t>
      </w:r>
      <w:r>
        <w:rPr>
          <w:rFonts w:hint="eastAsia" w:cs="Times New Roman"/>
          <w:color w:val="000000" w:themeColor="text1"/>
          <w:sz w:val="21"/>
          <w:szCs w:val="22"/>
          <w:highlight w:val="none"/>
          <w:lang w:val="en-US" w:eastAsia="zh-CN"/>
          <w14:textFill>
            <w14:solidFill>
              <w14:schemeClr w14:val="tx1"/>
            </w14:solidFill>
          </w14:textFill>
        </w:rPr>
        <w:t>。</w:t>
      </w:r>
      <w:r>
        <w:rPr>
          <w:rFonts w:hint="eastAsia" w:eastAsia="宋体" w:cs="Times New Roman"/>
          <w:strike w:val="0"/>
          <w:dstrike w:val="0"/>
          <w:color w:val="000000" w:themeColor="text1"/>
          <w:highlight w:val="none"/>
          <w14:textFill>
            <w14:solidFill>
              <w14:schemeClr w14:val="tx1"/>
            </w14:solidFill>
          </w14:textFill>
        </w:rPr>
        <w:t>标配1-100mm自动五联架。</w:t>
      </w:r>
    </w:p>
    <w:p w14:paraId="5F6900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000000" w:themeColor="text1"/>
          <w:highlight w:val="none"/>
          <w:lang w:eastAsia="zh-CN"/>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、主机包含有性能验证功能，具有波长精度，波长重复性，光度精度，光度重复性，杂散光，分辨率验证功能，方便用户进行仪器性能验证。</w:t>
      </w:r>
      <w:r>
        <w:rPr>
          <w:rFonts w:hint="eastAsia"/>
          <w:b/>
          <w:bCs/>
          <w:color w:val="000000" w:themeColor="text1"/>
          <w:highlight w:val="none"/>
          <w:lang w:eastAsia="zh-CN"/>
          <w14:textFill>
            <w14:solidFill>
              <w14:schemeClr w14:val="tx1"/>
            </w14:solidFill>
          </w14:textFill>
        </w:rPr>
        <w:t>（提供软件截图佐证）</w:t>
      </w:r>
    </w:p>
    <w:p w14:paraId="03EEBA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3、</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光度准确性</w:t>
      </w:r>
      <w:r>
        <w:rPr>
          <w:rFonts w:hint="eastAsia" w:eastAsia="宋体"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±0.3％T</w:t>
      </w:r>
      <w:r>
        <w:rPr>
          <w:rFonts w:hint="eastAsia"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光度重复性</w:t>
      </w:r>
      <w:r>
        <w:rPr>
          <w:rFonts w:hint="eastAsia" w:eastAsia="宋体"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≤0.15％T</w:t>
      </w:r>
      <w:r>
        <w:rPr>
          <w:rFonts w:hint="eastAsia"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杂散光</w:t>
      </w:r>
      <w:r>
        <w:rPr>
          <w:rFonts w:hint="eastAsia" w:eastAsia="宋体"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≤0.03%T</w:t>
      </w:r>
      <w:r>
        <w:rPr>
          <w:rFonts w:hint="eastAsia" w:eastAsia="宋体"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220nm </w:t>
      </w:r>
      <w:r>
        <w:rPr>
          <w:rFonts w:hint="eastAsia" w:eastAsia="宋体"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360nm</w:t>
      </w:r>
      <w:r>
        <w:rPr>
          <w:rFonts w:hint="eastAsia" w:eastAsia="宋体" w:cs="Times New Roman"/>
          <w:color w:val="000000" w:themeColor="text1"/>
          <w:sz w:val="21"/>
          <w:szCs w:val="22"/>
          <w:highlight w:val="none"/>
          <w:lang w:val="en-US" w:eastAsia="zh-CN"/>
          <w14:textFill>
            <w14:solidFill>
              <w14:schemeClr w14:val="tx1"/>
            </w14:solidFill>
          </w14:textFill>
        </w:rPr>
        <w:t>）</w:t>
      </w:r>
    </w:p>
    <w:p w14:paraId="2508809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波长移动速度：10000 nm/min</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ab/>
      </w:r>
    </w:p>
    <w:p w14:paraId="665886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5、</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扫描速度：20 ~ 4500 nm/min</w:t>
      </w:r>
    </w:p>
    <w:p w14:paraId="39D085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6</w:t>
      </w:r>
      <w:r>
        <w:rPr>
          <w:rFonts w:hint="eastAsia"/>
          <w:color w:val="000000" w:themeColor="text1"/>
          <w:highlight w:val="none"/>
          <w:lang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显示方式</w:t>
      </w:r>
      <w:r>
        <w:rPr>
          <w:rFonts w:hint="eastAsia" w:eastAsia="宋体" w:cs="Times New Roman"/>
          <w:color w:val="000000" w:themeColor="text1"/>
          <w:sz w:val="21"/>
          <w:szCs w:val="22"/>
          <w:highlight w:val="none"/>
          <w:lang w:val="en-US"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≥10寸彩色触摸屏（无需电容笔），内置64G的存储空间，安装Windows10系统，可直接连接WI-FI，打印和输出数据</w:t>
      </w:r>
    </w:p>
    <w:p w14:paraId="11A4BE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b/>
          <w:bCs/>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7</w:t>
      </w:r>
      <w:r>
        <w:rPr>
          <w:rFonts w:hint="eastAsia"/>
          <w:color w:val="000000" w:themeColor="text1"/>
          <w:highlight w:val="none"/>
          <w:lang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多语言操作系统，支持多国语言切换（英，德，法，西，葡，中等）</w:t>
      </w:r>
      <w:r>
        <w:rPr>
          <w:rFonts w:hint="eastAsia" w:ascii="Calibri" w:hAnsi="Calibri" w:eastAsia="宋体" w:cs="Times New Roman"/>
          <w:b/>
          <w:bCs/>
          <w:color w:val="000000" w:themeColor="text1"/>
          <w:sz w:val="21"/>
          <w:szCs w:val="22"/>
          <w:highlight w:val="none"/>
          <w:lang w:val="en-US" w:eastAsia="zh-CN"/>
          <w14:textFill>
            <w14:solidFill>
              <w14:schemeClr w14:val="tx1"/>
            </w14:solidFill>
          </w14:textFill>
        </w:rPr>
        <w:t>（提供实物功能图片佐证）</w:t>
      </w:r>
    </w:p>
    <w:p w14:paraId="36BE2B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strike w:val="0"/>
          <w:color w:val="000000" w:themeColor="text1"/>
          <w:sz w:val="21"/>
          <w:szCs w:val="22"/>
          <w:highlight w:val="none"/>
          <w:lang w:val="en-US" w:eastAsia="zh-CN"/>
          <w14:textFill>
            <w14:solidFill>
              <w14:schemeClr w14:val="tx1"/>
            </w14:solidFill>
          </w14:textFill>
        </w:rPr>
      </w:pPr>
      <w:r>
        <w:rPr>
          <w:rFonts w:hint="eastAsia" w:cs="Times New Roman"/>
          <w:color w:val="000000" w:themeColor="text1"/>
          <w:sz w:val="21"/>
          <w:szCs w:val="22"/>
          <w:highlight w:val="none"/>
          <w:lang w:val="en-US" w:eastAsia="zh-CN"/>
          <w14:textFill>
            <w14:solidFill>
              <w14:schemeClr w14:val="tx1"/>
            </w14:solidFill>
          </w14:textFill>
        </w:rPr>
        <w:t>8</w:t>
      </w:r>
      <w:r>
        <w:rPr>
          <w:rFonts w:hint="eastAsia"/>
          <w:color w:val="000000" w:themeColor="text1"/>
          <w:highlight w:val="none"/>
          <w:lang w:eastAsia="zh-CN"/>
          <w14:textFill>
            <w14:solidFill>
              <w14:schemeClr w14:val="tx1"/>
            </w14:solidFill>
          </w14:textFill>
        </w:rPr>
        <w:t>、</w:t>
      </w:r>
      <w:r>
        <w:rPr>
          <w:rFonts w:hint="eastAsia" w:ascii="Calibri" w:hAnsi="Calibri" w:eastAsia="宋体"/>
          <w:strike w:val="0"/>
          <w:dstrike w:val="0"/>
          <w:color w:val="000000" w:themeColor="text1"/>
          <w:sz w:val="21"/>
          <w:szCs w:val="22"/>
          <w:highlight w:val="none"/>
          <w14:textFill>
            <w14:solidFill>
              <w14:schemeClr w14:val="tx1"/>
            </w14:solidFill>
          </w14:textFill>
        </w:rPr>
        <w:t>可根据不同用户的实际实验需求，自定义个性化测量方法</w:t>
      </w:r>
      <w:r>
        <w:rPr>
          <w:rFonts w:hint="eastAsia" w:eastAsia="宋体"/>
          <w:strike w:val="0"/>
          <w:dstrike w:val="0"/>
          <w:color w:val="000000" w:themeColor="text1"/>
          <w:sz w:val="21"/>
          <w:szCs w:val="22"/>
          <w:highlight w:val="none"/>
          <w:lang w:eastAsia="zh-CN"/>
          <w14:textFill>
            <w14:solidFill>
              <w14:schemeClr w14:val="tx1"/>
            </w14:solidFill>
          </w14:textFill>
        </w:rPr>
        <w:t>。</w:t>
      </w:r>
    </w:p>
    <w:p w14:paraId="3C6CEA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Calibri" w:hAnsi="Calibri" w:eastAsia="宋体" w:cs="Times New Roman"/>
          <w:color w:val="000000" w:themeColor="text1"/>
          <w:sz w:val="21"/>
          <w:szCs w:val="22"/>
          <w:highlight w:val="none"/>
          <w:lang w:val="en-US" w:eastAsia="zh-CN"/>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9</w:t>
      </w:r>
      <w:r>
        <w:rPr>
          <w:rFonts w:hint="eastAsia"/>
          <w:color w:val="000000" w:themeColor="text1"/>
          <w:highlight w:val="none"/>
          <w:lang w:eastAsia="zh-CN"/>
          <w14:textFill>
            <w14:solidFill>
              <w14:schemeClr w14:val="tx1"/>
            </w14:solidFill>
          </w14:textFill>
        </w:rPr>
        <w:t>、</w:t>
      </w:r>
      <w:r>
        <w:rPr>
          <w:rFonts w:hint="eastAsia" w:ascii="Calibri" w:hAnsi="Calibri" w:eastAsia="宋体" w:cs="Times New Roman"/>
          <w:color w:val="000000" w:themeColor="text1"/>
          <w:sz w:val="21"/>
          <w:szCs w:val="22"/>
          <w:highlight w:val="none"/>
          <w:lang w:val="en-US" w:eastAsia="zh-CN"/>
          <w14:textFill>
            <w14:solidFill>
              <w14:schemeClr w14:val="tx1"/>
            </w14:solidFill>
          </w14:textFill>
        </w:rPr>
        <w:t>为了实验人员的实验安全，该设备由保险公司承保产品责任险。</w:t>
      </w:r>
      <w:r>
        <w:rPr>
          <w:rFonts w:hint="eastAsia" w:ascii="Calibri" w:hAnsi="Calibri" w:eastAsia="宋体" w:cs="Times New Roman"/>
          <w:b/>
          <w:bCs/>
          <w:color w:val="000000" w:themeColor="text1"/>
          <w:sz w:val="21"/>
          <w:szCs w:val="22"/>
          <w:highlight w:val="none"/>
          <w:lang w:val="en-US" w:eastAsia="zh-CN"/>
          <w14:textFill>
            <w14:solidFill>
              <w14:schemeClr w14:val="tx1"/>
            </w14:solidFill>
          </w14:textFill>
        </w:rPr>
        <w:t>（提供保险单）</w:t>
      </w:r>
    </w:p>
    <w:p w14:paraId="67D2F72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品目3：全自动电位滴定仪</w:t>
      </w:r>
    </w:p>
    <w:p w14:paraId="245961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outlineLvl w:val="9"/>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【核心参数】</w:t>
      </w:r>
    </w:p>
    <w:p w14:paraId="3524A5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测量精度：RSD≤1%</w:t>
      </w:r>
    </w:p>
    <w:p w14:paraId="1532A7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测量范围：100ppm-100%</w:t>
      </w:r>
    </w:p>
    <w:p w14:paraId="698413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加液管精度</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 xml:space="preserve"> ≤1/10000</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10ml 定量管为例，最小分辨率为 1uL</w:t>
      </w:r>
      <w:r>
        <w:rPr>
          <w:rFonts w:hint="eastAsia" w:eastAsia="宋体" w:cs="Times New Roman"/>
          <w:color w:val="000000" w:themeColor="text1"/>
          <w:highlight w:val="none"/>
          <w:lang w:eastAsia="zh-CN"/>
          <w14:textFill>
            <w14:solidFill>
              <w14:schemeClr w14:val="tx1"/>
            </w14:solidFill>
          </w14:textFill>
        </w:rPr>
        <w:t>）</w:t>
      </w:r>
    </w:p>
    <w:p w14:paraId="219D86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测量分辨率：0.001PH/0.1mV</w:t>
      </w:r>
    </w:p>
    <w:p w14:paraId="619DD0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★5</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滴定管加液误差：20mL 为例，±30uL</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0.15%</w:t>
      </w:r>
      <w:r>
        <w:rPr>
          <w:rFonts w:hint="eastAsia" w:eastAsia="宋体" w:cs="Times New Roman"/>
          <w:color w:val="000000" w:themeColor="text1"/>
          <w:highlight w:val="none"/>
          <w:lang w:eastAsia="zh-CN"/>
          <w14:textFill>
            <w14:solidFill>
              <w14:schemeClr w14:val="tx1"/>
            </w14:solidFill>
          </w14:textFill>
        </w:rPr>
        <w:t>）</w:t>
      </w:r>
    </w:p>
    <w:p w14:paraId="24CAD555">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eastAsia="宋体" w:cs="Times New Roman"/>
          <w:b/>
          <w:bCs/>
          <w:color w:val="000000" w:themeColor="text1"/>
          <w:highlight w:val="none"/>
          <w:lang w:val="en-US" w:eastAsia="zh-CN"/>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【重要参数】</w:t>
      </w:r>
    </w:p>
    <w:p w14:paraId="2AD1BA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具有滴定和加液功能，滴定管容积：2，5，10，20，50 ml任选</w:t>
      </w:r>
    </w:p>
    <w:p w14:paraId="1FD26F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bookmarkStart w:id="81" w:name="OLE_LINK2"/>
      <w:r>
        <w:rPr>
          <w:rFonts w:hint="eastAsia" w:eastAsia="宋体" w:cs="Times New Roman"/>
          <w:color w:val="000000" w:themeColor="text1"/>
          <w:highlight w:val="none"/>
          <w14:textFill>
            <w14:solidFill>
              <w14:schemeClr w14:val="tx1"/>
            </w14:solidFill>
          </w14:textFill>
        </w:rPr>
        <w:t>▲</w:t>
      </w:r>
      <w:bookmarkEnd w:id="81"/>
      <w:r>
        <w:rPr>
          <w:rFonts w:hint="eastAsia" w:eastAsia="宋体" w:cs="Times New Roman"/>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加液精度优于 ISO/DIN Standard 8655-3关于活塞式加液器加液精度的相关要求。5ml滴定管最大加液误差为0.3%，10ml滴定管最大加液误差为0.2%，20ml滴定管最大加液误差为0.15%，50ml滴定管最大加液误差为0.1%，</w:t>
      </w:r>
    </w:p>
    <w:p w14:paraId="0DF109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 xml:space="preserve"> ▲3、滴定管活塞驱动器：采用由上往下的驱动方式（为了防止残留体积交叉污染，滴定管驱动器采用垂直方向驱动，具备残留体积防控设计），四通路结构设计，多了1个空气接口，可以选择通入空气，从而完全实现“一键式”自动排空、清洗、充液、滴定。10，000步进，配合10ml滴定管加液分辨率为1uL。</w:t>
      </w:r>
    </w:p>
    <w:p w14:paraId="57152D1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w:t>
      </w:r>
      <w:r>
        <w:rPr>
          <w:rFonts w:hint="eastAsia" w:eastAsia="宋体" w:cs="Times New Roman"/>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主机可控制两个加液器（滴定管和滴定管活塞驱动器），每个加液器都可以进行滴定或辅助配液，在各实验间转换无需滴定管的插拔转换。信号测量模块</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PH分辨率：0.001pH</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分辨率</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0.1mV</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分辨率</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0.1uA</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电极连接线缆内置A/D转换器，将模拟信号转换成二进制代码，信号传输实现数字化。</w:t>
      </w:r>
    </w:p>
    <w:p w14:paraId="4FA4C1C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eastAsia="宋体" w:cs="Times New Roman"/>
          <w:b/>
          <w:bCs/>
          <w:color w:val="000000" w:themeColor="text1"/>
          <w:highlight w:val="none"/>
          <w:lang w:val="en-US" w:eastAsia="zh-CN"/>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【其他参数】</w:t>
      </w:r>
    </w:p>
    <w:p w14:paraId="5236AC4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1</w:t>
      </w:r>
      <w:r>
        <w:rPr>
          <w:rFonts w:hint="eastAsia"/>
          <w:b/>
          <w:bCs/>
          <w:color w:val="000000" w:themeColor="text1"/>
          <w:highlight w:val="none"/>
          <w:lang w:eastAsia="zh-CN"/>
          <w14:textFill>
            <w14:solidFill>
              <w14:schemeClr w14:val="tx1"/>
            </w14:solidFill>
          </w14:textFill>
        </w:rPr>
        <w:t>、</w:t>
      </w:r>
      <w:r>
        <w:rPr>
          <w:rFonts w:hint="eastAsia" w:eastAsia="宋体" w:cs="Times New Roman"/>
          <w:b/>
          <w:bCs/>
          <w:color w:val="000000" w:themeColor="text1"/>
          <w:highlight w:val="none"/>
          <w14:textFill>
            <w14:solidFill>
              <w14:schemeClr w14:val="tx1"/>
            </w14:solidFill>
          </w14:textFill>
        </w:rPr>
        <w:t>主机及控制模块</w:t>
      </w:r>
    </w:p>
    <w:p w14:paraId="2BE18B5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滴定模式：具备DET动态滴定、MET等量滴定、SET终点设定滴定（可以设置两个终点）、MEAS测量、CAL校正、MAT手动滴定等工作模式</w:t>
      </w:r>
    </w:p>
    <w:p w14:paraId="6B3A10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工作站：中英文触摸屏</w:t>
      </w:r>
      <w:r>
        <w:rPr>
          <w:rFonts w:hint="eastAsia" w:eastAsia="宋体" w:cs="Times New Roman"/>
          <w:color w:val="000000" w:themeColor="text1"/>
          <w:highlight w:val="none"/>
          <w:lang w:val="de-DE"/>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可实现密码登陆或密钥登录、分级管理，可设置14个快捷操作使用安全、方便。</w:t>
      </w:r>
    </w:p>
    <w:p w14:paraId="2DA2DD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方法和数据均可存于主机、优盘或上传网络（LAN接口）。</w:t>
      </w:r>
    </w:p>
    <w:p w14:paraId="3B2BDE2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2</w:t>
      </w:r>
      <w:r>
        <w:rPr>
          <w:rFonts w:hint="eastAsia"/>
          <w:b/>
          <w:bCs/>
          <w:color w:val="000000" w:themeColor="text1"/>
          <w:highlight w:val="none"/>
          <w:lang w:eastAsia="zh-CN"/>
          <w14:textFill>
            <w14:solidFill>
              <w14:schemeClr w14:val="tx1"/>
            </w14:solidFill>
          </w14:textFill>
        </w:rPr>
        <w:t>、</w:t>
      </w:r>
      <w:r>
        <w:rPr>
          <w:rFonts w:hint="eastAsia" w:eastAsia="宋体" w:cs="Times New Roman"/>
          <w:b/>
          <w:bCs/>
          <w:color w:val="000000" w:themeColor="text1"/>
          <w:highlight w:val="none"/>
          <w14:textFill>
            <w14:solidFill>
              <w14:schemeClr w14:val="tx1"/>
            </w14:solidFill>
          </w14:textFill>
        </w:rPr>
        <w:t>滴定搅拌器：</w:t>
      </w:r>
      <w:r>
        <w:rPr>
          <w:rFonts w:hint="eastAsia" w:eastAsia="宋体" w:cs="Times New Roman"/>
          <w:color w:val="000000" w:themeColor="text1"/>
          <w:highlight w:val="none"/>
          <w14:textFill>
            <w14:solidFill>
              <w14:schemeClr w14:val="tx1"/>
            </w14:solidFill>
          </w14:textFill>
        </w:rPr>
        <w:t>螺旋搅拌，搅拌速度控制根据模糊逻辑概念设计，搅拌力矩随溶液粘度的变化自动调整，正反双向搅拌控制，15档变速</w:t>
      </w:r>
    </w:p>
    <w:p w14:paraId="3F467D3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b/>
          <w:bCs/>
          <w:color w:val="000000" w:themeColor="text1"/>
          <w:highlight w:val="none"/>
          <w:lang w:val="en-US" w:eastAsia="zh-CN"/>
          <w14:textFill>
            <w14:solidFill>
              <w14:schemeClr w14:val="tx1"/>
            </w14:solidFill>
          </w14:textFill>
        </w:rPr>
        <w:t>3</w:t>
      </w:r>
      <w:r>
        <w:rPr>
          <w:rFonts w:hint="eastAsia"/>
          <w:b/>
          <w:bCs/>
          <w:color w:val="000000" w:themeColor="text1"/>
          <w:highlight w:val="none"/>
          <w:lang w:eastAsia="zh-CN"/>
          <w14:textFill>
            <w14:solidFill>
              <w14:schemeClr w14:val="tx1"/>
            </w14:solidFill>
          </w14:textFill>
        </w:rPr>
        <w:t>、</w:t>
      </w:r>
      <w:r>
        <w:rPr>
          <w:rFonts w:hint="eastAsia" w:eastAsia="宋体" w:cs="Times New Roman"/>
          <w:b/>
          <w:bCs/>
          <w:color w:val="000000" w:themeColor="text1"/>
          <w:highlight w:val="none"/>
          <w14:textFill>
            <w14:solidFill>
              <w14:schemeClr w14:val="tx1"/>
            </w14:solidFill>
          </w14:textFill>
        </w:rPr>
        <w:t>仪器配置：</w:t>
      </w:r>
    </w:p>
    <w:p w14:paraId="376C01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滴定仪仪器主机1台，</w:t>
      </w:r>
      <w:r>
        <w:rPr>
          <w:rFonts w:hint="eastAsia" w:cs="Times New Roman"/>
          <w:color w:val="000000" w:themeColor="text1"/>
          <w:highlight w:val="none"/>
          <w:lang w:eastAsia="zh-CN"/>
          <w14:textFill>
            <w14:solidFill>
              <w14:schemeClr w14:val="tx1"/>
            </w14:solidFill>
          </w14:textFill>
        </w:rPr>
        <w:t>电脑</w:t>
      </w:r>
      <w:r>
        <w:rPr>
          <w:rFonts w:hint="eastAsia" w:cs="Times New Roman"/>
          <w:color w:val="000000" w:themeColor="text1"/>
          <w:highlight w:val="none"/>
          <w:lang w:val="en-US" w:eastAsia="zh-CN"/>
          <w14:textFill>
            <w14:solidFill>
              <w14:schemeClr w14:val="tx1"/>
            </w14:solidFill>
          </w14:textFill>
        </w:rPr>
        <w:t>1台，</w:t>
      </w:r>
      <w:r>
        <w:rPr>
          <w:rFonts w:hint="eastAsia" w:eastAsia="宋体" w:cs="Times New Roman"/>
          <w:color w:val="000000" w:themeColor="text1"/>
          <w:highlight w:val="none"/>
          <w14:textFill>
            <w14:solidFill>
              <w14:schemeClr w14:val="tx1"/>
            </w14:solidFill>
          </w14:textFill>
        </w:rPr>
        <w:t>滴定管驱动器1个，滴定管20ml规格2个，滴定管50ml规格 1个，螺旋搅拌器1套，电极电缆1根，非水相PH电极、水相酸碱电极、氧化还原铂电极和复合银电极各1根。</w:t>
      </w:r>
    </w:p>
    <w:p w14:paraId="644FC2E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品目4：超低温冰箱</w:t>
      </w:r>
    </w:p>
    <w:p w14:paraId="6226A8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outlineLvl w:val="9"/>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【核心参数】</w:t>
      </w:r>
    </w:p>
    <w:p w14:paraId="09958B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温度控制：高精度温度控制系统，适用范围在-40℃～-86℃范围控温精度0.1℃。</w:t>
      </w:r>
    </w:p>
    <w:p w14:paraId="2A0625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配置2个USB端口，兼顾连接扫描枪及导出箱内温度数据、运行曲线及操作记录数据等需求，数据追溯可达10年以上。</w:t>
      </w:r>
    </w:p>
    <w:p w14:paraId="74E621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★3</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温度均匀性/波动度：依据GB/T</w:t>
      </w:r>
      <w:r>
        <w:rPr>
          <w:rFonts w:hint="eastAsia" w:cs="Times New Roman"/>
          <w:color w:val="000000" w:themeColor="text1"/>
          <w:highlight w:val="none"/>
          <w:lang w:val="en-US" w:eastAsia="zh-CN"/>
          <w14:textFill>
            <w14:solidFill>
              <w14:schemeClr w14:val="tx1"/>
            </w14:solidFill>
          </w14:textFill>
        </w:rPr>
        <w:t xml:space="preserve"> </w:t>
      </w:r>
      <w:r>
        <w:rPr>
          <w:rFonts w:hint="eastAsia" w:eastAsia="宋体" w:cs="Times New Roman"/>
          <w:color w:val="000000" w:themeColor="text1"/>
          <w:highlight w:val="none"/>
          <w14:textFill>
            <w14:solidFill>
              <w14:schemeClr w14:val="tx1"/>
            </w14:solidFill>
          </w14:textFill>
        </w:rPr>
        <w:t>20154-2024规定的测试方法进行检测，实测温度均匀性≤2℃。</w:t>
      </w:r>
    </w:p>
    <w:p w14:paraId="63DE33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outlineLvl w:val="9"/>
        <w:rPr>
          <w:rFonts w:hint="eastAsia" w:asciiTheme="minorEastAsia" w:hAnsiTheme="minorEastAsia" w:eastAsiaTheme="minorEastAsia"/>
          <w:b/>
          <w:bCs/>
          <w:color w:val="000000" w:themeColor="text1"/>
          <w:highlight w:val="none"/>
          <w:lang w:eastAsia="zh-CN"/>
          <w14:textFill>
            <w14:solidFill>
              <w14:schemeClr w14:val="tx1"/>
            </w14:solidFill>
          </w14:textFill>
        </w:rPr>
      </w:pPr>
      <w:r>
        <w:rPr>
          <w:rFonts w:hint="eastAsia" w:asciiTheme="minorEastAsia" w:hAnsiTheme="minorEastAsia" w:eastAsiaTheme="minorEastAsia"/>
          <w:b/>
          <w:bCs/>
          <w:color w:val="000000" w:themeColor="text1"/>
          <w:highlight w:val="none"/>
          <w:lang w:eastAsia="zh-CN"/>
          <w14:textFill>
            <w14:solidFill>
              <w14:schemeClr w14:val="tx1"/>
            </w14:solidFill>
          </w14:textFill>
        </w:rPr>
        <w:t>【重要参数】</w:t>
      </w:r>
    </w:p>
    <w:p w14:paraId="28E636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▲1、设备能耗：耗电量≤6.0 Kw.h/24h。</w:t>
      </w:r>
    </w:p>
    <w:p w14:paraId="4266DD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▲2、降温速率：实测降温时间≤230分钟。</w:t>
      </w:r>
    </w:p>
    <w:p w14:paraId="681CBC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▲3、保温时间：依据GB/T20154-2024规定的测试方法进行检测，断电回温至-50℃实测时间≥300分钟。</w:t>
      </w:r>
    </w:p>
    <w:p w14:paraId="308932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▲4、噪音指标：依据《低温保存箱》GB/T20154-2024规定的测试方法进行检测，整机运行噪音≤45分贝。</w:t>
      </w:r>
    </w:p>
    <w:p w14:paraId="7AC36B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outlineLvl w:val="9"/>
        <w:rPr>
          <w:rFonts w:hint="eastAsia" w:asciiTheme="minorEastAsia" w:hAnsiTheme="minorEastAsia" w:eastAsiaTheme="minorEastAsia"/>
          <w:b/>
          <w:bCs/>
          <w:color w:val="000000" w:themeColor="text1"/>
          <w:highlight w:val="none"/>
          <w:lang w:eastAsia="zh-CN"/>
          <w14:textFill>
            <w14:solidFill>
              <w14:schemeClr w14:val="tx1"/>
            </w14:solidFill>
          </w14:textFill>
        </w:rPr>
      </w:pPr>
      <w:r>
        <w:rPr>
          <w:rFonts w:hint="eastAsia" w:asciiTheme="minorEastAsia" w:hAnsiTheme="minorEastAsia" w:eastAsiaTheme="minorEastAsia"/>
          <w:b/>
          <w:bCs/>
          <w:color w:val="000000" w:themeColor="text1"/>
          <w:highlight w:val="none"/>
          <w:lang w:eastAsia="zh-CN"/>
          <w14:textFill>
            <w14:solidFill>
              <w14:schemeClr w14:val="tx1"/>
            </w14:solidFill>
          </w14:textFill>
        </w:rPr>
        <w:t>【一般参数】</w:t>
      </w:r>
    </w:p>
    <w:p w14:paraId="0E48A2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工作条件：环境温度10～32℃，相对湿度</w:t>
      </w:r>
      <w:r>
        <w:rPr>
          <w:rFonts w:hint="eastAsia"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≤83%RH，工作电压：（198～242）V，频率：</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50 ±1</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H</w:t>
      </w:r>
      <w:r>
        <w:rPr>
          <w:rFonts w:hint="eastAsia" w:eastAsia="宋体" w:cs="Times New Roman"/>
          <w:color w:val="000000" w:themeColor="text1"/>
          <w:highlight w:val="none"/>
          <w:lang w:eastAsia="zh-Hans"/>
          <w14:textFill>
            <w14:solidFill>
              <w14:schemeClr w14:val="tx1"/>
            </w14:solidFill>
          </w14:textFill>
        </w:rPr>
        <w:t>z</w:t>
      </w:r>
      <w:r>
        <w:rPr>
          <w:rFonts w:hint="eastAsia" w:eastAsia="宋体" w:cs="Times New Roman"/>
          <w:color w:val="000000" w:themeColor="text1"/>
          <w:highlight w:val="none"/>
          <w14:textFill>
            <w14:solidFill>
              <w14:schemeClr w14:val="tx1"/>
            </w14:solidFill>
          </w14:textFill>
        </w:rPr>
        <w:t>。</w:t>
      </w:r>
    </w:p>
    <w:p w14:paraId="6E3BAA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样式：立式，容积≥570L。</w:t>
      </w:r>
    </w:p>
    <w:p w14:paraId="3E9723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3</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门体宽度：≤900mm，方便在有限空间放置。可放置5*5规格冻存架16组，2英寸标准冻存盒400个，2ml标准冻存管40000支。冰箱内部须配满冻存架。</w:t>
      </w:r>
    </w:p>
    <w:p w14:paraId="4472CD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4</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箱体保温：箱体采用高性能VIP真空绝热板，厚度≥20mm；箱体发泡层≥110mm。可拆卸式整体发泡内门，采用压扣式锁闭，密封严合；外门3道、箱体2道、内门2道硅胶密封，7道密封层层锁冷，冷量流失少。</w:t>
      </w:r>
    </w:p>
    <w:p w14:paraId="184F7DB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5</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主控制界面：采用10寸LCD触摸屏，动态显示箱内温度、设定温度、环境温度、报警状态、当前时间、WiFi网络连接、蓝牙连接、登录用户等信息，具备存取管理、数据查看、数据曲线、设置管理、留言板五种功能模块。</w:t>
      </w:r>
    </w:p>
    <w:p w14:paraId="6122ED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6</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运行状态显示：具备温度状态运行指示圈，箱内温度在报警值范围内指示圈为蓝绿渐变色，箱内温度超出报警值范围指示圈颜色为红橙渐变色。</w:t>
      </w:r>
    </w:p>
    <w:p w14:paraId="320BB9B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7</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报警功能：具有数据通讯故障、环温传感器故障、温度传感器故障、冷凝传感器故障、电池电量检测故障、箱内高温报警、低温报警、冷凝器高温报警、环温高温报警、低电量报警、断电报警、开门超时等12种声光报警</w:t>
      </w:r>
    </w:p>
    <w:p w14:paraId="166DB4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8、制冷系统：采用高效压缩机和碳氢环保制冷剂，配置低噪音风机，全铜管路。9</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通风散热：前罩、双侧、后盖板采用三段格栅式通风孔，制冷机组散热通畅，冷凝器散热风机可根据压缩机运行状态、环境温度智能开停；防尘过滤网无需工具即可拆卸清洗。</w:t>
      </w:r>
    </w:p>
    <w:p w14:paraId="73D798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10</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运行保护：开机延时和停机间隔保护功能，确保运行可靠；</w:t>
      </w:r>
    </w:p>
    <w:p w14:paraId="0878E9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11</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用户登录：具备访客、操作员、管理员三级管理权限，适用账户密码。</w:t>
      </w:r>
    </w:p>
    <w:p w14:paraId="1EE667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12</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门把手：采用一体式把手门锁设计，单手实现开关门，可外加挂锁，可选配电磁锁。</w:t>
      </w:r>
    </w:p>
    <w:p w14:paraId="49E0C3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13、压力平衡孔：门体配置自动加热门体平衡孔，二次开门间隔时间在60s左右，减少等待时间。</w:t>
      </w:r>
    </w:p>
    <w:p w14:paraId="0285C1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14</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测试孔：标配2个温度测试孔，孔径25mm，方便使用温度探头采集箱内温度。</w:t>
      </w:r>
    </w:p>
    <w:p w14:paraId="0BC1A2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15</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控制软件配置一键重启功能，物理复位键快速重启，杜绝卡顿。</w:t>
      </w:r>
    </w:p>
    <w:p w14:paraId="37F379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16</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标配RS485数据接口、RJ-45信息插座、远程报警接口，实现数据通讯、远程报警等需求。</w:t>
      </w:r>
    </w:p>
    <w:p w14:paraId="6C62D6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17</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标配5V冷链供电系统，确保用电安全，减少外部布线，降低故障风险。</w:t>
      </w:r>
    </w:p>
    <w:p w14:paraId="48D9B7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18</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标配空气开关，避免电流过大造成对制冷系统或控制系统的损坏</w:t>
      </w:r>
      <w:r>
        <w:rPr>
          <w:rFonts w:hint="eastAsia" w:eastAsia="宋体" w:cs="Times New Roman"/>
          <w:b/>
          <w:bCs/>
          <w:color w:val="000000" w:themeColor="text1"/>
          <w:highlight w:val="none"/>
          <w14:textFill>
            <w14:solidFill>
              <w14:schemeClr w14:val="tx1"/>
            </w14:solidFill>
          </w14:textFill>
        </w:rPr>
        <w:t>（提供实物照片）</w:t>
      </w:r>
      <w:r>
        <w:rPr>
          <w:rFonts w:hint="eastAsia" w:eastAsia="宋体" w:cs="Times New Roman"/>
          <w:color w:val="000000" w:themeColor="text1"/>
          <w:highlight w:val="none"/>
          <w14:textFill>
            <w14:solidFill>
              <w14:schemeClr w14:val="tx1"/>
            </w14:solidFill>
          </w14:textFill>
        </w:rPr>
        <w:t>。</w:t>
      </w:r>
    </w:p>
    <w:p w14:paraId="7F5EAC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19</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脚轮类别：前部脚轮采用转向角度≤65°、高度水平调节±5mm、滚动噪音≤40分贝，超强承重与减震型福马轮，兼顾移动与稳定支撑</w:t>
      </w:r>
      <w:r>
        <w:rPr>
          <w:rFonts w:hint="eastAsia" w:eastAsia="宋体" w:cs="Times New Roman"/>
          <w:b/>
          <w:bCs/>
          <w:color w:val="000000" w:themeColor="text1"/>
          <w:highlight w:val="none"/>
          <w14:textFill>
            <w14:solidFill>
              <w14:schemeClr w14:val="tx1"/>
            </w14:solidFill>
          </w14:textFill>
        </w:rPr>
        <w:t>（提供实物照片）</w:t>
      </w:r>
      <w:r>
        <w:rPr>
          <w:rFonts w:hint="eastAsia" w:eastAsia="宋体" w:cs="Times New Roman"/>
          <w:color w:val="000000" w:themeColor="text1"/>
          <w:highlight w:val="none"/>
          <w14:textFill>
            <w14:solidFill>
              <w14:schemeClr w14:val="tx1"/>
            </w14:solidFill>
          </w14:textFill>
        </w:rPr>
        <w:t>；后部采用万向脚轮；</w:t>
      </w:r>
    </w:p>
    <w:p w14:paraId="36D185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14:textFill>
            <w14:solidFill>
              <w14:schemeClr w14:val="tx1"/>
            </w14:solidFill>
          </w14:textFill>
        </w:rPr>
        <w:t>2</w:t>
      </w:r>
      <w:r>
        <w:rPr>
          <w:rFonts w:hint="eastAsia" w:eastAsia="宋体" w:cs="Times New Roman"/>
          <w:color w:val="000000" w:themeColor="text1"/>
          <w:highlight w:val="none"/>
          <w:lang w:val="en-US" w:eastAsia="zh-CN"/>
          <w14:textFill>
            <w14:solidFill>
              <w14:schemeClr w14:val="tx1"/>
            </w14:solidFill>
          </w14:textFill>
        </w:rPr>
        <w:t>0</w:t>
      </w:r>
      <w:r>
        <w:rPr>
          <w:rFonts w:hint="eastAsia" w:eastAsia="宋体" w:cs="Times New Roman"/>
          <w:color w:val="000000" w:themeColor="text1"/>
          <w:highlight w:val="none"/>
          <w:lang w:eastAsia="zh-CN"/>
          <w14:textFill>
            <w14:solidFill>
              <w14:schemeClr w14:val="tx1"/>
            </w14:solidFill>
          </w14:textFill>
        </w:rPr>
        <w:t>、</w:t>
      </w:r>
      <w:r>
        <w:rPr>
          <w:rFonts w:hint="eastAsia" w:eastAsia="宋体" w:cs="Times New Roman"/>
          <w:color w:val="000000" w:themeColor="text1"/>
          <w:highlight w:val="none"/>
          <w14:textFill>
            <w14:solidFill>
              <w14:schemeClr w14:val="tx1"/>
            </w14:solidFill>
          </w14:textFill>
        </w:rPr>
        <w:t>采用铅酸蓄电池，电池通过振动、压差、漏液抽检测试</w:t>
      </w:r>
      <w:r>
        <w:rPr>
          <w:rFonts w:hint="eastAsia" w:eastAsia="宋体" w:cs="Times New Roman"/>
          <w:b/>
          <w:bCs/>
          <w:color w:val="000000" w:themeColor="text1"/>
          <w:highlight w:val="none"/>
          <w14:textFill>
            <w14:solidFill>
              <w14:schemeClr w14:val="tx1"/>
            </w14:solidFill>
          </w14:textFill>
        </w:rPr>
        <w:t>（提供检测报告）</w:t>
      </w:r>
      <w:r>
        <w:rPr>
          <w:rFonts w:hint="eastAsia" w:eastAsia="宋体" w:cs="Times New Roman"/>
          <w:color w:val="000000" w:themeColor="text1"/>
          <w:highlight w:val="none"/>
          <w14:textFill>
            <w14:solidFill>
              <w14:schemeClr w14:val="tx1"/>
            </w14:solidFill>
          </w14:textFill>
        </w:rPr>
        <w:t>；断电状态电池可持续温度报警和为USB端口供电。</w:t>
      </w:r>
    </w:p>
    <w:p w14:paraId="43FFA9F5">
      <w:pPr>
        <w:keepNext w:val="0"/>
        <w:keepLines w:val="0"/>
        <w:pageBreakBefore w:val="0"/>
        <w:widowControl w:val="0"/>
        <w:numPr>
          <w:ilvl w:val="0"/>
          <w:numId w:val="0"/>
        </w:numPr>
        <w:kinsoku/>
        <w:wordWrap/>
        <w:overflowPunct/>
        <w:topLinePunct w:val="0"/>
        <w:autoSpaceDE/>
        <w:autoSpaceDN/>
        <w:bidi w:val="0"/>
        <w:spacing w:line="360" w:lineRule="auto"/>
        <w:textAlignment w:val="auto"/>
        <w:outlineLvl w:val="1"/>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（二）商务要求</w:t>
      </w:r>
    </w:p>
    <w:p w14:paraId="335C342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1、付款方式：合同签订后，采购人在收到投标人开具的增值税发票后的10个工作日内支付30%预付款；货物交付、安装、调试且验收合格后，采购人在收到投标人开具的增值税发票后的10个工作日内支付70%尾款。</w:t>
      </w:r>
    </w:p>
    <w:p w14:paraId="0D6535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2、交货期：合同签订后</w:t>
      </w:r>
      <w:r>
        <w:rPr>
          <w:rFonts w:hint="eastAsia" w:cs="Times New Roman"/>
          <w:color w:val="000000" w:themeColor="text1"/>
          <w:highlight w:val="none"/>
          <w:lang w:val="en-US" w:eastAsia="zh-CN"/>
          <w14:textFill>
            <w14:solidFill>
              <w14:schemeClr w14:val="tx1"/>
            </w14:solidFill>
          </w14:textFill>
        </w:rPr>
        <w:t>2</w:t>
      </w:r>
      <w:r>
        <w:rPr>
          <w:rFonts w:hint="eastAsia" w:eastAsia="宋体" w:cs="Times New Roman"/>
          <w:color w:val="000000" w:themeColor="text1"/>
          <w:highlight w:val="none"/>
          <w:lang w:val="en-US" w:eastAsia="zh-CN"/>
          <w14:textFill>
            <w14:solidFill>
              <w14:schemeClr w14:val="tx1"/>
            </w14:solidFill>
          </w14:textFill>
        </w:rPr>
        <w:t>个月内。</w:t>
      </w:r>
    </w:p>
    <w:p w14:paraId="48AF9E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火焰/石墨炉原子吸收光谱仪、紫外分光光度计、全自动电位滴定仪质量保证期不低于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，超低温冰箱</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5</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年，自验收合格之日起计算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则不得高于附件中的相应价格。</w:t>
      </w:r>
    </w:p>
    <w:p w14:paraId="7EDB1BAB">
      <w:pPr>
        <w:pageBreakBefore w:val="0"/>
        <w:kinsoku/>
        <w:wordWrap/>
        <w:overflowPunct/>
        <w:topLinePunct w:val="0"/>
        <w:autoSpaceDE/>
        <w:autoSpaceDN/>
        <w:bidi w:val="0"/>
        <w:spacing w:line="360" w:lineRule="auto"/>
        <w:ind w:firstLine="422"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（三）其他</w:t>
      </w:r>
    </w:p>
    <w:p w14:paraId="14E12ED1">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落实商品包装、快递包装政府采购需求标准。具体详见投标人须知第35条，在履约验收时按照本条款执行，违反本约定的对照合同违约条款追究违约责任。投标人一旦参与本项目，即完全响应本条款要求。</w:t>
      </w:r>
    </w:p>
    <w:p w14:paraId="584BB3C9">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根据招标文件要求提供项目交货方案、进度方案、防护方案以及方案的科学合理、完整、切实可行性等内容。</w:t>
      </w:r>
    </w:p>
    <w:p w14:paraId="76DA64BA">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根据招标文件要求提供安装方案、调试方案、管理方案以及方案的科学合理、完整、切实可行性等内容。</w:t>
      </w:r>
    </w:p>
    <w:p w14:paraId="4CAB1EA1">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根据招标文件要求提供质量控制体系、质量检验标准、质量管理方案以及方案的科学合理、完整、切实可行性等内容。</w:t>
      </w:r>
    </w:p>
    <w:p w14:paraId="042606D6">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根据招标文件要求提供人员培训方案、技术支持方案、采购人所需的技术和学术支持方案以及方案的科学合理、完整、切实可行性等内容。</w:t>
      </w:r>
    </w:p>
    <w:p w14:paraId="327DB9E4">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根据招标文件要求提供售后方案、售后人员安排、售后响应措施以及方案的科学合理、完整、切实可行性等内容。</w:t>
      </w:r>
    </w:p>
    <w:p w14:paraId="792DF6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根据招标文件要求提供应急预案、应急处理方案、应急人员安排以及方案的科学合理、完整、切实可行性等内容。</w:t>
      </w:r>
    </w:p>
    <w:p w14:paraId="7848AFFA">
      <w:pPr>
        <w:keepNext w:val="0"/>
        <w:keepLines w:val="0"/>
        <w:pageBreakBefore w:val="0"/>
        <w:widowControl w:val="0"/>
        <w:numPr>
          <w:ilvl w:val="0"/>
          <w:numId w:val="0"/>
        </w:numPr>
        <w:kinsoku/>
        <w:wordWrap/>
        <w:overflowPunct/>
        <w:topLinePunct w:val="0"/>
        <w:autoSpaceDE/>
        <w:autoSpaceDN/>
        <w:bidi w:val="0"/>
        <w:spacing w:line="360" w:lineRule="auto"/>
        <w:ind w:firstLine="422"/>
        <w:textAlignment w:val="auto"/>
        <w:outlineLvl w:val="2"/>
        <w:rPr>
          <w:rFonts w:hint="default"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包4：</w:t>
      </w:r>
      <w:r>
        <w:rPr>
          <w:rFonts w:hint="eastAsia" w:ascii="宋体" w:hAnsi="宋体" w:eastAsia="宋体" w:cs="宋体"/>
          <w:b/>
          <w:color w:val="000000" w:themeColor="text1"/>
          <w:sz w:val="21"/>
          <w:szCs w:val="21"/>
          <w:highlight w:val="none"/>
          <w14:textFill>
            <w14:solidFill>
              <w14:schemeClr w14:val="tx1"/>
            </w14:solidFill>
          </w14:textFill>
        </w:rPr>
        <w:t>货物需求一览表</w:t>
      </w:r>
    </w:p>
    <w:tbl>
      <w:tblPr>
        <w:tblStyle w:val="39"/>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0"/>
        <w:gridCol w:w="3003"/>
        <w:gridCol w:w="1526"/>
        <w:gridCol w:w="2047"/>
        <w:gridCol w:w="1232"/>
      </w:tblGrid>
      <w:tr w14:paraId="4562A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351" w:type="pct"/>
            <w:shd w:val="clear" w:color="auto" w:fill="auto"/>
            <w:noWrap/>
            <w:tcMar>
              <w:top w:w="15" w:type="dxa"/>
              <w:left w:w="15" w:type="dxa"/>
              <w:right w:w="15" w:type="dxa"/>
            </w:tcMar>
            <w:vAlign w:val="center"/>
          </w:tcPr>
          <w:p w14:paraId="423A2770">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品目</w:t>
            </w:r>
          </w:p>
        </w:tc>
        <w:tc>
          <w:tcPr>
            <w:tcW w:w="1787" w:type="pct"/>
            <w:shd w:val="clear" w:color="auto" w:fill="auto"/>
            <w:noWrap/>
            <w:tcMar>
              <w:top w:w="15" w:type="dxa"/>
              <w:left w:w="15" w:type="dxa"/>
              <w:right w:w="15" w:type="dxa"/>
            </w:tcMar>
            <w:vAlign w:val="center"/>
          </w:tcPr>
          <w:p w14:paraId="017A70BA">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设备名称</w:t>
            </w:r>
          </w:p>
        </w:tc>
        <w:tc>
          <w:tcPr>
            <w:tcW w:w="908" w:type="pct"/>
            <w:shd w:val="clear" w:color="auto" w:fill="FFFFFF"/>
            <w:noWrap/>
            <w:tcMar>
              <w:top w:w="15" w:type="dxa"/>
              <w:left w:w="15" w:type="dxa"/>
              <w:right w:w="15" w:type="dxa"/>
            </w:tcMar>
            <w:vAlign w:val="center"/>
          </w:tcPr>
          <w:p w14:paraId="5E4FAB94">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数量</w:t>
            </w:r>
          </w:p>
        </w:tc>
        <w:tc>
          <w:tcPr>
            <w:tcW w:w="1218" w:type="pct"/>
            <w:shd w:val="clear" w:color="auto" w:fill="auto"/>
            <w:noWrap/>
            <w:tcMar>
              <w:top w:w="15" w:type="dxa"/>
              <w:left w:w="15" w:type="dxa"/>
              <w:right w:w="15" w:type="dxa"/>
            </w:tcMar>
            <w:vAlign w:val="center"/>
          </w:tcPr>
          <w:p w14:paraId="18C33632">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交货地点</w:t>
            </w:r>
          </w:p>
        </w:tc>
        <w:tc>
          <w:tcPr>
            <w:tcW w:w="733" w:type="pct"/>
            <w:shd w:val="clear" w:color="auto" w:fill="auto"/>
            <w:noWrap/>
            <w:tcMar>
              <w:top w:w="15" w:type="dxa"/>
              <w:left w:w="15" w:type="dxa"/>
              <w:right w:w="15" w:type="dxa"/>
            </w:tcMar>
            <w:vAlign w:val="center"/>
          </w:tcPr>
          <w:p w14:paraId="44F8888E">
            <w:pPr>
              <w:pageBreakBefore w:val="0"/>
              <w:kinsoku/>
              <w:wordWrap/>
              <w:overflowPunct/>
              <w:topLinePunct w:val="0"/>
              <w:autoSpaceDE/>
              <w:autoSpaceDN/>
              <w:bidi w:val="0"/>
              <w:spacing w:line="360" w:lineRule="auto"/>
              <w:jc w:val="center"/>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eastAsia="zh-CN"/>
                <w14:textFill>
                  <w14:solidFill>
                    <w14:schemeClr w14:val="tx1"/>
                  </w14:solidFill>
                </w14:textFill>
              </w:rPr>
              <w:t>备注</w:t>
            </w:r>
          </w:p>
        </w:tc>
      </w:tr>
      <w:tr w14:paraId="4F28E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jc w:val="center"/>
        </w:trPr>
        <w:tc>
          <w:tcPr>
            <w:tcW w:w="351" w:type="pct"/>
            <w:shd w:val="clear" w:color="auto" w:fill="auto"/>
            <w:noWrap/>
            <w:tcMar>
              <w:top w:w="15" w:type="dxa"/>
              <w:left w:w="15" w:type="dxa"/>
              <w:right w:w="15" w:type="dxa"/>
            </w:tcMar>
            <w:vAlign w:val="center"/>
          </w:tcPr>
          <w:p w14:paraId="6294F6FE">
            <w:pPr>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1787" w:type="pct"/>
            <w:shd w:val="clear" w:color="auto" w:fill="auto"/>
            <w:noWrap/>
            <w:tcMar>
              <w:top w:w="15" w:type="dxa"/>
              <w:left w:w="15" w:type="dxa"/>
              <w:right w:w="15" w:type="dxa"/>
            </w:tcMar>
            <w:vAlign w:val="center"/>
          </w:tcPr>
          <w:p w14:paraId="7EA70824">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气相色谱仪</w:t>
            </w:r>
            <w:r>
              <w:rPr>
                <w:rFonts w:hint="eastAsia" w:ascii="宋体" w:hAnsi="宋体" w:cs="宋体"/>
                <w:b w:val="0"/>
                <w:bCs w:val="0"/>
                <w:color w:val="000000" w:themeColor="text1"/>
                <w:spacing w:val="-9"/>
                <w:sz w:val="21"/>
                <w:szCs w:val="21"/>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9"/>
                <w:sz w:val="21"/>
                <w:szCs w:val="21"/>
                <w:highlight w:val="none"/>
                <w14:textFill>
                  <w14:solidFill>
                    <w14:schemeClr w14:val="tx1"/>
                  </w14:solidFill>
                </w14:textFill>
              </w:rPr>
              <w:t>含顶空进样器</w:t>
            </w:r>
            <w:r>
              <w:rPr>
                <w:rFonts w:hint="eastAsia" w:ascii="宋体" w:hAnsi="宋体" w:eastAsia="宋体" w:cs="宋体"/>
                <w:b w:val="0"/>
                <w:bCs w:val="0"/>
                <w:color w:val="000000" w:themeColor="text1"/>
                <w:spacing w:val="-9"/>
                <w:sz w:val="21"/>
                <w:szCs w:val="21"/>
                <w:highlight w:val="none"/>
                <w:lang w:val="en-US" w:eastAsia="zh-CN"/>
                <w14:textFill>
                  <w14:solidFill>
                    <w14:schemeClr w14:val="tx1"/>
                  </w14:solidFill>
                </w14:textFill>
              </w:rPr>
              <w:t>）</w:t>
            </w:r>
          </w:p>
        </w:tc>
        <w:tc>
          <w:tcPr>
            <w:tcW w:w="908" w:type="pct"/>
            <w:shd w:val="clear" w:color="auto" w:fill="FFFFFF"/>
            <w:noWrap/>
            <w:tcMar>
              <w:top w:w="15" w:type="dxa"/>
              <w:left w:w="15" w:type="dxa"/>
              <w:right w:w="15" w:type="dxa"/>
            </w:tcMar>
            <w:vAlign w:val="center"/>
          </w:tcPr>
          <w:p w14:paraId="138FF0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18" w:type="pct"/>
            <w:vMerge w:val="restart"/>
            <w:shd w:val="clear" w:color="auto" w:fill="auto"/>
            <w:noWrap/>
            <w:tcMar>
              <w:top w:w="15" w:type="dxa"/>
              <w:left w:w="15" w:type="dxa"/>
              <w:right w:w="15" w:type="dxa"/>
            </w:tcMar>
            <w:vAlign w:val="center"/>
          </w:tcPr>
          <w:p w14:paraId="5E62522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扬州市检验检测中心</w:t>
            </w:r>
          </w:p>
          <w:p w14:paraId="65231B7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（扬州市生态科技新城杭集镇龙王路6号）</w:t>
            </w:r>
          </w:p>
          <w:p w14:paraId="1478B25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指定地点</w:t>
            </w:r>
          </w:p>
        </w:tc>
        <w:tc>
          <w:tcPr>
            <w:tcW w:w="733" w:type="pct"/>
            <w:shd w:val="clear" w:color="auto" w:fill="auto"/>
            <w:noWrap/>
            <w:tcMar>
              <w:top w:w="15" w:type="dxa"/>
              <w:left w:w="15" w:type="dxa"/>
              <w:right w:w="15" w:type="dxa"/>
            </w:tcMar>
            <w:vAlign w:val="center"/>
          </w:tcPr>
          <w:p w14:paraId="6443F49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r>
      <w:tr w14:paraId="41C5E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351" w:type="pct"/>
            <w:shd w:val="clear" w:color="auto" w:fill="auto"/>
            <w:noWrap/>
            <w:tcMar>
              <w:top w:w="15" w:type="dxa"/>
              <w:left w:w="15" w:type="dxa"/>
              <w:right w:w="15" w:type="dxa"/>
            </w:tcMar>
            <w:vAlign w:val="center"/>
          </w:tcPr>
          <w:p w14:paraId="2F8C4AC1">
            <w:pPr>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1787" w:type="pct"/>
            <w:shd w:val="clear" w:color="auto" w:fill="auto"/>
            <w:noWrap/>
            <w:tcMar>
              <w:top w:w="15" w:type="dxa"/>
              <w:left w:w="15" w:type="dxa"/>
              <w:right w:w="15" w:type="dxa"/>
            </w:tcMar>
            <w:vAlign w:val="center"/>
          </w:tcPr>
          <w:p w14:paraId="4FAC852A">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pacing w:val="-9"/>
                <w:sz w:val="21"/>
                <w:szCs w:val="21"/>
                <w:highlight w:val="none"/>
                <w14:textFill>
                  <w14:solidFill>
                    <w14:schemeClr w14:val="tx1"/>
                  </w14:solidFill>
                </w14:textFill>
              </w:rPr>
              <w:t>气相色谱仪</w:t>
            </w:r>
          </w:p>
        </w:tc>
        <w:tc>
          <w:tcPr>
            <w:tcW w:w="908" w:type="pct"/>
            <w:shd w:val="clear" w:color="auto" w:fill="FFFFFF"/>
            <w:noWrap/>
            <w:tcMar>
              <w:top w:w="15" w:type="dxa"/>
              <w:left w:w="15" w:type="dxa"/>
              <w:right w:w="15" w:type="dxa"/>
            </w:tcMar>
            <w:vAlign w:val="center"/>
          </w:tcPr>
          <w:p w14:paraId="6DF0D98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18" w:type="pct"/>
            <w:vMerge w:val="continue"/>
            <w:shd w:val="clear" w:color="auto" w:fill="auto"/>
            <w:noWrap/>
            <w:tcMar>
              <w:top w:w="15" w:type="dxa"/>
              <w:left w:w="15" w:type="dxa"/>
              <w:right w:w="15" w:type="dxa"/>
            </w:tcMar>
            <w:vAlign w:val="center"/>
          </w:tcPr>
          <w:p w14:paraId="11A3F0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733" w:type="pct"/>
            <w:shd w:val="clear" w:color="auto" w:fill="auto"/>
            <w:noWrap/>
            <w:tcMar>
              <w:top w:w="15" w:type="dxa"/>
              <w:left w:w="15" w:type="dxa"/>
              <w:right w:w="15" w:type="dxa"/>
            </w:tcMar>
            <w:vAlign w:val="center"/>
          </w:tcPr>
          <w:p w14:paraId="1BCF2EC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r>
      <w:tr w14:paraId="458AE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jc w:val="center"/>
        </w:trPr>
        <w:tc>
          <w:tcPr>
            <w:tcW w:w="351" w:type="pct"/>
            <w:shd w:val="clear" w:color="auto" w:fill="auto"/>
            <w:noWrap/>
            <w:tcMar>
              <w:top w:w="15" w:type="dxa"/>
              <w:left w:w="15" w:type="dxa"/>
              <w:right w:w="15" w:type="dxa"/>
            </w:tcMar>
            <w:vAlign w:val="center"/>
          </w:tcPr>
          <w:p w14:paraId="44CF7D5D">
            <w:pPr>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787" w:type="pct"/>
            <w:shd w:val="clear" w:color="auto" w:fill="auto"/>
            <w:noWrap/>
            <w:tcMar>
              <w:top w:w="15" w:type="dxa"/>
              <w:left w:w="15" w:type="dxa"/>
              <w:right w:w="15" w:type="dxa"/>
            </w:tcMar>
            <w:vAlign w:val="center"/>
          </w:tcPr>
          <w:p w14:paraId="1395DA93">
            <w:pPr>
              <w:pStyle w:val="311"/>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pacing w:val="-1"/>
                <w:sz w:val="21"/>
                <w:szCs w:val="21"/>
                <w:highlight w:val="none"/>
                <w14:textFill>
                  <w14:solidFill>
                    <w14:schemeClr w14:val="tx1"/>
                  </w14:solidFill>
                </w14:textFill>
              </w:rPr>
              <w:t>液相色谱仪</w:t>
            </w:r>
          </w:p>
        </w:tc>
        <w:tc>
          <w:tcPr>
            <w:tcW w:w="908" w:type="pct"/>
            <w:shd w:val="clear" w:color="auto" w:fill="FFFFFF"/>
            <w:noWrap/>
            <w:tcMar>
              <w:top w:w="15" w:type="dxa"/>
              <w:left w:w="15" w:type="dxa"/>
              <w:right w:w="15" w:type="dxa"/>
            </w:tcMar>
            <w:vAlign w:val="center"/>
          </w:tcPr>
          <w:p w14:paraId="6A35367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right="0" w:rightChars="0"/>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1</w:t>
            </w:r>
          </w:p>
        </w:tc>
        <w:tc>
          <w:tcPr>
            <w:tcW w:w="1218" w:type="pct"/>
            <w:vMerge w:val="continue"/>
            <w:shd w:val="clear" w:color="auto" w:fill="auto"/>
            <w:noWrap/>
            <w:tcMar>
              <w:top w:w="15" w:type="dxa"/>
              <w:left w:w="15" w:type="dxa"/>
              <w:right w:w="15" w:type="dxa"/>
            </w:tcMar>
            <w:vAlign w:val="center"/>
          </w:tcPr>
          <w:p w14:paraId="524034C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p>
        </w:tc>
        <w:tc>
          <w:tcPr>
            <w:tcW w:w="733" w:type="pct"/>
            <w:shd w:val="clear" w:color="auto" w:fill="auto"/>
            <w:noWrap/>
            <w:tcMar>
              <w:top w:w="15" w:type="dxa"/>
              <w:left w:w="15" w:type="dxa"/>
              <w:right w:w="15" w:type="dxa"/>
            </w:tcMar>
            <w:vAlign w:val="center"/>
          </w:tcPr>
          <w:p w14:paraId="71A971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核心产品</w:t>
            </w:r>
          </w:p>
        </w:tc>
      </w:tr>
    </w:tbl>
    <w:p w14:paraId="2D43BA91">
      <w:pPr>
        <w:keepNext w:val="0"/>
        <w:keepLines w:val="0"/>
        <w:pageBreakBefore w:val="0"/>
        <w:widowControl w:val="0"/>
        <w:numPr>
          <w:ilvl w:val="0"/>
          <w:numId w:val="4"/>
        </w:numPr>
        <w:kinsoku/>
        <w:wordWrap/>
        <w:overflowPunct/>
        <w:topLinePunct w:val="0"/>
        <w:autoSpaceDE/>
        <w:autoSpaceDN/>
        <w:bidi w:val="0"/>
        <w:spacing w:line="360" w:lineRule="auto"/>
        <w:ind w:firstLine="422"/>
        <w:textAlignment w:val="auto"/>
        <w:outlineLvl w:val="1"/>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bidi="ar-SA"/>
          <w14:textFill>
            <w14:solidFill>
              <w14:schemeClr w14:val="tx1"/>
            </w14:solidFill>
          </w14:textFill>
        </w:rPr>
        <w:t>、技术要求</w:t>
      </w:r>
    </w:p>
    <w:p w14:paraId="62756838">
      <w:pPr>
        <w:pStyle w:val="310"/>
        <w:keepNext w:val="0"/>
        <w:keepLines w:val="0"/>
        <w:pageBreakBefore w:val="0"/>
        <w:widowControl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品目1：</w:t>
      </w:r>
      <w:r>
        <w:rPr>
          <w:rFonts w:hint="eastAsia" w:ascii="宋体" w:hAnsi="宋体" w:eastAsia="宋体" w:cs="宋体"/>
          <w:b/>
          <w:bCs/>
          <w:color w:val="000000" w:themeColor="text1"/>
          <w:spacing w:val="-9"/>
          <w:sz w:val="21"/>
          <w:szCs w:val="21"/>
          <w:highlight w:val="none"/>
          <w14:textFill>
            <w14:solidFill>
              <w14:schemeClr w14:val="tx1"/>
            </w14:solidFill>
          </w14:textFill>
        </w:rPr>
        <w:t>气相色谱仪</w:t>
      </w:r>
      <w:r>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pacing w:val="-9"/>
          <w:sz w:val="21"/>
          <w:szCs w:val="21"/>
          <w:highlight w:val="none"/>
          <w14:textFill>
            <w14:solidFill>
              <w14:schemeClr w14:val="tx1"/>
            </w14:solidFill>
          </w14:textFill>
        </w:rPr>
        <w:t>含顶空进样器</w:t>
      </w:r>
      <w:r>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t>）</w:t>
      </w:r>
    </w:p>
    <w:p w14:paraId="2AB1DA9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【核心参数】</w:t>
      </w:r>
    </w:p>
    <w:p w14:paraId="4A15B4F4">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分流比≥</w:t>
      </w:r>
      <w:r>
        <w:rPr>
          <w:rFonts w:ascii="宋体" w:hAnsi="宋体" w:eastAsia="宋体" w:cs="宋体"/>
          <w:bCs/>
          <w:color w:val="000000" w:themeColor="text1"/>
          <w:highlight w:val="none"/>
          <w14:textFill>
            <w14:solidFill>
              <w14:schemeClr w14:val="tx1"/>
            </w14:solidFill>
          </w14:textFill>
        </w:rPr>
        <w:t>12000</w:t>
      </w:r>
      <w:r>
        <w:rPr>
          <w:rFonts w:hint="eastAsia" w:ascii="宋体" w:hAnsi="宋体" w:eastAsia="宋体" w:cs="宋体"/>
          <w:bCs/>
          <w:color w:val="000000" w:themeColor="text1"/>
          <w:highlight w:val="none"/>
          <w:lang w:eastAsia="zh-CN"/>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1</w:t>
      </w:r>
    </w:p>
    <w:p w14:paraId="3DCBBFB8">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样品位数：＞</w:t>
      </w:r>
      <w:r>
        <w:rPr>
          <w:rFonts w:ascii="宋体" w:hAnsi="宋体" w:eastAsia="宋体" w:cs="宋体"/>
          <w:bCs/>
          <w:color w:val="000000" w:themeColor="text1"/>
          <w:highlight w:val="none"/>
          <w14:textFill>
            <w14:solidFill>
              <w14:schemeClr w14:val="tx1"/>
            </w14:solidFill>
          </w14:textFill>
        </w:rPr>
        <w:t>120</w:t>
      </w:r>
      <w:r>
        <w:rPr>
          <w:rFonts w:hint="eastAsia" w:ascii="宋体" w:hAnsi="宋体" w:eastAsia="宋体" w:cs="宋体"/>
          <w:bCs/>
          <w:color w:val="000000" w:themeColor="text1"/>
          <w:highlight w:val="none"/>
          <w14:textFill>
            <w14:solidFill>
              <w14:schemeClr w14:val="tx1"/>
            </w14:solidFill>
          </w14:textFill>
        </w:rPr>
        <w:t>，连续自动进样</w:t>
      </w:r>
    </w:p>
    <w:p w14:paraId="4C86CFD5">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氢火焰离子化检测器数据采样速率</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500Hz</w:t>
      </w:r>
    </w:p>
    <w:p w14:paraId="43AADB38">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4</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压力控制精度不低于</w:t>
      </w:r>
      <w:r>
        <w:rPr>
          <w:rFonts w:ascii="宋体" w:hAnsi="宋体" w:eastAsia="宋体" w:cs="宋体"/>
          <w:bCs/>
          <w:color w:val="000000" w:themeColor="text1"/>
          <w:highlight w:val="none"/>
          <w14:textFill>
            <w14:solidFill>
              <w14:schemeClr w14:val="tx1"/>
            </w14:solidFill>
          </w14:textFill>
        </w:rPr>
        <w:t>0.001psi</w:t>
      </w:r>
    </w:p>
    <w:p w14:paraId="1A861EA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【重要参数】</w:t>
      </w:r>
    </w:p>
    <w:p w14:paraId="6C1E33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bookmarkStart w:id="82" w:name="_Hlk218062675"/>
      <w:r>
        <w:rPr>
          <w:rFonts w:hint="eastAsia" w:ascii="宋体" w:hAnsi="宋体" w:eastAsia="宋体" w:cs="宋体"/>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气相色谱仪可以自动记录色谱柱使用时长，色谱柱信息自动录入方法系统，防止方法编辑错误</w:t>
      </w:r>
      <w:r>
        <w:rPr>
          <w:rFonts w:hint="eastAsia" w:ascii="宋体" w:hAnsi="宋体" w:eastAsia="宋体" w:cs="宋体"/>
          <w:bCs/>
          <w:color w:val="000000" w:themeColor="text1"/>
          <w:highlight w:val="none"/>
          <w14:textFill>
            <w14:solidFill>
              <w14:schemeClr w14:val="tx1"/>
            </w14:solidFill>
          </w14:textFill>
        </w:rPr>
        <w:t xml:space="preserve"> </w:t>
      </w:r>
    </w:p>
    <w:bookmarkEnd w:id="82"/>
    <w:p w14:paraId="3C7228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顶空震荡功能具不低于5级可调参数，适应不同样品场景</w:t>
      </w:r>
      <w:r>
        <w:rPr>
          <w:rFonts w:hint="eastAsia" w:ascii="宋体" w:hAnsi="宋体" w:eastAsia="宋体" w:cs="宋体"/>
          <w:b/>
          <w:bCs w:val="0"/>
          <w:color w:val="000000" w:themeColor="text1"/>
          <w:highlight w:val="none"/>
          <w14:textFill>
            <w14:solidFill>
              <w14:schemeClr w14:val="tx1"/>
            </w14:solidFill>
          </w14:textFill>
        </w:rPr>
        <w:t>（提供厂家软件截图）</w:t>
      </w:r>
      <w:r>
        <w:rPr>
          <w:rFonts w:hint="eastAsia" w:ascii="宋体" w:hAnsi="宋体" w:eastAsia="宋体" w:cs="宋体"/>
          <w:bCs/>
          <w:color w:val="000000" w:themeColor="text1"/>
          <w:highlight w:val="none"/>
          <w14:textFill>
            <w14:solidFill>
              <w14:schemeClr w14:val="tx1"/>
            </w14:solidFill>
          </w14:textFill>
        </w:rPr>
        <w:t>。</w:t>
      </w:r>
    </w:p>
    <w:p w14:paraId="1B9ED7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具有保留时间锁定功能</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通过软件自动调整载气压力参数</w:t>
      </w:r>
      <w:r>
        <w:rPr>
          <w:rFonts w:hint="eastAsia" w:ascii="宋体" w:hAnsi="宋体" w:eastAsia="宋体" w:cs="宋体"/>
          <w:color w:val="000000" w:themeColor="text1"/>
          <w:highlight w:val="none"/>
          <w14:textFill>
            <w14:solidFill>
              <w14:schemeClr w14:val="tx1"/>
            </w14:solidFill>
          </w14:textFill>
        </w:rPr>
        <w:t>或通过标准品校正保留时间。若通过标准校正需承诺终生免费提供校正的标准品。</w:t>
      </w:r>
    </w:p>
    <w:p w14:paraId="11F33D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▲4</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样品位</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可以容纳45个以上顶空样品瓶，加热位不低于12位</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（提供厂家实物图片）</w:t>
      </w:r>
    </w:p>
    <w:p w14:paraId="148A89F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一般参数</w:t>
      </w:r>
      <w:r>
        <w:rPr>
          <w:rFonts w:hint="eastAsia" w:ascii="宋体" w:hAnsi="宋体" w:eastAsia="宋体" w:cs="宋体"/>
          <w:b/>
          <w:bCs w:val="0"/>
          <w:color w:val="000000" w:themeColor="text1"/>
          <w:highlight w:val="none"/>
          <w:lang w:eastAsia="zh-CN"/>
          <w14:textFill>
            <w14:solidFill>
              <w14:schemeClr w14:val="tx1"/>
            </w14:solidFill>
          </w14:textFill>
        </w:rPr>
        <w:t>】</w:t>
      </w:r>
    </w:p>
    <w:p w14:paraId="32CE2AD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1</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工作条件</w:t>
      </w:r>
    </w:p>
    <w:p w14:paraId="5AE998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电源：220V，50Hz；温度：操作环境15˚C-35˚C；湿度：操作状态25-50%，非操作状态10-95%</w:t>
      </w:r>
    </w:p>
    <w:p w14:paraId="31CA069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
          <w:bCs w:val="0"/>
          <w:color w:val="000000" w:themeColor="text1"/>
          <w:highlight w:val="none"/>
          <w14:textFill>
            <w14:solidFill>
              <w14:schemeClr w14:val="tx1"/>
            </w14:solidFill>
          </w14:textFill>
        </w:rPr>
        <w:t>2</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柱箱</w:t>
      </w:r>
    </w:p>
    <w:p w14:paraId="65C167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2.1温度范围：室温以上4˚C~430˚C</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温度设定：温度1˚C；程序设定升温速率0.1˚C</w:t>
      </w:r>
    </w:p>
    <w:p w14:paraId="6D0D83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控温精度：≤0.01˚C</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温度稳定性；当环境温度变化1˚C时，优于0.01˚C</w:t>
      </w:r>
    </w:p>
    <w:p w14:paraId="0DCCA03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最大运行时间：999.99分钟</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降温速率：从450˚C降至50˚C&lt;250秒</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22℃室温下</w:t>
      </w:r>
      <w:r>
        <w:rPr>
          <w:rFonts w:hint="eastAsia" w:ascii="宋体" w:hAnsi="宋体" w:eastAsia="宋体" w:cs="宋体"/>
          <w:bCs/>
          <w:color w:val="000000" w:themeColor="text1"/>
          <w:highlight w:val="none"/>
          <w:lang w:eastAsia="zh-CN"/>
          <w14:textFill>
            <w14:solidFill>
              <w14:schemeClr w14:val="tx1"/>
            </w14:solidFill>
          </w14:textFill>
        </w:rPr>
        <w:t>）</w:t>
      </w:r>
    </w:p>
    <w:p w14:paraId="0989B7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保留时间重现性：&lt;0.008% 或 &lt;0.0008min</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峰面积重现性：&lt;0.5% RSD</w:t>
      </w:r>
    </w:p>
    <w:p w14:paraId="23B329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升温速度：0.1˚C/分钟~120˚C/分钟</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最大升温速度可拓展至：1800℃/min以上。</w:t>
      </w:r>
    </w:p>
    <w:p w14:paraId="0CB42B3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2.</w:t>
      </w:r>
      <w:r>
        <w:rPr>
          <w:rFonts w:hint="eastAsia" w:ascii="宋体" w:hAnsi="宋体" w:cs="宋体"/>
          <w:bCs/>
          <w:color w:val="000000" w:themeColor="text1"/>
          <w:highlight w:val="none"/>
          <w:lang w:val="en-US" w:eastAsia="zh-CN"/>
          <w14:textFill>
            <w14:solidFill>
              <w14:schemeClr w14:val="tx1"/>
            </w14:solidFill>
          </w14:textFill>
        </w:rPr>
        <w:t>2</w:t>
      </w:r>
      <w:r>
        <w:rPr>
          <w:rFonts w:hint="eastAsia" w:ascii="宋体" w:hAnsi="宋体" w:eastAsia="宋体" w:cs="宋体"/>
          <w:bCs/>
          <w:color w:val="000000" w:themeColor="text1"/>
          <w:highlight w:val="none"/>
          <w14:textFill>
            <w14:solidFill>
              <w14:schemeClr w14:val="tx1"/>
            </w14:solidFill>
          </w14:textFill>
        </w:rPr>
        <w:t>内置自引导诊断和维护功能，可自动监测系统运行状况、跟踪样品分析情况并在泄漏时及时发出警报</w:t>
      </w:r>
      <w:r>
        <w:rPr>
          <w:rFonts w:hint="eastAsia" w:ascii="宋体" w:hAnsi="宋体" w:eastAsia="宋体" w:cs="宋体"/>
          <w:b/>
          <w:bCs w:val="0"/>
          <w:color w:val="000000" w:themeColor="text1"/>
          <w:highlight w:val="none"/>
          <w14:textFill>
            <w14:solidFill>
              <w14:schemeClr w14:val="tx1"/>
            </w14:solidFill>
          </w14:textFill>
        </w:rPr>
        <w:t>（提供厂家官网截图证明材）</w:t>
      </w:r>
      <w:r>
        <w:rPr>
          <w:rFonts w:hint="eastAsia" w:ascii="宋体" w:hAnsi="宋体" w:eastAsia="宋体" w:cs="宋体"/>
          <w:b/>
          <w:bCs w:val="0"/>
          <w:color w:val="000000" w:themeColor="text1"/>
          <w:highlight w:val="none"/>
          <w:lang w:eastAsia="zh-CN"/>
          <w14:textFill>
            <w14:solidFill>
              <w14:schemeClr w14:val="tx1"/>
            </w14:solidFill>
          </w14:textFill>
        </w:rPr>
        <w:t>。</w:t>
      </w:r>
    </w:p>
    <w:p w14:paraId="6FF89B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2.</w:t>
      </w:r>
      <w:r>
        <w:rPr>
          <w:rFonts w:hint="eastAsia" w:ascii="宋体" w:hAnsi="宋体" w:cs="宋体"/>
          <w:bCs/>
          <w:color w:val="000000" w:themeColor="text1"/>
          <w:highlight w:val="none"/>
          <w:lang w:val="en-US" w:eastAsia="zh-CN"/>
          <w14:textFill>
            <w14:solidFill>
              <w14:schemeClr w14:val="tx1"/>
            </w14:solidFill>
          </w14:textFill>
        </w:rPr>
        <w:t>3</w:t>
      </w:r>
      <w:r>
        <w:rPr>
          <w:rFonts w:hint="eastAsia" w:ascii="宋体" w:hAnsi="宋体" w:eastAsia="宋体" w:cs="宋体"/>
          <w:bCs/>
          <w:color w:val="000000" w:themeColor="text1"/>
          <w:highlight w:val="none"/>
          <w14:textFill>
            <w14:solidFill>
              <w14:schemeClr w14:val="tx1"/>
            </w14:solidFill>
          </w14:textFill>
        </w:rPr>
        <w:t>配置柱温箱照明功能，便于色谱柱切换</w:t>
      </w:r>
      <w:r>
        <w:rPr>
          <w:rFonts w:hint="eastAsia" w:ascii="宋体" w:hAnsi="宋体" w:eastAsia="宋体" w:cs="宋体"/>
          <w:b/>
          <w:bCs w:val="0"/>
          <w:color w:val="000000" w:themeColor="text1"/>
          <w:highlight w:val="none"/>
          <w14:textFill>
            <w14:solidFill>
              <w14:schemeClr w14:val="tx1"/>
            </w14:solidFill>
          </w14:textFill>
        </w:rPr>
        <w:t>（提供厂家实物图片）</w:t>
      </w:r>
    </w:p>
    <w:p w14:paraId="464D266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3、</w:t>
      </w:r>
      <w:r>
        <w:rPr>
          <w:rFonts w:hint="eastAsia" w:ascii="宋体" w:hAnsi="宋体" w:eastAsia="宋体" w:cs="宋体"/>
          <w:b/>
          <w:bCs w:val="0"/>
          <w:color w:val="000000" w:themeColor="text1"/>
          <w:highlight w:val="none"/>
          <w14:textFill>
            <w14:solidFill>
              <w14:schemeClr w14:val="tx1"/>
            </w14:solidFill>
          </w14:textFill>
        </w:rPr>
        <w:t>毛细柱分流/无分流进样口（带EPC电子流量控制）</w:t>
      </w:r>
    </w:p>
    <w:p w14:paraId="75ECE0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最高使用温度不低于395˚C</w:t>
      </w:r>
    </w:p>
    <w:p w14:paraId="1846E8A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压力设定范围：0-100Psi</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 xml:space="preserve"> 精度0.001Psi</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 xml:space="preserve"> 流量范围：0-500mL/分钟N2</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 xml:space="preserve"> 0-1230mL/min H2 or He</w:t>
      </w:r>
    </w:p>
    <w:p w14:paraId="06907C5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4</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氢火焰离子化检测器</w:t>
      </w:r>
    </w:p>
    <w:p w14:paraId="40ACAA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线性动态范围：&gt;10</w:t>
      </w:r>
      <w:r>
        <w:rPr>
          <w:rFonts w:hint="eastAsia" w:ascii="宋体" w:hAnsi="宋体" w:eastAsia="宋体" w:cs="宋体"/>
          <w:bCs/>
          <w:color w:val="000000" w:themeColor="text1"/>
          <w:highlight w:val="none"/>
          <w:vertAlign w:val="superscript"/>
          <w14:textFill>
            <w14:solidFill>
              <w14:schemeClr w14:val="tx1"/>
            </w14:solidFill>
          </w14:textFill>
        </w:rPr>
        <w:t>7</w:t>
      </w:r>
      <w:r>
        <w:rPr>
          <w:rFonts w:hint="eastAsia" w:ascii="宋体" w:hAnsi="宋体" w:eastAsia="宋体" w:cs="宋体"/>
          <w:bCs/>
          <w:color w:val="000000" w:themeColor="text1"/>
          <w:highlight w:val="none"/>
          <w14:textFill>
            <w14:solidFill>
              <w14:schemeClr w14:val="tx1"/>
            </w14:solidFill>
          </w14:textFill>
        </w:rPr>
        <w:t>（±10%）。全量程的数字化数据输出使得一次进样中可以对检测</w:t>
      </w:r>
    </w:p>
    <w:p w14:paraId="64D69C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标准的EPC 用于三种气体：空气、氢气、尾吹气；具有灭火自动检测和自动再点火。</w:t>
      </w:r>
    </w:p>
    <w:p w14:paraId="57BF9A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最高使用温度不低于430°C。</w:t>
      </w:r>
    </w:p>
    <w:p w14:paraId="6821C4F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5、</w:t>
      </w:r>
      <w:r>
        <w:rPr>
          <w:rFonts w:hint="eastAsia" w:ascii="宋体" w:hAnsi="宋体" w:eastAsia="宋体" w:cs="宋体"/>
          <w:b/>
          <w:bCs w:val="0"/>
          <w:color w:val="000000" w:themeColor="text1"/>
          <w:highlight w:val="none"/>
          <w14:textFill>
            <w14:solidFill>
              <w14:schemeClr w14:val="tx1"/>
            </w14:solidFill>
          </w14:textFill>
        </w:rPr>
        <w:t>微电子捕获检测器</w:t>
      </w:r>
    </w:p>
    <w:p w14:paraId="49909D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最低检测限：小于 4 fg/mL 林丹</w:t>
      </w:r>
    </w:p>
    <w:p w14:paraId="17DC65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最高温度不低于400</w:t>
      </w:r>
      <w:r>
        <w:rPr>
          <w:rFonts w:hint="eastAsia"/>
          <w:bCs/>
          <w:color w:val="000000" w:themeColor="text1"/>
          <w:highlight w:val="none"/>
          <w14:textFill>
            <w14:solidFill>
              <w14:schemeClr w14:val="tx1"/>
            </w14:solidFill>
          </w14:textFill>
        </w:rPr>
        <w:t>°C</w:t>
      </w:r>
    </w:p>
    <w:p w14:paraId="5A417D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数据采集速率不低于500 Hz</w:t>
      </w:r>
    </w:p>
    <w:p w14:paraId="597D25B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6、</w:t>
      </w:r>
      <w:r>
        <w:rPr>
          <w:rFonts w:hint="eastAsia" w:ascii="宋体" w:hAnsi="宋体" w:eastAsia="宋体" w:cs="宋体"/>
          <w:b/>
          <w:bCs w:val="0"/>
          <w:color w:val="000000" w:themeColor="text1"/>
          <w:highlight w:val="none"/>
          <w14:textFill>
            <w14:solidFill>
              <w14:schemeClr w14:val="tx1"/>
            </w14:solidFill>
          </w14:textFill>
        </w:rPr>
        <w:t>顶空自动进样器</w:t>
      </w:r>
    </w:p>
    <w:p w14:paraId="1702DB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6</w:t>
      </w:r>
      <w:r>
        <w:rPr>
          <w:rFonts w:hint="eastAsia" w:ascii="宋体" w:hAnsi="宋体" w:eastAsia="宋体" w:cs="宋体"/>
          <w:bCs/>
          <w:color w:val="000000" w:themeColor="text1"/>
          <w:highlight w:val="none"/>
          <w14:textFill>
            <w14:solidFill>
              <w14:schemeClr w14:val="tx1"/>
            </w14:solidFill>
          </w14:textFill>
        </w:rPr>
        <w:t>.1顶空进样器色谱性能：面积重复性：＜0.7%RSD；</w:t>
      </w:r>
    </w:p>
    <w:p w14:paraId="21FAD1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样品瓶：可采用10ml</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20ml和22ml尺寸的顶空样品瓶（无需适配器）； 在单次运行序列中可以使用不同尺寸的样品瓶；</w:t>
      </w:r>
    </w:p>
    <w:p w14:paraId="3FC4B1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温度控制</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加热炉范围：环境温度+5℃到300℃</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传输线温度范围：环境温度+5℃-300℃</w:t>
      </w:r>
    </w:p>
    <w:p w14:paraId="5CBD43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压力设定点可以调节的增量为0.001psi，在0.000到75.000psi之间的控制精度为±0.001；流量的设定点可调节的增量为0.01mL/min，在0.0到200mL/min之间的控制精度为± 0.01</w:t>
      </w:r>
    </w:p>
    <w:p w14:paraId="71BBF2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6</w:t>
      </w:r>
      <w:r>
        <w:rPr>
          <w:rFonts w:hint="eastAsia" w:ascii="宋体" w:hAnsi="宋体" w:eastAsia="宋体" w:cs="宋体"/>
          <w:bCs/>
          <w:color w:val="000000" w:themeColor="text1"/>
          <w:highlight w:val="none"/>
          <w14:textFill>
            <w14:solidFill>
              <w14:schemeClr w14:val="tx1"/>
            </w14:solidFill>
          </w14:textFill>
        </w:rPr>
        <w:t>.2顶空进样系统采用阀和定量管的进样方式</w:t>
      </w:r>
      <w:r>
        <w:rPr>
          <w:rFonts w:hint="eastAsia" w:ascii="宋体" w:hAnsi="宋体" w:eastAsia="宋体" w:cs="宋体"/>
          <w:b/>
          <w:bCs w:val="0"/>
          <w:color w:val="000000" w:themeColor="text1"/>
          <w:highlight w:val="none"/>
          <w14:textFill>
            <w14:solidFill>
              <w14:schemeClr w14:val="tx1"/>
            </w14:solidFill>
          </w14:textFill>
        </w:rPr>
        <w:t>（提供软件示意图片和实物图片）</w:t>
      </w:r>
    </w:p>
    <w:p w14:paraId="7B46D7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6.3</w:t>
      </w:r>
      <w:r>
        <w:rPr>
          <w:rFonts w:hint="eastAsia" w:ascii="宋体" w:hAnsi="宋体" w:eastAsia="宋体" w:cs="宋体"/>
          <w:bCs/>
          <w:color w:val="000000" w:themeColor="text1"/>
          <w:highlight w:val="none"/>
          <w14:textFill>
            <w14:solidFill>
              <w14:schemeClr w14:val="tx1"/>
            </w14:solidFill>
          </w14:textFill>
        </w:rPr>
        <w:t>可扩展条形码阅读功能，自动读取样品瓶信息</w:t>
      </w:r>
      <w:r>
        <w:rPr>
          <w:rFonts w:hint="eastAsia" w:ascii="宋体" w:hAnsi="宋体" w:eastAsia="宋体" w:cs="宋体"/>
          <w:b/>
          <w:bCs w:val="0"/>
          <w:color w:val="000000" w:themeColor="text1"/>
          <w:highlight w:val="none"/>
          <w14:textFill>
            <w14:solidFill>
              <w14:schemeClr w14:val="tx1"/>
            </w14:solidFill>
          </w14:textFill>
        </w:rPr>
        <w:t>（提供软件截图）</w:t>
      </w:r>
      <w:r>
        <w:rPr>
          <w:rFonts w:hint="eastAsia" w:ascii="宋体" w:hAnsi="宋体" w:eastAsia="宋体" w:cs="宋体"/>
          <w:bCs/>
          <w:color w:val="000000" w:themeColor="text1"/>
          <w:highlight w:val="none"/>
          <w14:textFill>
            <w14:solidFill>
              <w14:schemeClr w14:val="tx1"/>
            </w14:solidFill>
          </w14:textFill>
        </w:rPr>
        <w:t>。</w:t>
      </w:r>
    </w:p>
    <w:p w14:paraId="3A5BF6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6.4</w:t>
      </w:r>
      <w:r>
        <w:rPr>
          <w:rFonts w:hint="eastAsia" w:ascii="宋体" w:hAnsi="宋体" w:eastAsia="宋体" w:cs="宋体"/>
          <w:bCs/>
          <w:color w:val="000000" w:themeColor="text1"/>
          <w:highlight w:val="none"/>
          <w14:textFill>
            <w14:solidFill>
              <w14:schemeClr w14:val="tx1"/>
            </w14:solidFill>
          </w14:textFill>
        </w:rPr>
        <w:t>顶空样品盘不低于2个，方便样品更换</w:t>
      </w:r>
      <w:r>
        <w:rPr>
          <w:rFonts w:hint="eastAsia" w:ascii="宋体" w:hAnsi="宋体" w:eastAsia="宋体" w:cs="宋体"/>
          <w:b/>
          <w:bCs w:val="0"/>
          <w:color w:val="000000" w:themeColor="text1"/>
          <w:highlight w:val="none"/>
          <w14:textFill>
            <w14:solidFill>
              <w14:schemeClr w14:val="tx1"/>
            </w14:solidFill>
          </w14:textFill>
        </w:rPr>
        <w:t>（提供厂家实物图片）</w:t>
      </w:r>
    </w:p>
    <w:p w14:paraId="5F8C0EF6">
      <w:pPr>
        <w:keepNext w:val="0"/>
        <w:keepLines w:val="0"/>
        <w:pageBreakBefore w:val="0"/>
        <w:widowControl w:val="0"/>
        <w:kinsoku/>
        <w:wordWrap/>
        <w:overflowPunct/>
        <w:topLinePunct w:val="0"/>
        <w:autoSpaceDE/>
        <w:autoSpaceDN/>
        <w:bidi w:val="0"/>
        <w:adjustRightInd/>
        <w:snapToGrid/>
        <w:spacing w:line="360" w:lineRule="auto"/>
        <w:ind w:firstLine="414" w:firstLineChars="200"/>
        <w:textAlignment w:val="auto"/>
        <w:rPr>
          <w:rFonts w:hint="eastAsia" w:ascii="宋体" w:hAnsi="宋体" w:eastAsia="宋体" w:cs="宋体"/>
          <w:b/>
          <w:bCs w:val="0"/>
          <w:color w:val="000000" w:themeColor="text1"/>
          <w:spacing w:val="-2"/>
          <w:szCs w:val="21"/>
          <w:highlight w:val="none"/>
          <w14:textFill>
            <w14:solidFill>
              <w14:schemeClr w14:val="tx1"/>
            </w14:solidFill>
          </w14:textFill>
        </w:rPr>
      </w:pPr>
      <w:r>
        <w:rPr>
          <w:rFonts w:hint="eastAsia" w:ascii="宋体" w:hAnsi="宋体" w:cs="宋体"/>
          <w:b/>
          <w:bCs w:val="0"/>
          <w:color w:val="000000" w:themeColor="text1"/>
          <w:spacing w:val="-2"/>
          <w:szCs w:val="21"/>
          <w:highlight w:val="none"/>
          <w:lang w:val="en-US" w:eastAsia="zh-CN"/>
          <w14:textFill>
            <w14:solidFill>
              <w14:schemeClr w14:val="tx1"/>
            </w14:solidFill>
          </w14:textFill>
        </w:rPr>
        <w:t>7、</w:t>
      </w:r>
      <w:r>
        <w:rPr>
          <w:rFonts w:hint="eastAsia" w:ascii="宋体" w:hAnsi="宋体" w:eastAsia="宋体" w:cs="宋体"/>
          <w:b/>
          <w:bCs w:val="0"/>
          <w:color w:val="000000" w:themeColor="text1"/>
          <w:spacing w:val="-2"/>
          <w:szCs w:val="21"/>
          <w:highlight w:val="none"/>
          <w14:textFill>
            <w14:solidFill>
              <w14:schemeClr w14:val="tx1"/>
            </w14:solidFill>
          </w14:textFill>
        </w:rPr>
        <w:t>液体自动进样器</w:t>
      </w:r>
      <w:r>
        <w:rPr>
          <w:rFonts w:hint="eastAsia" w:ascii="宋体" w:hAnsi="宋体" w:eastAsia="宋体" w:cs="宋体"/>
          <w:b/>
          <w:bCs w:val="0"/>
          <w:color w:val="000000" w:themeColor="text1"/>
          <w:spacing w:val="-2"/>
          <w:szCs w:val="21"/>
          <w:highlight w:val="none"/>
          <w14:textFill>
            <w14:solidFill>
              <w14:schemeClr w14:val="tx1"/>
            </w14:solidFill>
          </w14:textFill>
        </w:rPr>
        <w:tab/>
      </w:r>
    </w:p>
    <w:p w14:paraId="63A373BB">
      <w:pPr>
        <w:keepNext w:val="0"/>
        <w:keepLines w:val="0"/>
        <w:pageBreakBefore w:val="0"/>
        <w:widowControl w:val="0"/>
        <w:kinsoku/>
        <w:wordWrap/>
        <w:overflowPunct/>
        <w:topLinePunct w:val="0"/>
        <w:autoSpaceDE/>
        <w:autoSpaceDN/>
        <w:bidi w:val="0"/>
        <w:adjustRightInd/>
        <w:snapToGrid/>
        <w:spacing w:line="360" w:lineRule="auto"/>
        <w:ind w:firstLine="412" w:firstLineChars="200"/>
        <w:textAlignment w:val="auto"/>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lang w:val="en-US" w:eastAsia="zh-CN"/>
          <w14:textFill>
            <w14:solidFill>
              <w14:schemeClr w14:val="tx1"/>
            </w14:solidFill>
          </w14:textFill>
        </w:rPr>
        <w:t>7</w:t>
      </w:r>
      <w:r>
        <w:rPr>
          <w:rFonts w:hint="eastAsia" w:ascii="宋体" w:hAnsi="宋体" w:eastAsia="宋体" w:cs="宋体"/>
          <w:bCs/>
          <w:color w:val="000000" w:themeColor="text1"/>
          <w:spacing w:val="-2"/>
          <w:szCs w:val="21"/>
          <w:highlight w:val="none"/>
          <w14:textFill>
            <w14:solidFill>
              <w14:schemeClr w14:val="tx1"/>
            </w14:solidFill>
          </w14:textFill>
        </w:rPr>
        <w:t>.1样品位数：≥165，连续自动进样</w:t>
      </w:r>
      <w:r>
        <w:rPr>
          <w:rFonts w:hint="eastAsia" w:ascii="宋体" w:hAnsi="宋体" w:eastAsia="宋体" w:cs="宋体"/>
          <w:b/>
          <w:bCs w:val="0"/>
          <w:color w:val="000000" w:themeColor="text1"/>
          <w:highlight w:val="none"/>
          <w14:textFill>
            <w14:solidFill>
              <w14:schemeClr w14:val="tx1"/>
            </w14:solidFill>
          </w14:textFill>
        </w:rPr>
        <w:t>（提供厂家实物图片）</w:t>
      </w:r>
    </w:p>
    <w:p w14:paraId="46FBFC74">
      <w:pPr>
        <w:keepNext w:val="0"/>
        <w:keepLines w:val="0"/>
        <w:pageBreakBefore w:val="0"/>
        <w:widowControl w:val="0"/>
        <w:kinsoku/>
        <w:wordWrap/>
        <w:overflowPunct/>
        <w:topLinePunct w:val="0"/>
        <w:autoSpaceDE/>
        <w:autoSpaceDN/>
        <w:bidi w:val="0"/>
        <w:adjustRightInd/>
        <w:snapToGrid/>
        <w:spacing w:line="360" w:lineRule="auto"/>
        <w:ind w:firstLine="412" w:firstLineChars="200"/>
        <w:textAlignment w:val="auto"/>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cs="宋体"/>
          <w:bCs/>
          <w:color w:val="000000" w:themeColor="text1"/>
          <w:spacing w:val="-2"/>
          <w:szCs w:val="21"/>
          <w:highlight w:val="none"/>
          <w:lang w:val="en-US" w:eastAsia="zh-CN"/>
          <w14:textFill>
            <w14:solidFill>
              <w14:schemeClr w14:val="tx1"/>
            </w14:solidFill>
          </w14:textFill>
        </w:rPr>
        <w:t>7</w:t>
      </w:r>
      <w:r>
        <w:rPr>
          <w:rFonts w:hint="eastAsia" w:ascii="宋体" w:hAnsi="宋体" w:eastAsia="宋体" w:cs="宋体"/>
          <w:bCs/>
          <w:color w:val="000000" w:themeColor="text1"/>
          <w:spacing w:val="-2"/>
          <w:szCs w:val="21"/>
          <w:highlight w:val="none"/>
          <w14:textFill>
            <w14:solidFill>
              <w14:schemeClr w14:val="tx1"/>
            </w14:solidFill>
          </w14:textFill>
        </w:rPr>
        <w:t>.2自动进样器可以随意挪动，并支持自我校正，无需通过软件设置校正</w:t>
      </w:r>
    </w:p>
    <w:p w14:paraId="746BAA79">
      <w:pPr>
        <w:keepNext w:val="0"/>
        <w:keepLines w:val="0"/>
        <w:pageBreakBefore w:val="0"/>
        <w:widowControl w:val="0"/>
        <w:kinsoku/>
        <w:wordWrap/>
        <w:overflowPunct/>
        <w:topLinePunct w:val="0"/>
        <w:autoSpaceDE/>
        <w:autoSpaceDN/>
        <w:bidi w:val="0"/>
        <w:adjustRightInd/>
        <w:snapToGrid/>
        <w:spacing w:line="360" w:lineRule="auto"/>
        <w:ind w:firstLine="412" w:firstLineChars="200"/>
        <w:textAlignment w:val="auto"/>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eastAsia="宋体" w:cs="宋体"/>
          <w:bCs/>
          <w:color w:val="000000" w:themeColor="text1"/>
          <w:spacing w:val="-2"/>
          <w:szCs w:val="21"/>
          <w:highlight w:val="none"/>
          <w14:textFill>
            <w14:solidFill>
              <w14:schemeClr w14:val="tx1"/>
            </w14:solidFill>
          </w14:textFill>
        </w:rPr>
        <w:t>峰面积重现性优于0.3% RSD</w:t>
      </w:r>
    </w:p>
    <w:p w14:paraId="6913E774">
      <w:pPr>
        <w:keepNext w:val="0"/>
        <w:keepLines w:val="0"/>
        <w:pageBreakBefore w:val="0"/>
        <w:widowControl w:val="0"/>
        <w:kinsoku/>
        <w:wordWrap/>
        <w:overflowPunct/>
        <w:topLinePunct w:val="0"/>
        <w:autoSpaceDE/>
        <w:autoSpaceDN/>
        <w:bidi w:val="0"/>
        <w:adjustRightInd/>
        <w:snapToGrid/>
        <w:spacing w:line="360" w:lineRule="auto"/>
        <w:ind w:firstLine="412" w:firstLineChars="200"/>
        <w:textAlignment w:val="auto"/>
        <w:rPr>
          <w:rFonts w:hint="eastAsia" w:ascii="宋体" w:hAnsi="宋体" w:eastAsia="宋体" w:cs="宋体"/>
          <w:bCs/>
          <w:color w:val="000000" w:themeColor="text1"/>
          <w:spacing w:val="-2"/>
          <w:szCs w:val="21"/>
          <w:highlight w:val="none"/>
          <w14:textFill>
            <w14:solidFill>
              <w14:schemeClr w14:val="tx1"/>
            </w14:solidFill>
          </w14:textFill>
        </w:rPr>
      </w:pPr>
      <w:r>
        <w:rPr>
          <w:rFonts w:hint="eastAsia" w:ascii="宋体" w:hAnsi="宋体" w:eastAsia="宋体" w:cs="宋体"/>
          <w:bCs/>
          <w:color w:val="000000" w:themeColor="text1"/>
          <w:spacing w:val="-2"/>
          <w:szCs w:val="21"/>
          <w:highlight w:val="none"/>
          <w14:textFill>
            <w14:solidFill>
              <w14:schemeClr w14:val="tx1"/>
            </w14:solidFill>
          </w14:textFill>
        </w:rPr>
        <w:t>进样量范围：0.1～50ul</w:t>
      </w:r>
    </w:p>
    <w:p w14:paraId="0EA5F36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8</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硬件及软件系统：</w:t>
      </w:r>
    </w:p>
    <w:p w14:paraId="7F7573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工作站配置要求：商用机i5</w:t>
      </w:r>
      <w:r>
        <w:rPr>
          <w:rFonts w:hint="eastAsia" w:ascii="宋体" w:hAnsi="宋体" w:eastAsia="宋体" w:cs="宋体"/>
          <w:bCs/>
          <w:color w:val="000000" w:themeColor="text1"/>
          <w:highlight w:val="none"/>
          <w:lang w:val="en-US" w:eastAsia="zh-CN"/>
          <w14:textFill>
            <w14:solidFill>
              <w14:schemeClr w14:val="tx1"/>
            </w14:solidFill>
          </w14:textFill>
        </w:rPr>
        <w:t>或类似性能及以上</w:t>
      </w:r>
      <w:r>
        <w:rPr>
          <w:rFonts w:hint="eastAsia" w:ascii="宋体" w:hAnsi="宋体" w:eastAsia="宋体" w:cs="宋体"/>
          <w:bCs/>
          <w:color w:val="000000" w:themeColor="text1"/>
          <w:highlight w:val="none"/>
          <w14:textFill>
            <w14:solidFill>
              <w14:schemeClr w14:val="tx1"/>
            </w14:solidFill>
          </w14:textFill>
        </w:rPr>
        <w:t>处理器</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5</w:t>
      </w:r>
      <w:r>
        <w:rPr>
          <w:rFonts w:hint="eastAsia" w:ascii="宋体" w:hAnsi="宋体" w:eastAsia="宋体" w:cs="宋体"/>
          <w:bCs/>
          <w:color w:val="000000" w:themeColor="text1"/>
          <w:highlight w:val="none"/>
          <w:lang w:val="en-US" w:eastAsia="zh-CN"/>
          <w14:textFill>
            <w14:solidFill>
              <w14:schemeClr w14:val="tx1"/>
            </w14:solidFill>
          </w14:textFill>
        </w:rPr>
        <w:t>12</w:t>
      </w:r>
      <w:r>
        <w:rPr>
          <w:rFonts w:hint="eastAsia" w:ascii="宋体" w:hAnsi="宋体" w:eastAsia="宋体" w:cs="宋体"/>
          <w:bCs/>
          <w:color w:val="000000" w:themeColor="text1"/>
          <w:highlight w:val="none"/>
          <w14:textFill>
            <w14:solidFill>
              <w14:schemeClr w14:val="tx1"/>
            </w14:solidFill>
          </w14:textFill>
        </w:rPr>
        <w:t>G</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lang w:val="en-US" w:eastAsia="zh-CN"/>
          <w14:textFill>
            <w14:solidFill>
              <w14:schemeClr w14:val="tx1"/>
            </w14:solidFill>
          </w14:textFill>
        </w:rPr>
        <w:t>以上</w:t>
      </w:r>
      <w:r>
        <w:rPr>
          <w:rFonts w:hint="eastAsia" w:ascii="宋体" w:hAnsi="宋体" w:eastAsia="宋体" w:cs="宋体"/>
          <w:bCs/>
          <w:color w:val="000000" w:themeColor="text1"/>
          <w:highlight w:val="none"/>
          <w14:textFill>
            <w14:solidFill>
              <w14:schemeClr w14:val="tx1"/>
            </w14:solidFill>
          </w14:textFill>
        </w:rPr>
        <w:t>硬盘，16G</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14:textFill>
            <w14:solidFill>
              <w14:schemeClr w14:val="tx1"/>
            </w14:solidFill>
          </w14:textFill>
        </w:rPr>
        <w:t>以上内存</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lang w:val="en-US" w:eastAsia="zh-CN"/>
          <w14:textFill>
            <w14:solidFill>
              <w14:schemeClr w14:val="tx1"/>
            </w14:solidFill>
          </w14:textFill>
        </w:rPr>
        <w:t>30寸以上</w:t>
      </w:r>
      <w:r>
        <w:rPr>
          <w:rFonts w:hint="eastAsia" w:ascii="宋体" w:hAnsi="宋体" w:eastAsia="宋体" w:cs="宋体"/>
          <w:bCs/>
          <w:color w:val="000000" w:themeColor="text1"/>
          <w:highlight w:val="none"/>
          <w14:textFill>
            <w14:solidFill>
              <w14:schemeClr w14:val="tx1"/>
            </w14:solidFill>
          </w14:textFill>
        </w:rPr>
        <w:t>液晶，及正版中文Windows 10以上系统；激光打印机各一套</w:t>
      </w:r>
    </w:p>
    <w:p w14:paraId="63186DA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9、</w:t>
      </w:r>
      <w:r>
        <w:rPr>
          <w:rFonts w:hint="eastAsia" w:ascii="宋体" w:hAnsi="宋体" w:eastAsia="宋体" w:cs="宋体"/>
          <w:b/>
          <w:bCs w:val="0"/>
          <w:color w:val="000000" w:themeColor="text1"/>
          <w:highlight w:val="none"/>
          <w14:textFill>
            <w14:solidFill>
              <w14:schemeClr w14:val="tx1"/>
            </w14:solidFill>
          </w14:textFill>
        </w:rPr>
        <w:t>配置</w:t>
      </w:r>
      <w:r>
        <w:rPr>
          <w:rFonts w:hint="eastAsia" w:ascii="宋体" w:hAnsi="宋体" w:cs="宋体"/>
          <w:b/>
          <w:bCs w:val="0"/>
          <w:color w:val="000000" w:themeColor="text1"/>
          <w:highlight w:val="none"/>
          <w:lang w:eastAsia="zh-CN"/>
          <w14:textFill>
            <w14:solidFill>
              <w14:schemeClr w14:val="tx1"/>
            </w14:solidFill>
          </w14:textFill>
        </w:rPr>
        <w:t>清单</w:t>
      </w:r>
    </w:p>
    <w:p w14:paraId="299489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气相色谱仪主机1套</w:t>
      </w:r>
    </w:p>
    <w:p w14:paraId="44AA94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分流不分流进样口2套</w:t>
      </w:r>
    </w:p>
    <w:p w14:paraId="4A8F00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FID检测器带EPC控制1套</w:t>
      </w:r>
    </w:p>
    <w:p w14:paraId="1BAD82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ECD检测器带EPC控制1套</w:t>
      </w:r>
    </w:p>
    <w:p w14:paraId="79E49C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化学工作站控制及色谱数据处理系统1套</w:t>
      </w:r>
    </w:p>
    <w:p w14:paraId="4A2242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自动进样器和百位盘1套</w:t>
      </w:r>
    </w:p>
    <w:p w14:paraId="6FE5DC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顶空自动进样器1套 </w:t>
      </w:r>
    </w:p>
    <w:p w14:paraId="6B1922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安装工具包1套</w:t>
      </w:r>
    </w:p>
    <w:p w14:paraId="2EFA54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石墨密封垫</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10/包</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2包</w:t>
      </w:r>
    </w:p>
    <w:p w14:paraId="5EF6BE4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2ml样品瓶和盖，100个/包</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1包</w:t>
      </w:r>
    </w:p>
    <w:p w14:paraId="4AC9E2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不粘连碳氟O形圈</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10/包</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1包</w:t>
      </w:r>
    </w:p>
    <w:p w14:paraId="703EB35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衬管5根</w:t>
      </w:r>
    </w:p>
    <w:p w14:paraId="716CFE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低粘连高级绿色隔垫，11mm</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50片/包</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1包</w:t>
      </w:r>
    </w:p>
    <w:p w14:paraId="3E4EBF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不粘连碳氟O形圈</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10/包</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1包</w:t>
      </w:r>
    </w:p>
    <w:p w14:paraId="2F746D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毛细管柱</w:t>
      </w:r>
      <w:r>
        <w:rPr>
          <w:rFonts w:hint="eastAsia" w:ascii="宋体"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2根</w:t>
      </w:r>
    </w:p>
    <w:p w14:paraId="32B8F4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电脑</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打印机</w:t>
      </w:r>
      <w:r>
        <w:rPr>
          <w:rFonts w:hint="eastAsia" w:ascii="宋体" w:hAnsi="宋体" w:cs="宋体"/>
          <w:bCs/>
          <w:color w:val="000000" w:themeColor="text1"/>
          <w:highlight w:val="none"/>
          <w:lang w:val="en-US" w:eastAsia="zh-CN"/>
          <w14:textFill>
            <w14:solidFill>
              <w14:schemeClr w14:val="tx1"/>
            </w14:solidFill>
          </w14:textFill>
        </w:rPr>
        <w:t>各</w:t>
      </w:r>
      <w:r>
        <w:rPr>
          <w:rFonts w:hint="eastAsia" w:ascii="宋体" w:hAnsi="宋体" w:eastAsia="宋体" w:cs="宋体"/>
          <w:bCs/>
          <w:color w:val="000000" w:themeColor="text1"/>
          <w:highlight w:val="none"/>
          <w14:textFill>
            <w14:solidFill>
              <w14:schemeClr w14:val="tx1"/>
            </w14:solidFill>
          </w14:textFill>
        </w:rPr>
        <w:t>1套</w:t>
      </w:r>
    </w:p>
    <w:p w14:paraId="1A5F92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空气发生器1套</w:t>
      </w:r>
    </w:p>
    <w:p w14:paraId="67D2DC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氢气发生器1套</w:t>
      </w:r>
    </w:p>
    <w:p w14:paraId="496789B6">
      <w:pPr>
        <w:pStyle w:val="310"/>
        <w:keepNext w:val="0"/>
        <w:keepLines w:val="0"/>
        <w:pageBreakBefore w:val="0"/>
        <w:widowControl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品目2：</w:t>
      </w:r>
      <w:r>
        <w:rPr>
          <w:rFonts w:hint="eastAsia" w:ascii="宋体" w:hAnsi="宋体" w:eastAsia="宋体" w:cs="宋体"/>
          <w:b/>
          <w:bCs/>
          <w:color w:val="000000" w:themeColor="text1"/>
          <w:spacing w:val="-9"/>
          <w:sz w:val="21"/>
          <w:szCs w:val="21"/>
          <w:highlight w:val="none"/>
          <w14:textFill>
            <w14:solidFill>
              <w14:schemeClr w14:val="tx1"/>
            </w14:solidFill>
          </w14:textFill>
        </w:rPr>
        <w:t>气相色谱仪</w:t>
      </w:r>
    </w:p>
    <w:p w14:paraId="1B3CB95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【核心参数】</w:t>
      </w:r>
    </w:p>
    <w:p w14:paraId="60A0196B">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分流比≥</w:t>
      </w:r>
      <w:r>
        <w:rPr>
          <w:rFonts w:ascii="宋体" w:hAnsi="宋体" w:eastAsia="宋体" w:cs="宋体"/>
          <w:bCs/>
          <w:color w:val="000000" w:themeColor="text1"/>
          <w:highlight w:val="none"/>
          <w14:textFill>
            <w14:solidFill>
              <w14:schemeClr w14:val="tx1"/>
            </w14:solidFill>
          </w14:textFill>
        </w:rPr>
        <w:t>12000</w:t>
      </w:r>
      <w:r>
        <w:rPr>
          <w:rFonts w:hint="eastAsia" w:ascii="宋体" w:hAnsi="宋体" w:eastAsia="宋体" w:cs="宋体"/>
          <w:bCs/>
          <w:color w:val="000000" w:themeColor="text1"/>
          <w:highlight w:val="none"/>
          <w:lang w:eastAsia="zh-CN"/>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1</w:t>
      </w:r>
    </w:p>
    <w:p w14:paraId="78FC0A97">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样品位数：＞</w:t>
      </w:r>
      <w:r>
        <w:rPr>
          <w:rFonts w:ascii="宋体" w:hAnsi="宋体" w:eastAsia="宋体" w:cs="宋体"/>
          <w:bCs/>
          <w:color w:val="000000" w:themeColor="text1"/>
          <w:highlight w:val="none"/>
          <w14:textFill>
            <w14:solidFill>
              <w14:schemeClr w14:val="tx1"/>
            </w14:solidFill>
          </w14:textFill>
        </w:rPr>
        <w:t>120</w:t>
      </w:r>
      <w:r>
        <w:rPr>
          <w:rFonts w:hint="eastAsia" w:ascii="宋体" w:hAnsi="宋体" w:eastAsia="宋体" w:cs="宋体"/>
          <w:bCs/>
          <w:color w:val="000000" w:themeColor="text1"/>
          <w:highlight w:val="none"/>
          <w14:textFill>
            <w14:solidFill>
              <w14:schemeClr w14:val="tx1"/>
            </w14:solidFill>
          </w14:textFill>
        </w:rPr>
        <w:t>，连续自动进样</w:t>
      </w:r>
    </w:p>
    <w:p w14:paraId="782F3232">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氢火焰离子化检测器和电子捕获检测器数据采样速率</w:t>
      </w:r>
      <w:r>
        <w:rPr>
          <w:rFonts w:hint="eastAsia" w:ascii="宋体" w:hAnsi="宋体" w:eastAsia="宋体" w:cs="宋体"/>
          <w:bCs/>
          <w:color w:val="000000" w:themeColor="text1"/>
          <w:highlight w:val="none"/>
          <w:lang w:eastAsia="zh-CN"/>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500Hz</w:t>
      </w:r>
    </w:p>
    <w:p w14:paraId="45A5A55F">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4</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压力控制精度不低于</w:t>
      </w:r>
      <w:r>
        <w:rPr>
          <w:rFonts w:ascii="宋体" w:hAnsi="宋体" w:eastAsia="宋体" w:cs="宋体"/>
          <w:bCs/>
          <w:color w:val="000000" w:themeColor="text1"/>
          <w:highlight w:val="none"/>
          <w14:textFill>
            <w14:solidFill>
              <w14:schemeClr w14:val="tx1"/>
            </w14:solidFill>
          </w14:textFill>
        </w:rPr>
        <w:t>0.001psi</w:t>
      </w:r>
    </w:p>
    <w:p w14:paraId="77F8A0B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【重要参数】</w:t>
      </w:r>
    </w:p>
    <w:p w14:paraId="49E72F29">
      <w:pPr>
        <w:keepNext w:val="0"/>
        <w:keepLines w:val="0"/>
        <w:pageBreakBefore w:val="0"/>
        <w:widowControl w:val="0"/>
        <w:kinsoku/>
        <w:overflowPunct/>
        <w:topLinePunct w:val="0"/>
        <w:autoSpaceDE/>
        <w:autoSpaceDN/>
        <w:bidi w:val="0"/>
        <w:spacing w:line="360" w:lineRule="auto"/>
        <w:ind w:firstLine="420" w:firstLineChars="200"/>
        <w:textAlignment w:val="auto"/>
        <w:rPr>
          <w:b/>
          <w:bCs w:val="0"/>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▲1</w:t>
      </w:r>
      <w:r>
        <w:rPr>
          <w:rFonts w:hint="eastAsia"/>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早期维护提示反馈功能：</w:t>
      </w:r>
      <w:r>
        <w:rPr>
          <w:rFonts w:hint="eastAsia"/>
          <w:bCs/>
          <w:color w:val="000000" w:themeColor="text1"/>
          <w:highlight w:val="none"/>
          <w14:textFill>
            <w14:solidFill>
              <w14:schemeClr w14:val="tx1"/>
            </w14:solidFill>
          </w14:textFill>
        </w:rPr>
        <w:t>≥45</w:t>
      </w:r>
      <w:r>
        <w:rPr>
          <w:rFonts w:hint="eastAsia" w:ascii="宋体" w:hAnsi="宋体" w:eastAsia="宋体" w:cs="宋体"/>
          <w:bCs/>
          <w:color w:val="000000" w:themeColor="text1"/>
          <w:highlight w:val="none"/>
          <w14:textFill>
            <w14:solidFill>
              <w14:schemeClr w14:val="tx1"/>
            </w14:solidFill>
          </w14:textFill>
        </w:rPr>
        <w:t>个计数器，用于跟踪进样口、检测器和自动进样器参数及耗材使用情况。</w:t>
      </w:r>
      <w:r>
        <w:rPr>
          <w:rFonts w:hint="eastAsia" w:ascii="宋体" w:hAnsi="宋体" w:eastAsia="宋体" w:cs="宋体"/>
          <w:b/>
          <w:bCs w:val="0"/>
          <w:color w:val="000000" w:themeColor="text1"/>
          <w:highlight w:val="none"/>
          <w14:textFill>
            <w14:solidFill>
              <w14:schemeClr w14:val="tx1"/>
            </w14:solidFill>
          </w14:textFill>
        </w:rPr>
        <w:t>（提供软件截图证明）</w:t>
      </w:r>
    </w:p>
    <w:p w14:paraId="136941A1">
      <w:pPr>
        <w:keepNext w:val="0"/>
        <w:keepLines w:val="0"/>
        <w:pageBreakBefore w:val="0"/>
        <w:widowControl w:val="0"/>
        <w:kinsoku/>
        <w:overflowPunct/>
        <w:topLinePunct w:val="0"/>
        <w:autoSpaceDE/>
        <w:autoSpaceDN/>
        <w:bidi w:val="0"/>
        <w:spacing w:line="360" w:lineRule="auto"/>
        <w:ind w:firstLine="420" w:firstLineChars="200"/>
        <w:textAlignment w:val="auto"/>
        <w:rPr>
          <w:rFonts w:eastAsiaTheme="minor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w:t>
      </w:r>
      <w:r>
        <w:rPr>
          <w:rFonts w:hint="eastAsia" w:eastAsiaTheme="minorEastAsia"/>
          <w:bCs/>
          <w:color w:val="000000" w:themeColor="text1"/>
          <w:highlight w:val="none"/>
          <w14:textFill>
            <w14:solidFill>
              <w14:schemeClr w14:val="tx1"/>
            </w14:solidFill>
          </w14:textFill>
        </w:rPr>
        <w:t>2</w:t>
      </w:r>
      <w:r>
        <w:rPr>
          <w:rFonts w:hint="eastAsia" w:eastAsiaTheme="minorEastAsia"/>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最低检测限（对十三烷）：</w:t>
      </w:r>
      <w:r>
        <w:rPr>
          <w:bCs/>
          <w:color w:val="000000" w:themeColor="text1"/>
          <w:highlight w:val="none"/>
          <w14:textFill>
            <w14:solidFill>
              <w14:schemeClr w14:val="tx1"/>
            </w14:solidFill>
          </w14:textFill>
        </w:rPr>
        <w:t>&lt;</w:t>
      </w:r>
      <w:bookmarkStart w:id="83" w:name="OLE_LINK1"/>
      <w:r>
        <w:rPr>
          <w:bCs/>
          <w:color w:val="000000" w:themeColor="text1"/>
          <w:highlight w:val="none"/>
          <w14:textFill>
            <w14:solidFill>
              <w14:schemeClr w14:val="tx1"/>
            </w14:solidFill>
          </w14:textFill>
        </w:rPr>
        <w:t>1</w:t>
      </w:r>
      <w:r>
        <w:rPr>
          <w:rFonts w:hint="eastAsia" w:eastAsiaTheme="minorEastAsia"/>
          <w:bCs/>
          <w:color w:val="000000" w:themeColor="text1"/>
          <w:highlight w:val="none"/>
          <w14:textFill>
            <w14:solidFill>
              <w14:schemeClr w14:val="tx1"/>
            </w14:solidFill>
          </w14:textFill>
        </w:rPr>
        <w:t>.2</w:t>
      </w:r>
      <w:r>
        <w:rPr>
          <w:bCs/>
          <w:color w:val="000000" w:themeColor="text1"/>
          <w:highlight w:val="none"/>
          <w14:textFill>
            <w14:solidFill>
              <w14:schemeClr w14:val="tx1"/>
            </w14:solidFill>
          </w14:textFill>
        </w:rPr>
        <w:t>pg</w:t>
      </w:r>
      <w:bookmarkEnd w:id="83"/>
      <w:r>
        <w:rPr>
          <w:bCs/>
          <w:color w:val="000000" w:themeColor="text1"/>
          <w:highlight w:val="none"/>
          <w14:textFill>
            <w14:solidFill>
              <w14:schemeClr w14:val="tx1"/>
            </w14:solidFill>
          </w14:textFill>
        </w:rPr>
        <w:t xml:space="preserve"> C/s</w:t>
      </w:r>
      <w:r>
        <w:rPr>
          <w:rFonts w:hint="eastAsia" w:ascii="宋体" w:hAnsi="宋体" w:eastAsia="宋体" w:cs="宋体"/>
          <w:bCs/>
          <w:color w:val="000000" w:themeColor="text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p>
    <w:p w14:paraId="6AB28297">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w:t>
      </w:r>
      <w:r>
        <w:rPr>
          <w:rFonts w:hint="eastAsia" w:eastAsiaTheme="minorEastAsia"/>
          <w:bCs/>
          <w:color w:val="000000" w:themeColor="text1"/>
          <w:highlight w:val="none"/>
          <w14:textFill>
            <w14:solidFill>
              <w14:schemeClr w14:val="tx1"/>
            </w14:solidFill>
          </w14:textFill>
        </w:rPr>
        <w:t>3</w:t>
      </w:r>
      <w:r>
        <w:rPr>
          <w:rFonts w:hint="eastAsia" w:eastAsiaTheme="minorEastAsia"/>
          <w:bCs/>
          <w:color w:val="000000" w:themeColor="text1"/>
          <w:highlight w:val="none"/>
          <w:lang w:eastAsia="zh-CN"/>
          <w14:textFill>
            <w14:solidFill>
              <w14:schemeClr w14:val="tx1"/>
            </w14:solidFill>
          </w14:textFill>
        </w:rPr>
        <w:t>、</w:t>
      </w:r>
      <w:r>
        <w:rPr>
          <w:rFonts w:hint="eastAsia" w:eastAsiaTheme="minorEastAsia"/>
          <w:bCs/>
          <w:color w:val="000000" w:themeColor="text1"/>
          <w:highlight w:val="none"/>
          <w14:textFill>
            <w14:solidFill>
              <w14:schemeClr w14:val="tx1"/>
            </w14:solidFill>
          </w14:textFill>
        </w:rPr>
        <w:t>FID</w:t>
      </w:r>
      <w:r>
        <w:rPr>
          <w:rFonts w:hint="eastAsia" w:ascii="宋体" w:hAnsi="宋体" w:eastAsia="宋体" w:cs="宋体"/>
          <w:bCs/>
          <w:color w:val="000000" w:themeColor="text1"/>
          <w:highlight w:val="none"/>
          <w14:textFill>
            <w14:solidFill>
              <w14:schemeClr w14:val="tx1"/>
            </w14:solidFill>
          </w14:textFill>
        </w:rPr>
        <w:t>数据采集速率：最高</w:t>
      </w:r>
      <w:r>
        <w:rPr>
          <w:rFonts w:hint="eastAsia"/>
          <w:bCs/>
          <w:color w:val="000000" w:themeColor="text1"/>
          <w:highlight w:val="none"/>
          <w14:textFill>
            <w14:solidFill>
              <w14:schemeClr w14:val="tx1"/>
            </w14:solidFill>
          </w14:textFill>
        </w:rPr>
        <w:t xml:space="preserve"> 800 Hz </w:t>
      </w:r>
      <w:r>
        <w:rPr>
          <w:rFonts w:hint="eastAsia" w:ascii="宋体" w:hAnsi="宋体" w:eastAsia="宋体" w:cs="宋体"/>
          <w:b/>
          <w:bCs w:val="0"/>
          <w:color w:val="000000" w:themeColor="text1"/>
          <w:highlight w:val="none"/>
          <w14:textFill>
            <w14:solidFill>
              <w14:schemeClr w14:val="tx1"/>
            </w14:solidFill>
          </w14:textFill>
        </w:rPr>
        <w:t>（提供软件截图证明）</w:t>
      </w:r>
    </w:p>
    <w:p w14:paraId="27F6780C">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w:t>
      </w:r>
      <w:r>
        <w:rPr>
          <w:rFonts w:hint="eastAsia" w:eastAsiaTheme="minorEastAsia"/>
          <w:bCs/>
          <w:color w:val="000000" w:themeColor="text1"/>
          <w:highlight w:val="none"/>
          <w14:textFill>
            <w14:solidFill>
              <w14:schemeClr w14:val="tx1"/>
            </w14:solidFill>
          </w14:textFill>
        </w:rPr>
        <w:t>4</w:t>
      </w:r>
      <w:r>
        <w:rPr>
          <w:rFonts w:hint="eastAsia" w:eastAsiaTheme="minorEastAsia"/>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液体自动进样器</w:t>
      </w:r>
      <w:r>
        <w:rPr>
          <w:rFonts w:hint="eastAsia"/>
          <w:bCs/>
          <w:color w:val="000000" w:themeColor="text1"/>
          <w:highlight w:val="none"/>
          <w14:textFill>
            <w14:solidFill>
              <w14:schemeClr w14:val="tx1"/>
            </w14:solidFill>
          </w14:textFill>
        </w:rPr>
        <w:t>2ml</w:t>
      </w:r>
      <w:r>
        <w:rPr>
          <w:rFonts w:hint="eastAsia" w:ascii="宋体" w:hAnsi="宋体" w:eastAsia="宋体" w:cs="宋体"/>
          <w:bCs/>
          <w:color w:val="000000" w:themeColor="text1"/>
          <w:highlight w:val="none"/>
          <w14:textFill>
            <w14:solidFill>
              <w14:schemeClr w14:val="tx1"/>
            </w14:solidFill>
          </w14:textFill>
        </w:rPr>
        <w:t>样品位不低于</w:t>
      </w:r>
      <w:r>
        <w:rPr>
          <w:rFonts w:hint="eastAsia"/>
          <w:bCs/>
          <w:color w:val="000000" w:themeColor="text1"/>
          <w:highlight w:val="none"/>
          <w14:textFill>
            <w14:solidFill>
              <w14:schemeClr w14:val="tx1"/>
            </w14:solidFill>
          </w14:textFill>
        </w:rPr>
        <w:t>165</w:t>
      </w:r>
      <w:r>
        <w:rPr>
          <w:rFonts w:hint="eastAsia" w:ascii="宋体" w:hAnsi="宋体" w:eastAsia="宋体" w:cs="宋体"/>
          <w:bCs/>
          <w:color w:val="000000" w:themeColor="text1"/>
          <w:highlight w:val="none"/>
          <w14:textFill>
            <w14:solidFill>
              <w14:schemeClr w14:val="tx1"/>
            </w14:solidFill>
          </w14:textFill>
        </w:rPr>
        <w:t>位</w:t>
      </w:r>
      <w:r>
        <w:rPr>
          <w:rFonts w:hint="eastAsia" w:ascii="宋体" w:hAnsi="宋体" w:eastAsia="宋体" w:cs="宋体"/>
          <w:b/>
          <w:bCs w:val="0"/>
          <w:color w:val="000000" w:themeColor="text1"/>
          <w:highlight w:val="none"/>
          <w14:textFill>
            <w14:solidFill>
              <w14:schemeClr w14:val="tx1"/>
            </w14:solidFill>
          </w14:textFill>
        </w:rPr>
        <w:t>（提供厂家实物照片）</w:t>
      </w:r>
    </w:p>
    <w:p w14:paraId="3A1C132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【一般参数】</w:t>
      </w:r>
    </w:p>
    <w:p w14:paraId="2872E6B6">
      <w:pPr>
        <w:keepNext w:val="0"/>
        <w:keepLines w:val="0"/>
        <w:pageBreakBefore w:val="0"/>
        <w:widowControl w:val="0"/>
        <w:kinsoku/>
        <w:overflowPunct/>
        <w:topLinePunct w:val="0"/>
        <w:autoSpaceDE/>
        <w:autoSpaceDN/>
        <w:bidi w:val="0"/>
        <w:spacing w:line="360" w:lineRule="auto"/>
        <w:ind w:firstLine="422" w:firstLineChars="200"/>
        <w:textAlignment w:val="auto"/>
        <w:rPr>
          <w:b/>
          <w:bCs w:val="0"/>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t>1</w:t>
      </w:r>
      <w:r>
        <w:rPr>
          <w:rFonts w:hint="eastAsia"/>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工作条件</w:t>
      </w:r>
    </w:p>
    <w:p w14:paraId="7BCAF8E8">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电源：</w:t>
      </w:r>
      <w:r>
        <w:rPr>
          <w:bCs/>
          <w:color w:val="000000" w:themeColor="text1"/>
          <w:highlight w:val="none"/>
          <w14:textFill>
            <w14:solidFill>
              <w14:schemeClr w14:val="tx1"/>
            </w14:solidFill>
          </w14:textFill>
        </w:rPr>
        <w:t>220V</w:t>
      </w:r>
      <w:r>
        <w:rPr>
          <w:rFonts w:hint="eastAsia" w:ascii="宋体" w:hAnsi="宋体" w:eastAsia="宋体" w:cs="宋体"/>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50Hz</w:t>
      </w:r>
      <w:r>
        <w:rPr>
          <w:rFonts w:hint="eastAsia" w:ascii="宋体" w:hAnsi="宋体" w:eastAsia="宋体" w:cs="宋体"/>
          <w:bCs/>
          <w:color w:val="000000" w:themeColor="text1"/>
          <w:highlight w:val="none"/>
          <w14:textFill>
            <w14:solidFill>
              <w14:schemeClr w14:val="tx1"/>
            </w14:solidFill>
          </w14:textFill>
        </w:rPr>
        <w:t>；温度：操作环境</w:t>
      </w:r>
      <w:r>
        <w:rPr>
          <w:bCs/>
          <w:color w:val="000000" w:themeColor="text1"/>
          <w:highlight w:val="none"/>
          <w14:textFill>
            <w14:solidFill>
              <w14:schemeClr w14:val="tx1"/>
            </w14:solidFill>
          </w14:textFill>
        </w:rPr>
        <w:t>15˚C-35˚C</w:t>
      </w:r>
      <w:r>
        <w:rPr>
          <w:rFonts w:hint="eastAsia" w:eastAsiaTheme="minorEastAsia"/>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湿度：操作状态</w:t>
      </w:r>
      <w:r>
        <w:rPr>
          <w:bCs/>
          <w:color w:val="000000" w:themeColor="text1"/>
          <w:highlight w:val="none"/>
          <w14:textFill>
            <w14:solidFill>
              <w14:schemeClr w14:val="tx1"/>
            </w14:solidFill>
          </w14:textFill>
        </w:rPr>
        <w:t>25-50%</w:t>
      </w:r>
      <w:r>
        <w:rPr>
          <w:rFonts w:hint="eastAsia" w:ascii="宋体" w:hAnsi="宋体" w:eastAsia="宋体" w:cs="宋体"/>
          <w:bCs/>
          <w:color w:val="000000" w:themeColor="text1"/>
          <w:highlight w:val="none"/>
          <w14:textFill>
            <w14:solidFill>
              <w14:schemeClr w14:val="tx1"/>
            </w14:solidFill>
          </w14:textFill>
        </w:rPr>
        <w:t>，非操作状态</w:t>
      </w:r>
      <w:r>
        <w:rPr>
          <w:bCs/>
          <w:color w:val="000000" w:themeColor="text1"/>
          <w:highlight w:val="none"/>
          <w14:textFill>
            <w14:solidFill>
              <w14:schemeClr w14:val="tx1"/>
            </w14:solidFill>
          </w14:textFill>
        </w:rPr>
        <w:t>10-95%</w:t>
      </w:r>
    </w:p>
    <w:p w14:paraId="46168332">
      <w:pPr>
        <w:keepNext w:val="0"/>
        <w:keepLines w:val="0"/>
        <w:pageBreakBefore w:val="0"/>
        <w:widowControl w:val="0"/>
        <w:kinsoku/>
        <w:overflowPunct/>
        <w:topLinePunct w:val="0"/>
        <w:autoSpaceDE/>
        <w:autoSpaceDN/>
        <w:bidi w:val="0"/>
        <w:spacing w:line="360" w:lineRule="auto"/>
        <w:ind w:firstLine="422" w:firstLineChars="200"/>
        <w:textAlignment w:val="auto"/>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2</w:t>
      </w:r>
      <w:r>
        <w:rPr>
          <w:rFonts w:hint="eastAsia"/>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柱箱</w:t>
      </w:r>
    </w:p>
    <w:p w14:paraId="59BC089B">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Theme="minorEastAsia"/>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2.1</w:t>
      </w:r>
      <w:r>
        <w:rPr>
          <w:rFonts w:hint="eastAsia" w:ascii="宋体" w:hAnsi="宋体" w:eastAsia="宋体" w:cs="宋体"/>
          <w:bCs/>
          <w:color w:val="000000" w:themeColor="text1"/>
          <w:highlight w:val="none"/>
          <w14:textFill>
            <w14:solidFill>
              <w14:schemeClr w14:val="tx1"/>
            </w14:solidFill>
          </w14:textFill>
        </w:rPr>
        <w:t>温度范围：室温以上</w:t>
      </w:r>
      <w:r>
        <w:rPr>
          <w:bCs/>
          <w:color w:val="000000" w:themeColor="text1"/>
          <w:highlight w:val="none"/>
          <w14:textFill>
            <w14:solidFill>
              <w14:schemeClr w14:val="tx1"/>
            </w14:solidFill>
          </w14:textFill>
        </w:rPr>
        <w:t>4˚C~430˚C</w:t>
      </w:r>
      <w:r>
        <w:rPr>
          <w:rFonts w:hint="eastAsia" w:eastAsiaTheme="minorEastAsia"/>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温度设定：温度</w:t>
      </w:r>
      <w:r>
        <w:rPr>
          <w:bCs/>
          <w:color w:val="000000" w:themeColor="text1"/>
          <w:highlight w:val="none"/>
          <w14:textFill>
            <w14:solidFill>
              <w14:schemeClr w14:val="tx1"/>
            </w14:solidFill>
          </w14:textFill>
        </w:rPr>
        <w:t>1˚C</w:t>
      </w:r>
      <w:r>
        <w:rPr>
          <w:rFonts w:hint="eastAsia" w:ascii="宋体" w:hAnsi="宋体" w:eastAsia="宋体" w:cs="宋体"/>
          <w:bCs/>
          <w:color w:val="000000" w:themeColor="text1"/>
          <w:highlight w:val="none"/>
          <w14:textFill>
            <w14:solidFill>
              <w14:schemeClr w14:val="tx1"/>
            </w14:solidFill>
          </w14:textFill>
        </w:rPr>
        <w:t>；程序设定升温速率</w:t>
      </w:r>
      <w:r>
        <w:rPr>
          <w:bCs/>
          <w:color w:val="000000" w:themeColor="text1"/>
          <w:highlight w:val="none"/>
          <w14:textFill>
            <w14:solidFill>
              <w14:schemeClr w14:val="tx1"/>
            </w14:solidFill>
          </w14:textFill>
        </w:rPr>
        <w:t>0.1˚C</w:t>
      </w:r>
    </w:p>
    <w:p w14:paraId="6A9570A6">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控温精度：</w:t>
      </w:r>
      <w:r>
        <w:rPr>
          <w:rFonts w:hint="eastAsia"/>
          <w:bCs/>
          <w:color w:val="000000" w:themeColor="text1"/>
          <w:szCs w:val="21"/>
          <w:highlight w:val="none"/>
          <w14:textFill>
            <w14:solidFill>
              <w14:schemeClr w14:val="tx1"/>
            </w14:solidFill>
          </w14:textFill>
        </w:rPr>
        <w:t>≤</w:t>
      </w:r>
      <w:r>
        <w:rPr>
          <w:bCs/>
          <w:color w:val="000000" w:themeColor="text1"/>
          <w:szCs w:val="21"/>
          <w:highlight w:val="none"/>
          <w14:textFill>
            <w14:solidFill>
              <w14:schemeClr w14:val="tx1"/>
            </w14:solidFill>
          </w14:textFill>
        </w:rPr>
        <w:t>0</w:t>
      </w:r>
      <w:r>
        <w:rPr>
          <w:rFonts w:hint="eastAsia"/>
          <w:bCs/>
          <w:color w:val="000000" w:themeColor="text1"/>
          <w:szCs w:val="21"/>
          <w:highlight w:val="none"/>
          <w14:textFill>
            <w14:solidFill>
              <w14:schemeClr w14:val="tx1"/>
            </w14:solidFill>
          </w14:textFill>
        </w:rPr>
        <w:t>.</w:t>
      </w:r>
      <w:r>
        <w:rPr>
          <w:bCs/>
          <w:color w:val="000000" w:themeColor="text1"/>
          <w:szCs w:val="21"/>
          <w:highlight w:val="none"/>
          <w14:textFill>
            <w14:solidFill>
              <w14:schemeClr w14:val="tx1"/>
            </w14:solidFill>
          </w14:textFill>
        </w:rPr>
        <w:t>01˚</w:t>
      </w:r>
      <w:r>
        <w:rPr>
          <w:rFonts w:hint="eastAsia" w:cs="宋体"/>
          <w:bCs/>
          <w:color w:val="000000" w:themeColor="text1"/>
          <w:szCs w:val="21"/>
          <w:highlight w:val="none"/>
          <w14:textFill>
            <w14:solidFill>
              <w14:schemeClr w14:val="tx1"/>
            </w14:solidFill>
          </w14:textFill>
        </w:rPr>
        <w:t>C</w:t>
      </w:r>
      <w:r>
        <w:rPr>
          <w:rFonts w:hint="eastAsia" w:cs="宋体" w:eastAsiaTheme="minorEastAsia"/>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温度稳定性；当环境温度变化</w:t>
      </w:r>
      <w:r>
        <w:rPr>
          <w:bCs/>
          <w:color w:val="000000" w:themeColor="text1"/>
          <w:highlight w:val="none"/>
          <w14:textFill>
            <w14:solidFill>
              <w14:schemeClr w14:val="tx1"/>
            </w14:solidFill>
          </w14:textFill>
        </w:rPr>
        <w:t>1˚C</w:t>
      </w:r>
      <w:r>
        <w:rPr>
          <w:rFonts w:hint="eastAsia" w:ascii="宋体" w:hAnsi="宋体" w:eastAsia="宋体" w:cs="宋体"/>
          <w:bCs/>
          <w:color w:val="000000" w:themeColor="text1"/>
          <w:highlight w:val="none"/>
          <w14:textFill>
            <w14:solidFill>
              <w14:schemeClr w14:val="tx1"/>
            </w14:solidFill>
          </w14:textFill>
        </w:rPr>
        <w:t>时，优于</w:t>
      </w:r>
      <w:r>
        <w:rPr>
          <w:bCs/>
          <w:color w:val="000000" w:themeColor="text1"/>
          <w:highlight w:val="none"/>
          <w14:textFill>
            <w14:solidFill>
              <w14:schemeClr w14:val="tx1"/>
            </w14:solidFill>
          </w14:textFill>
        </w:rPr>
        <w:t>0.01˚C</w:t>
      </w:r>
    </w:p>
    <w:p w14:paraId="52667F60">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升温速度：</w:t>
      </w:r>
      <w:r>
        <w:rPr>
          <w:bCs/>
          <w:color w:val="000000" w:themeColor="text1"/>
          <w:highlight w:val="none"/>
          <w14:textFill>
            <w14:solidFill>
              <w14:schemeClr w14:val="tx1"/>
            </w14:solidFill>
          </w14:textFill>
        </w:rPr>
        <w:t>0.1˚C/</w:t>
      </w:r>
      <w:r>
        <w:rPr>
          <w:rFonts w:hint="eastAsia" w:ascii="宋体" w:hAnsi="宋体" w:eastAsia="宋体" w:cs="宋体"/>
          <w:bCs/>
          <w:color w:val="000000" w:themeColor="text1"/>
          <w:highlight w:val="none"/>
          <w14:textFill>
            <w14:solidFill>
              <w14:schemeClr w14:val="tx1"/>
            </w14:solidFill>
          </w14:textFill>
        </w:rPr>
        <w:t>分钟</w:t>
      </w:r>
      <w:r>
        <w:rPr>
          <w:bCs/>
          <w:color w:val="000000" w:themeColor="text1"/>
          <w:highlight w:val="none"/>
          <w14:textFill>
            <w14:solidFill>
              <w14:schemeClr w14:val="tx1"/>
            </w14:solidFill>
          </w14:textFill>
        </w:rPr>
        <w:t>~120˚C/</w:t>
      </w:r>
      <w:r>
        <w:rPr>
          <w:rFonts w:hint="eastAsia" w:ascii="宋体" w:hAnsi="宋体" w:eastAsia="宋体" w:cs="宋体"/>
          <w:bCs/>
          <w:color w:val="000000" w:themeColor="text1"/>
          <w:highlight w:val="none"/>
          <w14:textFill>
            <w14:solidFill>
              <w14:schemeClr w14:val="tx1"/>
            </w14:solidFill>
          </w14:textFill>
        </w:rPr>
        <w:t>分钟</w:t>
      </w:r>
      <w:r>
        <w:rPr>
          <w:rFonts w:hint="eastAsia" w:eastAsia="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最大升温速度可拓展至：</w:t>
      </w:r>
      <w:r>
        <w:rPr>
          <w:bCs/>
          <w:color w:val="000000" w:themeColor="text1"/>
          <w:highlight w:val="none"/>
          <w14:textFill>
            <w14:solidFill>
              <w14:schemeClr w14:val="tx1"/>
            </w14:solidFill>
          </w14:textFill>
        </w:rPr>
        <w:t>1800℃/min</w:t>
      </w:r>
      <w:r>
        <w:rPr>
          <w:rFonts w:hint="eastAsia" w:ascii="宋体" w:hAnsi="宋体" w:eastAsia="宋体" w:cs="宋体"/>
          <w:bCs/>
          <w:color w:val="000000" w:themeColor="text1"/>
          <w:highlight w:val="none"/>
          <w14:textFill>
            <w14:solidFill>
              <w14:schemeClr w14:val="tx1"/>
            </w14:solidFill>
          </w14:textFill>
        </w:rPr>
        <w:t>以上。</w:t>
      </w:r>
    </w:p>
    <w:p w14:paraId="3DD6B6B2">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最大运行时间：</w:t>
      </w:r>
      <w:r>
        <w:rPr>
          <w:bCs/>
          <w:color w:val="000000" w:themeColor="text1"/>
          <w:highlight w:val="none"/>
          <w14:textFill>
            <w14:solidFill>
              <w14:schemeClr w14:val="tx1"/>
            </w14:solidFill>
          </w14:textFill>
        </w:rPr>
        <w:t>999.99</w:t>
      </w:r>
      <w:r>
        <w:rPr>
          <w:rFonts w:hint="eastAsia" w:ascii="宋体" w:hAnsi="宋体" w:eastAsia="宋体" w:cs="宋体"/>
          <w:bCs/>
          <w:color w:val="000000" w:themeColor="text1"/>
          <w:highlight w:val="none"/>
          <w14:textFill>
            <w14:solidFill>
              <w14:schemeClr w14:val="tx1"/>
            </w14:solidFill>
          </w14:textFill>
        </w:rPr>
        <w:t>分钟</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降温速率：从</w:t>
      </w:r>
      <w:r>
        <w:rPr>
          <w:bCs/>
          <w:color w:val="000000" w:themeColor="text1"/>
          <w:highlight w:val="none"/>
          <w14:textFill>
            <w14:solidFill>
              <w14:schemeClr w14:val="tx1"/>
            </w14:solidFill>
          </w14:textFill>
        </w:rPr>
        <w:t>450˚C</w:t>
      </w:r>
      <w:r>
        <w:rPr>
          <w:rFonts w:hint="eastAsia" w:ascii="宋体" w:hAnsi="宋体" w:eastAsia="宋体" w:cs="宋体"/>
          <w:bCs/>
          <w:color w:val="000000" w:themeColor="text1"/>
          <w:highlight w:val="none"/>
          <w14:textFill>
            <w14:solidFill>
              <w14:schemeClr w14:val="tx1"/>
            </w14:solidFill>
          </w14:textFill>
        </w:rPr>
        <w:t>降至</w:t>
      </w:r>
      <w:r>
        <w:rPr>
          <w:bCs/>
          <w:color w:val="000000" w:themeColor="text1"/>
          <w:highlight w:val="none"/>
          <w14:textFill>
            <w14:solidFill>
              <w14:schemeClr w14:val="tx1"/>
            </w14:solidFill>
          </w14:textFill>
        </w:rPr>
        <w:t>50˚C&lt;250</w:t>
      </w:r>
      <w:r>
        <w:rPr>
          <w:rFonts w:hint="eastAsia" w:ascii="宋体" w:hAnsi="宋体" w:eastAsia="宋体" w:cs="宋体"/>
          <w:bCs/>
          <w:color w:val="000000" w:themeColor="text1"/>
          <w:highlight w:val="none"/>
          <w14:textFill>
            <w14:solidFill>
              <w14:schemeClr w14:val="tx1"/>
            </w14:solidFill>
          </w14:textFill>
        </w:rPr>
        <w:t>秒</w:t>
      </w:r>
      <w:r>
        <w:rPr>
          <w:rFonts w:hint="eastAsia" w:eastAsia="宋体"/>
          <w:bCs/>
          <w:color w:val="000000" w:themeColor="text1"/>
          <w:highlight w:val="none"/>
          <w:lang w:eastAsia="zh-CN"/>
          <w14:textFill>
            <w14:solidFill>
              <w14:schemeClr w14:val="tx1"/>
            </w14:solidFill>
          </w14:textFill>
        </w:rPr>
        <w:t>（</w:t>
      </w:r>
      <w:r>
        <w:rPr>
          <w:bCs/>
          <w:color w:val="000000" w:themeColor="text1"/>
          <w:highlight w:val="none"/>
          <w14:textFill>
            <w14:solidFill>
              <w14:schemeClr w14:val="tx1"/>
            </w14:solidFill>
          </w14:textFill>
        </w:rPr>
        <w:t>22℃</w:t>
      </w:r>
      <w:r>
        <w:rPr>
          <w:rFonts w:hint="eastAsia" w:ascii="宋体" w:hAnsi="宋体" w:eastAsia="宋体" w:cs="宋体"/>
          <w:bCs/>
          <w:color w:val="000000" w:themeColor="text1"/>
          <w:highlight w:val="none"/>
          <w14:textFill>
            <w14:solidFill>
              <w14:schemeClr w14:val="tx1"/>
            </w14:solidFill>
          </w14:textFill>
        </w:rPr>
        <w:t>室温下</w:t>
      </w:r>
      <w:r>
        <w:rPr>
          <w:rFonts w:hint="eastAsia" w:eastAsia="宋体"/>
          <w:bCs/>
          <w:color w:val="000000" w:themeColor="text1"/>
          <w:highlight w:val="none"/>
          <w:lang w:eastAsia="zh-CN"/>
          <w14:textFill>
            <w14:solidFill>
              <w14:schemeClr w14:val="tx1"/>
            </w14:solidFill>
          </w14:textFill>
        </w:rPr>
        <w:t>）</w:t>
      </w:r>
    </w:p>
    <w:p w14:paraId="604ED751">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Theme="minorEastAsia"/>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保留时间重现性</w:t>
      </w:r>
      <w:r>
        <w:rPr>
          <w:rFonts w:hint="eastAsia"/>
          <w:bCs/>
          <w:color w:val="000000" w:themeColor="text1"/>
          <w:highlight w:val="none"/>
          <w:lang w:eastAsia="zh-CN"/>
          <w14:textFill>
            <w14:solidFill>
              <w14:schemeClr w14:val="tx1"/>
            </w14:solidFill>
          </w14:textFill>
        </w:rPr>
        <w:t>：</w:t>
      </w:r>
      <w:r>
        <w:rPr>
          <w:bCs/>
          <w:color w:val="000000" w:themeColor="text1"/>
          <w:highlight w:val="none"/>
          <w14:textFill>
            <w14:solidFill>
              <w14:schemeClr w14:val="tx1"/>
            </w14:solidFill>
          </w14:textFill>
        </w:rPr>
        <w:t xml:space="preserve">&lt;0.008% </w:t>
      </w:r>
      <w:r>
        <w:rPr>
          <w:rFonts w:hint="eastAsia" w:ascii="宋体" w:hAnsi="宋体" w:eastAsia="宋体" w:cs="宋体"/>
          <w:bCs/>
          <w:color w:val="000000" w:themeColor="text1"/>
          <w:highlight w:val="none"/>
          <w14:textFill>
            <w14:solidFill>
              <w14:schemeClr w14:val="tx1"/>
            </w14:solidFill>
          </w14:textFill>
        </w:rPr>
        <w:t>或</w:t>
      </w:r>
      <w:r>
        <w:rPr>
          <w:bCs/>
          <w:color w:val="000000" w:themeColor="text1"/>
          <w:highlight w:val="none"/>
          <w14:textFill>
            <w14:solidFill>
              <w14:schemeClr w14:val="tx1"/>
            </w14:solidFill>
          </w14:textFill>
        </w:rPr>
        <w:t xml:space="preserve"> &lt;0.0008min</w:t>
      </w:r>
      <w:r>
        <w:rPr>
          <w:rFonts w:hint="eastAsia" w:eastAsiaTheme="minorEastAsia"/>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峰面积重现性</w:t>
      </w:r>
      <w:r>
        <w:rPr>
          <w:rFonts w:hint="eastAsia"/>
          <w:bCs/>
          <w:color w:val="000000" w:themeColor="text1"/>
          <w:highlight w:val="none"/>
          <w:lang w:eastAsia="zh-CN"/>
          <w14:textFill>
            <w14:solidFill>
              <w14:schemeClr w14:val="tx1"/>
            </w14:solidFill>
          </w14:textFill>
        </w:rPr>
        <w:t>：</w:t>
      </w:r>
      <w:r>
        <w:rPr>
          <w:bCs/>
          <w:color w:val="000000" w:themeColor="text1"/>
          <w:highlight w:val="none"/>
          <w14:textFill>
            <w14:solidFill>
              <w14:schemeClr w14:val="tx1"/>
            </w14:solidFill>
          </w14:textFill>
        </w:rPr>
        <w:t>&lt; 0.5% RSD</w:t>
      </w:r>
    </w:p>
    <w:p w14:paraId="712588CF">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内置自引导诊断和维护功能，可自动监测系统运行状况、跟踪样品分析情况并在泄漏时及时发出警报。</w:t>
      </w:r>
    </w:p>
    <w:p w14:paraId="1C6EDB32">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2.</w:t>
      </w:r>
      <w:r>
        <w:rPr>
          <w:rFonts w:hint="eastAsia"/>
          <w:bCs/>
          <w:color w:val="000000" w:themeColor="text1"/>
          <w:highlight w:val="none"/>
          <w:lang w:val="en-US" w:eastAsia="zh-CN"/>
          <w14:textFill>
            <w14:solidFill>
              <w14:schemeClr w14:val="tx1"/>
            </w14:solidFill>
          </w14:textFill>
        </w:rPr>
        <w:t>23</w:t>
      </w:r>
      <w:r>
        <w:rPr>
          <w:rFonts w:hint="eastAsia" w:ascii="宋体" w:hAnsi="宋体" w:eastAsia="宋体" w:cs="宋体"/>
          <w:bCs/>
          <w:color w:val="000000" w:themeColor="text1"/>
          <w:highlight w:val="none"/>
          <w14:textFill>
            <w14:solidFill>
              <w14:schemeClr w14:val="tx1"/>
            </w14:solidFill>
          </w14:textFill>
        </w:rPr>
        <w:t>配置柱温箱照明功能，便于色谱柱切换</w:t>
      </w:r>
      <w:r>
        <w:rPr>
          <w:rFonts w:hint="eastAsia" w:ascii="宋体" w:hAnsi="宋体" w:eastAsia="宋体" w:cs="宋体"/>
          <w:b/>
          <w:bCs w:val="0"/>
          <w:color w:val="000000" w:themeColor="text1"/>
          <w:highlight w:val="none"/>
          <w14:textFill>
            <w14:solidFill>
              <w14:schemeClr w14:val="tx1"/>
            </w14:solidFill>
          </w14:textFill>
        </w:rPr>
        <w:t>（提供实物图片）</w:t>
      </w:r>
    </w:p>
    <w:p w14:paraId="571FF2E3">
      <w:pPr>
        <w:keepNext w:val="0"/>
        <w:keepLines w:val="0"/>
        <w:pageBreakBefore w:val="0"/>
        <w:widowControl w:val="0"/>
        <w:kinsoku/>
        <w:overflowPunct/>
        <w:topLinePunct w:val="0"/>
        <w:autoSpaceDE/>
        <w:autoSpaceDN/>
        <w:bidi w:val="0"/>
        <w:spacing w:line="360" w:lineRule="auto"/>
        <w:ind w:firstLine="422" w:firstLineChars="200"/>
        <w:textAlignment w:val="auto"/>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3、</w:t>
      </w:r>
      <w:r>
        <w:rPr>
          <w:rFonts w:hint="eastAsia" w:ascii="宋体" w:hAnsi="宋体" w:eastAsia="宋体" w:cs="宋体"/>
          <w:b/>
          <w:bCs w:val="0"/>
          <w:color w:val="000000" w:themeColor="text1"/>
          <w:highlight w:val="none"/>
          <w14:textFill>
            <w14:solidFill>
              <w14:schemeClr w14:val="tx1"/>
            </w14:solidFill>
          </w14:textFill>
        </w:rPr>
        <w:t>毛细柱分流</w:t>
      </w:r>
      <w:r>
        <w:rPr>
          <w:b/>
          <w:bCs w:val="0"/>
          <w:color w:val="000000" w:themeColor="text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无分流进样口（带</w:t>
      </w:r>
      <w:r>
        <w:rPr>
          <w:b/>
          <w:bCs w:val="0"/>
          <w:color w:val="000000" w:themeColor="text1"/>
          <w:highlight w:val="none"/>
          <w14:textFill>
            <w14:solidFill>
              <w14:schemeClr w14:val="tx1"/>
            </w14:solidFill>
          </w14:textFill>
        </w:rPr>
        <w:t>EPC</w:t>
      </w:r>
      <w:r>
        <w:rPr>
          <w:rFonts w:hint="eastAsia" w:ascii="宋体" w:hAnsi="宋体" w:eastAsia="宋体" w:cs="宋体"/>
          <w:b/>
          <w:bCs w:val="0"/>
          <w:color w:val="000000" w:themeColor="text1"/>
          <w:highlight w:val="none"/>
          <w14:textFill>
            <w14:solidFill>
              <w14:schemeClr w14:val="tx1"/>
            </w14:solidFill>
          </w14:textFill>
        </w:rPr>
        <w:t>电子流量控制）</w:t>
      </w:r>
    </w:p>
    <w:p w14:paraId="04B77160">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最高使用温度不低于</w:t>
      </w:r>
      <w:r>
        <w:rPr>
          <w:bCs/>
          <w:color w:val="000000" w:themeColor="text1"/>
          <w:highlight w:val="none"/>
          <w14:textFill>
            <w14:solidFill>
              <w14:schemeClr w14:val="tx1"/>
            </w14:solidFill>
          </w14:textFill>
        </w:rPr>
        <w:t>395˚C</w:t>
      </w:r>
    </w:p>
    <w:p w14:paraId="5B6953D2">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压力设定范围：</w:t>
      </w:r>
      <w:r>
        <w:rPr>
          <w:bCs/>
          <w:color w:val="000000" w:themeColor="text1"/>
          <w:highlight w:val="none"/>
          <w14:textFill>
            <w14:solidFill>
              <w14:schemeClr w14:val="tx1"/>
            </w14:solidFill>
          </w14:textFill>
        </w:rPr>
        <w:t>0-1</w:t>
      </w:r>
      <w:r>
        <w:rPr>
          <w:rFonts w:hint="eastAsia"/>
          <w:bCs/>
          <w:color w:val="000000" w:themeColor="text1"/>
          <w:highlight w:val="none"/>
          <w14:textFill>
            <w14:solidFill>
              <w14:schemeClr w14:val="tx1"/>
            </w14:solidFill>
          </w14:textFill>
        </w:rPr>
        <w:t>00</w:t>
      </w:r>
      <w:r>
        <w:rPr>
          <w:bCs/>
          <w:color w:val="000000" w:themeColor="text1"/>
          <w:highlight w:val="none"/>
          <w14:textFill>
            <w14:solidFill>
              <w14:schemeClr w14:val="tx1"/>
            </w14:solidFill>
          </w14:textFill>
        </w:rPr>
        <w:t>Psi</w:t>
      </w:r>
      <w:r>
        <w:rPr>
          <w:rFonts w:hint="eastAsia"/>
          <w:bCs/>
          <w:color w:val="000000" w:themeColor="text1"/>
          <w:highlight w:val="none"/>
          <w:lang w:eastAsia="zh-CN"/>
          <w14:textFill>
            <w14:solidFill>
              <w14:schemeClr w14:val="tx1"/>
            </w14:solidFill>
          </w14:textFill>
        </w:rPr>
        <w:t>，</w:t>
      </w:r>
      <w:r>
        <w:rPr>
          <w:bCs/>
          <w:color w:val="000000" w:themeColor="text1"/>
          <w:highlight w:val="non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精度</w:t>
      </w:r>
      <w:r>
        <w:rPr>
          <w:bCs/>
          <w:color w:val="000000" w:themeColor="text1"/>
          <w:highlight w:val="none"/>
          <w14:textFill>
            <w14:solidFill>
              <w14:schemeClr w14:val="tx1"/>
            </w14:solidFill>
          </w14:textFill>
        </w:rPr>
        <w:t>0.001Psi</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 xml:space="preserve"> 流量范围：</w:t>
      </w:r>
      <w:r>
        <w:rPr>
          <w:bCs/>
          <w:color w:val="000000" w:themeColor="text1"/>
          <w:highlight w:val="none"/>
          <w14:textFill>
            <w14:solidFill>
              <w14:schemeClr w14:val="tx1"/>
            </w14:solidFill>
          </w14:textFill>
        </w:rPr>
        <w:t>0-500mL/</w:t>
      </w:r>
      <w:r>
        <w:rPr>
          <w:rFonts w:hint="eastAsia" w:ascii="宋体" w:hAnsi="宋体" w:eastAsia="宋体" w:cs="宋体"/>
          <w:bCs/>
          <w:color w:val="000000" w:themeColor="text1"/>
          <w:highlight w:val="none"/>
          <w14:textFill>
            <w14:solidFill>
              <w14:schemeClr w14:val="tx1"/>
            </w14:solidFill>
          </w14:textFill>
        </w:rPr>
        <w:t>分钟</w:t>
      </w:r>
      <w:r>
        <w:rPr>
          <w:bCs/>
          <w:color w:val="000000" w:themeColor="text1"/>
          <w:highlight w:val="none"/>
          <w14:textFill>
            <w14:solidFill>
              <w14:schemeClr w14:val="tx1"/>
            </w14:solidFill>
          </w14:textFill>
        </w:rPr>
        <w:t>N2</w:t>
      </w:r>
      <w:r>
        <w:rPr>
          <w:rFonts w:hint="eastAsia"/>
          <w:bCs/>
          <w:color w:val="000000" w:themeColor="text1"/>
          <w:highlight w:val="none"/>
          <w:lang w:eastAsia="zh-CN"/>
          <w14:textFill>
            <w14:solidFill>
              <w14:schemeClr w14:val="tx1"/>
            </w14:solidFill>
          </w14:textFill>
        </w:rPr>
        <w:t>，</w:t>
      </w:r>
      <w:r>
        <w:rPr>
          <w:bCs/>
          <w:color w:val="000000" w:themeColor="text1"/>
          <w:highlight w:val="none"/>
          <w14:textFill>
            <w14:solidFill>
              <w14:schemeClr w14:val="tx1"/>
            </w14:solidFill>
          </w14:textFill>
        </w:rPr>
        <w:t xml:space="preserve"> 0-1230mL/min H2 or He</w:t>
      </w:r>
    </w:p>
    <w:p w14:paraId="71506E99">
      <w:pPr>
        <w:keepNext w:val="0"/>
        <w:keepLines w:val="0"/>
        <w:pageBreakBefore w:val="0"/>
        <w:widowControl w:val="0"/>
        <w:kinsoku/>
        <w:overflowPunct/>
        <w:topLinePunct w:val="0"/>
        <w:autoSpaceDE/>
        <w:autoSpaceDN/>
        <w:bidi w:val="0"/>
        <w:spacing w:line="360" w:lineRule="auto"/>
        <w:ind w:firstLine="422" w:firstLineChars="200"/>
        <w:textAlignment w:val="auto"/>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4</w:t>
      </w:r>
      <w:r>
        <w:rPr>
          <w:rFonts w:hint="eastAsia"/>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氢火焰离子化检测器</w:t>
      </w:r>
    </w:p>
    <w:p w14:paraId="584C313F">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线性动态范围：</w:t>
      </w:r>
      <w:r>
        <w:rPr>
          <w:bCs/>
          <w:color w:val="000000" w:themeColor="text1"/>
          <w:highlight w:val="none"/>
          <w14:textFill>
            <w14:solidFill>
              <w14:schemeClr w14:val="tx1"/>
            </w14:solidFill>
          </w14:textFill>
        </w:rPr>
        <w:t>&gt;10</w:t>
      </w:r>
      <w:r>
        <w:rPr>
          <w:bCs/>
          <w:color w:val="000000" w:themeColor="text1"/>
          <w:highlight w:val="none"/>
          <w:vertAlign w:val="superscript"/>
          <w14:textFill>
            <w14:solidFill>
              <w14:schemeClr w14:val="tx1"/>
            </w14:solidFill>
          </w14:textFill>
        </w:rPr>
        <w:t>7</w:t>
      </w:r>
      <w:r>
        <w:rPr>
          <w:rFonts w:hint="eastAsia" w:ascii="宋体" w:hAnsi="宋体" w:eastAsia="宋体" w:cs="宋体"/>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±10%</w:t>
      </w:r>
      <w:r>
        <w:rPr>
          <w:rFonts w:hint="eastAsia" w:ascii="宋体" w:hAnsi="宋体" w:eastAsia="宋体" w:cs="宋体"/>
          <w:bCs/>
          <w:color w:val="000000" w:themeColor="text1"/>
          <w:highlight w:val="none"/>
          <w14:textFill>
            <w14:solidFill>
              <w14:schemeClr w14:val="tx1"/>
            </w14:solidFill>
          </w14:textFill>
        </w:rPr>
        <w:t>）。全量程的数字化数据输出使得一次进样中可以对检测</w:t>
      </w:r>
    </w:p>
    <w:p w14:paraId="5D694A42">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标准的</w:t>
      </w:r>
      <w:r>
        <w:rPr>
          <w:bCs/>
          <w:color w:val="000000" w:themeColor="text1"/>
          <w:highlight w:val="none"/>
          <w14:textFill>
            <w14:solidFill>
              <w14:schemeClr w14:val="tx1"/>
            </w14:solidFill>
          </w14:textFill>
        </w:rPr>
        <w:t xml:space="preserve">EPC </w:t>
      </w:r>
      <w:r>
        <w:rPr>
          <w:rFonts w:hint="eastAsia" w:ascii="宋体" w:hAnsi="宋体" w:eastAsia="宋体" w:cs="宋体"/>
          <w:bCs/>
          <w:color w:val="000000" w:themeColor="text1"/>
          <w:highlight w:val="none"/>
          <w14:textFill>
            <w14:solidFill>
              <w14:schemeClr w14:val="tx1"/>
            </w14:solidFill>
          </w14:textFill>
        </w:rPr>
        <w:t>用于三种气体：空气、氢气、尾吹气；具有灭火自动检测和自动再点火。</w:t>
      </w:r>
    </w:p>
    <w:p w14:paraId="141D7912">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cs="宋体" w:eastAsiaTheme="minorEastAsia"/>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最高使用温度不低于</w:t>
      </w:r>
      <w:r>
        <w:rPr>
          <w:bCs/>
          <w:color w:val="000000" w:themeColor="text1"/>
          <w:highlight w:val="none"/>
          <w14:textFill>
            <w14:solidFill>
              <w14:schemeClr w14:val="tx1"/>
            </w14:solidFill>
          </w14:textFill>
        </w:rPr>
        <w:t>430°C</w:t>
      </w:r>
      <w:r>
        <w:rPr>
          <w:rFonts w:hint="eastAsia" w:ascii="宋体" w:hAnsi="宋体" w:eastAsia="宋体" w:cs="宋体"/>
          <w:bCs/>
          <w:color w:val="000000" w:themeColor="text1"/>
          <w:highlight w:val="none"/>
          <w14:textFill>
            <w14:solidFill>
              <w14:schemeClr w14:val="tx1"/>
            </w14:solidFill>
          </w14:textFill>
        </w:rPr>
        <w:t>。</w:t>
      </w:r>
    </w:p>
    <w:p w14:paraId="65B37FD0">
      <w:pPr>
        <w:keepNext w:val="0"/>
        <w:keepLines w:val="0"/>
        <w:pageBreakBefore w:val="0"/>
        <w:widowControl w:val="0"/>
        <w:kinsoku/>
        <w:overflowPunct/>
        <w:topLinePunct w:val="0"/>
        <w:autoSpaceDE/>
        <w:autoSpaceDN/>
        <w:bidi w:val="0"/>
        <w:spacing w:line="360" w:lineRule="auto"/>
        <w:ind w:firstLine="422" w:firstLineChars="200"/>
        <w:textAlignment w:val="auto"/>
        <w:rPr>
          <w:rFonts w:eastAsiaTheme="minorEastAsia"/>
          <w:bCs/>
          <w:color w:val="000000" w:themeColor="text1"/>
          <w:highlight w:val="none"/>
          <w14:textFill>
            <w14:solidFill>
              <w14:schemeClr w14:val="tx1"/>
            </w14:solidFill>
          </w14:textFill>
        </w:rPr>
      </w:pPr>
      <w:r>
        <w:rPr>
          <w:rFonts w:hint="eastAsia" w:eastAsiaTheme="minorEastAsia"/>
          <w:b/>
          <w:bCs w:val="0"/>
          <w:color w:val="000000" w:themeColor="text1"/>
          <w:highlight w:val="none"/>
          <w:lang w:val="en-US" w:eastAsia="zh-CN"/>
          <w14:textFill>
            <w14:solidFill>
              <w14:schemeClr w14:val="tx1"/>
            </w14:solidFill>
          </w14:textFill>
        </w:rPr>
        <w:t>5、</w:t>
      </w:r>
      <w:r>
        <w:rPr>
          <w:rFonts w:hint="eastAsia" w:eastAsiaTheme="minorEastAsia"/>
          <w:b/>
          <w:bCs w:val="0"/>
          <w:color w:val="000000" w:themeColor="text1"/>
          <w:highlight w:val="none"/>
          <w14:textFill>
            <w14:solidFill>
              <w14:schemeClr w14:val="tx1"/>
            </w14:solidFill>
          </w14:textFill>
        </w:rPr>
        <w:t>微电子捕获检测器</w:t>
      </w:r>
    </w:p>
    <w:p w14:paraId="423C4E9F">
      <w:pPr>
        <w:keepNext w:val="0"/>
        <w:keepLines w:val="0"/>
        <w:pageBreakBefore w:val="0"/>
        <w:widowControl w:val="0"/>
        <w:kinsoku/>
        <w:overflowPunct/>
        <w:topLinePunct w:val="0"/>
        <w:autoSpaceDE/>
        <w:autoSpaceDN/>
        <w:bidi w:val="0"/>
        <w:spacing w:line="360" w:lineRule="auto"/>
        <w:ind w:firstLine="420" w:firstLineChars="200"/>
        <w:textAlignment w:val="auto"/>
        <w:rPr>
          <w:rFonts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最低检测限：小于 4 fg/mL 林丹</w:t>
      </w:r>
    </w:p>
    <w:p w14:paraId="304D3D63">
      <w:pPr>
        <w:keepNext w:val="0"/>
        <w:keepLines w:val="0"/>
        <w:pageBreakBefore w:val="0"/>
        <w:widowControl w:val="0"/>
        <w:kinsoku/>
        <w:overflowPunct/>
        <w:topLinePunct w:val="0"/>
        <w:autoSpaceDE/>
        <w:autoSpaceDN/>
        <w:bidi w:val="0"/>
        <w:spacing w:line="360" w:lineRule="auto"/>
        <w:ind w:firstLine="420" w:firstLineChars="200"/>
        <w:textAlignment w:val="auto"/>
        <w:rPr>
          <w:rFonts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最高温度</w:t>
      </w:r>
      <w:r>
        <w:rPr>
          <w:rFonts w:hint="eastAsia" w:ascii="宋体" w:hAnsi="宋体" w:eastAsia="宋体" w:cs="宋体"/>
          <w:bCs/>
          <w:color w:val="000000" w:themeColor="text1"/>
          <w:highlight w:val="none"/>
          <w14:textFill>
            <w14:solidFill>
              <w14:schemeClr w14:val="tx1"/>
            </w14:solidFill>
          </w14:textFill>
        </w:rPr>
        <w:t>不低于</w:t>
      </w:r>
      <w:r>
        <w:rPr>
          <w:rFonts w:hint="eastAsia" w:eastAsiaTheme="minorEastAsia"/>
          <w:bCs/>
          <w:color w:val="000000" w:themeColor="text1"/>
          <w:highlight w:val="none"/>
          <w14:textFill>
            <w14:solidFill>
              <w14:schemeClr w14:val="tx1"/>
            </w14:solidFill>
          </w14:textFill>
        </w:rPr>
        <w:t>400°C</w:t>
      </w:r>
    </w:p>
    <w:p w14:paraId="74E1AF2C">
      <w:pPr>
        <w:keepNext w:val="0"/>
        <w:keepLines w:val="0"/>
        <w:pageBreakBefore w:val="0"/>
        <w:widowControl w:val="0"/>
        <w:kinsoku/>
        <w:overflowPunct/>
        <w:topLinePunct w:val="0"/>
        <w:autoSpaceDE/>
        <w:autoSpaceDN/>
        <w:bidi w:val="0"/>
        <w:spacing w:line="360" w:lineRule="auto"/>
        <w:ind w:firstLine="420" w:firstLineChars="200"/>
        <w:textAlignment w:val="auto"/>
        <w:rPr>
          <w:rFonts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数据采集速率</w:t>
      </w:r>
      <w:r>
        <w:rPr>
          <w:rFonts w:hint="eastAsia" w:ascii="宋体" w:hAnsi="宋体" w:eastAsia="宋体" w:cs="宋体"/>
          <w:bCs/>
          <w:color w:val="000000" w:themeColor="text1"/>
          <w:highlight w:val="none"/>
          <w14:textFill>
            <w14:solidFill>
              <w14:schemeClr w14:val="tx1"/>
            </w14:solidFill>
          </w14:textFill>
        </w:rPr>
        <w:t>不低于5</w:t>
      </w:r>
      <w:r>
        <w:rPr>
          <w:rFonts w:eastAsiaTheme="minorEastAsia"/>
          <w:bCs/>
          <w:color w:val="000000" w:themeColor="text1"/>
          <w:highlight w:val="none"/>
          <w14:textFill>
            <w14:solidFill>
              <w14:schemeClr w14:val="tx1"/>
            </w14:solidFill>
          </w14:textFill>
        </w:rPr>
        <w:t>00 Hz</w:t>
      </w:r>
    </w:p>
    <w:p w14:paraId="1F177286">
      <w:pPr>
        <w:keepNext w:val="0"/>
        <w:keepLines w:val="0"/>
        <w:pageBreakBefore w:val="0"/>
        <w:widowControl w:val="0"/>
        <w:kinsoku/>
        <w:overflowPunct/>
        <w:topLinePunct w:val="0"/>
        <w:autoSpaceDE/>
        <w:autoSpaceDN/>
        <w:bidi w:val="0"/>
        <w:spacing w:line="360" w:lineRule="auto"/>
        <w:ind w:firstLine="422" w:firstLineChars="200"/>
        <w:textAlignment w:val="auto"/>
        <w:rPr>
          <w:rFonts w:hint="eastAsia" w:eastAsiaTheme="minorEastAsia"/>
          <w:bCs/>
          <w:color w:val="000000" w:themeColor="text1"/>
          <w:highlight w:val="none"/>
          <w14:textFill>
            <w14:solidFill>
              <w14:schemeClr w14:val="tx1"/>
            </w14:solidFill>
          </w14:textFill>
        </w:rPr>
      </w:pPr>
      <w:r>
        <w:rPr>
          <w:rFonts w:hint="eastAsia" w:eastAsiaTheme="minorEastAsia"/>
          <w:b/>
          <w:bCs w:val="0"/>
          <w:color w:val="000000" w:themeColor="text1"/>
          <w:highlight w:val="none"/>
          <w:lang w:val="en-US" w:eastAsia="zh-CN"/>
          <w14:textFill>
            <w14:solidFill>
              <w14:schemeClr w14:val="tx1"/>
            </w14:solidFill>
          </w14:textFill>
        </w:rPr>
        <w:t>6、.</w:t>
      </w:r>
      <w:r>
        <w:rPr>
          <w:rFonts w:hint="eastAsia" w:eastAsiaTheme="minorEastAsia"/>
          <w:b/>
          <w:bCs w:val="0"/>
          <w:color w:val="000000" w:themeColor="text1"/>
          <w:highlight w:val="none"/>
          <w14:textFill>
            <w14:solidFill>
              <w14:schemeClr w14:val="tx1"/>
            </w14:solidFill>
          </w14:textFill>
        </w:rPr>
        <w:t>液体自动进样器</w:t>
      </w:r>
      <w:r>
        <w:rPr>
          <w:rFonts w:hint="eastAsia" w:eastAsiaTheme="minorEastAsia"/>
          <w:bCs/>
          <w:color w:val="000000" w:themeColor="text1"/>
          <w:highlight w:val="none"/>
          <w14:textFill>
            <w14:solidFill>
              <w14:schemeClr w14:val="tx1"/>
            </w14:solidFill>
          </w14:textFill>
        </w:rPr>
        <w:tab/>
      </w:r>
    </w:p>
    <w:p w14:paraId="241F84AD">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lang w:val="en-US" w:eastAsia="zh-CN"/>
          <w14:textFill>
            <w14:solidFill>
              <w14:schemeClr w14:val="tx1"/>
            </w14:solidFill>
          </w14:textFill>
        </w:rPr>
        <w:t>6</w:t>
      </w:r>
      <w:r>
        <w:rPr>
          <w:rFonts w:hint="eastAsia" w:eastAsiaTheme="minorEastAsia"/>
          <w:bCs/>
          <w:color w:val="000000" w:themeColor="text1"/>
          <w:highlight w:val="none"/>
          <w14:textFill>
            <w14:solidFill>
              <w14:schemeClr w14:val="tx1"/>
            </w14:solidFill>
          </w14:textFill>
        </w:rPr>
        <w:t>.1样品位数：≥165，连续自动进样</w:t>
      </w:r>
      <w:r>
        <w:rPr>
          <w:rFonts w:hint="eastAsia" w:eastAsiaTheme="minorEastAsia"/>
          <w:b/>
          <w:bCs w:val="0"/>
          <w:color w:val="000000" w:themeColor="text1"/>
          <w:highlight w:val="none"/>
          <w14:textFill>
            <w14:solidFill>
              <w14:schemeClr w14:val="tx1"/>
            </w14:solidFill>
          </w14:textFill>
        </w:rPr>
        <w:t>（厂家技术白皮书证明文件）</w:t>
      </w:r>
    </w:p>
    <w:p w14:paraId="4F7D18F1">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lang w:val="en-US" w:eastAsia="zh-CN"/>
          <w14:textFill>
            <w14:solidFill>
              <w14:schemeClr w14:val="tx1"/>
            </w14:solidFill>
          </w14:textFill>
        </w:rPr>
        <w:t>6</w:t>
      </w:r>
      <w:r>
        <w:rPr>
          <w:rFonts w:hint="eastAsia" w:eastAsiaTheme="minorEastAsia"/>
          <w:bCs/>
          <w:color w:val="000000" w:themeColor="text1"/>
          <w:highlight w:val="none"/>
          <w14:textFill>
            <w14:solidFill>
              <w14:schemeClr w14:val="tx1"/>
            </w14:solidFill>
          </w14:textFill>
        </w:rPr>
        <w:t>.2自动进样器可以随意挪动，并支持自我校正，无需通过软件设置校正</w:t>
      </w:r>
    </w:p>
    <w:p w14:paraId="4E0D31D8">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Theme="minorEastAsia"/>
          <w:bCs/>
          <w:color w:val="000000" w:themeColor="text1"/>
          <w:highlight w:val="none"/>
          <w14:textFill>
            <w14:solidFill>
              <w14:schemeClr w14:val="tx1"/>
            </w14:solidFill>
          </w14:textFill>
        </w:rPr>
      </w:pPr>
      <w:r>
        <w:rPr>
          <w:rFonts w:hint="eastAsia" w:eastAsiaTheme="minorEastAsia"/>
          <w:bCs/>
          <w:color w:val="000000" w:themeColor="text1"/>
          <w:highlight w:val="none"/>
          <w14:textFill>
            <w14:solidFill>
              <w14:schemeClr w14:val="tx1"/>
            </w14:solidFill>
          </w14:textFill>
        </w:rPr>
        <w:t>峰面积重现性优于</w:t>
      </w:r>
      <w:r>
        <w:rPr>
          <w:rFonts w:eastAsiaTheme="minorEastAsia"/>
          <w:bCs/>
          <w:color w:val="000000" w:themeColor="text1"/>
          <w:highlight w:val="none"/>
          <w14:textFill>
            <w14:solidFill>
              <w14:schemeClr w14:val="tx1"/>
            </w14:solidFill>
          </w14:textFill>
        </w:rPr>
        <w:t>0.3% RSD</w:t>
      </w:r>
    </w:p>
    <w:p w14:paraId="304E9A71">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eastAsiaTheme="minorEastAsia"/>
          <w:bCs/>
          <w:color w:val="000000" w:themeColor="text1"/>
          <w:highlight w:val="none"/>
          <w14:textFill>
            <w14:solidFill>
              <w14:schemeClr w14:val="tx1"/>
            </w14:solidFill>
          </w14:textFill>
        </w:rPr>
      </w:pPr>
      <w:r>
        <w:rPr>
          <w:rFonts w:eastAsiaTheme="minorEastAsia"/>
          <w:bCs/>
          <w:color w:val="000000" w:themeColor="text1"/>
          <w:highlight w:val="none"/>
          <w14:textFill>
            <w14:solidFill>
              <w14:schemeClr w14:val="tx1"/>
            </w14:solidFill>
          </w14:textFill>
        </w:rPr>
        <w:t>进样量范围：0.1～50ul</w:t>
      </w:r>
    </w:p>
    <w:p w14:paraId="05B8A452">
      <w:pPr>
        <w:keepNext w:val="0"/>
        <w:keepLines w:val="0"/>
        <w:pageBreakBefore w:val="0"/>
        <w:widowControl w:val="0"/>
        <w:kinsoku/>
        <w:overflowPunct/>
        <w:topLinePunct w:val="0"/>
        <w:autoSpaceDE/>
        <w:autoSpaceDN/>
        <w:bidi w:val="0"/>
        <w:spacing w:line="360" w:lineRule="auto"/>
        <w:ind w:firstLine="422" w:firstLineChars="200"/>
        <w:textAlignment w:val="auto"/>
        <w:rPr>
          <w:bCs/>
          <w:color w:val="000000" w:themeColor="text1"/>
          <w:highlight w:val="none"/>
          <w14:textFill>
            <w14:solidFill>
              <w14:schemeClr w14:val="tx1"/>
            </w14:solidFill>
          </w14:textFill>
        </w:rPr>
      </w:pPr>
      <w:r>
        <w:rPr>
          <w:rFonts w:hint="eastAsia"/>
          <w:b/>
          <w:bCs w:val="0"/>
          <w:color w:val="000000" w:themeColor="text1"/>
          <w:highlight w:val="none"/>
          <w:lang w:val="en-US" w:eastAsia="zh-CN"/>
          <w14:textFill>
            <w14:solidFill>
              <w14:schemeClr w14:val="tx1"/>
            </w14:solidFill>
          </w14:textFill>
        </w:rPr>
        <w:t>7</w:t>
      </w:r>
      <w:r>
        <w:rPr>
          <w:rFonts w:hint="eastAsia"/>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硬件及软件系统</w:t>
      </w:r>
    </w:p>
    <w:p w14:paraId="3CCB18F3">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工作站配置要求：商用机i5</w:t>
      </w:r>
      <w:r>
        <w:rPr>
          <w:rFonts w:hint="eastAsia" w:ascii="宋体" w:hAnsi="宋体" w:eastAsia="宋体" w:cs="宋体"/>
          <w:bCs/>
          <w:color w:val="000000" w:themeColor="text1"/>
          <w:highlight w:val="none"/>
          <w:lang w:val="en-US" w:eastAsia="zh-CN"/>
          <w14:textFill>
            <w14:solidFill>
              <w14:schemeClr w14:val="tx1"/>
            </w14:solidFill>
          </w14:textFill>
        </w:rPr>
        <w:t>或类似性能</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lang w:val="en-US" w:eastAsia="zh-CN"/>
          <w14:textFill>
            <w14:solidFill>
              <w14:schemeClr w14:val="tx1"/>
            </w14:solidFill>
          </w14:textFill>
        </w:rPr>
        <w:t>以上</w:t>
      </w:r>
      <w:r>
        <w:rPr>
          <w:rFonts w:hint="eastAsia" w:ascii="宋体" w:hAnsi="宋体" w:eastAsia="宋体" w:cs="宋体"/>
          <w:bCs/>
          <w:color w:val="000000" w:themeColor="text1"/>
          <w:highlight w:val="none"/>
          <w14:textFill>
            <w14:solidFill>
              <w14:schemeClr w14:val="tx1"/>
            </w14:solidFill>
          </w14:textFill>
        </w:rPr>
        <w:t>处理器</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5</w:t>
      </w:r>
      <w:r>
        <w:rPr>
          <w:rFonts w:hint="eastAsia" w:ascii="宋体" w:hAnsi="宋体" w:cs="宋体"/>
          <w:bCs/>
          <w:color w:val="000000" w:themeColor="text1"/>
          <w:highlight w:val="none"/>
          <w:lang w:val="en-US" w:eastAsia="zh-CN"/>
          <w14:textFill>
            <w14:solidFill>
              <w14:schemeClr w14:val="tx1"/>
            </w14:solidFill>
          </w14:textFill>
        </w:rPr>
        <w:t>12</w:t>
      </w:r>
      <w:r>
        <w:rPr>
          <w:rFonts w:hint="eastAsia" w:ascii="宋体" w:hAnsi="宋体" w:eastAsia="宋体" w:cs="宋体"/>
          <w:bCs/>
          <w:color w:val="000000" w:themeColor="text1"/>
          <w:highlight w:val="none"/>
          <w14:textFill>
            <w14:solidFill>
              <w14:schemeClr w14:val="tx1"/>
            </w14:solidFill>
          </w14:textFill>
        </w:rPr>
        <w:t>G</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lang w:val="en-US" w:eastAsia="zh-CN"/>
          <w14:textFill>
            <w14:solidFill>
              <w14:schemeClr w14:val="tx1"/>
            </w14:solidFill>
          </w14:textFill>
        </w:rPr>
        <w:t>以上</w:t>
      </w:r>
      <w:r>
        <w:rPr>
          <w:rFonts w:hint="eastAsia" w:ascii="宋体" w:hAnsi="宋体" w:eastAsia="宋体" w:cs="宋体"/>
          <w:bCs/>
          <w:color w:val="000000" w:themeColor="text1"/>
          <w:highlight w:val="none"/>
          <w14:textFill>
            <w14:solidFill>
              <w14:schemeClr w14:val="tx1"/>
            </w14:solidFill>
          </w14:textFill>
        </w:rPr>
        <w:t>硬盘，16G</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14:textFill>
            <w14:solidFill>
              <w14:schemeClr w14:val="tx1"/>
            </w14:solidFill>
          </w14:textFill>
        </w:rPr>
        <w:t>以上内存</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lang w:val="en-US" w:eastAsia="zh-CN"/>
          <w14:textFill>
            <w14:solidFill>
              <w14:schemeClr w14:val="tx1"/>
            </w14:solidFill>
          </w14:textFill>
        </w:rPr>
        <w:t>30寸以上</w:t>
      </w:r>
      <w:r>
        <w:rPr>
          <w:rFonts w:hint="eastAsia" w:ascii="宋体" w:hAnsi="宋体" w:eastAsia="宋体" w:cs="宋体"/>
          <w:bCs/>
          <w:color w:val="000000" w:themeColor="text1"/>
          <w:highlight w:val="none"/>
          <w14:textFill>
            <w14:solidFill>
              <w14:schemeClr w14:val="tx1"/>
            </w14:solidFill>
          </w14:textFill>
        </w:rPr>
        <w:t>液晶，及正版中文</w:t>
      </w:r>
      <w:r>
        <w:rPr>
          <w:bCs/>
          <w:color w:val="000000" w:themeColor="text1"/>
          <w:highlight w:val="none"/>
          <w14:textFill>
            <w14:solidFill>
              <w14:schemeClr w14:val="tx1"/>
            </w14:solidFill>
          </w14:textFill>
        </w:rPr>
        <w:t>Windows 10</w:t>
      </w:r>
      <w:r>
        <w:rPr>
          <w:rFonts w:hint="eastAsia" w:ascii="宋体" w:hAnsi="宋体" w:eastAsia="宋体" w:cs="宋体"/>
          <w:bCs/>
          <w:color w:val="000000" w:themeColor="text1"/>
          <w:highlight w:val="none"/>
          <w14:textFill>
            <w14:solidFill>
              <w14:schemeClr w14:val="tx1"/>
            </w14:solidFill>
          </w14:textFill>
        </w:rPr>
        <w:t>以上系统；激光打印机各一套</w:t>
      </w:r>
    </w:p>
    <w:p w14:paraId="54390427">
      <w:pPr>
        <w:keepNext w:val="0"/>
        <w:keepLines w:val="0"/>
        <w:pageBreakBefore w:val="0"/>
        <w:widowControl w:val="0"/>
        <w:kinsoku/>
        <w:overflowPunct/>
        <w:topLinePunct w:val="0"/>
        <w:autoSpaceDE/>
        <w:autoSpaceDN/>
        <w:bidi w:val="0"/>
        <w:spacing w:line="360" w:lineRule="auto"/>
        <w:ind w:firstLine="422" w:firstLineChars="200"/>
        <w:textAlignment w:val="auto"/>
        <w:rPr>
          <w:b/>
          <w:bCs w:val="0"/>
          <w:color w:val="000000" w:themeColor="text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8、</w:t>
      </w:r>
      <w:r>
        <w:rPr>
          <w:rFonts w:hint="eastAsia" w:ascii="宋体" w:hAnsi="宋体" w:eastAsia="宋体" w:cs="宋体"/>
          <w:b/>
          <w:bCs w:val="0"/>
          <w:color w:val="000000" w:themeColor="text1"/>
          <w:highlight w:val="none"/>
          <w14:textFill>
            <w14:solidFill>
              <w14:schemeClr w14:val="tx1"/>
            </w14:solidFill>
          </w14:textFill>
        </w:rPr>
        <w:t>配置</w:t>
      </w:r>
      <w:r>
        <w:rPr>
          <w:rFonts w:hint="eastAsia" w:ascii="宋体" w:hAnsi="宋体" w:cs="宋体"/>
          <w:b/>
          <w:bCs w:val="0"/>
          <w:color w:val="000000" w:themeColor="text1"/>
          <w:highlight w:val="none"/>
          <w:lang w:eastAsia="zh-CN"/>
          <w14:textFill>
            <w14:solidFill>
              <w14:schemeClr w14:val="tx1"/>
            </w14:solidFill>
          </w14:textFill>
        </w:rPr>
        <w:t>清单</w:t>
      </w:r>
    </w:p>
    <w:p w14:paraId="77D2FBCD">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气相色谱仪主机</w:t>
      </w:r>
      <w:r>
        <w:rPr>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05EB6660">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分流不分流进样口</w:t>
      </w:r>
      <w:r>
        <w:rPr>
          <w:rFonts w:hint="eastAsia"/>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14:textFill>
            <w14:solidFill>
              <w14:schemeClr w14:val="tx1"/>
            </w14:solidFill>
          </w14:textFill>
        </w:rPr>
        <w:t>套</w:t>
      </w:r>
    </w:p>
    <w:p w14:paraId="1AE46392">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FID</w:t>
      </w:r>
      <w:r>
        <w:rPr>
          <w:rFonts w:hint="eastAsia" w:ascii="宋体" w:hAnsi="宋体" w:eastAsia="宋体" w:cs="宋体"/>
          <w:bCs/>
          <w:color w:val="000000" w:themeColor="text1"/>
          <w:highlight w:val="none"/>
          <w14:textFill>
            <w14:solidFill>
              <w14:schemeClr w14:val="tx1"/>
            </w14:solidFill>
          </w14:textFill>
        </w:rPr>
        <w:t>检测器</w:t>
      </w:r>
      <w:r>
        <w:rPr>
          <w:rFonts w:hint="eastAsia" w:eastAsiaTheme="minorEastAsia"/>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0EF398D0">
      <w:pPr>
        <w:keepNext w:val="0"/>
        <w:keepLines w:val="0"/>
        <w:pageBreakBefore w:val="0"/>
        <w:widowControl w:val="0"/>
        <w:kinsoku/>
        <w:overflowPunct/>
        <w:topLinePunct w:val="0"/>
        <w:autoSpaceDE/>
        <w:autoSpaceDN/>
        <w:bidi w:val="0"/>
        <w:spacing w:line="360" w:lineRule="auto"/>
        <w:ind w:firstLine="420" w:firstLineChars="200"/>
        <w:textAlignment w:val="auto"/>
        <w:rPr>
          <w:rFonts w:eastAsiaTheme="minor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ECD检测器1套</w:t>
      </w:r>
    </w:p>
    <w:p w14:paraId="67A02814">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化学工作站控制及色谱数据处理系统</w:t>
      </w:r>
      <w:r>
        <w:rPr>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53B68ABB">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自动进样器和百位盘</w:t>
      </w:r>
      <w:r>
        <w:rPr>
          <w:rFonts w:hint="eastAsia"/>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1EDA248F">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安装工具包</w:t>
      </w:r>
      <w:r>
        <w:rPr>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21034CA7">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石墨密封垫</w:t>
      </w:r>
      <w:r>
        <w:rPr>
          <w:rFonts w:hint="eastAsia" w:eastAsia="宋体"/>
          <w:bCs/>
          <w:color w:val="000000" w:themeColor="text1"/>
          <w:highlight w:val="none"/>
          <w:lang w:eastAsia="zh-CN"/>
          <w14:textFill>
            <w14:solidFill>
              <w14:schemeClr w14:val="tx1"/>
            </w14:solidFill>
          </w14:textFill>
        </w:rPr>
        <w:t>，</w:t>
      </w:r>
      <w:r>
        <w:rPr>
          <w:bCs/>
          <w:color w:val="000000" w:themeColor="text1"/>
          <w:highlight w:val="none"/>
          <w14:textFill>
            <w14:solidFill>
              <w14:schemeClr w14:val="tx1"/>
            </w14:solidFill>
          </w14:textFill>
        </w:rPr>
        <w:t>10/</w:t>
      </w:r>
      <w:r>
        <w:rPr>
          <w:rFonts w:hint="eastAsia" w:ascii="宋体" w:hAnsi="宋体" w:eastAsia="宋体" w:cs="宋体"/>
          <w:bCs/>
          <w:color w:val="000000" w:themeColor="text1"/>
          <w:highlight w:val="none"/>
          <w14:textFill>
            <w14:solidFill>
              <w14:schemeClr w14:val="tx1"/>
            </w14:solidFill>
          </w14:textFill>
        </w:rPr>
        <w:t>包</w:t>
      </w:r>
      <w:r>
        <w:rPr>
          <w:rFonts w:hint="eastAsia" w:eastAsia="宋体"/>
          <w:bCs/>
          <w:color w:val="000000" w:themeColor="text1"/>
          <w:highlight w:val="none"/>
          <w:lang w:eastAsia="zh-CN"/>
          <w14:textFill>
            <w14:solidFill>
              <w14:schemeClr w14:val="tx1"/>
            </w14:solidFill>
          </w14:textFill>
        </w:rPr>
        <w:t>，</w:t>
      </w:r>
      <w:r>
        <w:rPr>
          <w:rFonts w:hint="eastAsia"/>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14:textFill>
            <w14:solidFill>
              <w14:schemeClr w14:val="tx1"/>
            </w14:solidFill>
          </w14:textFill>
        </w:rPr>
        <w:t>包</w:t>
      </w:r>
    </w:p>
    <w:p w14:paraId="6936C934">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2ml</w:t>
      </w:r>
      <w:r>
        <w:rPr>
          <w:rFonts w:hint="eastAsia" w:ascii="宋体" w:hAnsi="宋体" w:eastAsia="宋体" w:cs="宋体"/>
          <w:bCs/>
          <w:color w:val="000000" w:themeColor="text1"/>
          <w:highlight w:val="none"/>
          <w14:textFill>
            <w14:solidFill>
              <w14:schemeClr w14:val="tx1"/>
            </w14:solidFill>
          </w14:textFill>
        </w:rPr>
        <w:t>样品瓶和盖，</w:t>
      </w:r>
      <w:r>
        <w:rPr>
          <w:rFonts w:hint="eastAsia"/>
          <w:bCs/>
          <w:color w:val="000000" w:themeColor="text1"/>
          <w:highlight w:val="none"/>
          <w14:textFill>
            <w14:solidFill>
              <w14:schemeClr w14:val="tx1"/>
            </w14:solidFill>
          </w14:textFill>
        </w:rPr>
        <w:t>100</w:t>
      </w:r>
      <w:r>
        <w:rPr>
          <w:rFonts w:hint="eastAsia" w:ascii="宋体" w:hAnsi="宋体" w:eastAsia="宋体" w:cs="宋体"/>
          <w:bCs/>
          <w:color w:val="000000" w:themeColor="text1"/>
          <w:highlight w:val="none"/>
          <w14:textFill>
            <w14:solidFill>
              <w14:schemeClr w14:val="tx1"/>
            </w14:solidFill>
          </w14:textFill>
        </w:rPr>
        <w:t>个</w:t>
      </w:r>
      <w:r>
        <w:rPr>
          <w:rFonts w:hint="eastAsia"/>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包</w:t>
      </w:r>
      <w:r>
        <w:rPr>
          <w:rFonts w:hint="eastAsia" w:eastAsia="宋体"/>
          <w:bCs/>
          <w:color w:val="000000" w:themeColor="text1"/>
          <w:highlight w:val="none"/>
          <w:lang w:eastAsia="zh-CN"/>
          <w14:textFill>
            <w14:solidFill>
              <w14:schemeClr w14:val="tx1"/>
            </w14:solidFill>
          </w14:textFill>
        </w:rPr>
        <w:t>，</w:t>
      </w:r>
      <w:r>
        <w:rPr>
          <w:rFonts w:hint="eastAsia"/>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包</w:t>
      </w:r>
    </w:p>
    <w:p w14:paraId="0B46D7C6">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衬管</w:t>
      </w:r>
      <w:r>
        <w:rPr>
          <w:rFonts w:hint="eastAsia" w:eastAsiaTheme="minorEastAsia"/>
          <w:bCs/>
          <w:color w:val="000000" w:themeColor="text1"/>
          <w:highlight w:val="none"/>
          <w14:textFill>
            <w14:solidFill>
              <w14:schemeClr w14:val="tx1"/>
            </w14:solidFill>
          </w14:textFill>
        </w:rPr>
        <w:t>5</w:t>
      </w:r>
      <w:r>
        <w:rPr>
          <w:rFonts w:hint="eastAsia" w:ascii="宋体" w:hAnsi="宋体" w:eastAsia="宋体" w:cs="宋体"/>
          <w:bCs/>
          <w:color w:val="000000" w:themeColor="text1"/>
          <w:highlight w:val="none"/>
          <w14:textFill>
            <w14:solidFill>
              <w14:schemeClr w14:val="tx1"/>
            </w14:solidFill>
          </w14:textFill>
        </w:rPr>
        <w:t>根</w:t>
      </w:r>
    </w:p>
    <w:p w14:paraId="7DDCC3D4">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低粘连高级绿色隔垫，</w:t>
      </w:r>
      <w:r>
        <w:rPr>
          <w:rFonts w:hint="eastAsia"/>
          <w:bCs/>
          <w:color w:val="000000" w:themeColor="text1"/>
          <w:highlight w:val="none"/>
          <w14:textFill>
            <w14:solidFill>
              <w14:schemeClr w14:val="tx1"/>
            </w14:solidFill>
          </w14:textFill>
        </w:rPr>
        <w:t>11mm</w:t>
      </w:r>
      <w:r>
        <w:rPr>
          <w:rFonts w:hint="eastAsia"/>
          <w:bCs/>
          <w:color w:val="000000" w:themeColor="text1"/>
          <w:highlight w:val="none"/>
          <w:lang w:eastAsia="zh-CN"/>
          <w14:textFill>
            <w14:solidFill>
              <w14:schemeClr w14:val="tx1"/>
            </w14:solidFill>
          </w14:textFill>
        </w:rPr>
        <w:t>（</w:t>
      </w:r>
      <w:r>
        <w:rPr>
          <w:rFonts w:hint="eastAsia"/>
          <w:bCs/>
          <w:color w:val="000000" w:themeColor="text1"/>
          <w:highlight w:val="none"/>
          <w14:textFill>
            <w14:solidFill>
              <w14:schemeClr w14:val="tx1"/>
            </w14:solidFill>
          </w14:textFill>
        </w:rPr>
        <w:t>50</w:t>
      </w:r>
      <w:r>
        <w:rPr>
          <w:rFonts w:hint="eastAsia" w:ascii="宋体" w:hAnsi="宋体" w:eastAsia="宋体" w:cs="宋体"/>
          <w:bCs/>
          <w:color w:val="000000" w:themeColor="text1"/>
          <w:highlight w:val="none"/>
          <w14:textFill>
            <w14:solidFill>
              <w14:schemeClr w14:val="tx1"/>
            </w14:solidFill>
          </w14:textFill>
        </w:rPr>
        <w:t>片</w:t>
      </w:r>
      <w:r>
        <w:rPr>
          <w:rFonts w:hint="eastAsia"/>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包</w:t>
      </w:r>
      <w:r>
        <w:rPr>
          <w:rFonts w:hint="eastAsia" w:eastAsia="宋体"/>
          <w:bCs/>
          <w:color w:val="000000" w:themeColor="text1"/>
          <w:highlight w:val="none"/>
          <w:lang w:eastAsia="zh-CN"/>
          <w14:textFill>
            <w14:solidFill>
              <w14:schemeClr w14:val="tx1"/>
            </w14:solidFill>
          </w14:textFill>
        </w:rPr>
        <w:t>）</w:t>
      </w:r>
      <w:r>
        <w:rPr>
          <w:rFonts w:hint="eastAsia"/>
          <w:bCs/>
          <w:color w:val="000000" w:themeColor="text1"/>
          <w:highlight w:val="none"/>
          <w:lang w:eastAsia="zh-CN"/>
          <w14:textFill>
            <w14:solidFill>
              <w14:schemeClr w14:val="tx1"/>
            </w14:solidFill>
          </w14:textFill>
        </w:rPr>
        <w:t>，</w:t>
      </w:r>
      <w:r>
        <w:rPr>
          <w:rFonts w:hint="eastAsia"/>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包</w:t>
      </w:r>
    </w:p>
    <w:p w14:paraId="6059AC81">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不粘连碳氟</w:t>
      </w:r>
      <w:r>
        <w:rPr>
          <w:rFonts w:hint="eastAsia"/>
          <w:bCs/>
          <w:color w:val="000000" w:themeColor="text1"/>
          <w:highlight w:val="none"/>
          <w14:textFill>
            <w14:solidFill>
              <w14:schemeClr w14:val="tx1"/>
            </w14:solidFill>
          </w14:textFill>
        </w:rPr>
        <w:t>O</w:t>
      </w:r>
      <w:r>
        <w:rPr>
          <w:rFonts w:hint="eastAsia" w:ascii="宋体" w:hAnsi="宋体" w:eastAsia="宋体" w:cs="宋体"/>
          <w:bCs/>
          <w:color w:val="000000" w:themeColor="text1"/>
          <w:highlight w:val="none"/>
          <w14:textFill>
            <w14:solidFill>
              <w14:schemeClr w14:val="tx1"/>
            </w14:solidFill>
          </w14:textFill>
        </w:rPr>
        <w:t>形圈</w:t>
      </w:r>
      <w:r>
        <w:rPr>
          <w:rFonts w:hint="eastAsia" w:eastAsia="宋体"/>
          <w:bCs/>
          <w:color w:val="000000" w:themeColor="text1"/>
          <w:highlight w:val="none"/>
          <w:lang w:eastAsia="zh-CN"/>
          <w14:textFill>
            <w14:solidFill>
              <w14:schemeClr w14:val="tx1"/>
            </w14:solidFill>
          </w14:textFill>
        </w:rPr>
        <w:t>（</w:t>
      </w:r>
      <w:r>
        <w:rPr>
          <w:rFonts w:hint="eastAsia"/>
          <w:bCs/>
          <w:color w:val="000000" w:themeColor="text1"/>
          <w:highlight w:val="none"/>
          <w14:textFill>
            <w14:solidFill>
              <w14:schemeClr w14:val="tx1"/>
            </w14:solidFill>
          </w14:textFill>
        </w:rPr>
        <w:t>10/</w:t>
      </w:r>
      <w:r>
        <w:rPr>
          <w:rFonts w:hint="eastAsia" w:ascii="宋体" w:hAnsi="宋体" w:eastAsia="宋体" w:cs="宋体"/>
          <w:bCs/>
          <w:color w:val="000000" w:themeColor="text1"/>
          <w:highlight w:val="none"/>
          <w14:textFill>
            <w14:solidFill>
              <w14:schemeClr w14:val="tx1"/>
            </w14:solidFill>
          </w14:textFill>
        </w:rPr>
        <w:t>包</w:t>
      </w:r>
      <w:r>
        <w:rPr>
          <w:rFonts w:hint="eastAsia" w:eastAsia="宋体"/>
          <w:bCs/>
          <w:color w:val="000000" w:themeColor="text1"/>
          <w:highlight w:val="none"/>
          <w:lang w:eastAsia="zh-CN"/>
          <w14:textFill>
            <w14:solidFill>
              <w14:schemeClr w14:val="tx1"/>
            </w14:solidFill>
          </w14:textFill>
        </w:rPr>
        <w:t>）</w:t>
      </w:r>
      <w:r>
        <w:rPr>
          <w:rFonts w:hint="eastAsia"/>
          <w:bCs/>
          <w:color w:val="000000" w:themeColor="text1"/>
          <w:highlight w:val="none"/>
          <w:lang w:eastAsia="zh-CN"/>
          <w14:textFill>
            <w14:solidFill>
              <w14:schemeClr w14:val="tx1"/>
            </w14:solidFill>
          </w14:textFill>
        </w:rPr>
        <w:t>，</w:t>
      </w:r>
      <w:r>
        <w:rPr>
          <w:rFonts w:hint="eastAsia"/>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包</w:t>
      </w:r>
    </w:p>
    <w:p w14:paraId="249442F3">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毛细管柱</w:t>
      </w:r>
      <w:r>
        <w:rPr>
          <w:rFonts w:hint="eastAsia"/>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14:textFill>
            <w14:solidFill>
              <w14:schemeClr w14:val="tx1"/>
            </w14:solidFill>
          </w14:textFill>
        </w:rPr>
        <w:t>根</w:t>
      </w:r>
    </w:p>
    <w:p w14:paraId="14205D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电脑</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打印机</w:t>
      </w:r>
      <w:r>
        <w:rPr>
          <w:rFonts w:hint="eastAsia" w:ascii="宋体" w:hAnsi="宋体" w:cs="宋体"/>
          <w:bCs/>
          <w:color w:val="000000" w:themeColor="text1"/>
          <w:highlight w:val="none"/>
          <w:lang w:val="en-US" w:eastAsia="zh-CN"/>
          <w14:textFill>
            <w14:solidFill>
              <w14:schemeClr w14:val="tx1"/>
            </w14:solidFill>
          </w14:textFill>
        </w:rPr>
        <w:t>各</w:t>
      </w:r>
      <w:r>
        <w:rPr>
          <w:rFonts w:hint="eastAsia" w:ascii="宋体" w:hAnsi="宋体" w:eastAsia="宋体" w:cs="宋体"/>
          <w:bCs/>
          <w:color w:val="000000" w:themeColor="text1"/>
          <w:highlight w:val="none"/>
          <w14:textFill>
            <w14:solidFill>
              <w14:schemeClr w14:val="tx1"/>
            </w14:solidFill>
          </w14:textFill>
        </w:rPr>
        <w:t>1套</w:t>
      </w:r>
    </w:p>
    <w:p w14:paraId="000D0DFE">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空气发生器</w:t>
      </w:r>
      <w:r>
        <w:rPr>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4693F818">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氢气发生器</w:t>
      </w:r>
      <w:r>
        <w:rPr>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14:textFill>
            <w14:solidFill>
              <w14:schemeClr w14:val="tx1"/>
            </w14:solidFill>
          </w14:textFill>
        </w:rPr>
        <w:t>套</w:t>
      </w:r>
    </w:p>
    <w:p w14:paraId="442C71CE">
      <w:pPr>
        <w:pStyle w:val="310"/>
        <w:keepNext w:val="0"/>
        <w:keepLines w:val="0"/>
        <w:pageBreakBefore w:val="0"/>
        <w:widowControl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b/>
          <w:bCs/>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品目3：</w:t>
      </w:r>
      <w:r>
        <w:rPr>
          <w:rFonts w:hint="eastAsia" w:ascii="宋体" w:hAnsi="宋体" w:eastAsia="宋体" w:cs="宋体"/>
          <w:b/>
          <w:bCs/>
          <w:color w:val="000000" w:themeColor="text1"/>
          <w:spacing w:val="-9"/>
          <w:sz w:val="21"/>
          <w:szCs w:val="21"/>
          <w:highlight w:val="none"/>
          <w14:textFill>
            <w14:solidFill>
              <w14:schemeClr w14:val="tx1"/>
            </w14:solidFill>
          </w14:textFill>
        </w:rPr>
        <w:t>液相色谱仪</w:t>
      </w:r>
    </w:p>
    <w:p w14:paraId="6E035DB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【核心参数】</w:t>
      </w:r>
    </w:p>
    <w:p w14:paraId="607512EB">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★1</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耐压不低于600bar</w:t>
      </w:r>
    </w:p>
    <w:p w14:paraId="0663B690">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★2</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样品位数：＞100，连续自动进样</w:t>
      </w:r>
    </w:p>
    <w:p w14:paraId="3A5F6916">
      <w:pPr>
        <w:tabs>
          <w:tab w:val="left" w:pos="778"/>
        </w:tabs>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二极管阵列检测器波长范围不低于：190-900nm</w:t>
      </w:r>
    </w:p>
    <w:p w14:paraId="794F425C">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★4</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串联双柱塞泵</w:t>
      </w:r>
    </w:p>
    <w:p w14:paraId="6F50C3BE">
      <w:pPr>
        <w:spacing w:line="440" w:lineRule="exact"/>
        <w:ind w:firstLine="42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lang w:val="en-US" w:eastAsia="zh-CN"/>
          <w14:textFill>
            <w14:solidFill>
              <w14:schemeClr w14:val="tx1"/>
            </w14:solidFill>
          </w14:textFill>
        </w:rPr>
        <w:t>5</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配阀功能满足多根色谱柱自动切换</w:t>
      </w:r>
      <w:r>
        <w:rPr>
          <w:rFonts w:hint="eastAsia" w:ascii="宋体" w:hAnsi="宋体" w:eastAsia="宋体" w:cs="宋体"/>
          <w:b/>
          <w:bCs w:val="0"/>
          <w:color w:val="000000" w:themeColor="text1"/>
          <w:highlight w:val="none"/>
          <w14:textFill>
            <w14:solidFill>
              <w14:schemeClr w14:val="tx1"/>
            </w14:solidFill>
          </w14:textFill>
        </w:rPr>
        <w:t>（提供实物图片）</w:t>
      </w:r>
    </w:p>
    <w:p w14:paraId="6C3291E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【重要参数】</w:t>
      </w:r>
    </w:p>
    <w:p w14:paraId="73F606E2">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检测器波长范围不低于：</w:t>
      </w:r>
      <w:r>
        <w:rPr>
          <w:rFonts w:ascii="宋体" w:hAnsi="宋体"/>
          <w:bCs/>
          <w:color w:val="000000" w:themeColor="text1"/>
          <w:szCs w:val="21"/>
          <w:highlight w:val="none"/>
          <w14:textFill>
            <w14:solidFill>
              <w14:schemeClr w14:val="tx1"/>
            </w14:solidFill>
          </w14:textFill>
        </w:rPr>
        <w:t>190-9</w:t>
      </w:r>
      <w:r>
        <w:rPr>
          <w:rFonts w:hint="eastAsia" w:ascii="宋体" w:hAnsi="宋体"/>
          <w:bCs/>
          <w:color w:val="000000" w:themeColor="text1"/>
          <w:szCs w:val="21"/>
          <w:highlight w:val="none"/>
          <w14:textFill>
            <w14:solidFill>
              <w14:schemeClr w14:val="tx1"/>
            </w14:solidFill>
          </w14:textFill>
        </w:rPr>
        <w:t>0</w:t>
      </w:r>
      <w:r>
        <w:rPr>
          <w:rFonts w:ascii="宋体" w:hAnsi="宋体"/>
          <w:bCs/>
          <w:color w:val="000000" w:themeColor="text1"/>
          <w:szCs w:val="21"/>
          <w:highlight w:val="none"/>
          <w14:textFill>
            <w14:solidFill>
              <w14:schemeClr w14:val="tx1"/>
            </w14:solidFill>
          </w14:textFill>
        </w:rPr>
        <w:t>0nm</w:t>
      </w:r>
      <w:r>
        <w:rPr>
          <w:rFonts w:hint="eastAsia" w:ascii="宋体" w:hAnsi="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p>
    <w:p w14:paraId="6014D3ED">
      <w:pPr>
        <w:keepNext w:val="0"/>
        <w:keepLines w:val="0"/>
        <w:pageBreakBefore w:val="0"/>
        <w:widowControl w:val="0"/>
        <w:kinsoku/>
        <w:overflowPunct/>
        <w:topLinePunct w:val="0"/>
        <w:autoSpaceDE/>
        <w:autoSpaceDN/>
        <w:bidi w:val="0"/>
        <w:spacing w:line="360" w:lineRule="auto"/>
        <w:ind w:firstLine="420" w:firstLineChars="200"/>
        <w:jc w:val="left"/>
        <w:textAlignment w:val="auto"/>
        <w:rPr>
          <w:rFonts w:hint="eastAsia" w:ascii="仿宋" w:hAnsi="仿宋" w:cs="仿宋" w:eastAsiaTheme="minorEastAsia"/>
          <w:bCs/>
          <w:color w:val="000000" w:themeColor="text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2</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柱容量：</w:t>
      </w:r>
      <w:r>
        <w:rPr>
          <w:rFonts w:ascii="宋体" w:hAnsi="宋体"/>
          <w:bCs/>
          <w:color w:val="000000" w:themeColor="text1"/>
          <w:szCs w:val="21"/>
          <w:highlight w:val="none"/>
          <w14:textFill>
            <w14:solidFill>
              <w14:schemeClr w14:val="tx1"/>
            </w14:solidFill>
          </w14:textFill>
        </w:rPr>
        <w:t>30</w:t>
      </w:r>
      <w:r>
        <w:rPr>
          <w:rFonts w:hint="eastAsia" w:ascii="宋体" w:hAnsi="宋体"/>
          <w:bCs/>
          <w:color w:val="000000" w:themeColor="text1"/>
          <w:szCs w:val="21"/>
          <w:highlight w:val="none"/>
          <w14:textFill>
            <w14:solidFill>
              <w14:schemeClr w14:val="tx1"/>
            </w14:solidFill>
          </w14:textFill>
        </w:rPr>
        <w:t>cm柱至少容纳4根，</w:t>
      </w:r>
      <w:r>
        <w:rPr>
          <w:rFonts w:ascii="宋体" w:hAnsi="宋体"/>
          <w:bCs/>
          <w:color w:val="000000" w:themeColor="text1"/>
          <w:szCs w:val="21"/>
          <w:highlight w:val="none"/>
          <w14:textFill>
            <w14:solidFill>
              <w14:schemeClr w14:val="tx1"/>
            </w14:solidFill>
          </w14:textFill>
        </w:rPr>
        <w:t>并且每根色谱柱自带预热器</w:t>
      </w:r>
      <w:r>
        <w:rPr>
          <w:rFonts w:hint="eastAsia" w:ascii="宋体" w:hAnsi="宋体"/>
          <w:bCs/>
          <w:color w:val="000000" w:themeColor="text1"/>
          <w:szCs w:val="21"/>
          <w:highlight w:val="none"/>
          <w14:textFill>
            <w14:solidFill>
              <w14:schemeClr w14:val="tx1"/>
            </w14:solidFill>
          </w14:textFill>
        </w:rPr>
        <w:t>；柱温箱</w:t>
      </w:r>
      <w:r>
        <w:rPr>
          <w:rFonts w:ascii="宋体" w:hAnsi="宋体"/>
          <w:bCs/>
          <w:color w:val="000000" w:themeColor="text1"/>
          <w:szCs w:val="21"/>
          <w:highlight w:val="none"/>
          <w14:textFill>
            <w14:solidFill>
              <w14:schemeClr w14:val="tx1"/>
            </w14:solidFill>
          </w14:textFill>
        </w:rPr>
        <w:t>标配制冷功能，</w:t>
      </w:r>
      <w:r>
        <w:rPr>
          <w:rFonts w:ascii="宋体" w:hAnsi="宋体" w:eastAsia="宋体" w:cs="宋体"/>
          <w:bCs/>
          <w:color w:val="000000" w:themeColor="text1"/>
          <w:highlight w:val="none"/>
          <w14:textFill>
            <w14:solidFill>
              <w14:schemeClr w14:val="tx1"/>
            </w14:solidFill>
          </w14:textFill>
        </w:rPr>
        <w:t xml:space="preserve">室温以下10 </w:t>
      </w:r>
      <w:r>
        <w:rPr>
          <w:rFonts w:eastAsia="宋体"/>
          <w:bCs/>
          <w:color w:val="000000" w:themeColor="text1"/>
          <w:highlight w:val="none"/>
          <w14:textFill>
            <w14:solidFill>
              <w14:schemeClr w14:val="tx1"/>
            </w14:solidFill>
          </w14:textFill>
        </w:rPr>
        <w:t>˚</w:t>
      </w:r>
      <w:r>
        <w:rPr>
          <w:rFonts w:ascii="宋体" w:hAnsi="宋体" w:eastAsia="宋体" w:cs="宋体"/>
          <w:bCs/>
          <w:color w:val="000000" w:themeColor="text1"/>
          <w:highlight w:val="none"/>
          <w14:textFill>
            <w14:solidFill>
              <w14:schemeClr w14:val="tx1"/>
            </w14:solidFill>
          </w14:textFill>
        </w:rPr>
        <w:t>C -85</w:t>
      </w:r>
      <w:r>
        <w:rPr>
          <w:rFonts w:eastAsia="宋体"/>
          <w:bCs/>
          <w:color w:val="000000" w:themeColor="text1"/>
          <w:highlight w:val="none"/>
          <w14:textFill>
            <w14:solidFill>
              <w14:schemeClr w14:val="tx1"/>
            </w14:solidFill>
          </w14:textFill>
        </w:rPr>
        <w:t>˚</w:t>
      </w:r>
      <w:r>
        <w:rPr>
          <w:rFonts w:hint="eastAsia" w:ascii="宋体" w:hAnsi="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r>
        <w:rPr>
          <w:rFonts w:hint="eastAsia" w:ascii="宋体" w:hAnsi="宋体"/>
          <w:b/>
          <w:bCs w:val="0"/>
          <w:color w:val="000000" w:themeColor="text1"/>
          <w:szCs w:val="21"/>
          <w:highlight w:val="none"/>
          <w14:textFill>
            <w14:solidFill>
              <w14:schemeClr w14:val="tx1"/>
            </w14:solidFill>
          </w14:textFill>
        </w:rPr>
        <w:t>）</w:t>
      </w:r>
    </w:p>
    <w:p w14:paraId="0327C8F7">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二极管阵列检测器</w:t>
      </w:r>
      <w:r>
        <w:rPr>
          <w:rFonts w:ascii="宋体" w:hAnsi="宋体"/>
          <w:bCs/>
          <w:color w:val="000000" w:themeColor="text1"/>
          <w:szCs w:val="21"/>
          <w:highlight w:val="none"/>
          <w14:textFill>
            <w14:solidFill>
              <w14:schemeClr w14:val="tx1"/>
            </w14:solidFill>
          </w14:textFill>
        </w:rPr>
        <w:t>最大采样速率：120Hz</w:t>
      </w:r>
      <w:r>
        <w:rPr>
          <w:rFonts w:hint="eastAsia" w:ascii="宋体" w:hAnsi="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r>
        <w:rPr>
          <w:rFonts w:ascii="宋体" w:hAnsi="宋体"/>
          <w:b/>
          <w:bCs w:val="0"/>
          <w:color w:val="000000" w:themeColor="text1"/>
          <w:szCs w:val="21"/>
          <w:highlight w:val="none"/>
          <w14:textFill>
            <w14:solidFill>
              <w14:schemeClr w14:val="tx1"/>
            </w14:solidFill>
          </w14:textFill>
        </w:rPr>
        <w:t>）</w:t>
      </w:r>
    </w:p>
    <w:p w14:paraId="6212FEDB">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4</w:t>
      </w:r>
      <w:r>
        <w:rPr>
          <w:rFonts w:hint="eastAsia" w:ascii="宋体" w:hAnsi="宋体" w:eastAsiaTheme="minorEastAsia"/>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荧光检测器光源：氙灯+汞灯，寿命不低于2000h</w:t>
      </w:r>
      <w:r>
        <w:rPr>
          <w:rFonts w:hint="eastAsia" w:ascii="宋体" w:hAnsi="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r>
        <w:rPr>
          <w:rFonts w:hint="eastAsia" w:ascii="宋体" w:hAnsi="宋体"/>
          <w:b/>
          <w:bCs w:val="0"/>
          <w:color w:val="000000" w:themeColor="text1"/>
          <w:szCs w:val="21"/>
          <w:highlight w:val="none"/>
          <w14:textFill>
            <w14:solidFill>
              <w14:schemeClr w14:val="tx1"/>
            </w14:solidFill>
          </w14:textFill>
        </w:rPr>
        <w:t>）</w:t>
      </w:r>
    </w:p>
    <w:p w14:paraId="37EF9CAE">
      <w:pPr>
        <w:keepNext w:val="0"/>
        <w:keepLines w:val="0"/>
        <w:pageBreakBefore w:val="0"/>
        <w:widowControl w:val="0"/>
        <w:kinsoku/>
        <w:wordWrap w:val="0"/>
        <w:overflowPunct/>
        <w:topLinePunct w:val="0"/>
        <w:autoSpaceDE/>
        <w:autoSpaceDN/>
        <w:bidi w:val="0"/>
        <w:adjustRightInd w:val="0"/>
        <w:snapToGrid w:val="0"/>
        <w:spacing w:line="360" w:lineRule="auto"/>
        <w:ind w:right="46" w:rightChars="22" w:firstLine="420" w:firstLineChars="200"/>
        <w:jc w:val="left"/>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5</w:t>
      </w:r>
      <w:r>
        <w:rPr>
          <w:rFonts w:hint="eastAsia" w:ascii="宋体" w:hAnsi="宋体" w:eastAsiaTheme="minorEastAsia"/>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荧光检测器激发波长：200-850 nm或更宽</w:t>
      </w: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发射波长：200-850 nm或更宽</w:t>
      </w:r>
      <w:r>
        <w:rPr>
          <w:rFonts w:hint="eastAsia" w:ascii="宋体" w:hAnsi="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r>
        <w:rPr>
          <w:rFonts w:hint="eastAsia" w:ascii="宋体" w:hAnsi="宋体"/>
          <w:b/>
          <w:bCs w:val="0"/>
          <w:color w:val="000000" w:themeColor="text1"/>
          <w:szCs w:val="21"/>
          <w:highlight w:val="none"/>
          <w14:textFill>
            <w14:solidFill>
              <w14:schemeClr w14:val="tx1"/>
            </w14:solidFill>
          </w14:textFill>
        </w:rPr>
        <w:t>）</w:t>
      </w:r>
    </w:p>
    <w:p w14:paraId="0A9685C4">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仿宋" w:hAnsi="仿宋" w:eastAsia="仿宋" w:cs="仿宋"/>
          <w:bCs/>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6</w:t>
      </w:r>
      <w:r>
        <w:rPr>
          <w:rFonts w:hint="eastAsia" w:ascii="宋体" w:hAnsi="宋体" w:eastAsiaTheme="minorEastAsia"/>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荧光检测器</w:t>
      </w:r>
      <w:r>
        <w:rPr>
          <w:rFonts w:hint="eastAsia" w:ascii="宋体" w:hAnsi="宋体"/>
          <w:bCs/>
          <w:color w:val="000000" w:themeColor="text1"/>
          <w:szCs w:val="21"/>
          <w:highlight w:val="none"/>
          <w14:textFill>
            <w14:solidFill>
              <w14:schemeClr w14:val="tx1"/>
            </w14:solidFill>
          </w14:textFill>
        </w:rPr>
        <w:t>最大数据采集速率：≥1</w:t>
      </w:r>
      <w:r>
        <w:rPr>
          <w:rFonts w:hint="eastAsia" w:ascii="宋体" w:hAnsi="宋体" w:eastAsiaTheme="minorEastAsia"/>
          <w:bCs/>
          <w:color w:val="000000" w:themeColor="text1"/>
          <w:szCs w:val="21"/>
          <w:highlight w:val="none"/>
          <w14:textFill>
            <w14:solidFill>
              <w14:schemeClr w14:val="tx1"/>
            </w14:solidFill>
          </w14:textFill>
        </w:rPr>
        <w:t>0</w:t>
      </w:r>
      <w:r>
        <w:rPr>
          <w:rFonts w:hint="eastAsia" w:ascii="宋体" w:hAnsi="宋体"/>
          <w:bCs/>
          <w:color w:val="000000" w:themeColor="text1"/>
          <w:szCs w:val="21"/>
          <w:highlight w:val="none"/>
          <w14:textFill>
            <w14:solidFill>
              <w14:schemeClr w14:val="tx1"/>
            </w14:solidFill>
          </w14:textFill>
        </w:rPr>
        <w:t>0 Hz</w:t>
      </w:r>
      <w:r>
        <w:rPr>
          <w:rFonts w:hint="eastAsia" w:ascii="宋体" w:hAnsi="宋体"/>
          <w:b/>
          <w:bCs w:val="0"/>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提供厂家官方参数证明资料</w:t>
      </w:r>
      <w:r>
        <w:rPr>
          <w:rFonts w:hint="eastAsia" w:ascii="宋体" w:hAnsi="宋体"/>
          <w:b/>
          <w:bCs w:val="0"/>
          <w:color w:val="000000" w:themeColor="text1"/>
          <w:szCs w:val="21"/>
          <w:highlight w:val="none"/>
          <w14:textFill>
            <w14:solidFill>
              <w14:schemeClr w14:val="tx1"/>
            </w14:solidFill>
          </w14:textFill>
        </w:rPr>
        <w:t>）</w:t>
      </w:r>
    </w:p>
    <w:p w14:paraId="0381DB37">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Theme="minorEastAsia"/>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7</w:t>
      </w:r>
      <w:r>
        <w:rPr>
          <w:rFonts w:hint="eastAsia" w:ascii="宋体" w:hAnsi="宋体" w:eastAsiaTheme="minorEastAsia"/>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自动进样器样品位不低于1</w:t>
      </w:r>
      <w:r>
        <w:rPr>
          <w:rFonts w:hint="eastAsia" w:ascii="宋体" w:hAnsi="宋体" w:eastAsiaTheme="minorEastAsia"/>
          <w:bCs/>
          <w:color w:val="000000" w:themeColor="text1"/>
          <w:szCs w:val="21"/>
          <w:highlight w:val="none"/>
          <w14:textFill>
            <w14:solidFill>
              <w14:schemeClr w14:val="tx1"/>
            </w14:solidFill>
          </w14:textFill>
        </w:rPr>
        <w:t>0</w:t>
      </w:r>
      <w:r>
        <w:rPr>
          <w:rFonts w:hint="eastAsia" w:ascii="宋体" w:hAnsi="宋体"/>
          <w:bCs/>
          <w:color w:val="000000" w:themeColor="text1"/>
          <w:szCs w:val="21"/>
          <w:highlight w:val="none"/>
          <w14:textFill>
            <w14:solidFill>
              <w14:schemeClr w14:val="tx1"/>
            </w14:solidFill>
          </w14:textFill>
        </w:rPr>
        <w:t>0位；进样量：0.1～100uL</w:t>
      </w:r>
      <w:r>
        <w:rPr>
          <w:rFonts w:hint="eastAsia" w:ascii="宋体" w:hAnsi="宋体" w:eastAsiaTheme="minorEastAsia"/>
          <w:b/>
          <w:bCs w:val="0"/>
          <w:color w:val="000000" w:themeColor="text1"/>
          <w:szCs w:val="21"/>
          <w:highlight w:val="none"/>
          <w:lang w:eastAsia="zh-CN"/>
          <w14:textFill>
            <w14:solidFill>
              <w14:schemeClr w14:val="tx1"/>
            </w14:solidFill>
          </w14:textFill>
        </w:rPr>
        <w:t>（</w:t>
      </w:r>
      <w:r>
        <w:rPr>
          <w:rFonts w:hint="eastAsia" w:ascii="宋体" w:hAnsi="宋体" w:eastAsiaTheme="minorEastAsia"/>
          <w:b/>
          <w:bCs w:val="0"/>
          <w:color w:val="000000" w:themeColor="text1"/>
          <w:szCs w:val="21"/>
          <w:highlight w:val="none"/>
          <w14:textFill>
            <w14:solidFill>
              <w14:schemeClr w14:val="tx1"/>
            </w14:solidFill>
          </w14:textFill>
        </w:rPr>
        <w:t>提供</w:t>
      </w:r>
      <w:r>
        <w:rPr>
          <w:rFonts w:ascii="宋体" w:hAnsi="宋体"/>
          <w:b/>
          <w:bCs w:val="0"/>
          <w:color w:val="000000" w:themeColor="text1"/>
          <w:szCs w:val="21"/>
          <w:highlight w:val="none"/>
          <w14:textFill>
            <w14:solidFill>
              <w14:schemeClr w14:val="tx1"/>
            </w14:solidFill>
          </w14:textFill>
        </w:rPr>
        <w:t>软件截图</w:t>
      </w:r>
      <w:r>
        <w:rPr>
          <w:rFonts w:hint="eastAsia" w:ascii="宋体" w:hAnsi="宋体" w:eastAsiaTheme="minorEastAsia"/>
          <w:b/>
          <w:bCs w:val="0"/>
          <w:color w:val="000000" w:themeColor="text1"/>
          <w:szCs w:val="21"/>
          <w:highlight w:val="none"/>
          <w:lang w:eastAsia="zh-CN"/>
          <w14:textFill>
            <w14:solidFill>
              <w14:schemeClr w14:val="tx1"/>
            </w14:solidFill>
          </w14:textFill>
        </w:rPr>
        <w:t>）</w:t>
      </w:r>
      <w:r>
        <w:rPr>
          <w:rFonts w:hint="eastAsia" w:ascii="宋体" w:hAnsi="宋体" w:eastAsiaTheme="minorEastAsia"/>
          <w:bCs/>
          <w:color w:val="000000" w:themeColor="text1"/>
          <w:szCs w:val="21"/>
          <w:highlight w:val="none"/>
          <w:lang w:eastAsia="zh-CN"/>
          <w14:textFill>
            <w14:solidFill>
              <w14:schemeClr w14:val="tx1"/>
            </w14:solidFill>
          </w14:textFill>
        </w:rPr>
        <w:t>；</w:t>
      </w:r>
    </w:p>
    <w:p w14:paraId="21A72F46">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Theme="minorEastAsia"/>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8</w:t>
      </w:r>
      <w:r>
        <w:rPr>
          <w:rFonts w:hint="eastAsia" w:ascii="宋体" w:hAnsi="宋体" w:eastAsiaTheme="minorEastAsia"/>
          <w:bCs/>
          <w:color w:val="000000" w:themeColor="text1"/>
          <w:szCs w:val="21"/>
          <w:highlight w:val="none"/>
          <w:lang w:eastAsia="zh-CN"/>
          <w14:textFill>
            <w14:solidFill>
              <w14:schemeClr w14:val="tx1"/>
            </w14:solidFill>
          </w14:textFill>
        </w:rPr>
        <w:t>、</w:t>
      </w:r>
      <w:r>
        <w:rPr>
          <w:rFonts w:ascii="宋体" w:hAnsi="宋体" w:eastAsiaTheme="minorEastAsia"/>
          <w:bCs/>
          <w:color w:val="000000" w:themeColor="text1"/>
          <w:szCs w:val="21"/>
          <w:highlight w:val="none"/>
          <w14:textFill>
            <w14:solidFill>
              <w14:schemeClr w14:val="tx1"/>
            </w14:solidFill>
          </w14:textFill>
        </w:rPr>
        <w:t>具备自动配置标曲功能，可自动稀释样品，线性达到99.9%以上；</w:t>
      </w:r>
      <w:r>
        <w:rPr>
          <w:rFonts w:ascii="宋体" w:hAnsi="宋体"/>
          <w:bCs/>
          <w:color w:val="000000" w:themeColor="text1"/>
          <w:szCs w:val="21"/>
          <w:highlight w:val="none"/>
          <w14:textFill>
            <w14:solidFill>
              <w14:schemeClr w14:val="tx1"/>
            </w14:solidFill>
          </w14:textFill>
        </w:rPr>
        <w:t>具有编程进样功能满足氨基酸自动衍生化功能，具有柱前衍生、柱前样品自动稀释、自动混合等复杂进样功能</w:t>
      </w:r>
      <w:r>
        <w:rPr>
          <w:rFonts w:ascii="宋体" w:hAnsi="宋体"/>
          <w:b/>
          <w:bCs w:val="0"/>
          <w:color w:val="000000" w:themeColor="text1"/>
          <w:szCs w:val="21"/>
          <w:highlight w:val="none"/>
          <w14:textFill>
            <w14:solidFill>
              <w14:schemeClr w14:val="tx1"/>
            </w14:solidFill>
          </w14:textFill>
        </w:rPr>
        <w:t>（提供</w:t>
      </w:r>
      <w:r>
        <w:rPr>
          <w:rFonts w:hint="eastAsia" w:ascii="宋体" w:hAnsi="宋体"/>
          <w:b/>
          <w:bCs w:val="0"/>
          <w:color w:val="000000" w:themeColor="text1"/>
          <w:szCs w:val="21"/>
          <w:highlight w:val="none"/>
          <w14:textFill>
            <w14:solidFill>
              <w14:schemeClr w14:val="tx1"/>
            </w14:solidFill>
          </w14:textFill>
        </w:rPr>
        <w:t>厂家</w:t>
      </w:r>
      <w:r>
        <w:rPr>
          <w:rFonts w:ascii="宋体" w:hAnsi="宋体"/>
          <w:b/>
          <w:bCs w:val="0"/>
          <w:color w:val="000000" w:themeColor="text1"/>
          <w:szCs w:val="21"/>
          <w:highlight w:val="none"/>
          <w14:textFill>
            <w14:solidFill>
              <w14:schemeClr w14:val="tx1"/>
            </w14:solidFill>
          </w14:textFill>
        </w:rPr>
        <w:t>应用资料证明文件）</w:t>
      </w:r>
    </w:p>
    <w:p w14:paraId="3F03B1D0">
      <w:pPr>
        <w:keepNext w:val="0"/>
        <w:keepLines w:val="0"/>
        <w:pageBreakBefore w:val="0"/>
        <w:widowControl w:val="0"/>
        <w:kinsoku/>
        <w:wordWrap w:val="0"/>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9</w:t>
      </w:r>
      <w:r>
        <w:rPr>
          <w:rFonts w:hint="eastAsia" w:ascii="宋体" w:hAnsi="宋体" w:eastAsiaTheme="minorEastAsia"/>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验收指标：着色剂方法符合GB5009.35-2023验收快速方法16.5min</w:t>
      </w:r>
      <w:r>
        <w:rPr>
          <w:rFonts w:hint="eastAsia" w:ascii="宋体" w:hAnsi="宋体" w:eastAsia="宋体" w:cs="宋体"/>
          <w:bCs/>
          <w:color w:val="000000" w:themeColor="text1"/>
          <w:szCs w:val="21"/>
          <w:highlight w:val="none"/>
          <w14:textFill>
            <w14:solidFill>
              <w14:schemeClr w14:val="tx1"/>
            </w14:solidFill>
          </w14:textFill>
        </w:rPr>
        <w:t>内分析完成</w:t>
      </w:r>
      <w:r>
        <w:rPr>
          <w:rFonts w:hint="eastAsia" w:ascii="宋体" w:hAnsi="宋体" w:eastAsia="宋体" w:cs="宋体"/>
          <w:b/>
          <w:bCs w:val="0"/>
          <w:color w:val="000000" w:themeColor="text1"/>
          <w:szCs w:val="21"/>
          <w:highlight w:val="none"/>
          <w14:textFill>
            <w14:solidFill>
              <w14:schemeClr w14:val="tx1"/>
            </w14:solidFill>
          </w14:textFill>
        </w:rPr>
        <w:t>（</w:t>
      </w:r>
      <w:r>
        <w:rPr>
          <w:rFonts w:hint="eastAsia" w:ascii="宋体" w:hAnsi="宋体"/>
          <w:b/>
          <w:bCs w:val="0"/>
          <w:color w:val="000000" w:themeColor="text1"/>
          <w:szCs w:val="21"/>
          <w:highlight w:val="none"/>
          <w14:textFill>
            <w14:solidFill>
              <w14:schemeClr w14:val="tx1"/>
            </w14:solidFill>
          </w14:textFill>
        </w:rPr>
        <w:t>提供谱图证明</w:t>
      </w:r>
      <w:r>
        <w:rPr>
          <w:rFonts w:hint="eastAsia" w:ascii="宋体" w:hAnsi="宋体" w:eastAsia="宋体" w:cs="宋体"/>
          <w:b/>
          <w:bCs w:val="0"/>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w:t>
      </w:r>
    </w:p>
    <w:p w14:paraId="6AEB62C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highlight w:val="none"/>
          <w:lang w:eastAsia="zh-CN"/>
          <w14:textFill>
            <w14:solidFill>
              <w14:schemeClr w14:val="tx1"/>
            </w14:solidFill>
          </w14:textFill>
        </w:rPr>
        <w:t>【一般参数】</w:t>
      </w:r>
    </w:p>
    <w:p w14:paraId="1EF818DA">
      <w:pPr>
        <w:keepNext w:val="0"/>
        <w:keepLines w:val="0"/>
        <w:pageBreakBefore w:val="0"/>
        <w:widowControl w:val="0"/>
        <w:kinsoku/>
        <w:overflowPunct/>
        <w:topLinePunct w:val="0"/>
        <w:autoSpaceDE/>
        <w:autoSpaceDN/>
        <w:bidi w:val="0"/>
        <w:spacing w:line="360" w:lineRule="auto"/>
        <w:ind w:firstLine="422" w:firstLineChars="200"/>
        <w:textAlignment w:val="auto"/>
        <w:rPr>
          <w:bCs/>
          <w:color w:val="000000" w:themeColor="text1"/>
          <w:highlight w:val="none"/>
          <w14:textFill>
            <w14:solidFill>
              <w14:schemeClr w14:val="tx1"/>
            </w14:solidFill>
          </w14:textFill>
        </w:rPr>
      </w:pPr>
      <w:r>
        <w:rPr>
          <w:rFonts w:hint="eastAsia"/>
          <w:b/>
          <w:bCs w:val="0"/>
          <w:color w:val="000000" w:themeColor="text1"/>
          <w:highlight w:val="none"/>
          <w14:textFill>
            <w14:solidFill>
              <w14:schemeClr w14:val="tx1"/>
            </w14:solidFill>
          </w14:textFill>
        </w:rPr>
        <w:t>1</w:t>
      </w:r>
      <w:r>
        <w:rPr>
          <w:rFonts w:hint="eastAsia"/>
          <w:b/>
          <w:bCs w:val="0"/>
          <w:color w:val="000000" w:themeColor="text1"/>
          <w:highlight w:val="none"/>
          <w:lang w:eastAsia="zh-CN"/>
          <w14:textFill>
            <w14:solidFill>
              <w14:schemeClr w14:val="tx1"/>
            </w14:solidFill>
          </w14:textFill>
        </w:rPr>
        <w:t>、</w:t>
      </w:r>
      <w:r>
        <w:rPr>
          <w:rFonts w:hint="eastAsia" w:ascii="宋体" w:hAnsi="宋体" w:eastAsia="宋体" w:cs="宋体"/>
          <w:b/>
          <w:bCs w:val="0"/>
          <w:color w:val="000000" w:themeColor="text1"/>
          <w:highlight w:val="none"/>
          <w14:textFill>
            <w14:solidFill>
              <w14:schemeClr w14:val="tx1"/>
            </w14:solidFill>
          </w14:textFill>
        </w:rPr>
        <w:t>工作条件</w:t>
      </w:r>
    </w:p>
    <w:p w14:paraId="08B5DFAC">
      <w:pPr>
        <w:keepNext w:val="0"/>
        <w:keepLines w:val="0"/>
        <w:pageBreakBefore w:val="0"/>
        <w:widowControl w:val="0"/>
        <w:kinsoku/>
        <w:overflowPunct/>
        <w:topLinePunct w:val="0"/>
        <w:autoSpaceDE/>
        <w:autoSpaceDN/>
        <w:bidi w:val="0"/>
        <w:spacing w:line="360" w:lineRule="auto"/>
        <w:ind w:firstLine="420" w:firstLineChars="200"/>
        <w:textAlignment w:val="auto"/>
        <w:rPr>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电源：</w:t>
      </w:r>
      <w:r>
        <w:rPr>
          <w:bCs/>
          <w:color w:val="000000" w:themeColor="text1"/>
          <w:highlight w:val="none"/>
          <w14:textFill>
            <w14:solidFill>
              <w14:schemeClr w14:val="tx1"/>
            </w14:solidFill>
          </w14:textFill>
        </w:rPr>
        <w:t>220V</w:t>
      </w:r>
      <w:r>
        <w:rPr>
          <w:rFonts w:hint="eastAsia" w:ascii="宋体" w:hAnsi="宋体" w:eastAsia="宋体" w:cs="宋体"/>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50Hz</w:t>
      </w:r>
      <w:r>
        <w:rPr>
          <w:rFonts w:hint="eastAsia" w:ascii="宋体" w:hAnsi="宋体" w:eastAsia="宋体" w:cs="宋体"/>
          <w:bCs/>
          <w:color w:val="000000" w:themeColor="text1"/>
          <w:highlight w:val="none"/>
          <w14:textFill>
            <w14:solidFill>
              <w14:schemeClr w14:val="tx1"/>
            </w14:solidFill>
          </w14:textFill>
        </w:rPr>
        <w:t>；温度：操作环境</w:t>
      </w:r>
      <w:r>
        <w:rPr>
          <w:bCs/>
          <w:color w:val="000000" w:themeColor="text1"/>
          <w:highlight w:val="none"/>
          <w14:textFill>
            <w14:solidFill>
              <w14:schemeClr w14:val="tx1"/>
            </w14:solidFill>
          </w14:textFill>
        </w:rPr>
        <w:t>15˚C-35˚C</w:t>
      </w:r>
      <w:r>
        <w:rPr>
          <w:rFonts w:hint="eastAsia" w:eastAsiaTheme="minorEastAsia"/>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湿度：操作状态</w:t>
      </w:r>
      <w:r>
        <w:rPr>
          <w:bCs/>
          <w:color w:val="000000" w:themeColor="text1"/>
          <w:highlight w:val="none"/>
          <w14:textFill>
            <w14:solidFill>
              <w14:schemeClr w14:val="tx1"/>
            </w14:solidFill>
          </w14:textFill>
        </w:rPr>
        <w:t>25-50%</w:t>
      </w:r>
      <w:r>
        <w:rPr>
          <w:rFonts w:hint="eastAsia" w:ascii="宋体" w:hAnsi="宋体" w:eastAsia="宋体" w:cs="宋体"/>
          <w:bCs/>
          <w:color w:val="000000" w:themeColor="text1"/>
          <w:highlight w:val="none"/>
          <w14:textFill>
            <w14:solidFill>
              <w14:schemeClr w14:val="tx1"/>
            </w14:solidFill>
          </w14:textFill>
        </w:rPr>
        <w:t>，非操作状态</w:t>
      </w:r>
      <w:r>
        <w:rPr>
          <w:bCs/>
          <w:color w:val="000000" w:themeColor="text1"/>
          <w:highlight w:val="none"/>
          <w14:textFill>
            <w14:solidFill>
              <w14:schemeClr w14:val="tx1"/>
            </w14:solidFill>
          </w14:textFill>
        </w:rPr>
        <w:t>10-95%</w:t>
      </w:r>
    </w:p>
    <w:p w14:paraId="49C3122C">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2</w:t>
      </w:r>
      <w:r>
        <w:rPr>
          <w:rFonts w:hint="eastAsia" w:ascii="宋体" w:hAnsi="宋体"/>
          <w:b/>
          <w:bCs w:val="0"/>
          <w:color w:val="000000" w:themeColor="text1"/>
          <w:szCs w:val="21"/>
          <w:highlight w:val="none"/>
          <w:lang w:eastAsia="zh-CN"/>
          <w14:textFill>
            <w14:solidFill>
              <w14:schemeClr w14:val="tx1"/>
            </w14:solidFill>
          </w14:textFill>
        </w:rPr>
        <w:t>、</w:t>
      </w:r>
      <w:r>
        <w:rPr>
          <w:rFonts w:hint="eastAsia" w:ascii="宋体" w:hAnsi="宋体"/>
          <w:b/>
          <w:bCs w:val="0"/>
          <w:color w:val="000000" w:themeColor="text1"/>
          <w:szCs w:val="21"/>
          <w:highlight w:val="none"/>
          <w14:textFill>
            <w14:solidFill>
              <w14:schemeClr w14:val="tx1"/>
            </w14:solidFill>
          </w14:textFill>
        </w:rPr>
        <w:t>四元梯度泵</w:t>
      </w:r>
    </w:p>
    <w:p w14:paraId="590DB8DD">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自动柱塞清洗装置，有效防止高盐浓度流动相对柱塞的磨损，实时维护泵的使用性能</w:t>
      </w:r>
    </w:p>
    <w:p w14:paraId="05F252F9">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流量范围：0.001mL/min～10.0mL/min，递增率0.001mL/min</w:t>
      </w:r>
      <w:r>
        <w:rPr>
          <w:rFonts w:hint="eastAsia" w:ascii="宋体" w:hAnsi="宋体" w:eastAsia="宋体" w:cs="宋体"/>
          <w:bCs/>
          <w:color w:val="000000" w:themeColor="text1"/>
          <w:szCs w:val="21"/>
          <w:highlight w:val="none"/>
          <w14:textFill>
            <w14:solidFill>
              <w14:schemeClr w14:val="tx1"/>
            </w14:solidFill>
          </w14:textFill>
        </w:rPr>
        <w:t>，</w:t>
      </w:r>
      <w:r>
        <w:rPr>
          <w:rFonts w:ascii="宋体" w:hAnsi="宋体" w:eastAsia="宋体" w:cs="宋体"/>
          <w:bCs/>
          <w:color w:val="000000" w:themeColor="text1"/>
          <w:szCs w:val="21"/>
          <w:highlight w:val="none"/>
          <w14:textFill>
            <w14:solidFill>
              <w14:schemeClr w14:val="tx1"/>
            </w14:solidFill>
          </w14:textFill>
        </w:rPr>
        <w:t>流量精度：≤0.072%RSD</w:t>
      </w:r>
    </w:p>
    <w:p w14:paraId="19A758D7">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压力范围：0～</w:t>
      </w:r>
      <w:r>
        <w:rPr>
          <w:rFonts w:hint="eastAsia" w:ascii="宋体" w:hAnsi="宋体" w:eastAsiaTheme="minorEastAsia"/>
          <w:bCs/>
          <w:color w:val="000000" w:themeColor="text1"/>
          <w:szCs w:val="21"/>
          <w:highlight w:val="none"/>
          <w14:textFill>
            <w14:solidFill>
              <w14:schemeClr w14:val="tx1"/>
            </w14:solidFill>
          </w14:textFill>
        </w:rPr>
        <w:t>6</w:t>
      </w:r>
      <w:r>
        <w:rPr>
          <w:rFonts w:hint="eastAsia" w:ascii="宋体" w:hAnsi="宋体"/>
          <w:bCs/>
          <w:color w:val="000000" w:themeColor="text1"/>
          <w:szCs w:val="21"/>
          <w:highlight w:val="none"/>
          <w14:textFill>
            <w14:solidFill>
              <w14:schemeClr w14:val="tx1"/>
            </w14:solidFill>
          </w14:textFill>
        </w:rPr>
        <w:t>00bar</w:t>
      </w:r>
    </w:p>
    <w:p w14:paraId="7A270B49">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梯度洗脱：0～100%，最小递增率为0.1%</w:t>
      </w:r>
      <w:r>
        <w:rPr>
          <w:rFonts w:hint="eastAsia" w:ascii="宋体" w:hAnsi="宋体" w:eastAsia="宋体" w:cs="宋体"/>
          <w:bCs/>
          <w:color w:val="000000" w:themeColor="text1"/>
          <w:szCs w:val="21"/>
          <w:highlight w:val="none"/>
          <w14:textFill>
            <w14:solidFill>
              <w14:schemeClr w14:val="tx1"/>
            </w14:solidFill>
          </w14:textFill>
        </w:rPr>
        <w:t>，</w:t>
      </w:r>
      <w:r>
        <w:rPr>
          <w:rFonts w:ascii="宋体" w:hAnsi="宋体" w:eastAsia="宋体" w:cs="宋体"/>
          <w:bCs/>
          <w:color w:val="000000" w:themeColor="text1"/>
          <w:szCs w:val="21"/>
          <w:highlight w:val="none"/>
          <w14:textFill>
            <w14:solidFill>
              <w14:schemeClr w14:val="tx1"/>
            </w14:solidFill>
          </w14:textFill>
        </w:rPr>
        <w:t>梯度准确度±0.5%，不随反压变化；梯度精度：±0.20%RSD</w:t>
      </w:r>
    </w:p>
    <w:p w14:paraId="02204CDA">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3、</w:t>
      </w:r>
      <w:r>
        <w:rPr>
          <w:rFonts w:hint="eastAsia" w:ascii="宋体" w:hAnsi="宋体"/>
          <w:b/>
          <w:bCs w:val="0"/>
          <w:color w:val="000000" w:themeColor="text1"/>
          <w:szCs w:val="21"/>
          <w:highlight w:val="none"/>
          <w14:textFill>
            <w14:solidFill>
              <w14:schemeClr w14:val="tx1"/>
            </w14:solidFill>
          </w14:textFill>
        </w:rPr>
        <w:t>智能化温控柱箱</w:t>
      </w:r>
    </w:p>
    <w:p w14:paraId="7EDB2504">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温度稳定性：</w:t>
      </w:r>
      <w:r>
        <w:rPr>
          <w:rFonts w:ascii="宋体" w:hAnsi="宋体"/>
          <w:bCs/>
          <w:color w:val="000000" w:themeColor="text1"/>
          <w:szCs w:val="21"/>
          <w:highlight w:val="none"/>
          <w14:textFill>
            <w14:solidFill>
              <w14:schemeClr w14:val="tx1"/>
            </w14:solidFill>
          </w14:textFill>
        </w:rPr>
        <w:t>&lt;±0.15</w:t>
      </w:r>
      <w:r>
        <w:rPr>
          <w:rFonts w:hint="eastAsia" w:ascii="微软雅黑" w:hAnsi="微软雅黑" w:eastAsia="微软雅黑" w:cs="微软雅黑"/>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C</w:t>
      </w: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温度准确度：±</w:t>
      </w:r>
      <w:r>
        <w:rPr>
          <w:rFonts w:ascii="宋体" w:hAnsi="宋体"/>
          <w:bCs/>
          <w:color w:val="000000" w:themeColor="text1"/>
          <w:szCs w:val="21"/>
          <w:highlight w:val="none"/>
          <w14:textFill>
            <w14:solidFill>
              <w14:schemeClr w14:val="tx1"/>
            </w14:solidFill>
          </w14:textFill>
        </w:rPr>
        <w:t>0.5</w:t>
      </w:r>
      <w:r>
        <w:rPr>
          <w:rFonts w:hint="eastAsia" w:ascii="微软雅黑" w:hAnsi="微软雅黑" w:eastAsia="微软雅黑" w:cs="微软雅黑"/>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C</w:t>
      </w:r>
    </w:p>
    <w:p w14:paraId="3D953CA5">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半导体控温，有流动相预加热功能；双温控区，同一柱箱可以左右同时设定不同的温</w:t>
      </w:r>
    </w:p>
    <w:p w14:paraId="7B9477AD">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4、</w:t>
      </w:r>
      <w:r>
        <w:rPr>
          <w:rFonts w:hint="eastAsia" w:ascii="宋体" w:hAnsi="宋体"/>
          <w:b/>
          <w:bCs w:val="0"/>
          <w:color w:val="000000" w:themeColor="text1"/>
          <w:szCs w:val="21"/>
          <w:highlight w:val="none"/>
          <w14:textFill>
            <w14:solidFill>
              <w14:schemeClr w14:val="tx1"/>
            </w14:solidFill>
          </w14:textFill>
        </w:rPr>
        <w:t>在线真空脱气机</w:t>
      </w:r>
    </w:p>
    <w:p w14:paraId="06BA6066">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流速：四通路在线真空膜过滤技术，内置真空泵，压力传感器，连续真空运行，实时监控真空腔压力变化</w:t>
      </w:r>
    </w:p>
    <w:p w14:paraId="63710A6B">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5、</w:t>
      </w:r>
      <w:r>
        <w:rPr>
          <w:rFonts w:hint="eastAsia" w:ascii="宋体" w:hAnsi="宋体"/>
          <w:b/>
          <w:bCs w:val="0"/>
          <w:color w:val="000000" w:themeColor="text1"/>
          <w:szCs w:val="21"/>
          <w:highlight w:val="none"/>
          <w14:textFill>
            <w14:solidFill>
              <w14:schemeClr w14:val="tx1"/>
            </w14:solidFill>
          </w14:textFill>
        </w:rPr>
        <w:t>检测器</w:t>
      </w:r>
    </w:p>
    <w:p w14:paraId="138BF9C8">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ascii="宋体" w:hAnsi="宋体"/>
          <w:b/>
          <w:bCs w:val="0"/>
          <w:color w:val="000000" w:themeColor="text1"/>
          <w:szCs w:val="21"/>
          <w:highlight w:val="none"/>
          <w14:textFill>
            <w14:solidFill>
              <w14:schemeClr w14:val="tx1"/>
            </w14:solidFill>
          </w14:textFill>
        </w:rPr>
        <w:t>二极管阵列检测器</w:t>
      </w:r>
      <w:r>
        <w:rPr>
          <w:rFonts w:hint="eastAsia" w:ascii="宋体" w:hAnsi="宋体"/>
          <w:b/>
          <w:bCs w:val="0"/>
          <w:color w:val="000000" w:themeColor="text1"/>
          <w:szCs w:val="21"/>
          <w:highlight w:val="none"/>
          <w:lang w:eastAsia="zh-CN"/>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灯源：氘灯</w:t>
      </w:r>
      <w:r>
        <w:rPr>
          <w:rFonts w:hint="eastAsia" w:ascii="宋体" w:hAnsi="宋体"/>
          <w:bCs/>
          <w:color w:val="000000" w:themeColor="text1"/>
          <w:szCs w:val="21"/>
          <w:highlight w:val="none"/>
          <w14:textFill>
            <w14:solidFill>
              <w14:schemeClr w14:val="tx1"/>
            </w14:solidFill>
          </w14:textFill>
        </w:rPr>
        <w:t>和钨灯</w:t>
      </w:r>
      <w:bookmarkStart w:id="84" w:name="_Hlk119265962"/>
      <w:r>
        <w:rPr>
          <w:rFonts w:hint="eastAsia" w:ascii="宋体" w:hAnsi="宋体"/>
          <w:bCs/>
          <w:color w:val="000000" w:themeColor="text1"/>
          <w:szCs w:val="21"/>
          <w:highlight w:val="none"/>
          <w:lang w:eastAsia="zh-CN"/>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波长精度：&lt;±0.1 nm</w:t>
      </w:r>
      <w:r>
        <w:rPr>
          <w:rFonts w:hint="eastAsia" w:ascii="宋体" w:hAnsi="宋体"/>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噪音：&lt;±0.</w:t>
      </w:r>
      <w:r>
        <w:rPr>
          <w:rFonts w:hint="eastAsia" w:ascii="宋体" w:hAnsi="宋体"/>
          <w:bCs/>
          <w:color w:val="000000" w:themeColor="text1"/>
          <w:szCs w:val="21"/>
          <w:highlight w:val="none"/>
          <w14:textFill>
            <w14:solidFill>
              <w14:schemeClr w14:val="tx1"/>
            </w14:solidFill>
          </w14:textFill>
        </w:rPr>
        <w:t>7</w:t>
      </w:r>
      <w:r>
        <w:rPr>
          <w:rFonts w:ascii="宋体" w:hAnsi="宋体"/>
          <w:bCs/>
          <w:color w:val="000000" w:themeColor="text1"/>
          <w:szCs w:val="21"/>
          <w:highlight w:val="none"/>
          <w14:textFill>
            <w14:solidFill>
              <w14:schemeClr w14:val="tx1"/>
            </w14:solidFill>
          </w14:textFill>
        </w:rPr>
        <w:t>·10-5 AU， 2</w:t>
      </w:r>
      <w:r>
        <w:rPr>
          <w:rFonts w:hint="eastAsia" w:ascii="宋体" w:hAnsi="宋体"/>
          <w:bCs/>
          <w:color w:val="000000" w:themeColor="text1"/>
          <w:szCs w:val="21"/>
          <w:highlight w:val="none"/>
          <w14:textFill>
            <w14:solidFill>
              <w14:schemeClr w14:val="tx1"/>
            </w14:solidFill>
          </w14:textFill>
        </w:rPr>
        <w:t>54</w:t>
      </w:r>
      <w:r>
        <w:rPr>
          <w:rFonts w:ascii="宋体" w:hAnsi="宋体"/>
          <w:bCs/>
          <w:color w:val="000000" w:themeColor="text1"/>
          <w:szCs w:val="21"/>
          <w:highlight w:val="none"/>
          <w14:textFill>
            <w14:solidFill>
              <w14:schemeClr w14:val="tx1"/>
            </w14:solidFill>
          </w14:textFill>
        </w:rPr>
        <w:t xml:space="preserve"> nm （单波长检测</w:t>
      </w:r>
      <w:bookmarkEnd w:id="84"/>
      <w:r>
        <w:rPr>
          <w:rFonts w:ascii="宋体" w:hAnsi="宋体"/>
          <w:bCs/>
          <w:color w:val="000000" w:themeColor="text1"/>
          <w:szCs w:val="21"/>
          <w:highlight w:val="none"/>
          <w14:textFill>
            <w14:solidFill>
              <w14:schemeClr w14:val="tx1"/>
            </w14:solidFill>
          </w14:textFill>
        </w:rPr>
        <w:t>）</w:t>
      </w:r>
    </w:p>
    <w:p w14:paraId="5FAD8CCE">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示差检测器</w:t>
      </w:r>
      <w:r>
        <w:rPr>
          <w:rFonts w:hint="eastAsia" w:ascii="宋体" w:hAnsi="宋体"/>
          <w:b/>
          <w:bCs w:val="0"/>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短期噪音：&lt;±1.25·10-9 RIU</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最大数据采集速率不低于70 Hz</w:t>
      </w:r>
    </w:p>
    <w:p w14:paraId="6B0E1522">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14:textFill>
            <w14:solidFill>
              <w14:schemeClr w14:val="tx1"/>
            </w14:solidFill>
          </w14:textFill>
        </w:rPr>
        <w:t>荧光检测器</w:t>
      </w:r>
    </w:p>
    <w:p w14:paraId="4E97C624">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仿宋" w:hAnsi="仿宋" w:eastAsia="仿宋" w:cs="仿宋"/>
          <w:b/>
          <w:bCs w:val="0"/>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流通池耐压：≥</w:t>
      </w:r>
      <w:r>
        <w:rPr>
          <w:rFonts w:hint="eastAsia" w:ascii="宋体" w:hAnsi="宋体" w:eastAsiaTheme="minorEastAsia"/>
          <w:bCs/>
          <w:color w:val="000000" w:themeColor="text1"/>
          <w:szCs w:val="21"/>
          <w:highlight w:val="none"/>
          <w14:textFill>
            <w14:solidFill>
              <w14:schemeClr w14:val="tx1"/>
            </w14:solidFill>
          </w14:textFill>
        </w:rPr>
        <w:t>3</w:t>
      </w:r>
      <w:r>
        <w:rPr>
          <w:rFonts w:hint="eastAsia" w:ascii="宋体" w:hAnsi="宋体"/>
          <w:bCs/>
          <w:color w:val="000000" w:themeColor="text1"/>
          <w:szCs w:val="21"/>
          <w:highlight w:val="none"/>
          <w14:textFill>
            <w14:solidFill>
              <w14:schemeClr w14:val="tx1"/>
            </w14:solidFill>
          </w14:textFill>
        </w:rPr>
        <w:t>0Bar，可直接与质谱仪串联使用</w:t>
      </w:r>
    </w:p>
    <w:p w14:paraId="24A53314">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6、</w:t>
      </w:r>
      <w:r>
        <w:rPr>
          <w:rFonts w:hint="eastAsia" w:ascii="宋体" w:hAnsi="宋体"/>
          <w:b/>
          <w:bCs w:val="0"/>
          <w:color w:val="000000" w:themeColor="text1"/>
          <w:szCs w:val="21"/>
          <w:highlight w:val="none"/>
          <w14:textFill>
            <w14:solidFill>
              <w14:schemeClr w14:val="tx1"/>
            </w14:solidFill>
          </w14:textFill>
        </w:rPr>
        <w:t>自动进样器</w:t>
      </w:r>
    </w:p>
    <w:p w14:paraId="29BB4DC1">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6</w:t>
      </w:r>
      <w:r>
        <w:rPr>
          <w:rFonts w:hint="eastAsia" w:ascii="宋体" w:hAnsi="宋体"/>
          <w:bCs/>
          <w:color w:val="000000" w:themeColor="text1"/>
          <w:szCs w:val="21"/>
          <w:highlight w:val="none"/>
          <w14:textFill>
            <w14:solidFill>
              <w14:schemeClr w14:val="tx1"/>
            </w14:solidFill>
          </w14:textFill>
        </w:rPr>
        <w:t>.1 进样精度：0.3%RSD以内（10ul进样时）</w:t>
      </w: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交叉污染：＜0.005%</w:t>
      </w:r>
    </w:p>
    <w:p w14:paraId="1AABA5D5">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
          <w:bCs w:val="0"/>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6</w:t>
      </w:r>
      <w:r>
        <w:rPr>
          <w:rFonts w:hint="eastAsia" w:ascii="宋体" w:hAnsi="宋体"/>
          <w:bCs/>
          <w:color w:val="000000" w:themeColor="text1"/>
          <w:szCs w:val="21"/>
          <w:highlight w:val="none"/>
          <w14:textFill>
            <w14:solidFill>
              <w14:schemeClr w14:val="tx1"/>
            </w14:solidFill>
          </w14:textFill>
        </w:rPr>
        <w:t>.</w:t>
      </w:r>
      <w:r>
        <w:rPr>
          <w:rFonts w:hint="eastAsia" w:ascii="宋体" w:hAnsi="宋体" w:eastAsiaTheme="minorEastAsia"/>
          <w:bCs/>
          <w:color w:val="000000" w:themeColor="text1"/>
          <w:szCs w:val="21"/>
          <w:highlight w:val="none"/>
          <w14:textFill>
            <w14:solidFill>
              <w14:schemeClr w14:val="tx1"/>
            </w14:solidFill>
          </w14:textFill>
        </w:rPr>
        <w:t>2</w:t>
      </w:r>
      <w:r>
        <w:rPr>
          <w:rFonts w:hint="eastAsia" w:ascii="宋体" w:hAnsi="宋体" w:eastAsiaTheme="minorEastAsia"/>
          <w:bCs/>
          <w:color w:val="000000" w:themeColor="text1"/>
          <w:szCs w:val="21"/>
          <w:highlight w:val="none"/>
          <w:lang w:val="en-US" w:eastAsia="zh-CN"/>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具备21种氨基酸自动衍生功能，无需手动离线衍生提高分析效率。</w:t>
      </w:r>
      <w:r>
        <w:rPr>
          <w:rFonts w:hint="eastAsia" w:ascii="宋体" w:hAnsi="宋体"/>
          <w:b/>
          <w:bCs w:val="0"/>
          <w:color w:val="000000" w:themeColor="text1"/>
          <w:szCs w:val="21"/>
          <w:highlight w:val="none"/>
          <w14:textFill>
            <w14:solidFill>
              <w14:schemeClr w14:val="tx1"/>
            </w14:solidFill>
          </w14:textFill>
        </w:rPr>
        <w:t>（提供官方应用资料和软件截图证明文件）</w:t>
      </w:r>
    </w:p>
    <w:p w14:paraId="1C4F92E8">
      <w:pPr>
        <w:keepNext w:val="0"/>
        <w:keepLines w:val="0"/>
        <w:pageBreakBefore w:val="0"/>
        <w:widowControl w:val="0"/>
        <w:kinsoku/>
        <w:overflowPunct/>
        <w:topLinePunct w:val="0"/>
        <w:autoSpaceDE/>
        <w:autoSpaceDN/>
        <w:bidi w:val="0"/>
        <w:spacing w:line="360" w:lineRule="auto"/>
        <w:ind w:firstLine="422" w:firstLineChars="200"/>
        <w:textAlignment w:val="auto"/>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7.</w:t>
      </w:r>
      <w:r>
        <w:rPr>
          <w:rFonts w:hint="eastAsia" w:ascii="宋体" w:hAnsi="宋体"/>
          <w:b/>
          <w:bCs w:val="0"/>
          <w:color w:val="000000" w:themeColor="text1"/>
          <w:szCs w:val="21"/>
          <w:highlight w:val="none"/>
          <w14:textFill>
            <w14:solidFill>
              <w14:schemeClr w14:val="tx1"/>
            </w14:solidFill>
          </w14:textFill>
        </w:rPr>
        <w:t>数据处理系统</w:t>
      </w:r>
    </w:p>
    <w:p w14:paraId="39709B5F">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宋体" w:hAnsi="宋体" w:eastAsia="宋体" w:cs="宋体"/>
          <w:bCs/>
          <w:color w:val="000000" w:themeColor="text1"/>
          <w:highlight w:val="none"/>
          <w14:textFill>
            <w14:solidFill>
              <w14:schemeClr w14:val="tx1"/>
            </w14:solidFill>
          </w14:textFill>
        </w:rPr>
      </w:pPr>
      <w:r>
        <w:rPr>
          <w:rFonts w:hint="eastAsia" w:eastAsiaTheme="minorEastAsia"/>
          <w:bCs/>
          <w:color w:val="000000" w:themeColor="text1"/>
          <w:highlight w:val="none"/>
          <w:lang w:val="en-US" w:eastAsia="zh-CN"/>
          <w14:textFill>
            <w14:solidFill>
              <w14:schemeClr w14:val="tx1"/>
            </w14:solidFill>
          </w14:textFill>
        </w:rPr>
        <w:t>工作站</w:t>
      </w:r>
      <w:r>
        <w:rPr>
          <w:rFonts w:hint="eastAsia" w:ascii="宋体" w:hAnsi="宋体" w:eastAsia="宋体" w:cs="宋体"/>
          <w:bCs/>
          <w:color w:val="000000" w:themeColor="text1"/>
          <w:highlight w:val="none"/>
          <w14:textFill>
            <w14:solidFill>
              <w14:schemeClr w14:val="tx1"/>
            </w14:solidFill>
          </w14:textFill>
        </w:rPr>
        <w:t>配置要求：商用机i5</w:t>
      </w:r>
      <w:r>
        <w:rPr>
          <w:rFonts w:hint="eastAsia" w:ascii="宋体" w:hAnsi="宋体" w:eastAsia="宋体" w:cs="宋体"/>
          <w:bCs/>
          <w:color w:val="000000" w:themeColor="text1"/>
          <w:highlight w:val="none"/>
          <w:lang w:val="en-US" w:eastAsia="zh-CN"/>
          <w14:textFill>
            <w14:solidFill>
              <w14:schemeClr w14:val="tx1"/>
            </w14:solidFill>
          </w14:textFill>
        </w:rPr>
        <w:t>或类似性能</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lang w:val="en-US" w:eastAsia="zh-CN"/>
          <w14:textFill>
            <w14:solidFill>
              <w14:schemeClr w14:val="tx1"/>
            </w14:solidFill>
          </w14:textFill>
        </w:rPr>
        <w:t>以上</w:t>
      </w:r>
      <w:r>
        <w:rPr>
          <w:rFonts w:hint="eastAsia" w:ascii="宋体" w:hAnsi="宋体" w:eastAsia="宋体" w:cs="宋体"/>
          <w:bCs/>
          <w:color w:val="000000" w:themeColor="text1"/>
          <w:highlight w:val="none"/>
          <w14:textFill>
            <w14:solidFill>
              <w14:schemeClr w14:val="tx1"/>
            </w14:solidFill>
          </w14:textFill>
        </w:rPr>
        <w:t>处理器</w:t>
      </w:r>
      <w:r>
        <w:rPr>
          <w:rFonts w:hint="eastAsia" w:ascii="宋体" w:hAnsi="宋体" w:eastAsia="宋体" w:cs="宋体"/>
          <w:bCs/>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14:textFill>
            <w14:solidFill>
              <w14:schemeClr w14:val="tx1"/>
            </w14:solidFill>
          </w14:textFill>
        </w:rPr>
        <w:t>5</w:t>
      </w:r>
      <w:r>
        <w:rPr>
          <w:rFonts w:hint="eastAsia" w:ascii="宋体" w:hAnsi="宋体" w:cs="宋体"/>
          <w:bCs/>
          <w:color w:val="000000" w:themeColor="text1"/>
          <w:highlight w:val="none"/>
          <w:lang w:val="en-US" w:eastAsia="zh-CN"/>
          <w14:textFill>
            <w14:solidFill>
              <w14:schemeClr w14:val="tx1"/>
            </w14:solidFill>
          </w14:textFill>
        </w:rPr>
        <w:t>12</w:t>
      </w:r>
      <w:r>
        <w:rPr>
          <w:rFonts w:hint="eastAsia" w:ascii="宋体" w:hAnsi="宋体" w:eastAsia="宋体" w:cs="宋体"/>
          <w:bCs/>
          <w:color w:val="000000" w:themeColor="text1"/>
          <w:highlight w:val="none"/>
          <w14:textFill>
            <w14:solidFill>
              <w14:schemeClr w14:val="tx1"/>
            </w14:solidFill>
          </w14:textFill>
        </w:rPr>
        <w:t>G</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lang w:val="en-US" w:eastAsia="zh-CN"/>
          <w14:textFill>
            <w14:solidFill>
              <w14:schemeClr w14:val="tx1"/>
            </w14:solidFill>
          </w14:textFill>
        </w:rPr>
        <w:t>以上</w:t>
      </w:r>
      <w:r>
        <w:rPr>
          <w:rFonts w:hint="eastAsia" w:ascii="宋体" w:hAnsi="宋体" w:eastAsia="宋体" w:cs="宋体"/>
          <w:bCs/>
          <w:color w:val="000000" w:themeColor="text1"/>
          <w:highlight w:val="none"/>
          <w14:textFill>
            <w14:solidFill>
              <w14:schemeClr w14:val="tx1"/>
            </w14:solidFill>
          </w14:textFill>
        </w:rPr>
        <w:t>硬盘，16G</w:t>
      </w:r>
      <w:r>
        <w:rPr>
          <w:rFonts w:hint="eastAsia" w:ascii="宋体" w:hAnsi="宋体" w:cs="宋体"/>
          <w:bCs/>
          <w:color w:val="000000" w:themeColor="text1"/>
          <w:highlight w:val="none"/>
          <w:lang w:val="en-US" w:eastAsia="zh-CN"/>
          <w14:textFill>
            <w14:solidFill>
              <w14:schemeClr w14:val="tx1"/>
            </w14:solidFill>
          </w14:textFill>
        </w:rPr>
        <w:t>及</w:t>
      </w:r>
      <w:r>
        <w:rPr>
          <w:rFonts w:hint="eastAsia" w:ascii="宋体" w:hAnsi="宋体" w:eastAsia="宋体" w:cs="宋体"/>
          <w:bCs/>
          <w:color w:val="000000" w:themeColor="text1"/>
          <w:highlight w:val="none"/>
          <w14:textFill>
            <w14:solidFill>
              <w14:schemeClr w14:val="tx1"/>
            </w14:solidFill>
          </w14:textFill>
        </w:rPr>
        <w:t>以上内存</w:t>
      </w:r>
      <w:r>
        <w:rPr>
          <w:rFonts w:hint="eastAsia" w:ascii="宋体" w:hAnsi="宋体" w:eastAsia="宋体" w:cs="宋体"/>
          <w:b/>
          <w:bCs w:val="0"/>
          <w:color w:val="000000" w:themeColor="text1"/>
          <w:highlight w:val="none"/>
          <w:lang w:eastAsia="zh-CN"/>
          <w14:textFill>
            <w14:solidFill>
              <w14:schemeClr w14:val="tx1"/>
            </w14:solidFill>
          </w14:textFill>
        </w:rPr>
        <w:t>，</w:t>
      </w:r>
      <w:r>
        <w:rPr>
          <w:rFonts w:hint="eastAsia" w:ascii="宋体" w:hAnsi="宋体" w:eastAsia="宋体" w:cs="宋体"/>
          <w:bCs/>
          <w:color w:val="000000" w:themeColor="text1"/>
          <w:highlight w:val="none"/>
          <w:lang w:val="en-US" w:eastAsia="zh-CN"/>
          <w14:textFill>
            <w14:solidFill>
              <w14:schemeClr w14:val="tx1"/>
            </w14:solidFill>
          </w14:textFill>
        </w:rPr>
        <w:t>30寸以上</w:t>
      </w:r>
      <w:r>
        <w:rPr>
          <w:rFonts w:hint="eastAsia" w:ascii="宋体" w:hAnsi="宋体" w:eastAsia="宋体" w:cs="宋体"/>
          <w:bCs/>
          <w:color w:val="000000" w:themeColor="text1"/>
          <w:highlight w:val="none"/>
          <w14:textFill>
            <w14:solidFill>
              <w14:schemeClr w14:val="tx1"/>
            </w14:solidFill>
          </w14:textFill>
        </w:rPr>
        <w:t>液晶，及正版中文</w:t>
      </w:r>
      <w:r>
        <w:rPr>
          <w:bCs/>
          <w:color w:val="000000" w:themeColor="text1"/>
          <w:highlight w:val="none"/>
          <w14:textFill>
            <w14:solidFill>
              <w14:schemeClr w14:val="tx1"/>
            </w14:solidFill>
          </w14:textFill>
        </w:rPr>
        <w:t>Windows 10</w:t>
      </w:r>
      <w:r>
        <w:rPr>
          <w:rFonts w:hint="eastAsia" w:ascii="宋体" w:hAnsi="宋体" w:eastAsia="宋体" w:cs="宋体"/>
          <w:bCs/>
          <w:color w:val="000000" w:themeColor="text1"/>
          <w:highlight w:val="none"/>
          <w14:textFill>
            <w14:solidFill>
              <w14:schemeClr w14:val="tx1"/>
            </w14:solidFill>
          </w14:textFill>
        </w:rPr>
        <w:t>以上系统；激光打印机各一套</w:t>
      </w:r>
    </w:p>
    <w:p w14:paraId="317E6C1E">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
          <w:bCs w:val="0"/>
          <w:color w:val="000000" w:themeColor="text1"/>
          <w:szCs w:val="21"/>
          <w:highlight w:val="none"/>
          <w:lang w:val="en-US" w:eastAsia="zh-CN"/>
          <w14:textFill>
            <w14:solidFill>
              <w14:schemeClr w14:val="tx1"/>
            </w14:solidFill>
          </w14:textFill>
        </w:rPr>
        <w:t>8.</w:t>
      </w:r>
      <w:r>
        <w:rPr>
          <w:rFonts w:hint="eastAsia" w:ascii="宋体" w:hAnsi="宋体"/>
          <w:b/>
          <w:bCs w:val="0"/>
          <w:color w:val="000000" w:themeColor="text1"/>
          <w:szCs w:val="21"/>
          <w:highlight w:val="none"/>
          <w14:textFill>
            <w14:solidFill>
              <w14:schemeClr w14:val="tx1"/>
            </w14:solidFill>
          </w14:textFill>
        </w:rPr>
        <w:t>智能功能</w:t>
      </w:r>
    </w:p>
    <w:p w14:paraId="121D0190">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可提供5个不同的用户角色登录，并具备不同操作权限；</w:t>
      </w:r>
      <w:r>
        <w:rPr>
          <w:rFonts w:hint="eastAsia" w:ascii="宋体" w:hAnsi="宋体"/>
          <w:b/>
          <w:bCs w:val="0"/>
          <w:color w:val="000000" w:themeColor="text1"/>
          <w:szCs w:val="21"/>
          <w:highlight w:val="none"/>
          <w14:textFill>
            <w14:solidFill>
              <w14:schemeClr w14:val="tx1"/>
            </w14:solidFill>
          </w14:textFill>
        </w:rPr>
        <w:t>（提供智能化面板设置截图证明）</w:t>
      </w:r>
      <w:r>
        <w:rPr>
          <w:rFonts w:hint="eastAsia" w:ascii="宋体" w:hAnsi="宋体"/>
          <w:bCs/>
          <w:color w:val="000000" w:themeColor="text1"/>
          <w:szCs w:val="21"/>
          <w:highlight w:val="none"/>
          <w14:textFill>
            <w14:solidFill>
              <w14:schemeClr w14:val="tx1"/>
            </w14:solidFill>
          </w14:textFill>
        </w:rPr>
        <w:t>至少3种以上任务开启模式：实时开启，定时开启，循环定时开启，并能在面板显示未来开启的具体日期和时间</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
          <w:bCs w:val="0"/>
          <w:color w:val="000000" w:themeColor="text1"/>
          <w:szCs w:val="21"/>
          <w:highlight w:val="none"/>
          <w14:textFill>
            <w14:solidFill>
              <w14:schemeClr w14:val="tx1"/>
            </w14:solidFill>
          </w14:textFill>
        </w:rPr>
        <w:t>（提供智能化面板设置截图证明）</w:t>
      </w:r>
    </w:p>
    <w:p w14:paraId="51F87557">
      <w:pPr>
        <w:keepNext w:val="0"/>
        <w:keepLines w:val="0"/>
        <w:pageBreakBefore w:val="0"/>
        <w:widowControl w:val="0"/>
        <w:kinsoku/>
        <w:overflowPunct/>
        <w:topLinePunct w:val="0"/>
        <w:autoSpaceDE/>
        <w:autoSpaceDN/>
        <w:bidi w:val="0"/>
        <w:spacing w:line="360" w:lineRule="auto"/>
        <w:ind w:firstLine="422"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9、</w:t>
      </w:r>
      <w:r>
        <w:rPr>
          <w:rFonts w:hint="eastAsia" w:ascii="宋体" w:hAnsi="宋体" w:eastAsia="宋体" w:cs="宋体"/>
          <w:b/>
          <w:bCs w:val="0"/>
          <w:color w:val="000000" w:themeColor="text1"/>
          <w:highlight w:val="none"/>
          <w14:textFill>
            <w14:solidFill>
              <w14:schemeClr w14:val="tx1"/>
            </w14:solidFill>
          </w14:textFill>
        </w:rPr>
        <w:t>配置</w:t>
      </w:r>
      <w:r>
        <w:rPr>
          <w:rFonts w:hint="eastAsia" w:ascii="宋体" w:hAnsi="宋体" w:cs="宋体"/>
          <w:b/>
          <w:bCs w:val="0"/>
          <w:color w:val="000000" w:themeColor="text1"/>
          <w:highlight w:val="none"/>
          <w:lang w:eastAsia="zh-CN"/>
          <w14:textFill>
            <w14:solidFill>
              <w14:schemeClr w14:val="tx1"/>
            </w14:solidFill>
          </w14:textFill>
        </w:rPr>
        <w:t>清单</w:t>
      </w:r>
    </w:p>
    <w:p w14:paraId="6CBBB66C">
      <w:pPr>
        <w:keepNext w:val="0"/>
        <w:keepLines w:val="0"/>
        <w:pageBreakBefore w:val="0"/>
        <w:widowControl w:val="0"/>
        <w:kinsoku/>
        <w:overflowPunct/>
        <w:topLinePunct w:val="0"/>
        <w:autoSpaceDE/>
        <w:autoSpaceDN/>
        <w:bidi w:val="0"/>
        <w:spacing w:line="360" w:lineRule="auto"/>
        <w:ind w:firstLine="420" w:firstLineChars="200"/>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四元梯度泵</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7ACF9BE2">
      <w:pPr>
        <w:keepNext w:val="0"/>
        <w:keepLines w:val="0"/>
        <w:pageBreakBefore w:val="0"/>
        <w:widowControl w:val="0"/>
        <w:kinsoku/>
        <w:overflowPunct/>
        <w:topLinePunct w:val="0"/>
        <w:autoSpaceDE/>
        <w:autoSpaceDN/>
        <w:bidi w:val="0"/>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独立柱温箱</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2FCE2884">
      <w:pPr>
        <w:keepNext w:val="0"/>
        <w:keepLines w:val="0"/>
        <w:pageBreakBefore w:val="0"/>
        <w:widowControl w:val="0"/>
        <w:kinsoku/>
        <w:overflowPunct/>
        <w:topLinePunct w:val="0"/>
        <w:autoSpaceDE/>
        <w:autoSpaceDN/>
        <w:bidi w:val="0"/>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二极管阵列</w:t>
      </w:r>
      <w:r>
        <w:rPr>
          <w:rFonts w:hint="eastAsia" w:ascii="宋体" w:hAnsi="宋体"/>
          <w:bCs/>
          <w:color w:val="000000" w:themeColor="text1"/>
          <w:szCs w:val="21"/>
          <w:highlight w:val="none"/>
          <w14:textFill>
            <w14:solidFill>
              <w14:schemeClr w14:val="tx1"/>
            </w14:solidFill>
          </w14:textFill>
        </w:rPr>
        <w:t>检测器1套，</w:t>
      </w:r>
    </w:p>
    <w:p w14:paraId="159B3A84">
      <w:pPr>
        <w:keepNext w:val="0"/>
        <w:keepLines w:val="0"/>
        <w:pageBreakBefore w:val="0"/>
        <w:widowControl w:val="0"/>
        <w:kinsoku/>
        <w:overflowPunct/>
        <w:topLinePunct w:val="0"/>
        <w:autoSpaceDE/>
        <w:autoSpaceDN/>
        <w:bidi w:val="0"/>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示差检测器</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14E9F94A">
      <w:pPr>
        <w:keepNext w:val="0"/>
        <w:keepLines w:val="0"/>
        <w:pageBreakBefore w:val="0"/>
        <w:widowControl w:val="0"/>
        <w:kinsoku/>
        <w:overflowPunct/>
        <w:topLinePunct w:val="0"/>
        <w:autoSpaceDE/>
        <w:autoSpaceDN/>
        <w:bidi w:val="0"/>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荧光检测器</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1718078E">
      <w:pPr>
        <w:keepNext w:val="0"/>
        <w:keepLines w:val="0"/>
        <w:pageBreakBefore w:val="0"/>
        <w:widowControl w:val="0"/>
        <w:kinsoku/>
        <w:overflowPunct/>
        <w:topLinePunct w:val="0"/>
        <w:autoSpaceDE/>
        <w:autoSpaceDN/>
        <w:bidi w:val="0"/>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自动进样器</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72BE8A02">
      <w:pPr>
        <w:keepNext w:val="0"/>
        <w:keepLines w:val="0"/>
        <w:pageBreakBefore w:val="0"/>
        <w:widowControl w:val="0"/>
        <w:kinsoku/>
        <w:overflowPunct/>
        <w:topLinePunct w:val="0"/>
        <w:autoSpaceDE/>
        <w:autoSpaceDN/>
        <w:bidi w:val="0"/>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液相安装工具包</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148270C2">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台式电脑</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4FCF1FEB">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激光打印机</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台</w:t>
      </w:r>
    </w:p>
    <w:p w14:paraId="1D4679B9">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C</w:t>
      </w:r>
      <w:r>
        <w:rPr>
          <w:rFonts w:ascii="宋体" w:hAnsi="宋体"/>
          <w:bCs/>
          <w:color w:val="000000" w:themeColor="text1"/>
          <w:szCs w:val="21"/>
          <w:highlight w:val="none"/>
          <w14:textFill>
            <w14:solidFill>
              <w14:schemeClr w14:val="tx1"/>
            </w14:solidFill>
          </w14:textFill>
        </w:rPr>
        <w:t>18</w:t>
      </w:r>
      <w:r>
        <w:rPr>
          <w:rFonts w:hint="eastAsia" w:ascii="宋体" w:hAnsi="宋体"/>
          <w:bCs/>
          <w:color w:val="000000" w:themeColor="text1"/>
          <w:szCs w:val="21"/>
          <w:highlight w:val="none"/>
          <w14:textFill>
            <w14:solidFill>
              <w14:schemeClr w14:val="tx1"/>
            </w14:solidFill>
          </w14:textFill>
        </w:rPr>
        <w:t>色谱柱2根</w:t>
      </w:r>
    </w:p>
    <w:p w14:paraId="69FBFC3F">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进样瓶（盖、密封垫）</w:t>
      </w:r>
      <w:r>
        <w:rPr>
          <w:rFonts w:ascii="宋体" w:hAnsi="宋体"/>
          <w:bCs/>
          <w:color w:val="000000" w:themeColor="text1"/>
          <w:szCs w:val="21"/>
          <w:highlight w:val="none"/>
          <w14:textFill>
            <w14:solidFill>
              <w14:schemeClr w14:val="tx1"/>
            </w14:solidFill>
          </w14:textFill>
        </w:rPr>
        <w:t>100</w:t>
      </w:r>
      <w:r>
        <w:rPr>
          <w:rFonts w:hint="eastAsia" w:ascii="宋体" w:hAnsi="宋体"/>
          <w:bCs/>
          <w:color w:val="000000" w:themeColor="text1"/>
          <w:szCs w:val="21"/>
          <w:highlight w:val="none"/>
          <w14:textFill>
            <w14:solidFill>
              <w14:schemeClr w14:val="tx1"/>
            </w14:solidFill>
          </w14:textFill>
        </w:rPr>
        <w:t>个</w:t>
      </w:r>
    </w:p>
    <w:p w14:paraId="43C702E5">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白色过滤头</w:t>
      </w:r>
      <w:r>
        <w:rPr>
          <w:rFonts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包</w:t>
      </w:r>
    </w:p>
    <w:p w14:paraId="4CF8DE4D">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PEEK</w:t>
      </w:r>
      <w:r>
        <w:rPr>
          <w:rFonts w:hint="eastAsia" w:ascii="宋体" w:hAnsi="宋体" w:eastAsia="宋体" w:cs="宋体"/>
          <w:bCs/>
          <w:color w:val="000000" w:themeColor="text1"/>
          <w:szCs w:val="21"/>
          <w:highlight w:val="none"/>
          <w14:textFill>
            <w14:solidFill>
              <w14:schemeClr w14:val="tx1"/>
            </w14:solidFill>
          </w14:textFill>
        </w:rPr>
        <w:t>手紧式接头</w:t>
      </w:r>
      <w:r>
        <w:rPr>
          <w:rFonts w:ascii="宋体" w:hAnsi="宋体"/>
          <w:bCs/>
          <w:color w:val="000000" w:themeColor="text1"/>
          <w:szCs w:val="21"/>
          <w:highlight w:val="none"/>
          <w14:textFill>
            <w14:solidFill>
              <w14:schemeClr w14:val="tx1"/>
            </w14:solidFill>
          </w14:textFill>
        </w:rPr>
        <w:t>10</w:t>
      </w:r>
      <w:r>
        <w:rPr>
          <w:rFonts w:hint="eastAsia" w:ascii="宋体" w:hAnsi="宋体"/>
          <w:bCs/>
          <w:color w:val="000000" w:themeColor="text1"/>
          <w:szCs w:val="21"/>
          <w:highlight w:val="none"/>
          <w14:textFill>
            <w14:solidFill>
              <w14:schemeClr w14:val="tx1"/>
            </w14:solidFill>
          </w14:textFill>
        </w:rPr>
        <w:t>个</w:t>
      </w:r>
    </w:p>
    <w:p w14:paraId="2F279FB0">
      <w:pPr>
        <w:keepNext w:val="0"/>
        <w:keepLines w:val="0"/>
        <w:pageBreakBefore w:val="0"/>
        <w:widowControl w:val="0"/>
        <w:kinsoku/>
        <w:wordWrap/>
        <w:overflowPunct/>
        <w:topLinePunct w:val="0"/>
        <w:autoSpaceDE/>
        <w:autoSpaceDN/>
        <w:bidi w:val="0"/>
        <w:adjustRightInd/>
        <w:snapToGrid/>
        <w:spacing w:line="360" w:lineRule="auto"/>
        <w:ind w:firstLine="420" w:firstLineChars="200"/>
        <w:contextualSpacing/>
        <w:textAlignment w:val="auto"/>
        <w:rPr>
          <w:rFonts w:ascii="宋体" w:hAnsi="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色谱柱手拧接头</w:t>
      </w:r>
      <w:r>
        <w:rPr>
          <w:rFonts w:hint="eastAsia" w:ascii="宋体" w:hAnsi="宋体"/>
          <w:bCs/>
          <w:color w:val="000000" w:themeColor="text1"/>
          <w:szCs w:val="21"/>
          <w:highlight w:val="none"/>
          <w14:textFill>
            <w14:solidFill>
              <w14:schemeClr w14:val="tx1"/>
            </w14:solidFill>
          </w14:textFill>
        </w:rPr>
        <w:t>2</w:t>
      </w:r>
      <w:r>
        <w:rPr>
          <w:rFonts w:hint="eastAsia" w:ascii="宋体" w:hAnsi="宋体" w:eastAsia="宋体" w:cs="宋体"/>
          <w:bCs/>
          <w:color w:val="000000" w:themeColor="text1"/>
          <w:szCs w:val="21"/>
          <w:highlight w:val="none"/>
          <w14:textFill>
            <w14:solidFill>
              <w14:schemeClr w14:val="tx1"/>
            </w14:solidFill>
          </w14:textFill>
        </w:rPr>
        <w:t>个</w:t>
      </w:r>
    </w:p>
    <w:p w14:paraId="7F7274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w:t>
      </w:r>
      <w:r>
        <w:rPr>
          <w:rFonts w:hint="eastAsia" w:ascii="宋体" w:hAnsi="宋体" w:eastAsia="宋体" w:cs="宋体"/>
          <w:bCs/>
          <w:color w:val="000000" w:themeColor="text1"/>
          <w:szCs w:val="21"/>
          <w:highlight w:val="none"/>
          <w14:textFill>
            <w14:solidFill>
              <w14:schemeClr w14:val="tx1"/>
            </w14:solidFill>
          </w14:textFill>
        </w:rPr>
        <w:t>位</w:t>
      </w:r>
      <w:r>
        <w:rPr>
          <w:rFonts w:hint="eastAsia" w:ascii="宋体" w:hAnsi="宋体"/>
          <w:bCs/>
          <w:color w:val="000000" w:themeColor="text1"/>
          <w:szCs w:val="21"/>
          <w:highlight w:val="none"/>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通阀</w:t>
      </w:r>
      <w:r>
        <w:rPr>
          <w:rFonts w:hint="eastAsia" w:ascii="宋体" w:hAnsi="宋体"/>
          <w:bCs/>
          <w:color w:val="000000" w:themeColor="text1"/>
          <w:szCs w:val="21"/>
          <w:highlight w:val="none"/>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套</w:t>
      </w:r>
    </w:p>
    <w:p w14:paraId="70075D5F">
      <w:pPr>
        <w:keepNext w:val="0"/>
        <w:keepLines w:val="0"/>
        <w:pageBreakBefore w:val="0"/>
        <w:widowControl w:val="0"/>
        <w:numPr>
          <w:ilvl w:val="0"/>
          <w:numId w:val="0"/>
        </w:numPr>
        <w:kinsoku/>
        <w:wordWrap/>
        <w:overflowPunct/>
        <w:topLinePunct w:val="0"/>
        <w:autoSpaceDE/>
        <w:autoSpaceDN/>
        <w:bidi w:val="0"/>
        <w:spacing w:line="360" w:lineRule="auto"/>
        <w:textAlignment w:val="auto"/>
        <w:outlineLvl w:val="1"/>
        <w:rPr>
          <w:rFonts w:hint="eastAsia" w:ascii="仿宋" w:hAnsi="仿宋" w:eastAsia="仿宋" w:cs="仿宋"/>
          <w:b/>
          <w:bCs w:val="0"/>
          <w:i/>
          <w:iCs/>
          <w:color w:val="000000" w:themeColor="text1"/>
          <w:sz w:val="24"/>
          <w:szCs w:val="24"/>
          <w:highlight w:val="none"/>
          <w:u w:val="single"/>
          <w:lang w:val="en-US" w:eastAsia="zh-CN" w:bidi="ar-SA"/>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（二）商务要求</w:t>
      </w:r>
    </w:p>
    <w:p w14:paraId="54CFFF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1、付款方式：合同签订后，采购人在收到投标人开具的增值税发票后的10个工作日内支付30%预付款；货物交付、安装、调试且验收合格后，采购人在收到投标人开具的增值税发票后的10个工作日内支付70%尾款。</w:t>
      </w:r>
    </w:p>
    <w:p w14:paraId="289CEA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2、交货期：合同签订后</w:t>
      </w:r>
      <w:r>
        <w:rPr>
          <w:rFonts w:hint="eastAsia" w:cs="Times New Roman"/>
          <w:color w:val="000000" w:themeColor="text1"/>
          <w:highlight w:val="none"/>
          <w:lang w:val="en-US" w:eastAsia="zh-CN"/>
          <w14:textFill>
            <w14:solidFill>
              <w14:schemeClr w14:val="tx1"/>
            </w14:solidFill>
          </w14:textFill>
        </w:rPr>
        <w:t>2</w:t>
      </w:r>
      <w:r>
        <w:rPr>
          <w:rFonts w:hint="eastAsia" w:eastAsia="宋体" w:cs="Times New Roman"/>
          <w:color w:val="000000" w:themeColor="text1"/>
          <w:highlight w:val="none"/>
          <w:lang w:val="en-US" w:eastAsia="zh-CN"/>
          <w14:textFill>
            <w14:solidFill>
              <w14:schemeClr w14:val="tx1"/>
            </w14:solidFill>
          </w14:textFill>
        </w:rPr>
        <w:t>个月内。</w:t>
      </w:r>
    </w:p>
    <w:p w14:paraId="76B2B15F">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3、质保期：</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无责质保</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气相色谱仪（含顶空进样器）、气相色谱仪、液相色谱仪质量保证期不低于</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1</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年</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自验收合格之日起计算</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质保期内损坏无条件更换。中标后提供生产厂商出具的保修年限承诺函。（提供承诺函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。中标人负责设备的终身维修</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更换部件时须保证与原有产品的规格、型号、颜色和结构的一致性</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并不得影响已使用场所的正常工作的开展。保修期外仅收取配件费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免收交通费及修理费；中标人保证能提供设备的所有配件。保修期满后需更换配件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价格由双方协商确定。若附件中涉及零配件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易损件价格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则不得高于附件中的相应价格。</w:t>
      </w:r>
    </w:p>
    <w:p w14:paraId="562E1053">
      <w:pPr>
        <w:pageBreakBefore w:val="0"/>
        <w:kinsoku/>
        <w:wordWrap/>
        <w:overflowPunct/>
        <w:topLinePunct w:val="0"/>
        <w:autoSpaceDE/>
        <w:autoSpaceDN/>
        <w:bidi w:val="0"/>
        <w:spacing w:line="360" w:lineRule="auto"/>
        <w:ind w:firstLine="422"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bCs w:val="0"/>
          <w:i w:val="0"/>
          <w:iCs w:val="0"/>
          <w:color w:val="000000" w:themeColor="text1"/>
          <w:sz w:val="21"/>
          <w:szCs w:val="21"/>
          <w:highlight w:val="none"/>
          <w:u w:val="none"/>
          <w:lang w:val="en-US" w:eastAsia="zh-CN"/>
          <w14:textFill>
            <w14:solidFill>
              <w14:schemeClr w14:val="tx1"/>
            </w14:solidFill>
          </w14:textFill>
        </w:rPr>
        <w:t>（三）其他</w:t>
      </w:r>
    </w:p>
    <w:p w14:paraId="2BF12791">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落实商品包装、快递包装政府采购需求标准。具体详见投标人须知第35条，在履约验收时按照本条款执行，违反本约定的对照合同违约条款追究违约责任。投标人一旦参与本项目，即完全响应本条款要求。</w:t>
      </w:r>
    </w:p>
    <w:p w14:paraId="3C0B8DE0">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2</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项目交货方案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根据招标文件要求提供项目交货方案、进度方案、防护方案以及方案的科学合理、完整、切实可行性等内容。</w:t>
      </w:r>
    </w:p>
    <w:p w14:paraId="37C6581A">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3</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安装调试方案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根据招标文件要求提供安装方案、调试方案、管理方案以及方案的科学合理、完整、切实可行性等内容。</w:t>
      </w:r>
    </w:p>
    <w:p w14:paraId="7E47F747">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4</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质量控制方案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根据招标文件要求提供质量控制体系、质量检验标准、质量管理方案以及方案的科学合理、完整、切实可行性等内容。</w:t>
      </w:r>
    </w:p>
    <w:p w14:paraId="2C679542">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5</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培训及技术支持方案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根据招标文件要求提供人员培训方案、技术支持方案、采购人所需的技术和学术支持方案以及方案的科学合理、完整、切实可行性等内容。</w:t>
      </w:r>
    </w:p>
    <w:p w14:paraId="2F22B955">
      <w:pPr>
        <w:pageBreakBefore w:val="0"/>
        <w:kinsoku/>
        <w:wordWrap/>
        <w:overflowPunct/>
        <w:topLinePunct w:val="0"/>
        <w:autoSpaceDE/>
        <w:autoSpaceDN/>
        <w:bidi w:val="0"/>
        <w:spacing w:line="360" w:lineRule="auto"/>
        <w:ind w:firstLine="420" w:firstLineChars="200"/>
        <w:textAlignment w:val="auto"/>
        <w:outlineLvl w:val="9"/>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6</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售后服务方案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根据招标文件要求提供售后方案、售后人员安排、售后响应措施以及方案的科学合理、完整、切实可行性等内容。</w:t>
      </w:r>
    </w:p>
    <w:p w14:paraId="3684E8D6">
      <w:pPr>
        <w:keepNext w:val="0"/>
        <w:keepLines w:val="0"/>
        <w:pageBreakBefore w:val="0"/>
        <w:widowControl w:val="0"/>
        <w:kinsoku/>
        <w:overflowPunct/>
        <w:topLinePunct w:val="0"/>
        <w:autoSpaceDE/>
        <w:autoSpaceDN/>
        <w:bidi w:val="0"/>
        <w:spacing w:line="360" w:lineRule="auto"/>
        <w:ind w:firstLine="420" w:firstLineChars="200"/>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7</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应急方案</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w:t>
      </w:r>
      <w:r>
        <w:rPr>
          <w:rFonts w:hint="default" w:ascii="Times New Roman" w:hAnsi="Times New Roman" w:eastAsia="宋体" w:cstheme="minorEastAsia"/>
          <w:b w:val="0"/>
          <w:bCs/>
          <w:i w:val="0"/>
          <w:iCs w:val="0"/>
          <w:color w:val="000000" w:themeColor="text1"/>
          <w:sz w:val="21"/>
          <w:szCs w:val="21"/>
          <w:highlight w:val="none"/>
          <w:u w:val="none"/>
          <w:lang w:val="en-US" w:eastAsia="zh-CN"/>
          <w14:textFill>
            <w14:solidFill>
              <w14:schemeClr w14:val="tx1"/>
            </w14:solidFill>
          </w14:textFill>
        </w:rPr>
        <w:t>根据招标文件要求提供应急预案、应急处理方案、应急人员安排以及方案的科学合理、完整、切实可行性等内容。</w:t>
      </w:r>
    </w:p>
    <w:p w14:paraId="3756C078">
      <w:pPr>
        <w:keepNext w:val="0"/>
        <w:keepLines w:val="0"/>
        <w:pageBreakBefore w:val="0"/>
        <w:widowControl w:val="0"/>
        <w:numPr>
          <w:ilvl w:val="0"/>
          <w:numId w:val="0"/>
        </w:numPr>
        <w:kinsoku/>
        <w:wordWrap/>
        <w:overflowPunct/>
        <w:topLinePunct w:val="0"/>
        <w:autoSpaceDE/>
        <w:autoSpaceDN/>
        <w:bidi w:val="0"/>
        <w:spacing w:line="360" w:lineRule="auto"/>
        <w:ind w:firstLine="422"/>
        <w:textAlignment w:val="auto"/>
        <w:outlineLvl w:val="1"/>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四、</w:t>
      </w:r>
      <w:r>
        <w:rPr>
          <w:rFonts w:hint="eastAsia" w:ascii="Times New Roman" w:hAnsi="Times New Roman" w:cs="宋体"/>
          <w:b/>
          <w:bCs/>
          <w:color w:val="000000" w:themeColor="text1"/>
          <w:sz w:val="21"/>
          <w:szCs w:val="21"/>
          <w:highlight w:val="none"/>
          <w:lang w:eastAsia="zh-CN"/>
          <w14:textFill>
            <w14:solidFill>
              <w14:schemeClr w14:val="tx1"/>
            </w14:solidFill>
          </w14:textFill>
        </w:rPr>
        <w:t>其他</w:t>
      </w:r>
      <w:r>
        <w:rPr>
          <w:rFonts w:hint="eastAsia" w:ascii="Times New Roman" w:hAnsi="Times New Roman" w:eastAsia="宋体" w:cs="宋体"/>
          <w:b/>
          <w:bCs/>
          <w:color w:val="000000" w:themeColor="text1"/>
          <w:sz w:val="21"/>
          <w:szCs w:val="21"/>
          <w:highlight w:val="none"/>
          <w14:textFill>
            <w14:solidFill>
              <w14:schemeClr w14:val="tx1"/>
            </w14:solidFill>
          </w14:textFill>
        </w:rPr>
        <w:t>要求</w:t>
      </w:r>
    </w:p>
    <w:p w14:paraId="4D0502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1</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、投标报价应包括货物价格、运杂费（含保险费）、包装费、安装费、安装调试水电费、各种检测费、安装调试费、验收前保管、调试、验收合格及之前所有含税费用、验收费、各种税费、交付使用前管理费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以及伴随服务/售后服务费等为完成招标文件规定的工作内容所涉及到的一切相关费用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投标人中标后不得以任何理由进行调整</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费用自行考虑均包含在投标报价中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相关费用如缺项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视为让利。</w:t>
      </w:r>
    </w:p>
    <w:p w14:paraId="47E59E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2</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、投标人必须按照招标文件要求对产品各个参数指标作出实质性应答</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任何偏差都必须列入偏离表中。中标后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投标人在合同谈判中提出的任何偏差都不得超过此偏差表中已被采购人确认的条款。</w:t>
      </w:r>
    </w:p>
    <w:p w14:paraId="79741F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3</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、本项目由各投标人自行进行现场勘查</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交通工具自配。请务必对项目现场和周围环境进行仔细认真查勘</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在随后的采购中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对现场资料和数据所作出的推论、解释和结论及由此造成的后果由投标人负责。</w:t>
      </w:r>
    </w:p>
    <w:p w14:paraId="302D8B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4</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、售后服务承诺包括但不限于以下内容：</w:t>
      </w:r>
    </w:p>
    <w:p w14:paraId="6A0472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（1）在保修期内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如有损坏或质量不合格者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中标人应及时给予修复和更换</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其修理和更换应免费。正常修理周期和修理期间需提供免费测试。</w:t>
      </w:r>
    </w:p>
    <w:p w14:paraId="2F781E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（2）在保修期期满前一个月</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中标人必须指派专业人员上门检测仪器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确保仪器的指标符合验收标准</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如有问题应作为保修内容给予免费处理。</w:t>
      </w:r>
    </w:p>
    <w:p w14:paraId="20C99E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（3）在保修期外</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中标人为仪器提供终身维修服务</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维修问题出现时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按技术参数服务要求相应条款处理。</w:t>
      </w:r>
    </w:p>
    <w:p w14:paraId="76022B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（4）在保修期内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如果原厂方鉴定设备因为人为损坏</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厂方须出具具有法定权威性第三方检测证明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否则一律视为保修范围内容处理。</w:t>
      </w:r>
    </w:p>
    <w:p w14:paraId="7A33D8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（5）承诺在硬件条件允许的情况下</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终身免费升级软件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并对新软件的功能免费培训。要求供货厂家在中国设立固定维修站</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并配备专业维修工程师</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提供及时有效的售后服务并配合包括所有附件在内的安装、调试和验收。</w:t>
      </w:r>
    </w:p>
    <w:p w14:paraId="7F7B53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（6）终身提供免费的应用咨询及技术帮助。</w:t>
      </w:r>
    </w:p>
    <w:p w14:paraId="206EB6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5</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、中标人在接到采购人通知后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需根据采购人要求及现场具体情况</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拟定产品进场方案报采购人</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征得采购人同意后方可安排产品进场。</w:t>
      </w:r>
    </w:p>
    <w:p w14:paraId="473B60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6、</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货物由中标人运至采购人指定地点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验收交货前存放及保管概由中标人负责。产品材料的包装均应有良好的防湿、防锈、防潮、防雨、防腐及防碰撞的措施。凡由于包装不良造成的损失和由此产生的费用均由中标人承担。</w:t>
      </w:r>
    </w:p>
    <w:p w14:paraId="7A1D25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7</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、中标人须按照采购人需求</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免费配送安装至采购人指定地点</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并免费提供安装调试服务</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中标人需提供全套技术资料、操作手册、简易操作规程（塑封）、维修手册</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同时提供对采购人的设备应用培训服务。</w:t>
      </w:r>
    </w:p>
    <w:p w14:paraId="474DB1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8</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、中标人应自行办理为执行本招标文件规定义务而投入的机具产品</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运输工具的财产保险和工人意外伤害保险及第三者责任险</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货物运输险</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包装物的保险及其他相关险种</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保险费由中标人承担并支付</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并包含在报价单中的货物综合报价之中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采购人将不再单独支付。</w:t>
      </w:r>
    </w:p>
    <w:p w14:paraId="1D6072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9</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、中标人免费对采购人技术人员进行操作、保养、维修等方面的培训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并且提供免费的技术咨询服务。</w:t>
      </w:r>
    </w:p>
    <w:p w14:paraId="05099C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10</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在接到采购人故障报修后</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中标人需在2小时内响应</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并在</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24</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小时内到达现场</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进行维护，若</w:t>
      </w:r>
      <w:r>
        <w:rPr>
          <w:rFonts w:hint="eastAsia" w:ascii="Times New Roman" w:hAnsi="Times New Roman" w:cstheme="minorEastAsia"/>
          <w:b w:val="0"/>
          <w:bCs/>
          <w:i/>
          <w:iCs/>
          <w:color w:val="000000" w:themeColor="text1"/>
          <w:sz w:val="21"/>
          <w:szCs w:val="21"/>
          <w:highlight w:val="none"/>
          <w:u w:val="single"/>
          <w:lang w:val="en-US" w:eastAsia="zh-CN"/>
          <w14:textFill>
            <w14:solidFill>
              <w14:schemeClr w14:val="tx1"/>
            </w14:solidFill>
          </w14:textFill>
        </w:rPr>
        <w:t>48</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小时未解决故障</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免费提供备用机。一切费用由中标人负责（提供承诺函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原件扫描上传）</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若因为中标人维修不及时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给采购人造成影响的</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采购人有权追究其法律责任。</w:t>
      </w:r>
    </w:p>
    <w:p w14:paraId="706BE9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1</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、中标人必须服从采购人管理</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且运输装卸途中出现的一切安全事故均由中标人自行承担。中标人安装人员或在运输装卸途中对其他产品及邻近设备等造成损坏</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应由中标人负责修复及承担一切费用；无论安装期间或退换过程中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中标人负责及时清理垃圾。</w:t>
      </w:r>
    </w:p>
    <w:p w14:paraId="77D69E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2</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人需积极主动地配合采购人进行安装完毕后验收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确保通过检测和验收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若出现检测不合格或验收不合格的情况</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投标人需要重新返工直至检测通过并且验收合格</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由此导致的返工费等相关其他费用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由投标人自行承担</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并且采购人有权从货款中扣除。</w:t>
      </w:r>
    </w:p>
    <w:p w14:paraId="5FCF05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人负责保管、看护进场的设备及附配件；</w:t>
      </w:r>
    </w:p>
    <w:p w14:paraId="7BBD73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（2）</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人负责设备、安装设备（工具）等提供适当的保护、包装或覆盖等处理</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以免受损；</w:t>
      </w:r>
    </w:p>
    <w:p w14:paraId="771BCD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（3）</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中标</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人安装调试人员对邻近设备等造成损坏</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应由投标人负责修复及承担一切费用；</w:t>
      </w:r>
    </w:p>
    <w:p w14:paraId="6062DC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（4）无论安装调试期间或保修过程中</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中标人负责及时清理垃圾；</w:t>
      </w:r>
    </w:p>
    <w:p w14:paraId="15AF5D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（5）投标人承担安装调试期间安装场所的安全以及设备和安装调试人员的安全责任；</w:t>
      </w:r>
    </w:p>
    <w:p w14:paraId="327331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（6）供货、安装时间要求：</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合同签订后自接采购人通知之日起</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按招标文件要求</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（除不可抗力、非乙方原因）全部供货及安装完毕</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并完成全部验收、文档整理工作（提供承诺函</w:t>
      </w:r>
      <w:r>
        <w:rPr>
          <w:rFonts w:hint="eastAsia" w:ascii="Times New Roman" w:hAnsi="Times New Roman" w:cstheme="minorEastAsia"/>
          <w:b w:val="0"/>
          <w:bCs/>
          <w:i/>
          <w:iCs/>
          <w:color w:val="000000" w:themeColor="text1"/>
          <w:sz w:val="21"/>
          <w:szCs w:val="21"/>
          <w:highlight w:val="none"/>
          <w:u w:val="single"/>
          <w:lang w:eastAsia="zh-CN"/>
          <w14:textFill>
            <w14:solidFill>
              <w14:schemeClr w14:val="tx1"/>
            </w14:solidFill>
          </w14:textFill>
        </w:rPr>
        <w:t>，</w:t>
      </w:r>
      <w:r>
        <w:rPr>
          <w:rFonts w:hint="eastAsia" w:ascii="Times New Roman" w:hAnsi="Times New Roman" w:eastAsia="宋体" w:cstheme="minorEastAsia"/>
          <w:b w:val="0"/>
          <w:bCs/>
          <w:i/>
          <w:iCs/>
          <w:color w:val="000000" w:themeColor="text1"/>
          <w:sz w:val="21"/>
          <w:szCs w:val="21"/>
          <w:highlight w:val="none"/>
          <w:u w:val="single"/>
          <w:lang w:eastAsia="zh-CN"/>
          <w14:textFill>
            <w14:solidFill>
              <w14:schemeClr w14:val="tx1"/>
            </w14:solidFill>
          </w14:textFill>
        </w:rPr>
        <w:t>原件扫描上传）</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。若因中标人原因导致货物不能按要求安装使用</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采购人有权追究其责任。投标人可先到项目地点充分了解地理位置、情况、道路、储存空间、装卸限制及施工配合等任何其他足以影响投标报价的情况</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任何因忽视或误解项目现场而导致的索赔或工期延长申请将不被批准。</w:t>
      </w:r>
    </w:p>
    <w:p w14:paraId="2D2C31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（7）中标人应在投标文件中提供一份验收大纲</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在采购人确认后作为采购人验收的依据；设备到达采购人现场</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应提前通知采购人</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安装前开箱查验由投标人会同采购人及有关人员根据有关清单进行验收</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p>
    <w:p w14:paraId="56C7B7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both"/>
        <w:textAlignment w:val="auto"/>
        <w:rPr>
          <w:rFonts w:hint="eastAsia" w:ascii="Times New Roman" w:hAnsi="Times New Roman" w:eastAsia="宋体" w:cstheme="minorEastAsia"/>
          <w:b/>
          <w:color w:val="000000" w:themeColor="text1"/>
          <w:sz w:val="21"/>
          <w:szCs w:val="21"/>
          <w:highlight w:val="none"/>
          <w:lang w:eastAsia="zh-CN"/>
          <w14:textFill>
            <w14:solidFill>
              <w14:schemeClr w14:val="tx1"/>
            </w14:solidFill>
          </w14:textFill>
        </w:rPr>
      </w:pP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1</w:t>
      </w:r>
      <w:r>
        <w:rPr>
          <w:rFonts w:hint="eastAsia" w:ascii="Times New Roman" w:hAnsi="Times New Roman" w:cstheme="minorEastAsia"/>
          <w:b w:val="0"/>
          <w:bCs/>
          <w:i w:val="0"/>
          <w:iCs w:val="0"/>
          <w:color w:val="000000" w:themeColor="text1"/>
          <w:sz w:val="21"/>
          <w:szCs w:val="21"/>
          <w:highlight w:val="none"/>
          <w:u w:val="none"/>
          <w:lang w:val="en-US" w:eastAsia="zh-CN"/>
          <w14:textFill>
            <w14:solidFill>
              <w14:schemeClr w14:val="tx1"/>
            </w14:solidFill>
          </w14:textFill>
        </w:rPr>
        <w:t>3</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、设备安装调试完成后</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中标人需提供设备质保书、保修证明等书面资料</w:t>
      </w:r>
      <w:r>
        <w:rPr>
          <w:rFonts w:hint="eastAsia" w:ascii="Times New Roman" w:hAnsi="Times New Roman" w:cstheme="minorEastAsia"/>
          <w:b w:val="0"/>
          <w:bCs/>
          <w:i w:val="0"/>
          <w:iCs w:val="0"/>
          <w:color w:val="000000" w:themeColor="text1"/>
          <w:sz w:val="21"/>
          <w:szCs w:val="21"/>
          <w:highlight w:val="none"/>
          <w:u w:val="none"/>
          <w:lang w:eastAsia="zh-CN"/>
          <w14:textFill>
            <w14:solidFill>
              <w14:schemeClr w14:val="tx1"/>
            </w14:solidFill>
          </w14:textFill>
        </w:rPr>
        <w:t>，</w:t>
      </w:r>
      <w:r>
        <w:rPr>
          <w:rFonts w:hint="eastAsia" w:ascii="Times New Roman" w:hAnsi="Times New Roman" w:eastAsia="宋体" w:cstheme="minorEastAsia"/>
          <w:b w:val="0"/>
          <w:bCs/>
          <w:i w:val="0"/>
          <w:iCs w:val="0"/>
          <w:color w:val="000000" w:themeColor="text1"/>
          <w:sz w:val="21"/>
          <w:szCs w:val="21"/>
          <w:highlight w:val="none"/>
          <w:u w:val="none"/>
          <w:lang w:eastAsia="zh-CN"/>
          <w14:textFill>
            <w14:solidFill>
              <w14:schemeClr w14:val="tx1"/>
            </w14:solidFill>
          </w14:textFill>
        </w:rPr>
        <w:t>并报请有关部门进行检测验收</w:t>
      </w:r>
      <w:r>
        <w:rPr>
          <w:rFonts w:hint="eastAsia" w:ascii="Times New Roman" w:hAnsi="Times New Roman" w:eastAsia="宋体"/>
          <w:b w:val="0"/>
          <w:bCs/>
          <w:color w:val="000000" w:themeColor="text1"/>
          <w:highlight w:val="none"/>
          <w14:textFill>
            <w14:solidFill>
              <w14:schemeClr w14:val="tx1"/>
            </w14:solidFill>
          </w14:textFill>
        </w:rPr>
        <w:t>。</w:t>
      </w:r>
    </w:p>
    <w:p w14:paraId="766790CA">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cs="宋体"/>
          <w:b/>
          <w:color w:val="000000" w:themeColor="text1"/>
          <w:szCs w:val="21"/>
          <w:highlight w:val="none"/>
          <w:lang w:eastAsia="zh-CN"/>
          <w14:textFill>
            <w14:solidFill>
              <w14:schemeClr w14:val="tx1"/>
            </w14:solidFill>
          </w14:textFill>
        </w:rPr>
        <w:t>五、</w:t>
      </w:r>
      <w:r>
        <w:rPr>
          <w:rFonts w:hint="eastAsia" w:ascii="Times New Roman" w:hAnsi="Times New Roman" w:eastAsia="宋体" w:cs="宋体"/>
          <w:b/>
          <w:color w:val="000000" w:themeColor="text1"/>
          <w:szCs w:val="21"/>
          <w:highlight w:val="none"/>
          <w14:textFill>
            <w14:solidFill>
              <w14:schemeClr w14:val="tx1"/>
            </w14:solidFill>
          </w14:textFill>
        </w:rPr>
        <w:t>节能产品要求</w:t>
      </w:r>
    </w:p>
    <w:p w14:paraId="669E0F96">
      <w:pPr>
        <w:keepNext w:val="0"/>
        <w:keepLines w:val="0"/>
        <w:pageBreakBefore w:val="0"/>
        <w:widowControl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i w:val="0"/>
          <w:iCs w:val="0"/>
          <w:color w:val="000000" w:themeColor="text1"/>
          <w:szCs w:val="21"/>
          <w:highlight w:val="none"/>
          <w:u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本次拟采购的产品如属于《节能产品政府采购品目清单》中强制采购范围内的产品</w:t>
      </w:r>
      <w:r>
        <w:rPr>
          <w:rFonts w:hint="eastAsia" w:ascii="Times New Roman" w:hAnsi="Times New Roman" w:cs="宋体"/>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iCs/>
          <w:color w:val="000000" w:themeColor="text1"/>
          <w:szCs w:val="21"/>
          <w:highlight w:val="none"/>
          <w14:textFill>
            <w14:solidFill>
              <w14:schemeClr w14:val="tx1"/>
            </w14:solidFill>
          </w14:textFill>
        </w:rPr>
        <w:t>各投标人应当提供获得国家确定的认证机构出具的、有效期之内的节能产品认证证书的产品</w:t>
      </w:r>
      <w:r>
        <w:rPr>
          <w:rFonts w:hint="eastAsia" w:ascii="Times New Roman" w:hAnsi="Times New Roman" w:eastAsia="宋体" w:cs="宋体"/>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iCs/>
          <w:color w:val="000000" w:themeColor="text1"/>
          <w:szCs w:val="21"/>
          <w:highlight w:val="none"/>
          <w14:textFill>
            <w14:solidFill>
              <w14:schemeClr w14:val="tx1"/>
            </w14:solidFill>
          </w14:textFill>
        </w:rPr>
        <w:t>上述品目清单可通过“中国政府采购网”（</w:t>
      </w:r>
      <w:r>
        <w:rPr>
          <w:rFonts w:hint="eastAsia" w:ascii="Times New Roman" w:hAnsi="Times New Roman" w:eastAsia="宋体" w:cs="宋体"/>
          <w:iCs/>
          <w:color w:val="000000" w:themeColor="text1"/>
          <w:szCs w:val="21"/>
          <w:highlight w:val="none"/>
          <w:lang w:val="en-US" w:eastAsia="zh-CN"/>
          <w14:textFill>
            <w14:solidFill>
              <w14:schemeClr w14:val="tx1"/>
            </w14:solidFill>
          </w14:textFill>
        </w:rPr>
        <w:t>http：</w:t>
      </w:r>
      <w:r>
        <w:rPr>
          <w:rFonts w:hint="eastAsia" w:ascii="Times New Roman" w:hAnsi="Times New Roman" w:eastAsia="宋体" w:cs="宋体"/>
          <w:iCs/>
          <w:color w:val="000000" w:themeColor="text1"/>
          <w:szCs w:val="21"/>
          <w:highlight w:val="none"/>
          <w14:textFill>
            <w14:solidFill>
              <w14:schemeClr w14:val="tx1"/>
            </w14:solidFill>
          </w14:textFill>
        </w:rPr>
        <w:t>//www.ccgp.gov.cn/zcfg/mof/201904/t20190403_11849836.htm）查询</w:t>
      </w:r>
      <w:r>
        <w:rPr>
          <w:rFonts w:hint="eastAsia" w:ascii="Times New Roman" w:hAnsi="Times New Roman" w:eastAsia="宋体" w:cs="宋体"/>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iCs/>
          <w:color w:val="000000" w:themeColor="text1"/>
          <w:szCs w:val="21"/>
          <w:highlight w:val="none"/>
          <w14:textFill>
            <w14:solidFill>
              <w14:schemeClr w14:val="tx1"/>
            </w14:solidFill>
          </w14:textFill>
        </w:rPr>
        <w:t>并在投标文件内提供由国家确定的认证机构出具的、处于有效期之内的节能产品认证证书</w:t>
      </w:r>
      <w:r>
        <w:rPr>
          <w:rFonts w:hint="eastAsia" w:ascii="Times New Roman" w:hAnsi="Times New Roman" w:eastAsia="宋体" w:cs="宋体"/>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iCs/>
          <w:color w:val="000000" w:themeColor="text1"/>
          <w:szCs w:val="21"/>
          <w:highlight w:val="none"/>
          <w14:textFill>
            <w14:solidFill>
              <w14:schemeClr w14:val="tx1"/>
            </w14:solidFill>
          </w14:textFill>
        </w:rPr>
        <w:t>原件</w:t>
      </w:r>
      <w:r>
        <w:rPr>
          <w:rFonts w:hint="eastAsia" w:ascii="Times New Roman" w:hAnsi="Times New Roman" w:eastAsia="宋体" w:cs="宋体"/>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iCs/>
          <w:color w:val="000000" w:themeColor="text1"/>
          <w:szCs w:val="21"/>
          <w:highlight w:val="none"/>
          <w14:textFill>
            <w14:solidFill>
              <w14:schemeClr w14:val="tx1"/>
            </w14:solidFill>
          </w14:textFill>
        </w:rPr>
        <w:t>扫描上传</w:t>
      </w:r>
      <w:r>
        <w:rPr>
          <w:rFonts w:hint="eastAsia" w:ascii="Times New Roman" w:hAnsi="Times New Roman" w:eastAsia="宋体" w:cs="宋体"/>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iCs/>
          <w:color w:val="000000" w:themeColor="text1"/>
          <w:szCs w:val="21"/>
          <w:highlight w:val="none"/>
          <w14:textFill>
            <w14:solidFill>
              <w14:schemeClr w14:val="tx1"/>
            </w14:solidFill>
          </w14:textFill>
        </w:rPr>
        <w:t>否则视为无效投标。（本项目涉及强制采购范围内产品有：</w:t>
      </w:r>
      <w:r>
        <w:rPr>
          <w:rFonts w:hint="eastAsia" w:ascii="Times New Roman" w:hAnsi="Times New Roman" w:eastAsia="宋体" w:cs="宋体"/>
          <w:iCs/>
          <w:color w:val="000000" w:themeColor="text1"/>
          <w:szCs w:val="21"/>
          <w:highlight w:val="none"/>
          <w:lang w:val="en-US" w:eastAsia="zh-CN"/>
          <w14:textFill>
            <w14:solidFill>
              <w14:schemeClr w14:val="tx1"/>
            </w14:solidFill>
          </w14:textFill>
        </w:rPr>
        <w:t>无</w:t>
      </w:r>
      <w:r>
        <w:rPr>
          <w:rFonts w:hint="eastAsia" w:ascii="Times New Roman" w:hAnsi="Times New Roman" w:eastAsia="宋体" w:cs="宋体"/>
          <w:iCs/>
          <w:color w:val="000000" w:themeColor="text1"/>
          <w:szCs w:val="21"/>
          <w:highlight w:val="none"/>
          <w14:textFill>
            <w14:solidFill>
              <w14:schemeClr w14:val="tx1"/>
            </w14:solidFill>
          </w14:textFill>
        </w:rPr>
        <w:t>）</w:t>
      </w:r>
    </w:p>
    <w:p w14:paraId="2324C75A">
      <w:pPr>
        <w:keepNext w:val="0"/>
        <w:keepLines w:val="0"/>
        <w:pageBreakBefore w:val="0"/>
        <w:widowControl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i w:val="0"/>
          <w:iCs w:val="0"/>
          <w:color w:val="000000" w:themeColor="text1"/>
          <w:szCs w:val="21"/>
          <w:highlight w:val="none"/>
          <w:u w:val="none"/>
          <w14:textFill>
            <w14:solidFill>
              <w14:schemeClr w14:val="tx1"/>
            </w14:solidFill>
          </w14:textFill>
        </w:rPr>
      </w:pPr>
    </w:p>
    <w:p w14:paraId="5728AA63">
      <w:pPr>
        <w:pStyle w:val="250"/>
        <w:pageBreakBefore w:val="0"/>
        <w:kinsoku/>
        <w:wordWrap/>
        <w:overflowPunct/>
        <w:topLinePunct w:val="0"/>
        <w:autoSpaceDE/>
        <w:autoSpaceDN/>
        <w:bidi w:val="0"/>
        <w:spacing w:before="0" w:after="0" w:line="360" w:lineRule="auto"/>
        <w:jc w:val="center"/>
        <w:textAlignment w:val="auto"/>
        <w:rPr>
          <w:rFonts w:hint="eastAsia" w:ascii="Times New Roman" w:hAnsi="Times New Roman" w:eastAsia="宋体" w:cs="宋体"/>
          <w:i w:val="0"/>
          <w:iCs w:val="0"/>
          <w:color w:val="000000" w:themeColor="text1"/>
          <w:sz w:val="36"/>
          <w:highlight w:val="none"/>
          <w:u w:val="none"/>
          <w14:textFill>
            <w14:solidFill>
              <w14:schemeClr w14:val="tx1"/>
            </w14:solidFill>
          </w14:textFill>
        </w:rPr>
        <w:sectPr>
          <w:pgSz w:w="11906" w:h="16838"/>
          <w:pgMar w:top="1440" w:right="1800" w:bottom="1440" w:left="1800" w:header="851" w:footer="992" w:gutter="0"/>
          <w:cols w:space="1701" w:num="1"/>
          <w:docGrid w:linePitch="360" w:charSpace="0"/>
        </w:sectPr>
      </w:pPr>
    </w:p>
    <w:p w14:paraId="4B2A3B95">
      <w:pPr>
        <w:pStyle w:val="2"/>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bookmarkStart w:id="85" w:name="_Toc821"/>
      <w:bookmarkStart w:id="86" w:name="_Toc9033"/>
      <w:bookmarkStart w:id="87" w:name="_Toc19571"/>
      <w:bookmarkStart w:id="88" w:name="_Toc6620"/>
      <w:bookmarkStart w:id="89" w:name="_Toc10862"/>
      <w:bookmarkStart w:id="90" w:name="_Toc14859"/>
      <w:r>
        <w:rPr>
          <w:rFonts w:hint="eastAsia" w:ascii="Times New Roman" w:hAnsi="Times New Roman" w:eastAsia="宋体"/>
          <w:color w:val="000000" w:themeColor="text1"/>
          <w:highlight w:val="none"/>
          <w14:textFill>
            <w14:solidFill>
              <w14:schemeClr w14:val="tx1"/>
            </w14:solidFill>
          </w14:textFill>
        </w:rPr>
        <w:t>第五章 评标方法及评标标准</w:t>
      </w:r>
      <w:bookmarkEnd w:id="80"/>
      <w:bookmarkEnd w:id="85"/>
      <w:bookmarkEnd w:id="86"/>
      <w:bookmarkEnd w:id="87"/>
      <w:bookmarkEnd w:id="88"/>
      <w:bookmarkEnd w:id="89"/>
      <w:bookmarkEnd w:id="90"/>
    </w:p>
    <w:p w14:paraId="6F41008F">
      <w:pPr>
        <w:pStyle w:val="61"/>
        <w:keepNext w:val="0"/>
        <w:keepLines w:val="0"/>
        <w:pageBreakBefore w:val="0"/>
        <w:widowControl w:val="0"/>
        <w:kinsoku/>
        <w:wordWrap/>
        <w:overflowPunct/>
        <w:topLinePunct w:val="0"/>
        <w:autoSpaceDE/>
        <w:autoSpaceDN/>
        <w:bidi w:val="0"/>
        <w:spacing w:before="0" w:after="0" w:line="360" w:lineRule="auto"/>
        <w:ind w:firstLine="422"/>
        <w:textAlignment w:val="auto"/>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t>一、评标方法</w:t>
      </w:r>
    </w:p>
    <w:p w14:paraId="729B06B3">
      <w:pPr>
        <w:pStyle w:val="61"/>
        <w:keepNext w:val="0"/>
        <w:keepLines w:val="0"/>
        <w:pageBreakBefore w:val="0"/>
        <w:widowControl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bookmarkStart w:id="91" w:name="_Toc449017024"/>
      <w:bookmarkStart w:id="92" w:name="_Toc449016388"/>
      <w:r>
        <w:rPr>
          <w:rFonts w:hint="eastAsia" w:ascii="Times New Roman" w:hAnsi="Times New Roman" w:eastAsia="宋体" w:cs="宋体"/>
          <w:color w:val="000000" w:themeColor="text1"/>
          <w:sz w:val="21"/>
          <w:szCs w:val="21"/>
          <w:highlight w:val="none"/>
          <w14:textFill>
            <w14:solidFill>
              <w14:schemeClr w14:val="tx1"/>
            </w14:solidFill>
          </w14:textFill>
        </w:rPr>
        <w:t>本项目采用综合评分法</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评委会将对确定为实质性响应招标文件要求的投标文件进行评价和比较。评标结果按评审后得分由高到低顺序排列。得分相同的</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按投标报价由低到高顺序排列。得分且投标报价相同的并列</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投标文件满足招标文件全部实质性要求</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且按照评审因素的量化指标评审得分最高的投标人为排名第一的中标候选人。</w:t>
      </w:r>
    </w:p>
    <w:p w14:paraId="6F5CE65B">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二、政府采购政策功能落实</w:t>
      </w:r>
      <w:bookmarkEnd w:id="91"/>
      <w:bookmarkEnd w:id="92"/>
    </w:p>
    <w:p w14:paraId="7E55088C">
      <w:pPr>
        <w:pageBreakBefore w:val="0"/>
        <w:kinsoku/>
        <w:wordWrap/>
        <w:overflowPunct/>
        <w:topLinePunct w:val="0"/>
        <w:autoSpaceDE/>
        <w:autoSpaceDN/>
        <w:bidi w:val="0"/>
        <w:spacing w:line="360" w:lineRule="auto"/>
        <w:ind w:firstLine="420"/>
        <w:textAlignment w:val="auto"/>
        <w:rPr>
          <w:rFonts w:ascii="Times New Roman" w:hAnsi="Times New Roman" w:eastAsia="宋体"/>
          <w:b/>
          <w:color w:val="000000" w:themeColor="text1"/>
          <w:szCs w:val="2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t>按照《政府采购促进中小企业发展管理办法》的规定</w:t>
      </w:r>
      <w:r>
        <w:rPr>
          <w:rFonts w:hint="eastAsia" w:ascii="Times New Roman" w:hAnsi="Times New Roman"/>
          <w:color w:val="000000" w:themeColor="text1"/>
          <w:highlight w:val="none"/>
          <w:lang w:eastAsia="zh-CN"/>
          <w14:textFill>
            <w14:solidFill>
              <w14:schemeClr w14:val="tx1"/>
            </w14:solidFill>
          </w14:textFill>
        </w:rPr>
        <w:t>，</w:t>
      </w:r>
      <w:r>
        <w:rPr>
          <w:rFonts w:ascii="Times New Roman" w:hAnsi="Times New Roman" w:eastAsia="宋体"/>
          <w:color w:val="000000" w:themeColor="text1"/>
          <w:highlight w:val="none"/>
          <w14:textFill>
            <w14:solidFill>
              <w14:schemeClr w14:val="tx1"/>
            </w14:solidFill>
          </w14:textFill>
        </w:rPr>
        <w:t>未预留份额专门面向中小企业采购的采购项目或分包</w:t>
      </w:r>
      <w:r>
        <w:rPr>
          <w:rFonts w:hint="eastAsia" w:ascii="Times New Roman" w:hAnsi="Times New Roman"/>
          <w:color w:val="000000" w:themeColor="text1"/>
          <w:highlight w:val="none"/>
          <w:lang w:eastAsia="zh-CN"/>
          <w14:textFill>
            <w14:solidFill>
              <w14:schemeClr w14:val="tx1"/>
            </w14:solidFill>
          </w14:textFill>
        </w:rPr>
        <w:t>，</w:t>
      </w:r>
      <w:r>
        <w:rPr>
          <w:rFonts w:ascii="Times New Roman" w:hAnsi="Times New Roman" w:eastAsia="宋体"/>
          <w:color w:val="000000" w:themeColor="text1"/>
          <w:highlight w:val="none"/>
          <w14:textFill>
            <w14:solidFill>
              <w14:schemeClr w14:val="tx1"/>
            </w14:solidFill>
          </w14:textFill>
        </w:rPr>
        <w:t>对符合条件的小微型企业、监狱和戒毒企业价格或残疾人福利单位所制造生产的货物或提供的服务进行价格扣除</w:t>
      </w:r>
      <w:r>
        <w:rPr>
          <w:rFonts w:hint="eastAsia" w:ascii="Times New Roman" w:hAnsi="Times New Roman"/>
          <w:color w:val="000000" w:themeColor="text1"/>
          <w:highlight w:val="none"/>
          <w:lang w:eastAsia="zh-CN"/>
          <w14:textFill>
            <w14:solidFill>
              <w14:schemeClr w14:val="tx1"/>
            </w14:solidFill>
          </w14:textFill>
        </w:rPr>
        <w:t>，</w:t>
      </w:r>
      <w:r>
        <w:rPr>
          <w:rFonts w:ascii="Times New Roman" w:hAnsi="Times New Roman" w:eastAsia="宋体"/>
          <w:color w:val="000000" w:themeColor="text1"/>
          <w:highlight w:val="none"/>
          <w14:textFill>
            <w14:solidFill>
              <w14:schemeClr w14:val="tx1"/>
            </w14:solidFill>
          </w14:textFill>
        </w:rPr>
        <w:t>具体如下：</w:t>
      </w:r>
    </w:p>
    <w:p w14:paraId="5370D8D4">
      <w:pPr>
        <w:pStyle w:val="61"/>
        <w:pageBreakBefore w:val="0"/>
        <w:kinsoku/>
        <w:wordWrap/>
        <w:overflowPunct/>
        <w:topLinePunct w:val="0"/>
        <w:autoSpaceDE/>
        <w:autoSpaceDN/>
        <w:bidi w:val="0"/>
        <w:spacing w:before="0" w:after="0" w:line="360" w:lineRule="auto"/>
        <w:ind w:left="315" w:firstLine="105"/>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1、小微型企业价格扣除</w:t>
      </w:r>
    </w:p>
    <w:p w14:paraId="07D8E4B1">
      <w:pPr>
        <w:pStyle w:val="61"/>
        <w:pageBreakBefore w:val="0"/>
        <w:kinsoku/>
        <w:wordWrap/>
        <w:overflowPunct/>
        <w:topLinePunct w:val="0"/>
        <w:autoSpaceDE/>
        <w:autoSpaceDN/>
        <w:bidi w:val="0"/>
        <w:spacing w:before="0" w:after="0"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（1）本项目对小型和微型企业产品给予</w:t>
      </w:r>
      <w:r>
        <w:rPr>
          <w:rFonts w:hint="eastAsia" w:ascii="Times New Roman" w:hAnsi="Times New Roman" w:eastAsia="宋体"/>
          <w:color w:val="000000" w:themeColor="text1"/>
          <w:sz w:val="21"/>
          <w:szCs w:val="21"/>
          <w:highlight w:val="none"/>
          <w14:textFill>
            <w14:solidFill>
              <w14:schemeClr w14:val="tx1"/>
            </w14:solidFill>
          </w14:textFill>
        </w:rPr>
        <w:t>20</w:t>
      </w:r>
      <w:r>
        <w:rPr>
          <w:rFonts w:ascii="Times New Roman" w:hAnsi="Times New Roman" w:eastAsia="宋体"/>
          <w:color w:val="000000" w:themeColor="text1"/>
          <w:sz w:val="21"/>
          <w:szCs w:val="21"/>
          <w:highlight w:val="none"/>
          <w14:textFill>
            <w14:solidFill>
              <w14:schemeClr w14:val="tx1"/>
            </w14:solidFill>
          </w14:textFill>
        </w:rPr>
        <w:t>%的扣除价格</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用扣除后的价格参与评审。</w:t>
      </w:r>
    </w:p>
    <w:p w14:paraId="509D7E11">
      <w:pPr>
        <w:pStyle w:val="61"/>
        <w:pageBreakBefore w:val="0"/>
        <w:kinsoku/>
        <w:wordWrap/>
        <w:overflowPunct/>
        <w:topLinePunct w:val="0"/>
        <w:autoSpaceDE/>
        <w:autoSpaceDN/>
        <w:bidi w:val="0"/>
        <w:spacing w:before="0" w:after="0"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（2）供应商需按照采购文件的要求提供相应的《</w:t>
      </w:r>
      <w:r>
        <w:rPr>
          <w:rFonts w:hint="eastAsia" w:ascii="Times New Roman" w:hAnsi="Times New Roman" w:eastAsia="宋体"/>
          <w:color w:val="000000" w:themeColor="text1"/>
          <w:sz w:val="21"/>
          <w:szCs w:val="21"/>
          <w:highlight w:val="none"/>
          <w14:textFill>
            <w14:solidFill>
              <w14:schemeClr w14:val="tx1"/>
            </w14:solidFill>
          </w14:textFill>
        </w:rPr>
        <w:t>中小</w:t>
      </w:r>
      <w:r>
        <w:rPr>
          <w:rFonts w:ascii="Times New Roman" w:hAnsi="Times New Roman" w:eastAsia="宋体"/>
          <w:color w:val="000000" w:themeColor="text1"/>
          <w:sz w:val="21"/>
          <w:szCs w:val="21"/>
          <w:highlight w:val="none"/>
          <w14:textFill>
            <w14:solidFill>
              <w14:schemeClr w14:val="tx1"/>
            </w14:solidFill>
          </w14:textFill>
        </w:rPr>
        <w:t>企业声明函》。</w:t>
      </w:r>
    </w:p>
    <w:p w14:paraId="5C2E5871">
      <w:pPr>
        <w:pStyle w:val="61"/>
        <w:pageBreakBefore w:val="0"/>
        <w:kinsoku/>
        <w:wordWrap/>
        <w:overflowPunct/>
        <w:topLinePunct w:val="0"/>
        <w:autoSpaceDE/>
        <w:autoSpaceDN/>
        <w:bidi w:val="0"/>
        <w:spacing w:before="0" w:after="0" w:line="360" w:lineRule="auto"/>
        <w:ind w:left="420" w:firstLine="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2、残疾人福利单位价格扣除</w:t>
      </w:r>
    </w:p>
    <w:p w14:paraId="3EEB0147">
      <w:pPr>
        <w:pStyle w:val="61"/>
        <w:pageBreakBefore w:val="0"/>
        <w:kinsoku/>
        <w:wordWrap/>
        <w:overflowPunct/>
        <w:topLinePunct w:val="0"/>
        <w:autoSpaceDE/>
        <w:autoSpaceDN/>
        <w:bidi w:val="0"/>
        <w:spacing w:before="0" w:after="0"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（1）本项目对残疾人福利性单位视同小型、微型企业</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给予</w:t>
      </w:r>
      <w:r>
        <w:rPr>
          <w:rFonts w:hint="eastAsia" w:ascii="Times New Roman" w:hAnsi="Times New Roman" w:eastAsia="宋体"/>
          <w:color w:val="000000" w:themeColor="text1"/>
          <w:sz w:val="21"/>
          <w:szCs w:val="21"/>
          <w:highlight w:val="none"/>
          <w14:textFill>
            <w14:solidFill>
              <w14:schemeClr w14:val="tx1"/>
            </w14:solidFill>
          </w14:textFill>
        </w:rPr>
        <w:t>20</w:t>
      </w:r>
      <w:r>
        <w:rPr>
          <w:rFonts w:ascii="Times New Roman" w:hAnsi="Times New Roman" w:eastAsia="宋体"/>
          <w:color w:val="000000" w:themeColor="text1"/>
          <w:sz w:val="21"/>
          <w:szCs w:val="21"/>
          <w:highlight w:val="none"/>
          <w14:textFill>
            <w14:solidFill>
              <w14:schemeClr w14:val="tx1"/>
            </w14:solidFill>
          </w14:textFill>
        </w:rPr>
        <w:t>%的价格扣除</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用扣除后的价格参与评审。</w:t>
      </w:r>
    </w:p>
    <w:p w14:paraId="37AAFAFF">
      <w:pPr>
        <w:pStyle w:val="61"/>
        <w:pageBreakBefore w:val="0"/>
        <w:kinsoku/>
        <w:wordWrap/>
        <w:overflowPunct/>
        <w:topLinePunct w:val="0"/>
        <w:autoSpaceDE/>
        <w:autoSpaceDN/>
        <w:bidi w:val="0"/>
        <w:spacing w:before="0" w:after="0" w:line="360" w:lineRule="auto"/>
        <w:ind w:left="420" w:firstLine="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（2）残疾人福利单位需按照采购文件的要求提供《残疾人福利性单位声明函》。</w:t>
      </w:r>
    </w:p>
    <w:p w14:paraId="09B0F3EC">
      <w:pPr>
        <w:pStyle w:val="61"/>
        <w:pageBreakBefore w:val="0"/>
        <w:kinsoku/>
        <w:wordWrap/>
        <w:overflowPunct/>
        <w:topLinePunct w:val="0"/>
        <w:autoSpaceDE/>
        <w:autoSpaceDN/>
        <w:bidi w:val="0"/>
        <w:spacing w:before="0" w:after="0"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（3）残疾人福利单位标准请参照《关于促进残疾人就业政府采购政策的通知》（财库2017〕141号）。</w:t>
      </w:r>
    </w:p>
    <w:p w14:paraId="76C50600">
      <w:pPr>
        <w:pStyle w:val="61"/>
        <w:pageBreakBefore w:val="0"/>
        <w:kinsoku/>
        <w:wordWrap/>
        <w:overflowPunct/>
        <w:topLinePunct w:val="0"/>
        <w:autoSpaceDE/>
        <w:autoSpaceDN/>
        <w:bidi w:val="0"/>
        <w:spacing w:before="0" w:after="0" w:line="360" w:lineRule="auto"/>
        <w:ind w:left="420" w:firstLine="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3、监狱和戒毒企业价格扣除</w:t>
      </w:r>
    </w:p>
    <w:p w14:paraId="6291B5EB">
      <w:pPr>
        <w:pStyle w:val="61"/>
        <w:pageBreakBefore w:val="0"/>
        <w:kinsoku/>
        <w:wordWrap/>
        <w:overflowPunct/>
        <w:topLinePunct w:val="0"/>
        <w:autoSpaceDE/>
        <w:autoSpaceDN/>
        <w:bidi w:val="0"/>
        <w:spacing w:before="0" w:after="0"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（1）本项目对监狱和戒毒企业（简称监狱企业）视同小型、微型企业</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给予</w:t>
      </w:r>
      <w:r>
        <w:rPr>
          <w:rFonts w:hint="eastAsia" w:ascii="Times New Roman" w:hAnsi="Times New Roman" w:eastAsia="宋体"/>
          <w:color w:val="000000" w:themeColor="text1"/>
          <w:sz w:val="21"/>
          <w:szCs w:val="21"/>
          <w:highlight w:val="none"/>
          <w14:textFill>
            <w14:solidFill>
              <w14:schemeClr w14:val="tx1"/>
            </w14:solidFill>
          </w14:textFill>
        </w:rPr>
        <w:t>20</w:t>
      </w:r>
      <w:r>
        <w:rPr>
          <w:rFonts w:ascii="Times New Roman" w:hAnsi="Times New Roman" w:eastAsia="宋体"/>
          <w:color w:val="000000" w:themeColor="text1"/>
          <w:sz w:val="21"/>
          <w:szCs w:val="21"/>
          <w:highlight w:val="none"/>
          <w14:textFill>
            <w14:solidFill>
              <w14:schemeClr w14:val="tx1"/>
            </w14:solidFill>
          </w14:textFill>
        </w:rPr>
        <w:t>%的价格扣除</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用扣除后的价格参与评审。</w:t>
      </w:r>
    </w:p>
    <w:p w14:paraId="223FE0AB">
      <w:pPr>
        <w:pStyle w:val="61"/>
        <w:pageBreakBefore w:val="0"/>
        <w:kinsoku/>
        <w:wordWrap/>
        <w:overflowPunct/>
        <w:topLinePunct w:val="0"/>
        <w:autoSpaceDE/>
        <w:autoSpaceDN/>
        <w:bidi w:val="0"/>
        <w:spacing w:before="0" w:after="0"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（2）监狱企业参加政府采购活动时</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需提供由省级以上监狱管理局、戒毒管理局（含新疆生产建设兵团）出具的属于监狱企业的证明文件。供应商如不提供上述证明文件</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价格将不做相应扣除。</w:t>
      </w:r>
    </w:p>
    <w:p w14:paraId="3F721BCB">
      <w:pPr>
        <w:pStyle w:val="61"/>
        <w:pageBreakBefore w:val="0"/>
        <w:kinsoku/>
        <w:wordWrap/>
        <w:overflowPunct/>
        <w:topLinePunct w:val="0"/>
        <w:autoSpaceDE/>
        <w:autoSpaceDN/>
        <w:bidi w:val="0"/>
        <w:spacing w:before="0" w:after="0"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（3）监狱企业标准请参照《关于政府采购支持监狱企业发展有关问题的通知》（财库</w:t>
      </w:r>
      <w:r>
        <w:rPr>
          <w:rFonts w:hint="eastAsia" w:ascii="Times New Roman" w:hAnsi="Times New Roman" w:eastAsia="宋体"/>
          <w:color w:val="000000" w:themeColor="text1"/>
          <w:sz w:val="21"/>
          <w:szCs w:val="21"/>
          <w:highlight w:val="none"/>
          <w:lang w:eastAsia="zh-CN"/>
          <w14:textFill>
            <w14:solidFill>
              <w14:schemeClr w14:val="tx1"/>
            </w14:solidFill>
          </w14:textFill>
        </w:rPr>
        <w:t>〔2014〕68号</w:t>
      </w:r>
      <w:r>
        <w:rPr>
          <w:rFonts w:ascii="Times New Roman" w:hAnsi="Times New Roman" w:eastAsia="宋体"/>
          <w:color w:val="000000" w:themeColor="text1"/>
          <w:sz w:val="21"/>
          <w:szCs w:val="21"/>
          <w:highlight w:val="none"/>
          <w14:textFill>
            <w14:solidFill>
              <w14:schemeClr w14:val="tx1"/>
            </w14:solidFill>
          </w14:textFill>
        </w:rPr>
        <w:t>）。</w:t>
      </w:r>
    </w:p>
    <w:p w14:paraId="3F23880F">
      <w:pPr>
        <w:pStyle w:val="61"/>
        <w:pageBreakBefore w:val="0"/>
        <w:kinsoku/>
        <w:wordWrap/>
        <w:overflowPunct/>
        <w:topLinePunct w:val="0"/>
        <w:autoSpaceDE/>
        <w:autoSpaceDN/>
        <w:bidi w:val="0"/>
        <w:spacing w:before="0" w:after="0"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4、残疾人福利单位、监狱企业属于小型、微型企业的</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不重复享受政策。</w:t>
      </w:r>
    </w:p>
    <w:p w14:paraId="1B91F78B">
      <w:pPr>
        <w:pStyle w:val="61"/>
        <w:pageBreakBefore w:val="0"/>
        <w:kinsoku/>
        <w:wordWrap/>
        <w:overflowPunct/>
        <w:topLinePunct w:val="0"/>
        <w:autoSpaceDE/>
        <w:autoSpaceDN/>
        <w:bidi w:val="0"/>
        <w:spacing w:before="0" w:after="0"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5、大中型企业和其他自然人、法人或者其他组织并与小型、微型企业（残疾人福利单位、监狱企业）组成联合体共同参加政府采购活动。联合协议中约定</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小型、微型企业（残疾人福利单位、监狱企业）的协议合同金额占到联合体协议合同总金额30%以上的</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给予联合体</w:t>
      </w:r>
      <w:r>
        <w:rPr>
          <w:rFonts w:hint="eastAsia" w:ascii="Times New Roman" w:hAnsi="Times New Roman" w:eastAsia="宋体"/>
          <w:color w:val="000000" w:themeColor="text1"/>
          <w:sz w:val="21"/>
          <w:szCs w:val="21"/>
          <w:highlight w:val="none"/>
          <w14:textFill>
            <w14:solidFill>
              <w14:schemeClr w14:val="tx1"/>
            </w14:solidFill>
          </w14:textFill>
        </w:rPr>
        <w:t>6</w:t>
      </w:r>
      <w:r>
        <w:rPr>
          <w:rFonts w:ascii="Times New Roman" w:hAnsi="Times New Roman" w:eastAsia="宋体"/>
          <w:color w:val="000000" w:themeColor="text1"/>
          <w:sz w:val="21"/>
          <w:szCs w:val="21"/>
          <w:highlight w:val="none"/>
          <w14:textFill>
            <w14:solidFill>
              <w14:schemeClr w14:val="tx1"/>
            </w14:solidFill>
          </w14:textFill>
        </w:rPr>
        <w:t>%的价格扣除</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用扣除后的价格参与评审。</w:t>
      </w:r>
    </w:p>
    <w:p w14:paraId="7359858D">
      <w:pPr>
        <w:pStyle w:val="61"/>
        <w:pageBreakBefore w:val="0"/>
        <w:kinsoku/>
        <w:wordWrap/>
        <w:overflowPunct/>
        <w:topLinePunct w:val="0"/>
        <w:autoSpaceDE/>
        <w:autoSpaceDN/>
        <w:bidi w:val="0"/>
        <w:spacing w:before="0" w:after="0"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6、联合体各方均为小型、微型企业（残疾人福利单位、监狱企业）的</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联合体享受</w:t>
      </w:r>
      <w:r>
        <w:rPr>
          <w:rFonts w:hint="eastAsia" w:ascii="Times New Roman" w:hAnsi="Times New Roman" w:eastAsia="宋体"/>
          <w:color w:val="000000" w:themeColor="text1"/>
          <w:sz w:val="21"/>
          <w:szCs w:val="21"/>
          <w:highlight w:val="none"/>
          <w14:textFill>
            <w14:solidFill>
              <w14:schemeClr w14:val="tx1"/>
            </w14:solidFill>
          </w14:textFill>
        </w:rPr>
        <w:t>20</w:t>
      </w:r>
      <w:r>
        <w:rPr>
          <w:rFonts w:ascii="Times New Roman" w:hAnsi="Times New Roman" w:eastAsia="宋体"/>
          <w:color w:val="000000" w:themeColor="text1"/>
          <w:sz w:val="21"/>
          <w:szCs w:val="21"/>
          <w:highlight w:val="none"/>
          <w14:textFill>
            <w14:solidFill>
              <w14:schemeClr w14:val="tx1"/>
            </w14:solidFill>
          </w14:textFill>
        </w:rPr>
        <w:t>%价格扣除</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用扣除后的价格参与评审。</w:t>
      </w:r>
    </w:p>
    <w:p w14:paraId="02C49984">
      <w:pPr>
        <w:pageBreakBefore w:val="0"/>
        <w:kinsoku/>
        <w:wordWrap/>
        <w:overflowPunct/>
        <w:topLinePunct w:val="0"/>
        <w:autoSpaceDE/>
        <w:autoSpaceDN/>
        <w:bidi w:val="0"/>
        <w:spacing w:line="360" w:lineRule="auto"/>
        <w:ind w:firstLine="420"/>
        <w:jc w:val="left"/>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7、大中型企业向小型、微型企业分包的</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分包意向协议约定小型、微型企业合同份额占到合同总金额40%以上的</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给予6%的价格扣除</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用扣除后的价格参与评审。</w:t>
      </w:r>
    </w:p>
    <w:p w14:paraId="0FD3642A">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宋体"/>
          <w:color w:val="000000" w:themeColor="text1"/>
          <w:sz w:val="21"/>
          <w:szCs w:val="21"/>
          <w:highlight w:val="none"/>
          <w14:textFill>
            <w14:solidFill>
              <w14:schemeClr w14:val="tx1"/>
            </w14:solidFill>
          </w14:textFill>
        </w:rPr>
        <w:t>、采购本国产品的支持政策</w:t>
      </w:r>
    </w:p>
    <w:p w14:paraId="2AC91C85">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宋体"/>
          <w:color w:val="000000" w:themeColor="text1"/>
          <w:sz w:val="21"/>
          <w:szCs w:val="21"/>
          <w:highlight w:val="none"/>
          <w14:textFill>
            <w14:solidFill>
              <w14:schemeClr w14:val="tx1"/>
            </w14:solidFill>
          </w14:textFill>
        </w:rPr>
        <w:t>.1 本项目政府采购活动中既有本国产品又有非本国产品参与竞争的</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依法对本国产品给予价格评审优惠</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对本国产品的报价给予 20%的价格扣除</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用扣除后的价格参与评审。</w:t>
      </w:r>
    </w:p>
    <w:p w14:paraId="54F53E81">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宋体"/>
          <w:color w:val="000000" w:themeColor="text1"/>
          <w:sz w:val="21"/>
          <w:szCs w:val="21"/>
          <w:highlight w:val="none"/>
          <w14:textFill>
            <w14:solidFill>
              <w14:schemeClr w14:val="tx1"/>
            </w14:solidFill>
          </w14:textFill>
        </w:rPr>
        <w:t>.2 当采购项目或者采购包中含有多种产品</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供应商为该采购项目或者采购包提供的符合本国产品标准的产品成本之和占该供应商提供的全部产品成本之和的比例达到80%以上时（供应商需在“第六章 投标文件格式”的“ 投标分项报价表”中填写比例数值）</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依法对该供应商提供的全部产品给予价格评审优惠</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即对该供应商提供的全部产品的总报价给予20%的价格扣除</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用扣除后的价格参与评审。供应商未填写比例数值</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或比例数值未达到80%的</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将不享受本国产品价格评审优惠。</w:t>
      </w:r>
    </w:p>
    <w:p w14:paraId="52B22405">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宋体"/>
          <w:color w:val="000000" w:themeColor="text1"/>
          <w:sz w:val="21"/>
          <w:szCs w:val="21"/>
          <w:highlight w:val="none"/>
          <w14:textFill>
            <w14:solidFill>
              <w14:schemeClr w14:val="tx1"/>
            </w14:solidFill>
          </w14:textFill>
        </w:rPr>
        <w:t>.3 供应商需按照招标文件的要求提供《关于符合本国产品标准的声明函》（以下简称《声明函》）</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如不提供将不享受本国产品价格评审优惠。</w:t>
      </w:r>
    </w:p>
    <w:p w14:paraId="51D75D5C">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宋体"/>
          <w:color w:val="000000" w:themeColor="text1"/>
          <w:sz w:val="21"/>
          <w:szCs w:val="21"/>
          <w:highlight w:val="none"/>
          <w14:textFill>
            <w14:solidFill>
              <w14:schemeClr w14:val="tx1"/>
            </w14:solidFill>
          </w14:textFill>
        </w:rPr>
        <w:t>.4 供应商需在《声明函》中逐一、准确填写产品名称、厂名、生产厂址三项信息（《声明函》中用斜线划除的地方无需填写）</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三项信息中任意一项未填写的视为该项产品不符合本国产品标准</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不享受本国产品价格评审优惠。</w:t>
      </w:r>
    </w:p>
    <w:p w14:paraId="7D72C054">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8</w:t>
      </w:r>
      <w:r>
        <w:rPr>
          <w:rFonts w:hint="eastAsia" w:ascii="Times New Roman" w:hAnsi="Times New Roman" w:eastAsia="宋体" w:cs="宋体"/>
          <w:color w:val="000000" w:themeColor="text1"/>
          <w:sz w:val="21"/>
          <w:szCs w:val="21"/>
          <w:highlight w:val="none"/>
          <w14:textFill>
            <w14:solidFill>
              <w14:schemeClr w14:val="tx1"/>
            </w14:solidFill>
          </w14:textFill>
        </w:rPr>
        <w:t>.5 评标过程中</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如发现供应商在《声明函》内容含义不明确、同类事项与投标（响应）文件表述不一致或者有明显文字错误等情况的</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供应商提供的相关产品视为不符合本国产品标准。</w:t>
      </w:r>
    </w:p>
    <w:p w14:paraId="6A1121C2">
      <w:pPr>
        <w:keepNext w:val="0"/>
        <w:keepLines w:val="0"/>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 w:val="21"/>
          <w:szCs w:val="21"/>
          <w:highlight w:val="none"/>
          <w14:textFill>
            <w14:solidFill>
              <w14:schemeClr w14:val="tx1"/>
            </w14:solidFill>
          </w14:textFill>
        </w:rPr>
      </w:pPr>
      <w:r>
        <w:rPr>
          <w:rFonts w:hint="eastAsia" w:ascii="Times New Roman" w:hAnsi="Times New Roman" w:eastAsia="宋体" w:cs="宋体"/>
          <w:b/>
          <w:color w:val="000000" w:themeColor="text1"/>
          <w:sz w:val="21"/>
          <w:szCs w:val="21"/>
          <w:highlight w:val="none"/>
          <w14:textFill>
            <w14:solidFill>
              <w14:schemeClr w14:val="tx1"/>
            </w14:solidFill>
          </w14:textFill>
        </w:rPr>
        <w:t>三、评标标准</w:t>
      </w:r>
    </w:p>
    <w:p w14:paraId="211794E7">
      <w:pPr>
        <w:keepNext w:val="0"/>
        <w:keepLines w:val="0"/>
        <w:pageBreakBefore w:val="0"/>
        <w:kinsoku/>
        <w:wordWrap/>
        <w:overflowPunct/>
        <w:topLinePunct w:val="0"/>
        <w:autoSpaceDE/>
        <w:autoSpaceDN/>
        <w:bidi w:val="0"/>
        <w:spacing w:line="360" w:lineRule="auto"/>
        <w:ind w:firstLine="422"/>
        <w:textAlignment w:val="auto"/>
        <w:rPr>
          <w:rFonts w:hint="default" w:ascii="Times New Roman" w:hAnsi="Times New Roman" w:cs="宋体"/>
          <w:b/>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color w:val="000000" w:themeColor="text1"/>
          <w:sz w:val="21"/>
          <w:szCs w:val="21"/>
          <w:highlight w:val="none"/>
          <w:lang w:eastAsia="zh-CN"/>
          <w14:textFill>
            <w14:solidFill>
              <w14:schemeClr w14:val="tx1"/>
            </w14:solidFill>
          </w14:textFill>
        </w:rPr>
        <w:t>包</w:t>
      </w:r>
      <w:r>
        <w:rPr>
          <w:rFonts w:hint="eastAsia" w:ascii="Times New Roman" w:hAnsi="Times New Roman" w:cs="宋体"/>
          <w:b/>
          <w:color w:val="000000" w:themeColor="text1"/>
          <w:sz w:val="21"/>
          <w:szCs w:val="21"/>
          <w:highlight w:val="none"/>
          <w:lang w:val="en-US" w:eastAsia="zh-CN"/>
          <w14:textFill>
            <w14:solidFill>
              <w14:schemeClr w14:val="tx1"/>
            </w14:solidFill>
          </w14:textFill>
        </w:rPr>
        <w:t>1：</w:t>
      </w:r>
    </w:p>
    <w:tbl>
      <w:tblPr>
        <w:tblStyle w:val="3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320"/>
        <w:gridCol w:w="761"/>
        <w:gridCol w:w="6375"/>
      </w:tblGrid>
      <w:tr w14:paraId="5ED79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0" w:type="dxa"/>
            <w:vAlign w:val="center"/>
          </w:tcPr>
          <w:p w14:paraId="69D07ABE">
            <w:pPr>
              <w:pageBreakBefore w:val="0"/>
              <w:kinsoku/>
              <w:overflowPunct/>
              <w:topLinePunct w:val="0"/>
              <w:autoSpaceDE/>
              <w:autoSpaceDN/>
              <w:bidi w:val="0"/>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1320" w:type="dxa"/>
            <w:vAlign w:val="center"/>
          </w:tcPr>
          <w:p w14:paraId="39596E71">
            <w:pPr>
              <w:pageBreakBefore w:val="0"/>
              <w:kinsoku/>
              <w:overflowPunct/>
              <w:topLinePunct w:val="0"/>
              <w:autoSpaceDE/>
              <w:autoSpaceDN/>
              <w:bidi w:val="0"/>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评分因素</w:t>
            </w:r>
          </w:p>
        </w:tc>
        <w:tc>
          <w:tcPr>
            <w:tcW w:w="761" w:type="dxa"/>
            <w:vAlign w:val="center"/>
          </w:tcPr>
          <w:p w14:paraId="35E3BA25">
            <w:pPr>
              <w:pageBreakBefore w:val="0"/>
              <w:kinsoku/>
              <w:overflowPunct/>
              <w:topLinePunct w:val="0"/>
              <w:autoSpaceDE/>
              <w:autoSpaceDN/>
              <w:bidi w:val="0"/>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分值</w:t>
            </w:r>
          </w:p>
        </w:tc>
        <w:tc>
          <w:tcPr>
            <w:tcW w:w="6375" w:type="dxa"/>
            <w:vAlign w:val="center"/>
          </w:tcPr>
          <w:p w14:paraId="1CEE1EE7">
            <w:pPr>
              <w:pageBreakBefore w:val="0"/>
              <w:kinsoku/>
              <w:overflowPunct/>
              <w:topLinePunct w:val="0"/>
              <w:autoSpaceDE/>
              <w:autoSpaceDN/>
              <w:bidi w:val="0"/>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评分依据</w:t>
            </w:r>
          </w:p>
        </w:tc>
      </w:tr>
      <w:tr w14:paraId="66882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23F06AED">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20" w:type="dxa"/>
            <w:shd w:val="clear" w:color="auto" w:fill="auto"/>
            <w:vAlign w:val="center"/>
          </w:tcPr>
          <w:p w14:paraId="73C41373">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w:t>
            </w:r>
          </w:p>
        </w:tc>
        <w:tc>
          <w:tcPr>
            <w:tcW w:w="761" w:type="dxa"/>
            <w:vAlign w:val="center"/>
          </w:tcPr>
          <w:p w14:paraId="6A077ABF">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30分</w:t>
            </w:r>
          </w:p>
        </w:tc>
        <w:tc>
          <w:tcPr>
            <w:tcW w:w="6375" w:type="dxa"/>
            <w:vAlign w:val="center"/>
          </w:tcPr>
          <w:p w14:paraId="4C36195A">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价格分采用低价优先法计算，即满足招标文件要求且报价最低的报价为评标基准价，其价格分为满分。其他投标人的价格分按照下列公式计算，保留小数点后2位：报价得分=（评标基准价／报价）×30。</w:t>
            </w:r>
          </w:p>
        </w:tc>
      </w:tr>
      <w:tr w14:paraId="44F3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2F555B2F">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320" w:type="dxa"/>
            <w:shd w:val="clear" w:color="auto" w:fill="auto"/>
            <w:vAlign w:val="center"/>
          </w:tcPr>
          <w:p w14:paraId="5C9B5DA2">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需求响应</w:t>
            </w:r>
          </w:p>
        </w:tc>
        <w:tc>
          <w:tcPr>
            <w:tcW w:w="761" w:type="dxa"/>
            <w:vAlign w:val="center"/>
          </w:tcPr>
          <w:p w14:paraId="6492C715">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36分</w:t>
            </w:r>
          </w:p>
        </w:tc>
        <w:tc>
          <w:tcPr>
            <w:tcW w:w="6375" w:type="dxa"/>
            <w:vAlign w:val="center"/>
          </w:tcPr>
          <w:p w14:paraId="720C6CC0">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完全满足招标文件第四部分采购需求（一）技术要求的得满分，★参数为核心参数，不得出现负偏离，否则将作无效投标处理；▲参数为重要参数，每负偏离一项扣2分；其余参数为一般参数，每负偏离一项扣0.6分。扣完为止。</w:t>
            </w:r>
          </w:p>
          <w:p w14:paraId="4576177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注：★、▲参数以及采购需求中明确要求提供证明材料的，须按要求在投标文件中提供证明材料（如实物图片、</w:t>
            </w:r>
            <w:r>
              <w:rPr>
                <w:rFonts w:hint="eastAsia" w:ascii="宋体" w:hAnsi="宋体" w:cs="宋体"/>
                <w:color w:val="000000" w:themeColor="text1"/>
                <w:highlight w:val="none"/>
                <w:lang w:val="en-US" w:eastAsia="zh-CN"/>
                <w14:textFill>
                  <w14:solidFill>
                    <w14:schemeClr w14:val="tx1"/>
                  </w14:solidFill>
                </w14:textFill>
              </w:rPr>
              <w:t>网站截图</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白皮书、产品彩页、技术资料书、检测报告等），且均须在技术响应偏离表详尽真实地提供偏离情况及证明材料页码，否则视为负偏离。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w:t>
            </w:r>
          </w:p>
          <w:p w14:paraId="55327E29">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设备交付验收时，招标人将对技术要求的具体描述进行逐一核实验收，如发现虚假应标，给招标人造成损失的由投标人承担一切责任。需提供投标人承诺书原件(格式自拟)。</w:t>
            </w:r>
          </w:p>
        </w:tc>
      </w:tr>
      <w:tr w14:paraId="076E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50" w:type="dxa"/>
            <w:vAlign w:val="center"/>
          </w:tcPr>
          <w:p w14:paraId="7E2A5ABE">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320" w:type="dxa"/>
            <w:shd w:val="clear" w:color="auto" w:fill="auto"/>
            <w:vAlign w:val="center"/>
          </w:tcPr>
          <w:p w14:paraId="7EF0C893">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项目交货方案</w:t>
            </w:r>
          </w:p>
        </w:tc>
        <w:tc>
          <w:tcPr>
            <w:tcW w:w="761" w:type="dxa"/>
            <w:shd w:val="clear" w:color="auto" w:fill="auto"/>
            <w:vAlign w:val="center"/>
          </w:tcPr>
          <w:p w14:paraId="58653DA5">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5分</w:t>
            </w:r>
          </w:p>
        </w:tc>
        <w:tc>
          <w:tcPr>
            <w:tcW w:w="6375" w:type="dxa"/>
            <w:shd w:val="clear" w:color="auto" w:fill="auto"/>
            <w:vAlign w:val="center"/>
          </w:tcPr>
          <w:p w14:paraId="4274CB3D">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投标人应根据招标文件要求提供项目交货方案、进度方案、防护方案：</w:t>
            </w:r>
          </w:p>
          <w:p w14:paraId="3B262D8F">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4EFE5BF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3E7AC9B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66A4072A">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57A3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shd w:val="clear" w:color="auto" w:fill="auto"/>
            <w:vAlign w:val="center"/>
          </w:tcPr>
          <w:p w14:paraId="71F01EB9">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320" w:type="dxa"/>
            <w:shd w:val="clear" w:color="auto" w:fill="auto"/>
            <w:vAlign w:val="center"/>
          </w:tcPr>
          <w:p w14:paraId="297DEF76">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安装调试方案</w:t>
            </w:r>
          </w:p>
        </w:tc>
        <w:tc>
          <w:tcPr>
            <w:tcW w:w="761" w:type="dxa"/>
            <w:shd w:val="clear" w:color="auto" w:fill="auto"/>
            <w:vAlign w:val="center"/>
          </w:tcPr>
          <w:p w14:paraId="21B600A2">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5分</w:t>
            </w:r>
          </w:p>
        </w:tc>
        <w:tc>
          <w:tcPr>
            <w:tcW w:w="6375" w:type="dxa"/>
            <w:shd w:val="clear" w:color="auto" w:fill="auto"/>
            <w:vAlign w:val="center"/>
          </w:tcPr>
          <w:p w14:paraId="08A87D88">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投标人应根据招标文件要求提供安装方案、调试方案、管理方案：</w:t>
            </w:r>
          </w:p>
          <w:p w14:paraId="715F3E16">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4E6103D8">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74451EF7">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714B3FBB">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1EB4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shd w:val="clear" w:color="auto" w:fill="auto"/>
            <w:vAlign w:val="center"/>
          </w:tcPr>
          <w:p w14:paraId="6D39920A">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320" w:type="dxa"/>
            <w:shd w:val="clear" w:color="auto" w:fill="auto"/>
            <w:vAlign w:val="center"/>
          </w:tcPr>
          <w:p w14:paraId="73571DD7">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质量控制方案</w:t>
            </w:r>
          </w:p>
        </w:tc>
        <w:tc>
          <w:tcPr>
            <w:tcW w:w="761" w:type="dxa"/>
            <w:shd w:val="clear" w:color="auto" w:fill="auto"/>
            <w:vAlign w:val="center"/>
          </w:tcPr>
          <w:p w14:paraId="4AA9120B">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5分</w:t>
            </w:r>
          </w:p>
        </w:tc>
        <w:tc>
          <w:tcPr>
            <w:tcW w:w="6375" w:type="dxa"/>
            <w:shd w:val="clear" w:color="auto" w:fill="auto"/>
            <w:vAlign w:val="center"/>
          </w:tcPr>
          <w:p w14:paraId="50F33004">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投标人应根据招标文件要求提供质量控制体系、质量检验标准、质量管理方案：</w:t>
            </w:r>
          </w:p>
          <w:p w14:paraId="508C944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1478F48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242CA540">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43617646">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76CF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28D908F9">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320" w:type="dxa"/>
            <w:shd w:val="clear" w:color="auto" w:fill="auto"/>
            <w:vAlign w:val="center"/>
          </w:tcPr>
          <w:p w14:paraId="20FFCCF8">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培训及技术支持方案</w:t>
            </w:r>
          </w:p>
        </w:tc>
        <w:tc>
          <w:tcPr>
            <w:tcW w:w="761" w:type="dxa"/>
            <w:vAlign w:val="center"/>
          </w:tcPr>
          <w:p w14:paraId="7C6FF2BC">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5分</w:t>
            </w:r>
          </w:p>
        </w:tc>
        <w:tc>
          <w:tcPr>
            <w:tcW w:w="6375" w:type="dxa"/>
            <w:vAlign w:val="center"/>
          </w:tcPr>
          <w:p w14:paraId="4935CC10">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投标人应根据招标文件要求提供人员培训方案、技术支持方案、采购人所需的技术和学术支持方案：</w:t>
            </w:r>
          </w:p>
          <w:p w14:paraId="4C8ED950">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70EED8DF">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3742F03D">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4C982CAA">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181B0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50" w:type="dxa"/>
            <w:vAlign w:val="center"/>
          </w:tcPr>
          <w:p w14:paraId="2F58ACDA">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320" w:type="dxa"/>
            <w:shd w:val="clear" w:color="auto" w:fill="auto"/>
            <w:vAlign w:val="center"/>
          </w:tcPr>
          <w:p w14:paraId="06744EB5">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售后服务方案</w:t>
            </w:r>
          </w:p>
        </w:tc>
        <w:tc>
          <w:tcPr>
            <w:tcW w:w="761" w:type="dxa"/>
            <w:vAlign w:val="center"/>
          </w:tcPr>
          <w:p w14:paraId="33D694F1">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7分</w:t>
            </w:r>
          </w:p>
        </w:tc>
        <w:tc>
          <w:tcPr>
            <w:tcW w:w="6375" w:type="dxa"/>
            <w:vAlign w:val="center"/>
          </w:tcPr>
          <w:p w14:paraId="04ADDDC4">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投标人应根据招标文件要求提供售后方案、售后人员安排、售后响应措施：</w:t>
            </w:r>
          </w:p>
          <w:p w14:paraId="121590B3">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63E2F3DD">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5B533B38">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75AA85CF">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其余不得分。项目整体及所有设备满足招标文件免费质保期1年要求的不得分；在此基础上免费质保每增加1年加1分，本项最高得2分。需提供投标人质保期承诺书原件（格式自拟）。</w:t>
            </w:r>
          </w:p>
        </w:tc>
      </w:tr>
      <w:tr w14:paraId="62D6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4402CFF2">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1320" w:type="dxa"/>
            <w:shd w:val="clear" w:color="auto" w:fill="auto"/>
            <w:vAlign w:val="center"/>
          </w:tcPr>
          <w:p w14:paraId="0808A6B1">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应急方案</w:t>
            </w:r>
          </w:p>
        </w:tc>
        <w:tc>
          <w:tcPr>
            <w:tcW w:w="761" w:type="dxa"/>
            <w:vAlign w:val="center"/>
          </w:tcPr>
          <w:p w14:paraId="362983AD">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5分</w:t>
            </w:r>
          </w:p>
        </w:tc>
        <w:tc>
          <w:tcPr>
            <w:tcW w:w="6375" w:type="dxa"/>
            <w:vAlign w:val="center"/>
          </w:tcPr>
          <w:p w14:paraId="7321DDE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标人应根据招标文件要求提供应急预案、应急处理方案、应急人员安排：</w:t>
            </w:r>
          </w:p>
          <w:p w14:paraId="052DE035">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7D19581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16813A42">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592A6B96">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7568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5ADAC3AF">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320" w:type="dxa"/>
            <w:shd w:val="clear" w:color="auto" w:fill="auto"/>
            <w:vAlign w:val="center"/>
          </w:tcPr>
          <w:p w14:paraId="4A44AC72">
            <w:pPr>
              <w:pageBreakBefore w:val="0"/>
              <w:widowControl/>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业绩</w:t>
            </w:r>
          </w:p>
        </w:tc>
        <w:tc>
          <w:tcPr>
            <w:tcW w:w="761" w:type="dxa"/>
            <w:shd w:val="clear" w:color="auto" w:fill="auto"/>
            <w:vAlign w:val="center"/>
          </w:tcPr>
          <w:p w14:paraId="5AAE665E">
            <w:pPr>
              <w:pageBreakBefore w:val="0"/>
              <w:widowControl/>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2分</w:t>
            </w:r>
          </w:p>
        </w:tc>
        <w:tc>
          <w:tcPr>
            <w:tcW w:w="6375" w:type="dxa"/>
            <w:shd w:val="clear" w:color="auto" w:fill="auto"/>
            <w:vAlign w:val="center"/>
          </w:tcPr>
          <w:p w14:paraId="3A17E2CE">
            <w:pPr>
              <w:pageBreakBefore w:val="0"/>
              <w:widowControl/>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2024年1月1日以来（以合同签订时间为准）</w:t>
            </w:r>
            <w:r>
              <w:rPr>
                <w:rFonts w:hint="eastAsia" w:ascii="宋体" w:hAnsi="宋体" w:cs="宋体"/>
                <w:color w:val="000000" w:themeColor="text1"/>
                <w:sz w:val="21"/>
                <w:szCs w:val="21"/>
                <w:highlight w:val="none"/>
                <w:lang w:eastAsia="zh-CN" w:bidi="ar"/>
                <w14:textFill>
                  <w14:solidFill>
                    <w14:schemeClr w14:val="tx1"/>
                  </w14:solidFill>
                </w14:textFill>
              </w:rPr>
              <w:t>，</w:t>
            </w:r>
            <w:r>
              <w:rPr>
                <w:rFonts w:hint="eastAsia" w:ascii="宋体" w:hAnsi="宋体" w:eastAsia="宋体" w:cs="宋体"/>
                <w:color w:val="000000" w:themeColor="text1"/>
                <w:highlight w:val="none"/>
                <w:lang w:bidi="ar"/>
                <w14:textFill>
                  <w14:solidFill>
                    <w14:schemeClr w14:val="tx1"/>
                  </w14:solidFill>
                </w14:textFill>
              </w:rPr>
              <w:t>投标人或制造商</w:t>
            </w:r>
            <w:r>
              <w:rPr>
                <w:rFonts w:hint="eastAsia" w:ascii="宋体" w:hAnsi="宋体" w:eastAsia="宋体" w:cs="宋体"/>
                <w:color w:val="000000" w:themeColor="text1"/>
                <w:highlight w:val="none"/>
                <w:lang w:eastAsia="zh-CN" w:bidi="ar"/>
                <w14:textFill>
                  <w14:solidFill>
                    <w14:schemeClr w14:val="tx1"/>
                  </w14:solidFill>
                </w14:textFill>
              </w:rPr>
              <w:t>具有</w:t>
            </w:r>
            <w:r>
              <w:rPr>
                <w:rFonts w:hint="eastAsia" w:ascii="宋体" w:hAnsi="宋体" w:eastAsia="宋体" w:cs="宋体"/>
                <w:color w:val="000000" w:themeColor="text1"/>
                <w:sz w:val="21"/>
                <w:szCs w:val="21"/>
                <w:highlight w:val="none"/>
                <w:lang w:bidi="ar"/>
                <w14:textFill>
                  <w14:solidFill>
                    <w14:schemeClr w14:val="tx1"/>
                  </w14:solidFill>
                </w14:textFill>
              </w:rPr>
              <w:t>所投与核心产品类似或同类别仪器项产品合同的</w:t>
            </w:r>
            <w:r>
              <w:rPr>
                <w:rFonts w:hint="eastAsia" w:ascii="宋体" w:hAnsi="宋体" w:cs="宋体"/>
                <w:color w:val="000000" w:themeColor="text1"/>
                <w:sz w:val="21"/>
                <w:szCs w:val="21"/>
                <w:highlight w:val="none"/>
                <w:lang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每一份得0.5分，最高得2分。（投标文件中提供包含双方签章并且显示品牌型号的合同</w:t>
            </w:r>
            <w:r>
              <w:rPr>
                <w:rFonts w:hint="eastAsia" w:ascii="宋体" w:hAnsi="宋体" w:cs="宋体"/>
                <w:color w:val="000000" w:themeColor="text1"/>
                <w:sz w:val="21"/>
                <w:szCs w:val="21"/>
                <w:highlight w:val="none"/>
                <w:lang w:eastAsia="zh-CN" w:bidi="ar"/>
                <w14:textFill>
                  <w14:solidFill>
                    <w14:schemeClr w14:val="tx1"/>
                  </w14:solidFill>
                </w14:textFill>
              </w:rPr>
              <w:t>原件扫描上传</w:t>
            </w:r>
            <w:r>
              <w:rPr>
                <w:rFonts w:hint="eastAsia" w:ascii="宋体" w:hAnsi="宋体" w:eastAsia="宋体" w:cs="宋体"/>
                <w:color w:val="000000" w:themeColor="text1"/>
                <w:sz w:val="21"/>
                <w:szCs w:val="21"/>
                <w:highlight w:val="none"/>
                <w:lang w:bidi="ar"/>
                <w14:textFill>
                  <w14:solidFill>
                    <w14:schemeClr w14:val="tx1"/>
                  </w14:solidFill>
                </w14:textFill>
              </w:rPr>
              <w:t>。提供不全的不得分，原件中标后备查）</w:t>
            </w:r>
          </w:p>
        </w:tc>
      </w:tr>
    </w:tbl>
    <w:p w14:paraId="671131E5">
      <w:pPr>
        <w:keepNext w:val="0"/>
        <w:keepLines w:val="0"/>
        <w:pageBreakBefore w:val="0"/>
        <w:kinsoku/>
        <w:wordWrap/>
        <w:overflowPunct/>
        <w:topLinePunct w:val="0"/>
        <w:autoSpaceDE/>
        <w:autoSpaceDN/>
        <w:bidi w:val="0"/>
        <w:spacing w:line="360" w:lineRule="auto"/>
        <w:ind w:firstLine="422"/>
        <w:textAlignment w:val="auto"/>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包二：</w:t>
      </w:r>
    </w:p>
    <w:tbl>
      <w:tblPr>
        <w:tblStyle w:val="3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320"/>
        <w:gridCol w:w="761"/>
        <w:gridCol w:w="6375"/>
      </w:tblGrid>
      <w:tr w14:paraId="272E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0" w:type="dxa"/>
            <w:vAlign w:val="center"/>
          </w:tcPr>
          <w:p w14:paraId="7A5771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1320" w:type="dxa"/>
            <w:vAlign w:val="center"/>
          </w:tcPr>
          <w:p w14:paraId="564F28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评分因素</w:t>
            </w:r>
          </w:p>
        </w:tc>
        <w:tc>
          <w:tcPr>
            <w:tcW w:w="761" w:type="dxa"/>
            <w:vAlign w:val="center"/>
          </w:tcPr>
          <w:p w14:paraId="065B09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分值</w:t>
            </w:r>
          </w:p>
        </w:tc>
        <w:tc>
          <w:tcPr>
            <w:tcW w:w="6375" w:type="dxa"/>
            <w:vAlign w:val="center"/>
          </w:tcPr>
          <w:p w14:paraId="597D17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评分依据</w:t>
            </w:r>
          </w:p>
        </w:tc>
      </w:tr>
      <w:tr w14:paraId="0C9F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3BFCBE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20" w:type="dxa"/>
            <w:shd w:val="clear" w:color="auto" w:fill="auto"/>
            <w:vAlign w:val="center"/>
          </w:tcPr>
          <w:p w14:paraId="5ED7F2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w:t>
            </w:r>
          </w:p>
        </w:tc>
        <w:tc>
          <w:tcPr>
            <w:tcW w:w="761" w:type="dxa"/>
            <w:vAlign w:val="center"/>
          </w:tcPr>
          <w:p w14:paraId="656DE1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375" w:type="dxa"/>
            <w:vAlign w:val="center"/>
          </w:tcPr>
          <w:p w14:paraId="4262E31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价格分采用低价优先法计算，即满足</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招标</w:t>
            </w:r>
            <w:r>
              <w:rPr>
                <w:rFonts w:hint="eastAsia" w:ascii="宋体" w:hAnsi="宋体" w:eastAsia="宋体" w:cs="宋体"/>
                <w:bCs w:val="0"/>
                <w:color w:val="000000" w:themeColor="text1"/>
                <w:sz w:val="21"/>
                <w:szCs w:val="21"/>
                <w:highlight w:val="none"/>
                <w14:textFill>
                  <w14:solidFill>
                    <w14:schemeClr w14:val="tx1"/>
                  </w14:solidFill>
                </w14:textFill>
              </w:rPr>
              <w:t>文件要求且</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报价</w:t>
            </w:r>
            <w:r>
              <w:rPr>
                <w:rFonts w:hint="eastAsia" w:ascii="宋体" w:hAnsi="宋体" w:eastAsia="宋体" w:cs="宋体"/>
                <w:bCs w:val="0"/>
                <w:color w:val="000000" w:themeColor="text1"/>
                <w:sz w:val="21"/>
                <w:szCs w:val="21"/>
                <w:highlight w:val="none"/>
                <w14:textFill>
                  <w14:solidFill>
                    <w14:schemeClr w14:val="tx1"/>
                  </w14:solidFill>
                </w14:textFill>
              </w:rPr>
              <w:t>最低的报价为评标基准价，其价格分为满分。其他</w:t>
            </w:r>
            <w:r>
              <w:rPr>
                <w:rFonts w:hint="eastAsia" w:ascii="宋体" w:hAnsi="宋体" w:eastAsia="宋体" w:cs="宋体"/>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Cs w:val="0"/>
                <w:color w:val="000000" w:themeColor="text1"/>
                <w:sz w:val="21"/>
                <w:szCs w:val="21"/>
                <w:highlight w:val="none"/>
                <w14:textFill>
                  <w14:solidFill>
                    <w14:schemeClr w14:val="tx1"/>
                  </w14:solidFill>
                </w14:textFill>
              </w:rPr>
              <w:t>的价格分按照下列公式计算，保留小数点后2位：报价得分=（评标基准价／报价）×</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bCs w:val="0"/>
                <w:color w:val="000000" w:themeColor="text1"/>
                <w:sz w:val="21"/>
                <w:szCs w:val="21"/>
                <w:highlight w:val="none"/>
                <w14:textFill>
                  <w14:solidFill>
                    <w14:schemeClr w14:val="tx1"/>
                  </w14:solidFill>
                </w14:textFill>
              </w:rPr>
              <w:t>。</w:t>
            </w:r>
          </w:p>
        </w:tc>
      </w:tr>
      <w:tr w14:paraId="711A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725E69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320" w:type="dxa"/>
            <w:shd w:val="clear" w:color="auto" w:fill="auto"/>
            <w:vAlign w:val="center"/>
          </w:tcPr>
          <w:p w14:paraId="60C54F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需求响应</w:t>
            </w:r>
          </w:p>
        </w:tc>
        <w:tc>
          <w:tcPr>
            <w:tcW w:w="761" w:type="dxa"/>
            <w:vAlign w:val="center"/>
          </w:tcPr>
          <w:p w14:paraId="116974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375" w:type="dxa"/>
            <w:vAlign w:val="center"/>
          </w:tcPr>
          <w:p w14:paraId="5C585066">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完全满足招标文件第四部分采购需求（一）技术要求的得满分，★参数为核心参数，不得出现负偏离，否则将作无效投标处理；▲参数为重要参数，每负偏离一项扣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分；其余参数为一般参数，每负偏离一项扣</w:t>
            </w:r>
            <w:r>
              <w:rPr>
                <w:rFonts w:hint="eastAsia" w:ascii="宋体" w:hAnsi="宋体" w:eastAsia="宋体" w:cs="宋体"/>
                <w:color w:val="000000" w:themeColor="text1"/>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sz w:val="21"/>
                <w:szCs w:val="21"/>
                <w:highlight w:val="none"/>
                <w14:textFill>
                  <w14:solidFill>
                    <w14:schemeClr w14:val="tx1"/>
                  </w14:solidFill>
                </w14:textFill>
              </w:rPr>
              <w:t>分。扣完为止。</w:t>
            </w:r>
          </w:p>
          <w:p w14:paraId="331E7B1B">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注：★、▲参数以及采购需求中明确要求提供证明材料的，须按要求在投标文件中提供证明材料</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如实物图片、白皮书、产品彩页、技术资料书、检测报告等）</w:t>
            </w:r>
            <w:r>
              <w:rPr>
                <w:rFonts w:hint="eastAsia" w:ascii="宋体" w:hAnsi="宋体" w:eastAsia="宋体" w:cs="宋体"/>
                <w:color w:val="000000" w:themeColor="text1"/>
                <w:sz w:val="21"/>
                <w:szCs w:val="21"/>
                <w:highlight w:val="none"/>
                <w14:textFill>
                  <w14:solidFill>
                    <w14:schemeClr w14:val="tx1"/>
                  </w14:solidFill>
                </w14:textFill>
              </w:rPr>
              <w:t>，且均须在技术响应偏</w:t>
            </w:r>
            <w:r>
              <w:rPr>
                <w:rFonts w:hint="eastAsia" w:ascii="宋体" w:hAnsi="宋体" w:eastAsia="宋体" w:cs="宋体"/>
                <w:color w:val="000000" w:themeColor="text1"/>
                <w:sz w:val="21"/>
                <w:szCs w:val="21"/>
                <w:highlight w:val="none"/>
                <w:lang w:eastAsia="zh-CN"/>
                <w14:textFill>
                  <w14:solidFill>
                    <w14:schemeClr w14:val="tx1"/>
                  </w14:solidFill>
                </w14:textFill>
              </w:rPr>
              <w:t>离</w:t>
            </w:r>
            <w:r>
              <w:rPr>
                <w:rFonts w:hint="eastAsia" w:ascii="宋体" w:hAnsi="宋体" w:eastAsia="宋体" w:cs="宋体"/>
                <w:color w:val="000000" w:themeColor="text1"/>
                <w:sz w:val="21"/>
                <w:szCs w:val="21"/>
                <w:highlight w:val="none"/>
                <w14:textFill>
                  <w14:solidFill>
                    <w14:schemeClr w14:val="tx1"/>
                  </w14:solidFill>
                </w14:textFill>
              </w:rPr>
              <w:t>表详尽真实地提供偏</w:t>
            </w:r>
            <w:r>
              <w:rPr>
                <w:rFonts w:hint="eastAsia" w:ascii="宋体" w:hAnsi="宋体" w:eastAsia="宋体" w:cs="宋体"/>
                <w:color w:val="000000" w:themeColor="text1"/>
                <w:sz w:val="21"/>
                <w:szCs w:val="21"/>
                <w:highlight w:val="none"/>
                <w:lang w:eastAsia="zh-CN"/>
                <w14:textFill>
                  <w14:solidFill>
                    <w14:schemeClr w14:val="tx1"/>
                  </w14:solidFill>
                </w14:textFill>
              </w:rPr>
              <w:t>离</w:t>
            </w:r>
            <w:r>
              <w:rPr>
                <w:rFonts w:hint="eastAsia" w:ascii="宋体" w:hAnsi="宋体" w:eastAsia="宋体" w:cs="宋体"/>
                <w:color w:val="000000" w:themeColor="text1"/>
                <w:sz w:val="21"/>
                <w:szCs w:val="21"/>
                <w:highlight w:val="none"/>
                <w14:textFill>
                  <w14:solidFill>
                    <w14:schemeClr w14:val="tx1"/>
                  </w14:solidFill>
                </w14:textFill>
              </w:rPr>
              <w:t>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w:t>
            </w:r>
          </w:p>
          <w:p w14:paraId="712AD114">
            <w:pPr>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设备交付验收时，招标人将对技术要求的具体描述进行逐一核实验收，如发现虚假应标，给招标人造成损失的由投标人承担一切责任。需提供投标人承诺书原件(格式自拟)。</w:t>
            </w:r>
          </w:p>
        </w:tc>
      </w:tr>
      <w:tr w14:paraId="7E9D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50" w:type="dxa"/>
            <w:vAlign w:val="center"/>
          </w:tcPr>
          <w:p w14:paraId="61AC44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320" w:type="dxa"/>
            <w:shd w:val="clear" w:color="auto" w:fill="auto"/>
            <w:vAlign w:val="center"/>
          </w:tcPr>
          <w:p w14:paraId="23BA83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项目交货方案</w:t>
            </w:r>
          </w:p>
        </w:tc>
        <w:tc>
          <w:tcPr>
            <w:tcW w:w="761" w:type="dxa"/>
            <w:shd w:val="clear" w:color="auto" w:fill="auto"/>
            <w:vAlign w:val="center"/>
          </w:tcPr>
          <w:p w14:paraId="2ABDBC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shd w:val="clear" w:color="auto" w:fill="auto"/>
            <w:vAlign w:val="center"/>
          </w:tcPr>
          <w:p w14:paraId="3898C1C9">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投标人应根据招标文件要求提供项目交货方案、进度方案、防护方案：</w:t>
            </w:r>
          </w:p>
          <w:p w14:paraId="0E91396F">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18E9ADFD">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5EF832E3">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42077227">
            <w:pPr>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635A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shd w:val="clear" w:color="auto" w:fill="auto"/>
            <w:vAlign w:val="center"/>
          </w:tcPr>
          <w:p w14:paraId="0F2E98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320" w:type="dxa"/>
            <w:shd w:val="clear" w:color="auto" w:fill="auto"/>
            <w:vAlign w:val="center"/>
          </w:tcPr>
          <w:p w14:paraId="4DB1D7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安装调试方案</w:t>
            </w:r>
          </w:p>
        </w:tc>
        <w:tc>
          <w:tcPr>
            <w:tcW w:w="761" w:type="dxa"/>
            <w:shd w:val="clear" w:color="auto" w:fill="auto"/>
            <w:vAlign w:val="center"/>
          </w:tcPr>
          <w:p w14:paraId="221CBF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6分</w:t>
            </w:r>
          </w:p>
        </w:tc>
        <w:tc>
          <w:tcPr>
            <w:tcW w:w="6375" w:type="dxa"/>
            <w:shd w:val="clear" w:color="auto" w:fill="auto"/>
            <w:vAlign w:val="center"/>
          </w:tcPr>
          <w:p w14:paraId="425AF387">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投标人应根据招标文件要求提供安装方案、调试方案、管理方案：</w:t>
            </w:r>
          </w:p>
          <w:p w14:paraId="16EB7220">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分；</w:t>
            </w:r>
          </w:p>
          <w:p w14:paraId="7B1EE4A6">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194DF83E">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w:t>
            </w:r>
          </w:p>
          <w:p w14:paraId="0C8D398C">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28D7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shd w:val="clear" w:color="auto" w:fill="auto"/>
            <w:vAlign w:val="center"/>
          </w:tcPr>
          <w:p w14:paraId="742C99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1320" w:type="dxa"/>
            <w:shd w:val="clear" w:color="auto" w:fill="auto"/>
            <w:vAlign w:val="center"/>
          </w:tcPr>
          <w:p w14:paraId="3FD440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质量控制方案</w:t>
            </w:r>
          </w:p>
        </w:tc>
        <w:tc>
          <w:tcPr>
            <w:tcW w:w="761" w:type="dxa"/>
            <w:shd w:val="clear" w:color="auto" w:fill="auto"/>
            <w:vAlign w:val="center"/>
          </w:tcPr>
          <w:p w14:paraId="0312D9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shd w:val="clear" w:color="auto" w:fill="auto"/>
            <w:vAlign w:val="center"/>
          </w:tcPr>
          <w:p w14:paraId="7052FCBE">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投标人应根据招标文件要求提供质量控制体系、质量检验标准、质量管理方案：</w:t>
            </w:r>
          </w:p>
          <w:p w14:paraId="507E9F6E">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p w14:paraId="7D1DFD6D">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52B9AFF8">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27062FF1">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6BA8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1E25CC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1320" w:type="dxa"/>
            <w:shd w:val="clear" w:color="auto" w:fill="auto"/>
            <w:vAlign w:val="center"/>
          </w:tcPr>
          <w:p w14:paraId="6B66C3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培训及技术支持方案</w:t>
            </w:r>
          </w:p>
        </w:tc>
        <w:tc>
          <w:tcPr>
            <w:tcW w:w="761" w:type="dxa"/>
            <w:vAlign w:val="center"/>
          </w:tcPr>
          <w:p w14:paraId="5119D9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7分</w:t>
            </w:r>
          </w:p>
        </w:tc>
        <w:tc>
          <w:tcPr>
            <w:tcW w:w="6375" w:type="dxa"/>
            <w:vAlign w:val="center"/>
          </w:tcPr>
          <w:p w14:paraId="30EF7F8C">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投标人应根据招标文件要求提供人员培训方案、技术支持方案、采购人所需的技术和学术支持方案：</w:t>
            </w:r>
          </w:p>
          <w:p w14:paraId="64BACA11">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p w14:paraId="43156014">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4F7CF343">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32160EA4">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18DD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50" w:type="dxa"/>
            <w:vAlign w:val="center"/>
          </w:tcPr>
          <w:p w14:paraId="7AC955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320" w:type="dxa"/>
            <w:shd w:val="clear" w:color="auto" w:fill="auto"/>
            <w:vAlign w:val="center"/>
          </w:tcPr>
          <w:p w14:paraId="6CF902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售后服务方案</w:t>
            </w:r>
          </w:p>
        </w:tc>
        <w:tc>
          <w:tcPr>
            <w:tcW w:w="761" w:type="dxa"/>
            <w:vAlign w:val="center"/>
          </w:tcPr>
          <w:p w14:paraId="33AE21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7分</w:t>
            </w:r>
          </w:p>
        </w:tc>
        <w:tc>
          <w:tcPr>
            <w:tcW w:w="6375" w:type="dxa"/>
            <w:vAlign w:val="center"/>
          </w:tcPr>
          <w:p w14:paraId="2AEA1113">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投标人应根据招标文件要求提供售后方案、售后人员安排、售后响应措施：</w:t>
            </w:r>
          </w:p>
          <w:p w14:paraId="42675B36">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p w14:paraId="5B093210">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30A6221F">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244F346B">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p w14:paraId="21900B3A">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项目整体及所有设备满足招标文件免费质保期1年要求的不得分；在此基础上免费质保每增加1年加1分，本项最高得2分。需提供投标人质保期承诺书原件（格式自拟）。</w:t>
            </w:r>
          </w:p>
        </w:tc>
      </w:tr>
      <w:tr w14:paraId="6505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1B0678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320" w:type="dxa"/>
            <w:shd w:val="clear" w:color="auto" w:fill="auto"/>
            <w:vAlign w:val="center"/>
          </w:tcPr>
          <w:p w14:paraId="05787E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应急方案</w:t>
            </w:r>
          </w:p>
        </w:tc>
        <w:tc>
          <w:tcPr>
            <w:tcW w:w="761" w:type="dxa"/>
            <w:vAlign w:val="center"/>
          </w:tcPr>
          <w:p w14:paraId="66CAEE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vAlign w:val="center"/>
          </w:tcPr>
          <w:p w14:paraId="76027C2F">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投标人应根据招标文件要求提供应急预案、应急处理方案、应急人员安排：</w:t>
            </w:r>
          </w:p>
          <w:p w14:paraId="70DF04C6">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w:t>
            </w:r>
          </w:p>
          <w:p w14:paraId="3C2F3DEA">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4D548822">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4235735A">
            <w:pP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5467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50" w:type="dxa"/>
            <w:vAlign w:val="center"/>
          </w:tcPr>
          <w:p w14:paraId="378C46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1320" w:type="dxa"/>
            <w:shd w:val="clear" w:color="auto" w:fill="auto"/>
            <w:vAlign w:val="center"/>
          </w:tcPr>
          <w:p w14:paraId="2A3BE11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业绩</w:t>
            </w:r>
          </w:p>
        </w:tc>
        <w:tc>
          <w:tcPr>
            <w:tcW w:w="761" w:type="dxa"/>
            <w:shd w:val="clear" w:color="auto" w:fill="auto"/>
            <w:vAlign w:val="center"/>
          </w:tcPr>
          <w:p w14:paraId="16BF5B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5分</w:t>
            </w:r>
          </w:p>
        </w:tc>
        <w:tc>
          <w:tcPr>
            <w:tcW w:w="6375" w:type="dxa"/>
            <w:shd w:val="clear" w:color="auto" w:fill="auto"/>
            <w:vAlign w:val="center"/>
          </w:tcPr>
          <w:p w14:paraId="628ADEFD">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2</w:t>
            </w:r>
            <w:r>
              <w:rPr>
                <w:rFonts w:hint="eastAsia" w:ascii="宋体" w:hAnsi="宋体" w:eastAsia="宋体" w:cs="宋体"/>
                <w:color w:val="000000" w:themeColor="text1"/>
                <w:sz w:val="21"/>
                <w:szCs w:val="21"/>
                <w:highlight w:val="none"/>
                <w:lang w:bidi="ar"/>
                <w14:textFill>
                  <w14:solidFill>
                    <w14:schemeClr w14:val="tx1"/>
                  </w14:solidFill>
                </w14:textFill>
              </w:rPr>
              <w:t>02</w:t>
            </w:r>
            <w:r>
              <w:rPr>
                <w:rFonts w:hint="eastAsia" w:ascii="宋体" w:hAnsi="宋体" w:cs="宋体"/>
                <w:color w:val="000000" w:themeColor="text1"/>
                <w:sz w:val="21"/>
                <w:szCs w:val="21"/>
                <w:highlight w:val="none"/>
                <w:lang w:val="en-US" w:eastAsia="zh-CN" w:bidi="ar"/>
                <w14:textFill>
                  <w14:solidFill>
                    <w14:schemeClr w14:val="tx1"/>
                  </w14:solidFill>
                </w14:textFill>
              </w:rPr>
              <w:t>4</w:t>
            </w:r>
            <w:r>
              <w:rPr>
                <w:rFonts w:hint="eastAsia" w:ascii="宋体" w:hAnsi="宋体" w:eastAsia="宋体" w:cs="宋体"/>
                <w:color w:val="000000" w:themeColor="text1"/>
                <w:sz w:val="21"/>
                <w:szCs w:val="21"/>
                <w:highlight w:val="none"/>
                <w:lang w:bidi="ar"/>
                <w14:textFill>
                  <w14:solidFill>
                    <w14:schemeClr w14:val="tx1"/>
                  </w14:solidFill>
                </w14:textFill>
              </w:rPr>
              <w:t>年1月1日以来（以合同签订时间为准）</w:t>
            </w:r>
            <w:r>
              <w:rPr>
                <w:rFonts w:hint="eastAsia" w:ascii="宋体" w:hAnsi="宋体" w:cs="宋体"/>
                <w:color w:val="000000" w:themeColor="text1"/>
                <w:sz w:val="21"/>
                <w:szCs w:val="21"/>
                <w:highlight w:val="none"/>
                <w:lang w:eastAsia="zh-CN" w:bidi="ar"/>
                <w14:textFill>
                  <w14:solidFill>
                    <w14:schemeClr w14:val="tx1"/>
                  </w14:solidFill>
                </w14:textFill>
              </w:rPr>
              <w:t>，投标人或制造商具有</w:t>
            </w:r>
            <w:r>
              <w:rPr>
                <w:rFonts w:hint="eastAsia" w:ascii="宋体" w:hAnsi="宋体" w:eastAsia="宋体" w:cs="宋体"/>
                <w:color w:val="000000" w:themeColor="text1"/>
                <w:sz w:val="21"/>
                <w:szCs w:val="21"/>
                <w:highlight w:val="none"/>
                <w:lang w:bidi="ar"/>
                <w14:textFill>
                  <w14:solidFill>
                    <w14:schemeClr w14:val="tx1"/>
                  </w14:solidFill>
                </w14:textFill>
              </w:rPr>
              <w:t>所投类似或同类别仪器项产品</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签订的终端</w:t>
            </w:r>
            <w:r>
              <w:rPr>
                <w:rFonts w:hint="eastAsia" w:ascii="宋体" w:hAnsi="宋体" w:eastAsia="宋体" w:cs="宋体"/>
                <w:color w:val="000000" w:themeColor="text1"/>
                <w:sz w:val="21"/>
                <w:szCs w:val="21"/>
                <w:highlight w:val="none"/>
                <w:lang w:bidi="ar"/>
                <w14:textFill>
                  <w14:solidFill>
                    <w14:schemeClr w14:val="tx1"/>
                  </w14:solidFill>
                </w14:textFill>
              </w:rPr>
              <w:t>合同</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每一份得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1</w:t>
            </w:r>
            <w:r>
              <w:rPr>
                <w:rFonts w:hint="eastAsia" w:ascii="宋体" w:hAnsi="宋体" w:eastAsia="宋体" w:cs="宋体"/>
                <w:color w:val="000000" w:themeColor="text1"/>
                <w:sz w:val="21"/>
                <w:szCs w:val="21"/>
                <w:highlight w:val="none"/>
                <w:lang w:bidi="ar"/>
                <w14:textFill>
                  <w14:solidFill>
                    <w14:schemeClr w14:val="tx1"/>
                  </w14:solidFill>
                </w14:textFill>
              </w:rPr>
              <w:t>分，最高得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5</w:t>
            </w:r>
            <w:r>
              <w:rPr>
                <w:rFonts w:hint="eastAsia" w:ascii="宋体" w:hAnsi="宋体" w:eastAsia="宋体" w:cs="宋体"/>
                <w:color w:val="000000" w:themeColor="text1"/>
                <w:sz w:val="21"/>
                <w:szCs w:val="21"/>
                <w:highlight w:val="none"/>
                <w:lang w:bidi="ar"/>
                <w14:textFill>
                  <w14:solidFill>
                    <w14:schemeClr w14:val="tx1"/>
                  </w14:solidFill>
                </w14:textFill>
              </w:rPr>
              <w:t>分。（投标文件中提供包含双方签章并且显示品牌型号的</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与使用终端签订的</w:t>
            </w:r>
            <w:r>
              <w:rPr>
                <w:rFonts w:hint="eastAsia" w:ascii="宋体" w:hAnsi="宋体" w:eastAsia="宋体" w:cs="宋体"/>
                <w:color w:val="000000" w:themeColor="text1"/>
                <w:sz w:val="21"/>
                <w:szCs w:val="21"/>
                <w:highlight w:val="none"/>
                <w:lang w:bidi="ar"/>
                <w14:textFill>
                  <w14:solidFill>
                    <w14:schemeClr w14:val="tx1"/>
                  </w14:solidFill>
                </w14:textFill>
              </w:rPr>
              <w:t>合同</w:t>
            </w:r>
            <w:r>
              <w:rPr>
                <w:rFonts w:hint="eastAsia" w:ascii="宋体" w:hAnsi="宋体" w:cs="宋体"/>
                <w:color w:val="000000" w:themeColor="text1"/>
                <w:sz w:val="21"/>
                <w:szCs w:val="21"/>
                <w:highlight w:val="none"/>
                <w:lang w:eastAsia="zh-CN" w:bidi="ar"/>
                <w14:textFill>
                  <w14:solidFill>
                    <w14:schemeClr w14:val="tx1"/>
                  </w14:solidFill>
                </w14:textFill>
              </w:rPr>
              <w:t>原件扫描</w:t>
            </w:r>
            <w:r>
              <w:rPr>
                <w:rFonts w:hint="eastAsia" w:ascii="宋体" w:hAnsi="宋体" w:cs="宋体"/>
                <w:color w:val="000000" w:themeColor="text1"/>
                <w:sz w:val="21"/>
                <w:szCs w:val="21"/>
                <w:highlight w:val="none"/>
                <w:lang w:val="en-US" w:eastAsia="zh-CN" w:bidi="ar"/>
                <w14:textFill>
                  <w14:solidFill>
                    <w14:schemeClr w14:val="tx1"/>
                  </w14:solidFill>
                </w14:textFill>
              </w:rPr>
              <w:t>件</w:t>
            </w:r>
            <w:r>
              <w:rPr>
                <w:rFonts w:hint="eastAsia" w:ascii="宋体" w:hAnsi="宋体" w:eastAsia="宋体" w:cs="宋体"/>
                <w:color w:val="000000" w:themeColor="text1"/>
                <w:sz w:val="21"/>
                <w:szCs w:val="21"/>
                <w:highlight w:val="none"/>
                <w:lang w:bidi="ar"/>
                <w14:textFill>
                  <w14:solidFill>
                    <w14:schemeClr w14:val="tx1"/>
                  </w14:solidFill>
                </w14:textFill>
              </w:rPr>
              <w:t>。提供不全的不得分，</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合同</w:t>
            </w:r>
            <w:r>
              <w:rPr>
                <w:rFonts w:hint="eastAsia" w:ascii="宋体" w:hAnsi="宋体" w:eastAsia="宋体" w:cs="宋体"/>
                <w:color w:val="000000" w:themeColor="text1"/>
                <w:sz w:val="21"/>
                <w:szCs w:val="21"/>
                <w:highlight w:val="none"/>
                <w:lang w:bidi="ar"/>
                <w14:textFill>
                  <w14:solidFill>
                    <w14:schemeClr w14:val="tx1"/>
                  </w14:solidFill>
                </w14:textFill>
              </w:rPr>
              <w:t>原件中标后备查）</w:t>
            </w:r>
          </w:p>
        </w:tc>
      </w:tr>
    </w:tbl>
    <w:p w14:paraId="23E71F42">
      <w:pPr>
        <w:keepNext w:val="0"/>
        <w:keepLines w:val="0"/>
        <w:pageBreakBefore w:val="0"/>
        <w:kinsoku/>
        <w:wordWrap/>
        <w:overflowPunct/>
        <w:topLinePunct w:val="0"/>
        <w:autoSpaceDE/>
        <w:autoSpaceDN/>
        <w:bidi w:val="0"/>
        <w:spacing w:line="360" w:lineRule="auto"/>
        <w:ind w:firstLine="422"/>
        <w:textAlignment w:val="auto"/>
        <w:rPr>
          <w:rFonts w:hint="default" w:ascii="Times New Roman" w:hAnsi="Times New Roman" w:eastAsia="宋体" w:cs="宋体"/>
          <w:b/>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color w:val="000000" w:themeColor="text1"/>
          <w:sz w:val="21"/>
          <w:szCs w:val="21"/>
          <w:highlight w:val="none"/>
          <w:lang w:eastAsia="zh-CN"/>
          <w14:textFill>
            <w14:solidFill>
              <w14:schemeClr w14:val="tx1"/>
            </w14:solidFill>
          </w14:textFill>
        </w:rPr>
        <w:t>包</w:t>
      </w:r>
      <w:r>
        <w:rPr>
          <w:rFonts w:hint="eastAsia" w:ascii="Times New Roman" w:hAnsi="Times New Roman" w:cs="宋体"/>
          <w:b/>
          <w:color w:val="000000" w:themeColor="text1"/>
          <w:sz w:val="21"/>
          <w:szCs w:val="21"/>
          <w:highlight w:val="none"/>
          <w:lang w:val="en-US" w:eastAsia="zh-CN"/>
          <w14:textFill>
            <w14:solidFill>
              <w14:schemeClr w14:val="tx1"/>
            </w14:solidFill>
          </w14:textFill>
        </w:rPr>
        <w:t>3：</w:t>
      </w:r>
    </w:p>
    <w:tbl>
      <w:tblPr>
        <w:tblStyle w:val="39"/>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076"/>
        <w:gridCol w:w="761"/>
        <w:gridCol w:w="6375"/>
      </w:tblGrid>
      <w:tr w14:paraId="126E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34" w:type="dxa"/>
            <w:vAlign w:val="center"/>
          </w:tcPr>
          <w:p w14:paraId="59C4BA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1076" w:type="dxa"/>
            <w:vAlign w:val="center"/>
          </w:tcPr>
          <w:p w14:paraId="1563483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评分因素</w:t>
            </w:r>
          </w:p>
        </w:tc>
        <w:tc>
          <w:tcPr>
            <w:tcW w:w="761" w:type="dxa"/>
            <w:vAlign w:val="center"/>
          </w:tcPr>
          <w:p w14:paraId="256B43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分值</w:t>
            </w:r>
          </w:p>
        </w:tc>
        <w:tc>
          <w:tcPr>
            <w:tcW w:w="6375" w:type="dxa"/>
            <w:vAlign w:val="center"/>
          </w:tcPr>
          <w:p w14:paraId="46EF06B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评分依据</w:t>
            </w:r>
          </w:p>
        </w:tc>
      </w:tr>
      <w:tr w14:paraId="4E79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34" w:type="dxa"/>
            <w:vAlign w:val="center"/>
          </w:tcPr>
          <w:p w14:paraId="6F540E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076" w:type="dxa"/>
            <w:shd w:val="clear" w:color="auto" w:fill="auto"/>
            <w:vAlign w:val="center"/>
          </w:tcPr>
          <w:p w14:paraId="53DE5C9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价格</w:t>
            </w:r>
          </w:p>
        </w:tc>
        <w:tc>
          <w:tcPr>
            <w:tcW w:w="761" w:type="dxa"/>
            <w:vAlign w:val="center"/>
          </w:tcPr>
          <w:p w14:paraId="4A675B6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375" w:type="dxa"/>
            <w:vAlign w:val="center"/>
          </w:tcPr>
          <w:p w14:paraId="1F7A8AE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价格分采用低价优先法计算，即满足</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招标</w:t>
            </w:r>
            <w:r>
              <w:rPr>
                <w:rFonts w:hint="eastAsia" w:ascii="宋体" w:hAnsi="宋体" w:eastAsia="宋体" w:cs="宋体"/>
                <w:bCs w:val="0"/>
                <w:color w:val="000000" w:themeColor="text1"/>
                <w:sz w:val="21"/>
                <w:szCs w:val="21"/>
                <w:highlight w:val="none"/>
                <w14:textFill>
                  <w14:solidFill>
                    <w14:schemeClr w14:val="tx1"/>
                  </w14:solidFill>
                </w14:textFill>
              </w:rPr>
              <w:t>文件要求且</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报价</w:t>
            </w:r>
            <w:r>
              <w:rPr>
                <w:rFonts w:hint="eastAsia" w:ascii="宋体" w:hAnsi="宋体" w:eastAsia="宋体" w:cs="宋体"/>
                <w:bCs w:val="0"/>
                <w:color w:val="000000" w:themeColor="text1"/>
                <w:sz w:val="21"/>
                <w:szCs w:val="21"/>
                <w:highlight w:val="none"/>
                <w14:textFill>
                  <w14:solidFill>
                    <w14:schemeClr w14:val="tx1"/>
                  </w14:solidFill>
                </w14:textFill>
              </w:rPr>
              <w:t>最低的报价为评标基准价，其价格分为满分。其他</w:t>
            </w:r>
            <w:r>
              <w:rPr>
                <w:rFonts w:hint="eastAsia" w:ascii="宋体" w:hAnsi="宋体" w:eastAsia="宋体" w:cs="宋体"/>
                <w:bCs w:val="0"/>
                <w:color w:val="000000" w:themeColor="text1"/>
                <w:sz w:val="21"/>
                <w:szCs w:val="21"/>
                <w:highlight w:val="none"/>
                <w:lang w:eastAsia="zh-CN"/>
                <w14:textFill>
                  <w14:solidFill>
                    <w14:schemeClr w14:val="tx1"/>
                  </w14:solidFill>
                </w14:textFill>
              </w:rPr>
              <w:t>投标人</w:t>
            </w:r>
            <w:r>
              <w:rPr>
                <w:rFonts w:hint="eastAsia" w:ascii="宋体" w:hAnsi="宋体" w:eastAsia="宋体" w:cs="宋体"/>
                <w:bCs w:val="0"/>
                <w:color w:val="000000" w:themeColor="text1"/>
                <w:sz w:val="21"/>
                <w:szCs w:val="21"/>
                <w:highlight w:val="none"/>
                <w14:textFill>
                  <w14:solidFill>
                    <w14:schemeClr w14:val="tx1"/>
                  </w14:solidFill>
                </w14:textFill>
              </w:rPr>
              <w:t>的价格分按照下列公式计算，保留小数点后2位：报价得分=（评标基准价／报价）×</w:t>
            </w:r>
            <w:r>
              <w:rPr>
                <w:rFonts w:hint="eastAsia" w:ascii="宋体" w:hAnsi="宋体" w:eastAsia="宋体" w:cs="宋体"/>
                <w:bCs w:val="0"/>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bCs w:val="0"/>
                <w:color w:val="000000" w:themeColor="text1"/>
                <w:sz w:val="21"/>
                <w:szCs w:val="21"/>
                <w:highlight w:val="none"/>
                <w14:textFill>
                  <w14:solidFill>
                    <w14:schemeClr w14:val="tx1"/>
                  </w14:solidFill>
                </w14:textFill>
              </w:rPr>
              <w:t>。</w:t>
            </w:r>
          </w:p>
        </w:tc>
      </w:tr>
      <w:tr w14:paraId="1D05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34" w:type="dxa"/>
            <w:vAlign w:val="center"/>
          </w:tcPr>
          <w:p w14:paraId="6DADFC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076" w:type="dxa"/>
            <w:shd w:val="clear" w:color="auto" w:fill="auto"/>
            <w:vAlign w:val="center"/>
          </w:tcPr>
          <w:p w14:paraId="782407F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需求响应</w:t>
            </w:r>
          </w:p>
        </w:tc>
        <w:tc>
          <w:tcPr>
            <w:tcW w:w="761" w:type="dxa"/>
            <w:vAlign w:val="center"/>
          </w:tcPr>
          <w:p w14:paraId="235A28F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38</w:t>
            </w:r>
            <w:r>
              <w:rPr>
                <w:rFonts w:hint="eastAsia" w:ascii="宋体" w:hAnsi="宋体" w:eastAsia="宋体" w:cs="宋体"/>
                <w:color w:val="000000" w:themeColor="text1"/>
                <w:sz w:val="21"/>
                <w:szCs w:val="21"/>
                <w:highlight w:val="none"/>
                <w14:textFill>
                  <w14:solidFill>
                    <w14:schemeClr w14:val="tx1"/>
                  </w14:solidFill>
                </w14:textFill>
              </w:rPr>
              <w:t>分</w:t>
            </w:r>
          </w:p>
        </w:tc>
        <w:tc>
          <w:tcPr>
            <w:tcW w:w="6375" w:type="dxa"/>
            <w:vAlign w:val="center"/>
          </w:tcPr>
          <w:p w14:paraId="066119D1">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完全满足招标文件第四部分采购需求（一）技术要求的得满分，★参数为核心参数，不得出现负偏离，否则将作无效投标处理；▲参数为重要参数，每负偏离一项扣</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分；其余参数为一般参数，每负偏离一项扣</w:t>
            </w:r>
            <w:r>
              <w:rPr>
                <w:rFonts w:hint="eastAsia" w:ascii="宋体" w:hAnsi="宋体" w:cs="宋体"/>
                <w:color w:val="000000" w:themeColor="text1"/>
                <w:sz w:val="21"/>
                <w:szCs w:val="21"/>
                <w:highlight w:val="none"/>
                <w:lang w:val="en-US" w:eastAsia="zh-CN"/>
                <w14:textFill>
                  <w14:solidFill>
                    <w14:schemeClr w14:val="tx1"/>
                  </w14:solidFill>
                </w14:textFill>
              </w:rPr>
              <w:t>0.2</w:t>
            </w:r>
            <w:r>
              <w:rPr>
                <w:rFonts w:hint="eastAsia" w:ascii="宋体" w:hAnsi="宋体" w:eastAsia="宋体" w:cs="宋体"/>
                <w:color w:val="000000" w:themeColor="text1"/>
                <w:sz w:val="21"/>
                <w:szCs w:val="21"/>
                <w:highlight w:val="none"/>
                <w14:textFill>
                  <w14:solidFill>
                    <w14:schemeClr w14:val="tx1"/>
                  </w14:solidFill>
                </w14:textFill>
              </w:rPr>
              <w:t>分。扣完为止。</w:t>
            </w:r>
          </w:p>
          <w:p w14:paraId="15E1CDA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注：★、▲参数以及采购需求中明确要求提供证明材料的，须按要求在投标文件中提供证明材料</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如实物图片、</w:t>
            </w:r>
            <w:r>
              <w:rPr>
                <w:rFonts w:hint="eastAsia" w:ascii="宋体" w:hAnsi="宋体" w:cs="宋体"/>
                <w:color w:val="000000" w:themeColor="text1"/>
                <w:highlight w:val="none"/>
                <w:lang w:val="en-US" w:eastAsia="zh-CN"/>
                <w14:textFill>
                  <w14:solidFill>
                    <w14:schemeClr w14:val="tx1"/>
                  </w14:solidFill>
                </w14:textFill>
              </w:rPr>
              <w:t>网站截图</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白皮书、产品彩页、技术资料书、检测报告等）</w:t>
            </w:r>
            <w:r>
              <w:rPr>
                <w:rFonts w:hint="eastAsia" w:ascii="宋体" w:hAnsi="宋体" w:eastAsia="宋体" w:cs="宋体"/>
                <w:color w:val="000000" w:themeColor="text1"/>
                <w:sz w:val="21"/>
                <w:szCs w:val="21"/>
                <w:highlight w:val="none"/>
                <w14:textFill>
                  <w14:solidFill>
                    <w14:schemeClr w14:val="tx1"/>
                  </w14:solidFill>
                </w14:textFill>
              </w:rPr>
              <w:t>，且均须在技术响应偏</w:t>
            </w:r>
            <w:r>
              <w:rPr>
                <w:rFonts w:hint="eastAsia" w:ascii="宋体" w:hAnsi="宋体" w:eastAsia="宋体" w:cs="宋体"/>
                <w:color w:val="000000" w:themeColor="text1"/>
                <w:sz w:val="21"/>
                <w:szCs w:val="21"/>
                <w:highlight w:val="none"/>
                <w:lang w:eastAsia="zh-CN"/>
                <w14:textFill>
                  <w14:solidFill>
                    <w14:schemeClr w14:val="tx1"/>
                  </w14:solidFill>
                </w14:textFill>
              </w:rPr>
              <w:t>离</w:t>
            </w:r>
            <w:r>
              <w:rPr>
                <w:rFonts w:hint="eastAsia" w:ascii="宋体" w:hAnsi="宋体" w:eastAsia="宋体" w:cs="宋体"/>
                <w:color w:val="000000" w:themeColor="text1"/>
                <w:sz w:val="21"/>
                <w:szCs w:val="21"/>
                <w:highlight w:val="none"/>
                <w14:textFill>
                  <w14:solidFill>
                    <w14:schemeClr w14:val="tx1"/>
                  </w14:solidFill>
                </w14:textFill>
              </w:rPr>
              <w:t>表详尽真实地提供偏</w:t>
            </w:r>
            <w:r>
              <w:rPr>
                <w:rFonts w:hint="eastAsia" w:ascii="宋体" w:hAnsi="宋体" w:eastAsia="宋体" w:cs="宋体"/>
                <w:color w:val="000000" w:themeColor="text1"/>
                <w:sz w:val="21"/>
                <w:szCs w:val="21"/>
                <w:highlight w:val="none"/>
                <w:lang w:eastAsia="zh-CN"/>
                <w14:textFill>
                  <w14:solidFill>
                    <w14:schemeClr w14:val="tx1"/>
                  </w14:solidFill>
                </w14:textFill>
              </w:rPr>
              <w:t>离</w:t>
            </w:r>
            <w:r>
              <w:rPr>
                <w:rFonts w:hint="eastAsia" w:ascii="宋体" w:hAnsi="宋体" w:eastAsia="宋体" w:cs="宋体"/>
                <w:color w:val="000000" w:themeColor="text1"/>
                <w:sz w:val="21"/>
                <w:szCs w:val="21"/>
                <w:highlight w:val="none"/>
                <w14:textFill>
                  <w14:solidFill>
                    <w14:schemeClr w14:val="tx1"/>
                  </w14:solidFill>
                </w14:textFill>
              </w:rPr>
              <w:t>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w:t>
            </w:r>
          </w:p>
          <w:p w14:paraId="5C272CB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设备交付验收时，招标人将对技术要求的具体描述进行逐一核实验收，如发现虚假应标，给招标人造成损失的由投标人承担一切责任。需提供投标人承诺书原件(格式自拟)。</w:t>
            </w:r>
          </w:p>
        </w:tc>
      </w:tr>
      <w:tr w14:paraId="1CF0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34" w:type="dxa"/>
            <w:vAlign w:val="center"/>
          </w:tcPr>
          <w:p w14:paraId="451FD66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076" w:type="dxa"/>
            <w:shd w:val="clear" w:color="auto" w:fill="auto"/>
            <w:vAlign w:val="center"/>
          </w:tcPr>
          <w:p w14:paraId="2555D4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项目交货方案</w:t>
            </w:r>
          </w:p>
        </w:tc>
        <w:tc>
          <w:tcPr>
            <w:tcW w:w="761" w:type="dxa"/>
            <w:shd w:val="clear" w:color="auto" w:fill="auto"/>
            <w:vAlign w:val="center"/>
          </w:tcPr>
          <w:p w14:paraId="50B08C5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shd w:val="clear" w:color="auto" w:fill="auto"/>
            <w:vAlign w:val="center"/>
          </w:tcPr>
          <w:p w14:paraId="31AF83B7">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投标人应根据招标文件要求提供项目交货方案、进度方案、防护方案：</w:t>
            </w:r>
          </w:p>
          <w:p w14:paraId="228DD3D4">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128E19DD">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7BBCCC49">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64EAD9C3">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79BB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34" w:type="dxa"/>
            <w:shd w:val="clear" w:color="auto" w:fill="auto"/>
            <w:vAlign w:val="center"/>
          </w:tcPr>
          <w:p w14:paraId="04D39E8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076" w:type="dxa"/>
            <w:shd w:val="clear" w:color="auto" w:fill="auto"/>
            <w:vAlign w:val="center"/>
          </w:tcPr>
          <w:p w14:paraId="1C69D2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安装调试方案</w:t>
            </w:r>
          </w:p>
        </w:tc>
        <w:tc>
          <w:tcPr>
            <w:tcW w:w="761" w:type="dxa"/>
            <w:shd w:val="clear" w:color="auto" w:fill="auto"/>
            <w:vAlign w:val="center"/>
          </w:tcPr>
          <w:p w14:paraId="7B3E91B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shd w:val="clear" w:color="auto" w:fill="auto"/>
            <w:vAlign w:val="center"/>
          </w:tcPr>
          <w:p w14:paraId="30DCD00A">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投标人应根据招标文件要求提供安装方案、调试方案、管理方案：</w:t>
            </w:r>
          </w:p>
          <w:p w14:paraId="7ACB0572">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4EF57773">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0E40A35A">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0834D1A6">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544C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34" w:type="dxa"/>
            <w:shd w:val="clear" w:color="auto" w:fill="auto"/>
            <w:vAlign w:val="center"/>
          </w:tcPr>
          <w:p w14:paraId="3F5A7A5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1076" w:type="dxa"/>
            <w:shd w:val="clear" w:color="auto" w:fill="auto"/>
            <w:vAlign w:val="center"/>
          </w:tcPr>
          <w:p w14:paraId="48BE916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质量控制方案</w:t>
            </w:r>
          </w:p>
        </w:tc>
        <w:tc>
          <w:tcPr>
            <w:tcW w:w="761" w:type="dxa"/>
            <w:shd w:val="clear" w:color="auto" w:fill="auto"/>
            <w:vAlign w:val="center"/>
          </w:tcPr>
          <w:p w14:paraId="78EE16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shd w:val="clear" w:color="auto" w:fill="auto"/>
            <w:vAlign w:val="center"/>
          </w:tcPr>
          <w:p w14:paraId="7C116A37">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投标人应根据招标文件要求提供质量控制体系、质量检验标准、质量管理方案：</w:t>
            </w:r>
          </w:p>
          <w:p w14:paraId="10595973">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5A5E1796">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433E8B51">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7E214E7F">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51D9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34" w:type="dxa"/>
            <w:vAlign w:val="center"/>
          </w:tcPr>
          <w:p w14:paraId="6219516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1076" w:type="dxa"/>
            <w:shd w:val="clear" w:color="auto" w:fill="auto"/>
            <w:vAlign w:val="center"/>
          </w:tcPr>
          <w:p w14:paraId="32FB923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培训及技术支持方案</w:t>
            </w:r>
          </w:p>
        </w:tc>
        <w:tc>
          <w:tcPr>
            <w:tcW w:w="761" w:type="dxa"/>
            <w:vAlign w:val="center"/>
          </w:tcPr>
          <w:p w14:paraId="663A539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vAlign w:val="center"/>
          </w:tcPr>
          <w:p w14:paraId="368A9463">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投标人应根据招标文件要求提供人员培训方案、技术支持方案、采购人所需的技术和学术支持方案：</w:t>
            </w:r>
          </w:p>
          <w:p w14:paraId="1A8FC1CB">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2967E5EE">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1F82C514">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5A698EC2">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1683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34" w:type="dxa"/>
            <w:vAlign w:val="center"/>
          </w:tcPr>
          <w:p w14:paraId="3EDE4A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076" w:type="dxa"/>
            <w:shd w:val="clear" w:color="auto" w:fill="auto"/>
            <w:vAlign w:val="center"/>
          </w:tcPr>
          <w:p w14:paraId="0EB8370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售后服务方案</w:t>
            </w:r>
          </w:p>
        </w:tc>
        <w:tc>
          <w:tcPr>
            <w:tcW w:w="761" w:type="dxa"/>
            <w:vAlign w:val="center"/>
          </w:tcPr>
          <w:p w14:paraId="045AC7A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vAlign w:val="center"/>
          </w:tcPr>
          <w:p w14:paraId="0EC13D9A">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投标人应根据招标文件要求提供售后方案、售后人员安排、售后响应措施：</w:t>
            </w:r>
          </w:p>
          <w:p w14:paraId="241745EB">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p>
          <w:p w14:paraId="5CCAAF40">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w:t>
            </w:r>
          </w:p>
          <w:p w14:paraId="5CDEF25E">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3FF649D7">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p w14:paraId="10182C5C">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项目整体及所有设备满足招标文件免费质保期1年要求的不得分；在此基础上免费质保每增加1年加1分，本项最高得2分。需提供投标人质保期承诺书原件（格式自拟）。</w:t>
            </w:r>
          </w:p>
        </w:tc>
      </w:tr>
      <w:tr w14:paraId="0212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34" w:type="dxa"/>
            <w:vAlign w:val="center"/>
          </w:tcPr>
          <w:p w14:paraId="69AC29F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076" w:type="dxa"/>
            <w:shd w:val="clear" w:color="auto" w:fill="auto"/>
            <w:vAlign w:val="center"/>
          </w:tcPr>
          <w:p w14:paraId="7FE7113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应急方案</w:t>
            </w:r>
          </w:p>
        </w:tc>
        <w:tc>
          <w:tcPr>
            <w:tcW w:w="761" w:type="dxa"/>
            <w:vAlign w:val="center"/>
          </w:tcPr>
          <w:p w14:paraId="6EF8886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5分</w:t>
            </w:r>
          </w:p>
        </w:tc>
        <w:tc>
          <w:tcPr>
            <w:tcW w:w="6375" w:type="dxa"/>
            <w:vAlign w:val="center"/>
          </w:tcPr>
          <w:p w14:paraId="556D246B">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投标人应根据招标文件要求提供应急预案、应急处理方案、应急人员安排：</w:t>
            </w:r>
          </w:p>
          <w:p w14:paraId="7520A49A">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方案详细、全面，可操作性强，完全满足要求的，得5分；</w:t>
            </w:r>
          </w:p>
          <w:p w14:paraId="40588231">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方案详细程度及全面性、可操作性较强，基本满足要求的，得3分；</w:t>
            </w:r>
          </w:p>
          <w:p w14:paraId="16B6BB50">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方案详细程度及可操作性，内容完整性略有瑕疵但不影响项目实施的，得1分；</w:t>
            </w:r>
          </w:p>
          <w:p w14:paraId="70C8C50E">
            <w:pPr>
              <w:pageBreakBefore w:val="0"/>
              <w:kinsoku/>
              <w:wordWrap/>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其余不得分。</w:t>
            </w:r>
          </w:p>
        </w:tc>
      </w:tr>
      <w:tr w14:paraId="0AB50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34" w:type="dxa"/>
            <w:vAlign w:val="center"/>
          </w:tcPr>
          <w:p w14:paraId="4EF7F91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1076" w:type="dxa"/>
            <w:shd w:val="clear" w:color="auto" w:fill="auto"/>
            <w:vAlign w:val="center"/>
          </w:tcPr>
          <w:p w14:paraId="01D3E10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业绩</w:t>
            </w:r>
          </w:p>
        </w:tc>
        <w:tc>
          <w:tcPr>
            <w:tcW w:w="761" w:type="dxa"/>
            <w:shd w:val="clear" w:color="auto" w:fill="auto"/>
            <w:vAlign w:val="center"/>
          </w:tcPr>
          <w:p w14:paraId="1369E4F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2分</w:t>
            </w:r>
          </w:p>
        </w:tc>
        <w:tc>
          <w:tcPr>
            <w:tcW w:w="6375" w:type="dxa"/>
            <w:shd w:val="clear" w:color="auto" w:fill="auto"/>
            <w:vAlign w:val="center"/>
          </w:tcPr>
          <w:p w14:paraId="57F75F0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2024年1月1日以来（以合同签订时间为准），投标人或制造商具有所投类似或同类别仪器项产品合同，每一份得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1</w:t>
            </w:r>
            <w:r>
              <w:rPr>
                <w:rFonts w:hint="eastAsia" w:ascii="宋体" w:hAnsi="宋体" w:eastAsia="宋体" w:cs="宋体"/>
                <w:color w:val="000000" w:themeColor="text1"/>
                <w:sz w:val="21"/>
                <w:szCs w:val="21"/>
                <w:highlight w:val="none"/>
                <w:lang w:bidi="ar"/>
                <w14:textFill>
                  <w14:solidFill>
                    <w14:schemeClr w14:val="tx1"/>
                  </w14:solidFill>
                </w14:textFill>
              </w:rPr>
              <w:t>分，最高得</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2</w:t>
            </w:r>
            <w:r>
              <w:rPr>
                <w:rFonts w:hint="eastAsia" w:ascii="宋体" w:hAnsi="宋体" w:eastAsia="宋体" w:cs="宋体"/>
                <w:color w:val="000000" w:themeColor="text1"/>
                <w:sz w:val="21"/>
                <w:szCs w:val="21"/>
                <w:highlight w:val="none"/>
                <w:lang w:bidi="ar"/>
                <w14:textFill>
                  <w14:solidFill>
                    <w14:schemeClr w14:val="tx1"/>
                  </w14:solidFill>
                </w14:textFill>
              </w:rPr>
              <w:t>分。（投标文件中提供包含双方签章并且显示品牌型号的合同</w:t>
            </w:r>
            <w:r>
              <w:rPr>
                <w:rFonts w:hint="eastAsia" w:ascii="宋体" w:hAnsi="宋体" w:cs="宋体"/>
                <w:color w:val="000000" w:themeColor="text1"/>
                <w:sz w:val="21"/>
                <w:szCs w:val="21"/>
                <w:highlight w:val="none"/>
                <w:lang w:eastAsia="zh-CN" w:bidi="ar"/>
                <w14:textFill>
                  <w14:solidFill>
                    <w14:schemeClr w14:val="tx1"/>
                  </w14:solidFill>
                </w14:textFill>
              </w:rPr>
              <w:t>原件扫描上传</w:t>
            </w:r>
            <w:r>
              <w:rPr>
                <w:rFonts w:hint="eastAsia" w:ascii="宋体" w:hAnsi="宋体" w:eastAsia="宋体" w:cs="宋体"/>
                <w:color w:val="000000" w:themeColor="text1"/>
                <w:sz w:val="21"/>
                <w:szCs w:val="21"/>
                <w:highlight w:val="none"/>
                <w:lang w:bidi="ar"/>
                <w14:textFill>
                  <w14:solidFill>
                    <w14:schemeClr w14:val="tx1"/>
                  </w14:solidFill>
                </w14:textFill>
              </w:rPr>
              <w:t>。提供不全的不得分，原件中标后备查）</w:t>
            </w:r>
          </w:p>
        </w:tc>
      </w:tr>
    </w:tbl>
    <w:p w14:paraId="4A48271C">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cs="宋体"/>
          <w:b/>
          <w:bCs/>
          <w:color w:val="000000" w:themeColor="text1"/>
          <w:sz w:val="21"/>
          <w:szCs w:val="21"/>
          <w:highlight w:val="none"/>
          <w:lang w:val="en-US" w:eastAsia="zh-CN"/>
          <w14:textFill>
            <w14:solidFill>
              <w14:schemeClr w14:val="tx1"/>
            </w14:solidFill>
          </w14:textFill>
        </w:rPr>
      </w:pPr>
      <w:r>
        <w:rPr>
          <w:rFonts w:hint="eastAsia" w:ascii="Times New Roman" w:hAnsi="Times New Roman" w:cs="宋体"/>
          <w:b/>
          <w:bCs/>
          <w:color w:val="000000" w:themeColor="text1"/>
          <w:sz w:val="21"/>
          <w:szCs w:val="21"/>
          <w:highlight w:val="none"/>
          <w:lang w:val="en-US" w:eastAsia="zh-CN"/>
          <w14:textFill>
            <w14:solidFill>
              <w14:schemeClr w14:val="tx1"/>
            </w14:solidFill>
          </w14:textFill>
        </w:rPr>
        <w:t>包4：</w:t>
      </w:r>
    </w:p>
    <w:tbl>
      <w:tblPr>
        <w:tblStyle w:val="3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320"/>
        <w:gridCol w:w="761"/>
        <w:gridCol w:w="6375"/>
      </w:tblGrid>
      <w:tr w14:paraId="5A19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0" w:type="dxa"/>
            <w:vAlign w:val="center"/>
          </w:tcPr>
          <w:p w14:paraId="2F0D979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序号</w:t>
            </w:r>
          </w:p>
        </w:tc>
        <w:tc>
          <w:tcPr>
            <w:tcW w:w="1320" w:type="dxa"/>
            <w:vAlign w:val="center"/>
          </w:tcPr>
          <w:p w14:paraId="377E78B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评分因素</w:t>
            </w:r>
          </w:p>
        </w:tc>
        <w:tc>
          <w:tcPr>
            <w:tcW w:w="761" w:type="dxa"/>
            <w:vAlign w:val="center"/>
          </w:tcPr>
          <w:p w14:paraId="09E9E90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分值</w:t>
            </w:r>
          </w:p>
        </w:tc>
        <w:tc>
          <w:tcPr>
            <w:tcW w:w="6375" w:type="dxa"/>
            <w:vAlign w:val="center"/>
          </w:tcPr>
          <w:p w14:paraId="6D9DCEF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评分依据</w:t>
            </w:r>
          </w:p>
        </w:tc>
      </w:tr>
      <w:tr w14:paraId="0E7C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2AA5703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320" w:type="dxa"/>
            <w:vAlign w:val="center"/>
          </w:tcPr>
          <w:p w14:paraId="27CE1B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价格</w:t>
            </w:r>
          </w:p>
        </w:tc>
        <w:tc>
          <w:tcPr>
            <w:tcW w:w="761" w:type="dxa"/>
            <w:vAlign w:val="center"/>
          </w:tcPr>
          <w:p w14:paraId="28FE5E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30分</w:t>
            </w:r>
          </w:p>
        </w:tc>
        <w:tc>
          <w:tcPr>
            <w:tcW w:w="6375" w:type="dxa"/>
            <w:vAlign w:val="center"/>
          </w:tcPr>
          <w:p w14:paraId="417DB45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价格分采用低价优先法计算，即满足招标文件要求且报价最低的报价为评标基准价，其价格分为满分。其他投标人的价格分按照下列公式计算，保留小数点后2位：报价得分=（评标基准价／报价）×30。</w:t>
            </w:r>
          </w:p>
        </w:tc>
      </w:tr>
      <w:tr w14:paraId="4BA6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0" w:type="dxa"/>
            <w:vAlign w:val="center"/>
          </w:tcPr>
          <w:p w14:paraId="521B231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320" w:type="dxa"/>
            <w:vAlign w:val="center"/>
          </w:tcPr>
          <w:p w14:paraId="761DCAB2">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需求响应</w:t>
            </w:r>
          </w:p>
        </w:tc>
        <w:tc>
          <w:tcPr>
            <w:tcW w:w="761" w:type="dxa"/>
            <w:vAlign w:val="center"/>
          </w:tcPr>
          <w:p w14:paraId="6FF60858">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14:textFill>
                  <w14:solidFill>
                    <w14:schemeClr w14:val="tx1"/>
                  </w14:solidFill>
                </w14:textFill>
              </w:rPr>
              <w:t>分</w:t>
            </w:r>
          </w:p>
        </w:tc>
        <w:tc>
          <w:tcPr>
            <w:tcW w:w="6375" w:type="dxa"/>
            <w:vAlign w:val="center"/>
          </w:tcPr>
          <w:p w14:paraId="14CF82F3">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完全满足招标文件第四部分采购需求（一）技术要求的得满分，★参数为核心参数，不得出现负偏离，否则将作无效投标处理；▲参数为重要参数，每负偏离一项扣</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分；其余参数为一般参数，每负偏离一项扣</w:t>
            </w:r>
            <w:r>
              <w:rPr>
                <w:rFonts w:hint="eastAsia" w:ascii="宋体" w:hAnsi="宋体" w:cs="宋体"/>
                <w:color w:val="000000" w:themeColor="text1"/>
                <w:highlight w:val="none"/>
                <w:lang w:val="en-US" w:eastAsia="zh-CN"/>
                <w14:textFill>
                  <w14:solidFill>
                    <w14:schemeClr w14:val="tx1"/>
                  </w14:solidFill>
                </w14:textFill>
              </w:rPr>
              <w:t>0.5</w:t>
            </w:r>
            <w:r>
              <w:rPr>
                <w:rFonts w:hint="eastAsia" w:ascii="宋体" w:hAnsi="宋体" w:eastAsia="宋体" w:cs="宋体"/>
                <w:color w:val="000000" w:themeColor="text1"/>
                <w:highlight w:val="none"/>
                <w14:textFill>
                  <w14:solidFill>
                    <w14:schemeClr w14:val="tx1"/>
                  </w14:solidFill>
                </w14:textFill>
              </w:rPr>
              <w:t>分。扣完为止。</w:t>
            </w:r>
          </w:p>
          <w:p w14:paraId="7EE541B9">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注：★、▲参数以及采购需求中明确要求提供证明材料的，须按要求在投标文件中提供证明材料</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如实物图片、</w:t>
            </w:r>
            <w:r>
              <w:rPr>
                <w:rFonts w:hint="eastAsia" w:ascii="宋体" w:hAnsi="宋体" w:cs="宋体"/>
                <w:color w:val="000000" w:themeColor="text1"/>
                <w:highlight w:val="none"/>
                <w:lang w:val="en-US" w:eastAsia="zh-CN"/>
                <w14:textFill>
                  <w14:solidFill>
                    <w14:schemeClr w14:val="tx1"/>
                  </w14:solidFill>
                </w14:textFill>
              </w:rPr>
              <w:t>网站截图</w:t>
            </w:r>
            <w:r>
              <w:rPr>
                <w:rFonts w:hint="eastAsia" w:ascii="宋体" w:hAnsi="宋体" w:eastAsia="宋体" w:cs="宋体"/>
                <w:color w:val="000000" w:themeColor="text1"/>
                <w:highlight w:val="none"/>
                <w:lang w:val="en-US" w:eastAsia="zh-CN"/>
                <w14:textFill>
                  <w14:solidFill>
                    <w14:schemeClr w14:val="tx1"/>
                  </w14:solidFill>
                </w14:textFill>
              </w:rPr>
              <w:t>、白皮书、产品彩页、技术资料书、检测报告等）</w:t>
            </w:r>
            <w:r>
              <w:rPr>
                <w:rFonts w:hint="eastAsia" w:ascii="宋体" w:hAnsi="宋体" w:eastAsia="宋体" w:cs="宋体"/>
                <w:color w:val="000000" w:themeColor="text1"/>
                <w:highlight w:val="none"/>
                <w14:textFill>
                  <w14:solidFill>
                    <w14:schemeClr w14:val="tx1"/>
                  </w14:solidFill>
                </w14:textFill>
              </w:rPr>
              <w:t>，且均须在技术响应偏</w:t>
            </w:r>
            <w:r>
              <w:rPr>
                <w:rFonts w:hint="eastAsia" w:ascii="宋体" w:hAnsi="宋体" w:eastAsia="宋体" w:cs="宋体"/>
                <w:color w:val="000000" w:themeColor="text1"/>
                <w:highlight w:val="none"/>
                <w:lang w:eastAsia="zh-CN"/>
                <w14:textFill>
                  <w14:solidFill>
                    <w14:schemeClr w14:val="tx1"/>
                  </w14:solidFill>
                </w14:textFill>
              </w:rPr>
              <w:t>离</w:t>
            </w:r>
            <w:r>
              <w:rPr>
                <w:rFonts w:hint="eastAsia" w:ascii="宋体" w:hAnsi="宋体" w:eastAsia="宋体" w:cs="宋体"/>
                <w:color w:val="000000" w:themeColor="text1"/>
                <w:highlight w:val="none"/>
                <w14:textFill>
                  <w14:solidFill>
                    <w14:schemeClr w14:val="tx1"/>
                  </w14:solidFill>
                </w14:textFill>
              </w:rPr>
              <w:t>表详尽真实地提供偏</w:t>
            </w:r>
            <w:r>
              <w:rPr>
                <w:rFonts w:hint="eastAsia" w:ascii="宋体" w:hAnsi="宋体" w:eastAsia="宋体" w:cs="宋体"/>
                <w:color w:val="000000" w:themeColor="text1"/>
                <w:highlight w:val="none"/>
                <w:lang w:eastAsia="zh-CN"/>
                <w14:textFill>
                  <w14:solidFill>
                    <w14:schemeClr w14:val="tx1"/>
                  </w14:solidFill>
                </w14:textFill>
              </w:rPr>
              <w:t>离</w:t>
            </w:r>
            <w:r>
              <w:rPr>
                <w:rFonts w:hint="eastAsia" w:ascii="宋体" w:hAnsi="宋体" w:eastAsia="宋体" w:cs="宋体"/>
                <w:color w:val="000000" w:themeColor="text1"/>
                <w:highlight w:val="none"/>
                <w14:textFill>
                  <w14:solidFill>
                    <w14:schemeClr w14:val="tx1"/>
                  </w14:solidFill>
                </w14:textFill>
              </w:rPr>
              <w:t>情况及证明材料页码，否则视为负偏离。</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若相关技术参数中有明确证明材料要求，则提供对应证明材料</w:t>
            </w:r>
            <w:r>
              <w:rPr>
                <w:rFonts w:hint="eastAsia" w:ascii="宋体" w:hAnsi="宋体" w:cs="宋体"/>
                <w:color w:val="000000" w:themeColor="text1"/>
                <w:sz w:val="21"/>
                <w:szCs w:val="21"/>
                <w:highlight w:val="none"/>
                <w:lang w:eastAsia="zh-CN"/>
                <w14:textFill>
                  <w14:solidFill>
                    <w14:schemeClr w14:val="tx1"/>
                  </w14:solidFill>
                </w14:textFill>
              </w:rPr>
              <w:t>）</w:t>
            </w:r>
          </w:p>
          <w:p w14:paraId="16B97A52">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设备交付验收时，招标人将对技术要求的具体描述进行逐一核实验收，如发现虚假应标，给招标人造成损失的由投标人承担一切责任。需提供投标人承诺书原件(格式自拟)。</w:t>
            </w:r>
          </w:p>
        </w:tc>
      </w:tr>
      <w:tr w14:paraId="3506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50" w:type="dxa"/>
            <w:vAlign w:val="center"/>
          </w:tcPr>
          <w:p w14:paraId="508EFCB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320" w:type="dxa"/>
            <w:vAlign w:val="center"/>
          </w:tcPr>
          <w:p w14:paraId="188253E0">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项目交货方案</w:t>
            </w:r>
          </w:p>
        </w:tc>
        <w:tc>
          <w:tcPr>
            <w:tcW w:w="761" w:type="dxa"/>
            <w:vAlign w:val="center"/>
          </w:tcPr>
          <w:p w14:paraId="5AD865DB">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5分</w:t>
            </w:r>
          </w:p>
        </w:tc>
        <w:tc>
          <w:tcPr>
            <w:tcW w:w="6375" w:type="dxa"/>
            <w:vAlign w:val="center"/>
          </w:tcPr>
          <w:p w14:paraId="70603DE2">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投标人应根据招标文件要求提供项目交货方案、进度方案、防护方案：</w:t>
            </w:r>
          </w:p>
          <w:p w14:paraId="047C6BC9">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方案详细、全面，可操作性强，完全满足要求的，得5分；</w:t>
            </w:r>
          </w:p>
          <w:p w14:paraId="48A0CDA4">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方案详细程度及全面性、可操作性较强，基本满足要求的，得3分；</w:t>
            </w:r>
          </w:p>
          <w:p w14:paraId="30A3B3D9">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方案详细程度及可操作性，内容完整性略有瑕疵但不影响项目实施的，得1分；</w:t>
            </w:r>
          </w:p>
          <w:p w14:paraId="4E935BD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其余不得分。</w:t>
            </w:r>
          </w:p>
        </w:tc>
      </w:tr>
      <w:tr w14:paraId="79134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457E96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320" w:type="dxa"/>
            <w:vAlign w:val="center"/>
          </w:tcPr>
          <w:p w14:paraId="2465C428">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安装调试方案</w:t>
            </w:r>
          </w:p>
        </w:tc>
        <w:tc>
          <w:tcPr>
            <w:tcW w:w="761" w:type="dxa"/>
            <w:vAlign w:val="center"/>
          </w:tcPr>
          <w:p w14:paraId="6F22FD4F">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5分</w:t>
            </w:r>
          </w:p>
        </w:tc>
        <w:tc>
          <w:tcPr>
            <w:tcW w:w="6375" w:type="dxa"/>
            <w:vAlign w:val="center"/>
          </w:tcPr>
          <w:p w14:paraId="15649436">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投标人应根据招标文件要求提供安装方案、调试方案、管理方案：</w:t>
            </w:r>
          </w:p>
          <w:p w14:paraId="4891A8B0">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方案详细、全面，可操作性强，完全满足要求的，得5分；</w:t>
            </w:r>
          </w:p>
          <w:p w14:paraId="2E0533CA">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方案详细程度及全面性、可操作性较强，基本满足要求的，得3分；</w:t>
            </w:r>
          </w:p>
          <w:p w14:paraId="40975E2B">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方案详细程度及可操作性，内容完整性略有瑕疵但不影响项目实施的，得1分；</w:t>
            </w:r>
          </w:p>
          <w:p w14:paraId="675F74E8">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其余不得分。</w:t>
            </w:r>
          </w:p>
        </w:tc>
      </w:tr>
      <w:tr w14:paraId="767F6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72EB98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1320" w:type="dxa"/>
            <w:vAlign w:val="center"/>
          </w:tcPr>
          <w:p w14:paraId="5348F1FA">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质量控制方案</w:t>
            </w:r>
          </w:p>
        </w:tc>
        <w:tc>
          <w:tcPr>
            <w:tcW w:w="761" w:type="dxa"/>
            <w:vAlign w:val="center"/>
          </w:tcPr>
          <w:p w14:paraId="3077F50A">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5分</w:t>
            </w:r>
          </w:p>
        </w:tc>
        <w:tc>
          <w:tcPr>
            <w:tcW w:w="6375" w:type="dxa"/>
            <w:vAlign w:val="center"/>
          </w:tcPr>
          <w:p w14:paraId="1BDCD9F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投标人应根据招标文件要求提供质量控制体系、质量检验标准、质量管理方案：</w:t>
            </w:r>
          </w:p>
          <w:p w14:paraId="1BB26EAD">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方案详细、全面，可操作性强，完全满足要求的，得5分；</w:t>
            </w:r>
          </w:p>
          <w:p w14:paraId="3E118A2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方案详细程度及全面性、可操作性较强，基本满足要求的，得3分；</w:t>
            </w:r>
          </w:p>
          <w:p w14:paraId="56D0847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方案详细程度及可操作性，内容完整性略有瑕疵但不影响项目实施的，得1分；</w:t>
            </w:r>
          </w:p>
          <w:p w14:paraId="5B43642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其余不得分。</w:t>
            </w:r>
          </w:p>
        </w:tc>
      </w:tr>
      <w:tr w14:paraId="31C7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10FD572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1320" w:type="dxa"/>
            <w:vAlign w:val="center"/>
          </w:tcPr>
          <w:p w14:paraId="6205BFCC">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培训及技术支持方案</w:t>
            </w:r>
          </w:p>
        </w:tc>
        <w:tc>
          <w:tcPr>
            <w:tcW w:w="761" w:type="dxa"/>
            <w:vAlign w:val="center"/>
          </w:tcPr>
          <w:p w14:paraId="119BD146">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5分</w:t>
            </w:r>
          </w:p>
        </w:tc>
        <w:tc>
          <w:tcPr>
            <w:tcW w:w="6375" w:type="dxa"/>
            <w:vAlign w:val="center"/>
          </w:tcPr>
          <w:p w14:paraId="0816343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投标人应根据招标文件要求提供人员培训方案、技术支持方案、采购人所需的技术和学术支持方案：</w:t>
            </w:r>
          </w:p>
          <w:p w14:paraId="0EDED3A8">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方案详细、全面，可操作性强，完全满足要求的，得5分；</w:t>
            </w:r>
          </w:p>
          <w:p w14:paraId="4CBD66C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方案详细程度及全面性、可操作性较强，基本满足要求的，得3分；</w:t>
            </w:r>
          </w:p>
          <w:p w14:paraId="151BC050">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方案详细程度及可操作性，内容完整性略有瑕疵但不影响项目实施的，得1分；</w:t>
            </w:r>
          </w:p>
          <w:p w14:paraId="3258F119">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其余不得分。</w:t>
            </w:r>
          </w:p>
        </w:tc>
      </w:tr>
      <w:tr w14:paraId="5BFB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50" w:type="dxa"/>
            <w:vAlign w:val="center"/>
          </w:tcPr>
          <w:p w14:paraId="446CD4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320" w:type="dxa"/>
            <w:vAlign w:val="center"/>
          </w:tcPr>
          <w:p w14:paraId="1E261C87">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售后服务方案</w:t>
            </w:r>
          </w:p>
        </w:tc>
        <w:tc>
          <w:tcPr>
            <w:tcW w:w="761" w:type="dxa"/>
            <w:vAlign w:val="center"/>
          </w:tcPr>
          <w:p w14:paraId="37211A12">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分</w:t>
            </w:r>
          </w:p>
        </w:tc>
        <w:tc>
          <w:tcPr>
            <w:tcW w:w="6375" w:type="dxa"/>
            <w:vAlign w:val="center"/>
          </w:tcPr>
          <w:p w14:paraId="79960C1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投标人应根据招标文件要求提供售后方案、售后人员安排、售后响应措施：</w:t>
            </w:r>
          </w:p>
          <w:p w14:paraId="45552E39">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方案详细、全面，可操作性强，完全满足要求的，得5分；</w:t>
            </w:r>
          </w:p>
          <w:p w14:paraId="4D7758AC">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方案详细程度及全面性、可操作性较强，基本满足要求的，得3分；</w:t>
            </w:r>
          </w:p>
          <w:p w14:paraId="3957533B">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方案详细程度及可操作性，内容完整性略有瑕疵但不影响项目实施的，得1分；</w:t>
            </w:r>
          </w:p>
          <w:p w14:paraId="4FD6695E">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其余不得分。</w:t>
            </w:r>
          </w:p>
          <w:p w14:paraId="74650BFB">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项目整体及所有设备满足招标文件免费质保期1年要求的不得分；在此基础上免费质保每增加1年加1分，本项最高得2分。需提供投标人质保期承诺书原件（格式自拟）。</w:t>
            </w:r>
          </w:p>
        </w:tc>
      </w:tr>
      <w:tr w14:paraId="63F8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50" w:type="dxa"/>
            <w:vAlign w:val="center"/>
          </w:tcPr>
          <w:p w14:paraId="4A5FC6F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320" w:type="dxa"/>
            <w:vAlign w:val="center"/>
          </w:tcPr>
          <w:p w14:paraId="57616C11">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应急方案</w:t>
            </w:r>
          </w:p>
        </w:tc>
        <w:tc>
          <w:tcPr>
            <w:tcW w:w="761" w:type="dxa"/>
            <w:vAlign w:val="center"/>
          </w:tcPr>
          <w:p w14:paraId="4F7B9CB2">
            <w:pPr>
              <w:pageBreakBefore w:val="0"/>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5分</w:t>
            </w:r>
          </w:p>
        </w:tc>
        <w:tc>
          <w:tcPr>
            <w:tcW w:w="6375" w:type="dxa"/>
            <w:vAlign w:val="center"/>
          </w:tcPr>
          <w:p w14:paraId="581E7246">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投标人应根据招标文件要求提供应急预案、应急处理方案、应急人员安排：</w:t>
            </w:r>
          </w:p>
          <w:p w14:paraId="7736D596">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方案详细、全面，可操作性强，完全满足要求的，得5分；</w:t>
            </w:r>
          </w:p>
          <w:p w14:paraId="7D13A98A">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方案详细程度及全面性、可操作性较强，基本满足要求的，得3分；</w:t>
            </w:r>
          </w:p>
          <w:p w14:paraId="1F0E808F">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方案详细程度及可操作性，内容完整性略有瑕疵但不影响项目实施的，得1分；</w:t>
            </w:r>
          </w:p>
          <w:p w14:paraId="641CC3D8">
            <w:pPr>
              <w:pageBreakBefore w:val="0"/>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其余不得分。</w:t>
            </w:r>
          </w:p>
        </w:tc>
      </w:tr>
      <w:tr w14:paraId="5ABAB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750" w:type="dxa"/>
            <w:vAlign w:val="center"/>
          </w:tcPr>
          <w:p w14:paraId="494C474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1320" w:type="dxa"/>
            <w:vAlign w:val="center"/>
          </w:tcPr>
          <w:p w14:paraId="0E5774C5">
            <w:pPr>
              <w:pageBreakBefore w:val="0"/>
              <w:widowControl/>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业绩</w:t>
            </w:r>
          </w:p>
        </w:tc>
        <w:tc>
          <w:tcPr>
            <w:tcW w:w="761" w:type="dxa"/>
            <w:vAlign w:val="center"/>
          </w:tcPr>
          <w:p w14:paraId="4C27545A">
            <w:pPr>
              <w:pageBreakBefore w:val="0"/>
              <w:widowControl/>
              <w:kinsoku/>
              <w:overflowPunct/>
              <w:topLinePunct w:val="0"/>
              <w:autoSpaceDE/>
              <w:autoSpaceDN/>
              <w:bidi w:val="0"/>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bidi="ar"/>
                <w14:textFill>
                  <w14:solidFill>
                    <w14:schemeClr w14:val="tx1"/>
                  </w14:solidFill>
                </w14:textFill>
              </w:rPr>
              <w:t>3</w:t>
            </w:r>
            <w:r>
              <w:rPr>
                <w:rFonts w:hint="eastAsia" w:ascii="宋体" w:hAnsi="宋体" w:eastAsia="宋体" w:cs="宋体"/>
                <w:color w:val="000000" w:themeColor="text1"/>
                <w:highlight w:val="none"/>
                <w:lang w:bidi="ar"/>
                <w14:textFill>
                  <w14:solidFill>
                    <w14:schemeClr w14:val="tx1"/>
                  </w14:solidFill>
                </w14:textFill>
              </w:rPr>
              <w:t>分</w:t>
            </w:r>
          </w:p>
        </w:tc>
        <w:tc>
          <w:tcPr>
            <w:tcW w:w="6375" w:type="dxa"/>
            <w:vAlign w:val="center"/>
          </w:tcPr>
          <w:p w14:paraId="1BDBCFAC">
            <w:pPr>
              <w:pageBreakBefore w:val="0"/>
              <w:widowControl/>
              <w:kinsoku/>
              <w:overflowPunct/>
              <w:topLinePunct w:val="0"/>
              <w:autoSpaceDE/>
              <w:autoSpaceDN/>
              <w:bidi w:val="0"/>
              <w:spacing w:line="360" w:lineRule="auto"/>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2024年1月1日以来（以合同签订时间为准）</w:t>
            </w:r>
            <w:r>
              <w:rPr>
                <w:rFonts w:hint="eastAsia" w:ascii="宋体" w:hAnsi="宋体" w:cs="宋体"/>
                <w:color w:val="000000" w:themeColor="text1"/>
                <w:sz w:val="21"/>
                <w:szCs w:val="21"/>
                <w:highlight w:val="none"/>
                <w:lang w:eastAsia="zh-CN" w:bidi="ar"/>
                <w14:textFill>
                  <w14:solidFill>
                    <w14:schemeClr w14:val="tx1"/>
                  </w14:solidFill>
                </w14:textFill>
              </w:rPr>
              <w:t>，</w:t>
            </w:r>
            <w:r>
              <w:rPr>
                <w:rFonts w:hint="eastAsia" w:ascii="宋体" w:hAnsi="宋体" w:eastAsia="宋体" w:cs="宋体"/>
                <w:color w:val="000000" w:themeColor="text1"/>
                <w:highlight w:val="none"/>
                <w:lang w:bidi="ar"/>
                <w14:textFill>
                  <w14:solidFill>
                    <w14:schemeClr w14:val="tx1"/>
                  </w14:solidFill>
                </w14:textFill>
              </w:rPr>
              <w:t>投标人或制造商</w:t>
            </w:r>
            <w:r>
              <w:rPr>
                <w:rFonts w:hint="eastAsia" w:ascii="宋体" w:hAnsi="宋体" w:eastAsia="宋体" w:cs="宋体"/>
                <w:color w:val="000000" w:themeColor="text1"/>
                <w:highlight w:val="none"/>
                <w:lang w:eastAsia="zh-CN" w:bidi="ar"/>
                <w14:textFill>
                  <w14:solidFill>
                    <w14:schemeClr w14:val="tx1"/>
                  </w14:solidFill>
                </w14:textFill>
              </w:rPr>
              <w:t>具有</w:t>
            </w:r>
            <w:r>
              <w:rPr>
                <w:rFonts w:hint="eastAsia" w:ascii="宋体" w:hAnsi="宋体" w:eastAsia="宋体" w:cs="宋体"/>
                <w:color w:val="000000" w:themeColor="text1"/>
                <w:sz w:val="21"/>
                <w:szCs w:val="21"/>
                <w:highlight w:val="none"/>
                <w:lang w:bidi="ar"/>
                <w14:textFill>
                  <w14:solidFill>
                    <w14:schemeClr w14:val="tx1"/>
                  </w14:solidFill>
                </w14:textFill>
              </w:rPr>
              <w:t>所投与核心产品所投类似或同类别仪器项产品合同</w:t>
            </w:r>
            <w:r>
              <w:rPr>
                <w:rFonts w:hint="eastAsia" w:ascii="宋体" w:hAnsi="宋体" w:cs="宋体"/>
                <w:color w:val="000000" w:themeColor="text1"/>
                <w:sz w:val="21"/>
                <w:szCs w:val="21"/>
                <w:highlight w:val="none"/>
                <w:lang w:eastAsia="zh-CN" w:bidi="ar"/>
                <w14:textFill>
                  <w14:solidFill>
                    <w14:schemeClr w14:val="tx1"/>
                  </w14:solidFill>
                </w14:textFill>
              </w:rPr>
              <w:t>，</w:t>
            </w:r>
            <w:r>
              <w:rPr>
                <w:rFonts w:hint="eastAsia" w:ascii="宋体" w:hAnsi="宋体" w:eastAsia="宋体" w:cs="宋体"/>
                <w:color w:val="000000" w:themeColor="text1"/>
                <w:highlight w:val="none"/>
                <w:lang w:bidi="ar"/>
                <w14:textFill>
                  <w14:solidFill>
                    <w14:schemeClr w14:val="tx1"/>
                  </w14:solidFill>
                </w14:textFill>
              </w:rPr>
              <w:t>每一份得</w:t>
            </w:r>
            <w:r>
              <w:rPr>
                <w:rFonts w:hint="eastAsia" w:ascii="宋体" w:hAnsi="宋体" w:cs="宋体"/>
                <w:color w:val="000000" w:themeColor="text1"/>
                <w:highlight w:val="none"/>
                <w:lang w:val="en-US" w:eastAsia="zh-CN" w:bidi="ar"/>
                <w14:textFill>
                  <w14:solidFill>
                    <w14:schemeClr w14:val="tx1"/>
                  </w14:solidFill>
                </w14:textFill>
              </w:rPr>
              <w:t>1</w:t>
            </w:r>
            <w:r>
              <w:rPr>
                <w:rFonts w:hint="eastAsia" w:ascii="宋体" w:hAnsi="宋体" w:eastAsia="宋体" w:cs="宋体"/>
                <w:color w:val="000000" w:themeColor="text1"/>
                <w:highlight w:val="none"/>
                <w:lang w:bidi="ar"/>
                <w14:textFill>
                  <w14:solidFill>
                    <w14:schemeClr w14:val="tx1"/>
                  </w14:solidFill>
                </w14:textFill>
              </w:rPr>
              <w:t>分，最高得</w:t>
            </w:r>
            <w:r>
              <w:rPr>
                <w:rFonts w:hint="eastAsia" w:ascii="宋体" w:hAnsi="宋体" w:cs="宋体"/>
                <w:color w:val="000000" w:themeColor="text1"/>
                <w:highlight w:val="none"/>
                <w:lang w:val="en-US" w:eastAsia="zh-CN" w:bidi="ar"/>
                <w14:textFill>
                  <w14:solidFill>
                    <w14:schemeClr w14:val="tx1"/>
                  </w14:solidFill>
                </w14:textFill>
              </w:rPr>
              <w:t>3</w:t>
            </w:r>
            <w:r>
              <w:rPr>
                <w:rFonts w:hint="eastAsia" w:ascii="宋体" w:hAnsi="宋体" w:eastAsia="宋体" w:cs="宋体"/>
                <w:color w:val="000000" w:themeColor="text1"/>
                <w:highlight w:val="none"/>
                <w:lang w:bidi="ar"/>
                <w14:textFill>
                  <w14:solidFill>
                    <w14:schemeClr w14:val="tx1"/>
                  </w14:solidFill>
                </w14:textFill>
              </w:rPr>
              <w:t>分。（投标文件中提供包含双方签章并且显示品牌型号的</w:t>
            </w:r>
            <w:r>
              <w:rPr>
                <w:rFonts w:hint="eastAsia" w:ascii="宋体" w:hAnsi="宋体" w:eastAsia="宋体" w:cs="宋体"/>
                <w:color w:val="000000" w:themeColor="text1"/>
                <w:sz w:val="21"/>
                <w:szCs w:val="21"/>
                <w:highlight w:val="none"/>
                <w:lang w:bidi="ar"/>
                <w14:textFill>
                  <w14:solidFill>
                    <w14:schemeClr w14:val="tx1"/>
                  </w14:solidFill>
                </w14:textFill>
              </w:rPr>
              <w:t>合同</w:t>
            </w:r>
            <w:r>
              <w:rPr>
                <w:rFonts w:hint="eastAsia" w:ascii="宋体" w:hAnsi="宋体" w:cs="宋体"/>
                <w:color w:val="000000" w:themeColor="text1"/>
                <w:sz w:val="21"/>
                <w:szCs w:val="21"/>
                <w:highlight w:val="none"/>
                <w:lang w:eastAsia="zh-CN" w:bidi="ar"/>
                <w14:textFill>
                  <w14:solidFill>
                    <w14:schemeClr w14:val="tx1"/>
                  </w14:solidFill>
                </w14:textFill>
              </w:rPr>
              <w:t>原件扫描上传</w:t>
            </w:r>
            <w:r>
              <w:rPr>
                <w:rFonts w:hint="eastAsia" w:ascii="宋体" w:hAnsi="宋体" w:eastAsia="宋体" w:cs="宋体"/>
                <w:color w:val="000000" w:themeColor="text1"/>
                <w:highlight w:val="none"/>
                <w:lang w:bidi="ar"/>
                <w14:textFill>
                  <w14:solidFill>
                    <w14:schemeClr w14:val="tx1"/>
                  </w14:solidFill>
                </w14:textFill>
              </w:rPr>
              <w:t>。提供不全的不得分，原件中标后备查）</w:t>
            </w:r>
          </w:p>
        </w:tc>
      </w:tr>
    </w:tbl>
    <w:p w14:paraId="30099253">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lang w:val="en-US" w:eastAsia="zh-CN"/>
          <w14:textFill>
            <w14:solidFill>
              <w14:schemeClr w14:val="tx1"/>
            </w14:solidFill>
          </w14:textFill>
        </w:rPr>
        <w:t>四、</w:t>
      </w:r>
      <w:r>
        <w:rPr>
          <w:rFonts w:hint="eastAsia" w:ascii="Times New Roman" w:hAnsi="Times New Roman" w:eastAsia="宋体" w:cs="宋体"/>
          <w:b/>
          <w:bCs/>
          <w:color w:val="000000" w:themeColor="text1"/>
          <w:highlight w:val="none"/>
          <w14:textFill>
            <w14:solidFill>
              <w14:schemeClr w14:val="tx1"/>
            </w14:solidFill>
          </w14:textFill>
        </w:rPr>
        <w:t>本次采购执行财政部发布《关于推动解决政府采购异常低价问题的通知》财库〔2026〕2号）的文件要求。</w:t>
      </w:r>
    </w:p>
    <w:p w14:paraId="35C3383C">
      <w:pPr>
        <w:keepNext w:val="0"/>
        <w:keepLines w:val="0"/>
        <w:pageBreakBefore w:val="0"/>
        <w:widowControl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（一）政府采购评审中出现下列情形之一的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评审委员会应当启动异常低价投标（响应）审查程序：</w:t>
      </w:r>
    </w:p>
    <w:p w14:paraId="56133368">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1.投标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报价低于全部通过符合性审查供应商投标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报价平均值50%的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即投标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报价〈全部通过符合性审查供应商投标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报价平均值</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50%；</w:t>
      </w:r>
    </w:p>
    <w:p w14:paraId="134B21CF">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2.投标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报价低于通过符合性审查的次低报价供应商投标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报价50%的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即投标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报价〈通过符合性审查的次低报价供应商投标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50%；</w:t>
      </w:r>
    </w:p>
    <w:p w14:paraId="53D4956E">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3.投标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报价低于采购项目最高限价45%的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即投标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报价&lt;采购项目最高限价</w:t>
      </w:r>
      <w:r>
        <w:rPr>
          <w:rFonts w:hint="eastAsia" w:ascii="Times New Roman" w:hAnsi="Times New Roman" w:eastAsia="宋体"/>
          <w:b/>
          <w:bCs/>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45%；</w:t>
      </w:r>
    </w:p>
    <w:p w14:paraId="67B594C3">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4.评审委员会基于专业判断</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认为供应商报价过低</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有可能影响产品质量或者不能诚信履约的其他情形。</w:t>
      </w:r>
    </w:p>
    <w:p w14:paraId="7806CFAB">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lang w:val="en-US" w:eastAsia="zh-CN"/>
          <w14:textFill>
            <w14:solidFill>
              <w14:schemeClr w14:val="tx1"/>
            </w14:solidFill>
          </w14:textFill>
        </w:rPr>
        <w:t>二</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评审委员会启动异常低价投标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审查后</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属于前述第1项至第4项情形的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应当要求相关供应商在评审现场合理的时间内对投标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价格作出解释</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提供项目具体成本测算等与报价合理性相关的书面说明及必要的证明材料</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包括但不限于原材料成本、人工成本、制造费用等</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给予相关供应商的合理时间不少于30分钟。其中</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属于第3项情形</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供应商已随投标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文件一并提交相关书面说明及必要的证明材料的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在评审现场可不再重复提交。</w:t>
      </w:r>
    </w:p>
    <w:p w14:paraId="5DBEE2DD">
      <w:pPr>
        <w:pageBreakBefore w:val="0"/>
        <w:kinsoku/>
        <w:wordWrap/>
        <w:overflowPunct/>
        <w:topLinePunct w:val="0"/>
        <w:autoSpaceDE/>
        <w:autoSpaceDN/>
        <w:bidi w:val="0"/>
        <w:spacing w:line="360" w:lineRule="auto"/>
        <w:ind w:firstLine="422"/>
        <w:textAlignment w:val="auto"/>
        <w:rPr>
          <w:rFonts w:hint="eastAsia"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lang w:val="en-US" w:eastAsia="zh-CN"/>
          <w14:textFill>
            <w14:solidFill>
              <w14:schemeClr w14:val="tx1"/>
            </w14:solidFill>
          </w14:textFill>
        </w:rPr>
        <w:t>三</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评审委员会依据专业经验</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参考同类项目中标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成交</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价格、类似产品市场价格水平、行业人工费用标准、国家有关部门指导行业协会发布的行业平均成本等情况</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对报价合理性进行判断。投标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供应商不能提供书面说明、证明材料</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或者提供的书面说明、证明材料不能证明其报价合理性的</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评审委员会应当将其作为无效投标</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响应</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处理。</w:t>
      </w:r>
    </w:p>
    <w:p w14:paraId="23111884">
      <w:pPr>
        <w:pageBreakBefore w:val="0"/>
        <w:kinsoku/>
        <w:wordWrap/>
        <w:overflowPunct/>
        <w:topLinePunct w:val="0"/>
        <w:autoSpaceDE/>
        <w:autoSpaceDN/>
        <w:bidi w:val="0"/>
        <w:spacing w:line="360" w:lineRule="auto"/>
        <w:textAlignment w:val="auto"/>
        <w:rPr>
          <w:rFonts w:hint="eastAsia"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br w:type="page" w:clear="all"/>
      </w:r>
    </w:p>
    <w:p w14:paraId="42EFA684">
      <w:pPr>
        <w:pStyle w:val="2"/>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bookmarkStart w:id="93" w:name="_Toc8012"/>
      <w:bookmarkStart w:id="94" w:name="_Toc24650"/>
      <w:bookmarkStart w:id="95" w:name="_Toc20299"/>
      <w:bookmarkStart w:id="96" w:name="_Toc1523"/>
      <w:bookmarkStart w:id="97" w:name="_Toc3287"/>
      <w:bookmarkStart w:id="98" w:name="_Toc27845"/>
      <w:r>
        <w:rPr>
          <w:rFonts w:hint="eastAsia" w:ascii="Times New Roman" w:hAnsi="Times New Roman" w:eastAsia="宋体"/>
          <w:color w:val="000000" w:themeColor="text1"/>
          <w:highlight w:val="none"/>
          <w14:textFill>
            <w14:solidFill>
              <w14:schemeClr w14:val="tx1"/>
            </w14:solidFill>
          </w14:textFill>
        </w:rPr>
        <w:t>第六章 投标文件格式</w:t>
      </w:r>
      <w:bookmarkEnd w:id="93"/>
      <w:bookmarkEnd w:id="94"/>
      <w:bookmarkEnd w:id="95"/>
      <w:bookmarkEnd w:id="96"/>
      <w:bookmarkEnd w:id="97"/>
      <w:bookmarkEnd w:id="98"/>
      <w:r>
        <w:rPr>
          <w:rFonts w:hint="eastAsia" w:ascii="Times New Roman" w:hAnsi="Times New Roman" w:eastAsia="宋体"/>
          <w:color w:val="000000" w:themeColor="text1"/>
          <w:highlight w:val="none"/>
          <w14:textFill>
            <w14:solidFill>
              <w14:schemeClr w14:val="tx1"/>
            </w14:solidFill>
          </w14:textFill>
        </w:rPr>
        <w:t xml:space="preserve"> </w:t>
      </w:r>
    </w:p>
    <w:p w14:paraId="0A301B7E">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sz w:val="44"/>
          <w:highlight w:val="none"/>
          <w14:textFill>
            <w14:solidFill>
              <w14:schemeClr w14:val="tx1"/>
            </w14:solidFill>
          </w14:textFill>
        </w:rPr>
      </w:pPr>
    </w:p>
    <w:p w14:paraId="662BBB41">
      <w:pPr>
        <w:pStyle w:val="16"/>
        <w:pageBreakBefore w:val="0"/>
        <w:kinsoku/>
        <w:wordWrap/>
        <w:overflowPunct/>
        <w:topLinePunct w:val="0"/>
        <w:autoSpaceDE/>
        <w:autoSpaceDN/>
        <w:bidi w:val="0"/>
        <w:spacing w:after="0" w:line="360" w:lineRule="auto"/>
        <w:textAlignment w:val="auto"/>
        <w:rPr>
          <w:rFonts w:hint="eastAsia" w:ascii="Times New Roman" w:hAnsi="Times New Roman" w:eastAsia="宋体" w:cs="宋体"/>
          <w:bCs/>
          <w:color w:val="000000" w:themeColor="text1"/>
          <w:sz w:val="44"/>
          <w:highlight w:val="none"/>
          <w14:textFill>
            <w14:solidFill>
              <w14:schemeClr w14:val="tx1"/>
            </w14:solidFill>
          </w14:textFill>
        </w:rPr>
      </w:pPr>
    </w:p>
    <w:p w14:paraId="5B315468">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highlight w:val="none"/>
          <w14:textFill>
            <w14:solidFill>
              <w14:schemeClr w14:val="tx1"/>
            </w14:solidFill>
          </w14:textFill>
        </w:rPr>
      </w:pPr>
    </w:p>
    <w:p w14:paraId="15A7B86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72"/>
          <w:highlight w:val="none"/>
          <w14:textFill>
            <w14:solidFill>
              <w14:schemeClr w14:val="tx1"/>
            </w14:solidFill>
          </w14:textFill>
        </w:rPr>
      </w:pPr>
      <w:r>
        <w:rPr>
          <w:rFonts w:hint="eastAsia" w:ascii="Times New Roman" w:hAnsi="Times New Roman" w:eastAsia="宋体" w:cs="宋体"/>
          <w:b/>
          <w:color w:val="000000" w:themeColor="text1"/>
          <w:sz w:val="72"/>
          <w:highlight w:val="none"/>
          <w14:textFill>
            <w14:solidFill>
              <w14:schemeClr w14:val="tx1"/>
            </w14:solidFill>
          </w14:textFill>
        </w:rPr>
        <w:t>投  标  文  件</w:t>
      </w:r>
    </w:p>
    <w:p w14:paraId="03C51E4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72"/>
          <w:highlight w:val="none"/>
          <w14:textFill>
            <w14:solidFill>
              <w14:schemeClr w14:val="tx1"/>
            </w14:solidFill>
          </w14:textFill>
        </w:rPr>
      </w:pPr>
    </w:p>
    <w:p w14:paraId="0C903E8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72"/>
          <w:highlight w:val="none"/>
          <w14:textFill>
            <w14:solidFill>
              <w14:schemeClr w14:val="tx1"/>
            </w14:solidFill>
          </w14:textFill>
        </w:rPr>
      </w:pPr>
    </w:p>
    <w:p w14:paraId="716A168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155DF2E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0BC7AD8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31733D1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4F0158A6">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2D61218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2367FEC6">
      <w:pPr>
        <w:pageBreakBefore w:val="0"/>
        <w:kinsoku/>
        <w:wordWrap/>
        <w:overflowPunct/>
        <w:topLinePunct w:val="0"/>
        <w:autoSpaceDE/>
        <w:autoSpaceDN/>
        <w:bidi w:val="0"/>
        <w:spacing w:line="360" w:lineRule="auto"/>
        <w:ind w:firstLine="1084"/>
        <w:textAlignment w:val="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项 目 名 称：</w:t>
      </w:r>
    </w:p>
    <w:p w14:paraId="3A507B5D">
      <w:pPr>
        <w:pageBreakBefore w:val="0"/>
        <w:kinsoku/>
        <w:wordWrap/>
        <w:overflowPunct/>
        <w:topLinePunct w:val="0"/>
        <w:autoSpaceDE/>
        <w:autoSpaceDN/>
        <w:bidi w:val="0"/>
        <w:spacing w:line="360" w:lineRule="auto"/>
        <w:ind w:firstLine="1084"/>
        <w:textAlignment w:val="auto"/>
        <w:rPr>
          <w:rFonts w:hint="eastAsia" w:ascii="Times New Roman" w:hAnsi="Times New Roman" w:eastAsia="宋体" w:cs="宋体"/>
          <w:b/>
          <w:color w:val="000000" w:themeColor="text1"/>
          <w:sz w:val="36"/>
          <w:highlight w:val="none"/>
          <w:u w:val="singl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招 标 编 号：</w:t>
      </w:r>
    </w:p>
    <w:p w14:paraId="23035D8D">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 w:val="36"/>
          <w:highlight w:val="none"/>
          <w:u w:val="singl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      投标人名称 ：</w:t>
      </w:r>
    </w:p>
    <w:p w14:paraId="57FA908F">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 w:val="36"/>
          <w:highlight w:val="none"/>
          <w:u w:val="singl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 xml:space="preserve">      日      期 ：</w:t>
      </w:r>
    </w:p>
    <w:p w14:paraId="70D69BDC">
      <w:pPr>
        <w:pageBreakBefore w:val="0"/>
        <w:kinsoku/>
        <w:wordWrap/>
        <w:overflowPunct/>
        <w:topLinePunct w:val="0"/>
        <w:autoSpaceDE/>
        <w:autoSpaceDN/>
        <w:bidi w:val="0"/>
        <w:spacing w:line="360" w:lineRule="auto"/>
        <w:ind w:firstLine="1084"/>
        <w:textAlignment w:val="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t>投  标  人：（电子签章）</w:t>
      </w:r>
    </w:p>
    <w:p w14:paraId="4B78F8D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6A09B50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r>
        <w:rPr>
          <w:rFonts w:hint="eastAsia" w:ascii="Times New Roman" w:hAnsi="Times New Roman" w:eastAsia="宋体" w:cs="宋体"/>
          <w:b/>
          <w:bCs/>
          <w:color w:val="000000" w:themeColor="text1"/>
          <w:sz w:val="32"/>
          <w:szCs w:val="32"/>
          <w:highlight w:val="none"/>
          <w14:textFill>
            <w14:solidFill>
              <w14:schemeClr w14:val="tx1"/>
            </w14:solidFill>
          </w14:textFill>
        </w:rPr>
        <w:t>投标主要文件目录</w:t>
      </w:r>
    </w:p>
    <w:p w14:paraId="6425042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25A48A24">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一、资格审查响应对照表</w:t>
      </w:r>
    </w:p>
    <w:p w14:paraId="36BCF400">
      <w:pPr>
        <w:pageBreakBefore w:val="0"/>
        <w:kinsoku/>
        <w:wordWrap/>
        <w:overflowPunct/>
        <w:topLinePunct w:val="0"/>
        <w:autoSpaceDE/>
        <w:autoSpaceDN/>
        <w:bidi w:val="0"/>
        <w:spacing w:line="360" w:lineRule="auto"/>
        <w:ind w:left="480"/>
        <w:textAlignment w:val="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二、符合性审查响应对照表</w:t>
      </w:r>
    </w:p>
    <w:p w14:paraId="3F418904">
      <w:pPr>
        <w:pageBreakBefore w:val="0"/>
        <w:kinsoku/>
        <w:wordWrap/>
        <w:overflowPunct/>
        <w:topLinePunct w:val="0"/>
        <w:autoSpaceDE/>
        <w:autoSpaceDN/>
        <w:bidi w:val="0"/>
        <w:spacing w:line="360" w:lineRule="auto"/>
        <w:ind w:left="480"/>
        <w:textAlignment w:val="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三、非实质性响应对照表</w:t>
      </w:r>
    </w:p>
    <w:p w14:paraId="2A37BAB9">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b/>
          <w:bCs/>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四</w:t>
      </w:r>
      <w:r>
        <w:rPr>
          <w:rFonts w:hint="eastAsia" w:ascii="Times New Roman" w:hAnsi="Times New Roman" w:eastAsia="宋体" w:cs="宋体"/>
          <w:b/>
          <w:bCs/>
          <w:color w:val="000000" w:themeColor="text1"/>
          <w:sz w:val="24"/>
          <w:highlight w:val="none"/>
          <w14:textFill>
            <w14:solidFill>
              <w14:schemeClr w14:val="tx1"/>
            </w14:solidFill>
          </w14:textFill>
        </w:rPr>
        <w:t>、</w:t>
      </w:r>
      <w:r>
        <w:rPr>
          <w:rFonts w:hint="eastAsia" w:ascii="Times New Roman" w:hAnsi="Times New Roman" w:eastAsia="宋体" w:cs="宋体"/>
          <w:i/>
          <w:color w:val="000000" w:themeColor="text1"/>
          <w:sz w:val="24"/>
          <w:highlight w:val="none"/>
          <w:u w:val="single"/>
          <w14:textFill>
            <w14:solidFill>
              <w14:schemeClr w14:val="tx1"/>
            </w14:solidFill>
          </w14:textFill>
        </w:rPr>
        <w:t>开标一览表</w:t>
      </w:r>
    </w:p>
    <w:p w14:paraId="2BEEAEF4">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五、投标配置与分项报价表</w:t>
      </w:r>
    </w:p>
    <w:p w14:paraId="157A4DA2">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六</w:t>
      </w:r>
      <w:r>
        <w:rPr>
          <w:rFonts w:hint="eastAsia" w:ascii="Times New Roman" w:hAnsi="Times New Roman" w:eastAsia="宋体" w:cs="宋体"/>
          <w:color w:val="000000" w:themeColor="text1"/>
          <w:sz w:val="24"/>
          <w:szCs w:val="24"/>
          <w:highlight w:val="none"/>
          <w14:textFill>
            <w14:solidFill>
              <w14:schemeClr w14:val="tx1"/>
            </w14:solidFill>
          </w14:textFill>
        </w:rPr>
        <w:t>、技术参数响应及偏离表</w:t>
      </w:r>
    </w:p>
    <w:p w14:paraId="02D021B8">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七、商务条款响应及偏离表</w:t>
      </w:r>
    </w:p>
    <w:p w14:paraId="2311E130">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36"/>
          <w:szCs w:val="36"/>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八、其他 （投标人认为有必要提供的声明和文件</w:t>
      </w:r>
      <w:r>
        <w:rPr>
          <w:rFonts w:hint="eastAsia" w:ascii="Times New Roman" w:hAnsi="Times New Roman" w:cs="宋体"/>
          <w:color w:val="000000" w:themeColor="text1"/>
          <w:sz w:val="24"/>
          <w:highlight w:val="none"/>
          <w:lang w:eastAsia="zh-CN"/>
          <w14:textFill>
            <w14:solidFill>
              <w14:schemeClr w14:val="tx1"/>
            </w14:solidFill>
          </w14:textFill>
        </w:rPr>
        <w:t>，</w:t>
      </w:r>
      <w:r>
        <w:rPr>
          <w:rFonts w:hint="eastAsia" w:ascii="Times New Roman" w:hAnsi="Times New Roman" w:eastAsia="宋体" w:cs="宋体"/>
          <w:color w:val="000000" w:themeColor="text1"/>
          <w:sz w:val="24"/>
          <w:highlight w:val="none"/>
          <w14:textFill>
            <w14:solidFill>
              <w14:schemeClr w14:val="tx1"/>
            </w14:solidFill>
          </w14:textFill>
        </w:rPr>
        <w:t>如有自拟并自行添加）</w:t>
      </w:r>
    </w:p>
    <w:p w14:paraId="6E348446">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color w:val="000000" w:themeColor="text1"/>
          <w:sz w:val="72"/>
          <w:highlight w:val="none"/>
          <w14:textFill>
            <w14:solidFill>
              <w14:schemeClr w14:val="tx1"/>
            </w14:solidFill>
          </w14:textFill>
        </w:rPr>
      </w:pPr>
    </w:p>
    <w:p w14:paraId="40EBD0D4">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color w:val="000000" w:themeColor="text1"/>
          <w:sz w:val="72"/>
          <w:highlight w:val="none"/>
          <w14:textFill>
            <w14:solidFill>
              <w14:schemeClr w14:val="tx1"/>
            </w14:solidFill>
          </w14:textFill>
        </w:rPr>
      </w:pPr>
    </w:p>
    <w:p w14:paraId="2169FB8D">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color w:val="000000" w:themeColor="text1"/>
          <w:sz w:val="72"/>
          <w:highlight w:val="none"/>
          <w14:textFill>
            <w14:solidFill>
              <w14:schemeClr w14:val="tx1"/>
            </w14:solidFill>
          </w14:textFill>
        </w:rPr>
      </w:pPr>
    </w:p>
    <w:p w14:paraId="04EF4810">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01BE7CCE">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47028C58">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147E14F7">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7F27746B">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7ED162A3">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08D51792">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03974382">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 w:val="32"/>
          <w:szCs w:val="32"/>
          <w:highlight w:val="none"/>
          <w14:textFill>
            <w14:solidFill>
              <w14:schemeClr w14:val="tx1"/>
            </w14:solidFill>
          </w14:textFill>
        </w:rPr>
      </w:pPr>
    </w:p>
    <w:p w14:paraId="417FCD67">
      <w:pPr>
        <w:pStyle w:val="3"/>
        <w:pageBreakBefore w:val="0"/>
        <w:kinsoku/>
        <w:wordWrap/>
        <w:overflowPunct/>
        <w:topLinePunct w:val="0"/>
        <w:autoSpaceDE/>
        <w:autoSpaceDN/>
        <w:bidi w:val="0"/>
        <w:spacing w:before="0" w:after="0" w:line="360" w:lineRule="auto"/>
        <w:jc w:val="center"/>
        <w:textAlignment w:val="auto"/>
        <w:rPr>
          <w:rFonts w:ascii="Times New Roman" w:hAnsi="Times New Roman" w:eastAsia="宋体"/>
          <w:b w:val="0"/>
          <w:color w:val="000000" w:themeColor="text1"/>
          <w:sz w:val="32"/>
          <w:szCs w:val="32"/>
          <w:highlight w:val="none"/>
          <w14:textFill>
            <w14:solidFill>
              <w14:schemeClr w14:val="tx1"/>
            </w14:solidFill>
          </w14:textFill>
        </w:rPr>
      </w:pPr>
      <w:r>
        <w:rPr>
          <w:rFonts w:hint="eastAsia" w:ascii="Times New Roman" w:hAnsi="Times New Roman" w:eastAsia="宋体" w:cs="宋体"/>
          <w:color w:val="000000" w:themeColor="text1"/>
          <w:sz w:val="32"/>
          <w:szCs w:val="32"/>
          <w:highlight w:val="none"/>
          <w14:textFill>
            <w14:solidFill>
              <w14:schemeClr w14:val="tx1"/>
            </w14:solidFill>
          </w14:textFill>
        </w:rPr>
        <w:br w:type="page" w:clear="all"/>
      </w:r>
      <w:bookmarkStart w:id="99" w:name="_Toc1107"/>
      <w:bookmarkStart w:id="100" w:name="_Toc26156"/>
      <w:bookmarkStart w:id="101" w:name="_Toc20369"/>
      <w:bookmarkStart w:id="102" w:name="_Toc7268"/>
      <w:bookmarkStart w:id="103" w:name="_Toc5792"/>
      <w:r>
        <w:rPr>
          <w:rFonts w:hint="eastAsia" w:ascii="Times New Roman" w:hAnsi="Times New Roman" w:eastAsia="宋体" w:cs="宋体"/>
          <w:b/>
          <w:bCs/>
          <w:color w:val="000000" w:themeColor="text1"/>
          <w:sz w:val="32"/>
          <w:highlight w:val="none"/>
          <w14:textFill>
            <w14:solidFill>
              <w14:schemeClr w14:val="tx1"/>
            </w14:solidFill>
          </w14:textFill>
        </w:rPr>
        <w:t>一、</w:t>
      </w:r>
      <w:bookmarkEnd w:id="99"/>
      <w:bookmarkEnd w:id="100"/>
      <w:bookmarkEnd w:id="101"/>
      <w:bookmarkEnd w:id="102"/>
      <w:bookmarkEnd w:id="103"/>
      <w:r>
        <w:rPr>
          <w:rFonts w:hint="eastAsia" w:ascii="Times New Roman" w:hAnsi="Times New Roman" w:eastAsia="宋体"/>
          <w:b/>
          <w:bCs/>
          <w:color w:val="000000" w:themeColor="text1"/>
          <w:sz w:val="32"/>
          <w:highlight w:val="none"/>
          <w14:textFill>
            <w14:solidFill>
              <w14:schemeClr w14:val="tx1"/>
            </w14:solidFill>
          </w14:textFill>
        </w:rPr>
        <w:t>资格审查响应对照表</w:t>
      </w:r>
    </w:p>
    <w:tbl>
      <w:tblPr>
        <w:tblStyle w:val="3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854"/>
        <w:gridCol w:w="1751"/>
      </w:tblGrid>
      <w:tr w14:paraId="1778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noWrap w:val="0"/>
            <w:vAlign w:val="center"/>
          </w:tcPr>
          <w:p w14:paraId="5F9CCA24">
            <w:pPr>
              <w:pageBreakBefore w:val="0"/>
              <w:kinsoku/>
              <w:wordWrap/>
              <w:overflowPunct/>
              <w:topLinePunct w:val="0"/>
              <w:autoSpaceDE/>
              <w:autoSpaceDN/>
              <w:bidi w:val="0"/>
              <w:spacing w:line="360" w:lineRule="auto"/>
              <w:jc w:val="center"/>
              <w:textAlignment w:val="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序号</w:t>
            </w:r>
          </w:p>
        </w:tc>
        <w:tc>
          <w:tcPr>
            <w:tcW w:w="5854" w:type="dxa"/>
            <w:noWrap w:val="0"/>
            <w:vAlign w:val="center"/>
          </w:tcPr>
          <w:p w14:paraId="22BEFA5E">
            <w:pPr>
              <w:pageBreakBefore w:val="0"/>
              <w:kinsoku/>
              <w:wordWrap/>
              <w:overflowPunct/>
              <w:topLinePunct w:val="0"/>
              <w:autoSpaceDE/>
              <w:autoSpaceDN/>
              <w:bidi w:val="0"/>
              <w:spacing w:line="360" w:lineRule="auto"/>
              <w:jc w:val="center"/>
              <w:textAlignment w:val="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资格审查响应内容</w:t>
            </w:r>
          </w:p>
        </w:tc>
        <w:tc>
          <w:tcPr>
            <w:tcW w:w="1751" w:type="dxa"/>
            <w:noWrap w:val="0"/>
            <w:vAlign w:val="center"/>
          </w:tcPr>
          <w:p w14:paraId="01866229">
            <w:pPr>
              <w:pageBreakBefore w:val="0"/>
              <w:kinsoku/>
              <w:wordWrap/>
              <w:overflowPunct/>
              <w:topLinePunct w:val="0"/>
              <w:autoSpaceDE/>
              <w:autoSpaceDN/>
              <w:bidi w:val="0"/>
              <w:spacing w:line="360" w:lineRule="auto"/>
              <w:jc w:val="center"/>
              <w:textAlignment w:val="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是否响应</w:t>
            </w:r>
          </w:p>
          <w:p w14:paraId="65DB075D">
            <w:pPr>
              <w:pageBreakBefore w:val="0"/>
              <w:kinsoku/>
              <w:wordWrap/>
              <w:overflowPunct/>
              <w:topLinePunct w:val="0"/>
              <w:autoSpaceDE/>
              <w:autoSpaceDN/>
              <w:bidi w:val="0"/>
              <w:spacing w:line="360" w:lineRule="auto"/>
              <w:jc w:val="center"/>
              <w:textAlignment w:val="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lang w:eastAsia="zh-CN"/>
                <w14:textFill>
                  <w14:solidFill>
                    <w14:schemeClr w14:val="tx1"/>
                  </w14:solidFill>
                </w14:textFill>
              </w:rPr>
              <w:t>（</w:t>
            </w:r>
            <w:r>
              <w:rPr>
                <w:rFonts w:hint="eastAsia" w:ascii="Times New Roman" w:hAnsi="Times New Roman" w:eastAsia="宋体"/>
                <w:b/>
                <w:color w:val="000000" w:themeColor="text1"/>
                <w:szCs w:val="21"/>
                <w:highlight w:val="none"/>
                <w14:textFill>
                  <w14:solidFill>
                    <w14:schemeClr w14:val="tx1"/>
                  </w14:solidFill>
                </w14:textFill>
              </w:rPr>
              <w:t>填是或者否）</w:t>
            </w:r>
          </w:p>
        </w:tc>
      </w:tr>
      <w:tr w14:paraId="5030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030D8195">
            <w:pPr>
              <w:pageBreakBefore w:val="0"/>
              <w:kinsoku/>
              <w:wordWrap/>
              <w:overflowPunct/>
              <w:topLinePunct w:val="0"/>
              <w:autoSpaceDE/>
              <w:autoSpaceDN/>
              <w:bidi w:val="0"/>
              <w:spacing w:line="360" w:lineRule="auto"/>
              <w:textAlignment w:val="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通用资格条件</w:t>
            </w:r>
          </w:p>
        </w:tc>
      </w:tr>
      <w:tr w14:paraId="34BD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noWrap w:val="0"/>
            <w:vAlign w:val="center"/>
          </w:tcPr>
          <w:p w14:paraId="7AF79D3D">
            <w:pPr>
              <w:pageBreakBefore w:val="0"/>
              <w:kinsoku/>
              <w:wordWrap/>
              <w:overflowPunct/>
              <w:topLinePunct w:val="0"/>
              <w:autoSpaceDE/>
              <w:autoSpaceDN/>
              <w:bidi w:val="0"/>
              <w:spacing w:line="360" w:lineRule="auto"/>
              <w:jc w:val="center"/>
              <w:textAlignment w:val="auto"/>
              <w:rPr>
                <w:rFonts w:ascii="Times New Roman" w:hAnsi="Times New Roman" w:eastAsia="宋体"/>
                <w:b/>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1</w:t>
            </w:r>
          </w:p>
        </w:tc>
        <w:tc>
          <w:tcPr>
            <w:tcW w:w="5854" w:type="dxa"/>
            <w:shd w:val="clear" w:color="auto" w:fill="auto"/>
            <w:noWrap w:val="0"/>
            <w:vAlign w:val="center"/>
          </w:tcPr>
          <w:p w14:paraId="2B640890">
            <w:pPr>
              <w:pageBreakBefore w:val="0"/>
              <w:kinsoku/>
              <w:wordWrap/>
              <w:overflowPunct/>
              <w:topLinePunct w:val="0"/>
              <w:autoSpaceDE/>
              <w:autoSpaceDN/>
              <w:bidi w:val="0"/>
              <w:spacing w:line="360" w:lineRule="auto"/>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法人或者其他组织的营业执照等证明文件</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自然人的身份证明</w:t>
            </w:r>
            <w:r>
              <w:rPr>
                <w:rFonts w:hint="eastAsia" w:ascii="Times New Roman" w:hAnsi="Times New Roman" w:eastAsia="宋体"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身份证为正、反面）</w:t>
            </w:r>
          </w:p>
        </w:tc>
        <w:tc>
          <w:tcPr>
            <w:tcW w:w="1751" w:type="dxa"/>
            <w:noWrap w:val="0"/>
            <w:vAlign w:val="center"/>
          </w:tcPr>
          <w:p w14:paraId="6F3DCA93">
            <w:pPr>
              <w:pageBreakBefore w:val="0"/>
              <w:kinsoku/>
              <w:wordWrap/>
              <w:overflowPunct/>
              <w:topLinePunct w:val="0"/>
              <w:autoSpaceDE/>
              <w:autoSpaceDN/>
              <w:bidi w:val="0"/>
              <w:spacing w:line="360" w:lineRule="auto"/>
              <w:textAlignment w:val="auto"/>
              <w:rPr>
                <w:rFonts w:ascii="Times New Roman" w:hAnsi="Times New Roman" w:eastAsia="宋体"/>
                <w:b/>
                <w:color w:val="000000" w:themeColor="text1"/>
                <w:szCs w:val="21"/>
                <w:highlight w:val="none"/>
                <w14:textFill>
                  <w14:solidFill>
                    <w14:schemeClr w14:val="tx1"/>
                  </w14:solidFill>
                </w14:textFill>
              </w:rPr>
            </w:pPr>
          </w:p>
        </w:tc>
      </w:tr>
      <w:tr w14:paraId="41CC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DF4213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2</w:t>
            </w:r>
          </w:p>
        </w:tc>
        <w:tc>
          <w:tcPr>
            <w:tcW w:w="5854" w:type="dxa"/>
            <w:shd w:val="clear" w:color="auto" w:fill="auto"/>
            <w:noWrap w:val="0"/>
            <w:vAlign w:val="center"/>
          </w:tcPr>
          <w:p w14:paraId="224C93A3">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lang w:eastAsia="zh-CN"/>
                <w14:textFill>
                  <w14:solidFill>
                    <w14:schemeClr w14:val="tx1"/>
                  </w14:solidFill>
                </w14:textFill>
              </w:rPr>
              <w:t>上一年度</w:t>
            </w:r>
            <w:r>
              <w:rPr>
                <w:rFonts w:hint="eastAsia" w:ascii="Times New Roman" w:hAnsi="Times New Roman" w:eastAsia="宋体" w:cs="宋体"/>
                <w:color w:val="000000" w:themeColor="text1"/>
                <w:szCs w:val="21"/>
                <w:highlight w:val="none"/>
                <w14:textFill>
                  <w14:solidFill>
                    <w14:schemeClr w14:val="tx1"/>
                  </w14:solidFill>
                </w14:textFill>
              </w:rPr>
              <w:t>的财务报告情况（成立不满一年无需提供）</w:t>
            </w:r>
          </w:p>
        </w:tc>
        <w:tc>
          <w:tcPr>
            <w:tcW w:w="1751" w:type="dxa"/>
            <w:noWrap w:val="0"/>
            <w:vAlign w:val="center"/>
          </w:tcPr>
          <w:p w14:paraId="2C7CA833">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38A22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A64698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3</w:t>
            </w:r>
          </w:p>
        </w:tc>
        <w:tc>
          <w:tcPr>
            <w:tcW w:w="5854" w:type="dxa"/>
            <w:shd w:val="clear" w:color="auto" w:fill="auto"/>
            <w:noWrap w:val="0"/>
            <w:vAlign w:val="center"/>
          </w:tcPr>
          <w:p w14:paraId="64544E2E">
            <w:pPr>
              <w:pageBreakBefore w:val="0"/>
              <w:kinsoku/>
              <w:wordWrap/>
              <w:overflowPunct/>
              <w:topLinePunct w:val="0"/>
              <w:autoSpaceDE/>
              <w:autoSpaceDN/>
              <w:bidi w:val="0"/>
              <w:spacing w:line="360" w:lineRule="auto"/>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依法缴纳税收和社会保障资金的相关材料</w:t>
            </w:r>
            <w:r>
              <w:rPr>
                <w:rFonts w:hint="eastAsia" w:ascii="Times New Roman" w:hAnsi="Times New Roman" w:eastAsia="宋体"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提供提交投标文件截止时间前一年内至少一个月依法缴纳税收及缴纳社会保障资金的证明材料。供应商依法享受缓缴、免缴税收、社会保障资金的提供证明材料。新成立企业距投标截止日不足30日的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可不提供</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以新办企业营业执照发放日期为准）</w:t>
            </w:r>
          </w:p>
        </w:tc>
        <w:tc>
          <w:tcPr>
            <w:tcW w:w="1751" w:type="dxa"/>
            <w:noWrap w:val="0"/>
            <w:vAlign w:val="center"/>
          </w:tcPr>
          <w:p w14:paraId="4C1D8A87">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5EEF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730447E5">
            <w:pPr>
              <w:pageBreakBefore w:val="0"/>
              <w:kinsoku/>
              <w:wordWrap/>
              <w:overflowPunct/>
              <w:topLinePunct w:val="0"/>
              <w:autoSpaceDE/>
              <w:autoSpaceDN/>
              <w:bidi w:val="0"/>
              <w:spacing w:line="360" w:lineRule="auto"/>
              <w:jc w:val="center"/>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4</w:t>
            </w:r>
          </w:p>
        </w:tc>
        <w:tc>
          <w:tcPr>
            <w:tcW w:w="5854" w:type="dxa"/>
            <w:shd w:val="clear" w:color="auto" w:fill="auto"/>
            <w:noWrap w:val="0"/>
            <w:vAlign w:val="center"/>
          </w:tcPr>
          <w:p w14:paraId="65F9E025">
            <w:pPr>
              <w:pageBreakBefore w:val="0"/>
              <w:kinsoku/>
              <w:wordWrap/>
              <w:overflowPunct/>
              <w:topLinePunct w:val="0"/>
              <w:autoSpaceDE/>
              <w:autoSpaceDN/>
              <w:bidi w:val="0"/>
              <w:spacing w:line="360" w:lineRule="auto"/>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具备履行合同所必需的设备和专业技术能力的证明材料</w:t>
            </w:r>
          </w:p>
        </w:tc>
        <w:tc>
          <w:tcPr>
            <w:tcW w:w="1751" w:type="dxa"/>
            <w:noWrap w:val="0"/>
            <w:vAlign w:val="center"/>
          </w:tcPr>
          <w:p w14:paraId="69609B4B">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0A7B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1CA00C5C">
            <w:pPr>
              <w:pageBreakBefore w:val="0"/>
              <w:kinsoku/>
              <w:wordWrap/>
              <w:overflowPunct/>
              <w:topLinePunct w:val="0"/>
              <w:autoSpaceDE/>
              <w:autoSpaceDN/>
              <w:bidi w:val="0"/>
              <w:spacing w:line="360" w:lineRule="auto"/>
              <w:jc w:val="center"/>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5</w:t>
            </w:r>
          </w:p>
        </w:tc>
        <w:tc>
          <w:tcPr>
            <w:tcW w:w="5854" w:type="dxa"/>
            <w:shd w:val="clear" w:color="auto" w:fill="auto"/>
            <w:noWrap w:val="0"/>
            <w:vAlign w:val="center"/>
          </w:tcPr>
          <w:p w14:paraId="5EA4781E">
            <w:pPr>
              <w:pageBreakBefore w:val="0"/>
              <w:kinsoku/>
              <w:wordWrap/>
              <w:overflowPunct/>
              <w:topLinePunct w:val="0"/>
              <w:autoSpaceDE/>
              <w:autoSpaceDN/>
              <w:bidi w:val="0"/>
              <w:spacing w:line="360" w:lineRule="auto"/>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参加本次政府采购活动前3年内在经营活动中没有重大违法记录的书面声明</w:t>
            </w:r>
          </w:p>
        </w:tc>
        <w:tc>
          <w:tcPr>
            <w:tcW w:w="1751" w:type="dxa"/>
            <w:noWrap w:val="0"/>
            <w:vAlign w:val="center"/>
          </w:tcPr>
          <w:p w14:paraId="6A8383C3">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4DE1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65409DE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6</w:t>
            </w:r>
          </w:p>
        </w:tc>
        <w:tc>
          <w:tcPr>
            <w:tcW w:w="5854" w:type="dxa"/>
            <w:shd w:val="clear" w:color="auto" w:fill="auto"/>
            <w:noWrap w:val="0"/>
            <w:vAlign w:val="center"/>
          </w:tcPr>
          <w:p w14:paraId="56AF951C">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供应商信用承诺函</w:t>
            </w:r>
          </w:p>
        </w:tc>
        <w:tc>
          <w:tcPr>
            <w:tcW w:w="1751" w:type="dxa"/>
            <w:noWrap w:val="0"/>
            <w:vAlign w:val="center"/>
          </w:tcPr>
          <w:p w14:paraId="1757E4F8">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1794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2199498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olor w:val="000000" w:themeColor="text1"/>
                <w:szCs w:val="21"/>
                <w:highlight w:val="none"/>
                <w:lang w:val="en-US" w:eastAsia="zh-CN"/>
                <w14:textFill>
                  <w14:solidFill>
                    <w14:schemeClr w14:val="tx1"/>
                  </w14:solidFill>
                </w14:textFill>
              </w:rPr>
              <w:t>7</w:t>
            </w:r>
          </w:p>
        </w:tc>
        <w:tc>
          <w:tcPr>
            <w:tcW w:w="5854" w:type="dxa"/>
            <w:shd w:val="clear" w:color="auto" w:fill="auto"/>
            <w:noWrap w:val="0"/>
            <w:vAlign w:val="center"/>
          </w:tcPr>
          <w:p w14:paraId="6DFF60A7">
            <w:pPr>
              <w:pageBreakBefore w:val="0"/>
              <w:kinsoku/>
              <w:wordWrap/>
              <w:overflowPunct/>
              <w:topLinePunct w:val="0"/>
              <w:autoSpaceDE/>
              <w:autoSpaceDN/>
              <w:bidi w:val="0"/>
              <w:spacing w:line="360" w:lineRule="auto"/>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未被“信用中国”网站</w:t>
            </w:r>
            <w:r>
              <w:rPr>
                <w:rFonts w:hint="eastAsia" w:ascii="Times New Roman" w:hAnsi="Times New Roman" w:eastAsia="宋体"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www.creditchina.gov.cn）、“中国政府采购网”</w:t>
            </w:r>
            <w:r>
              <w:rPr>
                <w:rFonts w:hint="eastAsia" w:ascii="Times New Roman" w:hAnsi="Times New Roman" w:eastAsia="宋体"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www.ccgp.gov.cn</w:t>
            </w:r>
            <w:r>
              <w:rPr>
                <w:rFonts w:hint="eastAsia" w:ascii="Times New Roman" w:hAnsi="Times New Roman" w:eastAsia="宋体"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列入失信被执行人、重大税收违法案件当事人名单、政府采购严重违法失信行为记录名单及其他不符合《中华人民共和国政府采购法》第二十二条规定条件的信用记录。</w:t>
            </w:r>
          </w:p>
        </w:tc>
        <w:tc>
          <w:tcPr>
            <w:tcW w:w="1751" w:type="dxa"/>
            <w:noWrap w:val="0"/>
            <w:vAlign w:val="center"/>
          </w:tcPr>
          <w:p w14:paraId="788B07E0">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018B4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1" w:type="dxa"/>
            <w:gridSpan w:val="3"/>
            <w:noWrap w:val="0"/>
            <w:vAlign w:val="center"/>
          </w:tcPr>
          <w:p w14:paraId="48FDAAE3">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落实政府采购政策需满足的资格要求</w:t>
            </w:r>
          </w:p>
        </w:tc>
      </w:tr>
      <w:tr w14:paraId="7E54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26C243B7">
            <w:pPr>
              <w:pageBreakBefore w:val="0"/>
              <w:kinsoku/>
              <w:wordWrap/>
              <w:overflowPunct/>
              <w:topLinePunct w:val="0"/>
              <w:autoSpaceDE/>
              <w:autoSpaceDN/>
              <w:bidi w:val="0"/>
              <w:spacing w:line="360" w:lineRule="auto"/>
              <w:jc w:val="center"/>
              <w:textAlignment w:val="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8</w:t>
            </w:r>
          </w:p>
        </w:tc>
        <w:tc>
          <w:tcPr>
            <w:tcW w:w="5854" w:type="dxa"/>
            <w:noWrap w:val="0"/>
            <w:vAlign w:val="center"/>
          </w:tcPr>
          <w:p w14:paraId="1D320C45">
            <w:pPr>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无</w:t>
            </w:r>
          </w:p>
        </w:tc>
        <w:tc>
          <w:tcPr>
            <w:tcW w:w="1751" w:type="dxa"/>
            <w:noWrap w:val="0"/>
            <w:vAlign w:val="center"/>
          </w:tcPr>
          <w:p w14:paraId="1DC4728C">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4EF1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2DD0C2B4">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特定资格条件</w:t>
            </w:r>
          </w:p>
        </w:tc>
      </w:tr>
      <w:tr w14:paraId="7144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14:paraId="08B0E367">
            <w:pPr>
              <w:pageBreakBefore w:val="0"/>
              <w:kinsoku/>
              <w:wordWrap/>
              <w:overflowPunct/>
              <w:topLinePunct w:val="0"/>
              <w:autoSpaceDE/>
              <w:autoSpaceDN/>
              <w:bidi w:val="0"/>
              <w:spacing w:line="360" w:lineRule="auto"/>
              <w:jc w:val="center"/>
              <w:textAlignment w:val="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9</w:t>
            </w:r>
          </w:p>
        </w:tc>
        <w:tc>
          <w:tcPr>
            <w:tcW w:w="5854" w:type="dxa"/>
            <w:noWrap w:val="0"/>
            <w:vAlign w:val="center"/>
          </w:tcPr>
          <w:p w14:paraId="1E35A94E">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cs="宋体"/>
                <w:color w:val="000000" w:themeColor="text1"/>
                <w:szCs w:val="21"/>
                <w:highlight w:val="none"/>
                <w:lang w:val="en-US" w:eastAsia="zh-CN"/>
                <w14:textFill>
                  <w14:solidFill>
                    <w14:schemeClr w14:val="tx1"/>
                  </w14:solidFill>
                </w14:textFill>
              </w:rPr>
              <w:t>无</w:t>
            </w:r>
          </w:p>
        </w:tc>
        <w:tc>
          <w:tcPr>
            <w:tcW w:w="1751" w:type="dxa"/>
            <w:noWrap w:val="0"/>
            <w:vAlign w:val="center"/>
          </w:tcPr>
          <w:p w14:paraId="499DA592">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7FA7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7486B043">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b/>
                <w:color w:val="000000" w:themeColor="text1"/>
                <w:szCs w:val="21"/>
                <w:highlight w:val="none"/>
                <w14:textFill>
                  <w14:solidFill>
                    <w14:schemeClr w14:val="tx1"/>
                  </w14:solidFill>
                </w14:textFill>
              </w:rPr>
              <w:t>其他资格条件</w:t>
            </w:r>
          </w:p>
        </w:tc>
      </w:tr>
      <w:tr w14:paraId="05AB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5D20AC0A">
            <w:pPr>
              <w:pageBreakBefore w:val="0"/>
              <w:kinsoku/>
              <w:wordWrap/>
              <w:overflowPunct/>
              <w:topLinePunct w:val="0"/>
              <w:autoSpaceDE/>
              <w:autoSpaceDN/>
              <w:bidi w:val="0"/>
              <w:spacing w:line="360" w:lineRule="auto"/>
              <w:jc w:val="center"/>
              <w:textAlignment w:val="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10</w:t>
            </w:r>
          </w:p>
        </w:tc>
        <w:tc>
          <w:tcPr>
            <w:tcW w:w="5854" w:type="dxa"/>
            <w:noWrap w:val="0"/>
            <w:vAlign w:val="center"/>
          </w:tcPr>
          <w:p w14:paraId="0C8EFA57">
            <w:pPr>
              <w:pageBreakBefore w:val="0"/>
              <w:kinsoku/>
              <w:wordWrap/>
              <w:overflowPunct/>
              <w:topLinePunct w:val="0"/>
              <w:autoSpaceDE/>
              <w:autoSpaceDN/>
              <w:bidi w:val="0"/>
              <w:spacing w:line="360" w:lineRule="auto"/>
              <w:jc w:val="left"/>
              <w:textAlignment w:val="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投标函</w:t>
            </w:r>
          </w:p>
        </w:tc>
        <w:tc>
          <w:tcPr>
            <w:tcW w:w="1751" w:type="dxa"/>
            <w:noWrap w:val="0"/>
            <w:vAlign w:val="center"/>
          </w:tcPr>
          <w:p w14:paraId="6232EFBE">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r w14:paraId="57F0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54A8CF93">
            <w:pPr>
              <w:pageBreakBefore w:val="0"/>
              <w:kinsoku/>
              <w:wordWrap/>
              <w:overflowPunct/>
              <w:topLinePunct w:val="0"/>
              <w:autoSpaceDE/>
              <w:autoSpaceDN/>
              <w:bidi w:val="0"/>
              <w:spacing w:line="360" w:lineRule="auto"/>
              <w:jc w:val="center"/>
              <w:textAlignment w:val="auto"/>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11</w:t>
            </w:r>
          </w:p>
        </w:tc>
        <w:tc>
          <w:tcPr>
            <w:tcW w:w="5854" w:type="dxa"/>
            <w:noWrap w:val="0"/>
            <w:vAlign w:val="center"/>
          </w:tcPr>
          <w:p w14:paraId="18E5F7D2">
            <w:pPr>
              <w:pageBreakBefore w:val="0"/>
              <w:kinsoku/>
              <w:wordWrap/>
              <w:overflowPunct/>
              <w:topLinePunct w:val="0"/>
              <w:autoSpaceDE/>
              <w:autoSpaceDN/>
              <w:bidi w:val="0"/>
              <w:spacing w:line="360" w:lineRule="auto"/>
              <w:jc w:val="left"/>
              <w:textAlignment w:val="auto"/>
              <w:rPr>
                <w:rFonts w:ascii="Times New Roman" w:hAnsi="Times New Roman" w:eastAsia="宋体"/>
                <w:iCs/>
                <w:color w:val="000000" w:themeColor="text1"/>
                <w:szCs w:val="21"/>
                <w:highlight w:val="none"/>
                <w14:textFill>
                  <w14:solidFill>
                    <w14:schemeClr w14:val="tx1"/>
                  </w14:solidFill>
                </w14:textFill>
              </w:rPr>
            </w:pPr>
            <w:r>
              <w:rPr>
                <w:rFonts w:hint="eastAsia" w:ascii="Times New Roman" w:hAnsi="Times New Roman" w:eastAsia="宋体"/>
                <w:iCs/>
                <w:color w:val="000000" w:themeColor="text1"/>
                <w:szCs w:val="21"/>
                <w:highlight w:val="none"/>
                <w14:textFill>
                  <w14:solidFill>
                    <w14:schemeClr w14:val="tx1"/>
                  </w14:solidFill>
                </w14:textFill>
              </w:rPr>
              <w:t>法人授权书</w:t>
            </w:r>
          </w:p>
        </w:tc>
        <w:tc>
          <w:tcPr>
            <w:tcW w:w="1751" w:type="dxa"/>
            <w:noWrap w:val="0"/>
            <w:vAlign w:val="center"/>
          </w:tcPr>
          <w:p w14:paraId="373D474E">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Cs w:val="21"/>
                <w:highlight w:val="none"/>
                <w14:textFill>
                  <w14:solidFill>
                    <w14:schemeClr w14:val="tx1"/>
                  </w14:solidFill>
                </w14:textFill>
              </w:rPr>
            </w:pPr>
          </w:p>
        </w:tc>
      </w:tr>
    </w:tbl>
    <w:p w14:paraId="0F4FF387">
      <w:pPr>
        <w:keepNext w:val="0"/>
        <w:keepLines w:val="0"/>
        <w:pageBreakBefore w:val="0"/>
        <w:widowControl w:val="0"/>
        <w:kinsoku/>
        <w:wordWrap/>
        <w:overflowPunct/>
        <w:topLinePunct w:val="0"/>
        <w:autoSpaceDE/>
        <w:autoSpaceDN/>
        <w:bidi w:val="0"/>
        <w:spacing w:line="360" w:lineRule="auto"/>
        <w:ind w:left="0" w:firstLine="420"/>
        <w:textAlignment w:val="auto"/>
        <w:rPr>
          <w:rFonts w:hint="eastAsia" w:ascii="Times New Roman" w:hAnsi="Times New Roman" w:eastAsia="宋体"/>
          <w:color w:val="000000" w:themeColor="text1"/>
          <w:sz w:val="21"/>
          <w:szCs w:val="21"/>
          <w:highlight w:val="none"/>
          <w14:textFill>
            <w14:solidFill>
              <w14:schemeClr w14:val="tx1"/>
            </w14:solidFill>
          </w14:textFill>
        </w:rPr>
        <w:sectPr>
          <w:pgSz w:w="11906" w:h="16838"/>
          <w:pgMar w:top="1440" w:right="1800" w:bottom="1440" w:left="1800" w:header="851" w:footer="992" w:gutter="0"/>
          <w:cols w:space="1701" w:num="1"/>
          <w:docGrid w:linePitch="360" w:charSpace="0"/>
        </w:sectPr>
      </w:pPr>
    </w:p>
    <w:p w14:paraId="72C6EC52">
      <w:pPr>
        <w:pageBreakBefore w:val="0"/>
        <w:kinsoku/>
        <w:wordWrap/>
        <w:overflowPunct/>
        <w:topLinePunct w:val="0"/>
        <w:autoSpaceDE/>
        <w:autoSpaceDN/>
        <w:bidi w:val="0"/>
        <w:spacing w:line="360" w:lineRule="auto"/>
        <w:ind w:firstLine="1476"/>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具备履行合同所必需的设备和专业技术能力的书面声明</w:t>
      </w:r>
    </w:p>
    <w:p w14:paraId="15742358">
      <w:pPr>
        <w:pageBreakBefore w:val="0"/>
        <w:kinsoku/>
        <w:wordWrap/>
        <w:overflowPunct/>
        <w:topLinePunct w:val="0"/>
        <w:autoSpaceDE/>
        <w:autoSpaceDN/>
        <w:bidi w:val="0"/>
        <w:spacing w:line="360" w:lineRule="auto"/>
        <w:ind w:firstLine="492"/>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我单位郑重声明：我单位具备履行本项采购合同所必需的设备和专业技术能力</w:t>
      </w:r>
      <w:r>
        <w:rPr>
          <w:rFonts w:hint="eastAsia" w:ascii="Times New Roman" w:hAnsi="Times New Roman" w:cs="宋体"/>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14:textFill>
            <w14:solidFill>
              <w14:schemeClr w14:val="tx1"/>
            </w14:solidFill>
          </w14:textFill>
        </w:rPr>
        <w:t>为履行本项采购合同我公司具备如下主要设备和主要专业技术能力：</w:t>
      </w:r>
    </w:p>
    <w:p w14:paraId="1AFEB604">
      <w:pPr>
        <w:pageBreakBefore w:val="0"/>
        <w:kinsoku/>
        <w:wordWrap/>
        <w:overflowPunct/>
        <w:topLinePunct w:val="0"/>
        <w:autoSpaceDE/>
        <w:autoSpaceDN/>
        <w:bidi w:val="0"/>
        <w:spacing w:line="360" w:lineRule="auto"/>
        <w:ind w:firstLine="492"/>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主要设备有</w:t>
      </w:r>
      <w:r>
        <w:rPr>
          <w:rFonts w:hint="eastAsia" w:ascii="Times New Roman" w:hAnsi="Times New Roman" w:eastAsia="宋体" w:cs="宋体"/>
          <w:bCs/>
          <w:color w:val="000000" w:themeColor="text1"/>
          <w:szCs w:val="21"/>
          <w:highlight w:val="none"/>
          <w:lang w:eastAsia="zh-CN"/>
          <w14:textFill>
            <w14:solidFill>
              <w14:schemeClr w14:val="tx1"/>
            </w14:solidFill>
          </w14:textFill>
        </w:rPr>
        <w:t>：</w:t>
      </w:r>
    </w:p>
    <w:p w14:paraId="01D27CDE">
      <w:pPr>
        <w:pageBreakBefore w:val="0"/>
        <w:kinsoku/>
        <w:wordWrap/>
        <w:overflowPunct/>
        <w:topLinePunct w:val="0"/>
        <w:autoSpaceDE/>
        <w:autoSpaceDN/>
        <w:bidi w:val="0"/>
        <w:spacing w:line="360" w:lineRule="auto"/>
        <w:ind w:firstLine="492"/>
        <w:textAlignment w:val="auto"/>
        <w:rPr>
          <w:rFonts w:hint="eastAsia" w:ascii="Times New Roman" w:hAnsi="Times New Roman" w:eastAsia="宋体" w:cs="宋体"/>
          <w:bCs/>
          <w:color w:val="000000" w:themeColor="text1"/>
          <w:szCs w:val="21"/>
          <w:highlight w:val="none"/>
          <w:lang w:eastAsia="zh-CN"/>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主要专业技术能力有</w:t>
      </w:r>
      <w:r>
        <w:rPr>
          <w:rFonts w:hint="eastAsia" w:ascii="Times New Roman" w:hAnsi="Times New Roman" w:eastAsia="宋体" w:cs="宋体"/>
          <w:bCs/>
          <w:color w:val="000000" w:themeColor="text1"/>
          <w:szCs w:val="21"/>
          <w:highlight w:val="none"/>
          <w:lang w:eastAsia="zh-CN"/>
          <w14:textFill>
            <w14:solidFill>
              <w14:schemeClr w14:val="tx1"/>
            </w14:solidFill>
          </w14:textFill>
        </w:rPr>
        <w:t>：</w:t>
      </w:r>
    </w:p>
    <w:p w14:paraId="3C6CD450">
      <w:pPr>
        <w:pageBreakBefore w:val="0"/>
        <w:kinsoku/>
        <w:overflowPunct/>
        <w:topLinePunct w:val="0"/>
        <w:autoSpaceDE/>
        <w:autoSpaceDN/>
        <w:bidi w:val="0"/>
        <w:spacing w:line="360" w:lineRule="auto"/>
        <w:ind w:firstLine="420"/>
        <w:jc w:val="center"/>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投标人名称（加盖CA电子公章）：</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p>
    <w:p w14:paraId="30EF6009">
      <w:pPr>
        <w:pageBreakBefore w:val="0"/>
        <w:kinsoku/>
        <w:overflowPunct/>
        <w:topLinePunct w:val="0"/>
        <w:autoSpaceDE/>
        <w:autoSpaceDN/>
        <w:bidi w:val="0"/>
        <w:spacing w:line="360" w:lineRule="auto"/>
        <w:ind w:firstLine="420"/>
        <w:jc w:val="right"/>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法定代表人签章：_______________________</w:t>
      </w:r>
    </w:p>
    <w:p w14:paraId="2BE83ADA">
      <w:pPr>
        <w:pageBreakBefore w:val="0"/>
        <w:kinsoku/>
        <w:overflowPunct/>
        <w:topLinePunct w:val="0"/>
        <w:autoSpaceDE/>
        <w:autoSpaceDN/>
        <w:bidi w:val="0"/>
        <w:spacing w:line="360" w:lineRule="auto"/>
        <w:ind w:firstLine="420"/>
        <w:jc w:val="right"/>
        <w:textAlignment w:val="auto"/>
        <w:rPr>
          <w:rFonts w:hint="eastAsia"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日期：______年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日</w:t>
      </w:r>
    </w:p>
    <w:p w14:paraId="716D0B21">
      <w:pPr>
        <w:pageBreakBefore w:val="0"/>
        <w:kinsoku/>
        <w:wordWrap/>
        <w:overflowPunct/>
        <w:topLinePunct w:val="0"/>
        <w:autoSpaceDE/>
        <w:autoSpaceDN/>
        <w:bidi w:val="0"/>
        <w:spacing w:line="360" w:lineRule="auto"/>
        <w:ind w:firstLine="492"/>
        <w:textAlignment w:val="auto"/>
        <w:rPr>
          <w:rFonts w:hint="eastAsia" w:ascii="Times New Roman" w:hAnsi="Times New Roman" w:eastAsia="宋体" w:cs="宋体"/>
          <w:bCs/>
          <w:color w:val="000000" w:themeColor="text1"/>
          <w:szCs w:val="21"/>
          <w:highlight w:val="none"/>
          <w:lang w:eastAsia="zh-CN"/>
          <w14:textFill>
            <w14:solidFill>
              <w14:schemeClr w14:val="tx1"/>
            </w14:solidFill>
          </w14:textFill>
        </w:rPr>
      </w:pPr>
    </w:p>
    <w:p w14:paraId="7AECF195">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520913C2">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39AEA9F0">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0BFD65A4">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6622A148">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3C3F72B3">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1CF08BF1">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34EDBF7D">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5AF37927">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365EADFB">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23093F7F">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447F9F0E">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4CE49459">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1F2E97D0">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2D964F45">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 w:val="36"/>
          <w:highlight w:val="none"/>
          <w14:textFill>
            <w14:solidFill>
              <w14:schemeClr w14:val="tx1"/>
            </w14:solidFill>
          </w14:textFill>
        </w:rPr>
      </w:pPr>
      <w:r>
        <w:rPr>
          <w:rFonts w:hint="eastAsia" w:ascii="Times New Roman" w:hAnsi="Times New Roman" w:eastAsia="宋体" w:cs="宋体"/>
          <w:b/>
          <w:color w:val="000000" w:themeColor="text1"/>
          <w:sz w:val="36"/>
          <w:highlight w:val="none"/>
          <w14:textFill>
            <w14:solidFill>
              <w14:schemeClr w14:val="tx1"/>
            </w14:solidFill>
          </w14:textFill>
        </w:rPr>
        <w:br w:type="page" w:clear="all"/>
      </w:r>
    </w:p>
    <w:p w14:paraId="33B3243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参加本次政府采购活动前 3 年内在经营活动中没有重大违法记录的书面声明</w:t>
      </w:r>
    </w:p>
    <w:p w14:paraId="150D7ADC">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p>
    <w:p w14:paraId="29323B3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声  明</w:t>
      </w:r>
    </w:p>
    <w:p w14:paraId="501286FC">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我公司郑重声明：参加本次政府采购活动前 3 年内</w:t>
      </w:r>
      <w:r>
        <w:rPr>
          <w:rFonts w:hint="eastAsia" w:ascii="Times New Roman" w:hAnsi="Times New Roman" w:cs="宋体"/>
          <w:bCs/>
          <w:color w:val="000000" w:themeColor="text1"/>
          <w:highlight w:val="none"/>
          <w:lang w:eastAsia="zh-CN"/>
          <w14:textFill>
            <w14:solidFill>
              <w14:schemeClr w14:val="tx1"/>
            </w14:solidFill>
          </w14:textFill>
        </w:rPr>
        <w:t>，</w:t>
      </w:r>
      <w:r>
        <w:rPr>
          <w:rFonts w:hint="eastAsia" w:ascii="Times New Roman" w:hAnsi="Times New Roman" w:eastAsia="宋体" w:cs="宋体"/>
          <w:bCs/>
          <w:color w:val="000000" w:themeColor="text1"/>
          <w:highlight w:val="none"/>
          <w14:textFill>
            <w14:solidFill>
              <w14:schemeClr w14:val="tx1"/>
            </w14:solidFill>
          </w14:textFill>
        </w:rPr>
        <w:t>我公司在经营活动中没有因违法经营受到刑事处罚或者责令停产停业、吊销许可证或者执照、较大数额罚款等行政处罚。</w:t>
      </w:r>
    </w:p>
    <w:p w14:paraId="53ACDB0D">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供应商名称（公章）：</w:t>
      </w:r>
    </w:p>
    <w:p w14:paraId="2D860D7D">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法定代表人签章：</w:t>
      </w:r>
      <w:r>
        <w:rPr>
          <w:rFonts w:hint="eastAsia" w:ascii="Times New Roman" w:hAnsi="Times New Roman" w:eastAsia="宋体" w:cs="宋体"/>
          <w:bCs/>
          <w:color w:val="000000" w:themeColor="text1"/>
          <w:highlight w:val="none"/>
          <w:u w:val="single"/>
          <w14:textFill>
            <w14:solidFill>
              <w14:schemeClr w14:val="tx1"/>
            </w14:solidFill>
          </w14:textFill>
        </w:rPr>
        <w:t>_______________________</w:t>
      </w:r>
    </w:p>
    <w:p w14:paraId="083F6D0F">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日期：  年  月  日</w:t>
      </w:r>
    </w:p>
    <w:p w14:paraId="1A9DBC2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45EC539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434160D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616990D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2F688D6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41E1F97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1614C4E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br w:type="page" w:clear="all"/>
      </w:r>
      <w:r>
        <w:rPr>
          <w:rFonts w:hint="eastAsia" w:ascii="Times New Roman" w:hAnsi="Times New Roman" w:eastAsia="宋体" w:cs="宋体"/>
          <w:b/>
          <w:color w:val="000000" w:themeColor="text1"/>
          <w:szCs w:val="21"/>
          <w:highlight w:val="none"/>
          <w14:textFill>
            <w14:solidFill>
              <w14:schemeClr w14:val="tx1"/>
            </w14:solidFill>
          </w14:textFill>
        </w:rPr>
        <w:t>供应商信用承诺书</w:t>
      </w:r>
    </w:p>
    <w:p w14:paraId="0FF5BE7D">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承诺主体名称：</w:t>
      </w:r>
    </w:p>
    <w:p w14:paraId="1B253D6A">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统一社会信用代码：</w:t>
      </w:r>
    </w:p>
    <w:p w14:paraId="59A60F3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为维护公平竞争、规范有序的市场秩序</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营造诚实守信的信用环境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共同推进社会信用体系建设完善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树立企业诚信守法形象</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本企业对________________________项目政府采购活动郑重承诺如下：</w:t>
      </w:r>
    </w:p>
    <w:p w14:paraId="1ACFEA6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一、对提供给注册登记部门、行业管理部门、司法部门、行业组织以及在政府采购活动中提交的所有资料的合法性、真实性、准确性和有效性负责；</w:t>
      </w:r>
    </w:p>
    <w:p w14:paraId="347A890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二、严格按照国家</w:t>
      </w:r>
      <w:r>
        <w:rPr>
          <w:rFonts w:hint="eastAsia" w:ascii="Times New Roman" w:hAnsi="Times New Roman" w:eastAsia="宋体" w:cs="宋体"/>
          <w:color w:val="000000" w:themeColor="text1"/>
          <w:szCs w:val="21"/>
          <w:highlight w:val="none"/>
          <w:lang w:eastAsia="zh-CN"/>
          <w14:textFill>
            <w14:solidFill>
              <w14:schemeClr w14:val="tx1"/>
            </w14:solidFill>
          </w14:textFill>
        </w:rPr>
        <w:t>法律法规</w:t>
      </w:r>
      <w:r>
        <w:rPr>
          <w:rFonts w:hint="eastAsia" w:ascii="Times New Roman" w:hAnsi="Times New Roman" w:eastAsia="宋体" w:cs="宋体"/>
          <w:color w:val="000000" w:themeColor="text1"/>
          <w:szCs w:val="21"/>
          <w:highlight w:val="none"/>
          <w14:textFill>
            <w14:solidFill>
              <w14:schemeClr w14:val="tx1"/>
            </w14:solidFill>
          </w14:textFill>
        </w:rPr>
        <w:t>和规章开展采购活动</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全面履行应尽的责任和义务</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全面做到履约守信</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具备《中华人民共和国政府采购法》第二十二条第一款规定的条件；</w:t>
      </w:r>
    </w:p>
    <w:p w14:paraId="09CBAB38">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三、严格依法开展生产经营活动</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主动接受行业监管</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自愿接受依法开展的日常检查；违法失信经营后将自愿接受约束和惩戒</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并依法承担相应责任；</w:t>
      </w:r>
    </w:p>
    <w:p w14:paraId="673ADE7F">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四、自觉接受行政管理部门、行业组织、社会公众、新闻舆论的监督；</w:t>
      </w:r>
    </w:p>
    <w:p w14:paraId="688A8AF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五、自觉做到自我约束、自我管理</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不制假售假、商标侵权、虚假宣传、违约毁约、恶意逃债、偷税漏税、垄断和不正当竞争</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维护经营者、消费者的合法权益；</w:t>
      </w:r>
    </w:p>
    <w:p w14:paraId="1311DF69">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六、提出政府采购质疑和投诉坚持依法依规、诚实信用原则</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在全国范围12个月内没有三次以上查无实据的政府采购投诉；</w:t>
      </w:r>
    </w:p>
    <w:p w14:paraId="7E19223C">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七、严格遵守信用信息公示相关规定</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向社会公示信用信息；</w:t>
      </w:r>
    </w:p>
    <w:p w14:paraId="0262AF20">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八、在“信用中国”和“中国政府采购网”网站中无违法违规、较重或严重失信记录；</w:t>
      </w:r>
    </w:p>
    <w:p w14:paraId="5330878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九、如违反承诺</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自愿接受管理部门依法给予的行政处罚</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同意将违反承诺的行为作为不良记录记入信用档案</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依法依规进行信息公示</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并承担所产生的一切法律责任和经济损失。</w:t>
      </w:r>
    </w:p>
    <w:p w14:paraId="3A923B96">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十、本承诺书自签订之日起生效。</w:t>
      </w:r>
    </w:p>
    <w:p w14:paraId="3D473B62">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（注：法定代表人或负责人、主体名称发生变更的应当重新作出承诺。）</w:t>
      </w:r>
    </w:p>
    <w:p w14:paraId="219062F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承诺单位（签章）：           </w:t>
      </w:r>
    </w:p>
    <w:p w14:paraId="36DD00E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法定代表人（负责人）：</w:t>
      </w:r>
    </w:p>
    <w:p w14:paraId="49C53DC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年    月    日</w:t>
      </w:r>
    </w:p>
    <w:p w14:paraId="17D3F80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p w14:paraId="08419816">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p w14:paraId="323A760C">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p w14:paraId="278D77D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br w:type="page" w:clear="all"/>
      </w:r>
      <w:r>
        <w:rPr>
          <w:rFonts w:hint="eastAsia" w:ascii="Times New Roman" w:hAnsi="Times New Roman" w:eastAsia="宋体" w:cs="宋体"/>
          <w:b/>
          <w:bCs/>
          <w:color w:val="000000" w:themeColor="text1"/>
          <w:highlight w:val="none"/>
          <w14:textFill>
            <w14:solidFill>
              <w14:schemeClr w14:val="tx1"/>
            </w14:solidFill>
          </w14:textFill>
        </w:rPr>
        <w:t>投标函格式</w:t>
      </w:r>
    </w:p>
    <w:p w14:paraId="120F52A0">
      <w:pPr>
        <w:pStyle w:val="61"/>
        <w:pageBreakBefore w:val="0"/>
        <w:kinsoku/>
        <w:wordWrap/>
        <w:overflowPunct/>
        <w:topLinePunct w:val="0"/>
        <w:autoSpaceDE/>
        <w:autoSpaceDN/>
        <w:bidi w:val="0"/>
        <w:spacing w:before="0" w:after="0" w:line="360" w:lineRule="auto"/>
        <w:ind w:firstLine="0"/>
        <w:textAlignment w:val="auto"/>
        <w:rPr>
          <w:rFonts w:hint="eastAsia" w:ascii="Times New Roman" w:hAnsi="Times New Roman" w:eastAsia="宋体" w:cs="宋体"/>
          <w:color w:val="000000" w:themeColor="text1"/>
          <w:sz w:val="21"/>
          <w:szCs w:val="21"/>
          <w:highlight w:val="none"/>
          <w:lang w:eastAsia="zh-CN"/>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致：</w:t>
      </w:r>
      <w:r>
        <w:rPr>
          <w:rFonts w:hint="eastAsia" w:ascii="Times New Roman" w:hAnsi="Times New Roman" w:cs="宋体"/>
          <w:color w:val="000000" w:themeColor="text1"/>
          <w:sz w:val="21"/>
          <w:highlight w:val="none"/>
          <w:lang w:eastAsia="zh-CN"/>
          <w14:textFill>
            <w14:solidFill>
              <w14:schemeClr w14:val="tx1"/>
            </w14:solidFill>
          </w14:textFill>
        </w:rPr>
        <w:t>江苏省经纬建设监理有限公司</w:t>
      </w:r>
    </w:p>
    <w:p w14:paraId="7499D8A9">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根据贵方的（）号招标文件</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正式授权下述签字人_________________（姓名）代表我方______________（投标人的名称）</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全权处理本次项目投标的有关事宜。</w:t>
      </w:r>
    </w:p>
    <w:p w14:paraId="12A347D3">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据此函</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__________签字人（姓名）兹宣布同意如下：</w:t>
      </w:r>
    </w:p>
    <w:p w14:paraId="3635DA7D">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1.按照招标文件规定的各项要求</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向买方提供所需货物与服务。</w:t>
      </w:r>
    </w:p>
    <w:p w14:paraId="6A16E60B">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2.我们完全理解贵方不一定将合同授予最低报价的投标人。</w:t>
      </w:r>
    </w:p>
    <w:p w14:paraId="34C0F2E7">
      <w:pPr>
        <w:pStyle w:val="61"/>
        <w:pageBreakBefore w:val="0"/>
        <w:kinsoku/>
        <w:wordWrap/>
        <w:overflowPunct/>
        <w:topLinePunct w:val="0"/>
        <w:autoSpaceDE/>
        <w:autoSpaceDN/>
        <w:bidi w:val="0"/>
        <w:spacing w:before="0" w:after="0"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3.我们已详细审核全部招标文件及其有效补充文件</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我们知道必须放弃提出含糊不清或误解问题的权利。</w:t>
      </w:r>
    </w:p>
    <w:p w14:paraId="0DA7A4AE">
      <w:pPr>
        <w:pStyle w:val="61"/>
        <w:pageBreakBefore w:val="0"/>
        <w:kinsoku/>
        <w:wordWrap/>
        <w:overflowPunct/>
        <w:topLinePunct w:val="0"/>
        <w:autoSpaceDE/>
        <w:autoSpaceDN/>
        <w:bidi w:val="0"/>
        <w:spacing w:before="0" w:after="0"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4.我们同意从规定的开标日期起遵循本投标文件</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并在规定的投标有效期期满之前均具有约束力。</w:t>
      </w:r>
    </w:p>
    <w:p w14:paraId="3D523F96">
      <w:pPr>
        <w:pStyle w:val="61"/>
        <w:pageBreakBefore w:val="0"/>
        <w:kinsoku/>
        <w:wordWrap/>
        <w:overflowPunct/>
        <w:topLinePunct w:val="0"/>
        <w:autoSpaceDE/>
        <w:autoSpaceDN/>
        <w:bidi w:val="0"/>
        <w:spacing w:before="0" w:after="0"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5.同意向贵方提供贵方可能另外要求的与投标有关的任何证据或资料</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并保证我方已提供和将要提供的文件是真实的、准确的。</w:t>
      </w:r>
    </w:p>
    <w:p w14:paraId="569061BA">
      <w:pPr>
        <w:pStyle w:val="61"/>
        <w:pageBreakBefore w:val="0"/>
        <w:kinsoku/>
        <w:wordWrap/>
        <w:overflowPunct/>
        <w:topLinePunct w:val="0"/>
        <w:autoSpaceDE/>
        <w:autoSpaceDN/>
        <w:bidi w:val="0"/>
        <w:spacing w:before="0" w:after="0"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6.一旦我方中标</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我方将根据招标文件的规定</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严格履行合同的责任和义务</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并保证在招标文件规定的时</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间内</w:t>
      </w:r>
      <w:r>
        <w:rPr>
          <w:rFonts w:hint="eastAsia" w:ascii="Times New Roman" w:hAnsi="Times New Roman" w:eastAsia="宋体" w:cs="宋体"/>
          <w:color w:val="000000" w:themeColor="text1"/>
          <w:sz w:val="21"/>
          <w:szCs w:val="21"/>
          <w:highlight w:val="none"/>
          <w14:textFill>
            <w14:solidFill>
              <w14:schemeClr w14:val="tx1"/>
            </w14:solidFill>
          </w14:textFill>
        </w:rPr>
        <w:t>完成项目</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交付买方验收、使用。</w:t>
      </w:r>
    </w:p>
    <w:p w14:paraId="036D4464">
      <w:pPr>
        <w:pStyle w:val="61"/>
        <w:pageBreakBefore w:val="0"/>
        <w:kinsoku/>
        <w:wordWrap/>
        <w:overflowPunct/>
        <w:topLinePunct w:val="0"/>
        <w:autoSpaceDE/>
        <w:autoSpaceDN/>
        <w:bidi w:val="0"/>
        <w:spacing w:before="0" w:after="0" w:line="360" w:lineRule="auto"/>
        <w:ind w:left="425" w:firstLine="105"/>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7.与本投标有关的正式通讯地址为：</w:t>
      </w:r>
    </w:p>
    <w:p w14:paraId="0CDE97ED">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地 址：</w:t>
      </w:r>
    </w:p>
    <w:p w14:paraId="5B4CACC6">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邮 编：</w:t>
      </w:r>
    </w:p>
    <w:p w14:paraId="59D5864C">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电 话： </w:t>
      </w:r>
    </w:p>
    <w:p w14:paraId="4D12CB3D">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传 真： </w:t>
      </w:r>
    </w:p>
    <w:p w14:paraId="2CCCF8C7">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投标人开户行：</w:t>
      </w:r>
    </w:p>
    <w:p w14:paraId="5471774B">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账 户： </w:t>
      </w:r>
    </w:p>
    <w:p w14:paraId="0D7B61E0">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行 号：</w:t>
      </w:r>
    </w:p>
    <w:p w14:paraId="04ED5E72">
      <w:pPr>
        <w:pStyle w:val="61"/>
        <w:pageBreakBefore w:val="0"/>
        <w:kinsoku/>
        <w:wordWrap/>
        <w:overflowPunct/>
        <w:topLinePunct w:val="0"/>
        <w:autoSpaceDE/>
        <w:autoSpaceDN/>
        <w:bidi w:val="0"/>
        <w:spacing w:before="0" w:after="0" w:line="360" w:lineRule="auto"/>
        <w:ind w:firstLine="478"/>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日 期：________年____月____日</w:t>
      </w:r>
    </w:p>
    <w:p w14:paraId="4C8C8ED4">
      <w:pPr>
        <w:pageBreakBefore w:val="0"/>
        <w:kinsoku/>
        <w:wordWrap/>
        <w:overflowPunct/>
        <w:topLinePunct w:val="0"/>
        <w:autoSpaceDE/>
        <w:autoSpaceDN/>
        <w:bidi w:val="0"/>
        <w:spacing w:line="360" w:lineRule="auto"/>
        <w:contextualSpacing/>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6A9379C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 w:val="32"/>
          <w:szCs w:val="32"/>
          <w:highlight w:val="none"/>
          <w14:textFill>
            <w14:solidFill>
              <w14:schemeClr w14:val="tx1"/>
            </w14:solidFill>
          </w14:textFill>
        </w:rPr>
        <w:br w:type="page" w:clear="all"/>
      </w:r>
      <w:r>
        <w:rPr>
          <w:rFonts w:hint="eastAsia" w:ascii="Times New Roman" w:hAnsi="Times New Roman" w:eastAsia="宋体" w:cs="宋体"/>
          <w:b/>
          <w:color w:val="000000" w:themeColor="text1"/>
          <w:szCs w:val="21"/>
          <w:highlight w:val="none"/>
          <w14:textFill>
            <w14:solidFill>
              <w14:schemeClr w14:val="tx1"/>
            </w14:solidFill>
          </w14:textFill>
        </w:rPr>
        <w:t>法人授权书</w:t>
      </w:r>
    </w:p>
    <w:p w14:paraId="1B8EB876">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p w14:paraId="0A3B1C09">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本授权书声明：________________（投标人名称）授权________________（被授权人的姓名）为我方就（项目编号）（项目名称）项目采购活动的合法代理人</w:t>
      </w:r>
      <w:r>
        <w:rPr>
          <w:rFonts w:hint="eastAsia"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以本公司名义全权处理一切与该项目采购有关的事务。</w:t>
      </w:r>
    </w:p>
    <w:p w14:paraId="144E2E95">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本授权书于______年____月____日起生效</w:t>
      </w:r>
      <w:r>
        <w:rPr>
          <w:rFonts w:hint="eastAsia"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特此声明。</w:t>
      </w:r>
    </w:p>
    <w:p w14:paraId="6E3BEF49">
      <w:pPr>
        <w:pStyle w:val="279"/>
        <w:pageBreakBefore w:val="0"/>
        <w:kinsoku/>
        <w:wordWrap/>
        <w:overflowPunct/>
        <w:topLinePunct w:val="0"/>
        <w:autoSpaceDE/>
        <w:autoSpaceDN/>
        <w:bidi w:val="0"/>
        <w:spacing w:line="360" w:lineRule="auto"/>
        <w:ind w:firstLine="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p w14:paraId="28587D2A">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被授权人姓名： </w:t>
      </w:r>
    </w:p>
    <w:p w14:paraId="429B6D87">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u w:val="singl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联系电话（手机）：</w:t>
      </w:r>
    </w:p>
    <w:p w14:paraId="51C25B25">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单位名称： </w:t>
      </w:r>
    </w:p>
    <w:p w14:paraId="1EA2FF9D">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u w:val="singl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单位地址：</w:t>
      </w:r>
    </w:p>
    <w:p w14:paraId="7193E70F">
      <w:pPr>
        <w:pStyle w:val="279"/>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日期：</w:t>
      </w:r>
    </w:p>
    <w:p w14:paraId="00004D50">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highlight w:val="none"/>
          <w14:textFill>
            <w14:solidFill>
              <w14:schemeClr w14:val="tx1"/>
            </w14:solidFill>
          </w14:textFill>
        </w:rPr>
      </w:pPr>
    </w:p>
    <w:p w14:paraId="70E5FF96">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color w:val="000000" w:themeColor="text1"/>
          <w:sz w:val="24"/>
          <w:highlight w:val="none"/>
          <w14:textFill>
            <w14:solidFill>
              <w14:schemeClr w14:val="tx1"/>
            </w14:solidFill>
          </w14:textFill>
        </w:rPr>
      </w:pPr>
    </w:p>
    <w:p w14:paraId="3EBBD17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t>法定代表人身份证复印件</w:t>
      </w:r>
    </w:p>
    <w:p w14:paraId="16073E6B">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p>
    <w:p w14:paraId="5552F484">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p>
    <w:p w14:paraId="110EB2F3">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r>
        <w:rPr>
          <w:rFonts w:hint="eastAsia" w:ascii="Times New Roman" w:hAnsi="Times New Roman" w:eastAsia="宋体" w:cs="宋体"/>
          <w:bCs/>
          <w:i/>
          <w:iCs/>
          <w:color w:val="000000" w:themeColor="text1"/>
          <w:highlight w:val="none"/>
          <w:u w:val="single"/>
          <w14:textFill>
            <w14:solidFill>
              <w14:schemeClr w14:val="tx1"/>
            </w14:solidFill>
          </w14:textFill>
        </w:rPr>
        <w:t>被授权人身份证复印件</w:t>
      </w:r>
    </w:p>
    <w:p w14:paraId="1FA7312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i/>
          <w:iCs/>
          <w:color w:val="000000" w:themeColor="text1"/>
          <w:highlight w:val="none"/>
          <w:u w:val="single"/>
          <w14:textFill>
            <w14:solidFill>
              <w14:schemeClr w14:val="tx1"/>
            </w14:solidFill>
          </w14:textFill>
        </w:rPr>
      </w:pPr>
    </w:p>
    <w:p w14:paraId="5CCFA711">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p>
    <w:p w14:paraId="026D0D15">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p>
    <w:p w14:paraId="650E6D7A">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i/>
          <w:iCs/>
          <w:color w:val="000000" w:themeColor="text1"/>
          <w:highlight w:val="none"/>
          <w:u w:val="single"/>
          <w14:textFill>
            <w14:solidFill>
              <w14:schemeClr w14:val="tx1"/>
            </w14:solidFill>
          </w14:textFill>
        </w:rPr>
      </w:pPr>
    </w:p>
    <w:p w14:paraId="284E2C9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i/>
          <w:iCs/>
          <w:color w:val="000000" w:themeColor="text1"/>
          <w:highlight w:val="none"/>
          <w:u w:val="single"/>
          <w14:textFill>
            <w14:solidFill>
              <w14:schemeClr w14:val="tx1"/>
            </w14:solidFill>
          </w14:textFill>
        </w:rPr>
        <w:sectPr>
          <w:pgSz w:w="11906" w:h="16838"/>
          <w:pgMar w:top="1440" w:right="1800" w:bottom="1440" w:left="1800" w:header="851" w:footer="992" w:gutter="0"/>
          <w:cols w:space="1701" w:num="1"/>
          <w:docGrid w:linePitch="360" w:charSpace="0"/>
        </w:sectPr>
      </w:pPr>
    </w:p>
    <w:p w14:paraId="733E84B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中小企业声明函（货物）</w:t>
      </w:r>
    </w:p>
    <w:p w14:paraId="51F943C2">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本公司（联合体）郑重声明</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根据《政府采购促进中小企业发展管理办法》（财库﹝2020﹞46 号）的规定</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本公司（联合体）参加</w:t>
      </w:r>
      <w:r>
        <w:rPr>
          <w:rFonts w:hint="eastAsia" w:ascii="Times New Roman" w:hAnsi="Times New Roman" w:eastAsia="宋体" w:cs="宋体"/>
          <w:color w:val="000000" w:themeColor="text1"/>
          <w:szCs w:val="21"/>
          <w:highlight w:val="none"/>
          <w:u w:val="single"/>
          <w14:textFill>
            <w14:solidFill>
              <w14:schemeClr w14:val="tx1"/>
            </w14:solidFill>
          </w14:textFill>
        </w:rPr>
        <w:t>（单位名称）</w:t>
      </w:r>
      <w:r>
        <w:rPr>
          <w:rFonts w:hint="eastAsia" w:ascii="Times New Roman" w:hAnsi="Times New Roman" w:eastAsia="宋体" w:cs="宋体"/>
          <w:color w:val="000000" w:themeColor="text1"/>
          <w:szCs w:val="21"/>
          <w:highlight w:val="none"/>
          <w14:textFill>
            <w14:solidFill>
              <w14:schemeClr w14:val="tx1"/>
            </w14:solidFill>
          </w14:textFill>
        </w:rPr>
        <w:t>的</w:t>
      </w:r>
      <w:r>
        <w:rPr>
          <w:rFonts w:hint="eastAsia" w:ascii="Times New Roman" w:hAnsi="Times New Roman" w:eastAsia="宋体" w:cs="宋体"/>
          <w:color w:val="000000" w:themeColor="text1"/>
          <w:szCs w:val="21"/>
          <w:highlight w:val="none"/>
          <w:u w:val="single"/>
          <w14:textFill>
            <w14:solidFill>
              <w14:schemeClr w14:val="tx1"/>
            </w14:solidFill>
          </w14:textFill>
        </w:rPr>
        <w:t>（项目名称）</w:t>
      </w:r>
      <w:r>
        <w:rPr>
          <w:rFonts w:hint="eastAsia" w:ascii="Times New Roman" w:hAnsi="Times New Roman" w:eastAsia="宋体" w:cs="宋体"/>
          <w:color w:val="000000" w:themeColor="text1"/>
          <w:szCs w:val="21"/>
          <w:highlight w:val="none"/>
          <w14:textFill>
            <w14:solidFill>
              <w14:schemeClr w14:val="tx1"/>
            </w14:solidFill>
          </w14:textFill>
        </w:rPr>
        <w:t>采购活动</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提供的货物全部由符合政策要求的中小企业制造。相关企业（含联合体中的中小企业、签订分包意向协议的中小企业）的具体情况如下：</w:t>
      </w:r>
    </w:p>
    <w:p w14:paraId="226297DC">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 </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（标的名称） </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b/>
          <w:bCs/>
          <w:color w:val="000000" w:themeColor="text1"/>
          <w:szCs w:val="21"/>
          <w:highlight w:val="none"/>
          <w:u w:val="single"/>
          <w:lang w:val="en-US" w:eastAsia="zh-CN"/>
          <w14:textFill>
            <w14:solidFill>
              <w14:schemeClr w14:val="tx1"/>
            </w14:solidFill>
          </w14:textFill>
        </w:rPr>
        <w:t>工业</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color w:val="000000" w:themeColor="text1"/>
          <w:szCs w:val="21"/>
          <w:highlight w:val="none"/>
          <w:u w:val="single"/>
          <w14:textFill>
            <w14:solidFill>
              <w14:schemeClr w14:val="tx1"/>
            </w14:solidFill>
          </w14:textFill>
        </w:rPr>
        <w:t>行业（不得对行业类别修改）</w:t>
      </w:r>
      <w:r>
        <w:rPr>
          <w:rFonts w:hint="eastAsia" w:ascii="Times New Roman" w:hAnsi="Times New Roman" w:eastAsia="宋体" w:cs="宋体"/>
          <w:color w:val="000000" w:themeColor="text1"/>
          <w:szCs w:val="21"/>
          <w:highlight w:val="none"/>
          <w14:textFill>
            <w14:solidFill>
              <w14:schemeClr w14:val="tx1"/>
            </w14:solidFill>
          </w14:textFill>
        </w:rPr>
        <w:t>；制造商为</w:t>
      </w:r>
      <w:r>
        <w:rPr>
          <w:rFonts w:hint="eastAsia" w:ascii="Times New Roman" w:hAnsi="Times New Roman" w:eastAsia="宋体" w:cs="宋体"/>
          <w:color w:val="000000" w:themeColor="text1"/>
          <w:szCs w:val="21"/>
          <w:highlight w:val="none"/>
          <w:u w:val="single"/>
          <w14:textFill>
            <w14:solidFill>
              <w14:schemeClr w14:val="tx1"/>
            </w14:solidFill>
          </w14:textFill>
        </w:rPr>
        <w:t>（企业名称）</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从业人员</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人</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营业收入为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资产总额为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ascii="Times New Roman" w:hAnsi="Times New Roman" w:eastAsia="宋体"/>
          <w:color w:val="000000" w:themeColor="text1"/>
          <w:highlight w:val="none"/>
          <w14:textFill>
            <w14:solidFill>
              <w14:schemeClr w14:val="tx1"/>
            </w14:solidFill>
          </w14:textFill>
        </w:rPr>
        <w:fldChar w:fldCharType="begin"/>
      </w:r>
      <w:r>
        <w:rPr>
          <w:rFonts w:ascii="Times New Roman" w:hAnsi="Times New Roman" w:eastAsia="宋体"/>
          <w:color w:val="000000" w:themeColor="text1"/>
          <w:highlight w:val="none"/>
          <w14:textFill>
            <w14:solidFill>
              <w14:schemeClr w14:val="tx1"/>
            </w14:solidFill>
          </w14:textFill>
        </w:rPr>
        <w:instrText xml:space="preserve"> HYPERLINK \l "br1" \o "#br1" </w:instrText>
      </w:r>
      <w:r>
        <w:rPr>
          <w:rFonts w:ascii="Times New Roman" w:hAnsi="Times New Roman" w:eastAsia="宋体"/>
          <w:color w:val="000000" w:themeColor="text1"/>
          <w:highlight w:val="none"/>
          <w14:textFill>
            <w14:solidFill>
              <w14:schemeClr w14:val="tx1"/>
            </w14:solidFill>
          </w14:textFill>
        </w:rPr>
        <w:fldChar w:fldCharType="separate"/>
      </w:r>
      <w:r>
        <w:rPr>
          <w:rFonts w:hint="eastAsia" w:ascii="Times New Roman" w:hAnsi="Times New Roman" w:eastAsia="宋体" w:cs="宋体"/>
          <w:color w:val="000000" w:themeColor="text1"/>
          <w:spacing w:val="-1"/>
          <w:szCs w:val="21"/>
          <w:highlight w:val="none"/>
          <w:vertAlign w:val="superscript"/>
          <w14:textFill>
            <w14:solidFill>
              <w14:schemeClr w14:val="tx1"/>
            </w14:solidFill>
          </w14:textFill>
        </w:rPr>
        <w:t>1</w:t>
      </w:r>
      <w:r>
        <w:rPr>
          <w:rFonts w:hint="eastAsia" w:ascii="Times New Roman" w:hAnsi="Times New Roman" w:eastAsia="宋体" w:cs="宋体"/>
          <w:color w:val="000000" w:themeColor="text1"/>
          <w:spacing w:val="-1"/>
          <w:szCs w:val="21"/>
          <w:highlight w:val="none"/>
          <w:vertAlign w:val="superscript"/>
          <w14:textFill>
            <w14:solidFill>
              <w14:schemeClr w14:val="tx1"/>
            </w14:solidFill>
          </w14:textFill>
        </w:rPr>
        <w:fldChar w:fldCharType="end"/>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color w:val="000000" w:themeColor="text1"/>
          <w:szCs w:val="21"/>
          <w:highlight w:val="none"/>
          <w:u w:val="single"/>
          <w14:textFill>
            <w14:solidFill>
              <w14:schemeClr w14:val="tx1"/>
            </w14:solidFill>
          </w14:textFill>
        </w:rPr>
        <w:t>（□中型企业 □小型企业 □微型企业）；</w:t>
      </w:r>
    </w:p>
    <w:p w14:paraId="4F029B4D">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 </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（标的名称） </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b/>
          <w:bCs/>
          <w:color w:val="000000" w:themeColor="text1"/>
          <w:szCs w:val="21"/>
          <w:highlight w:val="none"/>
          <w:u w:val="single"/>
          <w:lang w:val="en-US" w:eastAsia="zh-CN"/>
          <w14:textFill>
            <w14:solidFill>
              <w14:schemeClr w14:val="tx1"/>
            </w14:solidFill>
          </w14:textFill>
        </w:rPr>
        <w:t>工业</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color w:val="000000" w:themeColor="text1"/>
          <w:szCs w:val="21"/>
          <w:highlight w:val="none"/>
          <w:u w:val="single"/>
          <w14:textFill>
            <w14:solidFill>
              <w14:schemeClr w14:val="tx1"/>
            </w14:solidFill>
          </w14:textFill>
        </w:rPr>
        <w:t>行业（不得对行业类别修改）；</w:t>
      </w:r>
      <w:r>
        <w:rPr>
          <w:rFonts w:hint="eastAsia" w:ascii="Times New Roman" w:hAnsi="Times New Roman" w:eastAsia="宋体" w:cs="宋体"/>
          <w:color w:val="000000" w:themeColor="text1"/>
          <w:szCs w:val="21"/>
          <w:highlight w:val="none"/>
          <w14:textFill>
            <w14:solidFill>
              <w14:schemeClr w14:val="tx1"/>
            </w14:solidFill>
          </w14:textFill>
        </w:rPr>
        <w:t>制造商为</w:t>
      </w:r>
      <w:r>
        <w:rPr>
          <w:rFonts w:hint="eastAsia" w:ascii="Times New Roman" w:hAnsi="Times New Roman" w:eastAsia="宋体" w:cs="宋体"/>
          <w:color w:val="000000" w:themeColor="text1"/>
          <w:szCs w:val="21"/>
          <w:highlight w:val="none"/>
          <w:u w:val="single"/>
          <w14:textFill>
            <w14:solidFill>
              <w14:schemeClr w14:val="tx1"/>
            </w14:solidFill>
          </w14:textFill>
        </w:rPr>
        <w:t>（企业名称）</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从业人员</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人</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营业收入为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资产总额为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color w:val="000000" w:themeColor="text1"/>
          <w:szCs w:val="21"/>
          <w:highlight w:val="none"/>
          <w:u w:val="single"/>
          <w14:textFill>
            <w14:solidFill>
              <w14:schemeClr w14:val="tx1"/>
            </w14:solidFill>
          </w14:textFill>
        </w:rPr>
        <w:t>（□中型企业 □小型企业 □微型企业）；</w:t>
      </w:r>
    </w:p>
    <w:p w14:paraId="3BE77D53">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w:t>
      </w:r>
    </w:p>
    <w:p w14:paraId="60810E7D">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以上企业</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不属于大企业的分支机构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不存在控股股东为大企业的情形</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也不存在与大企业的负责人为同一人的情形。</w:t>
      </w:r>
    </w:p>
    <w:p w14:paraId="5B0456AA">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本企业对上述声明内容的真实性负责。如有虚假</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将依法承担相应责任。</w:t>
      </w:r>
    </w:p>
    <w:p w14:paraId="662E6C97">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p>
    <w:p w14:paraId="534A9E04">
      <w:pPr>
        <w:pageBreakBefore w:val="0"/>
        <w:kinsoku/>
        <w:wordWrap/>
        <w:overflowPunct/>
        <w:topLinePunct w:val="0"/>
        <w:autoSpaceDE/>
        <w:autoSpaceDN/>
        <w:bidi w:val="0"/>
        <w:spacing w:line="360" w:lineRule="auto"/>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注： 1、从业人员（不仅指在职职工）、营业收入、资产总额填报上一年度数据</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无上一年度数据的新成立企业可不填报。</w:t>
      </w:r>
    </w:p>
    <w:p w14:paraId="6121BFA0">
      <w:pPr>
        <w:pageBreakBefore w:val="0"/>
        <w:kinsoku/>
        <w:wordWrap/>
        <w:overflowPunct/>
        <w:topLinePunct w:val="0"/>
        <w:autoSpaceDE/>
        <w:autoSpaceDN/>
        <w:bidi w:val="0"/>
        <w:spacing w:line="360" w:lineRule="auto"/>
        <w:ind w:firstLine="420"/>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2、</w:t>
      </w:r>
      <w:r>
        <w:rPr>
          <w:rFonts w:hint="eastAsia" w:ascii="Times New Roman" w:hAnsi="Times New Roman" w:eastAsia="宋体" w:cs="宋体"/>
          <w:color w:val="000000" w:themeColor="text1"/>
          <w:highlight w:val="none"/>
          <w14:textFill>
            <w14:solidFill>
              <w14:schemeClr w14:val="tx1"/>
            </w14:solidFill>
          </w14:textFill>
        </w:rPr>
        <w:t>《中小企业声明函》不符合要求或未提供的</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作如下处理：①如本项目专门面向中小企业采购</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则投标</w:t>
      </w:r>
      <w:r>
        <w:rPr>
          <w:rFonts w:hint="eastAsia" w:ascii="Times New Roman" w:hAnsi="Times New Roman" w:eastAsia="宋体"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响应）文件无效；②如本项目不专门面向中小企业采购</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则价格将不做相应扣除。</w:t>
      </w:r>
    </w:p>
    <w:p w14:paraId="184D0C8A">
      <w:pPr>
        <w:pageBreakBefore w:val="0"/>
        <w:kinsoku/>
        <w:wordWrap/>
        <w:overflowPunct/>
        <w:topLinePunct w:val="0"/>
        <w:autoSpaceDE/>
        <w:autoSpaceDN/>
        <w:bidi w:val="0"/>
        <w:spacing w:line="360" w:lineRule="auto"/>
        <w:textAlignment w:val="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    3、企业声明函请完整填写</w:t>
      </w:r>
      <w:r>
        <w:rPr>
          <w:rFonts w:hint="eastAsia" w:ascii="Times New Roman" w:hAnsi="Times New Roman" w:cs="宋体"/>
          <w:b/>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color w:val="000000" w:themeColor="text1"/>
          <w:szCs w:val="21"/>
          <w:highlight w:val="none"/>
          <w14:textFill>
            <w14:solidFill>
              <w14:schemeClr w14:val="tx1"/>
            </w14:solidFill>
          </w14:textFill>
        </w:rPr>
        <w:t>中标后将公示。</w:t>
      </w:r>
    </w:p>
    <w:p w14:paraId="61A63113">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4、投标人应当对其出具的《中小企业声明函》真实性负责</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投标人出具的《中小企业声明函》内容不实的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属于提供虚假材料谋取中标。对相关制造商信息了解不充分</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或者不能确定相关信息真实、准确的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不建议出具《中小企业声明函》。</w:t>
      </w:r>
    </w:p>
    <w:p w14:paraId="098F3733">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5、声明函应涵盖本项目</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分包</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所有货物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否则价格不作扣除。</w:t>
      </w:r>
    </w:p>
    <w:p w14:paraId="40F5C6E6">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6、中小企业不得属于大企业的分支机构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不得存在控股股东为大企业的情形</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不得存在与大企业的负责人为同一人的情形。</w:t>
      </w:r>
    </w:p>
    <w:p w14:paraId="55019C7D">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7、</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《政府采购法》第七十七条第一款：提供虚假材料谋取中标、成交的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处以采购金额千分之五以上千分之十以下的罚款</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列入不良行为记录名单</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在一至三年内禁止参加政府采购活动</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有违法所得的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并处没收违法所得</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情节严重的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由工商行政管理机关吊销营业执照；构成犯罪的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依法追究刑事责任 。</w:t>
      </w:r>
    </w:p>
    <w:p w14:paraId="2091F4E2">
      <w:pPr>
        <w:pageBreakBefore w:val="0"/>
        <w:kinsoku/>
        <w:wordWrap/>
        <w:overflowPunct/>
        <w:topLinePunct w:val="0"/>
        <w:autoSpaceDE/>
        <w:autoSpaceDN/>
        <w:bidi w:val="0"/>
        <w:spacing w:line="360" w:lineRule="auto"/>
        <w:ind w:firstLine="5250"/>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企业名称（盖章）：</w:t>
      </w:r>
    </w:p>
    <w:p w14:paraId="6FFB7000">
      <w:pPr>
        <w:pageBreakBefore w:val="0"/>
        <w:kinsoku/>
        <w:wordWrap/>
        <w:overflowPunct/>
        <w:topLinePunct w:val="0"/>
        <w:autoSpaceDE/>
        <w:autoSpaceDN/>
        <w:bidi w:val="0"/>
        <w:spacing w:line="360" w:lineRule="auto"/>
        <w:jc w:val="center"/>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日 期：</w:t>
      </w:r>
    </w:p>
    <w:p w14:paraId="5FA299BB">
      <w:pPr>
        <w:pStyle w:val="270"/>
        <w:pageBreakBefore w:val="0"/>
        <w:widowControl/>
        <w:kinsoku/>
        <w:wordWrap/>
        <w:overflowPunct/>
        <w:topLinePunct w:val="0"/>
        <w:autoSpaceDE/>
        <w:autoSpaceDN/>
        <w:bidi w:val="0"/>
        <w:spacing w:line="360" w:lineRule="auto"/>
        <w:ind w:firstLine="42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w:t>
      </w:r>
      <w:r>
        <w:rPr>
          <w:rStyle w:val="275"/>
          <w:rFonts w:hint="eastAsia" w:ascii="Times New Roman" w:hAnsi="Times New Roman" w:eastAsia="宋体" w:cs="宋体"/>
          <w:color w:val="000000" w:themeColor="text1"/>
          <w:sz w:val="21"/>
          <w:szCs w:val="21"/>
          <w:highlight w:val="none"/>
          <w14:textFill>
            <w14:solidFill>
              <w14:schemeClr w14:val="tx1"/>
            </w14:solidFill>
          </w14:textFill>
        </w:rPr>
        <w:t>中小微企业划型标准如下：</w:t>
      </w:r>
    </w:p>
    <w:tbl>
      <w:tblPr>
        <w:tblStyle w:val="39"/>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1159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5" w:hRule="atLeast"/>
          <w:tblCellSpacing w:w="15" w:type="dxa"/>
        </w:trPr>
        <w:tc>
          <w:tcPr>
            <w:tcW w:w="1401" w:type="dxa"/>
            <w:noWrap w:val="0"/>
            <w:tcMar>
              <w:top w:w="0" w:type="dxa"/>
              <w:left w:w="105" w:type="dxa"/>
              <w:bottom w:w="0" w:type="dxa"/>
              <w:right w:w="105" w:type="dxa"/>
            </w:tcMar>
            <w:vAlign w:val="center"/>
          </w:tcPr>
          <w:p w14:paraId="365D1789">
            <w:pPr>
              <w:pStyle w:val="270"/>
              <w:pageBreakBefore w:val="0"/>
              <w:widowControl/>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行业名称</w:t>
            </w:r>
          </w:p>
        </w:tc>
        <w:tc>
          <w:tcPr>
            <w:tcW w:w="1709" w:type="dxa"/>
            <w:noWrap w:val="0"/>
            <w:tcMar>
              <w:top w:w="0" w:type="dxa"/>
              <w:left w:w="105" w:type="dxa"/>
              <w:bottom w:w="0" w:type="dxa"/>
              <w:right w:w="105" w:type="dxa"/>
            </w:tcMar>
            <w:vAlign w:val="center"/>
          </w:tcPr>
          <w:p w14:paraId="3EC6F39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指标名称</w:t>
            </w:r>
          </w:p>
        </w:tc>
        <w:tc>
          <w:tcPr>
            <w:tcW w:w="1151" w:type="dxa"/>
            <w:noWrap w:val="0"/>
            <w:tcMar>
              <w:top w:w="0" w:type="dxa"/>
              <w:left w:w="105" w:type="dxa"/>
              <w:bottom w:w="0" w:type="dxa"/>
              <w:right w:w="105" w:type="dxa"/>
            </w:tcMar>
            <w:vAlign w:val="center"/>
          </w:tcPr>
          <w:p w14:paraId="18EAEFE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计量单位</w:t>
            </w:r>
          </w:p>
        </w:tc>
        <w:tc>
          <w:tcPr>
            <w:tcW w:w="1383" w:type="dxa"/>
            <w:noWrap w:val="0"/>
            <w:tcMar>
              <w:top w:w="0" w:type="dxa"/>
              <w:left w:w="105" w:type="dxa"/>
              <w:bottom w:w="0" w:type="dxa"/>
              <w:right w:w="105" w:type="dxa"/>
            </w:tcMar>
            <w:vAlign w:val="center"/>
          </w:tcPr>
          <w:p w14:paraId="5D1F1B9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中型</w:t>
            </w:r>
          </w:p>
        </w:tc>
        <w:tc>
          <w:tcPr>
            <w:tcW w:w="1679" w:type="dxa"/>
            <w:noWrap w:val="0"/>
            <w:tcMar>
              <w:top w:w="0" w:type="dxa"/>
              <w:left w:w="105" w:type="dxa"/>
              <w:bottom w:w="0" w:type="dxa"/>
              <w:right w:w="105" w:type="dxa"/>
            </w:tcMar>
            <w:vAlign w:val="center"/>
          </w:tcPr>
          <w:p w14:paraId="0DC2C73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小型</w:t>
            </w:r>
          </w:p>
        </w:tc>
        <w:tc>
          <w:tcPr>
            <w:tcW w:w="1455" w:type="dxa"/>
            <w:noWrap w:val="0"/>
            <w:tcMar>
              <w:top w:w="0" w:type="dxa"/>
              <w:left w:w="105" w:type="dxa"/>
              <w:bottom w:w="0" w:type="dxa"/>
              <w:right w:w="105" w:type="dxa"/>
            </w:tcMar>
            <w:vAlign w:val="center"/>
          </w:tcPr>
          <w:p w14:paraId="3729860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微型</w:t>
            </w:r>
          </w:p>
        </w:tc>
      </w:tr>
      <w:tr w14:paraId="3B99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68FBAF6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农、林、牧、渔</w:t>
            </w:r>
          </w:p>
        </w:tc>
        <w:tc>
          <w:tcPr>
            <w:tcW w:w="1709" w:type="dxa"/>
            <w:noWrap w:val="0"/>
            <w:tcMar>
              <w:top w:w="0" w:type="dxa"/>
              <w:left w:w="105" w:type="dxa"/>
              <w:bottom w:w="0" w:type="dxa"/>
              <w:right w:w="105" w:type="dxa"/>
            </w:tcMar>
            <w:vAlign w:val="center"/>
          </w:tcPr>
          <w:p w14:paraId="137A9CF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3F70AA1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4606993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500≤Y&lt;20000</w:t>
            </w:r>
          </w:p>
        </w:tc>
        <w:tc>
          <w:tcPr>
            <w:tcW w:w="1679" w:type="dxa"/>
            <w:noWrap w:val="0"/>
            <w:tcMar>
              <w:top w:w="0" w:type="dxa"/>
              <w:left w:w="105" w:type="dxa"/>
              <w:bottom w:w="0" w:type="dxa"/>
              <w:right w:w="105" w:type="dxa"/>
            </w:tcMar>
            <w:vAlign w:val="center"/>
          </w:tcPr>
          <w:p w14:paraId="4977A16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50≤Y&lt;500</w:t>
            </w:r>
          </w:p>
        </w:tc>
        <w:tc>
          <w:tcPr>
            <w:tcW w:w="1455" w:type="dxa"/>
            <w:noWrap w:val="0"/>
            <w:tcMar>
              <w:top w:w="0" w:type="dxa"/>
              <w:left w:w="105" w:type="dxa"/>
              <w:bottom w:w="0" w:type="dxa"/>
              <w:right w:w="105" w:type="dxa"/>
            </w:tcMar>
            <w:vAlign w:val="center"/>
          </w:tcPr>
          <w:p w14:paraId="60C58E3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Y&lt;50</w:t>
            </w:r>
          </w:p>
        </w:tc>
      </w:tr>
      <w:tr w14:paraId="4AAF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931ED2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工业</w:t>
            </w:r>
          </w:p>
        </w:tc>
        <w:tc>
          <w:tcPr>
            <w:tcW w:w="1709" w:type="dxa"/>
            <w:noWrap w:val="0"/>
            <w:tcMar>
              <w:top w:w="0" w:type="dxa"/>
              <w:left w:w="105" w:type="dxa"/>
              <w:bottom w:w="0" w:type="dxa"/>
              <w:right w:w="105" w:type="dxa"/>
            </w:tcMar>
            <w:vAlign w:val="center"/>
          </w:tcPr>
          <w:p w14:paraId="329B0E1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01372A3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0D2BBC0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300≤X&lt;1000</w:t>
            </w:r>
          </w:p>
        </w:tc>
        <w:tc>
          <w:tcPr>
            <w:tcW w:w="1679" w:type="dxa"/>
            <w:noWrap w:val="0"/>
            <w:tcMar>
              <w:top w:w="0" w:type="dxa"/>
              <w:left w:w="105" w:type="dxa"/>
              <w:bottom w:w="0" w:type="dxa"/>
              <w:right w:w="105" w:type="dxa"/>
            </w:tcMar>
            <w:vAlign w:val="center"/>
          </w:tcPr>
          <w:p w14:paraId="4852A78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20≤X&lt;300</w:t>
            </w:r>
          </w:p>
        </w:tc>
        <w:tc>
          <w:tcPr>
            <w:tcW w:w="1455" w:type="dxa"/>
            <w:noWrap w:val="0"/>
            <w:tcMar>
              <w:top w:w="0" w:type="dxa"/>
              <w:left w:w="105" w:type="dxa"/>
              <w:bottom w:w="0" w:type="dxa"/>
              <w:right w:w="105" w:type="dxa"/>
            </w:tcMar>
            <w:vAlign w:val="center"/>
          </w:tcPr>
          <w:p w14:paraId="5C8E540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X&lt;20</w:t>
            </w:r>
          </w:p>
        </w:tc>
      </w:tr>
      <w:tr w14:paraId="6E43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038E6F0">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098616D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59B2B0A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64AFD2F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2000≤Y&lt;40000</w:t>
            </w:r>
          </w:p>
        </w:tc>
        <w:tc>
          <w:tcPr>
            <w:tcW w:w="1679" w:type="dxa"/>
            <w:noWrap w:val="0"/>
            <w:tcMar>
              <w:top w:w="0" w:type="dxa"/>
              <w:left w:w="105" w:type="dxa"/>
              <w:bottom w:w="0" w:type="dxa"/>
              <w:right w:w="105" w:type="dxa"/>
            </w:tcMar>
            <w:vAlign w:val="center"/>
          </w:tcPr>
          <w:p w14:paraId="59964F4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300≤Y&lt;2000</w:t>
            </w:r>
          </w:p>
        </w:tc>
        <w:tc>
          <w:tcPr>
            <w:tcW w:w="1455" w:type="dxa"/>
            <w:noWrap w:val="0"/>
            <w:tcMar>
              <w:top w:w="0" w:type="dxa"/>
              <w:left w:w="105" w:type="dxa"/>
              <w:bottom w:w="0" w:type="dxa"/>
              <w:right w:w="105" w:type="dxa"/>
            </w:tcMar>
            <w:vAlign w:val="center"/>
          </w:tcPr>
          <w:p w14:paraId="5A27F53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Y&lt;300</w:t>
            </w:r>
          </w:p>
        </w:tc>
      </w:tr>
      <w:tr w14:paraId="1B36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7FC506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建筑业</w:t>
            </w:r>
          </w:p>
        </w:tc>
        <w:tc>
          <w:tcPr>
            <w:tcW w:w="1709" w:type="dxa"/>
            <w:noWrap w:val="0"/>
            <w:tcMar>
              <w:top w:w="0" w:type="dxa"/>
              <w:left w:w="105" w:type="dxa"/>
              <w:bottom w:w="0" w:type="dxa"/>
              <w:right w:w="105" w:type="dxa"/>
            </w:tcMar>
            <w:vAlign w:val="center"/>
          </w:tcPr>
          <w:p w14:paraId="066975D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21D2D08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511C6AE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6000≤Y&lt;80000</w:t>
            </w:r>
          </w:p>
        </w:tc>
        <w:tc>
          <w:tcPr>
            <w:tcW w:w="1679" w:type="dxa"/>
            <w:noWrap w:val="0"/>
            <w:tcMar>
              <w:top w:w="0" w:type="dxa"/>
              <w:left w:w="105" w:type="dxa"/>
              <w:bottom w:w="0" w:type="dxa"/>
              <w:right w:w="105" w:type="dxa"/>
            </w:tcMar>
            <w:vAlign w:val="center"/>
          </w:tcPr>
          <w:p w14:paraId="6253F12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300≤Y&lt;6000</w:t>
            </w:r>
          </w:p>
        </w:tc>
        <w:tc>
          <w:tcPr>
            <w:tcW w:w="1455" w:type="dxa"/>
            <w:noWrap w:val="0"/>
            <w:tcMar>
              <w:top w:w="0" w:type="dxa"/>
              <w:left w:w="105" w:type="dxa"/>
              <w:bottom w:w="0" w:type="dxa"/>
              <w:right w:w="105" w:type="dxa"/>
            </w:tcMar>
            <w:vAlign w:val="center"/>
          </w:tcPr>
          <w:p w14:paraId="297D565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Y&lt;300</w:t>
            </w:r>
          </w:p>
        </w:tc>
      </w:tr>
      <w:tr w14:paraId="2F155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4B4A295">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255CAA4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资产总额（Z）</w:t>
            </w:r>
          </w:p>
        </w:tc>
        <w:tc>
          <w:tcPr>
            <w:tcW w:w="1151" w:type="dxa"/>
            <w:noWrap w:val="0"/>
            <w:tcMar>
              <w:top w:w="0" w:type="dxa"/>
              <w:left w:w="105" w:type="dxa"/>
              <w:bottom w:w="0" w:type="dxa"/>
              <w:right w:w="105" w:type="dxa"/>
            </w:tcMar>
            <w:vAlign w:val="center"/>
          </w:tcPr>
          <w:p w14:paraId="5E94174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53BAD10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5000≤Z&lt;80000</w:t>
            </w:r>
          </w:p>
        </w:tc>
        <w:tc>
          <w:tcPr>
            <w:tcW w:w="1679" w:type="dxa"/>
            <w:noWrap w:val="0"/>
            <w:tcMar>
              <w:top w:w="0" w:type="dxa"/>
              <w:left w:w="105" w:type="dxa"/>
              <w:bottom w:w="0" w:type="dxa"/>
              <w:right w:w="105" w:type="dxa"/>
            </w:tcMar>
            <w:vAlign w:val="center"/>
          </w:tcPr>
          <w:p w14:paraId="3871B06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300≤Z&lt;5000</w:t>
            </w:r>
          </w:p>
        </w:tc>
        <w:tc>
          <w:tcPr>
            <w:tcW w:w="1455" w:type="dxa"/>
            <w:noWrap w:val="0"/>
            <w:tcMar>
              <w:top w:w="0" w:type="dxa"/>
              <w:left w:w="105" w:type="dxa"/>
              <w:bottom w:w="0" w:type="dxa"/>
              <w:right w:w="105" w:type="dxa"/>
            </w:tcMar>
            <w:vAlign w:val="center"/>
          </w:tcPr>
          <w:p w14:paraId="31E059E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Z&lt;300</w:t>
            </w:r>
          </w:p>
        </w:tc>
      </w:tr>
      <w:tr w14:paraId="7AF2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60138E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批发业</w:t>
            </w:r>
          </w:p>
        </w:tc>
        <w:tc>
          <w:tcPr>
            <w:tcW w:w="1709" w:type="dxa"/>
            <w:noWrap w:val="0"/>
            <w:tcMar>
              <w:top w:w="0" w:type="dxa"/>
              <w:left w:w="105" w:type="dxa"/>
              <w:bottom w:w="0" w:type="dxa"/>
              <w:right w:w="105" w:type="dxa"/>
            </w:tcMar>
            <w:vAlign w:val="center"/>
          </w:tcPr>
          <w:p w14:paraId="094FC08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1F388DC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1F1B7F1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20≤X&lt;200</w:t>
            </w:r>
          </w:p>
        </w:tc>
        <w:tc>
          <w:tcPr>
            <w:tcW w:w="1679" w:type="dxa"/>
            <w:noWrap w:val="0"/>
            <w:tcMar>
              <w:top w:w="0" w:type="dxa"/>
              <w:left w:w="105" w:type="dxa"/>
              <w:bottom w:w="0" w:type="dxa"/>
              <w:right w:w="105" w:type="dxa"/>
            </w:tcMar>
            <w:vAlign w:val="center"/>
          </w:tcPr>
          <w:p w14:paraId="0122104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5≤X&lt;20</w:t>
            </w:r>
          </w:p>
        </w:tc>
        <w:tc>
          <w:tcPr>
            <w:tcW w:w="1455" w:type="dxa"/>
            <w:noWrap w:val="0"/>
            <w:tcMar>
              <w:top w:w="0" w:type="dxa"/>
              <w:left w:w="105" w:type="dxa"/>
              <w:bottom w:w="0" w:type="dxa"/>
              <w:right w:w="105" w:type="dxa"/>
            </w:tcMar>
            <w:vAlign w:val="center"/>
          </w:tcPr>
          <w:p w14:paraId="65D5B54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X&lt;5</w:t>
            </w:r>
          </w:p>
        </w:tc>
      </w:tr>
      <w:tr w14:paraId="12B5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C2D65ED">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6CDBD32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232ADCD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0C3F717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5000≤Y&lt;40000</w:t>
            </w:r>
          </w:p>
        </w:tc>
        <w:tc>
          <w:tcPr>
            <w:tcW w:w="1679" w:type="dxa"/>
            <w:noWrap w:val="0"/>
            <w:tcMar>
              <w:top w:w="0" w:type="dxa"/>
              <w:left w:w="105" w:type="dxa"/>
              <w:bottom w:w="0" w:type="dxa"/>
              <w:right w:w="105" w:type="dxa"/>
            </w:tcMar>
            <w:vAlign w:val="center"/>
          </w:tcPr>
          <w:p w14:paraId="7258390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1000≤Y&lt;5000</w:t>
            </w:r>
          </w:p>
        </w:tc>
        <w:tc>
          <w:tcPr>
            <w:tcW w:w="1455" w:type="dxa"/>
            <w:noWrap w:val="0"/>
            <w:tcMar>
              <w:top w:w="0" w:type="dxa"/>
              <w:left w:w="105" w:type="dxa"/>
              <w:bottom w:w="0" w:type="dxa"/>
              <w:right w:w="105" w:type="dxa"/>
            </w:tcMar>
            <w:vAlign w:val="center"/>
          </w:tcPr>
          <w:p w14:paraId="0C81B56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Y&lt;1000</w:t>
            </w:r>
          </w:p>
        </w:tc>
      </w:tr>
      <w:tr w14:paraId="785B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FA185A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零售业</w:t>
            </w:r>
          </w:p>
        </w:tc>
        <w:tc>
          <w:tcPr>
            <w:tcW w:w="1709" w:type="dxa"/>
            <w:noWrap w:val="0"/>
            <w:tcMar>
              <w:top w:w="0" w:type="dxa"/>
              <w:left w:w="105" w:type="dxa"/>
              <w:bottom w:w="0" w:type="dxa"/>
              <w:right w:w="105" w:type="dxa"/>
            </w:tcMar>
            <w:vAlign w:val="center"/>
          </w:tcPr>
          <w:p w14:paraId="4217B9D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511FE6B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466C8A5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50≤X&lt;300</w:t>
            </w:r>
          </w:p>
        </w:tc>
        <w:tc>
          <w:tcPr>
            <w:tcW w:w="1679" w:type="dxa"/>
            <w:noWrap w:val="0"/>
            <w:tcMar>
              <w:top w:w="0" w:type="dxa"/>
              <w:left w:w="105" w:type="dxa"/>
              <w:bottom w:w="0" w:type="dxa"/>
              <w:right w:w="105" w:type="dxa"/>
            </w:tcMar>
            <w:vAlign w:val="center"/>
          </w:tcPr>
          <w:p w14:paraId="11547A2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10≤X&lt;50</w:t>
            </w:r>
          </w:p>
        </w:tc>
        <w:tc>
          <w:tcPr>
            <w:tcW w:w="1455" w:type="dxa"/>
            <w:noWrap w:val="0"/>
            <w:tcMar>
              <w:top w:w="0" w:type="dxa"/>
              <w:left w:w="105" w:type="dxa"/>
              <w:bottom w:w="0" w:type="dxa"/>
              <w:right w:w="105" w:type="dxa"/>
            </w:tcMar>
            <w:vAlign w:val="center"/>
          </w:tcPr>
          <w:p w14:paraId="0276E71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r w14:paraId="1DC2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27A60021">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0335625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488DF33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2D63C9E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500≤Y&lt;20000</w:t>
            </w:r>
          </w:p>
        </w:tc>
        <w:tc>
          <w:tcPr>
            <w:tcW w:w="1679" w:type="dxa"/>
            <w:noWrap w:val="0"/>
            <w:tcMar>
              <w:top w:w="0" w:type="dxa"/>
              <w:left w:w="105" w:type="dxa"/>
              <w:bottom w:w="0" w:type="dxa"/>
              <w:right w:w="105" w:type="dxa"/>
            </w:tcMar>
            <w:vAlign w:val="center"/>
          </w:tcPr>
          <w:p w14:paraId="527F20F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100≤Y&lt;500</w:t>
            </w:r>
          </w:p>
        </w:tc>
        <w:tc>
          <w:tcPr>
            <w:tcW w:w="1455" w:type="dxa"/>
            <w:noWrap w:val="0"/>
            <w:tcMar>
              <w:top w:w="0" w:type="dxa"/>
              <w:left w:w="105" w:type="dxa"/>
              <w:bottom w:w="0" w:type="dxa"/>
              <w:right w:w="105" w:type="dxa"/>
            </w:tcMar>
            <w:vAlign w:val="center"/>
          </w:tcPr>
          <w:p w14:paraId="56A3E99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4D77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0C1229B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交通运输业</w:t>
            </w:r>
          </w:p>
        </w:tc>
        <w:tc>
          <w:tcPr>
            <w:tcW w:w="1709" w:type="dxa"/>
            <w:noWrap w:val="0"/>
            <w:tcMar>
              <w:top w:w="0" w:type="dxa"/>
              <w:left w:w="105" w:type="dxa"/>
              <w:bottom w:w="0" w:type="dxa"/>
              <w:right w:w="105" w:type="dxa"/>
            </w:tcMar>
            <w:vAlign w:val="center"/>
          </w:tcPr>
          <w:p w14:paraId="2C41984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33AF3A9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2786417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300≤X&lt;1000</w:t>
            </w:r>
          </w:p>
        </w:tc>
        <w:tc>
          <w:tcPr>
            <w:tcW w:w="1679" w:type="dxa"/>
            <w:noWrap w:val="0"/>
            <w:tcMar>
              <w:top w:w="0" w:type="dxa"/>
              <w:left w:w="105" w:type="dxa"/>
              <w:bottom w:w="0" w:type="dxa"/>
              <w:right w:w="105" w:type="dxa"/>
            </w:tcMar>
            <w:vAlign w:val="center"/>
          </w:tcPr>
          <w:p w14:paraId="26C580E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20≤X&lt;300</w:t>
            </w:r>
          </w:p>
        </w:tc>
        <w:tc>
          <w:tcPr>
            <w:tcW w:w="1455" w:type="dxa"/>
            <w:noWrap w:val="0"/>
            <w:tcMar>
              <w:top w:w="0" w:type="dxa"/>
              <w:left w:w="105" w:type="dxa"/>
              <w:bottom w:w="0" w:type="dxa"/>
              <w:right w:w="105" w:type="dxa"/>
            </w:tcMar>
            <w:vAlign w:val="center"/>
          </w:tcPr>
          <w:p w14:paraId="344911A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X&lt;20</w:t>
            </w:r>
          </w:p>
        </w:tc>
      </w:tr>
      <w:tr w14:paraId="15E8C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475F6AE8">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05295B3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6960F72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7D6F646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3000≤Y&lt;30000</w:t>
            </w:r>
          </w:p>
        </w:tc>
        <w:tc>
          <w:tcPr>
            <w:tcW w:w="1679" w:type="dxa"/>
            <w:noWrap w:val="0"/>
            <w:tcMar>
              <w:top w:w="0" w:type="dxa"/>
              <w:left w:w="105" w:type="dxa"/>
              <w:bottom w:w="0" w:type="dxa"/>
              <w:right w:w="105" w:type="dxa"/>
            </w:tcMar>
            <w:vAlign w:val="center"/>
          </w:tcPr>
          <w:p w14:paraId="7B6DA30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200≤Y&lt;3000</w:t>
            </w:r>
          </w:p>
        </w:tc>
        <w:tc>
          <w:tcPr>
            <w:tcW w:w="1455" w:type="dxa"/>
            <w:noWrap w:val="0"/>
            <w:tcMar>
              <w:top w:w="0" w:type="dxa"/>
              <w:left w:w="105" w:type="dxa"/>
              <w:bottom w:w="0" w:type="dxa"/>
              <w:right w:w="105" w:type="dxa"/>
            </w:tcMar>
            <w:vAlign w:val="center"/>
          </w:tcPr>
          <w:p w14:paraId="55BC60C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Y&lt;200</w:t>
            </w:r>
          </w:p>
        </w:tc>
      </w:tr>
      <w:tr w14:paraId="7B2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50096E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仓储业</w:t>
            </w:r>
          </w:p>
        </w:tc>
        <w:tc>
          <w:tcPr>
            <w:tcW w:w="1709" w:type="dxa"/>
            <w:noWrap w:val="0"/>
            <w:tcMar>
              <w:top w:w="0" w:type="dxa"/>
              <w:left w:w="105" w:type="dxa"/>
              <w:bottom w:w="0" w:type="dxa"/>
              <w:right w:w="105" w:type="dxa"/>
            </w:tcMar>
            <w:vAlign w:val="center"/>
          </w:tcPr>
          <w:p w14:paraId="412746E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456D549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6452D03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100≤X&lt;200</w:t>
            </w:r>
          </w:p>
        </w:tc>
        <w:tc>
          <w:tcPr>
            <w:tcW w:w="1679" w:type="dxa"/>
            <w:noWrap w:val="0"/>
            <w:tcMar>
              <w:top w:w="0" w:type="dxa"/>
              <w:left w:w="105" w:type="dxa"/>
              <w:bottom w:w="0" w:type="dxa"/>
              <w:right w:w="105" w:type="dxa"/>
            </w:tcMar>
            <w:vAlign w:val="center"/>
          </w:tcPr>
          <w:p w14:paraId="73BA9D3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20≤X&lt;100</w:t>
            </w:r>
          </w:p>
        </w:tc>
        <w:tc>
          <w:tcPr>
            <w:tcW w:w="1455" w:type="dxa"/>
            <w:noWrap w:val="0"/>
            <w:tcMar>
              <w:top w:w="0" w:type="dxa"/>
              <w:left w:w="105" w:type="dxa"/>
              <w:bottom w:w="0" w:type="dxa"/>
              <w:right w:w="105" w:type="dxa"/>
            </w:tcMar>
            <w:vAlign w:val="center"/>
          </w:tcPr>
          <w:p w14:paraId="0734663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X&lt;20</w:t>
            </w:r>
          </w:p>
        </w:tc>
      </w:tr>
      <w:tr w14:paraId="14D8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410AA3F8">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7AC9BFD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146A7B9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5DB0816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1000≤Y&lt;30000</w:t>
            </w:r>
          </w:p>
        </w:tc>
        <w:tc>
          <w:tcPr>
            <w:tcW w:w="1679" w:type="dxa"/>
            <w:noWrap w:val="0"/>
            <w:tcMar>
              <w:top w:w="0" w:type="dxa"/>
              <w:left w:w="105" w:type="dxa"/>
              <w:bottom w:w="0" w:type="dxa"/>
              <w:right w:w="105" w:type="dxa"/>
            </w:tcMar>
            <w:vAlign w:val="center"/>
          </w:tcPr>
          <w:p w14:paraId="11F808A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100≤Y&lt;1000</w:t>
            </w:r>
          </w:p>
        </w:tc>
        <w:tc>
          <w:tcPr>
            <w:tcW w:w="1455" w:type="dxa"/>
            <w:noWrap w:val="0"/>
            <w:tcMar>
              <w:top w:w="0" w:type="dxa"/>
              <w:left w:w="105" w:type="dxa"/>
              <w:bottom w:w="0" w:type="dxa"/>
              <w:right w:w="105" w:type="dxa"/>
            </w:tcMar>
            <w:vAlign w:val="center"/>
          </w:tcPr>
          <w:p w14:paraId="6BD18B7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067A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749ADB3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邮政业</w:t>
            </w:r>
          </w:p>
        </w:tc>
        <w:tc>
          <w:tcPr>
            <w:tcW w:w="1709" w:type="dxa"/>
            <w:noWrap w:val="0"/>
            <w:tcMar>
              <w:top w:w="0" w:type="dxa"/>
              <w:left w:w="105" w:type="dxa"/>
              <w:bottom w:w="0" w:type="dxa"/>
              <w:right w:w="105" w:type="dxa"/>
            </w:tcMar>
            <w:vAlign w:val="center"/>
          </w:tcPr>
          <w:p w14:paraId="11766F2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09F03AC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3F510A0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300≤X&lt;1000</w:t>
            </w:r>
          </w:p>
        </w:tc>
        <w:tc>
          <w:tcPr>
            <w:tcW w:w="1679" w:type="dxa"/>
            <w:noWrap w:val="0"/>
            <w:tcMar>
              <w:top w:w="0" w:type="dxa"/>
              <w:left w:w="105" w:type="dxa"/>
              <w:bottom w:w="0" w:type="dxa"/>
              <w:right w:w="105" w:type="dxa"/>
            </w:tcMar>
            <w:vAlign w:val="center"/>
          </w:tcPr>
          <w:p w14:paraId="456E99B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20≤X&lt;300</w:t>
            </w:r>
          </w:p>
        </w:tc>
        <w:tc>
          <w:tcPr>
            <w:tcW w:w="1455" w:type="dxa"/>
            <w:noWrap w:val="0"/>
            <w:tcMar>
              <w:top w:w="0" w:type="dxa"/>
              <w:left w:w="105" w:type="dxa"/>
              <w:bottom w:w="0" w:type="dxa"/>
              <w:right w:w="105" w:type="dxa"/>
            </w:tcMar>
            <w:vAlign w:val="center"/>
          </w:tcPr>
          <w:p w14:paraId="5A4016F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X&lt;20</w:t>
            </w:r>
          </w:p>
        </w:tc>
      </w:tr>
      <w:tr w14:paraId="45E1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9006CB0">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771CF0D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17E9768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6548A21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2000≤Y&lt;30000</w:t>
            </w:r>
          </w:p>
        </w:tc>
        <w:tc>
          <w:tcPr>
            <w:tcW w:w="1679" w:type="dxa"/>
            <w:noWrap w:val="0"/>
            <w:tcMar>
              <w:top w:w="0" w:type="dxa"/>
              <w:left w:w="105" w:type="dxa"/>
              <w:bottom w:w="0" w:type="dxa"/>
              <w:right w:w="105" w:type="dxa"/>
            </w:tcMar>
            <w:vAlign w:val="center"/>
          </w:tcPr>
          <w:p w14:paraId="59C292B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100≤Y&lt;2000</w:t>
            </w:r>
          </w:p>
        </w:tc>
        <w:tc>
          <w:tcPr>
            <w:tcW w:w="1455" w:type="dxa"/>
            <w:noWrap w:val="0"/>
            <w:tcMar>
              <w:top w:w="0" w:type="dxa"/>
              <w:left w:w="105" w:type="dxa"/>
              <w:bottom w:w="0" w:type="dxa"/>
              <w:right w:w="105" w:type="dxa"/>
            </w:tcMar>
            <w:vAlign w:val="center"/>
          </w:tcPr>
          <w:p w14:paraId="3015205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6EA2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757C8C7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住宿业</w:t>
            </w:r>
          </w:p>
        </w:tc>
        <w:tc>
          <w:tcPr>
            <w:tcW w:w="1709" w:type="dxa"/>
            <w:noWrap w:val="0"/>
            <w:tcMar>
              <w:top w:w="0" w:type="dxa"/>
              <w:left w:w="105" w:type="dxa"/>
              <w:bottom w:w="0" w:type="dxa"/>
              <w:right w:w="105" w:type="dxa"/>
            </w:tcMar>
            <w:vAlign w:val="center"/>
          </w:tcPr>
          <w:p w14:paraId="0422F63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0CF21A3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4A0330F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100≤X&lt;300</w:t>
            </w:r>
          </w:p>
        </w:tc>
        <w:tc>
          <w:tcPr>
            <w:tcW w:w="1679" w:type="dxa"/>
            <w:noWrap w:val="0"/>
            <w:tcMar>
              <w:top w:w="0" w:type="dxa"/>
              <w:left w:w="105" w:type="dxa"/>
              <w:bottom w:w="0" w:type="dxa"/>
              <w:right w:w="105" w:type="dxa"/>
            </w:tcMar>
            <w:vAlign w:val="center"/>
          </w:tcPr>
          <w:p w14:paraId="7D3905A3">
            <w:pPr>
              <w:pStyle w:val="270"/>
              <w:pageBreakBefore w:val="0"/>
              <w:widowControl/>
              <w:kinsoku/>
              <w:wordWrap/>
              <w:overflowPunct/>
              <w:topLinePunct w:val="0"/>
              <w:autoSpaceDE/>
              <w:autoSpaceDN/>
              <w:bidi w:val="0"/>
              <w:spacing w:line="360" w:lineRule="auto"/>
              <w:ind w:firstLine="420"/>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10≤X&lt;100</w:t>
            </w:r>
          </w:p>
        </w:tc>
        <w:tc>
          <w:tcPr>
            <w:tcW w:w="1455" w:type="dxa"/>
            <w:noWrap w:val="0"/>
            <w:tcMar>
              <w:top w:w="0" w:type="dxa"/>
              <w:left w:w="105" w:type="dxa"/>
              <w:bottom w:w="0" w:type="dxa"/>
              <w:right w:w="105" w:type="dxa"/>
            </w:tcMar>
            <w:vAlign w:val="center"/>
          </w:tcPr>
          <w:p w14:paraId="0A558BE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r w14:paraId="19EB8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1EF942C9">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20D1917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1740FF2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4EFDCFC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2000≤Y&lt;10000</w:t>
            </w:r>
          </w:p>
        </w:tc>
        <w:tc>
          <w:tcPr>
            <w:tcW w:w="1679" w:type="dxa"/>
            <w:noWrap w:val="0"/>
            <w:tcMar>
              <w:top w:w="0" w:type="dxa"/>
              <w:left w:w="105" w:type="dxa"/>
              <w:bottom w:w="0" w:type="dxa"/>
              <w:right w:w="105" w:type="dxa"/>
            </w:tcMar>
            <w:vAlign w:val="center"/>
          </w:tcPr>
          <w:p w14:paraId="13F6572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100≤Y&lt;2000</w:t>
            </w:r>
          </w:p>
        </w:tc>
        <w:tc>
          <w:tcPr>
            <w:tcW w:w="1455" w:type="dxa"/>
            <w:noWrap w:val="0"/>
            <w:tcMar>
              <w:top w:w="0" w:type="dxa"/>
              <w:left w:w="105" w:type="dxa"/>
              <w:bottom w:w="0" w:type="dxa"/>
              <w:right w:w="105" w:type="dxa"/>
            </w:tcMar>
            <w:vAlign w:val="center"/>
          </w:tcPr>
          <w:p w14:paraId="5CEF3EA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249E1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49F96A3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餐饮业</w:t>
            </w:r>
          </w:p>
        </w:tc>
        <w:tc>
          <w:tcPr>
            <w:tcW w:w="1709" w:type="dxa"/>
            <w:noWrap w:val="0"/>
            <w:tcMar>
              <w:top w:w="0" w:type="dxa"/>
              <w:left w:w="105" w:type="dxa"/>
              <w:bottom w:w="0" w:type="dxa"/>
              <w:right w:w="105" w:type="dxa"/>
            </w:tcMar>
            <w:vAlign w:val="center"/>
          </w:tcPr>
          <w:p w14:paraId="7C7B146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03BA9D4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31A4D8E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100≤X&lt;300</w:t>
            </w:r>
          </w:p>
        </w:tc>
        <w:tc>
          <w:tcPr>
            <w:tcW w:w="1679" w:type="dxa"/>
            <w:noWrap w:val="0"/>
            <w:tcMar>
              <w:top w:w="0" w:type="dxa"/>
              <w:left w:w="105" w:type="dxa"/>
              <w:bottom w:w="0" w:type="dxa"/>
              <w:right w:w="105" w:type="dxa"/>
            </w:tcMar>
            <w:vAlign w:val="center"/>
          </w:tcPr>
          <w:p w14:paraId="6F9AE46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10≤X&lt;100</w:t>
            </w:r>
          </w:p>
        </w:tc>
        <w:tc>
          <w:tcPr>
            <w:tcW w:w="1455" w:type="dxa"/>
            <w:noWrap w:val="0"/>
            <w:tcMar>
              <w:top w:w="0" w:type="dxa"/>
              <w:left w:w="105" w:type="dxa"/>
              <w:bottom w:w="0" w:type="dxa"/>
              <w:right w:w="105" w:type="dxa"/>
            </w:tcMar>
            <w:vAlign w:val="center"/>
          </w:tcPr>
          <w:p w14:paraId="280153B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r w14:paraId="546B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0FCA4A7">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7D7A892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6A63644D">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11A4AF2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2000≤Y&lt;10000</w:t>
            </w:r>
          </w:p>
        </w:tc>
        <w:tc>
          <w:tcPr>
            <w:tcW w:w="1679" w:type="dxa"/>
            <w:noWrap w:val="0"/>
            <w:tcMar>
              <w:top w:w="0" w:type="dxa"/>
              <w:left w:w="105" w:type="dxa"/>
              <w:bottom w:w="0" w:type="dxa"/>
              <w:right w:w="105" w:type="dxa"/>
            </w:tcMar>
            <w:vAlign w:val="center"/>
          </w:tcPr>
          <w:p w14:paraId="4430C4F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100≤Y&lt;2000</w:t>
            </w:r>
          </w:p>
        </w:tc>
        <w:tc>
          <w:tcPr>
            <w:tcW w:w="1455" w:type="dxa"/>
            <w:noWrap w:val="0"/>
            <w:tcMar>
              <w:top w:w="0" w:type="dxa"/>
              <w:left w:w="105" w:type="dxa"/>
              <w:bottom w:w="0" w:type="dxa"/>
              <w:right w:w="105" w:type="dxa"/>
            </w:tcMar>
            <w:vAlign w:val="center"/>
          </w:tcPr>
          <w:p w14:paraId="270EDD6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5600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C2F03F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信息传输业</w:t>
            </w:r>
          </w:p>
        </w:tc>
        <w:tc>
          <w:tcPr>
            <w:tcW w:w="1709" w:type="dxa"/>
            <w:noWrap w:val="0"/>
            <w:tcMar>
              <w:top w:w="0" w:type="dxa"/>
              <w:left w:w="105" w:type="dxa"/>
              <w:bottom w:w="0" w:type="dxa"/>
              <w:right w:w="105" w:type="dxa"/>
            </w:tcMar>
            <w:vAlign w:val="center"/>
          </w:tcPr>
          <w:p w14:paraId="3322F1C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34A7195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6082D90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100≤X&lt;2000</w:t>
            </w:r>
          </w:p>
        </w:tc>
        <w:tc>
          <w:tcPr>
            <w:tcW w:w="1679" w:type="dxa"/>
            <w:noWrap w:val="0"/>
            <w:tcMar>
              <w:top w:w="0" w:type="dxa"/>
              <w:left w:w="105" w:type="dxa"/>
              <w:bottom w:w="0" w:type="dxa"/>
              <w:right w:w="105" w:type="dxa"/>
            </w:tcMar>
            <w:vAlign w:val="center"/>
          </w:tcPr>
          <w:p w14:paraId="4142448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10≤X&lt;100</w:t>
            </w:r>
          </w:p>
        </w:tc>
        <w:tc>
          <w:tcPr>
            <w:tcW w:w="1455" w:type="dxa"/>
            <w:noWrap w:val="0"/>
            <w:tcMar>
              <w:top w:w="0" w:type="dxa"/>
              <w:left w:w="105" w:type="dxa"/>
              <w:bottom w:w="0" w:type="dxa"/>
              <w:right w:w="105" w:type="dxa"/>
            </w:tcMar>
            <w:vAlign w:val="center"/>
          </w:tcPr>
          <w:p w14:paraId="4BFBC62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r w14:paraId="727A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03E1EA2A">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638775A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2B5D1B3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4DC119E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1000≤Y&lt;100000</w:t>
            </w:r>
          </w:p>
        </w:tc>
        <w:tc>
          <w:tcPr>
            <w:tcW w:w="1679" w:type="dxa"/>
            <w:noWrap w:val="0"/>
            <w:tcMar>
              <w:top w:w="0" w:type="dxa"/>
              <w:left w:w="105" w:type="dxa"/>
              <w:bottom w:w="0" w:type="dxa"/>
              <w:right w:w="105" w:type="dxa"/>
            </w:tcMar>
            <w:vAlign w:val="center"/>
          </w:tcPr>
          <w:p w14:paraId="42C084F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100≤Y&lt;1000</w:t>
            </w:r>
          </w:p>
        </w:tc>
        <w:tc>
          <w:tcPr>
            <w:tcW w:w="1455" w:type="dxa"/>
            <w:noWrap w:val="0"/>
            <w:tcMar>
              <w:top w:w="0" w:type="dxa"/>
              <w:left w:w="105" w:type="dxa"/>
              <w:bottom w:w="0" w:type="dxa"/>
              <w:right w:w="105" w:type="dxa"/>
            </w:tcMar>
            <w:vAlign w:val="center"/>
          </w:tcPr>
          <w:p w14:paraId="50AF793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4703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F0CFB8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软件和信息技术服务业</w:t>
            </w:r>
          </w:p>
        </w:tc>
        <w:tc>
          <w:tcPr>
            <w:tcW w:w="1709" w:type="dxa"/>
            <w:noWrap w:val="0"/>
            <w:tcMar>
              <w:top w:w="0" w:type="dxa"/>
              <w:left w:w="105" w:type="dxa"/>
              <w:bottom w:w="0" w:type="dxa"/>
              <w:right w:w="105" w:type="dxa"/>
            </w:tcMar>
            <w:vAlign w:val="center"/>
          </w:tcPr>
          <w:p w14:paraId="19D52DB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7924A64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74A6A45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100≤X&lt;300</w:t>
            </w:r>
          </w:p>
        </w:tc>
        <w:tc>
          <w:tcPr>
            <w:tcW w:w="1679" w:type="dxa"/>
            <w:noWrap w:val="0"/>
            <w:tcMar>
              <w:top w:w="0" w:type="dxa"/>
              <w:left w:w="105" w:type="dxa"/>
              <w:bottom w:w="0" w:type="dxa"/>
              <w:right w:w="105" w:type="dxa"/>
            </w:tcMar>
            <w:vAlign w:val="center"/>
          </w:tcPr>
          <w:p w14:paraId="05EB815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10≤X&lt;100</w:t>
            </w:r>
          </w:p>
        </w:tc>
        <w:tc>
          <w:tcPr>
            <w:tcW w:w="1455" w:type="dxa"/>
            <w:noWrap w:val="0"/>
            <w:tcMar>
              <w:top w:w="0" w:type="dxa"/>
              <w:left w:w="105" w:type="dxa"/>
              <w:bottom w:w="0" w:type="dxa"/>
              <w:right w:w="105" w:type="dxa"/>
            </w:tcMar>
            <w:vAlign w:val="center"/>
          </w:tcPr>
          <w:p w14:paraId="0D2E6FDA">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r w14:paraId="6CAD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DBA6926">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04385E3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1087479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62F725A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1000≤Y&lt;10000</w:t>
            </w:r>
          </w:p>
        </w:tc>
        <w:tc>
          <w:tcPr>
            <w:tcW w:w="1679" w:type="dxa"/>
            <w:noWrap w:val="0"/>
            <w:tcMar>
              <w:top w:w="0" w:type="dxa"/>
              <w:left w:w="105" w:type="dxa"/>
              <w:bottom w:w="0" w:type="dxa"/>
              <w:right w:w="105" w:type="dxa"/>
            </w:tcMar>
            <w:vAlign w:val="center"/>
          </w:tcPr>
          <w:p w14:paraId="10B63D9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50≤Y&lt;1000</w:t>
            </w:r>
          </w:p>
        </w:tc>
        <w:tc>
          <w:tcPr>
            <w:tcW w:w="1455" w:type="dxa"/>
            <w:noWrap w:val="0"/>
            <w:tcMar>
              <w:top w:w="0" w:type="dxa"/>
              <w:left w:w="105" w:type="dxa"/>
              <w:bottom w:w="0" w:type="dxa"/>
              <w:right w:w="105" w:type="dxa"/>
            </w:tcMar>
            <w:vAlign w:val="center"/>
          </w:tcPr>
          <w:p w14:paraId="4AA2B71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Y&lt;50</w:t>
            </w:r>
          </w:p>
        </w:tc>
      </w:tr>
      <w:tr w14:paraId="61FE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405FB48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房地产开发经营</w:t>
            </w:r>
          </w:p>
        </w:tc>
        <w:tc>
          <w:tcPr>
            <w:tcW w:w="1709" w:type="dxa"/>
            <w:noWrap w:val="0"/>
            <w:tcMar>
              <w:top w:w="0" w:type="dxa"/>
              <w:left w:w="105" w:type="dxa"/>
              <w:bottom w:w="0" w:type="dxa"/>
              <w:right w:w="105" w:type="dxa"/>
            </w:tcMar>
            <w:vAlign w:val="center"/>
          </w:tcPr>
          <w:p w14:paraId="3C2E9D6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5B24AAC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158E12B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1000≤Y&lt;200000</w:t>
            </w:r>
          </w:p>
        </w:tc>
        <w:tc>
          <w:tcPr>
            <w:tcW w:w="1679" w:type="dxa"/>
            <w:noWrap w:val="0"/>
            <w:tcMar>
              <w:top w:w="0" w:type="dxa"/>
              <w:left w:w="105" w:type="dxa"/>
              <w:bottom w:w="0" w:type="dxa"/>
              <w:right w:w="105" w:type="dxa"/>
            </w:tcMar>
            <w:vAlign w:val="center"/>
          </w:tcPr>
          <w:p w14:paraId="21996117">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100≤X&lt;1000</w:t>
            </w:r>
          </w:p>
        </w:tc>
        <w:tc>
          <w:tcPr>
            <w:tcW w:w="1455" w:type="dxa"/>
            <w:noWrap w:val="0"/>
            <w:tcMar>
              <w:top w:w="0" w:type="dxa"/>
              <w:left w:w="105" w:type="dxa"/>
              <w:bottom w:w="0" w:type="dxa"/>
              <w:right w:w="105" w:type="dxa"/>
            </w:tcMar>
            <w:vAlign w:val="center"/>
          </w:tcPr>
          <w:p w14:paraId="4C91279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X&lt;100</w:t>
            </w:r>
          </w:p>
        </w:tc>
      </w:tr>
      <w:tr w14:paraId="1D6CA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864FF4C">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63CCA1C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资产总额（Z）</w:t>
            </w:r>
          </w:p>
        </w:tc>
        <w:tc>
          <w:tcPr>
            <w:tcW w:w="1151" w:type="dxa"/>
            <w:noWrap w:val="0"/>
            <w:tcMar>
              <w:top w:w="0" w:type="dxa"/>
              <w:left w:w="105" w:type="dxa"/>
              <w:bottom w:w="0" w:type="dxa"/>
              <w:right w:w="105" w:type="dxa"/>
            </w:tcMar>
            <w:vAlign w:val="center"/>
          </w:tcPr>
          <w:p w14:paraId="77BB95D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4D92ACD5">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5000≤Z&lt;10000</w:t>
            </w:r>
          </w:p>
        </w:tc>
        <w:tc>
          <w:tcPr>
            <w:tcW w:w="1679" w:type="dxa"/>
            <w:noWrap w:val="0"/>
            <w:tcMar>
              <w:top w:w="0" w:type="dxa"/>
              <w:left w:w="105" w:type="dxa"/>
              <w:bottom w:w="0" w:type="dxa"/>
              <w:right w:w="105" w:type="dxa"/>
            </w:tcMar>
            <w:vAlign w:val="center"/>
          </w:tcPr>
          <w:p w14:paraId="71C016BE">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2000≤Y&lt;5000</w:t>
            </w:r>
          </w:p>
        </w:tc>
        <w:tc>
          <w:tcPr>
            <w:tcW w:w="1455" w:type="dxa"/>
            <w:noWrap w:val="0"/>
            <w:tcMar>
              <w:top w:w="0" w:type="dxa"/>
              <w:left w:w="105" w:type="dxa"/>
              <w:bottom w:w="0" w:type="dxa"/>
              <w:right w:w="105" w:type="dxa"/>
            </w:tcMar>
            <w:vAlign w:val="center"/>
          </w:tcPr>
          <w:p w14:paraId="2E4280B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Y&lt;2000</w:t>
            </w:r>
          </w:p>
        </w:tc>
      </w:tr>
      <w:tr w14:paraId="74EE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A8FA32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物业管理</w:t>
            </w:r>
          </w:p>
        </w:tc>
        <w:tc>
          <w:tcPr>
            <w:tcW w:w="1709" w:type="dxa"/>
            <w:noWrap w:val="0"/>
            <w:tcMar>
              <w:top w:w="0" w:type="dxa"/>
              <w:left w:w="105" w:type="dxa"/>
              <w:bottom w:w="0" w:type="dxa"/>
              <w:right w:w="105" w:type="dxa"/>
            </w:tcMar>
            <w:vAlign w:val="center"/>
          </w:tcPr>
          <w:p w14:paraId="16407E9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513BB22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1A84E4D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300≤X&lt;1000</w:t>
            </w:r>
          </w:p>
        </w:tc>
        <w:tc>
          <w:tcPr>
            <w:tcW w:w="1679" w:type="dxa"/>
            <w:noWrap w:val="0"/>
            <w:tcMar>
              <w:top w:w="0" w:type="dxa"/>
              <w:left w:w="105" w:type="dxa"/>
              <w:bottom w:w="0" w:type="dxa"/>
              <w:right w:w="105" w:type="dxa"/>
            </w:tcMar>
            <w:vAlign w:val="center"/>
          </w:tcPr>
          <w:p w14:paraId="6D5993A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100≤X&lt;300</w:t>
            </w:r>
          </w:p>
        </w:tc>
        <w:tc>
          <w:tcPr>
            <w:tcW w:w="1455" w:type="dxa"/>
            <w:noWrap w:val="0"/>
            <w:tcMar>
              <w:top w:w="0" w:type="dxa"/>
              <w:left w:w="105" w:type="dxa"/>
              <w:bottom w:w="0" w:type="dxa"/>
              <w:right w:w="105" w:type="dxa"/>
            </w:tcMar>
            <w:vAlign w:val="center"/>
          </w:tcPr>
          <w:p w14:paraId="16A664C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X&lt;100</w:t>
            </w:r>
          </w:p>
        </w:tc>
      </w:tr>
      <w:tr w14:paraId="1EB2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7311653C">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45A6EC4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营业收入（Y）</w:t>
            </w:r>
          </w:p>
        </w:tc>
        <w:tc>
          <w:tcPr>
            <w:tcW w:w="1151" w:type="dxa"/>
            <w:noWrap w:val="0"/>
            <w:tcMar>
              <w:top w:w="0" w:type="dxa"/>
              <w:left w:w="105" w:type="dxa"/>
              <w:bottom w:w="0" w:type="dxa"/>
              <w:right w:w="105" w:type="dxa"/>
            </w:tcMar>
            <w:vAlign w:val="center"/>
          </w:tcPr>
          <w:p w14:paraId="0056995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7FBC27E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1000≤Y&lt;5000</w:t>
            </w:r>
          </w:p>
        </w:tc>
        <w:tc>
          <w:tcPr>
            <w:tcW w:w="1679" w:type="dxa"/>
            <w:noWrap w:val="0"/>
            <w:tcMar>
              <w:top w:w="0" w:type="dxa"/>
              <w:left w:w="105" w:type="dxa"/>
              <w:bottom w:w="0" w:type="dxa"/>
              <w:right w:w="105" w:type="dxa"/>
            </w:tcMar>
            <w:vAlign w:val="center"/>
          </w:tcPr>
          <w:p w14:paraId="2C0055A3">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500≤Y&lt;1000</w:t>
            </w:r>
          </w:p>
        </w:tc>
        <w:tc>
          <w:tcPr>
            <w:tcW w:w="1455" w:type="dxa"/>
            <w:noWrap w:val="0"/>
            <w:tcMar>
              <w:top w:w="0" w:type="dxa"/>
              <w:left w:w="105" w:type="dxa"/>
              <w:bottom w:w="0" w:type="dxa"/>
              <w:right w:w="105" w:type="dxa"/>
            </w:tcMar>
            <w:vAlign w:val="center"/>
          </w:tcPr>
          <w:p w14:paraId="59FB21F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Y&lt;500</w:t>
            </w:r>
          </w:p>
        </w:tc>
      </w:tr>
      <w:tr w14:paraId="2F17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3E4AC20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租赁和商务服务业</w:t>
            </w:r>
          </w:p>
        </w:tc>
        <w:tc>
          <w:tcPr>
            <w:tcW w:w="1709" w:type="dxa"/>
            <w:noWrap w:val="0"/>
            <w:tcMar>
              <w:top w:w="0" w:type="dxa"/>
              <w:left w:w="105" w:type="dxa"/>
              <w:bottom w:w="0" w:type="dxa"/>
              <w:right w:w="105" w:type="dxa"/>
            </w:tcMar>
            <w:vAlign w:val="center"/>
          </w:tcPr>
          <w:p w14:paraId="3D3D1A6C">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230F0DE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653652F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100≤X&lt;300</w:t>
            </w:r>
          </w:p>
        </w:tc>
        <w:tc>
          <w:tcPr>
            <w:tcW w:w="1679" w:type="dxa"/>
            <w:noWrap w:val="0"/>
            <w:tcMar>
              <w:top w:w="0" w:type="dxa"/>
              <w:left w:w="105" w:type="dxa"/>
              <w:bottom w:w="0" w:type="dxa"/>
              <w:right w:w="105" w:type="dxa"/>
            </w:tcMar>
            <w:vAlign w:val="center"/>
          </w:tcPr>
          <w:p w14:paraId="2ADB13C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10≤X&lt;100</w:t>
            </w:r>
          </w:p>
        </w:tc>
        <w:tc>
          <w:tcPr>
            <w:tcW w:w="1455" w:type="dxa"/>
            <w:noWrap w:val="0"/>
            <w:tcMar>
              <w:top w:w="0" w:type="dxa"/>
              <w:left w:w="105" w:type="dxa"/>
              <w:bottom w:w="0" w:type="dxa"/>
              <w:right w:w="105" w:type="dxa"/>
            </w:tcMar>
            <w:vAlign w:val="center"/>
          </w:tcPr>
          <w:p w14:paraId="090BF536">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r w14:paraId="7519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A480F5C">
            <w:pPr>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709" w:type="dxa"/>
            <w:noWrap w:val="0"/>
            <w:tcMar>
              <w:top w:w="0" w:type="dxa"/>
              <w:left w:w="105" w:type="dxa"/>
              <w:bottom w:w="0" w:type="dxa"/>
              <w:right w:w="105" w:type="dxa"/>
            </w:tcMar>
            <w:vAlign w:val="center"/>
          </w:tcPr>
          <w:p w14:paraId="53C9A67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资产总额（Z）</w:t>
            </w:r>
          </w:p>
        </w:tc>
        <w:tc>
          <w:tcPr>
            <w:tcW w:w="1151" w:type="dxa"/>
            <w:noWrap w:val="0"/>
            <w:tcMar>
              <w:top w:w="0" w:type="dxa"/>
              <w:left w:w="105" w:type="dxa"/>
              <w:bottom w:w="0" w:type="dxa"/>
              <w:right w:w="105" w:type="dxa"/>
            </w:tcMar>
            <w:vAlign w:val="center"/>
          </w:tcPr>
          <w:p w14:paraId="39E7295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万元</w:t>
            </w:r>
          </w:p>
        </w:tc>
        <w:tc>
          <w:tcPr>
            <w:tcW w:w="1383" w:type="dxa"/>
            <w:noWrap w:val="0"/>
            <w:tcMar>
              <w:top w:w="0" w:type="dxa"/>
              <w:left w:w="105" w:type="dxa"/>
              <w:bottom w:w="0" w:type="dxa"/>
              <w:right w:w="105" w:type="dxa"/>
            </w:tcMar>
            <w:vAlign w:val="center"/>
          </w:tcPr>
          <w:p w14:paraId="23D96EC0">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8000≤Z&lt;120000</w:t>
            </w:r>
          </w:p>
        </w:tc>
        <w:tc>
          <w:tcPr>
            <w:tcW w:w="1679" w:type="dxa"/>
            <w:noWrap w:val="0"/>
            <w:tcMar>
              <w:top w:w="0" w:type="dxa"/>
              <w:left w:w="105" w:type="dxa"/>
              <w:bottom w:w="0" w:type="dxa"/>
              <w:right w:w="105" w:type="dxa"/>
            </w:tcMar>
            <w:vAlign w:val="center"/>
          </w:tcPr>
          <w:p w14:paraId="5CBFB5D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100≤Z&lt;8000</w:t>
            </w:r>
          </w:p>
        </w:tc>
        <w:tc>
          <w:tcPr>
            <w:tcW w:w="1455" w:type="dxa"/>
            <w:noWrap w:val="0"/>
            <w:tcMar>
              <w:top w:w="0" w:type="dxa"/>
              <w:left w:w="105" w:type="dxa"/>
              <w:bottom w:w="0" w:type="dxa"/>
              <w:right w:w="105" w:type="dxa"/>
            </w:tcMar>
            <w:vAlign w:val="center"/>
          </w:tcPr>
          <w:p w14:paraId="40B37C62">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Y&lt;100</w:t>
            </w:r>
          </w:p>
        </w:tc>
      </w:tr>
      <w:tr w14:paraId="67A6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25BDD9C1">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其他未列明行业</w:t>
            </w:r>
          </w:p>
        </w:tc>
        <w:tc>
          <w:tcPr>
            <w:tcW w:w="1709" w:type="dxa"/>
            <w:noWrap w:val="0"/>
            <w:tcMar>
              <w:top w:w="0" w:type="dxa"/>
              <w:left w:w="105" w:type="dxa"/>
              <w:bottom w:w="0" w:type="dxa"/>
              <w:right w:w="105" w:type="dxa"/>
            </w:tcMar>
            <w:vAlign w:val="center"/>
          </w:tcPr>
          <w:p w14:paraId="0021BEA8">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从业人员（X）</w:t>
            </w:r>
          </w:p>
        </w:tc>
        <w:tc>
          <w:tcPr>
            <w:tcW w:w="1151" w:type="dxa"/>
            <w:noWrap w:val="0"/>
            <w:tcMar>
              <w:top w:w="0" w:type="dxa"/>
              <w:left w:w="105" w:type="dxa"/>
              <w:bottom w:w="0" w:type="dxa"/>
              <w:right w:w="105" w:type="dxa"/>
            </w:tcMar>
            <w:vAlign w:val="center"/>
          </w:tcPr>
          <w:p w14:paraId="08D4D1CB">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人</w:t>
            </w:r>
          </w:p>
        </w:tc>
        <w:tc>
          <w:tcPr>
            <w:tcW w:w="1383" w:type="dxa"/>
            <w:noWrap w:val="0"/>
            <w:tcMar>
              <w:top w:w="0" w:type="dxa"/>
              <w:left w:w="105" w:type="dxa"/>
              <w:bottom w:w="0" w:type="dxa"/>
              <w:right w:w="105" w:type="dxa"/>
            </w:tcMar>
            <w:vAlign w:val="center"/>
          </w:tcPr>
          <w:p w14:paraId="7EDE23AF">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100≤X&lt;300</w:t>
            </w:r>
          </w:p>
        </w:tc>
        <w:tc>
          <w:tcPr>
            <w:tcW w:w="1679" w:type="dxa"/>
            <w:noWrap w:val="0"/>
            <w:tcMar>
              <w:top w:w="0" w:type="dxa"/>
              <w:left w:w="105" w:type="dxa"/>
              <w:bottom w:w="0" w:type="dxa"/>
              <w:right w:w="105" w:type="dxa"/>
            </w:tcMar>
            <w:vAlign w:val="center"/>
          </w:tcPr>
          <w:p w14:paraId="75A1CDC9">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10≤X&lt;100</w:t>
            </w:r>
          </w:p>
        </w:tc>
        <w:tc>
          <w:tcPr>
            <w:tcW w:w="1455" w:type="dxa"/>
            <w:noWrap w:val="0"/>
            <w:tcMar>
              <w:top w:w="0" w:type="dxa"/>
              <w:left w:w="105" w:type="dxa"/>
              <w:bottom w:w="0" w:type="dxa"/>
              <w:right w:w="105" w:type="dxa"/>
            </w:tcMar>
            <w:vAlign w:val="center"/>
          </w:tcPr>
          <w:p w14:paraId="34CC9E44">
            <w:pPr>
              <w:pStyle w:val="27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X&lt;10</w:t>
            </w:r>
          </w:p>
        </w:tc>
      </w:tr>
    </w:tbl>
    <w:p w14:paraId="189C4ED6">
      <w:pPr>
        <w:pStyle w:val="270"/>
        <w:pageBreakBefore w:val="0"/>
        <w:widowControl/>
        <w:kinsoku/>
        <w:wordWrap/>
        <w:overflowPunct/>
        <w:topLinePunct w:val="0"/>
        <w:autoSpaceDE/>
        <w:autoSpaceDN/>
        <w:bidi w:val="0"/>
        <w:spacing w:line="360" w:lineRule="auto"/>
        <w:ind w:firstLine="810"/>
        <w:textAlignment w:val="auto"/>
        <w:rPr>
          <w:rStyle w:val="275"/>
          <w:rFonts w:hint="eastAsia" w:ascii="Times New Roman" w:hAnsi="Times New Roman" w:eastAsia="宋体" w:cs="宋体"/>
          <w:color w:val="000000" w:themeColor="text1"/>
          <w:sz w:val="21"/>
          <w:szCs w:val="21"/>
          <w:highlight w:val="none"/>
          <w14:textFill>
            <w14:solidFill>
              <w14:schemeClr w14:val="tx1"/>
            </w14:solidFill>
          </w14:textFill>
        </w:rPr>
      </w:pPr>
      <w:r>
        <w:rPr>
          <w:rStyle w:val="275"/>
          <w:rFonts w:hint="eastAsia" w:ascii="Times New Roman" w:hAnsi="Times New Roman" w:eastAsia="宋体" w:cs="宋体"/>
          <w:color w:val="000000" w:themeColor="text1"/>
          <w:sz w:val="21"/>
          <w:szCs w:val="21"/>
          <w:highlight w:val="none"/>
          <w14:textFill>
            <w14:solidFill>
              <w14:schemeClr w14:val="tx1"/>
            </w14:solidFill>
          </w14:textFill>
        </w:rPr>
        <w:t>说明：上述标准参照《关于印发中小企业划型标准规定的通知》（工信部联企业〔2011〕300号）</w:t>
      </w:r>
      <w:r>
        <w:rPr>
          <w:rStyle w:val="275"/>
          <w:rFonts w:hint="eastAsia" w:cs="宋体"/>
          <w:color w:val="000000" w:themeColor="text1"/>
          <w:sz w:val="21"/>
          <w:szCs w:val="21"/>
          <w:highlight w:val="none"/>
          <w:lang w:eastAsia="zh-CN"/>
          <w14:textFill>
            <w14:solidFill>
              <w14:schemeClr w14:val="tx1"/>
            </w14:solidFill>
          </w14:textFill>
        </w:rPr>
        <w:t>，</w:t>
      </w:r>
      <w:r>
        <w:rPr>
          <w:rStyle w:val="275"/>
          <w:rFonts w:hint="eastAsia" w:ascii="Times New Roman" w:hAnsi="Times New Roman" w:eastAsia="宋体" w:cs="宋体"/>
          <w:color w:val="000000" w:themeColor="text1"/>
          <w:sz w:val="21"/>
          <w:szCs w:val="21"/>
          <w:highlight w:val="none"/>
          <w14:textFill>
            <w14:solidFill>
              <w14:schemeClr w14:val="tx1"/>
            </w14:solidFill>
          </w14:textFill>
        </w:rPr>
        <w:t>大型、中型和小型企业须同时满足所列指标的下限</w:t>
      </w:r>
      <w:r>
        <w:rPr>
          <w:rStyle w:val="275"/>
          <w:rFonts w:hint="eastAsia" w:cs="宋体"/>
          <w:color w:val="000000" w:themeColor="text1"/>
          <w:sz w:val="21"/>
          <w:szCs w:val="21"/>
          <w:highlight w:val="none"/>
          <w:lang w:eastAsia="zh-CN"/>
          <w14:textFill>
            <w14:solidFill>
              <w14:schemeClr w14:val="tx1"/>
            </w14:solidFill>
          </w14:textFill>
        </w:rPr>
        <w:t>，</w:t>
      </w:r>
      <w:r>
        <w:rPr>
          <w:rStyle w:val="275"/>
          <w:rFonts w:hint="eastAsia" w:ascii="Times New Roman" w:hAnsi="Times New Roman" w:eastAsia="宋体" w:cs="宋体"/>
          <w:color w:val="000000" w:themeColor="text1"/>
          <w:sz w:val="21"/>
          <w:szCs w:val="21"/>
          <w:highlight w:val="none"/>
          <w14:textFill>
            <w14:solidFill>
              <w14:schemeClr w14:val="tx1"/>
            </w14:solidFill>
          </w14:textFill>
        </w:rPr>
        <w:t>否则下划一档；微型企业只需满足所列指标中的一项即可。</w:t>
      </w:r>
    </w:p>
    <w:p w14:paraId="4E8B76BE">
      <w:pPr>
        <w:pageBreakBefore w:val="0"/>
        <w:kinsoku/>
        <w:wordWrap/>
        <w:overflowPunct/>
        <w:topLinePunct w:val="0"/>
        <w:autoSpaceDE/>
        <w:autoSpaceDN/>
        <w:bidi w:val="0"/>
        <w:spacing w:line="360" w:lineRule="auto"/>
        <w:ind w:firstLine="420"/>
        <w:textAlignment w:val="auto"/>
        <w:rPr>
          <w:rFonts w:hint="eastAsia" w:ascii="Times New Roman" w:hAnsi="Times New Roman" w:eastAsia="宋体" w:cs="宋体"/>
          <w:bCs/>
          <w:color w:val="000000" w:themeColor="text1"/>
          <w:highlight w:val="none"/>
          <w14:textFill>
            <w14:solidFill>
              <w14:schemeClr w14:val="tx1"/>
            </w14:solidFill>
          </w14:textFill>
        </w:rPr>
        <w:sectPr>
          <w:pgSz w:w="11906" w:h="16838"/>
          <w:pgMar w:top="1440" w:right="1800" w:bottom="1440" w:left="1800" w:header="851" w:footer="992" w:gutter="0"/>
          <w:cols w:space="1701" w:num="1"/>
          <w:docGrid w:linePitch="360" w:charSpace="0"/>
        </w:sectPr>
      </w:pPr>
    </w:p>
    <w:p w14:paraId="55E99AD8">
      <w:pPr>
        <w:pStyle w:val="251"/>
        <w:pageBreakBefore w:val="0"/>
        <w:kinsoku/>
        <w:wordWrap/>
        <w:overflowPunct/>
        <w:topLinePunct w:val="0"/>
        <w:autoSpaceDE/>
        <w:autoSpaceDN/>
        <w:bidi w:val="0"/>
        <w:spacing w:before="0" w:after="0" w:line="360" w:lineRule="auto"/>
        <w:textAlignment w:val="auto"/>
        <w:rPr>
          <w:rFonts w:hint="eastAsia" w:ascii="Times New Roman" w:hAnsi="Times New Roman" w:eastAsia="宋体" w:cs="宋体"/>
          <w:color w:val="000000" w:themeColor="text1"/>
          <w:sz w:val="32"/>
          <w:highlight w:val="none"/>
          <w14:textFill>
            <w14:solidFill>
              <w14:schemeClr w14:val="tx1"/>
            </w14:solidFill>
          </w14:textFill>
        </w:rPr>
      </w:pPr>
      <w:bookmarkStart w:id="104" w:name="_Toc20616"/>
      <w:bookmarkStart w:id="105" w:name="_Toc3074"/>
      <w:bookmarkStart w:id="106" w:name="_Toc9345"/>
      <w:bookmarkStart w:id="107" w:name="_Toc14959"/>
      <w:bookmarkStart w:id="108" w:name="_Toc16911"/>
      <w:r>
        <w:rPr>
          <w:rFonts w:hint="eastAsia" w:ascii="Times New Roman" w:hAnsi="Times New Roman" w:eastAsia="宋体" w:cs="宋体"/>
          <w:color w:val="000000" w:themeColor="text1"/>
          <w:sz w:val="32"/>
          <w:highlight w:val="none"/>
          <w14:textFill>
            <w14:solidFill>
              <w14:schemeClr w14:val="tx1"/>
            </w14:solidFill>
          </w14:textFill>
        </w:rPr>
        <w:t>二、符合性审查响应对照表</w:t>
      </w:r>
      <w:bookmarkEnd w:id="104"/>
      <w:bookmarkEnd w:id="105"/>
      <w:bookmarkEnd w:id="106"/>
      <w:bookmarkEnd w:id="107"/>
      <w:bookmarkEnd w:id="108"/>
    </w:p>
    <w:tbl>
      <w:tblPr>
        <w:tblStyle w:val="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5"/>
        <w:gridCol w:w="5111"/>
        <w:gridCol w:w="1575"/>
        <w:gridCol w:w="1228"/>
      </w:tblGrid>
      <w:tr w14:paraId="6EBF2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355" w:type="pct"/>
            <w:noWrap w:val="0"/>
            <w:vAlign w:val="center"/>
          </w:tcPr>
          <w:p w14:paraId="6FC201B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序号</w:t>
            </w:r>
          </w:p>
        </w:tc>
        <w:tc>
          <w:tcPr>
            <w:tcW w:w="2999" w:type="pct"/>
            <w:noWrap w:val="0"/>
            <w:vAlign w:val="center"/>
          </w:tcPr>
          <w:p w14:paraId="4F5427F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符合性审查响应内容</w:t>
            </w:r>
          </w:p>
        </w:tc>
        <w:tc>
          <w:tcPr>
            <w:tcW w:w="924" w:type="pct"/>
            <w:noWrap w:val="0"/>
            <w:vAlign w:val="center"/>
          </w:tcPr>
          <w:p w14:paraId="1C62561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是否响应</w:t>
            </w:r>
          </w:p>
          <w:p w14:paraId="4C490B4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（填是或者否）</w:t>
            </w:r>
          </w:p>
        </w:tc>
        <w:tc>
          <w:tcPr>
            <w:tcW w:w="720" w:type="pct"/>
            <w:noWrap w:val="0"/>
            <w:vAlign w:val="center"/>
          </w:tcPr>
          <w:p w14:paraId="4A82A6E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响应情况</w:t>
            </w:r>
          </w:p>
        </w:tc>
      </w:tr>
      <w:tr w14:paraId="563D1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noWrap w:val="0"/>
            <w:vAlign w:val="center"/>
          </w:tcPr>
          <w:p w14:paraId="3278315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1</w:t>
            </w:r>
          </w:p>
        </w:tc>
        <w:tc>
          <w:tcPr>
            <w:tcW w:w="2999" w:type="pct"/>
            <w:noWrap w:val="0"/>
            <w:vAlign w:val="center"/>
          </w:tcPr>
          <w:p w14:paraId="128EF423">
            <w:pPr>
              <w:pageBreakBefore w:val="0"/>
              <w:kinsoku/>
              <w:wordWrap/>
              <w:overflowPunct/>
              <w:topLinePunct w:val="0"/>
              <w:autoSpaceDE/>
              <w:autoSpaceDN/>
              <w:bidi w:val="0"/>
              <w:spacing w:line="360" w:lineRule="auto"/>
              <w:textAlignment w:val="auto"/>
              <w:rPr>
                <w:rFonts w:hint="eastAsia" w:ascii="Times New Roman" w:hAnsi="Times New Roman" w:eastAsia="宋体" w:cs="宋体"/>
                <w:bCs/>
                <w:iCs/>
                <w:color w:val="000000" w:themeColor="text1"/>
                <w:szCs w:val="21"/>
                <w:highlight w:val="none"/>
                <w14:textFill>
                  <w14:solidFill>
                    <w14:schemeClr w14:val="tx1"/>
                  </w14:solidFill>
                </w14:textFill>
              </w:rPr>
            </w:pPr>
            <w:r>
              <w:rPr>
                <w:rFonts w:hint="eastAsia" w:ascii="Times New Roman" w:hAnsi="Times New Roman" w:eastAsia="宋体" w:cs="宋体"/>
                <w:bCs/>
                <w:iCs/>
                <w:color w:val="000000" w:themeColor="text1"/>
                <w:szCs w:val="21"/>
                <w:highlight w:val="none"/>
                <w14:textFill>
                  <w14:solidFill>
                    <w14:schemeClr w14:val="tx1"/>
                  </w14:solidFill>
                </w14:textFill>
              </w:rPr>
              <w:t>采购需求中必须满足的实质性要求（即加斜体下划线内容</w:t>
            </w:r>
            <w:r>
              <w:rPr>
                <w:rFonts w:hint="eastAsia" w:ascii="Times New Roman" w:hAnsi="Times New Roman" w:cs="宋体"/>
                <w:bCs/>
                <w:iCs/>
                <w:color w:val="000000" w:themeColor="text1"/>
                <w:szCs w:val="21"/>
                <w:highlight w:val="none"/>
                <w:lang w:eastAsia="zh-CN"/>
                <w14:textFill>
                  <w14:solidFill>
                    <w14:schemeClr w14:val="tx1"/>
                  </w14:solidFill>
                </w14:textFill>
              </w:rPr>
              <w:t>，</w:t>
            </w:r>
            <w:r>
              <w:rPr>
                <w:rFonts w:hint="eastAsia" w:ascii="Times New Roman" w:hAnsi="Times New Roman" w:eastAsia="宋体" w:cs="宋体"/>
                <w:bCs/>
                <w:iCs/>
                <w:color w:val="000000" w:themeColor="text1"/>
                <w:szCs w:val="21"/>
                <w:highlight w:val="none"/>
                <w14:textFill>
                  <w14:solidFill>
                    <w14:schemeClr w14:val="tx1"/>
                  </w14:solidFill>
                </w14:textFill>
              </w:rPr>
              <w:t>每条详细列出）</w:t>
            </w:r>
          </w:p>
        </w:tc>
        <w:tc>
          <w:tcPr>
            <w:tcW w:w="924" w:type="pct"/>
            <w:noWrap w:val="0"/>
            <w:vAlign w:val="center"/>
          </w:tcPr>
          <w:p w14:paraId="53C557BC">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Cs w:val="21"/>
                <w:highlight w:val="none"/>
                <w14:textFill>
                  <w14:solidFill>
                    <w14:schemeClr w14:val="tx1"/>
                  </w14:solidFill>
                </w14:textFill>
              </w:rPr>
            </w:pPr>
          </w:p>
        </w:tc>
        <w:tc>
          <w:tcPr>
            <w:tcW w:w="720" w:type="pct"/>
            <w:noWrap w:val="0"/>
            <w:vAlign w:val="center"/>
          </w:tcPr>
          <w:p w14:paraId="4BEEDCB5">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Cs w:val="21"/>
                <w:highlight w:val="none"/>
                <w14:textFill>
                  <w14:solidFill>
                    <w14:schemeClr w14:val="tx1"/>
                  </w14:solidFill>
                </w14:textFill>
              </w:rPr>
            </w:pPr>
          </w:p>
        </w:tc>
      </w:tr>
      <w:tr w14:paraId="2E4C1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noWrap w:val="0"/>
            <w:vAlign w:val="center"/>
          </w:tcPr>
          <w:p w14:paraId="7FD685C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2</w:t>
            </w:r>
          </w:p>
        </w:tc>
        <w:tc>
          <w:tcPr>
            <w:tcW w:w="2999" w:type="pct"/>
            <w:noWrap w:val="0"/>
            <w:vAlign w:val="center"/>
          </w:tcPr>
          <w:p w14:paraId="76BE8837">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14:textFill>
                  <w14:solidFill>
                    <w14:schemeClr w14:val="tx1"/>
                  </w14:solidFill>
                </w14:textFill>
              </w:rPr>
            </w:pPr>
          </w:p>
        </w:tc>
        <w:tc>
          <w:tcPr>
            <w:tcW w:w="924" w:type="pct"/>
            <w:noWrap w:val="0"/>
            <w:vAlign w:val="center"/>
          </w:tcPr>
          <w:p w14:paraId="5A61805A">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2E3AF54E">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626F4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noWrap w:val="0"/>
            <w:vAlign w:val="center"/>
          </w:tcPr>
          <w:p w14:paraId="0852AB5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3</w:t>
            </w:r>
          </w:p>
        </w:tc>
        <w:tc>
          <w:tcPr>
            <w:tcW w:w="2999" w:type="pct"/>
            <w:noWrap w:val="0"/>
            <w:vAlign w:val="center"/>
          </w:tcPr>
          <w:p w14:paraId="324FD934">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lang w:val="en-US" w:eastAsia="zh-CN"/>
                <w14:textFill>
                  <w14:solidFill>
                    <w14:schemeClr w14:val="tx1"/>
                  </w14:solidFill>
                </w14:textFill>
              </w:rPr>
            </w:pPr>
          </w:p>
        </w:tc>
        <w:tc>
          <w:tcPr>
            <w:tcW w:w="924" w:type="pct"/>
            <w:noWrap w:val="0"/>
            <w:vAlign w:val="center"/>
          </w:tcPr>
          <w:p w14:paraId="049996A5">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2FAD8ADF">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788A7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355" w:type="pct"/>
            <w:noWrap w:val="0"/>
            <w:vAlign w:val="center"/>
          </w:tcPr>
          <w:p w14:paraId="4A0B036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4</w:t>
            </w:r>
          </w:p>
        </w:tc>
        <w:tc>
          <w:tcPr>
            <w:tcW w:w="2999" w:type="pct"/>
            <w:noWrap w:val="0"/>
            <w:vAlign w:val="center"/>
          </w:tcPr>
          <w:p w14:paraId="25B4B97A">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lang w:val="en-US" w:eastAsia="zh-CN"/>
                <w14:textFill>
                  <w14:solidFill>
                    <w14:schemeClr w14:val="tx1"/>
                  </w14:solidFill>
                </w14:textFill>
              </w:rPr>
            </w:pPr>
          </w:p>
        </w:tc>
        <w:tc>
          <w:tcPr>
            <w:tcW w:w="924" w:type="pct"/>
            <w:noWrap w:val="0"/>
            <w:vAlign w:val="center"/>
          </w:tcPr>
          <w:p w14:paraId="4892B8F0">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15AC89CF">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77B4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55" w:type="pct"/>
            <w:noWrap w:val="0"/>
            <w:vAlign w:val="center"/>
          </w:tcPr>
          <w:p w14:paraId="369ED32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5</w:t>
            </w:r>
          </w:p>
        </w:tc>
        <w:tc>
          <w:tcPr>
            <w:tcW w:w="2999" w:type="pct"/>
            <w:noWrap w:val="0"/>
            <w:vAlign w:val="center"/>
          </w:tcPr>
          <w:p w14:paraId="2822662A">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w:t>
            </w:r>
          </w:p>
        </w:tc>
        <w:tc>
          <w:tcPr>
            <w:tcW w:w="924" w:type="pct"/>
            <w:noWrap w:val="0"/>
            <w:vAlign w:val="center"/>
          </w:tcPr>
          <w:p w14:paraId="50412E28">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4C0EBB2F">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bl>
    <w:p w14:paraId="289E4D7A">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 w:val="24"/>
          <w:szCs w:val="24"/>
          <w:highlight w:val="none"/>
          <w14:textFill>
            <w14:solidFill>
              <w14:schemeClr w14:val="tx1"/>
            </w14:solidFill>
          </w14:textFill>
        </w:rPr>
      </w:pPr>
    </w:p>
    <w:p w14:paraId="28BDFBA7">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1A6D8730">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5AF04468">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23D90AFE">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2D44AF5C">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1FCB6B88">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6A349B30">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684FE1B2">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0107CCCC">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1B53AE2A">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67C94381">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193685A1">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5A61CBD2">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7565ED03">
      <w:pPr>
        <w:pStyle w:val="251"/>
        <w:pageBreakBefore w:val="0"/>
        <w:kinsoku/>
        <w:wordWrap/>
        <w:overflowPunct/>
        <w:topLinePunct w:val="0"/>
        <w:autoSpaceDE/>
        <w:autoSpaceDN/>
        <w:bidi w:val="0"/>
        <w:spacing w:before="0" w:after="0" w:line="360" w:lineRule="auto"/>
        <w:textAlignment w:val="auto"/>
        <w:rPr>
          <w:rFonts w:hint="eastAsia" w:ascii="Times New Roman" w:hAnsi="Times New Roman" w:eastAsia="宋体" w:cs="宋体"/>
          <w:color w:val="000000" w:themeColor="text1"/>
          <w:sz w:val="32"/>
          <w:highlight w:val="none"/>
          <w14:textFill>
            <w14:solidFill>
              <w14:schemeClr w14:val="tx1"/>
            </w14:solidFill>
          </w14:textFill>
        </w:rPr>
      </w:pPr>
      <w:bookmarkStart w:id="109" w:name="_Toc14100"/>
      <w:bookmarkStart w:id="110" w:name="_Toc23068"/>
      <w:bookmarkStart w:id="111" w:name="_Toc23420"/>
      <w:bookmarkStart w:id="112" w:name="_Toc29406"/>
      <w:bookmarkStart w:id="113" w:name="_Toc6752"/>
      <w:r>
        <w:rPr>
          <w:rFonts w:hint="eastAsia" w:ascii="Times New Roman" w:hAnsi="Times New Roman" w:eastAsia="宋体" w:cs="宋体"/>
          <w:color w:val="000000" w:themeColor="text1"/>
          <w:sz w:val="32"/>
          <w:highlight w:val="none"/>
          <w14:textFill>
            <w14:solidFill>
              <w14:schemeClr w14:val="tx1"/>
            </w14:solidFill>
          </w14:textFill>
        </w:rPr>
        <w:t>三、非实质性响应对照表</w:t>
      </w:r>
      <w:bookmarkEnd w:id="109"/>
      <w:bookmarkEnd w:id="110"/>
      <w:bookmarkEnd w:id="111"/>
      <w:bookmarkEnd w:id="112"/>
      <w:bookmarkEnd w:id="113"/>
    </w:p>
    <w:tbl>
      <w:tblPr>
        <w:tblStyle w:val="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5"/>
        <w:gridCol w:w="5111"/>
        <w:gridCol w:w="1575"/>
        <w:gridCol w:w="1228"/>
      </w:tblGrid>
      <w:tr w14:paraId="21718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355" w:type="pct"/>
            <w:noWrap w:val="0"/>
            <w:vAlign w:val="center"/>
          </w:tcPr>
          <w:p w14:paraId="7294B5F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序号</w:t>
            </w:r>
          </w:p>
        </w:tc>
        <w:tc>
          <w:tcPr>
            <w:tcW w:w="2999" w:type="pct"/>
            <w:noWrap w:val="0"/>
            <w:vAlign w:val="center"/>
          </w:tcPr>
          <w:p w14:paraId="7A0FA43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非实质性响应内容</w:t>
            </w:r>
          </w:p>
        </w:tc>
        <w:tc>
          <w:tcPr>
            <w:tcW w:w="924" w:type="pct"/>
            <w:noWrap w:val="0"/>
            <w:vAlign w:val="center"/>
          </w:tcPr>
          <w:p w14:paraId="6F805FB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是否响应</w:t>
            </w:r>
          </w:p>
          <w:p w14:paraId="16B67A7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（填是或者否）</w:t>
            </w:r>
          </w:p>
        </w:tc>
        <w:tc>
          <w:tcPr>
            <w:tcW w:w="720" w:type="pct"/>
            <w:noWrap w:val="0"/>
            <w:vAlign w:val="center"/>
          </w:tcPr>
          <w:p w14:paraId="3A1A40D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b/>
                <w:color w:val="000000" w:themeColor="text1"/>
                <w:szCs w:val="21"/>
                <w:highlight w:val="none"/>
                <w14:textFill>
                  <w14:solidFill>
                    <w14:schemeClr w14:val="tx1"/>
                  </w14:solidFill>
                </w14:textFill>
              </w:rPr>
              <w:t>响应情况</w:t>
            </w:r>
          </w:p>
        </w:tc>
      </w:tr>
      <w:tr w14:paraId="00AAF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noWrap w:val="0"/>
            <w:vAlign w:val="center"/>
          </w:tcPr>
          <w:p w14:paraId="1EA5864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1</w:t>
            </w:r>
          </w:p>
        </w:tc>
        <w:tc>
          <w:tcPr>
            <w:tcW w:w="2999" w:type="pct"/>
            <w:noWrap w:val="0"/>
            <w:vAlign w:val="center"/>
          </w:tcPr>
          <w:p w14:paraId="5332F775">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《残疾人福利性单位声明函》</w:t>
            </w:r>
          </w:p>
        </w:tc>
        <w:tc>
          <w:tcPr>
            <w:tcW w:w="924" w:type="pct"/>
            <w:noWrap w:val="0"/>
            <w:vAlign w:val="center"/>
          </w:tcPr>
          <w:p w14:paraId="5C0CCC83">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Cs w:val="21"/>
                <w:highlight w:val="none"/>
                <w14:textFill>
                  <w14:solidFill>
                    <w14:schemeClr w14:val="tx1"/>
                  </w14:solidFill>
                </w14:textFill>
              </w:rPr>
            </w:pPr>
          </w:p>
        </w:tc>
        <w:tc>
          <w:tcPr>
            <w:tcW w:w="720" w:type="pct"/>
            <w:noWrap w:val="0"/>
            <w:vAlign w:val="center"/>
          </w:tcPr>
          <w:p w14:paraId="4195D8AE">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szCs w:val="21"/>
                <w:highlight w:val="none"/>
                <w14:textFill>
                  <w14:solidFill>
                    <w14:schemeClr w14:val="tx1"/>
                  </w14:solidFill>
                </w14:textFill>
              </w:rPr>
            </w:pPr>
          </w:p>
        </w:tc>
      </w:tr>
      <w:tr w14:paraId="4FFB6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355" w:type="pct"/>
            <w:noWrap w:val="0"/>
            <w:vAlign w:val="center"/>
          </w:tcPr>
          <w:p w14:paraId="1A8DDF4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2</w:t>
            </w:r>
          </w:p>
        </w:tc>
        <w:tc>
          <w:tcPr>
            <w:tcW w:w="2999" w:type="pct"/>
            <w:noWrap w:val="0"/>
            <w:vAlign w:val="center"/>
          </w:tcPr>
          <w:p w14:paraId="582CC933">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关于符合本国产品标准的声明函</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w:t>
            </w:r>
          </w:p>
        </w:tc>
        <w:tc>
          <w:tcPr>
            <w:tcW w:w="924" w:type="pct"/>
            <w:noWrap w:val="0"/>
            <w:vAlign w:val="center"/>
          </w:tcPr>
          <w:p w14:paraId="534226E2">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202C79B1">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0C0E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55" w:type="pct"/>
            <w:noWrap w:val="0"/>
            <w:vAlign w:val="center"/>
          </w:tcPr>
          <w:p w14:paraId="69EF4E7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3</w:t>
            </w:r>
          </w:p>
        </w:tc>
        <w:tc>
          <w:tcPr>
            <w:tcW w:w="2999" w:type="pct"/>
            <w:noWrap w:val="0"/>
            <w:vAlign w:val="center"/>
          </w:tcPr>
          <w:p w14:paraId="523B97B0">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14:textFill>
                  <w14:solidFill>
                    <w14:schemeClr w14:val="tx1"/>
                  </w14:solidFill>
                </w14:textFill>
              </w:rPr>
            </w:pPr>
            <w:r>
              <w:rPr>
                <w:rFonts w:hint="eastAsia" w:ascii="Times New Roman" w:hAnsi="Times New Roman" w:eastAsia="宋体" w:cs="宋体"/>
                <w:iCs/>
                <w:color w:val="000000" w:themeColor="text1"/>
                <w:szCs w:val="21"/>
                <w:highlight w:val="none"/>
                <w14:textFill>
                  <w14:solidFill>
                    <w14:schemeClr w14:val="tx1"/>
                  </w14:solidFill>
                </w14:textFill>
              </w:rPr>
              <w:t>……</w:t>
            </w:r>
          </w:p>
        </w:tc>
        <w:tc>
          <w:tcPr>
            <w:tcW w:w="924" w:type="pct"/>
            <w:noWrap w:val="0"/>
            <w:vAlign w:val="center"/>
          </w:tcPr>
          <w:p w14:paraId="7B3C5995">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2AF725DE">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798DD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55" w:type="pct"/>
            <w:noWrap w:val="0"/>
            <w:vAlign w:val="center"/>
          </w:tcPr>
          <w:p w14:paraId="385AE65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lang w:eastAsia="zh-CN"/>
                <w14:textFill>
                  <w14:solidFill>
                    <w14:schemeClr w14:val="tx1"/>
                  </w14:solidFill>
                </w14:textFill>
              </w:rPr>
            </w:pPr>
          </w:p>
        </w:tc>
        <w:tc>
          <w:tcPr>
            <w:tcW w:w="2999" w:type="pct"/>
            <w:noWrap w:val="0"/>
            <w:vAlign w:val="center"/>
          </w:tcPr>
          <w:p w14:paraId="3030C087">
            <w:pPr>
              <w:pageBreakBefore w:val="0"/>
              <w:kinsoku/>
              <w:wordWrap/>
              <w:overflowPunct/>
              <w:topLinePunct w:val="0"/>
              <w:autoSpaceDE/>
              <w:autoSpaceDN/>
              <w:bidi w:val="0"/>
              <w:spacing w:line="360" w:lineRule="auto"/>
              <w:textAlignment w:val="auto"/>
              <w:rPr>
                <w:rFonts w:hint="eastAsia" w:ascii="Times New Roman" w:hAnsi="Times New Roman" w:eastAsia="宋体" w:cs="宋体"/>
                <w:iCs/>
                <w:color w:val="000000" w:themeColor="text1"/>
                <w:szCs w:val="21"/>
                <w:highlight w:val="none"/>
                <w14:textFill>
                  <w14:solidFill>
                    <w14:schemeClr w14:val="tx1"/>
                  </w14:solidFill>
                </w14:textFill>
              </w:rPr>
            </w:pPr>
          </w:p>
        </w:tc>
        <w:tc>
          <w:tcPr>
            <w:tcW w:w="924" w:type="pct"/>
            <w:noWrap w:val="0"/>
            <w:vAlign w:val="center"/>
          </w:tcPr>
          <w:p w14:paraId="25B6A06B">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720" w:type="pct"/>
            <w:noWrap w:val="0"/>
            <w:vAlign w:val="center"/>
          </w:tcPr>
          <w:p w14:paraId="15C96C49">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bl>
    <w:p w14:paraId="7A37EEC2">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137F062A">
      <w:pPr>
        <w:pageBreakBefore w:val="0"/>
        <w:kinsoku/>
        <w:wordWrap/>
        <w:overflowPunct/>
        <w:topLinePunct w:val="0"/>
        <w:autoSpaceDE/>
        <w:autoSpaceDN/>
        <w:bidi w:val="0"/>
        <w:spacing w:line="360" w:lineRule="auto"/>
        <w:contextualSpacing/>
        <w:jc w:val="center"/>
        <w:textAlignment w:val="auto"/>
        <w:rPr>
          <w:rFonts w:hint="eastAsia" w:ascii="Times New Roman" w:hAnsi="Times New Roman" w:eastAsia="宋体" w:cs="宋体"/>
          <w:b/>
          <w:bCs/>
          <w:color w:val="000000" w:themeColor="text1"/>
          <w:sz w:val="32"/>
          <w:szCs w:val="32"/>
          <w:highlight w:val="none"/>
          <w14:textFill>
            <w14:solidFill>
              <w14:schemeClr w14:val="tx1"/>
            </w14:solidFill>
          </w14:textFill>
        </w:rPr>
      </w:pPr>
    </w:p>
    <w:p w14:paraId="734B0C6E">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p>
    <w:p w14:paraId="66BD06FA">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74C996CB">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0B7568EF">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49C010A8">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0874BEEE">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1ADB5688">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0A69D30C">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5CBC95F8">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6D944EEB">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026CF556">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2085555E">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075BC6BF">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4E2212E7">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17B6380A">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1ECAEAA1">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650A2F84">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6A7059FD">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230B2BEA">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22109321">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53CD32B1">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545F24DE">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513CAAC7">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320D09B0">
      <w:pPr>
        <w:pageBreakBefore w:val="0"/>
        <w:kinsoku/>
        <w:wordWrap/>
        <w:overflowPunct/>
        <w:topLinePunct w:val="0"/>
        <w:autoSpaceDE/>
        <w:autoSpaceDN/>
        <w:bidi w:val="0"/>
        <w:spacing w:line="360" w:lineRule="auto"/>
        <w:ind w:firstLine="2726"/>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残疾人福利性单位声明函</w:t>
      </w:r>
    </w:p>
    <w:p w14:paraId="3D244DA4">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本单位郑重声明</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根据《财政部民政部中国残疾人联合会关于促进残疾人就业政府采购政策的通知》（财库〔2017〕141号）的规定</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本单位为符合条件的残疾人福利性单位</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且本单位参加______单位的采购文件编号为______的项目采购活动提供本单位制造的</w:t>
      </w:r>
      <w:r>
        <w:rPr>
          <w:rFonts w:hint="eastAsia" w:ascii="Times New Roman" w:hAnsi="Times New Roman" w:eastAsia="宋体"/>
          <w:color w:val="000000" w:themeColor="text1"/>
          <w:szCs w:val="21"/>
          <w:highlight w:val="none"/>
          <w:lang w:val="en-US" w:eastAsia="zh-CN"/>
          <w14:textFill>
            <w14:solidFill>
              <w14:schemeClr w14:val="tx1"/>
            </w14:solidFill>
          </w14:textFill>
        </w:rPr>
        <w:t>货物</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或者提供其他残疾人福利性单位制造的产品或服务（不包括使用非残疾人福利性单位注册商标的产品或服务）。</w:t>
      </w:r>
    </w:p>
    <w:p w14:paraId="056EDA34">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本单位在本次政府采购活动中提供的残疾人福利单位产品报价合计为人民币（大写）圆整（￥：）。</w:t>
      </w:r>
    </w:p>
    <w:p w14:paraId="72841385">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Cs w:val="21"/>
          <w:highlight w:val="none"/>
          <w14:textFill>
            <w14:solidFill>
              <w14:schemeClr w14:val="tx1"/>
            </w14:solidFill>
          </w14:textFill>
        </w:rPr>
      </w:pPr>
      <w:r>
        <w:rPr>
          <w:rFonts w:hint="eastAsia" w:ascii="Times New Roman" w:hAnsi="Times New Roman" w:eastAsia="宋体"/>
          <w:color w:val="000000" w:themeColor="text1"/>
          <w:szCs w:val="21"/>
          <w:highlight w:val="none"/>
          <w14:textFill>
            <w14:solidFill>
              <w14:schemeClr w14:val="tx1"/>
            </w14:solidFill>
          </w14:textFill>
        </w:rPr>
        <w:t>本单位对上述声明的真实性负责。如有虚假</w:t>
      </w:r>
      <w:r>
        <w:rPr>
          <w:rFonts w:hint="eastAsia" w:ascii="Times New Roman" w:hAnsi="Times New Roman"/>
          <w:color w:val="000000" w:themeColor="text1"/>
          <w:szCs w:val="21"/>
          <w:highlight w:val="none"/>
          <w:lang w:eastAsia="zh-CN"/>
          <w14:textFill>
            <w14:solidFill>
              <w14:schemeClr w14:val="tx1"/>
            </w14:solidFill>
          </w14:textFill>
        </w:rPr>
        <w:t>，</w:t>
      </w:r>
      <w:r>
        <w:rPr>
          <w:rFonts w:hint="eastAsia" w:ascii="Times New Roman" w:hAnsi="Times New Roman" w:eastAsia="宋体"/>
          <w:color w:val="000000" w:themeColor="text1"/>
          <w:szCs w:val="21"/>
          <w:highlight w:val="none"/>
          <w14:textFill>
            <w14:solidFill>
              <w14:schemeClr w14:val="tx1"/>
            </w14:solidFill>
          </w14:textFill>
        </w:rPr>
        <w:t>将依法承担相应责任。</w:t>
      </w:r>
    </w:p>
    <w:p w14:paraId="46D1527D">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p>
    <w:p w14:paraId="526224B2">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备注：</w:t>
      </w:r>
    </w:p>
    <w:p w14:paraId="4A76C72D">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1</w:t>
      </w:r>
      <w:r>
        <w:rPr>
          <w:rFonts w:ascii="Times New Roman" w:hAnsi="Times New Roman" w:eastAsia="宋体"/>
          <w:color w:val="000000" w:themeColor="text1"/>
          <w:sz w:val="21"/>
          <w:szCs w:val="21"/>
          <w:highlight w:val="none"/>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专门面向中小微型企业采购的</w:t>
      </w:r>
      <w:r>
        <w:rPr>
          <w:rFonts w:ascii="Times New Roman" w:hAnsi="Times New Roman" w:eastAsia="宋体"/>
          <w:color w:val="000000" w:themeColor="text1"/>
          <w:sz w:val="21"/>
          <w:szCs w:val="21"/>
          <w:highlight w:val="none"/>
          <w14:textFill>
            <w14:solidFill>
              <w14:schemeClr w14:val="tx1"/>
            </w14:solidFill>
          </w14:textFill>
        </w:rPr>
        <w:t>项目</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供应商为残疾人福利性单位并提供本单位制造的货物</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或者提供其他残疾人福利性单位制造的货物</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必须提供此</w:t>
      </w:r>
      <w:r>
        <w:rPr>
          <w:rFonts w:ascii="Times New Roman" w:hAnsi="Times New Roman" w:eastAsia="宋体"/>
          <w:color w:val="000000" w:themeColor="text1"/>
          <w:sz w:val="21"/>
          <w:szCs w:val="21"/>
          <w:highlight w:val="none"/>
          <w14:textFill>
            <w14:solidFill>
              <w14:schemeClr w14:val="tx1"/>
            </w14:solidFill>
          </w14:textFill>
        </w:rPr>
        <w:t>声明函</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否则将</w:t>
      </w:r>
      <w:r>
        <w:rPr>
          <w:rFonts w:hint="eastAsia" w:ascii="Times New Roman" w:hAnsi="Times New Roman" w:eastAsia="宋体"/>
          <w:color w:val="000000" w:themeColor="text1"/>
          <w:sz w:val="21"/>
          <w:szCs w:val="21"/>
          <w:highlight w:val="none"/>
          <w14:textFill>
            <w14:solidFill>
              <w14:schemeClr w14:val="tx1"/>
            </w14:solidFill>
          </w14:textFill>
        </w:rPr>
        <w:t>不能</w:t>
      </w:r>
      <w:r>
        <w:rPr>
          <w:rFonts w:ascii="Times New Roman" w:hAnsi="Times New Roman" w:eastAsia="宋体"/>
          <w:color w:val="000000" w:themeColor="text1"/>
          <w:sz w:val="21"/>
          <w:szCs w:val="21"/>
          <w:highlight w:val="none"/>
          <w14:textFill>
            <w14:solidFill>
              <w14:schemeClr w14:val="tx1"/>
            </w14:solidFill>
          </w14:textFill>
        </w:rPr>
        <w:t>通过资格审查</w:t>
      </w:r>
      <w:r>
        <w:rPr>
          <w:rFonts w:hint="eastAsia" w:ascii="Times New Roman" w:hAnsi="Times New Roman" w:eastAsia="宋体"/>
          <w:color w:val="000000" w:themeColor="text1"/>
          <w:sz w:val="21"/>
          <w:szCs w:val="21"/>
          <w:highlight w:val="none"/>
          <w14:textFill>
            <w14:solidFill>
              <w14:schemeClr w14:val="tx1"/>
            </w14:solidFill>
          </w14:textFill>
        </w:rPr>
        <w:t>。</w:t>
      </w:r>
    </w:p>
    <w:p w14:paraId="77D89A3B">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 非专门面向中小微型企业采购的</w:t>
      </w:r>
      <w:r>
        <w:rPr>
          <w:rFonts w:ascii="Times New Roman" w:hAnsi="Times New Roman" w:eastAsia="宋体"/>
          <w:color w:val="000000" w:themeColor="text1"/>
          <w:sz w:val="21"/>
          <w:szCs w:val="21"/>
          <w:highlight w:val="none"/>
          <w14:textFill>
            <w14:solidFill>
              <w14:schemeClr w14:val="tx1"/>
            </w14:solidFill>
          </w14:textFill>
        </w:rPr>
        <w:t>项目</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供应商如不提供此声明函</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价格将不做相应扣除。</w:t>
      </w:r>
    </w:p>
    <w:p w14:paraId="79ABECCD">
      <w:pPr>
        <w:pageBreakBefore w:val="0"/>
        <w:kinsoku/>
        <w:wordWrap/>
        <w:overflowPunct/>
        <w:topLinePunct w:val="0"/>
        <w:autoSpaceDE/>
        <w:autoSpaceDN/>
        <w:bidi w:val="0"/>
        <w:spacing w:line="360" w:lineRule="auto"/>
        <w:ind w:firstLine="420"/>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3</w:t>
      </w:r>
      <w:r>
        <w:rPr>
          <w:rFonts w:hint="eastAsia" w:ascii="Times New Roman" w:hAnsi="Times New Roman" w:eastAsia="宋体"/>
          <w:color w:val="000000" w:themeColor="text1"/>
          <w:sz w:val="21"/>
          <w:szCs w:val="21"/>
          <w:highlight w:val="none"/>
          <w14:textFill>
            <w14:solidFill>
              <w14:schemeClr w14:val="tx1"/>
            </w14:solidFill>
          </w14:textFill>
        </w:rPr>
        <w:t>.中标/成交供应商为残疾人福利性单位的</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此声明函将随中标/成交结果同时公告</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接受社会监督。</w:t>
      </w:r>
    </w:p>
    <w:p w14:paraId="15C4BD6B">
      <w:pPr>
        <w:pageBreakBefore w:val="0"/>
        <w:kinsoku/>
        <w:wordWrap/>
        <w:overflowPunct/>
        <w:topLinePunct w:val="0"/>
        <w:autoSpaceDE/>
        <w:autoSpaceDN/>
        <w:bidi w:val="0"/>
        <w:spacing w:line="360" w:lineRule="auto"/>
        <w:ind w:firstLine="444"/>
        <w:textAlignment w:val="auto"/>
        <w:rPr>
          <w:rFonts w:ascii="Times New Roman" w:hAnsi="Times New Roman" w:eastAsia="宋体"/>
          <w:color w:val="000000" w:themeColor="text1"/>
          <w:spacing w:val="6"/>
          <w:sz w:val="21"/>
          <w:szCs w:val="21"/>
          <w:highlight w:val="none"/>
          <w14:textFill>
            <w14:solidFill>
              <w14:schemeClr w14:val="tx1"/>
            </w14:solidFill>
          </w14:textFill>
        </w:rPr>
      </w:pPr>
    </w:p>
    <w:p w14:paraId="106D3925">
      <w:pPr>
        <w:pageBreakBefore w:val="0"/>
        <w:tabs>
          <w:tab w:val="left" w:pos="4860"/>
        </w:tabs>
        <w:kinsoku/>
        <w:wordWrap/>
        <w:overflowPunct/>
        <w:topLinePunct w:val="0"/>
        <w:autoSpaceDE/>
        <w:autoSpaceDN/>
        <w:bidi w:val="0"/>
        <w:spacing w:line="360" w:lineRule="auto"/>
        <w:ind w:right="1559" w:firstLine="444"/>
        <w:jc w:val="center"/>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pacing w:val="6"/>
          <w:sz w:val="21"/>
          <w:szCs w:val="21"/>
          <w:highlight w:val="none"/>
          <w14:textFill>
            <w14:solidFill>
              <w14:schemeClr w14:val="tx1"/>
            </w14:solidFill>
          </w14:textFill>
        </w:rPr>
        <w:t xml:space="preserve">             </w:t>
      </w:r>
      <w:r>
        <w:rPr>
          <w:rFonts w:hint="eastAsia" w:ascii="Times New Roman" w:hAnsi="Times New Roman" w:eastAsia="宋体"/>
          <w:color w:val="000000" w:themeColor="text1"/>
          <w:sz w:val="21"/>
          <w:szCs w:val="21"/>
          <w:highlight w:val="none"/>
          <w14:textFill>
            <w14:solidFill>
              <w14:schemeClr w14:val="tx1"/>
            </w14:solidFill>
          </w14:textFill>
        </w:rPr>
        <w:t xml:space="preserve">    供应商全称（加盖CA电子</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公章</w:t>
      </w:r>
      <w:r>
        <w:rPr>
          <w:rFonts w:hint="eastAsia" w:ascii="Times New Roman" w:hAnsi="Times New Roman" w:eastAsia="宋体"/>
          <w:color w:val="000000" w:themeColor="text1"/>
          <w:sz w:val="21"/>
          <w:szCs w:val="21"/>
          <w:highlight w:val="none"/>
          <w14:textFill>
            <w14:solidFill>
              <w14:schemeClr w14:val="tx1"/>
            </w14:solidFill>
          </w14:textFill>
        </w:rPr>
        <w:t>）：</w:t>
      </w:r>
    </w:p>
    <w:p w14:paraId="589A232F">
      <w:pPr>
        <w:pageBreakBefore w:val="0"/>
        <w:tabs>
          <w:tab w:val="left" w:pos="4860"/>
        </w:tabs>
        <w:kinsoku/>
        <w:wordWrap/>
        <w:overflowPunct/>
        <w:topLinePunct w:val="0"/>
        <w:autoSpaceDE/>
        <w:autoSpaceDN/>
        <w:bidi w:val="0"/>
        <w:spacing w:line="360" w:lineRule="auto"/>
        <w:ind w:right="1559" w:firstLine="420"/>
        <w:jc w:val="center"/>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   日  期：</w:t>
      </w:r>
    </w:p>
    <w:p w14:paraId="32AA1125">
      <w:pPr>
        <w:pageBreakBefore w:val="0"/>
        <w:kinsoku/>
        <w:wordWrap/>
        <w:overflowPunct/>
        <w:topLinePunct w:val="0"/>
        <w:autoSpaceDE/>
        <w:autoSpaceDN/>
        <w:bidi w:val="0"/>
        <w:spacing w:line="360" w:lineRule="auto"/>
        <w:textAlignment w:val="auto"/>
        <w:rPr>
          <w:rFonts w:hint="eastAsia" w:ascii="Times New Roman" w:hAnsi="Times New Roman" w:eastAsia="宋体" w:cs="宋体"/>
          <w:b/>
          <w:bCs/>
          <w:color w:val="000000" w:themeColor="text1"/>
          <w:sz w:val="21"/>
          <w:szCs w:val="21"/>
          <w:highlight w:val="none"/>
          <w14:textFill>
            <w14:solidFill>
              <w14:schemeClr w14:val="tx1"/>
            </w14:solidFill>
          </w14:textFill>
        </w:rPr>
      </w:pPr>
      <w:r>
        <w:rPr>
          <w:rFonts w:hint="eastAsia" w:ascii="Times New Roman" w:hAnsi="Times New Roman" w:eastAsia="宋体" w:cs="宋体"/>
          <w:b/>
          <w:bCs/>
          <w:color w:val="000000" w:themeColor="text1"/>
          <w:sz w:val="21"/>
          <w:szCs w:val="21"/>
          <w:highlight w:val="none"/>
          <w14:textFill>
            <w14:solidFill>
              <w14:schemeClr w14:val="tx1"/>
            </w14:solidFill>
          </w14:textFill>
        </w:rPr>
        <w:br w:type="page" w:clear="all"/>
      </w:r>
    </w:p>
    <w:p w14:paraId="05BD978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方正魏碑_GBK"/>
          <w:color w:val="000000" w:themeColor="text1"/>
          <w:sz w:val="24"/>
          <w:szCs w:val="24"/>
          <w:highlight w:val="none"/>
          <w14:textFill>
            <w14:solidFill>
              <w14:schemeClr w14:val="tx1"/>
            </w14:solidFill>
          </w14:textFill>
        </w:rPr>
      </w:pPr>
      <w:r>
        <w:rPr>
          <w:rFonts w:hint="eastAsia" w:ascii="Times New Roman" w:hAnsi="Times New Roman" w:eastAsia="宋体" w:cs="方正魏碑_GBK"/>
          <w:b/>
          <w:color w:val="000000" w:themeColor="text1"/>
          <w:sz w:val="24"/>
          <w:szCs w:val="24"/>
          <w:highlight w:val="none"/>
          <w14:textFill>
            <w14:solidFill>
              <w14:schemeClr w14:val="tx1"/>
            </w14:solidFill>
          </w14:textFill>
        </w:rPr>
        <w:t>关于符合本国产品标准的声明函（采购包号：**）</w:t>
      </w:r>
    </w:p>
    <w:p w14:paraId="7A22BBED">
      <w:pPr>
        <w:pStyle w:val="35"/>
        <w:pageBreakBefore w:val="0"/>
        <w:kinsoku/>
        <w:wordWrap/>
        <w:overflowPunct/>
        <w:topLinePunct w:val="0"/>
        <w:autoSpaceDE/>
        <w:autoSpaceDN/>
        <w:bidi w:val="0"/>
        <w:spacing w:beforeAutospacing="0" w:afterAutospacing="0" w:line="360" w:lineRule="auto"/>
        <w:ind w:firstLine="420"/>
        <w:textAlignment w:val="auto"/>
        <w:rPr>
          <w:rFonts w:ascii="Times New Roman" w:hAnsi="Times New Roman" w:eastAsia="宋体" w:cs="方正魏碑_GBK"/>
          <w:color w:val="000000" w:themeColor="text1"/>
          <w:highlight w:val="none"/>
          <w14:textFill>
            <w14:solidFill>
              <w14:schemeClr w14:val="tx1"/>
            </w14:solidFill>
          </w14:textFill>
        </w:rPr>
      </w:pPr>
    </w:p>
    <w:p w14:paraId="7319E78B">
      <w:pPr>
        <w:pStyle w:val="35"/>
        <w:pageBreakBefore w:val="0"/>
        <w:kinsoku/>
        <w:wordWrap/>
        <w:overflowPunct/>
        <w:topLinePunct w:val="0"/>
        <w:autoSpaceDE/>
        <w:autoSpaceDN/>
        <w:bidi w:val="0"/>
        <w:spacing w:beforeAutospacing="0" w:afterAutospacing="0" w:line="360" w:lineRule="auto"/>
        <w:ind w:firstLine="420"/>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w:t>本公司（单位）郑重声明</w:t>
      </w:r>
      <w:r>
        <w:rPr>
          <w:rFonts w:hint="eastAsia" w:ascii="Times New Roman" w:hAnsi="Times New Roman" w:cs="方正魏碑_GBK"/>
          <w:color w:val="000000" w:themeColor="text1"/>
          <w:highlight w:val="none"/>
          <w:lang w:eastAsia="zh-CN"/>
          <w14:textFill>
            <w14:solidFill>
              <w14:schemeClr w14:val="tx1"/>
            </w14:solidFill>
          </w14:textFill>
        </w:rPr>
        <w:t>，</w:t>
      </w:r>
      <w:r>
        <w:rPr>
          <w:rFonts w:hint="eastAsia" w:ascii="Times New Roman" w:hAnsi="Times New Roman" w:eastAsia="宋体" w:cs="方正魏碑_GBK"/>
          <w:color w:val="000000" w:themeColor="text1"/>
          <w:highlight w:val="none"/>
          <w14:textFill>
            <w14:solidFill>
              <w14:schemeClr w14:val="tx1"/>
            </w14:solidFill>
          </w14:textFill>
        </w:rPr>
        <w:t>根据《国务院办公厅关于在政府采购中实施本国产品标准及相关政策的通知》（国办发〔2025〕34号）的规定</w:t>
      </w:r>
      <w:r>
        <w:rPr>
          <w:rFonts w:hint="eastAsia" w:ascii="Times New Roman" w:hAnsi="Times New Roman" w:cs="方正魏碑_GBK"/>
          <w:color w:val="000000" w:themeColor="text1"/>
          <w:highlight w:val="none"/>
          <w:lang w:eastAsia="zh-CN"/>
          <w14:textFill>
            <w14:solidFill>
              <w14:schemeClr w14:val="tx1"/>
            </w14:solidFill>
          </w14:textFill>
        </w:rPr>
        <w:t>，</w:t>
      </w:r>
      <w:r>
        <w:rPr>
          <w:rFonts w:hint="eastAsia" w:ascii="Times New Roman" w:hAnsi="Times New Roman" w:eastAsia="宋体" w:cs="方正魏碑_GBK"/>
          <w:color w:val="000000" w:themeColor="text1"/>
          <w:highlight w:val="none"/>
          <w14:textFill>
            <w14:solidFill>
              <w14:schemeClr w14:val="tx1"/>
            </w14:solidFill>
          </w14:textFill>
        </w:rPr>
        <w:t>本公司（单位）提供的以下产品属于本国产品。具体情况如下：</w:t>
      </w:r>
    </w:p>
    <w:p w14:paraId="351132C2">
      <w:pPr>
        <w:pStyle w:val="35"/>
        <w:pageBreakBefore w:val="0"/>
        <w:kinsoku/>
        <w:wordWrap/>
        <w:overflowPunct/>
        <w:topLinePunct w:val="0"/>
        <w:autoSpaceDE/>
        <w:autoSpaceDN/>
        <w:bidi w:val="0"/>
        <w:spacing w:beforeAutospacing="0" w:afterAutospacing="0" w:line="360" w:lineRule="auto"/>
        <w:ind w:firstLine="420"/>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0.7pt;margin-top:40.25pt;height:10.3pt;width:44.55pt;z-index:251671552;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QTxy&#10;1QAAAAgBAAAPAAAAAAAAAAEAIAAAACIAAABkcnMvZG93bnJldi54bWxQSwECFAAUAAAACACHTuJA&#10;KjHnlCQCAAAqBAAADgAAAAAAAAABACAAAAAk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91.85pt;margin-top:24.4pt;height:7.7pt;width:15.45pt;z-index:251670528;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a9kFQ1gAAAAkBAAAPAAAAAAAAAAEAIAAAACIAAABkcnMvZG93bnJldi54bWxQSwECFAAUAAAA&#10;CACHTuJAY8e8DSkCAAA0BAAADgAAAAAAAAABACAAAAAlAQAAZHJzL2Uyb0RvYy54bWxQSwUGAAAA&#10;AAYABgBZAQAAwAU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244.85pt;margin-top:40.25pt;height:11.6pt;width:64.3pt;z-index:251669504;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0mIWc9cAAAAKAQAADwAAAAAAAAABACAAAAAiAAAAZHJzL2Rvd25yZXYueG1sUEsBAhQAFAAA&#10;AAgAh07iQJuV+4gpAgAANAQAAA4AAAAAAAAAAQAgAAAAJgEAAGRycy9lMm9Eb2MueG1sUEsFBgAA&#10;AAAGAAYAWQEAAME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2.3pt;margin-top:24.4pt;height:7.7pt;width:28.7pt;z-index:251668480;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kd11S0wAAAAYB&#10;AAAPAAAAAAAAAAEAIAAAACIAAABkcnMvZG93bnJldi54bWxQSwECFAAUAAAACACHTuJAPyFtOCAC&#10;AAApBAAADgAAAAAAAAABACAAAAAiAQAAZHJzL2Uyb0RvYy54bWxQSwUGAAAAAAYABgBZAQAAtAUA&#10;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361.85pt;margin-top:6.85pt;height:7.25pt;width:45.45pt;z-index:251667456;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GKFxa1gAA&#10;AAkBAAAPAAAAAAAAAAEAIAAAACIAAABkcnMvZG93bnJldi54bWxQSwECFAAUAAAACACHTuJA4uc1&#10;VSACAAAqBAAADgAAAAAAAAABACAAAAAlAQAAZHJzL2Uyb0RvYy54bWxQSwUGAAAAAAYABgBZAQAA&#10;twU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153.15pt;margin-top:41.1pt;height:9.45pt;width:69pt;z-index:251662336;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B&#10;/J+71gAAAAoBAAAPAAAAAAAAAAEAIAAAACIAAABkcnMvZG93bnJldi54bWxQSwECFAAUAAAACACH&#10;TuJAASaZqyYCAAA1BAAADgAAAAAAAAABACAAAAAlAQAAZHJzL2Uyb0RvYy54bWxQSwUGAAAAAAYA&#10;BgBZAQAAvQU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302.7pt;margin-top:23.95pt;height:8.15pt;width:64.3pt;z-index:251661312;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OvQnvrXAAAACQEAAA8AAAAAAAAAAQAgAAAAIgAAAGRycy9kb3ducmV2LnhtbFBLAQIUABQAAAAI&#10;AIdO4kDdjCUJJwIAADUEAAAOAAAAAAAAAAEAIAAAACYBAABkcnMvZTJvRG9jLnhtbFBLBQYAAAAA&#10;BgAGAFkBAAC/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218.3pt;margin-top:25.25pt;height:6pt;width:64.3pt;z-index:251660288;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pbn/bNcA&#10;AAAJAQAADwAAAAAAAAABACAAAAAiAAAAZHJzL2Rvd25yZXYueG1sUEsBAhQAFAAAAAgAh07iQIgU&#10;jB4gAgAAKwQAAA4AAAAAAAAAAQAgAAAAJgEAAGRycy9lMm9Eb2MueG1sUEsFBgAAAAAGAAYAWQEA&#10;ALg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1.</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（产品名称1）</w:t>
      </w:r>
      <w:r>
        <w:rPr>
          <w:rStyle w:val="44"/>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1</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生产厂为</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（厂名）</w:t>
      </w:r>
      <w:r>
        <w:rPr>
          <w:rStyle w:val="44"/>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2</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厂址为</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（生产厂址）</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w:t>
      </w:r>
      <w:r>
        <w:rPr>
          <w:rFonts w:hint="eastAsia" w:ascii="Times New Roman" w:hAnsi="Times New Roman" w:eastAsia="宋体" w:cs="方正魏碑_GBK"/>
          <w:color w:val="000000" w:themeColor="text1"/>
          <w:highlight w:val="none"/>
          <w:u w:val="single"/>
          <w:shd w:val="clear" w:color="auto" w:fill="FFFFFF"/>
          <w14:textFill>
            <w14:solidFill>
              <w14:schemeClr w14:val="tx1"/>
            </w14:solidFill>
          </w14:textFill>
        </w:rPr>
        <w:t xml:space="preserve"> </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的中国境内生产的组件成本占比≥</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（规定</w:t>
      </w:r>
      <w:r>
        <w:rPr>
          <w:rStyle w:val="44"/>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比例</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w:t>
      </w:r>
      <w:r>
        <w:rPr>
          <w:rStyle w:val="44"/>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3</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（产品名称1）</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的</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（关键</w:t>
      </w:r>
      <w:r>
        <w:rPr>
          <w:rStyle w:val="44"/>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组件</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w:t>
      </w:r>
      <w:r>
        <w:rPr>
          <w:rStyle w:val="44"/>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4</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在中国境内生产。</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（产品名称1）</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的</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（关键工序）</w:t>
      </w:r>
      <w:r>
        <w:rPr>
          <w:rStyle w:val="44"/>
          <w:rFonts w:hint="eastAsia" w:ascii="Times New Roman" w:hAnsi="Times New Roman" w:eastAsia="宋体" w:cs="方正魏碑_GBK"/>
          <w:i w:val="0"/>
          <w:color w:val="000000" w:themeColor="text1"/>
          <w:highlight w:val="none"/>
          <w:shd w:val="clear" w:color="auto" w:fill="FFFFFF"/>
          <w:vertAlign w:val="superscript"/>
          <w14:textFill>
            <w14:solidFill>
              <w14:schemeClr w14:val="tx1"/>
            </w14:solidFill>
          </w14:textFill>
        </w:rPr>
        <w:t>5</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在中国境内完成。</w:t>
      </w:r>
    </w:p>
    <w:p w14:paraId="62548396">
      <w:pPr>
        <w:pStyle w:val="35"/>
        <w:pageBreakBefore w:val="0"/>
        <w:kinsoku/>
        <w:wordWrap/>
        <w:overflowPunct/>
        <w:topLinePunct w:val="0"/>
        <w:autoSpaceDE/>
        <w:autoSpaceDN/>
        <w:bidi w:val="0"/>
        <w:spacing w:beforeAutospacing="0" w:afterAutospacing="0" w:line="360" w:lineRule="auto"/>
        <w:ind w:firstLine="420"/>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376.45pt;margin-top:21.4pt;height:11.6pt;width:36.4pt;z-index:251674624;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9Fb5NcAAAAJAQAADwAAAAAAAAABACAAAAAiAAAAZHJzL2Rvd25yZXYueG1sUEsBAhQAFAAAAAgA&#10;h07iQFKb3fcmAgAALAQAAA4AAAAAAAAAAQAgAAAAJg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1pt;margin-top:40.3pt;height:8.85pt;width:33.45pt;z-index:251675648;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rqp4ydUAAAAGAQAADwAAAAAAAAABACAAAAAiAAAAZHJzL2Rvd25yZXYueG1sUEsBAhQAFAAAAAgA&#10;h07iQBmSCCgoAgAANgQAAA4AAAAAAAAAAQAgAAAAJA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7" o:spid="_x0000_s1026" o:spt="32" type="#_x0000_t32" style="position:absolute;left:0pt;flip:y;margin-left:-2pt;margin-top:22.7pt;height:6.85pt;width:18.45pt;z-index:251673600;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VQU&#10;MdcAAAAHAQAADwAAAAAAAAABACAAAAAiAAAAZHJzL2Rvd25yZXYueG1sUEsBAhQAFAAAAAgAh07i&#10;QM4P8x8jAgAAKw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8" o:spid="_x0000_s1026" o:spt="32" type="#_x0000_t32" style="position:absolute;left:0pt;flip:y;margin-left:352.45pt;margin-top:4.7pt;height:7.7pt;width:56.55pt;z-index:251672576;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tGY4iCICAAArBAAADgAAAAAAAAABACAAAAAm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0" o:spid="_x0000_s1026" o:spt="32" type="#_x0000_t32" style="position:absolute;left:0pt;flip:y;margin-left:136.55pt;margin-top:38.05pt;height:11.1pt;width:71.55pt;z-index:251665408;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XU&#10;vHTYAAAACQEAAA8AAAAAAAAAAQAgAAAAIgAAAGRycy9kb3ducmV2LnhtbFBLAQIUABQAAAAIAIdO&#10;4kCv5STHIwIAACwEAAAOAAAAAAAAAAEAIAAAACc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9" o:spid="_x0000_s1026" o:spt="32" type="#_x0000_t32" style="position:absolute;left:0pt;flip:y;margin-left:229.45pt;margin-top:40.3pt;height:8.1pt;width:64.7pt;z-index:251666432;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O&#10;vDXj1wAAAAkBAAAPAAAAAAAAAAEAIAAAACIAAABkcnMvZG93bnJldi54bWxQSwECFAAUAAAACACH&#10;TuJAk01CqiUCAAAsBAAADgAAAAAAAAABACAAAAAmAQAAZHJzL2Uyb0RvYy54bWxQSwUGAAAAAAYA&#10;BgBZAQAAvQU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284.7pt;margin-top:21.85pt;height:9.45pt;width:66.9pt;z-index:251664384;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3Ead&#10;o9gAAAAJAQAADwAAAAAAAAABACAAAAAiAAAAZHJzL2Rvd25yZXYueG1sUEsBAhQAFAAAAAgAh07i&#10;QMULQFgiAgAAKwQAAA4AAAAAAAAAAQAgAAAAJw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201.15pt;margin-top:21.4pt;height:9.9pt;width:66.45pt;z-index:251663360;mso-width-relative:page;mso-height-relative:page;" filled="f" stroked="t" coordsize="21600,21600" o:gfxdata="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JqrLNgAAAAJAQAADwAAAAAAAAABACAAAAAiAAAAZHJzL2Rvd25yZXYueG1sUEsBAhQAFAAA&#10;AAgAh07iQCzHxY8oAgAANQQAAA4AAAAAAAAAAQAgAAAAJwEAAGRycy9lMm9Eb2MueG1sUEsFBgAA&#10;AAAGAAYAWQEAAMEFAAAAAA==&#10;">
                <v:fill on="f" focussize="0,0"/>
                <v:stroke color="#000000" joinstyle="miter"/>
                <v:imagedata o:title=""/>
                <o:lock v:ext="edit" aspectratio="f"/>
              </v:shape>
            </w:pict>
          </mc:Fallback>
        </mc:AlternateConten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2.</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（产品名称2）</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生产厂为</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（厂名）</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厂址为</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（生产厂址）</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（产品名称2）</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的中国境内生产的组件成本占比≥</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（规定</w:t>
      </w:r>
      <w:r>
        <w:rPr>
          <w:rStyle w:val="44"/>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比例</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（产品名称2）</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的</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（关键</w:t>
      </w:r>
      <w:r>
        <w:rPr>
          <w:rStyle w:val="44"/>
          <w:rFonts w:ascii="Times New Roman" w:hAnsi="Times New Roman" w:eastAsia="宋体" w:cs="方正魏碑_GBK"/>
          <w:i w:val="0"/>
          <w:color w:val="000000" w:themeColor="text1"/>
          <w:highlight w:val="none"/>
          <w:u w:val="single"/>
          <w:shd w:val="clear" w:color="auto" w:fill="FFFFFF"/>
          <w14:textFill>
            <w14:solidFill>
              <w14:schemeClr w14:val="tx1"/>
            </w14:solidFill>
          </w14:textFill>
        </w:rPr>
        <w:t>组件</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在中国境内生产。</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（产品名称1）</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的</w:t>
      </w:r>
      <w:r>
        <w:rPr>
          <w:rStyle w:val="44"/>
          <w:rFonts w:hint="eastAsia" w:ascii="Times New Roman" w:hAnsi="Times New Roman" w:eastAsia="宋体" w:cs="方正魏碑_GBK"/>
          <w:i w:val="0"/>
          <w:color w:val="000000" w:themeColor="text1"/>
          <w:highlight w:val="none"/>
          <w:u w:val="single"/>
          <w:shd w:val="clear" w:color="auto" w:fill="FFFFFF"/>
          <w14:textFill>
            <w14:solidFill>
              <w14:schemeClr w14:val="tx1"/>
            </w14:solidFill>
          </w14:textFill>
        </w:rPr>
        <w:t>（关键工序）</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在中国境内完成。</w:t>
      </w:r>
    </w:p>
    <w:p w14:paraId="71AC55C9">
      <w:pPr>
        <w:pStyle w:val="35"/>
        <w:pageBreakBefore w:val="0"/>
        <w:kinsoku/>
        <w:wordWrap/>
        <w:overflowPunct/>
        <w:topLinePunct w:val="0"/>
        <w:autoSpaceDE/>
        <w:autoSpaceDN/>
        <w:bidi w:val="0"/>
        <w:spacing w:beforeAutospacing="0" w:afterAutospacing="0" w:line="360" w:lineRule="auto"/>
        <w:ind w:firstLine="420"/>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w:t>
      </w:r>
    </w:p>
    <w:p w14:paraId="36395395">
      <w:pPr>
        <w:pStyle w:val="35"/>
        <w:pageBreakBefore w:val="0"/>
        <w:kinsoku/>
        <w:wordWrap/>
        <w:overflowPunct/>
        <w:topLinePunct w:val="0"/>
        <w:autoSpaceDE/>
        <w:autoSpaceDN/>
        <w:bidi w:val="0"/>
        <w:spacing w:beforeAutospacing="0" w:afterAutospacing="0" w:line="360" w:lineRule="auto"/>
        <w:ind w:firstLine="420"/>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本公司（单位）对上述声明内容的真实性负责。如有虚假</w:t>
      </w:r>
      <w:r>
        <w:rPr>
          <w:rFonts w:hint="eastAsia" w:ascii="Times New Roman" w:hAnsi="Times New Roman" w:cs="方正魏碑_GBK"/>
          <w:color w:val="000000" w:themeColor="text1"/>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愿承担相应法律责任。</w:t>
      </w:r>
    </w:p>
    <w:p w14:paraId="37492EFE">
      <w:pPr>
        <w:pStyle w:val="35"/>
        <w:pageBreakBefore w:val="0"/>
        <w:kinsoku/>
        <w:wordWrap/>
        <w:overflowPunct/>
        <w:topLinePunct w:val="0"/>
        <w:autoSpaceDE/>
        <w:autoSpaceDN/>
        <w:bidi w:val="0"/>
        <w:spacing w:beforeAutospacing="0" w:afterAutospacing="0" w:line="360" w:lineRule="auto"/>
        <w:textAlignment w:val="auto"/>
        <w:rPr>
          <w:rFonts w:hint="eastAsia" w:ascii="Times New Roman" w:hAnsi="Times New Roman" w:eastAsia="宋体" w:cs="方正魏碑_GBK"/>
          <w:color w:val="000000" w:themeColor="text1"/>
          <w:highlight w:val="none"/>
          <w14:textFill>
            <w14:solidFill>
              <w14:schemeClr w14:val="tx1"/>
            </w14:solidFill>
          </w14:textFill>
        </w:rPr>
      </w:pPr>
    </w:p>
    <w:p w14:paraId="7A24F4BA">
      <w:pPr>
        <w:pStyle w:val="35"/>
        <w:pageBreakBefore w:val="0"/>
        <w:kinsoku/>
        <w:wordWrap/>
        <w:overflowPunct/>
        <w:topLinePunct w:val="0"/>
        <w:autoSpaceDE/>
        <w:autoSpaceDN/>
        <w:bidi w:val="0"/>
        <w:spacing w:beforeAutospacing="0" w:afterAutospacing="0" w:line="360" w:lineRule="auto"/>
        <w:ind w:right="480" w:firstLine="3720"/>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公司（单位）名称（盖章）：　        </w:t>
      </w:r>
    </w:p>
    <w:p w14:paraId="0A888D78">
      <w:pPr>
        <w:pStyle w:val="35"/>
        <w:pageBreakBefore w:val="0"/>
        <w:kinsoku/>
        <w:wordWrap/>
        <w:overflowPunct/>
        <w:topLinePunct w:val="0"/>
        <w:autoSpaceDE/>
        <w:autoSpaceDN/>
        <w:bidi w:val="0"/>
        <w:spacing w:beforeAutospacing="0" w:afterAutospacing="0" w:line="360" w:lineRule="auto"/>
        <w:jc w:val="center"/>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 xml:space="preserve">                    </w:t>
      </w:r>
      <w:r>
        <w:rPr>
          <w:rFonts w:ascii="Times New Roman" w:hAnsi="Times New Roman" w:eastAsia="宋体" w:cs="方正魏碑_GBK"/>
          <w:color w:val="000000" w:themeColor="text1"/>
          <w:highlight w:val="none"/>
          <w:shd w:val="clear" w:color="auto" w:fill="FFFFFF"/>
          <w14:textFill>
            <w14:solidFill>
              <w14:schemeClr w14:val="tx1"/>
            </w14:solidFill>
          </w14:textFill>
        </w:rPr>
        <w:t xml:space="preserve">            </w:t>
      </w: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日期：　   年　  月　  日         </w:t>
      </w:r>
    </w:p>
    <w:p w14:paraId="174ECA2B">
      <w:pPr>
        <w:pStyle w:val="35"/>
        <w:pageBreakBefore w:val="0"/>
        <w:kinsoku/>
        <w:wordWrap/>
        <w:overflowPunct/>
        <w:topLinePunct w:val="0"/>
        <w:autoSpaceDE/>
        <w:autoSpaceDN/>
        <w:bidi w:val="0"/>
        <w:spacing w:beforeAutospacing="0" w:afterAutospacing="0" w:line="360" w:lineRule="auto"/>
        <w:textAlignment w:val="auto"/>
        <w:rPr>
          <w:rFonts w:hint="eastAsia" w:ascii="Times New Roman" w:hAnsi="Times New Roman" w:eastAsia="宋体" w:cs="方正魏碑_GBK"/>
          <w:color w:val="000000" w:themeColor="text1"/>
          <w:highlight w:val="none"/>
          <w14:textFill>
            <w14:solidFill>
              <w14:schemeClr w14:val="tx1"/>
            </w14:solidFill>
          </w14:textFill>
        </w:rPr>
      </w:pPr>
      <w:r>
        <w:rPr>
          <w:rFonts w:hint="eastAsia" w:ascii="Times New Roman" w:hAnsi="Times New Roman" w:eastAsia="宋体" w:cs="方正魏碑_GBK"/>
          <w:color w:val="000000" w:themeColor="text1"/>
          <w:highlight w:val="none"/>
          <w:shd w:val="clear" w:color="auto" w:fill="FFFFFF"/>
          <w14:textFill>
            <w14:solidFill>
              <w14:schemeClr w14:val="tx1"/>
            </w14:solidFill>
          </w14:textFill>
        </w:rPr>
        <w:t>__________________</w:t>
      </w:r>
    </w:p>
    <w:p w14:paraId="46BC7DAF">
      <w:pPr>
        <w:pStyle w:val="35"/>
        <w:pageBreakBefore w:val="0"/>
        <w:kinsoku/>
        <w:wordWrap/>
        <w:overflowPunct/>
        <w:topLinePunct w:val="0"/>
        <w:autoSpaceDE/>
        <w:autoSpaceDN/>
        <w:bidi w:val="0"/>
        <w:spacing w:beforeAutospacing="0" w:afterAutospacing="0" w:line="360" w:lineRule="auto"/>
        <w:textAlignment w:val="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1.产品如有型号</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请在“产品名称”栏一并填写。</w:t>
      </w:r>
    </w:p>
    <w:p w14:paraId="43B9B567">
      <w:pPr>
        <w:pStyle w:val="35"/>
        <w:pageBreakBefore w:val="0"/>
        <w:kinsoku/>
        <w:wordWrap/>
        <w:overflowPunct/>
        <w:topLinePunct w:val="0"/>
        <w:autoSpaceDE/>
        <w:autoSpaceDN/>
        <w:bidi w:val="0"/>
        <w:spacing w:beforeAutospacing="0" w:afterAutospacing="0" w:line="360" w:lineRule="auto"/>
        <w:textAlignment w:val="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2.生产厂名与厂址应与生产厂营业执照载明的相关信息保持一致。</w:t>
      </w:r>
    </w:p>
    <w:p w14:paraId="2F4DB3C6">
      <w:pPr>
        <w:pStyle w:val="35"/>
        <w:pageBreakBefore w:val="0"/>
        <w:kinsoku/>
        <w:wordWrap/>
        <w:overflowPunct/>
        <w:topLinePunct w:val="0"/>
        <w:autoSpaceDE/>
        <w:autoSpaceDN/>
        <w:bidi w:val="0"/>
        <w:spacing w:beforeAutospacing="0" w:afterAutospacing="0" w:line="360" w:lineRule="auto"/>
        <w:textAlignment w:val="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3.该产品的中国境内生产的组件成本占比相关要求实施前</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“规定比例”栏可不填</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下同。</w:t>
      </w:r>
    </w:p>
    <w:p w14:paraId="143E779D">
      <w:pPr>
        <w:pStyle w:val="35"/>
        <w:pageBreakBefore w:val="0"/>
        <w:kinsoku/>
        <w:wordWrap/>
        <w:overflowPunct/>
        <w:topLinePunct w:val="0"/>
        <w:autoSpaceDE/>
        <w:autoSpaceDN/>
        <w:bidi w:val="0"/>
        <w:spacing w:beforeAutospacing="0" w:afterAutospacing="0" w:line="360" w:lineRule="auto"/>
        <w:textAlignment w:val="auto"/>
        <w:rPr>
          <w:rFonts w:hint="eastAsia" w:ascii="Times New Roman" w:hAnsi="Times New Roman" w:eastAsia="宋体" w:cs="方正魏碑_GBK"/>
          <w:color w:val="000000" w:themeColor="text1"/>
          <w:sz w:val="22"/>
          <w:highlight w:val="none"/>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4.该产品的关键组件要求实施前</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“关键组件”栏可不填</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下同。</w:t>
      </w:r>
    </w:p>
    <w:p w14:paraId="54B818DF">
      <w:pPr>
        <w:pStyle w:val="35"/>
        <w:pageBreakBefore w:val="0"/>
        <w:kinsoku/>
        <w:wordWrap/>
        <w:overflowPunct/>
        <w:topLinePunct w:val="0"/>
        <w:autoSpaceDE/>
        <w:autoSpaceDN/>
        <w:bidi w:val="0"/>
        <w:spacing w:beforeAutospacing="0" w:afterAutospacing="0" w:line="360" w:lineRule="auto"/>
        <w:textAlignment w:val="auto"/>
        <w:rPr>
          <w:rFonts w:ascii="Times New Roman" w:hAnsi="Times New Roman" w:eastAsia="宋体" w:cs="方正魏碑_GBK"/>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5.该产品的关键工序要求实施前</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“关键工序”栏可不填</w:t>
      </w:r>
      <w:r>
        <w:rPr>
          <w:rFonts w:hint="eastAsia" w:ascii="Times New Roman" w:hAnsi="Times New Roman" w:cs="方正魏碑_GBK"/>
          <w:color w:val="000000" w:themeColor="text1"/>
          <w:sz w:val="22"/>
          <w:highlight w:val="none"/>
          <w:shd w:val="clear" w:color="auto" w:fill="FFFFFF"/>
          <w:lang w:eastAsia="zh-CN"/>
          <w14:textFill>
            <w14:solidFill>
              <w14:schemeClr w14:val="tx1"/>
            </w14:solidFill>
          </w14:textFill>
        </w:rPr>
        <w:t>，</w:t>
      </w: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下同。</w:t>
      </w:r>
    </w:p>
    <w:p w14:paraId="69564579">
      <w:pPr>
        <w:pStyle w:val="35"/>
        <w:pageBreakBefore w:val="0"/>
        <w:kinsoku/>
        <w:wordWrap/>
        <w:overflowPunct/>
        <w:topLinePunct w:val="0"/>
        <w:autoSpaceDE/>
        <w:autoSpaceDN/>
        <w:bidi w:val="0"/>
        <w:spacing w:beforeAutospacing="0" w:afterAutospacing="0" w:line="360" w:lineRule="auto"/>
        <w:textAlignment w:val="auto"/>
        <w:rPr>
          <w:rFonts w:ascii="Times New Roman" w:hAnsi="Times New Roman" w:eastAsia="宋体" w:cs="方正魏碑_GBK"/>
          <w:color w:val="000000" w:themeColor="text1"/>
          <w:sz w:val="22"/>
          <w:highlight w:val="none"/>
          <w:shd w:val="clear" w:color="auto" w:fill="FFFFFF"/>
          <w14:textFill>
            <w14:solidFill>
              <w14:schemeClr w14:val="tx1"/>
            </w14:solidFill>
          </w14:textFill>
        </w:rPr>
      </w:pPr>
      <w:r>
        <w:rPr>
          <w:rFonts w:hint="eastAsia" w:ascii="Times New Roman" w:hAnsi="Times New Roman" w:eastAsia="宋体" w:cs="方正魏碑_GBK"/>
          <w:color w:val="000000" w:themeColor="text1"/>
          <w:sz w:val="22"/>
          <w:highlight w:val="none"/>
          <w:shd w:val="clear" w:color="auto" w:fill="FFFFFF"/>
          <w14:textFill>
            <w14:solidFill>
              <w14:schemeClr w14:val="tx1"/>
            </w14:solidFill>
          </w14:textFill>
        </w:rPr>
        <w:t>6.用斜线划除的地方无需填写。</w:t>
      </w:r>
    </w:p>
    <w:p w14:paraId="668A7BE9">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sz w:val="21"/>
          <w:szCs w:val="21"/>
          <w:highlight w:val="none"/>
          <w14:textFill>
            <w14:solidFill>
              <w14:schemeClr w14:val="tx1"/>
            </w14:solidFill>
          </w14:textFill>
        </w:rPr>
      </w:pPr>
    </w:p>
    <w:p w14:paraId="0DC0C499">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sz w:val="21"/>
          <w:szCs w:val="21"/>
          <w:highlight w:val="none"/>
          <w14:textFill>
            <w14:solidFill>
              <w14:schemeClr w14:val="tx1"/>
            </w14:solidFill>
          </w14:textFill>
        </w:rPr>
      </w:pPr>
    </w:p>
    <w:p w14:paraId="623445A1">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673C9A92">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6038FC47">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b/>
          <w:bCs/>
          <w:color w:val="000000" w:themeColor="text1"/>
          <w:highlight w:val="none"/>
          <w14:textFill>
            <w14:solidFill>
              <w14:schemeClr w14:val="tx1"/>
            </w14:solidFill>
          </w14:textFill>
        </w:rPr>
      </w:pPr>
    </w:p>
    <w:p w14:paraId="7A6D818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32"/>
          <w:highlight w:val="none"/>
          <w14:textFill>
            <w14:solidFill>
              <w14:schemeClr w14:val="tx1"/>
            </w14:solidFill>
          </w14:textFill>
        </w:rPr>
      </w:pPr>
      <w:bookmarkStart w:id="114" w:name="_Toc19910"/>
      <w:bookmarkStart w:id="115" w:name="_Toc25382"/>
      <w:r>
        <w:rPr>
          <w:rFonts w:hint="eastAsia" w:ascii="Times New Roman" w:hAnsi="Times New Roman" w:eastAsia="宋体" w:cs="宋体"/>
          <w:b/>
          <w:bCs/>
          <w:color w:val="000000" w:themeColor="text1"/>
          <w:sz w:val="32"/>
          <w:szCs w:val="44"/>
          <w:highlight w:val="none"/>
          <w14:textFill>
            <w14:solidFill>
              <w14:schemeClr w14:val="tx1"/>
            </w14:solidFill>
          </w14:textFill>
        </w:rPr>
        <w:t>四、开标一览表</w:t>
      </w:r>
      <w:bookmarkEnd w:id="114"/>
      <w:bookmarkEnd w:id="115"/>
    </w:p>
    <w:p w14:paraId="01ECC024">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项目名称：</w:t>
      </w:r>
    </w:p>
    <w:p w14:paraId="0A76EBB7">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项目编号：</w:t>
      </w:r>
    </w:p>
    <w:p w14:paraId="16D2CDE7">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分包号（如有）： </w:t>
      </w:r>
    </w:p>
    <w:p w14:paraId="074E2369">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Cs w:val="21"/>
          <w:highlight w:val="none"/>
          <w14:textFill>
            <w14:solidFill>
              <w14:schemeClr w14:val="tx1"/>
            </w14:solidFill>
          </w14:textFill>
        </w:rPr>
      </w:pPr>
    </w:p>
    <w:tbl>
      <w:tblPr>
        <w:tblStyle w:val="3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77"/>
        <w:gridCol w:w="6143"/>
      </w:tblGrid>
      <w:tr w14:paraId="775F7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1395" w:type="pct"/>
            <w:noWrap w:val="0"/>
            <w:vAlign w:val="center"/>
          </w:tcPr>
          <w:p w14:paraId="0A531934">
            <w:pPr>
              <w:pStyle w:val="260"/>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  投标货物及服务名称</w:t>
            </w:r>
          </w:p>
        </w:tc>
        <w:tc>
          <w:tcPr>
            <w:tcW w:w="3604" w:type="pct"/>
            <w:noWrap w:val="0"/>
            <w:vAlign w:val="center"/>
          </w:tcPr>
          <w:p w14:paraId="258928E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投标总报价</w:t>
            </w:r>
          </w:p>
        </w:tc>
      </w:tr>
      <w:tr w14:paraId="04120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395" w:type="pct"/>
            <w:noWrap w:val="0"/>
            <w:vAlign w:val="center"/>
          </w:tcPr>
          <w:p w14:paraId="36F21375">
            <w:pPr>
              <w:pStyle w:val="260"/>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3604" w:type="pct"/>
            <w:noWrap w:val="0"/>
            <w:vAlign w:val="center"/>
          </w:tcPr>
          <w:p w14:paraId="1095FFCB">
            <w:pPr>
              <w:pStyle w:val="61"/>
              <w:pageBreakBefore w:val="0"/>
              <w:kinsoku/>
              <w:wordWrap/>
              <w:overflowPunct/>
              <w:topLinePunct w:val="0"/>
              <w:autoSpaceDE/>
              <w:autoSpaceDN/>
              <w:bidi w:val="0"/>
              <w:spacing w:before="0" w:after="0" w:line="360" w:lineRule="auto"/>
              <w:ind w:firstLine="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大写：</w:t>
            </w:r>
          </w:p>
          <w:p w14:paraId="44804003">
            <w:pPr>
              <w:pStyle w:val="61"/>
              <w:pageBreakBefore w:val="0"/>
              <w:kinsoku/>
              <w:wordWrap/>
              <w:overflowPunct/>
              <w:topLinePunct w:val="0"/>
              <w:autoSpaceDE/>
              <w:autoSpaceDN/>
              <w:bidi w:val="0"/>
              <w:spacing w:before="0" w:after="0" w:line="360" w:lineRule="auto"/>
              <w:ind w:firstLine="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小写：                             （人民币：元）</w:t>
            </w:r>
          </w:p>
          <w:p w14:paraId="32C97E8A">
            <w:pPr>
              <w:pStyle w:val="61"/>
              <w:pageBreakBefore w:val="0"/>
              <w:kinsoku/>
              <w:wordWrap/>
              <w:overflowPunct/>
              <w:topLinePunct w:val="0"/>
              <w:autoSpaceDE/>
              <w:autoSpaceDN/>
              <w:bidi w:val="0"/>
              <w:spacing w:before="0" w:after="0" w:line="360" w:lineRule="auto"/>
              <w:ind w:firstLine="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r w14:paraId="4FFC6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395" w:type="pct"/>
            <w:noWrap w:val="0"/>
            <w:vAlign w:val="center"/>
          </w:tcPr>
          <w:p w14:paraId="7E060BB8">
            <w:pPr>
              <w:pStyle w:val="260"/>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核心产品品牌</w:t>
            </w:r>
          </w:p>
        </w:tc>
        <w:tc>
          <w:tcPr>
            <w:tcW w:w="3604" w:type="pct"/>
            <w:noWrap w:val="0"/>
            <w:vAlign w:val="center"/>
          </w:tcPr>
          <w:p w14:paraId="15417CFB">
            <w:pPr>
              <w:pStyle w:val="61"/>
              <w:pageBreakBefore w:val="0"/>
              <w:kinsoku/>
              <w:wordWrap/>
              <w:overflowPunct/>
              <w:topLinePunct w:val="0"/>
              <w:autoSpaceDE/>
              <w:autoSpaceDN/>
              <w:bidi w:val="0"/>
              <w:spacing w:before="0" w:after="0" w:line="360" w:lineRule="auto"/>
              <w:ind w:firstLine="0"/>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bl>
    <w:p w14:paraId="47ED927B">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Cs w:val="21"/>
          <w:highlight w:val="none"/>
          <w14:textFill>
            <w14:solidFill>
              <w14:schemeClr w14:val="tx1"/>
            </w14:solidFill>
          </w14:textFill>
        </w:rPr>
      </w:pPr>
    </w:p>
    <w:p w14:paraId="76EC15D2">
      <w:pPr>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32"/>
          <w:szCs w:val="32"/>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w:t>
      </w:r>
    </w:p>
    <w:p w14:paraId="51167E2A">
      <w:pPr>
        <w:pStyle w:val="257"/>
        <w:pageBreakBefore w:val="0"/>
        <w:kinsoku/>
        <w:wordWrap/>
        <w:overflowPunct/>
        <w:topLinePunct w:val="0"/>
        <w:autoSpaceDE/>
        <w:autoSpaceDN/>
        <w:bidi w:val="0"/>
        <w:spacing w:line="360" w:lineRule="auto"/>
        <w:ind w:firstLine="640"/>
        <w:textAlignment w:val="auto"/>
        <w:rPr>
          <w:rFonts w:hint="eastAsia" w:ascii="Times New Roman" w:hAnsi="Times New Roman" w:eastAsia="宋体" w:cs="宋体"/>
          <w:color w:val="000000" w:themeColor="text1"/>
          <w:sz w:val="32"/>
          <w:szCs w:val="32"/>
          <w:highlight w:val="none"/>
          <w14:textFill>
            <w14:solidFill>
              <w14:schemeClr w14:val="tx1"/>
            </w14:solidFill>
          </w14:textFill>
        </w:rPr>
      </w:pPr>
    </w:p>
    <w:p w14:paraId="47705253">
      <w:pPr>
        <w:pStyle w:val="257"/>
        <w:pageBreakBefore w:val="0"/>
        <w:kinsoku/>
        <w:wordWrap/>
        <w:overflowPunct/>
        <w:topLinePunct w:val="0"/>
        <w:autoSpaceDE/>
        <w:autoSpaceDN/>
        <w:bidi w:val="0"/>
        <w:spacing w:line="360" w:lineRule="auto"/>
        <w:ind w:firstLine="640"/>
        <w:textAlignment w:val="auto"/>
        <w:rPr>
          <w:rFonts w:hint="eastAsia" w:ascii="Times New Roman" w:hAnsi="Times New Roman" w:eastAsia="宋体" w:cs="宋体"/>
          <w:color w:val="000000" w:themeColor="text1"/>
          <w:sz w:val="32"/>
          <w:szCs w:val="32"/>
          <w:highlight w:val="none"/>
          <w14:textFill>
            <w14:solidFill>
              <w14:schemeClr w14:val="tx1"/>
            </w14:solidFill>
          </w14:textFill>
        </w:rPr>
      </w:pPr>
    </w:p>
    <w:p w14:paraId="40C60E2C">
      <w:pPr>
        <w:pageBreakBefore w:val="0"/>
        <w:numPr>
          <w:ilvl w:val="0"/>
          <w:numId w:val="5"/>
        </w:numPr>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sz w:val="32"/>
          <w:szCs w:val="44"/>
          <w:highlight w:val="none"/>
          <w14:textFill>
            <w14:solidFill>
              <w14:schemeClr w14:val="tx1"/>
            </w14:solidFill>
          </w14:textFill>
        </w:rPr>
      </w:pPr>
      <w:r>
        <w:rPr>
          <w:rFonts w:hint="eastAsia" w:ascii="Times New Roman" w:hAnsi="Times New Roman" w:eastAsia="宋体" w:cs="宋体"/>
          <w:color w:val="000000" w:themeColor="text1"/>
          <w:sz w:val="32"/>
          <w:szCs w:val="32"/>
          <w:highlight w:val="none"/>
          <w14:textFill>
            <w14:solidFill>
              <w14:schemeClr w14:val="tx1"/>
            </w14:solidFill>
          </w14:textFill>
        </w:rPr>
        <w:br w:type="page" w:clear="all"/>
      </w:r>
      <w:r>
        <w:rPr>
          <w:rFonts w:hint="eastAsia" w:ascii="Times New Roman" w:hAnsi="Times New Roman" w:eastAsia="宋体" w:cs="宋体"/>
          <w:b/>
          <w:bCs/>
          <w:color w:val="000000" w:themeColor="text1"/>
          <w:sz w:val="32"/>
          <w:szCs w:val="44"/>
          <w:highlight w:val="none"/>
          <w14:textFill>
            <w14:solidFill>
              <w14:schemeClr w14:val="tx1"/>
            </w14:solidFill>
          </w14:textFill>
        </w:rPr>
        <w:t>投标产品配置及分项报价表</w:t>
      </w:r>
    </w:p>
    <w:p w14:paraId="04348262">
      <w:pPr>
        <w:pStyle w:val="310"/>
        <w:pageBreakBefore w:val="0"/>
        <w:numPr>
          <w:ilvl w:val="0"/>
          <w:numId w:val="0"/>
        </w:numPr>
        <w:kinsoku/>
        <w:overflowPunct/>
        <w:topLinePunct w:val="0"/>
        <w:autoSpaceDE/>
        <w:autoSpaceDN/>
        <w:bidi w:val="0"/>
        <w:spacing w:line="360" w:lineRule="auto"/>
        <w:textAlignment w:val="auto"/>
        <w:rPr>
          <w:rFonts w:hint="eastAsia"/>
          <w:color w:val="000000" w:themeColor="text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分包号（如有）：</w:t>
      </w:r>
    </w:p>
    <w:tbl>
      <w:tblPr>
        <w:tblStyle w:val="3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5552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59B0E84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序号</w:t>
            </w:r>
          </w:p>
        </w:tc>
        <w:tc>
          <w:tcPr>
            <w:tcW w:w="728" w:type="dxa"/>
            <w:noWrap w:val="0"/>
            <w:vAlign w:val="center"/>
          </w:tcPr>
          <w:p w14:paraId="53259C4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1</w:t>
            </w:r>
          </w:p>
        </w:tc>
        <w:tc>
          <w:tcPr>
            <w:tcW w:w="728" w:type="dxa"/>
            <w:noWrap w:val="0"/>
            <w:vAlign w:val="center"/>
          </w:tcPr>
          <w:p w14:paraId="124DC64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w:t>
            </w:r>
          </w:p>
        </w:tc>
        <w:tc>
          <w:tcPr>
            <w:tcW w:w="938" w:type="dxa"/>
            <w:noWrap w:val="0"/>
            <w:vAlign w:val="center"/>
          </w:tcPr>
          <w:p w14:paraId="3A98F3D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3</w:t>
            </w:r>
          </w:p>
        </w:tc>
        <w:tc>
          <w:tcPr>
            <w:tcW w:w="980" w:type="dxa"/>
            <w:noWrap w:val="0"/>
            <w:vAlign w:val="center"/>
          </w:tcPr>
          <w:p w14:paraId="14CE6D8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4</w:t>
            </w:r>
          </w:p>
        </w:tc>
        <w:tc>
          <w:tcPr>
            <w:tcW w:w="1106" w:type="dxa"/>
            <w:noWrap w:val="0"/>
            <w:vAlign w:val="center"/>
          </w:tcPr>
          <w:p w14:paraId="06C4AB6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5</w:t>
            </w:r>
          </w:p>
        </w:tc>
        <w:tc>
          <w:tcPr>
            <w:tcW w:w="1385" w:type="dxa"/>
            <w:noWrap w:val="0"/>
            <w:vAlign w:val="center"/>
          </w:tcPr>
          <w:p w14:paraId="4EEC097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6</w:t>
            </w:r>
          </w:p>
        </w:tc>
        <w:tc>
          <w:tcPr>
            <w:tcW w:w="924" w:type="dxa"/>
            <w:noWrap w:val="0"/>
            <w:vAlign w:val="center"/>
          </w:tcPr>
          <w:p w14:paraId="249FF43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7</w:t>
            </w:r>
          </w:p>
        </w:tc>
        <w:tc>
          <w:tcPr>
            <w:tcW w:w="1008" w:type="dxa"/>
            <w:noWrap w:val="0"/>
            <w:vAlign w:val="center"/>
          </w:tcPr>
          <w:p w14:paraId="3A98FD0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8</w:t>
            </w:r>
          </w:p>
        </w:tc>
        <w:tc>
          <w:tcPr>
            <w:tcW w:w="966" w:type="dxa"/>
            <w:noWrap w:val="0"/>
            <w:vAlign w:val="center"/>
          </w:tcPr>
          <w:p w14:paraId="51E698E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9</w:t>
            </w:r>
          </w:p>
        </w:tc>
      </w:tr>
      <w:tr w14:paraId="2273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6E4E6A4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1</w:t>
            </w:r>
          </w:p>
        </w:tc>
        <w:tc>
          <w:tcPr>
            <w:tcW w:w="728" w:type="dxa"/>
            <w:noWrap w:val="0"/>
            <w:vAlign w:val="center"/>
          </w:tcPr>
          <w:p w14:paraId="5A2AAAC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产品</w:t>
            </w:r>
          </w:p>
          <w:p w14:paraId="0408B92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名称</w:t>
            </w:r>
          </w:p>
        </w:tc>
        <w:tc>
          <w:tcPr>
            <w:tcW w:w="728" w:type="dxa"/>
            <w:noWrap w:val="0"/>
            <w:vAlign w:val="center"/>
          </w:tcPr>
          <w:p w14:paraId="0274A1A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品牌</w:t>
            </w:r>
          </w:p>
        </w:tc>
        <w:tc>
          <w:tcPr>
            <w:tcW w:w="938" w:type="dxa"/>
            <w:noWrap w:val="0"/>
            <w:vAlign w:val="center"/>
          </w:tcPr>
          <w:p w14:paraId="30F5988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规格</w:t>
            </w:r>
          </w:p>
          <w:p w14:paraId="1B486EC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型号</w:t>
            </w:r>
          </w:p>
        </w:tc>
        <w:tc>
          <w:tcPr>
            <w:tcW w:w="980" w:type="dxa"/>
            <w:noWrap w:val="0"/>
            <w:vAlign w:val="center"/>
          </w:tcPr>
          <w:p w14:paraId="51AF8A1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制造商名称</w:t>
            </w:r>
          </w:p>
        </w:tc>
        <w:tc>
          <w:tcPr>
            <w:tcW w:w="1106" w:type="dxa"/>
            <w:noWrap w:val="0"/>
            <w:vAlign w:val="center"/>
          </w:tcPr>
          <w:p w14:paraId="6EDF05F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产地</w:t>
            </w:r>
          </w:p>
        </w:tc>
        <w:tc>
          <w:tcPr>
            <w:tcW w:w="1385" w:type="dxa"/>
            <w:noWrap w:val="0"/>
            <w:vAlign w:val="center"/>
          </w:tcPr>
          <w:p w14:paraId="2506167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交付期</w:t>
            </w:r>
          </w:p>
        </w:tc>
        <w:tc>
          <w:tcPr>
            <w:tcW w:w="924" w:type="dxa"/>
            <w:noWrap w:val="0"/>
            <w:vAlign w:val="center"/>
          </w:tcPr>
          <w:p w14:paraId="01B635C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数量</w:t>
            </w:r>
          </w:p>
        </w:tc>
        <w:tc>
          <w:tcPr>
            <w:tcW w:w="1008" w:type="dxa"/>
            <w:noWrap w:val="0"/>
            <w:vAlign w:val="center"/>
          </w:tcPr>
          <w:p w14:paraId="6E5BE445">
            <w:pPr>
              <w:pageBreakBefore w:val="0"/>
              <w:kinsoku/>
              <w:wordWrap/>
              <w:overflowPunct/>
              <w:topLinePunct w:val="0"/>
              <w:autoSpaceDE/>
              <w:autoSpaceDN/>
              <w:bidi w:val="0"/>
              <w:spacing w:line="360" w:lineRule="auto"/>
              <w:jc w:val="center"/>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分项</w:t>
            </w:r>
          </w:p>
          <w:p w14:paraId="755B913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单价</w:t>
            </w:r>
          </w:p>
        </w:tc>
        <w:tc>
          <w:tcPr>
            <w:tcW w:w="966" w:type="dxa"/>
            <w:noWrap w:val="0"/>
            <w:vAlign w:val="center"/>
          </w:tcPr>
          <w:p w14:paraId="1FEE9BCB">
            <w:pPr>
              <w:pageBreakBefore w:val="0"/>
              <w:kinsoku/>
              <w:wordWrap/>
              <w:overflowPunct/>
              <w:topLinePunct w:val="0"/>
              <w:autoSpaceDE/>
              <w:autoSpaceDN/>
              <w:bidi w:val="0"/>
              <w:spacing w:line="360" w:lineRule="auto"/>
              <w:jc w:val="center"/>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分项</w:t>
            </w:r>
          </w:p>
          <w:p w14:paraId="60858E5E">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总价</w:t>
            </w:r>
          </w:p>
        </w:tc>
      </w:tr>
      <w:tr w14:paraId="2751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5B62A6A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w:t>
            </w:r>
          </w:p>
        </w:tc>
        <w:tc>
          <w:tcPr>
            <w:tcW w:w="728" w:type="dxa"/>
            <w:noWrap w:val="0"/>
            <w:vAlign w:val="center"/>
          </w:tcPr>
          <w:p w14:paraId="6B9980C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728" w:type="dxa"/>
            <w:noWrap w:val="0"/>
            <w:vAlign w:val="center"/>
          </w:tcPr>
          <w:p w14:paraId="6B92E27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38" w:type="dxa"/>
            <w:noWrap w:val="0"/>
            <w:vAlign w:val="center"/>
          </w:tcPr>
          <w:p w14:paraId="2A7C6AA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80" w:type="dxa"/>
            <w:noWrap w:val="0"/>
            <w:vAlign w:val="center"/>
          </w:tcPr>
          <w:p w14:paraId="16F35D8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106" w:type="dxa"/>
            <w:noWrap w:val="0"/>
            <w:vAlign w:val="top"/>
          </w:tcPr>
          <w:p w14:paraId="56140B2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385" w:type="dxa"/>
            <w:noWrap w:val="0"/>
            <w:vAlign w:val="center"/>
          </w:tcPr>
          <w:p w14:paraId="7BF6E5B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u w:val="single"/>
                <w14:textFill>
                  <w14:solidFill>
                    <w14:schemeClr w14:val="tx1"/>
                  </w14:solidFill>
                </w14:textFill>
              </w:rPr>
            </w:pPr>
          </w:p>
        </w:tc>
        <w:tc>
          <w:tcPr>
            <w:tcW w:w="924" w:type="dxa"/>
            <w:noWrap w:val="0"/>
            <w:vAlign w:val="center"/>
          </w:tcPr>
          <w:p w14:paraId="75AA93B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008" w:type="dxa"/>
            <w:noWrap w:val="0"/>
            <w:vAlign w:val="center"/>
          </w:tcPr>
          <w:p w14:paraId="0234BBD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66" w:type="dxa"/>
            <w:noWrap w:val="0"/>
            <w:vAlign w:val="center"/>
          </w:tcPr>
          <w:p w14:paraId="641CD7E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r>
      <w:tr w14:paraId="4A82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1A3AF52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3</w:t>
            </w:r>
          </w:p>
        </w:tc>
        <w:tc>
          <w:tcPr>
            <w:tcW w:w="728" w:type="dxa"/>
            <w:noWrap w:val="0"/>
            <w:vAlign w:val="center"/>
          </w:tcPr>
          <w:p w14:paraId="6CEDF1C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728" w:type="dxa"/>
            <w:noWrap w:val="0"/>
            <w:vAlign w:val="center"/>
          </w:tcPr>
          <w:p w14:paraId="7EA8386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38" w:type="dxa"/>
            <w:noWrap w:val="0"/>
            <w:vAlign w:val="center"/>
          </w:tcPr>
          <w:p w14:paraId="4035409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80" w:type="dxa"/>
            <w:noWrap w:val="0"/>
            <w:vAlign w:val="center"/>
          </w:tcPr>
          <w:p w14:paraId="717CC52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106" w:type="dxa"/>
            <w:noWrap w:val="0"/>
            <w:vAlign w:val="top"/>
          </w:tcPr>
          <w:p w14:paraId="4D85BCD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385" w:type="dxa"/>
            <w:noWrap w:val="0"/>
            <w:vAlign w:val="center"/>
          </w:tcPr>
          <w:p w14:paraId="15B4FBC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24" w:type="dxa"/>
            <w:noWrap w:val="0"/>
            <w:vAlign w:val="center"/>
          </w:tcPr>
          <w:p w14:paraId="0D614F4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008" w:type="dxa"/>
            <w:noWrap w:val="0"/>
            <w:vAlign w:val="center"/>
          </w:tcPr>
          <w:p w14:paraId="2A97FB80">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66" w:type="dxa"/>
            <w:noWrap w:val="0"/>
            <w:vAlign w:val="center"/>
          </w:tcPr>
          <w:p w14:paraId="7ABDA5A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r>
      <w:tr w14:paraId="21DD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3EA294D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4</w:t>
            </w:r>
          </w:p>
        </w:tc>
        <w:tc>
          <w:tcPr>
            <w:tcW w:w="728" w:type="dxa"/>
            <w:noWrap w:val="0"/>
            <w:vAlign w:val="center"/>
          </w:tcPr>
          <w:p w14:paraId="2DB1D0B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728" w:type="dxa"/>
            <w:noWrap w:val="0"/>
            <w:vAlign w:val="center"/>
          </w:tcPr>
          <w:p w14:paraId="29ECB82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38" w:type="dxa"/>
            <w:noWrap w:val="0"/>
            <w:vAlign w:val="center"/>
          </w:tcPr>
          <w:p w14:paraId="2E357EE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80" w:type="dxa"/>
            <w:noWrap w:val="0"/>
            <w:vAlign w:val="center"/>
          </w:tcPr>
          <w:p w14:paraId="3FFA2C5D">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106" w:type="dxa"/>
            <w:noWrap w:val="0"/>
            <w:vAlign w:val="top"/>
          </w:tcPr>
          <w:p w14:paraId="5BA2527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385" w:type="dxa"/>
            <w:noWrap w:val="0"/>
            <w:vAlign w:val="center"/>
          </w:tcPr>
          <w:p w14:paraId="19A8BFC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24" w:type="dxa"/>
            <w:noWrap w:val="0"/>
            <w:vAlign w:val="center"/>
          </w:tcPr>
          <w:p w14:paraId="311CE19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008" w:type="dxa"/>
            <w:noWrap w:val="0"/>
            <w:vAlign w:val="center"/>
          </w:tcPr>
          <w:p w14:paraId="6056A59E">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66" w:type="dxa"/>
            <w:noWrap w:val="0"/>
            <w:vAlign w:val="center"/>
          </w:tcPr>
          <w:p w14:paraId="1F62803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r>
      <w:tr w14:paraId="01E0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5085B79D">
            <w:pPr>
              <w:pageBreakBefore w:val="0"/>
              <w:kinsoku/>
              <w:wordWrap/>
              <w:overflowPunct/>
              <w:topLinePunct w:val="0"/>
              <w:autoSpaceDE/>
              <w:autoSpaceDN/>
              <w:bidi w:val="0"/>
              <w:spacing w:line="360" w:lineRule="auto"/>
              <w:jc w:val="center"/>
              <w:textAlignment w:val="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w:t>
            </w:r>
          </w:p>
        </w:tc>
        <w:tc>
          <w:tcPr>
            <w:tcW w:w="728" w:type="dxa"/>
            <w:noWrap w:val="0"/>
            <w:vAlign w:val="center"/>
          </w:tcPr>
          <w:p w14:paraId="5567296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w:t>
            </w:r>
          </w:p>
        </w:tc>
        <w:tc>
          <w:tcPr>
            <w:tcW w:w="728" w:type="dxa"/>
            <w:noWrap w:val="0"/>
            <w:vAlign w:val="center"/>
          </w:tcPr>
          <w:p w14:paraId="55DB594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38" w:type="dxa"/>
            <w:noWrap w:val="0"/>
            <w:vAlign w:val="center"/>
          </w:tcPr>
          <w:p w14:paraId="503EC45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80" w:type="dxa"/>
            <w:noWrap w:val="0"/>
            <w:vAlign w:val="center"/>
          </w:tcPr>
          <w:p w14:paraId="7E25EC5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106" w:type="dxa"/>
            <w:noWrap w:val="0"/>
            <w:vAlign w:val="top"/>
          </w:tcPr>
          <w:p w14:paraId="2CA893B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385" w:type="dxa"/>
            <w:noWrap w:val="0"/>
            <w:vAlign w:val="center"/>
          </w:tcPr>
          <w:p w14:paraId="613E6BA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24" w:type="dxa"/>
            <w:noWrap w:val="0"/>
            <w:vAlign w:val="center"/>
          </w:tcPr>
          <w:p w14:paraId="607BE09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1008" w:type="dxa"/>
            <w:noWrap w:val="0"/>
            <w:vAlign w:val="center"/>
          </w:tcPr>
          <w:p w14:paraId="5D67079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c>
          <w:tcPr>
            <w:tcW w:w="966" w:type="dxa"/>
            <w:noWrap w:val="0"/>
            <w:vAlign w:val="center"/>
          </w:tcPr>
          <w:p w14:paraId="06F2430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olor w:val="000000" w:themeColor="text1"/>
                <w:sz w:val="21"/>
                <w:szCs w:val="21"/>
                <w:highlight w:val="none"/>
                <w14:textFill>
                  <w14:solidFill>
                    <w14:schemeClr w14:val="tx1"/>
                  </w14:solidFill>
                </w14:textFill>
              </w:rPr>
            </w:pPr>
          </w:p>
        </w:tc>
      </w:tr>
      <w:tr w14:paraId="68877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noWrap w:val="0"/>
            <w:vAlign w:val="top"/>
          </w:tcPr>
          <w:p w14:paraId="663CBE6D">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 w:val="21"/>
                <w:szCs w:val="21"/>
                <w:highlight w:val="none"/>
                <w:u w:val="singl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投标总报价（人民币：元）</w:t>
            </w:r>
            <w:r>
              <w:rPr>
                <w:rFonts w:hint="eastAsia" w:ascii="Times New Roman" w:hAnsi="Times New Roman" w:eastAsia="宋体"/>
                <w:color w:val="000000" w:themeColor="text1"/>
                <w:sz w:val="21"/>
                <w:szCs w:val="21"/>
                <w:highlight w:val="none"/>
                <w:u w:val="single"/>
                <w14:textFill>
                  <w14:solidFill>
                    <w14:schemeClr w14:val="tx1"/>
                  </w14:solidFill>
                </w14:textFill>
              </w:rPr>
              <w:t xml:space="preserve">                             </w:t>
            </w:r>
          </w:p>
        </w:tc>
      </w:tr>
      <w:tr w14:paraId="48E6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noWrap w:val="0"/>
            <w:vAlign w:val="top"/>
          </w:tcPr>
          <w:p w14:paraId="169A39CC">
            <w:pPr>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本采购包中提供的符合本国产品标准的产品成本之和占该采购包提供的全部产品成本之和的比例为</w:t>
            </w:r>
            <w:r>
              <w:rPr>
                <w:rFonts w:hint="eastAsia" w:ascii="Times New Roman" w:hAnsi="Times New Roman"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Times New Roman" w:hAnsi="Times New Roman" w:eastAsia="宋体" w:cs="宋体"/>
                <w:color w:val="000000" w:themeColor="text1"/>
                <w:sz w:val="21"/>
                <w:szCs w:val="21"/>
                <w:highlight w:val="none"/>
                <w14:textFill>
                  <w14:solidFill>
                    <w14:schemeClr w14:val="tx1"/>
                  </w14:solidFill>
                </w14:textFill>
              </w:rPr>
              <w:t>%。</w:t>
            </w:r>
          </w:p>
        </w:tc>
      </w:tr>
    </w:tbl>
    <w:p w14:paraId="31550430">
      <w:pPr>
        <w:pageBreakBefore w:val="0"/>
        <w:kinsoku/>
        <w:wordWrap/>
        <w:overflowPunct/>
        <w:topLinePunct w:val="0"/>
        <w:autoSpaceDE/>
        <w:autoSpaceDN/>
        <w:bidi w:val="0"/>
        <w:spacing w:line="360" w:lineRule="auto"/>
        <w:textAlignment w:val="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备注：</w:t>
      </w:r>
    </w:p>
    <w:p w14:paraId="396098F1">
      <w:pPr>
        <w:pageBreakBefore w:val="0"/>
        <w:numPr>
          <w:ilvl w:val="0"/>
          <w:numId w:val="6"/>
        </w:numPr>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投标报价采用总承包方式</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“投标总报价”应包括所投货物制作（采购）、安装、施工、运输、调试验收相关的技术指导和售后服务、利润、保险、税金、以及所包含的风险、责任及其他有关的为完成本项目发生的所有费用</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招标文件中另有规定的除外。</w:t>
      </w:r>
    </w:p>
    <w:p w14:paraId="4B8AA09F">
      <w:pPr>
        <w:pageBreakBefore w:val="0"/>
        <w:numPr>
          <w:ilvl w:val="0"/>
          <w:numId w:val="0"/>
        </w:numPr>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2.“投标分项报价表”中“投标总报价”数额应当与“开标一览表”中“投标总报价”数额一致。</w:t>
      </w:r>
    </w:p>
    <w:p w14:paraId="63C68CD5">
      <w:pPr>
        <w:pageBreakBefore w:val="0"/>
        <w:kinsoku/>
        <w:wordWrap/>
        <w:overflowPunct/>
        <w:topLinePunct w:val="0"/>
        <w:autoSpaceDE/>
        <w:autoSpaceDN/>
        <w:bidi w:val="0"/>
        <w:spacing w:line="360" w:lineRule="auto"/>
        <w:textAlignment w:val="auto"/>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3.投标人需认真填写本报价表</w:t>
      </w:r>
      <w:r>
        <w:rPr>
          <w:rFonts w:hint="eastAsia" w:ascii="Times New Roman" w:hAnsi="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olor w:val="000000" w:themeColor="text1"/>
          <w:sz w:val="21"/>
          <w:szCs w:val="21"/>
          <w:highlight w:val="none"/>
          <w14:textFill>
            <w14:solidFill>
              <w14:schemeClr w14:val="tx1"/>
            </w14:solidFill>
          </w14:textFill>
        </w:rPr>
        <w:t>尤其注意规格型号的准确填写。</w:t>
      </w:r>
    </w:p>
    <w:p w14:paraId="5DDEE3BA">
      <w:pPr>
        <w:pageBreakBefore w:val="0"/>
        <w:kinsoku/>
        <w:wordWrap/>
        <w:overflowPunct/>
        <w:topLinePunct w:val="0"/>
        <w:autoSpaceDE/>
        <w:autoSpaceDN/>
        <w:bidi w:val="0"/>
        <w:spacing w:line="360" w:lineRule="auto"/>
        <w:textAlignment w:val="auto"/>
        <w:rPr>
          <w:rFonts w:hint="eastAsia" w:ascii="Times New Roman" w:hAnsi="Times New Roman" w:eastAsia="宋体" w:cs="方正魏碑_GBK"/>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4.项目经办人可以根据项目实际需要对表格结构进行调整</w:t>
      </w:r>
      <w:r>
        <w:rPr>
          <w:rFonts w:hint="eastAsia" w:ascii="Times New Roman" w:hAnsi="Times New Roman" w:eastAsia="宋体" w:cs="方正魏碑_GBK"/>
          <w:color w:val="000000" w:themeColor="text1"/>
          <w:sz w:val="21"/>
          <w:szCs w:val="21"/>
          <w:highlight w:val="none"/>
          <w14:textFill>
            <w14:solidFill>
              <w14:schemeClr w14:val="tx1"/>
            </w14:solidFill>
          </w14:textFill>
        </w:rPr>
        <w:t>。</w:t>
      </w:r>
    </w:p>
    <w:p w14:paraId="652124B3">
      <w:pPr>
        <w:pageBreakBefore w:val="0"/>
        <w:kinsoku/>
        <w:wordWrap/>
        <w:overflowPunct/>
        <w:topLinePunct w:val="0"/>
        <w:autoSpaceDE/>
        <w:autoSpaceDN/>
        <w:bidi w:val="0"/>
        <w:spacing w:line="360" w:lineRule="auto"/>
        <w:textAlignment w:val="auto"/>
        <w:rPr>
          <w:rFonts w:hint="default" w:ascii="Times New Roman" w:hAnsi="Times New Roman" w:eastAsia="宋体" w:cs="方正魏碑_GBK"/>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5.本采购包中含有多种产品时</w:t>
      </w:r>
      <w:r>
        <w:rPr>
          <w:rFonts w:hint="eastAsia" w:ascii="Times New Roman" w:hAnsi="Times New Roman" w:cs="方正魏碑_GBK"/>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供应商未填写本采购包中提供的符合本国产品标准的产品成本之和占该采购包提供的全部产品成本之和的比例数值的</w:t>
      </w:r>
      <w:r>
        <w:rPr>
          <w:rFonts w:hint="eastAsia" w:ascii="Times New Roman" w:hAnsi="Times New Roman" w:cs="方正魏碑_GBK"/>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或比例数值未达到80%的</w:t>
      </w:r>
      <w:r>
        <w:rPr>
          <w:rFonts w:hint="eastAsia" w:ascii="Times New Roman" w:hAnsi="Times New Roman" w:cs="方正魏碑_GBK"/>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方正魏碑_GBK"/>
          <w:color w:val="000000" w:themeColor="text1"/>
          <w:sz w:val="21"/>
          <w:szCs w:val="21"/>
          <w:highlight w:val="none"/>
          <w:lang w:val="en-US" w:eastAsia="zh-CN"/>
          <w14:textFill>
            <w14:solidFill>
              <w14:schemeClr w14:val="tx1"/>
            </w14:solidFill>
          </w14:textFill>
        </w:rPr>
        <w:t>将不享受本国产品价格评审优惠</w:t>
      </w:r>
      <w:r>
        <w:rPr>
          <w:rFonts w:hint="eastAsia" w:ascii="Times New Roman" w:hAnsi="Times New Roman" w:eastAsia="宋体" w:cs="方正魏碑_GBK"/>
          <w:color w:val="000000" w:themeColor="text1"/>
          <w:sz w:val="24"/>
          <w:szCs w:val="24"/>
          <w:highlight w:val="none"/>
          <w:lang w:val="en-US" w:eastAsia="zh-CN"/>
          <w14:textFill>
            <w14:solidFill>
              <w14:schemeClr w14:val="tx1"/>
            </w14:solidFill>
          </w14:textFill>
        </w:rPr>
        <w:t>。</w:t>
      </w:r>
    </w:p>
    <w:p w14:paraId="23F8DB98">
      <w:pPr>
        <w:pageBreakBefore w:val="0"/>
        <w:kinsoku/>
        <w:wordWrap/>
        <w:overflowPunct/>
        <w:topLinePunct w:val="0"/>
        <w:autoSpaceDE/>
        <w:autoSpaceDN/>
        <w:bidi w:val="0"/>
        <w:spacing w:line="360" w:lineRule="auto"/>
        <w:textAlignment w:val="auto"/>
        <w:rPr>
          <w:rFonts w:hint="eastAsia" w:ascii="Times New Roman" w:hAnsi="Times New Roman" w:eastAsia="宋体" w:cs="方正魏碑_GBK"/>
          <w:color w:val="000000" w:themeColor="text1"/>
          <w:sz w:val="24"/>
          <w:szCs w:val="24"/>
          <w:highlight w:val="none"/>
          <w14:textFill>
            <w14:solidFill>
              <w14:schemeClr w14:val="tx1"/>
            </w14:solidFill>
          </w14:textFill>
        </w:rPr>
      </w:pPr>
      <w:r>
        <w:rPr>
          <w:rFonts w:hint="eastAsia" w:ascii="Times New Roman" w:hAnsi="Times New Roman" w:eastAsia="宋体" w:cs="方正魏碑_GBK"/>
          <w:color w:val="000000" w:themeColor="text1"/>
          <w:sz w:val="24"/>
          <w:szCs w:val="24"/>
          <w:highlight w:val="none"/>
          <w14:textFill>
            <w14:solidFill>
              <w14:schemeClr w14:val="tx1"/>
            </w14:solidFill>
          </w14:textFill>
        </w:rPr>
        <w:br w:type="page" w:clear="all"/>
      </w:r>
    </w:p>
    <w:p w14:paraId="1E46B022">
      <w:pPr>
        <w:pStyle w:val="251"/>
        <w:pageBreakBefore w:val="0"/>
        <w:kinsoku/>
        <w:wordWrap/>
        <w:overflowPunct/>
        <w:topLinePunct w:val="0"/>
        <w:autoSpaceDE/>
        <w:autoSpaceDN/>
        <w:bidi w:val="0"/>
        <w:spacing w:before="0" w:after="0" w:line="360" w:lineRule="auto"/>
        <w:textAlignment w:val="auto"/>
        <w:rPr>
          <w:rFonts w:hint="eastAsia" w:ascii="Times New Roman" w:hAnsi="Times New Roman" w:eastAsia="宋体" w:cs="宋体"/>
          <w:color w:val="000000" w:themeColor="text1"/>
          <w:sz w:val="32"/>
          <w:highlight w:val="none"/>
          <w14:textFill>
            <w14:solidFill>
              <w14:schemeClr w14:val="tx1"/>
            </w14:solidFill>
          </w14:textFill>
        </w:rPr>
      </w:pPr>
      <w:bookmarkStart w:id="116" w:name="_Toc32755"/>
      <w:bookmarkStart w:id="117" w:name="_Toc5967"/>
      <w:bookmarkStart w:id="118" w:name="_Toc16517"/>
      <w:bookmarkStart w:id="119" w:name="_Toc17996"/>
      <w:bookmarkStart w:id="120" w:name="_Toc9678"/>
      <w:r>
        <w:rPr>
          <w:rFonts w:hint="eastAsia" w:ascii="Times New Roman" w:hAnsi="Times New Roman" w:eastAsia="宋体" w:cs="宋体"/>
          <w:color w:val="000000" w:themeColor="text1"/>
          <w:sz w:val="32"/>
          <w:highlight w:val="none"/>
          <w14:textFill>
            <w14:solidFill>
              <w14:schemeClr w14:val="tx1"/>
            </w14:solidFill>
          </w14:textFill>
        </w:rPr>
        <w:t>六、技术参数响应及偏离表</w:t>
      </w:r>
      <w:bookmarkEnd w:id="116"/>
      <w:bookmarkEnd w:id="117"/>
      <w:bookmarkEnd w:id="118"/>
      <w:bookmarkEnd w:id="119"/>
      <w:bookmarkEnd w:id="120"/>
    </w:p>
    <w:tbl>
      <w:tblPr>
        <w:tblStyle w:val="39"/>
        <w:tblW w:w="85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1596"/>
        <w:gridCol w:w="2037"/>
        <w:gridCol w:w="1321"/>
        <w:gridCol w:w="2573"/>
      </w:tblGrid>
      <w:tr w14:paraId="7B9B9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84" w:type="dxa"/>
            <w:noWrap w:val="0"/>
            <w:vAlign w:val="center"/>
          </w:tcPr>
          <w:p w14:paraId="1438308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序号</w:t>
            </w:r>
          </w:p>
        </w:tc>
        <w:tc>
          <w:tcPr>
            <w:tcW w:w="1596" w:type="dxa"/>
            <w:noWrap w:val="0"/>
            <w:vAlign w:val="center"/>
          </w:tcPr>
          <w:p w14:paraId="36A228F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招标要求</w:t>
            </w:r>
          </w:p>
        </w:tc>
        <w:tc>
          <w:tcPr>
            <w:tcW w:w="2037" w:type="dxa"/>
            <w:noWrap w:val="0"/>
            <w:vAlign w:val="center"/>
          </w:tcPr>
          <w:p w14:paraId="290ADD6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投标响应</w:t>
            </w:r>
          </w:p>
        </w:tc>
        <w:tc>
          <w:tcPr>
            <w:tcW w:w="1321" w:type="dxa"/>
            <w:noWrap w:val="0"/>
            <w:vAlign w:val="center"/>
          </w:tcPr>
          <w:p w14:paraId="51EAA91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超出、符合或偏离</w:t>
            </w:r>
          </w:p>
        </w:tc>
        <w:tc>
          <w:tcPr>
            <w:tcW w:w="2573" w:type="dxa"/>
            <w:noWrap w:val="0"/>
            <w:vAlign w:val="center"/>
          </w:tcPr>
          <w:p w14:paraId="6624491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证明材料</w:t>
            </w:r>
          </w:p>
        </w:tc>
      </w:tr>
      <w:tr w14:paraId="7FB79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49DAD67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1</w:t>
            </w:r>
          </w:p>
        </w:tc>
        <w:tc>
          <w:tcPr>
            <w:tcW w:w="1596" w:type="dxa"/>
            <w:noWrap w:val="0"/>
          </w:tcPr>
          <w:p w14:paraId="2A0A1A0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037" w:type="dxa"/>
            <w:noWrap w:val="0"/>
          </w:tcPr>
          <w:p w14:paraId="3974432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321" w:type="dxa"/>
            <w:noWrap w:val="0"/>
          </w:tcPr>
          <w:p w14:paraId="44CC196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573" w:type="dxa"/>
            <w:noWrap w:val="0"/>
          </w:tcPr>
          <w:p w14:paraId="69D98E7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r w14:paraId="76456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56BBEA5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2</w:t>
            </w:r>
          </w:p>
        </w:tc>
        <w:tc>
          <w:tcPr>
            <w:tcW w:w="1596" w:type="dxa"/>
            <w:noWrap w:val="0"/>
          </w:tcPr>
          <w:p w14:paraId="4A155C8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037" w:type="dxa"/>
            <w:noWrap w:val="0"/>
          </w:tcPr>
          <w:p w14:paraId="0891E77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321" w:type="dxa"/>
            <w:noWrap w:val="0"/>
          </w:tcPr>
          <w:p w14:paraId="5CE24F7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573" w:type="dxa"/>
            <w:noWrap w:val="0"/>
          </w:tcPr>
          <w:p w14:paraId="3812C47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r w14:paraId="42F31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6302411E">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3</w:t>
            </w:r>
          </w:p>
        </w:tc>
        <w:tc>
          <w:tcPr>
            <w:tcW w:w="1596" w:type="dxa"/>
            <w:noWrap w:val="0"/>
          </w:tcPr>
          <w:p w14:paraId="59FADB99">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037" w:type="dxa"/>
            <w:noWrap w:val="0"/>
          </w:tcPr>
          <w:p w14:paraId="3B429D8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321" w:type="dxa"/>
            <w:noWrap w:val="0"/>
          </w:tcPr>
          <w:p w14:paraId="34688A88">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573" w:type="dxa"/>
            <w:noWrap w:val="0"/>
          </w:tcPr>
          <w:p w14:paraId="0B1D1C7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r w14:paraId="6D486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5E0E941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4</w:t>
            </w:r>
          </w:p>
        </w:tc>
        <w:tc>
          <w:tcPr>
            <w:tcW w:w="1596" w:type="dxa"/>
            <w:noWrap w:val="0"/>
          </w:tcPr>
          <w:p w14:paraId="4CB0F69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037" w:type="dxa"/>
            <w:noWrap w:val="0"/>
          </w:tcPr>
          <w:p w14:paraId="22FFF325">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321" w:type="dxa"/>
            <w:noWrap w:val="0"/>
          </w:tcPr>
          <w:p w14:paraId="2D33BF6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573" w:type="dxa"/>
            <w:noWrap w:val="0"/>
          </w:tcPr>
          <w:p w14:paraId="2F1CC97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r w14:paraId="5767B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7E50267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5</w:t>
            </w:r>
          </w:p>
        </w:tc>
        <w:tc>
          <w:tcPr>
            <w:tcW w:w="1596" w:type="dxa"/>
            <w:noWrap w:val="0"/>
          </w:tcPr>
          <w:p w14:paraId="20386CB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037" w:type="dxa"/>
            <w:noWrap w:val="0"/>
          </w:tcPr>
          <w:p w14:paraId="028399B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321" w:type="dxa"/>
            <w:noWrap w:val="0"/>
          </w:tcPr>
          <w:p w14:paraId="33E50734">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573" w:type="dxa"/>
            <w:noWrap w:val="0"/>
          </w:tcPr>
          <w:p w14:paraId="58C0BB9C">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r w14:paraId="33AC4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noWrap w:val="0"/>
          </w:tcPr>
          <w:p w14:paraId="7BDB76C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596" w:type="dxa"/>
            <w:noWrap w:val="0"/>
          </w:tcPr>
          <w:p w14:paraId="2FD13764">
            <w:pPr>
              <w:pageBreakBefore w:val="0"/>
              <w:kinsoku/>
              <w:wordWrap/>
              <w:overflowPunct/>
              <w:topLinePunct w:val="0"/>
              <w:autoSpaceDE/>
              <w:autoSpaceDN/>
              <w:bidi w:val="0"/>
              <w:spacing w:line="360" w:lineRule="auto"/>
              <w:jc w:val="center"/>
              <w:textAlignment w:val="auto"/>
              <w:rPr>
                <w:rFonts w:hint="default" w:ascii="Times New Roman" w:hAnsi="Times New Roman" w:eastAsia="宋体" w:cs="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w:t>
            </w:r>
          </w:p>
        </w:tc>
        <w:tc>
          <w:tcPr>
            <w:tcW w:w="2037" w:type="dxa"/>
            <w:noWrap w:val="0"/>
          </w:tcPr>
          <w:p w14:paraId="4A2AFF4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1321" w:type="dxa"/>
            <w:noWrap w:val="0"/>
          </w:tcPr>
          <w:p w14:paraId="7F8C975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c>
          <w:tcPr>
            <w:tcW w:w="2573" w:type="dxa"/>
            <w:noWrap w:val="0"/>
          </w:tcPr>
          <w:p w14:paraId="501055B3">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tc>
      </w:tr>
    </w:tbl>
    <w:p w14:paraId="7380FA6D">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p>
    <w:p w14:paraId="5B69F284">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注：</w:t>
      </w:r>
    </w:p>
    <w:p w14:paraId="54BA4D14">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1.投标人需对技术要求（</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以及</w:t>
      </w:r>
      <w:r>
        <w:rPr>
          <w:rFonts w:hint="eastAsia" w:ascii="Times New Roman" w:hAnsi="Times New Roman" w:eastAsia="宋体" w:cs="宋体"/>
          <w:color w:val="000000" w:themeColor="text1"/>
          <w:sz w:val="21"/>
          <w:szCs w:val="21"/>
          <w:highlight w:val="none"/>
          <w14:textFill>
            <w14:solidFill>
              <w14:schemeClr w14:val="tx1"/>
            </w14:solidFill>
          </w14:textFill>
        </w:rPr>
        <w:t>未加斜体下划线的非实质性要求）逐条做出明确响应。</w:t>
      </w:r>
    </w:p>
    <w:p w14:paraId="0E0F2ACE">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2.如果招标文件要求提供证明材料</w:t>
      </w:r>
      <w:r>
        <w:rPr>
          <w:rFonts w:hint="eastAsia" w:ascii="Times New Roman" w:hAnsi="Times New Roman" w:cs="宋体"/>
          <w:color w:val="000000" w:themeColor="text1"/>
          <w:sz w:val="21"/>
          <w:szCs w:val="21"/>
          <w:highlight w:val="none"/>
          <w:lang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14:textFill>
            <w14:solidFill>
              <w14:schemeClr w14:val="tx1"/>
            </w14:solidFill>
          </w14:textFill>
        </w:rPr>
        <w:t>投标人需将证明材料列于该表之下。</w:t>
      </w:r>
    </w:p>
    <w:p w14:paraId="4F222443">
      <w:pPr>
        <w:pStyle w:val="100"/>
        <w:pageBreakBefore w:val="0"/>
        <w:kinsoku/>
        <w:wordWrap/>
        <w:overflowPunct/>
        <w:topLinePunct w:val="0"/>
        <w:autoSpaceDE/>
        <w:autoSpaceDN/>
        <w:bidi w:val="0"/>
        <w:spacing w:line="360" w:lineRule="auto"/>
        <w:textAlignment w:val="auto"/>
        <w:rPr>
          <w:rFonts w:hint="default" w:ascii="Times New Roman" w:hAnsi="Times New Roman" w:eastAsia="宋体"/>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3.行数不够</w:t>
      </w:r>
      <w:r>
        <w:rPr>
          <w:rFonts w:hint="eastAsia" w:ascii="Times New Roman" w:eastAsia="宋体" w:cs="宋体"/>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宋体"/>
          <w:color w:val="000000" w:themeColor="text1"/>
          <w:sz w:val="21"/>
          <w:szCs w:val="21"/>
          <w:highlight w:val="none"/>
          <w:lang w:val="en-US" w:eastAsia="zh-CN"/>
          <w14:textFill>
            <w14:solidFill>
              <w14:schemeClr w14:val="tx1"/>
            </w14:solidFill>
          </w14:textFill>
        </w:rPr>
        <w:t>可自行添加。</w:t>
      </w:r>
    </w:p>
    <w:p w14:paraId="6AE2D0B1">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21"/>
          <w:szCs w:val="21"/>
          <w:highlight w:val="none"/>
          <w14:textFill>
            <w14:solidFill>
              <w14:schemeClr w14:val="tx1"/>
            </w14:solidFill>
          </w14:textFill>
        </w:rPr>
      </w:pPr>
    </w:p>
    <w:p w14:paraId="00A3F76B">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06C03416">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color w:val="000000" w:themeColor="text1"/>
          <w:sz w:val="36"/>
          <w:highlight w:val="none"/>
          <w14:textFill>
            <w14:solidFill>
              <w14:schemeClr w14:val="tx1"/>
            </w14:solidFill>
          </w14:textFill>
        </w:rPr>
      </w:pPr>
    </w:p>
    <w:p w14:paraId="3C53B84B">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32"/>
          <w:highlight w:val="none"/>
          <w14:textFill>
            <w14:solidFill>
              <w14:schemeClr w14:val="tx1"/>
            </w14:solidFill>
          </w14:textFill>
        </w:rPr>
      </w:pPr>
    </w:p>
    <w:p w14:paraId="2F1FA9CE">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32"/>
          <w:highlight w:val="none"/>
          <w14:textFill>
            <w14:solidFill>
              <w14:schemeClr w14:val="tx1"/>
            </w14:solidFill>
          </w14:textFill>
        </w:rPr>
      </w:pPr>
    </w:p>
    <w:p w14:paraId="56318267">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sz w:val="32"/>
          <w:highlight w:val="none"/>
          <w14:textFill>
            <w14:solidFill>
              <w14:schemeClr w14:val="tx1"/>
            </w14:solidFill>
          </w14:textFill>
        </w:rPr>
      </w:pPr>
      <w:r>
        <w:rPr>
          <w:rFonts w:hint="eastAsia" w:ascii="Times New Roman" w:hAnsi="Times New Roman" w:eastAsia="宋体" w:cs="宋体"/>
          <w:color w:val="000000" w:themeColor="text1"/>
          <w:sz w:val="32"/>
          <w:highlight w:val="none"/>
          <w14:textFill>
            <w14:solidFill>
              <w14:schemeClr w14:val="tx1"/>
            </w14:solidFill>
          </w14:textFill>
        </w:rPr>
        <w:br w:type="page" w:clear="all"/>
      </w:r>
      <w:bookmarkStart w:id="121" w:name="_Hlt26955054"/>
      <w:bookmarkEnd w:id="121"/>
      <w:bookmarkStart w:id="122" w:name="_Toc16820"/>
      <w:bookmarkStart w:id="123" w:name="_Toc32154"/>
      <w:r>
        <w:rPr>
          <w:rFonts w:hint="eastAsia" w:ascii="Times New Roman" w:hAnsi="Times New Roman" w:eastAsia="宋体" w:cs="宋体"/>
          <w:b/>
          <w:bCs/>
          <w:color w:val="000000" w:themeColor="text1"/>
          <w:sz w:val="32"/>
          <w:szCs w:val="44"/>
          <w:highlight w:val="none"/>
          <w14:textFill>
            <w14:solidFill>
              <w14:schemeClr w14:val="tx1"/>
            </w14:solidFill>
          </w14:textFill>
        </w:rPr>
        <w:t>七、商务条款响应及偏离表</w:t>
      </w:r>
      <w:bookmarkEnd w:id="122"/>
      <w:bookmarkEnd w:id="123"/>
    </w:p>
    <w:tbl>
      <w:tblPr>
        <w:tblStyle w:val="39"/>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5"/>
        <w:gridCol w:w="2122"/>
        <w:gridCol w:w="1800"/>
        <w:gridCol w:w="2561"/>
      </w:tblGrid>
      <w:tr w14:paraId="72C4B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1935" w:type="dxa"/>
            <w:noWrap w:val="0"/>
            <w:vAlign w:val="center"/>
          </w:tcPr>
          <w:p w14:paraId="1A937358">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bookmarkStart w:id="124" w:name="_Hlt24879081"/>
            <w:bookmarkEnd w:id="124"/>
            <w:bookmarkStart w:id="125" w:name="_Hlt26671372"/>
            <w:bookmarkEnd w:id="125"/>
            <w:bookmarkStart w:id="126" w:name="_Hlt26609391"/>
            <w:bookmarkEnd w:id="126"/>
            <w:bookmarkStart w:id="127" w:name="_Hlt26782999"/>
            <w:bookmarkEnd w:id="127"/>
            <w:bookmarkStart w:id="128" w:name="_Hlt26955064"/>
            <w:bookmarkEnd w:id="128"/>
            <w:bookmarkStart w:id="129" w:name="_Hlt26580838"/>
            <w:bookmarkEnd w:id="129"/>
            <w:bookmarkStart w:id="130" w:name="_Hlt26671343"/>
            <w:bookmarkEnd w:id="130"/>
            <w:bookmarkStart w:id="131" w:name="_Hlt26955056"/>
            <w:bookmarkEnd w:id="131"/>
            <w:r>
              <w:rPr>
                <w:rFonts w:hint="eastAsia" w:ascii="Times New Roman" w:hAnsi="Times New Roman" w:eastAsia="宋体" w:cs="宋体"/>
                <w:color w:val="000000" w:themeColor="text1"/>
                <w:szCs w:val="21"/>
                <w:highlight w:val="none"/>
                <w14:textFill>
                  <w14:solidFill>
                    <w14:schemeClr w14:val="tx1"/>
                  </w14:solidFill>
                </w14:textFill>
              </w:rPr>
              <w:t>项目</w:t>
            </w:r>
          </w:p>
        </w:tc>
        <w:tc>
          <w:tcPr>
            <w:tcW w:w="2122" w:type="dxa"/>
            <w:noWrap w:val="0"/>
            <w:vAlign w:val="center"/>
          </w:tcPr>
          <w:p w14:paraId="77E5E239">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招标文件要求</w:t>
            </w:r>
          </w:p>
        </w:tc>
        <w:tc>
          <w:tcPr>
            <w:tcW w:w="1800" w:type="dxa"/>
            <w:noWrap w:val="0"/>
            <w:vAlign w:val="center"/>
          </w:tcPr>
          <w:p w14:paraId="13FD3C89">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是否响应</w:t>
            </w:r>
          </w:p>
        </w:tc>
        <w:tc>
          <w:tcPr>
            <w:tcW w:w="2561" w:type="dxa"/>
            <w:noWrap w:val="0"/>
            <w:vAlign w:val="center"/>
          </w:tcPr>
          <w:p w14:paraId="07C07DD8">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投标人的承诺或说明</w:t>
            </w:r>
          </w:p>
        </w:tc>
      </w:tr>
      <w:tr w14:paraId="3DDA0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935" w:type="dxa"/>
            <w:noWrap w:val="0"/>
            <w:vAlign w:val="center"/>
          </w:tcPr>
          <w:p w14:paraId="38C14514">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质保期</w:t>
            </w:r>
          </w:p>
        </w:tc>
        <w:tc>
          <w:tcPr>
            <w:tcW w:w="2122" w:type="dxa"/>
            <w:noWrap w:val="0"/>
            <w:vAlign w:val="center"/>
          </w:tcPr>
          <w:p w14:paraId="3F6C990D">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800" w:type="dxa"/>
            <w:noWrap w:val="0"/>
            <w:vAlign w:val="center"/>
          </w:tcPr>
          <w:p w14:paraId="6996E346">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5BFA304D">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49624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1935" w:type="dxa"/>
            <w:noWrap w:val="0"/>
            <w:vAlign w:val="center"/>
          </w:tcPr>
          <w:p w14:paraId="2192DC63">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售后技术服务要求</w:t>
            </w:r>
          </w:p>
        </w:tc>
        <w:tc>
          <w:tcPr>
            <w:tcW w:w="2122" w:type="dxa"/>
            <w:noWrap w:val="0"/>
            <w:vAlign w:val="center"/>
          </w:tcPr>
          <w:p w14:paraId="7D0E1FFB">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800" w:type="dxa"/>
            <w:noWrap w:val="0"/>
            <w:vAlign w:val="center"/>
          </w:tcPr>
          <w:p w14:paraId="4F9EEBC4">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38CB8DBA">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6447D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trPr>
        <w:tc>
          <w:tcPr>
            <w:tcW w:w="1935" w:type="dxa"/>
            <w:noWrap w:val="0"/>
            <w:vAlign w:val="center"/>
          </w:tcPr>
          <w:p w14:paraId="29BD87FB">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交付时间</w:t>
            </w:r>
          </w:p>
        </w:tc>
        <w:tc>
          <w:tcPr>
            <w:tcW w:w="2122" w:type="dxa"/>
            <w:noWrap w:val="0"/>
            <w:vAlign w:val="center"/>
          </w:tcPr>
          <w:p w14:paraId="45B12EB8">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800" w:type="dxa"/>
            <w:noWrap w:val="0"/>
            <w:vAlign w:val="center"/>
          </w:tcPr>
          <w:p w14:paraId="763527D2">
            <w:pPr>
              <w:pageBreakBefore w:val="0"/>
              <w:kinsoku/>
              <w:wordWrap/>
              <w:overflowPunct/>
              <w:topLinePunct w:val="0"/>
              <w:autoSpaceDE/>
              <w:autoSpaceDN/>
              <w:bidi w:val="0"/>
              <w:spacing w:line="360" w:lineRule="auto"/>
              <w:ind w:left="43"/>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01A5CBCB">
            <w:pPr>
              <w:pageBreakBefore w:val="0"/>
              <w:kinsoku/>
              <w:wordWrap/>
              <w:overflowPunct/>
              <w:topLinePunct w:val="0"/>
              <w:autoSpaceDE/>
              <w:autoSpaceDN/>
              <w:bidi w:val="0"/>
              <w:spacing w:line="360" w:lineRule="auto"/>
              <w:ind w:left="43"/>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40BC3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1935" w:type="dxa"/>
            <w:noWrap w:val="0"/>
            <w:vAlign w:val="center"/>
          </w:tcPr>
          <w:p w14:paraId="25E1D443">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交货方式</w:t>
            </w:r>
          </w:p>
        </w:tc>
        <w:tc>
          <w:tcPr>
            <w:tcW w:w="2122" w:type="dxa"/>
            <w:noWrap w:val="0"/>
            <w:vAlign w:val="center"/>
          </w:tcPr>
          <w:p w14:paraId="68EDD3CD">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800" w:type="dxa"/>
            <w:noWrap w:val="0"/>
            <w:vAlign w:val="center"/>
          </w:tcPr>
          <w:p w14:paraId="0E2C15A9">
            <w:pPr>
              <w:pageBreakBefore w:val="0"/>
              <w:kinsoku/>
              <w:wordWrap/>
              <w:overflowPunct/>
              <w:topLinePunct w:val="0"/>
              <w:autoSpaceDE/>
              <w:autoSpaceDN/>
              <w:bidi w:val="0"/>
              <w:spacing w:line="360" w:lineRule="auto"/>
              <w:ind w:left="43"/>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2D5EF9D4">
            <w:pPr>
              <w:pageBreakBefore w:val="0"/>
              <w:kinsoku/>
              <w:wordWrap/>
              <w:overflowPunct/>
              <w:topLinePunct w:val="0"/>
              <w:autoSpaceDE/>
              <w:autoSpaceDN/>
              <w:bidi w:val="0"/>
              <w:spacing w:line="360" w:lineRule="auto"/>
              <w:ind w:left="43"/>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29C91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1935" w:type="dxa"/>
            <w:noWrap w:val="0"/>
            <w:vAlign w:val="center"/>
          </w:tcPr>
          <w:p w14:paraId="0CE9045B">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交货地点</w:t>
            </w:r>
          </w:p>
        </w:tc>
        <w:tc>
          <w:tcPr>
            <w:tcW w:w="2122" w:type="dxa"/>
            <w:noWrap w:val="0"/>
            <w:vAlign w:val="center"/>
          </w:tcPr>
          <w:p w14:paraId="578C5FDA">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800" w:type="dxa"/>
            <w:noWrap w:val="0"/>
            <w:vAlign w:val="center"/>
          </w:tcPr>
          <w:p w14:paraId="7ACE9F45">
            <w:pPr>
              <w:pageBreakBefore w:val="0"/>
              <w:kinsoku/>
              <w:wordWrap/>
              <w:overflowPunct/>
              <w:topLinePunct w:val="0"/>
              <w:autoSpaceDE/>
              <w:autoSpaceDN/>
              <w:bidi w:val="0"/>
              <w:spacing w:line="360" w:lineRule="auto"/>
              <w:ind w:left="43"/>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5639A30B">
            <w:pPr>
              <w:pageBreakBefore w:val="0"/>
              <w:kinsoku/>
              <w:wordWrap/>
              <w:overflowPunct/>
              <w:topLinePunct w:val="0"/>
              <w:autoSpaceDE/>
              <w:autoSpaceDN/>
              <w:bidi w:val="0"/>
              <w:spacing w:line="360" w:lineRule="auto"/>
              <w:ind w:left="43"/>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44F6A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1935" w:type="dxa"/>
            <w:noWrap w:val="0"/>
            <w:vAlign w:val="center"/>
          </w:tcPr>
          <w:p w14:paraId="4D4E56D3">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付款方式</w:t>
            </w:r>
          </w:p>
        </w:tc>
        <w:tc>
          <w:tcPr>
            <w:tcW w:w="2122" w:type="dxa"/>
            <w:noWrap w:val="0"/>
            <w:vAlign w:val="center"/>
          </w:tcPr>
          <w:p w14:paraId="67EE5686">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1800" w:type="dxa"/>
            <w:noWrap w:val="0"/>
            <w:vAlign w:val="center"/>
          </w:tcPr>
          <w:p w14:paraId="7C6843DB">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2A540A83">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r w14:paraId="711A3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trPr>
        <w:tc>
          <w:tcPr>
            <w:tcW w:w="1935" w:type="dxa"/>
            <w:noWrap w:val="0"/>
            <w:vAlign w:val="center"/>
          </w:tcPr>
          <w:p w14:paraId="03FBFA39">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122" w:type="dxa"/>
            <w:noWrap w:val="0"/>
            <w:vAlign w:val="center"/>
          </w:tcPr>
          <w:p w14:paraId="5F57B0FE">
            <w:pPr>
              <w:pageBreakBefore w:val="0"/>
              <w:kinsoku/>
              <w:wordWrap/>
              <w:overflowPunct/>
              <w:topLinePunct w:val="0"/>
              <w:autoSpaceDE/>
              <w:autoSpaceDN/>
              <w:bidi w:val="0"/>
              <w:spacing w:line="360" w:lineRule="auto"/>
              <w:jc w:val="left"/>
              <w:textAlignment w:val="auto"/>
              <w:rPr>
                <w:rFonts w:hint="default" w:ascii="Times New Roman" w:hAnsi="Times New Roman" w:eastAsia="宋体" w:cs="宋体"/>
                <w:color w:val="000000" w:themeColor="text1"/>
                <w:szCs w:val="21"/>
                <w:highlight w:val="none"/>
                <w:lang w:val="en-US" w:eastAsia="zh-CN"/>
                <w14:textFill>
                  <w14:solidFill>
                    <w14:schemeClr w14:val="tx1"/>
                  </w14:solidFill>
                </w14:textFill>
              </w:rPr>
            </w:pPr>
            <w:r>
              <w:rPr>
                <w:rFonts w:hint="eastAsia" w:ascii="Times New Roman" w:hAnsi="Times New Roman" w:eastAsia="宋体" w:cs="宋体"/>
                <w:color w:val="000000" w:themeColor="text1"/>
                <w:szCs w:val="21"/>
                <w:highlight w:val="none"/>
                <w:lang w:val="en-US" w:eastAsia="zh-CN"/>
                <w14:textFill>
                  <w14:solidFill>
                    <w14:schemeClr w14:val="tx1"/>
                  </w14:solidFill>
                </w14:textFill>
              </w:rPr>
              <w:t>......</w:t>
            </w:r>
          </w:p>
        </w:tc>
        <w:tc>
          <w:tcPr>
            <w:tcW w:w="1800" w:type="dxa"/>
            <w:noWrap w:val="0"/>
            <w:vAlign w:val="center"/>
          </w:tcPr>
          <w:p w14:paraId="35BCD3DC">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c>
          <w:tcPr>
            <w:tcW w:w="2561" w:type="dxa"/>
            <w:noWrap w:val="0"/>
            <w:vAlign w:val="center"/>
          </w:tcPr>
          <w:p w14:paraId="20BF5AA1">
            <w:pPr>
              <w:pageBreakBefore w:val="0"/>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Cs w:val="21"/>
                <w:highlight w:val="none"/>
                <w14:textFill>
                  <w14:solidFill>
                    <w14:schemeClr w14:val="tx1"/>
                  </w14:solidFill>
                </w14:textFill>
              </w:rPr>
            </w:pPr>
          </w:p>
        </w:tc>
      </w:tr>
    </w:tbl>
    <w:p w14:paraId="6FD6566D">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备注</w:t>
      </w:r>
      <w:r>
        <w:rPr>
          <w:rFonts w:ascii="Times New Roman" w:hAnsi="Times New Roman" w:eastAsia="宋体"/>
          <w:color w:val="000000" w:themeColor="text1"/>
          <w:sz w:val="21"/>
          <w:szCs w:val="21"/>
          <w:highlight w:val="none"/>
          <w14:textFill>
            <w14:solidFill>
              <w14:schemeClr w14:val="tx1"/>
            </w14:solidFill>
          </w14:textFill>
        </w:rPr>
        <w:t>：</w:t>
      </w:r>
    </w:p>
    <w:p w14:paraId="2F47A93D">
      <w:pPr>
        <w:pageBreakBefore w:val="0"/>
        <w:kinsoku/>
        <w:wordWrap/>
        <w:overflowPunct/>
        <w:topLinePunct w:val="0"/>
        <w:autoSpaceDE/>
        <w:autoSpaceDN/>
        <w:bidi w:val="0"/>
        <w:spacing w:line="360" w:lineRule="auto"/>
        <w:textAlignment w:val="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1.投标人需对</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商务</w:t>
      </w:r>
      <w:r>
        <w:rPr>
          <w:rFonts w:hint="eastAsia" w:ascii="Times New Roman" w:hAnsi="Times New Roman" w:eastAsia="宋体" w:cs="Times New Roman"/>
          <w:color w:val="000000" w:themeColor="text1"/>
          <w:sz w:val="21"/>
          <w:szCs w:val="21"/>
          <w:highlight w:val="none"/>
          <w14:textFill>
            <w14:solidFill>
              <w14:schemeClr w14:val="tx1"/>
            </w14:solidFill>
          </w14:textFill>
        </w:rPr>
        <w:t>要求（未加斜体下划线的非实质性要求）逐条做出明确响应。</w:t>
      </w:r>
    </w:p>
    <w:p w14:paraId="4BD33BC0">
      <w:pPr>
        <w:pageBreakBefore w:val="0"/>
        <w:kinsoku/>
        <w:wordWrap/>
        <w:overflowPunct/>
        <w:topLinePunct w:val="0"/>
        <w:autoSpaceDE/>
        <w:autoSpaceDN/>
        <w:bidi w:val="0"/>
        <w:spacing w:line="360" w:lineRule="auto"/>
        <w:textAlignment w:val="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2.如果招标文件要求提供证明材料</w:t>
      </w:r>
      <w:r>
        <w:rPr>
          <w:rFonts w:hint="eastAsia" w:ascii="Times New Roman" w:hAnsi="Times New Roman" w:cs="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1"/>
          <w:szCs w:val="21"/>
          <w:highlight w:val="none"/>
          <w14:textFill>
            <w14:solidFill>
              <w14:schemeClr w14:val="tx1"/>
            </w14:solidFill>
          </w14:textFill>
        </w:rPr>
        <w:t>投标人需将证明材料列于该表之下。</w:t>
      </w:r>
    </w:p>
    <w:p w14:paraId="1AD65B78">
      <w:pPr>
        <w:pageBreakBefore w:val="0"/>
        <w:kinsoku/>
        <w:wordWrap/>
        <w:overflowPunct/>
        <w:topLinePunct w:val="0"/>
        <w:autoSpaceDE/>
        <w:autoSpaceDN/>
        <w:bidi w:val="0"/>
        <w:spacing w:line="360" w:lineRule="auto"/>
        <w:textAlignment w:val="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3.行数不够</w:t>
      </w:r>
      <w:r>
        <w:rPr>
          <w:rFonts w:hint="eastAsia" w:ascii="Times New Roman" w:hAnsi="Times New Roman" w:cs="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1"/>
          <w:szCs w:val="21"/>
          <w:highlight w:val="none"/>
          <w14:textFill>
            <w14:solidFill>
              <w14:schemeClr w14:val="tx1"/>
            </w14:solidFill>
          </w14:textFill>
        </w:rPr>
        <w:t>可自行添加。</w:t>
      </w:r>
    </w:p>
    <w:p w14:paraId="2DFAD216">
      <w:pPr>
        <w:pStyle w:val="257"/>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bookmarkStart w:id="132" w:name="_Hlt26671374"/>
      <w:bookmarkEnd w:id="132"/>
      <w:bookmarkStart w:id="133" w:name="_Hlt26609389"/>
      <w:bookmarkEnd w:id="133"/>
      <w:bookmarkStart w:id="134" w:name="_Hlt26955066"/>
      <w:bookmarkEnd w:id="134"/>
      <w:bookmarkStart w:id="135" w:name="_Toc462564146"/>
    </w:p>
    <w:p w14:paraId="06BD6400">
      <w:pPr>
        <w:pStyle w:val="257"/>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p>
    <w:p w14:paraId="234B82A5">
      <w:pPr>
        <w:pStyle w:val="257"/>
        <w:pageBreakBefore w:val="0"/>
        <w:kinsoku/>
        <w:wordWrap/>
        <w:overflowPunct/>
        <w:topLinePunct w:val="0"/>
        <w:autoSpaceDE/>
        <w:autoSpaceDN/>
        <w:bidi w:val="0"/>
        <w:spacing w:line="360" w:lineRule="auto"/>
        <w:ind w:firstLine="480"/>
        <w:textAlignment w:val="auto"/>
        <w:rPr>
          <w:rFonts w:hint="eastAsia" w:ascii="Times New Roman" w:hAnsi="Times New Roman" w:eastAsia="宋体" w:cs="宋体"/>
          <w:color w:val="000000" w:themeColor="text1"/>
          <w:sz w:val="24"/>
          <w:highlight w:val="none"/>
          <w14:textFill>
            <w14:solidFill>
              <w14:schemeClr w14:val="tx1"/>
            </w14:solidFill>
          </w14:textFill>
        </w:rPr>
      </w:pPr>
    </w:p>
    <w:p w14:paraId="2768CE9C">
      <w:pPr>
        <w:pStyle w:val="257"/>
        <w:pageBreakBefore w:val="0"/>
        <w:kinsoku/>
        <w:wordWrap/>
        <w:overflowPunct/>
        <w:topLinePunct w:val="0"/>
        <w:autoSpaceDE/>
        <w:autoSpaceDN/>
        <w:bidi w:val="0"/>
        <w:spacing w:line="360" w:lineRule="auto"/>
        <w:ind w:firstLine="480"/>
        <w:jc w:val="center"/>
        <w:textAlignment w:val="auto"/>
        <w:rPr>
          <w:rFonts w:hint="eastAsia" w:ascii="Times New Roman" w:hAnsi="Times New Roman" w:eastAsia="宋体" w:cs="宋体"/>
          <w:b/>
          <w:color w:val="000000" w:themeColor="text1"/>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br w:type="page" w:clear="all"/>
      </w:r>
      <w:bookmarkEnd w:id="135"/>
      <w:bookmarkStart w:id="136" w:name="_格式2__法定代表人授权书"/>
      <w:bookmarkEnd w:id="136"/>
      <w:r>
        <w:rPr>
          <w:rFonts w:hint="eastAsia" w:ascii="Times New Roman" w:hAnsi="Times New Roman" w:eastAsia="宋体" w:cs="宋体"/>
          <w:b/>
          <w:bCs/>
          <w:color w:val="000000" w:themeColor="text1"/>
          <w:sz w:val="32"/>
          <w:szCs w:val="44"/>
          <w:highlight w:val="none"/>
          <w14:textFill>
            <w14:solidFill>
              <w14:schemeClr w14:val="tx1"/>
            </w14:solidFill>
          </w14:textFill>
        </w:rPr>
        <w:t>主要标的信息（中标后将公示）</w:t>
      </w:r>
    </w:p>
    <w:p w14:paraId="680C3EBB">
      <w:pPr>
        <w:pageBreakBefore w:val="0"/>
        <w:kinsoku/>
        <w:wordWrap/>
        <w:overflowPunct/>
        <w:topLinePunct w:val="0"/>
        <w:autoSpaceDE/>
        <w:autoSpaceDN/>
        <w:bidi w:val="0"/>
        <w:spacing w:line="360" w:lineRule="auto"/>
        <w:textAlignment w:val="auto"/>
        <w:rPr>
          <w:rFonts w:hint="eastAsia" w:ascii="Times New Roman" w:hAnsi="Times New Roman" w:eastAsia="宋体" w:cs="宋体"/>
          <w:b/>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投标人全称：</w:t>
      </w:r>
    </w:p>
    <w:tbl>
      <w:tblPr>
        <w:tblStyle w:val="39"/>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45"/>
      </w:tblGrid>
      <w:tr w14:paraId="22621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45" w:type="dxa"/>
            <w:noWrap w:val="0"/>
          </w:tcPr>
          <w:p w14:paraId="6D56EE1F">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货物类</w:t>
            </w:r>
          </w:p>
        </w:tc>
      </w:tr>
      <w:tr w14:paraId="372DA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6645" w:type="dxa"/>
            <w:noWrap w:val="0"/>
          </w:tcPr>
          <w:p w14:paraId="63DA1BCA">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名称：</w:t>
            </w:r>
          </w:p>
          <w:p w14:paraId="5BBFE0DC">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品牌（如有）：</w:t>
            </w:r>
          </w:p>
          <w:p w14:paraId="74E17793">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规格型号：</w:t>
            </w:r>
          </w:p>
          <w:p w14:paraId="1EEB68A0">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数量：</w:t>
            </w:r>
          </w:p>
          <w:p w14:paraId="49E9D56F">
            <w:pPr>
              <w:pageBreakBefore w:val="0"/>
              <w:kinsoku/>
              <w:wordWrap/>
              <w:overflowPunct/>
              <w:topLinePunct w:val="0"/>
              <w:autoSpaceDE/>
              <w:autoSpaceDN/>
              <w:bidi w:val="0"/>
              <w:spacing w:line="360" w:lineRule="auto"/>
              <w:textAlignment w:val="auto"/>
              <w:rPr>
                <w:rFonts w:hint="eastAsia"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highlight w:val="none"/>
                <w14:textFill>
                  <w14:solidFill>
                    <w14:schemeClr w14:val="tx1"/>
                  </w14:solidFill>
                </w14:textFill>
              </w:rPr>
              <w:t>单价：</w:t>
            </w:r>
          </w:p>
        </w:tc>
      </w:tr>
    </w:tbl>
    <w:p w14:paraId="61607914">
      <w:pPr>
        <w:pageBreakBefore w:val="0"/>
        <w:widowControl/>
        <w:kinsoku/>
        <w:wordWrap/>
        <w:overflowPunct/>
        <w:topLinePunct w:val="0"/>
        <w:autoSpaceDE/>
        <w:autoSpaceDN/>
        <w:bidi w:val="0"/>
        <w:spacing w:line="360" w:lineRule="auto"/>
        <w:jc w:val="left"/>
        <w:textAlignment w:val="auto"/>
        <w:rPr>
          <w:rFonts w:hint="eastAsia" w:ascii="Times New Roman" w:hAnsi="Times New Roman" w:eastAsia="宋体" w:cs="宋体"/>
          <w:color w:val="000000" w:themeColor="text1"/>
          <w:sz w:val="24"/>
          <w:szCs w:val="24"/>
          <w:highlight w:val="none"/>
          <w14:textFill>
            <w14:solidFill>
              <w14:schemeClr w14:val="tx1"/>
            </w14:solidFill>
          </w14:textFill>
        </w:rPr>
      </w:pPr>
    </w:p>
    <w:sectPr>
      <w:headerReference r:id="rId6"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Noto Sans CJK JP Regular">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egoe UI Symbol">
    <w:panose1 w:val="020B0502040204020203"/>
    <w:charset w:val="00"/>
    <w:family w:val="auto"/>
    <w:pitch w:val="default"/>
    <w:sig w:usb0="8000006F" w:usb1="1200FBEF" w:usb2="0064C000" w:usb3="00000002" w:csb0="00000001" w:csb1="40000000"/>
  </w:font>
  <w:font w:name="Verdana">
    <w:panose1 w:val="020B0604030504040204"/>
    <w:charset w:val="00"/>
    <w:family w:val="auto"/>
    <w:pitch w:val="default"/>
    <w:sig w:usb0="A10006FF" w:usb1="4000205B" w:usb2="00000010" w:usb3="00000000" w:csb0="2000019F" w:csb1="00000000"/>
  </w:font>
  <w:font w:name="方正仿宋简体">
    <w:altName w:val="微软雅黑"/>
    <w:panose1 w:val="02010601030101010101"/>
    <w:charset w:val="86"/>
    <w:family w:val="auto"/>
    <w:pitch w:val="default"/>
    <w:sig w:usb0="00000000" w:usb1="00000000" w:usb2="00000000" w:usb3="00000000" w:csb0="00040000"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魏碑_GBK">
    <w:altName w:val="宋体"/>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0D1F3">
    <w:pPr>
      <w:pStyle w:val="265"/>
      <w:jc w:val="center"/>
    </w:pPr>
  </w:p>
  <w:p w14:paraId="06E78305">
    <w:pPr>
      <w:pStyle w:val="26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123F7">
    <w:pPr>
      <w:pStyle w:val="26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92AC34">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0ukX88AgAAbwQAAA4AAAAAAAAAAQAgAAAAHwEAAGRycy9lMm9E&#10;b2MueG1sUEsFBgAAAAAGAAYAWQEAAM0FAAAAAA==&#10;">
              <v:fill on="f" focussize="0,0"/>
              <v:stroke on="f" weight="0.5pt"/>
              <v:imagedata o:title=""/>
              <o:lock v:ext="edit" aspectratio="f"/>
              <v:textbox inset="0mm,0mm,0mm,0mm" style="mso-fit-shape-to-text:t;">
                <w:txbxContent>
                  <w:p w14:paraId="2492AC34">
                    <w:pPr>
                      <w:pStyle w:val="24"/>
                    </w:pPr>
                    <w:r>
                      <w:fldChar w:fldCharType="begin"/>
                    </w:r>
                    <w:r>
                      <w:instrText xml:space="preserve"> PAGE  \* MERGEFORMAT </w:instrText>
                    </w:r>
                    <w:r>
                      <w:fldChar w:fldCharType="separate"/>
                    </w:r>
                    <w:r>
                      <w:t>1</w:t>
                    </w:r>
                    <w:r>
                      <w:fldChar w:fldCharType="end"/>
                    </w:r>
                  </w:p>
                </w:txbxContent>
              </v:textbox>
            </v:shape>
          </w:pict>
        </mc:Fallback>
      </mc:AlternateContent>
    </w:r>
  </w:p>
  <w:p w14:paraId="73FE394E">
    <w:pPr>
      <w:pStyle w:val="26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D2A95">
    <w:pPr>
      <w:pStyle w:val="266"/>
      <w:jc w:val="both"/>
      <w:rPr>
        <w:rFonts w:hint="eastAsia" w:eastAsia="宋体"/>
        <w:lang w:eastAsia="zh-CN"/>
      </w:rPr>
    </w:pPr>
    <w:r>
      <w:rPr>
        <w:rFonts w:hint="eastAsia" w:ascii="Times New Roman" w:hAnsi="Times New Roman" w:cs="宋体"/>
        <w:color w:val="000000" w:themeColor="text1"/>
        <w:szCs w:val="21"/>
        <w:highlight w:val="none"/>
        <w:lang w:eastAsia="zh-CN"/>
        <w14:textFill>
          <w14:solidFill>
            <w14:schemeClr w14:val="tx1"/>
          </w14:solidFill>
        </w14:textFill>
      </w:rPr>
      <w:t>JSZC-321000-JWJL-G2026-0003</w:t>
    </w:r>
    <w:r>
      <w:rPr>
        <w:rFonts w:hint="eastAsia"/>
        <w:lang w:eastAsia="zh-CN"/>
      </w:rPr>
      <w:t>号</w:t>
    </w:r>
    <w:r>
      <w:rPr>
        <w:rFonts w:hint="eastAsia"/>
      </w:rPr>
      <w:t xml:space="preserve">                       </w:t>
    </w:r>
    <w:r>
      <w:rPr>
        <w:rFonts w:hint="eastAsia"/>
        <w:lang w:val="en-US" w:eastAsia="zh-CN"/>
      </w:rPr>
      <w:t xml:space="preserve">             </w:t>
    </w:r>
    <w:r>
      <w:rPr>
        <w:rFonts w:hint="eastAsia"/>
        <w:lang w:eastAsia="zh-CN"/>
      </w:rPr>
      <w:t>江苏省经纬建设监理有限公司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A680D">
    <w:pPr>
      <w:pStyle w:val="266"/>
      <w:jc w:val="both"/>
      <w:rPr>
        <w:rFonts w:hint="eastAsia" w:eastAsia="宋体"/>
        <w:lang w:eastAsia="zh-CN"/>
      </w:rPr>
    </w:pPr>
    <w:r>
      <w:rPr>
        <w:rFonts w:hint="eastAsia"/>
        <w:lang w:eastAsia="zh-CN"/>
      </w:rPr>
      <w:t>JSZC-321000-JWJL-G2026-0003号</w:t>
    </w:r>
    <w:r>
      <w:tab/>
    </w:r>
    <w:r>
      <w:rPr>
        <w:rFonts w:hint="eastAsia"/>
      </w:rPr>
      <w:t xml:space="preserve">                                     </w:t>
    </w:r>
    <w:r>
      <w:rPr>
        <w:rFonts w:hint="eastAsia"/>
        <w:lang w:eastAsia="zh-CN"/>
      </w:rPr>
      <w:t>江苏省经纬建设监理有限公司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FEF388"/>
    <w:multiLevelType w:val="singleLevel"/>
    <w:tmpl w:val="9AFEF388"/>
    <w:lvl w:ilvl="0" w:tentative="0">
      <w:start w:val="1"/>
      <w:numFmt w:val="chineseCounting"/>
      <w:suff w:val="nothing"/>
      <w:lvlText w:val="（%1）"/>
      <w:lvlJc w:val="left"/>
      <w:rPr>
        <w:rFonts w:hint="eastAsia"/>
      </w:rPr>
    </w:lvl>
  </w:abstractNum>
  <w:abstractNum w:abstractNumId="1">
    <w:nsid w:val="CF092B84"/>
    <w:multiLevelType w:val="multilevel"/>
    <w:tmpl w:val="CF092B84"/>
    <w:lvl w:ilvl="0" w:tentative="0">
      <w:start w:val="1"/>
      <w:numFmt w:val="decimal"/>
      <w:pStyle w:val="281"/>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tentative="0">
      <w:start w:val="1"/>
      <w:numFmt w:val="decimal"/>
      <w:suff w:val="nothing"/>
      <w:lvlText w:val="%2）"/>
      <w:lvlJc w:val="left"/>
      <w:pPr>
        <w:ind w:left="1413" w:firstLine="0"/>
      </w:pPr>
      <w:rPr>
        <w:rFonts w:hint="eastAsia"/>
      </w:rPr>
    </w:lvl>
    <w:lvl w:ilvl="2" w:tentative="0">
      <w:start w:val="1"/>
      <w:numFmt w:val="lowerRoman"/>
      <w:lvlText w:val="%3."/>
      <w:lvlJc w:val="right"/>
      <w:pPr>
        <w:ind w:left="1833" w:firstLine="0"/>
      </w:pPr>
      <w:rPr>
        <w:rFonts w:hint="eastAsia"/>
      </w:rPr>
    </w:lvl>
    <w:lvl w:ilvl="3" w:tentative="0">
      <w:start w:val="1"/>
      <w:numFmt w:val="decimal"/>
      <w:lvlText w:val="%4）"/>
      <w:lvlJc w:val="left"/>
      <w:pPr>
        <w:ind w:left="2253" w:firstLine="0"/>
      </w:pPr>
      <w:rPr>
        <w:rFonts w:hint="eastAsia"/>
      </w:rPr>
    </w:lvl>
    <w:lvl w:ilvl="4" w:tentative="0">
      <w:start w:val="1"/>
      <w:numFmt w:val="lowerLetter"/>
      <w:lvlText w:val="%5)"/>
      <w:lvlJc w:val="left"/>
      <w:pPr>
        <w:ind w:left="2673" w:firstLine="0"/>
      </w:pPr>
      <w:rPr>
        <w:rFonts w:hint="eastAsia"/>
      </w:rPr>
    </w:lvl>
    <w:lvl w:ilvl="5" w:tentative="0">
      <w:start w:val="1"/>
      <w:numFmt w:val="lowerRoman"/>
      <w:lvlText w:val="%6."/>
      <w:lvlJc w:val="right"/>
      <w:pPr>
        <w:ind w:left="3093" w:firstLine="0"/>
      </w:pPr>
      <w:rPr>
        <w:rFonts w:hint="eastAsia"/>
      </w:rPr>
    </w:lvl>
    <w:lvl w:ilvl="6" w:tentative="0">
      <w:start w:val="1"/>
      <w:numFmt w:val="decimal"/>
      <w:lvlText w:val="%7."/>
      <w:lvlJc w:val="left"/>
      <w:pPr>
        <w:ind w:left="3513" w:firstLine="0"/>
      </w:pPr>
      <w:rPr>
        <w:rFonts w:hint="eastAsia"/>
      </w:rPr>
    </w:lvl>
    <w:lvl w:ilvl="7" w:tentative="0">
      <w:start w:val="1"/>
      <w:numFmt w:val="lowerLetter"/>
      <w:lvlText w:val="%8)"/>
      <w:lvlJc w:val="left"/>
      <w:pPr>
        <w:ind w:left="3933" w:firstLine="0"/>
      </w:pPr>
      <w:rPr>
        <w:rFonts w:hint="eastAsia"/>
      </w:rPr>
    </w:lvl>
    <w:lvl w:ilvl="8" w:tentative="0">
      <w:start w:val="1"/>
      <w:numFmt w:val="lowerRoman"/>
      <w:lvlText w:val="%9."/>
      <w:lvlJc w:val="right"/>
      <w:pPr>
        <w:ind w:left="4353" w:firstLine="0"/>
      </w:pPr>
      <w:rPr>
        <w:rFonts w:hint="eastAsia"/>
      </w:rPr>
    </w:lvl>
  </w:abstractNum>
  <w:abstractNum w:abstractNumId="2">
    <w:nsid w:val="D08201A2"/>
    <w:multiLevelType w:val="singleLevel"/>
    <w:tmpl w:val="D08201A2"/>
    <w:lvl w:ilvl="0" w:tentative="0">
      <w:start w:val="5"/>
      <w:numFmt w:val="chineseCounting"/>
      <w:suff w:val="nothing"/>
      <w:lvlText w:val="%1、"/>
      <w:lvlJc w:val="left"/>
      <w:rPr>
        <w:rFonts w:hint="eastAsia"/>
      </w:rPr>
    </w:lvl>
  </w:abstractNum>
  <w:abstractNum w:abstractNumId="3">
    <w:nsid w:val="EB232127"/>
    <w:multiLevelType w:val="multilevel"/>
    <w:tmpl w:val="EB232127"/>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bullet"/>
      <w:pStyle w:val="17"/>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DF74D08"/>
    <w:multiLevelType w:val="singleLevel"/>
    <w:tmpl w:val="5DF74D08"/>
    <w:lvl w:ilvl="0" w:tentative="0">
      <w:start w:val="1"/>
      <w:numFmt w:val="chineseCounting"/>
      <w:suff w:val="nothing"/>
      <w:lvlText w:val="（%1）"/>
      <w:lvlJc w:val="left"/>
      <w:rPr>
        <w:rFonts w:hint="eastAsia"/>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45991"/>
    <w:rsid w:val="018E53BB"/>
    <w:rsid w:val="01BA61B0"/>
    <w:rsid w:val="02913BC4"/>
    <w:rsid w:val="02EA018D"/>
    <w:rsid w:val="034F1378"/>
    <w:rsid w:val="03902EDF"/>
    <w:rsid w:val="03A03184"/>
    <w:rsid w:val="03D96696"/>
    <w:rsid w:val="04041965"/>
    <w:rsid w:val="044004C3"/>
    <w:rsid w:val="044F0706"/>
    <w:rsid w:val="049F51EA"/>
    <w:rsid w:val="04C86784"/>
    <w:rsid w:val="04F27A0F"/>
    <w:rsid w:val="0533072D"/>
    <w:rsid w:val="05781604"/>
    <w:rsid w:val="05AD1B88"/>
    <w:rsid w:val="05B71F0C"/>
    <w:rsid w:val="07660241"/>
    <w:rsid w:val="076766B5"/>
    <w:rsid w:val="08A54756"/>
    <w:rsid w:val="08BA4CE8"/>
    <w:rsid w:val="094E5430"/>
    <w:rsid w:val="094F0261"/>
    <w:rsid w:val="0961362A"/>
    <w:rsid w:val="099A0675"/>
    <w:rsid w:val="09BA51F2"/>
    <w:rsid w:val="09BA7D80"/>
    <w:rsid w:val="09D5345C"/>
    <w:rsid w:val="09DF42DA"/>
    <w:rsid w:val="0A0D0E47"/>
    <w:rsid w:val="0A275576"/>
    <w:rsid w:val="0AFB27D6"/>
    <w:rsid w:val="0B1F7084"/>
    <w:rsid w:val="0C1845A2"/>
    <w:rsid w:val="0C637445"/>
    <w:rsid w:val="0D186481"/>
    <w:rsid w:val="0D200E92"/>
    <w:rsid w:val="0D9A6E96"/>
    <w:rsid w:val="0DA735EF"/>
    <w:rsid w:val="0EE83C31"/>
    <w:rsid w:val="0F294401"/>
    <w:rsid w:val="0F73174D"/>
    <w:rsid w:val="0F8D6B37"/>
    <w:rsid w:val="0F9C1A87"/>
    <w:rsid w:val="0FFF56D6"/>
    <w:rsid w:val="10AD5132"/>
    <w:rsid w:val="10EB7CBC"/>
    <w:rsid w:val="10EF3511"/>
    <w:rsid w:val="11C73FD2"/>
    <w:rsid w:val="12072620"/>
    <w:rsid w:val="12332027"/>
    <w:rsid w:val="12D373EF"/>
    <w:rsid w:val="13451652"/>
    <w:rsid w:val="134A0A16"/>
    <w:rsid w:val="13852398"/>
    <w:rsid w:val="1461070D"/>
    <w:rsid w:val="14610F3F"/>
    <w:rsid w:val="14B4218C"/>
    <w:rsid w:val="14FA3656"/>
    <w:rsid w:val="153554BF"/>
    <w:rsid w:val="15763D45"/>
    <w:rsid w:val="16774701"/>
    <w:rsid w:val="167E206D"/>
    <w:rsid w:val="16CD7CC7"/>
    <w:rsid w:val="16E237E6"/>
    <w:rsid w:val="16FB5EF4"/>
    <w:rsid w:val="173A4A9B"/>
    <w:rsid w:val="17773DA4"/>
    <w:rsid w:val="17B246DF"/>
    <w:rsid w:val="17BB0135"/>
    <w:rsid w:val="17DB07D7"/>
    <w:rsid w:val="18510A99"/>
    <w:rsid w:val="186C59CF"/>
    <w:rsid w:val="1881137E"/>
    <w:rsid w:val="18E433F9"/>
    <w:rsid w:val="18FD3D30"/>
    <w:rsid w:val="190873AA"/>
    <w:rsid w:val="19277699"/>
    <w:rsid w:val="19391A60"/>
    <w:rsid w:val="19A54BF8"/>
    <w:rsid w:val="19AA66B3"/>
    <w:rsid w:val="19AF5A77"/>
    <w:rsid w:val="1A2024D1"/>
    <w:rsid w:val="1A907657"/>
    <w:rsid w:val="1A9E33B7"/>
    <w:rsid w:val="1AFE6CB6"/>
    <w:rsid w:val="1B15245C"/>
    <w:rsid w:val="1B2D759B"/>
    <w:rsid w:val="1B662AAD"/>
    <w:rsid w:val="1B917B2A"/>
    <w:rsid w:val="1B9238A2"/>
    <w:rsid w:val="1C236C3E"/>
    <w:rsid w:val="1C6A5BB6"/>
    <w:rsid w:val="1C850D11"/>
    <w:rsid w:val="1CB533A4"/>
    <w:rsid w:val="1D012A8E"/>
    <w:rsid w:val="1D5113F8"/>
    <w:rsid w:val="1D724583"/>
    <w:rsid w:val="1EAE7EAF"/>
    <w:rsid w:val="1EFC175F"/>
    <w:rsid w:val="1F161491"/>
    <w:rsid w:val="1F7076AA"/>
    <w:rsid w:val="1F9E45C4"/>
    <w:rsid w:val="1FA616CA"/>
    <w:rsid w:val="20A0611A"/>
    <w:rsid w:val="22090649"/>
    <w:rsid w:val="233D5EA2"/>
    <w:rsid w:val="23E26A49"/>
    <w:rsid w:val="24434A3B"/>
    <w:rsid w:val="24545B99"/>
    <w:rsid w:val="247578BD"/>
    <w:rsid w:val="25845E1E"/>
    <w:rsid w:val="268D5712"/>
    <w:rsid w:val="26993D37"/>
    <w:rsid w:val="26D046A2"/>
    <w:rsid w:val="26E01966"/>
    <w:rsid w:val="270A0791"/>
    <w:rsid w:val="274041B2"/>
    <w:rsid w:val="27E94CA5"/>
    <w:rsid w:val="285B21F8"/>
    <w:rsid w:val="294E0E09"/>
    <w:rsid w:val="2A0E0598"/>
    <w:rsid w:val="2A720B27"/>
    <w:rsid w:val="2A936343"/>
    <w:rsid w:val="2B172C77"/>
    <w:rsid w:val="2B4F3741"/>
    <w:rsid w:val="2B6864BC"/>
    <w:rsid w:val="2BD0784A"/>
    <w:rsid w:val="2C1B20C0"/>
    <w:rsid w:val="2CF84372"/>
    <w:rsid w:val="2D256324"/>
    <w:rsid w:val="2E3D31FA"/>
    <w:rsid w:val="2E9574DA"/>
    <w:rsid w:val="2E9D638E"/>
    <w:rsid w:val="2EE87609"/>
    <w:rsid w:val="2F2C0968"/>
    <w:rsid w:val="2F4F7689"/>
    <w:rsid w:val="2FCA31B3"/>
    <w:rsid w:val="304D6697"/>
    <w:rsid w:val="30B57B0F"/>
    <w:rsid w:val="31466937"/>
    <w:rsid w:val="31A812D2"/>
    <w:rsid w:val="31D772B9"/>
    <w:rsid w:val="320C1BA8"/>
    <w:rsid w:val="322A67FD"/>
    <w:rsid w:val="327F2033"/>
    <w:rsid w:val="32A20056"/>
    <w:rsid w:val="331B11E0"/>
    <w:rsid w:val="340F388A"/>
    <w:rsid w:val="342F5CDB"/>
    <w:rsid w:val="35645510"/>
    <w:rsid w:val="357A3683"/>
    <w:rsid w:val="3582518F"/>
    <w:rsid w:val="35894D48"/>
    <w:rsid w:val="359758E5"/>
    <w:rsid w:val="35B446E9"/>
    <w:rsid w:val="35C6312A"/>
    <w:rsid w:val="35C67F79"/>
    <w:rsid w:val="3637156C"/>
    <w:rsid w:val="363900BC"/>
    <w:rsid w:val="372B09DB"/>
    <w:rsid w:val="377406A3"/>
    <w:rsid w:val="37B3112A"/>
    <w:rsid w:val="37C52BDE"/>
    <w:rsid w:val="38337319"/>
    <w:rsid w:val="39007C16"/>
    <w:rsid w:val="39E3559D"/>
    <w:rsid w:val="3A9C5EF6"/>
    <w:rsid w:val="3ACE7FFB"/>
    <w:rsid w:val="3AE3337B"/>
    <w:rsid w:val="3BB16FD5"/>
    <w:rsid w:val="3BE03E4B"/>
    <w:rsid w:val="3C6F136A"/>
    <w:rsid w:val="3C7C5835"/>
    <w:rsid w:val="3D6E02CF"/>
    <w:rsid w:val="3E522CF1"/>
    <w:rsid w:val="3F1F4BA2"/>
    <w:rsid w:val="3F3F3186"/>
    <w:rsid w:val="3F9C0670"/>
    <w:rsid w:val="40516596"/>
    <w:rsid w:val="406960D0"/>
    <w:rsid w:val="407E314F"/>
    <w:rsid w:val="40DA41C0"/>
    <w:rsid w:val="40E536D9"/>
    <w:rsid w:val="417E7959"/>
    <w:rsid w:val="41DE664A"/>
    <w:rsid w:val="42003600"/>
    <w:rsid w:val="42C45840"/>
    <w:rsid w:val="42C57F36"/>
    <w:rsid w:val="430976F7"/>
    <w:rsid w:val="435F025C"/>
    <w:rsid w:val="437E259E"/>
    <w:rsid w:val="44416AB6"/>
    <w:rsid w:val="44B6565C"/>
    <w:rsid w:val="454D7C42"/>
    <w:rsid w:val="45912351"/>
    <w:rsid w:val="45D71D2E"/>
    <w:rsid w:val="45F93DAB"/>
    <w:rsid w:val="466F1F67"/>
    <w:rsid w:val="46A24103"/>
    <w:rsid w:val="4729480B"/>
    <w:rsid w:val="47E726FC"/>
    <w:rsid w:val="4883446B"/>
    <w:rsid w:val="48934639"/>
    <w:rsid w:val="48E75F24"/>
    <w:rsid w:val="48F256CC"/>
    <w:rsid w:val="49060960"/>
    <w:rsid w:val="491164F6"/>
    <w:rsid w:val="492F386E"/>
    <w:rsid w:val="49C304C6"/>
    <w:rsid w:val="49D56585"/>
    <w:rsid w:val="49DE368B"/>
    <w:rsid w:val="49F25388"/>
    <w:rsid w:val="4A730277"/>
    <w:rsid w:val="4B4665AA"/>
    <w:rsid w:val="4B941D1B"/>
    <w:rsid w:val="4BAD70DA"/>
    <w:rsid w:val="4C995102"/>
    <w:rsid w:val="4CC0351C"/>
    <w:rsid w:val="4DA846DC"/>
    <w:rsid w:val="4E4E1B7C"/>
    <w:rsid w:val="4E611B8B"/>
    <w:rsid w:val="4EE227F1"/>
    <w:rsid w:val="4F152567"/>
    <w:rsid w:val="4F82248F"/>
    <w:rsid w:val="4FDF015D"/>
    <w:rsid w:val="4FF97471"/>
    <w:rsid w:val="504A1E5D"/>
    <w:rsid w:val="50F6750C"/>
    <w:rsid w:val="51002139"/>
    <w:rsid w:val="51A766BA"/>
    <w:rsid w:val="53130849"/>
    <w:rsid w:val="538452A3"/>
    <w:rsid w:val="53D22A0C"/>
    <w:rsid w:val="542F5003"/>
    <w:rsid w:val="545E7F35"/>
    <w:rsid w:val="5483555B"/>
    <w:rsid w:val="54C110C1"/>
    <w:rsid w:val="555F54CC"/>
    <w:rsid w:val="56260894"/>
    <w:rsid w:val="56430D79"/>
    <w:rsid w:val="57105B1C"/>
    <w:rsid w:val="573174F0"/>
    <w:rsid w:val="57A14C4F"/>
    <w:rsid w:val="57C55C52"/>
    <w:rsid w:val="57CB5CDA"/>
    <w:rsid w:val="57F5621E"/>
    <w:rsid w:val="587A07F0"/>
    <w:rsid w:val="588C69A8"/>
    <w:rsid w:val="58AB32D2"/>
    <w:rsid w:val="58AE4B70"/>
    <w:rsid w:val="58DD0763"/>
    <w:rsid w:val="5A8738CB"/>
    <w:rsid w:val="5B275711"/>
    <w:rsid w:val="5B294982"/>
    <w:rsid w:val="5B2C5F72"/>
    <w:rsid w:val="5B514A5D"/>
    <w:rsid w:val="5BA04F28"/>
    <w:rsid w:val="5C3C3BB3"/>
    <w:rsid w:val="5C4A2817"/>
    <w:rsid w:val="5D414851"/>
    <w:rsid w:val="5EA579F9"/>
    <w:rsid w:val="5EA902B4"/>
    <w:rsid w:val="5EFD5F0A"/>
    <w:rsid w:val="605E58D0"/>
    <w:rsid w:val="610D0FDD"/>
    <w:rsid w:val="612105D5"/>
    <w:rsid w:val="6153769D"/>
    <w:rsid w:val="61B2747F"/>
    <w:rsid w:val="61FD78F3"/>
    <w:rsid w:val="6200468F"/>
    <w:rsid w:val="62157A0E"/>
    <w:rsid w:val="62816E52"/>
    <w:rsid w:val="62F2247B"/>
    <w:rsid w:val="631942AE"/>
    <w:rsid w:val="63B31E42"/>
    <w:rsid w:val="64395C36"/>
    <w:rsid w:val="64542A70"/>
    <w:rsid w:val="64C37BF6"/>
    <w:rsid w:val="65962C14"/>
    <w:rsid w:val="65E87914"/>
    <w:rsid w:val="65EE47FE"/>
    <w:rsid w:val="66652EAF"/>
    <w:rsid w:val="66D13471"/>
    <w:rsid w:val="66F4571B"/>
    <w:rsid w:val="671B5AC7"/>
    <w:rsid w:val="68190258"/>
    <w:rsid w:val="68C61A62"/>
    <w:rsid w:val="68CA50AF"/>
    <w:rsid w:val="68E24BB9"/>
    <w:rsid w:val="690C0A00"/>
    <w:rsid w:val="69D90D4A"/>
    <w:rsid w:val="6A975464"/>
    <w:rsid w:val="6AEF53C4"/>
    <w:rsid w:val="6B0A3E88"/>
    <w:rsid w:val="6BBB2C58"/>
    <w:rsid w:val="6BFA214F"/>
    <w:rsid w:val="6C141D47"/>
    <w:rsid w:val="6C1F4726"/>
    <w:rsid w:val="6C553829"/>
    <w:rsid w:val="6C7672FB"/>
    <w:rsid w:val="6D374CDD"/>
    <w:rsid w:val="6E090523"/>
    <w:rsid w:val="6E2331B0"/>
    <w:rsid w:val="6E307F2C"/>
    <w:rsid w:val="6E9F6FDD"/>
    <w:rsid w:val="6ECF087C"/>
    <w:rsid w:val="6F0600BF"/>
    <w:rsid w:val="6F2F0361"/>
    <w:rsid w:val="6F6972D3"/>
    <w:rsid w:val="6F9E1043"/>
    <w:rsid w:val="6FAA79E8"/>
    <w:rsid w:val="6FDC1B6B"/>
    <w:rsid w:val="6FF173C5"/>
    <w:rsid w:val="705223DF"/>
    <w:rsid w:val="70BB1A19"/>
    <w:rsid w:val="71184E25"/>
    <w:rsid w:val="72253C9E"/>
    <w:rsid w:val="733B0348"/>
    <w:rsid w:val="73667929"/>
    <w:rsid w:val="73EB02BD"/>
    <w:rsid w:val="746B1DAF"/>
    <w:rsid w:val="746D7D34"/>
    <w:rsid w:val="758D7B90"/>
    <w:rsid w:val="760E6C97"/>
    <w:rsid w:val="764A782F"/>
    <w:rsid w:val="76515061"/>
    <w:rsid w:val="76C021E7"/>
    <w:rsid w:val="76C27237"/>
    <w:rsid w:val="77421ACB"/>
    <w:rsid w:val="77B5517C"/>
    <w:rsid w:val="780A371A"/>
    <w:rsid w:val="78476152"/>
    <w:rsid w:val="78700F0A"/>
    <w:rsid w:val="78745037"/>
    <w:rsid w:val="788A2AAC"/>
    <w:rsid w:val="78B638A1"/>
    <w:rsid w:val="794F06AD"/>
    <w:rsid w:val="79D20E2A"/>
    <w:rsid w:val="7A4647B1"/>
    <w:rsid w:val="7A8D0632"/>
    <w:rsid w:val="7A9D6AC7"/>
    <w:rsid w:val="7AAD6FF0"/>
    <w:rsid w:val="7ABE2CD8"/>
    <w:rsid w:val="7AE244DA"/>
    <w:rsid w:val="7B733820"/>
    <w:rsid w:val="7BDE06A1"/>
    <w:rsid w:val="7E2272E3"/>
    <w:rsid w:val="7E3F1C43"/>
    <w:rsid w:val="7E627DC8"/>
    <w:rsid w:val="7E9C3261"/>
    <w:rsid w:val="7F466367"/>
    <w:rsid w:val="7FB12A09"/>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102"/>
    <w:qFormat/>
    <w:uiPriority w:val="9"/>
    <w:pPr>
      <w:keepNext/>
      <w:keepLines/>
      <w:spacing w:line="360" w:lineRule="auto"/>
      <w:jc w:val="center"/>
      <w:outlineLvl w:val="0"/>
    </w:pPr>
    <w:rPr>
      <w:rFonts w:ascii="Arial" w:hAnsi="Arial" w:cs="Arial"/>
      <w:b/>
      <w:sz w:val="30"/>
      <w:szCs w:val="40"/>
    </w:rPr>
  </w:style>
  <w:style w:type="paragraph" w:styleId="3">
    <w:name w:val="heading 2"/>
    <w:basedOn w:val="1"/>
    <w:next w:val="1"/>
    <w:link w:val="10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0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0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07"/>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08"/>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09"/>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10"/>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table of authorities"/>
    <w:basedOn w:val="1"/>
    <w:next w:val="1"/>
    <w:qFormat/>
    <w:uiPriority w:val="0"/>
    <w:pPr>
      <w:ind w:left="420"/>
    </w:pPr>
    <w:rPr>
      <w:rFonts w:ascii="Times New Roman" w:hAnsi="Times New Roman"/>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spacing w:after="120"/>
    </w:pPr>
    <w:rPr>
      <w:szCs w:val="24"/>
    </w:rPr>
  </w:style>
  <w:style w:type="paragraph" w:styleId="16">
    <w:name w:val="Body Text Indent"/>
    <w:basedOn w:val="1"/>
    <w:next w:val="1"/>
    <w:qFormat/>
    <w:uiPriority w:val="0"/>
    <w:pPr>
      <w:spacing w:after="120"/>
      <w:ind w:left="420"/>
    </w:pPr>
    <w:rPr>
      <w:rFonts w:ascii="等线" w:hAnsi="等线" w:eastAsia="等线"/>
    </w:rPr>
  </w:style>
  <w:style w:type="paragraph" w:styleId="17">
    <w:name w:val="List Bullet 2"/>
    <w:basedOn w:val="1"/>
    <w:semiHidden/>
    <w:unhideWhenUsed/>
    <w:qFormat/>
    <w:uiPriority w:val="99"/>
    <w:pPr>
      <w:numPr>
        <w:ilvl w:val="0"/>
        <w:numId w:val="1"/>
      </w:numPr>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 w:val="20"/>
      <w:szCs w:val="21"/>
    </w:r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spacing w:after="120" w:line="480" w:lineRule="auto"/>
      <w:ind w:left="640"/>
    </w:pPr>
    <w:rPr>
      <w:rFonts w:eastAsia="仿宋_GB2312"/>
      <w:sz w:val="32"/>
      <w:szCs w:val="28"/>
    </w:rPr>
  </w:style>
  <w:style w:type="paragraph" w:styleId="23">
    <w:name w:val="endnote text"/>
    <w:basedOn w:val="1"/>
    <w:link w:val="248"/>
    <w:semiHidden/>
    <w:unhideWhenUsed/>
    <w:qFormat/>
    <w:uiPriority w:val="99"/>
    <w:rPr>
      <w:sz w:val="20"/>
    </w:rPr>
  </w:style>
  <w:style w:type="paragraph" w:styleId="24">
    <w:name w:val="footer"/>
    <w:basedOn w:val="1"/>
    <w:link w:val="121"/>
    <w:unhideWhenUsed/>
    <w:qFormat/>
    <w:uiPriority w:val="99"/>
    <w:pPr>
      <w:tabs>
        <w:tab w:val="center" w:pos="7143"/>
        <w:tab w:val="right" w:pos="14287"/>
      </w:tabs>
    </w:pPr>
  </w:style>
  <w:style w:type="paragraph" w:styleId="25">
    <w:name w:val="envelope return"/>
    <w:basedOn w:val="1"/>
    <w:qFormat/>
    <w:uiPriority w:val="0"/>
    <w:rPr>
      <w:rFonts w:ascii="Arial" w:hAnsi="Arial"/>
    </w:rPr>
  </w:style>
  <w:style w:type="paragraph" w:styleId="26">
    <w:name w:val="header"/>
    <w:basedOn w:val="1"/>
    <w:link w:val="119"/>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14"/>
    <w:qFormat/>
    <w:uiPriority w:val="11"/>
    <w:pPr>
      <w:spacing w:before="200" w:after="200"/>
    </w:pPr>
    <w:rPr>
      <w:sz w:val="24"/>
      <w:szCs w:val="24"/>
    </w:rPr>
  </w:style>
  <w:style w:type="paragraph" w:styleId="30">
    <w:name w:val="footnote text"/>
    <w:basedOn w:val="1"/>
    <w:link w:val="247"/>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spacing w:beforeAutospacing="1" w:afterAutospacing="1"/>
      <w:jc w:val="left"/>
    </w:pPr>
    <w:rPr>
      <w:sz w:val="24"/>
    </w:rPr>
  </w:style>
  <w:style w:type="paragraph" w:styleId="36">
    <w:name w:val="index 1"/>
    <w:basedOn w:val="1"/>
    <w:next w:val="1"/>
    <w:qFormat/>
    <w:uiPriority w:val="0"/>
    <w:rPr>
      <w:rFonts w:ascii="仿宋_GB2312" w:hAnsi="宋体" w:eastAsia="仿宋_GB2312" w:cs="宋体"/>
      <w:sz w:val="30"/>
      <w:szCs w:val="24"/>
      <w:lang w:val="zh-CN"/>
    </w:rPr>
  </w:style>
  <w:style w:type="paragraph" w:styleId="37">
    <w:name w:val="Title"/>
    <w:basedOn w:val="1"/>
    <w:next w:val="1"/>
    <w:link w:val="113"/>
    <w:qFormat/>
    <w:uiPriority w:val="10"/>
    <w:pPr>
      <w:spacing w:before="300" w:after="200"/>
      <w:contextualSpacing/>
    </w:pPr>
    <w:rPr>
      <w:sz w:val="48"/>
      <w:szCs w:val="48"/>
    </w:rPr>
  </w:style>
  <w:style w:type="paragraph" w:styleId="38">
    <w:name w:val="Body Text First Indent"/>
    <w:basedOn w:val="15"/>
    <w:unhideWhenUsed/>
    <w:qFormat/>
    <w:uiPriority w:val="99"/>
    <w:pPr>
      <w:spacing w:line="400" w:lineRule="atLeast"/>
      <w:ind w:firstLine="426"/>
    </w:pPr>
    <w:rPr>
      <w:sz w:val="24"/>
      <w:szCs w:val="20"/>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semiHidden/>
    <w:unhideWhenUsed/>
    <w:qFormat/>
    <w:uiPriority w:val="99"/>
    <w:rPr>
      <w:vertAlign w:val="superscript"/>
    </w:rPr>
  </w:style>
  <w:style w:type="character" w:styleId="44">
    <w:name w:val="Emphasis"/>
    <w:basedOn w:val="41"/>
    <w:qFormat/>
    <w:uiPriority w:val="20"/>
    <w:rPr>
      <w:i/>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正文（文本）"/>
    <w:qFormat/>
    <w:uiPriority w:val="0"/>
    <w:pPr>
      <w:widowControl w:val="0"/>
      <w:spacing w:line="360" w:lineRule="auto"/>
      <w:jc w:val="center"/>
    </w:pPr>
    <w:rPr>
      <w:rFonts w:hint="default" w:ascii="Times New Roman" w:hAnsi="宋体" w:eastAsia="宋体" w:cs="Times New Roman"/>
      <w:sz w:val="28"/>
      <w:szCs w:val="28"/>
      <w:lang w:val="en-US" w:eastAsia="zh-CN" w:bidi="ar-SA"/>
    </w:rPr>
  </w:style>
  <w:style w:type="paragraph" w:customStyle="1" w:styleId="48">
    <w:name w:val="正文（缩进）"/>
    <w:basedOn w:val="1"/>
    <w:next w:val="49"/>
    <w:qFormat/>
    <w:uiPriority w:val="0"/>
    <w:pPr>
      <w:spacing w:before="156" w:after="156"/>
      <w:ind w:firstLine="480"/>
    </w:pPr>
  </w:style>
  <w:style w:type="paragraph" w:customStyle="1" w:styleId="49">
    <w:name w:val="Char Char Char Char Char Char Char Char Char"/>
    <w:basedOn w:val="1"/>
    <w:next w:val="50"/>
    <w:qFormat/>
    <w:uiPriority w:val="99"/>
    <w:pPr>
      <w:ind w:left="360" w:firstLine="5784"/>
    </w:pPr>
  </w:style>
  <w:style w:type="paragraph" w:customStyle="1" w:styleId="50">
    <w:name w:val="正文文本 21"/>
    <w:basedOn w:val="1"/>
    <w:next w:val="51"/>
    <w:qFormat/>
    <w:uiPriority w:val="0"/>
    <w:pPr>
      <w:spacing w:after="120" w:line="480" w:lineRule="auto"/>
    </w:pPr>
  </w:style>
  <w:style w:type="paragraph" w:customStyle="1" w:styleId="51">
    <w:name w:val="默认段落字体 Para Char Char Char Char Char Char Char"/>
    <w:basedOn w:val="1"/>
    <w:next w:val="52"/>
    <w:qFormat/>
    <w:uiPriority w:val="99"/>
    <w:pPr>
      <w:ind w:firstLine="200"/>
    </w:pPr>
    <w:rPr>
      <w:rFonts w:cs="Arial"/>
    </w:rPr>
  </w:style>
  <w:style w:type="paragraph" w:customStyle="1" w:styleId="52">
    <w:name w:val="样式 首行缩进:  2 字符"/>
    <w:basedOn w:val="1"/>
    <w:next w:val="53"/>
    <w:qFormat/>
    <w:uiPriority w:val="99"/>
    <w:pPr>
      <w:spacing w:line="360" w:lineRule="auto"/>
      <w:ind w:left="480" w:firstLine="5856"/>
    </w:pPr>
  </w:style>
  <w:style w:type="paragraph" w:customStyle="1" w:styleId="53">
    <w:name w:val="样式 段后: 0.25 行"/>
    <w:basedOn w:val="1"/>
    <w:next w:val="54"/>
    <w:qFormat/>
    <w:uiPriority w:val="99"/>
    <w:pPr>
      <w:widowControl/>
      <w:spacing w:line="300" w:lineRule="auto"/>
      <w:ind w:left="420" w:firstLine="5796"/>
    </w:pPr>
  </w:style>
  <w:style w:type="paragraph" w:customStyle="1" w:styleId="54">
    <w:name w:val="正文 New New New New New New New New New New New New New New"/>
    <w:next w:val="34"/>
    <w:qFormat/>
    <w:uiPriority w:val="99"/>
    <w:pPr>
      <w:widowControl w:val="0"/>
      <w:ind w:firstLine="2048"/>
      <w:jc w:val="both"/>
    </w:pPr>
    <w:rPr>
      <w:rFonts w:hint="default" w:ascii="Times New Roman" w:hAnsi="Times New Roman" w:eastAsia="宋体" w:cs="Times New Roman"/>
      <w:lang w:val="en-US" w:eastAsia="zh-CN" w:bidi="ar-SA"/>
    </w:rPr>
  </w:style>
  <w:style w:type="paragraph" w:customStyle="1" w:styleId="55">
    <w:name w:val="正文1"/>
    <w:basedOn w:val="1"/>
    <w:next w:val="56"/>
    <w:qFormat/>
    <w:uiPriority w:val="0"/>
    <w:pPr>
      <w:spacing w:line="360" w:lineRule="atLeast"/>
      <w:jc w:val="left"/>
    </w:pPr>
    <w:rPr>
      <w:rFonts w:ascii="宋体" w:cs="Arial"/>
      <w:sz w:val="24"/>
      <w:szCs w:val="20"/>
    </w:rPr>
  </w:style>
  <w:style w:type="paragraph" w:customStyle="1" w:styleId="56">
    <w:name w:val="正文文本1"/>
    <w:basedOn w:val="55"/>
    <w:next w:val="57"/>
    <w:qFormat/>
    <w:uiPriority w:val="0"/>
    <w:pPr>
      <w:spacing w:after="120"/>
    </w:pPr>
    <w:rPr>
      <w:lang w:eastAsia="en-US"/>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9">
    <w:name w:val="段"/>
    <w:basedOn w:val="55"/>
    <w:next w:val="1"/>
    <w:qFormat/>
    <w:uiPriority w:val="0"/>
    <w:pPr>
      <w:widowControl/>
      <w:ind w:firstLine="200"/>
    </w:pPr>
    <w:rPr>
      <w:sz w:val="20"/>
    </w:rPr>
  </w:style>
  <w:style w:type="paragraph" w:customStyle="1" w:styleId="60">
    <w:name w:val="远大正文"/>
    <w:basedOn w:val="1"/>
    <w:qFormat/>
    <w:uiPriority w:val="0"/>
    <w:pPr>
      <w:spacing w:line="360" w:lineRule="auto"/>
      <w:ind w:firstLine="0"/>
      <w:jc w:val="center"/>
    </w:pPr>
    <w:rPr>
      <w:rFonts w:ascii="宋体" w:hAnsi="宋体" w:cs="Times New Roman"/>
    </w:rPr>
  </w:style>
  <w:style w:type="paragraph" w:customStyle="1" w:styleId="61">
    <w:name w:val="普通正文"/>
    <w:basedOn w:val="1"/>
    <w:qFormat/>
    <w:uiPriority w:val="0"/>
    <w:pPr>
      <w:spacing w:before="120" w:after="120" w:line="360" w:lineRule="auto"/>
      <w:ind w:firstLine="480"/>
      <w:jc w:val="left"/>
    </w:pPr>
    <w:rPr>
      <w:rFonts w:ascii="Arial" w:hAnsi="Arial"/>
      <w:sz w:val="24"/>
      <w:szCs w:val="24"/>
    </w:rPr>
  </w:style>
  <w:style w:type="paragraph" w:customStyle="1" w:styleId="62">
    <w:name w:val="标题1"/>
    <w:basedOn w:val="1"/>
    <w:next w:val="1"/>
    <w:qFormat/>
    <w:uiPriority w:val="0"/>
    <w:pPr>
      <w:spacing w:before="240" w:after="60" w:line="360" w:lineRule="auto"/>
      <w:jc w:val="center"/>
      <w:outlineLvl w:val="0"/>
    </w:pPr>
    <w:rPr>
      <w:rFonts w:ascii="宋体" w:hAnsi="宋体"/>
      <w:b/>
      <w:bCs/>
      <w:sz w:val="32"/>
      <w:szCs w:val="32"/>
    </w:rPr>
  </w:style>
  <w:style w:type="character" w:customStyle="1" w:styleId="63">
    <w:name w:val="Heading 1 Char"/>
    <w:basedOn w:val="41"/>
    <w:qFormat/>
    <w:uiPriority w:val="9"/>
    <w:rPr>
      <w:rFonts w:ascii="Arial" w:hAnsi="Arial" w:eastAsia="Arial" w:cs="Arial"/>
      <w:sz w:val="40"/>
      <w:szCs w:val="40"/>
    </w:rPr>
  </w:style>
  <w:style w:type="character" w:customStyle="1" w:styleId="64">
    <w:name w:val="Heading 2 Char"/>
    <w:basedOn w:val="41"/>
    <w:qFormat/>
    <w:uiPriority w:val="9"/>
    <w:rPr>
      <w:rFonts w:ascii="Arial" w:hAnsi="Arial" w:eastAsia="Arial" w:cs="Arial"/>
      <w:sz w:val="34"/>
    </w:rPr>
  </w:style>
  <w:style w:type="character" w:customStyle="1" w:styleId="65">
    <w:name w:val="Heading 3 Char"/>
    <w:basedOn w:val="41"/>
    <w:qFormat/>
    <w:uiPriority w:val="9"/>
    <w:rPr>
      <w:rFonts w:ascii="Arial" w:hAnsi="Arial" w:eastAsia="Arial" w:cs="Arial"/>
      <w:sz w:val="30"/>
      <w:szCs w:val="30"/>
    </w:rPr>
  </w:style>
  <w:style w:type="character" w:customStyle="1" w:styleId="66">
    <w:name w:val="Heading 4 Char"/>
    <w:basedOn w:val="41"/>
    <w:qFormat/>
    <w:uiPriority w:val="9"/>
    <w:rPr>
      <w:rFonts w:ascii="Arial" w:hAnsi="Arial" w:eastAsia="Arial" w:cs="Arial"/>
      <w:b/>
      <w:bCs/>
      <w:sz w:val="26"/>
      <w:szCs w:val="26"/>
    </w:rPr>
  </w:style>
  <w:style w:type="character" w:customStyle="1" w:styleId="67">
    <w:name w:val="Heading 5 Char"/>
    <w:basedOn w:val="41"/>
    <w:qFormat/>
    <w:uiPriority w:val="9"/>
    <w:rPr>
      <w:rFonts w:ascii="Arial" w:hAnsi="Arial" w:eastAsia="Arial" w:cs="Arial"/>
      <w:b/>
      <w:bCs/>
      <w:sz w:val="24"/>
      <w:szCs w:val="24"/>
    </w:rPr>
  </w:style>
  <w:style w:type="character" w:customStyle="1" w:styleId="68">
    <w:name w:val="Heading 6 Char"/>
    <w:basedOn w:val="41"/>
    <w:qFormat/>
    <w:uiPriority w:val="9"/>
    <w:rPr>
      <w:rFonts w:ascii="Arial" w:hAnsi="Arial" w:eastAsia="Arial" w:cs="Arial"/>
      <w:b/>
      <w:bCs/>
      <w:sz w:val="22"/>
      <w:szCs w:val="22"/>
    </w:rPr>
  </w:style>
  <w:style w:type="character" w:customStyle="1" w:styleId="69">
    <w:name w:val="Heading 7 Char"/>
    <w:basedOn w:val="41"/>
    <w:qFormat/>
    <w:uiPriority w:val="9"/>
    <w:rPr>
      <w:rFonts w:ascii="Arial" w:hAnsi="Arial" w:eastAsia="Arial" w:cs="Arial"/>
      <w:b/>
      <w:bCs/>
      <w:i/>
      <w:iCs/>
      <w:sz w:val="22"/>
      <w:szCs w:val="22"/>
    </w:rPr>
  </w:style>
  <w:style w:type="character" w:customStyle="1" w:styleId="70">
    <w:name w:val="Heading 8 Char"/>
    <w:basedOn w:val="41"/>
    <w:qFormat/>
    <w:uiPriority w:val="9"/>
    <w:rPr>
      <w:rFonts w:ascii="Arial" w:hAnsi="Arial" w:eastAsia="Arial" w:cs="Arial"/>
      <w:i/>
      <w:iCs/>
      <w:sz w:val="22"/>
      <w:szCs w:val="22"/>
    </w:rPr>
  </w:style>
  <w:style w:type="character" w:customStyle="1" w:styleId="71">
    <w:name w:val="Heading 9 Char"/>
    <w:basedOn w:val="41"/>
    <w:qFormat/>
    <w:uiPriority w:val="9"/>
    <w:rPr>
      <w:rFonts w:ascii="Arial" w:hAnsi="Arial" w:eastAsia="Arial" w:cs="Arial"/>
      <w:i/>
      <w:iCs/>
      <w:sz w:val="21"/>
      <w:szCs w:val="21"/>
    </w:rPr>
  </w:style>
  <w:style w:type="character" w:customStyle="1" w:styleId="72">
    <w:name w:val="Title Char"/>
    <w:basedOn w:val="41"/>
    <w:qFormat/>
    <w:uiPriority w:val="10"/>
    <w:rPr>
      <w:sz w:val="48"/>
      <w:szCs w:val="48"/>
    </w:rPr>
  </w:style>
  <w:style w:type="character" w:customStyle="1" w:styleId="73">
    <w:name w:val="Subtitle Char"/>
    <w:basedOn w:val="41"/>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character" w:customStyle="1" w:styleId="76">
    <w:name w:val="Header Char"/>
    <w:basedOn w:val="41"/>
    <w:qFormat/>
    <w:uiPriority w:val="99"/>
  </w:style>
  <w:style w:type="character" w:customStyle="1" w:styleId="77">
    <w:name w:val="Caption Char"/>
    <w:qFormat/>
    <w:uiPriority w:val="99"/>
  </w:style>
  <w:style w:type="table" w:customStyle="1" w:styleId="78">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7">
    <w:name w:val="Footnote Text Char"/>
    <w:qFormat/>
    <w:uiPriority w:val="99"/>
    <w:rPr>
      <w:sz w:val="18"/>
    </w:rPr>
  </w:style>
  <w:style w:type="character" w:customStyle="1" w:styleId="98">
    <w:name w:val="Endnote Text Char"/>
    <w:qFormat/>
    <w:uiPriority w:val="99"/>
    <w:rPr>
      <w:sz w:val="20"/>
    </w:rPr>
  </w:style>
  <w:style w:type="paragraph" w:customStyle="1" w:styleId="99">
    <w:name w:val="TOC Heading"/>
    <w:unhideWhenUsed/>
    <w:qFormat/>
    <w:uiPriority w:val="39"/>
    <w:rPr>
      <w:rFonts w:hint="default" w:ascii="Times New Roman" w:hAnsi="Times New Roman" w:eastAsia="宋体" w:cs="Times New Roman"/>
    </w:rPr>
  </w:style>
  <w:style w:type="paragraph" w:customStyle="1" w:styleId="100">
    <w:name w:val="Default"/>
    <w:next w:val="1"/>
    <w:qFormat/>
    <w:uiPriority w:val="0"/>
    <w:pPr>
      <w:widowControl w:val="0"/>
    </w:pPr>
    <w:rPr>
      <w:rFonts w:hint="default" w:ascii="黑体" w:hAnsi="Times New Roman" w:eastAsia="黑体" w:cs="Times New Roman"/>
      <w:lang w:val="en-US" w:eastAsia="zh-CN" w:bidi="ar-SA"/>
    </w:rPr>
  </w:style>
  <w:style w:type="paragraph" w:customStyle="1" w:styleId="101">
    <w:name w:val="首行缩进"/>
    <w:basedOn w:val="1"/>
    <w:qFormat/>
    <w:uiPriority w:val="0"/>
    <w:pPr>
      <w:spacing w:line="360" w:lineRule="auto"/>
      <w:ind w:firstLine="420"/>
    </w:pPr>
  </w:style>
  <w:style w:type="character" w:customStyle="1" w:styleId="102">
    <w:name w:val="标题 1 字符"/>
    <w:link w:val="2"/>
    <w:qFormat/>
    <w:uiPriority w:val="9"/>
    <w:rPr>
      <w:rFonts w:ascii="Arial" w:hAnsi="Arial" w:eastAsia="宋体" w:cs="Arial"/>
      <w:b/>
      <w:sz w:val="30"/>
      <w:szCs w:val="40"/>
    </w:rPr>
  </w:style>
  <w:style w:type="character" w:customStyle="1" w:styleId="103">
    <w:name w:val="标题 2 字符"/>
    <w:link w:val="3"/>
    <w:qFormat/>
    <w:uiPriority w:val="9"/>
    <w:rPr>
      <w:rFonts w:ascii="Arial" w:hAnsi="Arial" w:eastAsia="Arial" w:cs="Arial"/>
      <w:sz w:val="34"/>
    </w:rPr>
  </w:style>
  <w:style w:type="character" w:customStyle="1" w:styleId="104">
    <w:name w:val="标题 3 字符"/>
    <w:link w:val="4"/>
    <w:qFormat/>
    <w:uiPriority w:val="9"/>
    <w:rPr>
      <w:rFonts w:ascii="Arial" w:hAnsi="Arial" w:eastAsia="Arial" w:cs="Arial"/>
      <w:sz w:val="30"/>
      <w:szCs w:val="30"/>
    </w:rPr>
  </w:style>
  <w:style w:type="character" w:customStyle="1" w:styleId="105">
    <w:name w:val="标题 4 字符"/>
    <w:link w:val="5"/>
    <w:qFormat/>
    <w:uiPriority w:val="9"/>
    <w:rPr>
      <w:rFonts w:ascii="Arial" w:hAnsi="Arial" w:eastAsia="Arial" w:cs="Arial"/>
      <w:b/>
      <w:bCs/>
      <w:sz w:val="26"/>
      <w:szCs w:val="26"/>
    </w:rPr>
  </w:style>
  <w:style w:type="character" w:customStyle="1" w:styleId="106">
    <w:name w:val="标题 5 字符"/>
    <w:link w:val="6"/>
    <w:qFormat/>
    <w:uiPriority w:val="9"/>
    <w:rPr>
      <w:rFonts w:ascii="Arial" w:hAnsi="Arial" w:eastAsia="Arial" w:cs="Arial"/>
      <w:b/>
      <w:bCs/>
      <w:sz w:val="24"/>
      <w:szCs w:val="24"/>
    </w:rPr>
  </w:style>
  <w:style w:type="character" w:customStyle="1" w:styleId="107">
    <w:name w:val="标题 6 字符"/>
    <w:link w:val="7"/>
    <w:qFormat/>
    <w:uiPriority w:val="9"/>
    <w:rPr>
      <w:rFonts w:ascii="Arial" w:hAnsi="Arial" w:eastAsia="Arial" w:cs="Arial"/>
      <w:b/>
      <w:bCs/>
      <w:sz w:val="22"/>
      <w:szCs w:val="22"/>
    </w:rPr>
  </w:style>
  <w:style w:type="character" w:customStyle="1" w:styleId="108">
    <w:name w:val="标题 7 字符"/>
    <w:link w:val="8"/>
    <w:qFormat/>
    <w:uiPriority w:val="9"/>
    <w:rPr>
      <w:rFonts w:ascii="Arial" w:hAnsi="Arial" w:eastAsia="Arial" w:cs="Arial"/>
      <w:b/>
      <w:bCs/>
      <w:i/>
      <w:iCs/>
      <w:sz w:val="22"/>
      <w:szCs w:val="22"/>
    </w:rPr>
  </w:style>
  <w:style w:type="character" w:customStyle="1" w:styleId="109">
    <w:name w:val="标题 8 字符"/>
    <w:link w:val="9"/>
    <w:qFormat/>
    <w:uiPriority w:val="9"/>
    <w:rPr>
      <w:rFonts w:ascii="Arial" w:hAnsi="Arial" w:eastAsia="Arial" w:cs="Arial"/>
      <w:i/>
      <w:iCs/>
      <w:sz w:val="22"/>
      <w:szCs w:val="22"/>
    </w:rPr>
  </w:style>
  <w:style w:type="character" w:customStyle="1" w:styleId="110">
    <w:name w:val="标题 9 字符"/>
    <w:link w:val="10"/>
    <w:qFormat/>
    <w:uiPriority w:val="9"/>
    <w:rPr>
      <w:rFonts w:ascii="Arial" w:hAnsi="Arial" w:eastAsia="Arial" w:cs="Arial"/>
      <w:i/>
      <w:iCs/>
      <w:sz w:val="21"/>
      <w:szCs w:val="21"/>
    </w:rPr>
  </w:style>
  <w:style w:type="paragraph" w:styleId="111">
    <w:name w:val="List Paragraph"/>
    <w:basedOn w:val="1"/>
    <w:qFormat/>
    <w:uiPriority w:val="34"/>
    <w:pPr>
      <w:ind w:left="720"/>
      <w:contextualSpacing/>
    </w:pPr>
  </w:style>
  <w:style w:type="paragraph" w:styleId="112">
    <w:name w:val="No Spacing"/>
    <w:qFormat/>
    <w:uiPriority w:val="1"/>
    <w:rPr>
      <w:rFonts w:hint="default" w:ascii="Times New Roman" w:hAnsi="Times New Roman" w:eastAsia="宋体" w:cs="Times New Roman"/>
      <w:lang w:val="en-US" w:eastAsia="zh-CN" w:bidi="ar-SA"/>
    </w:rPr>
  </w:style>
  <w:style w:type="character" w:customStyle="1" w:styleId="113">
    <w:name w:val="标题 字符"/>
    <w:link w:val="37"/>
    <w:qFormat/>
    <w:uiPriority w:val="10"/>
    <w:rPr>
      <w:sz w:val="48"/>
      <w:szCs w:val="48"/>
    </w:rPr>
  </w:style>
  <w:style w:type="character" w:customStyle="1" w:styleId="114">
    <w:name w:val="副标题 字符"/>
    <w:link w:val="29"/>
    <w:qFormat/>
    <w:uiPriority w:val="11"/>
    <w:rPr>
      <w:sz w:val="24"/>
      <w:szCs w:val="24"/>
    </w:rPr>
  </w:style>
  <w:style w:type="paragraph" w:styleId="115">
    <w:name w:val="Quote"/>
    <w:basedOn w:val="1"/>
    <w:next w:val="1"/>
    <w:link w:val="116"/>
    <w:qFormat/>
    <w:uiPriority w:val="29"/>
    <w:pPr>
      <w:ind w:left="720" w:right="720"/>
    </w:pPr>
    <w:rPr>
      <w:i/>
    </w:rPr>
  </w:style>
  <w:style w:type="character" w:customStyle="1" w:styleId="116">
    <w:name w:val="引用 字符"/>
    <w:link w:val="115"/>
    <w:qFormat/>
    <w:uiPriority w:val="29"/>
    <w:rPr>
      <w:i/>
    </w:rPr>
  </w:style>
  <w:style w:type="paragraph" w:styleId="117">
    <w:name w:val="Intense Quote"/>
    <w:basedOn w:val="1"/>
    <w:next w:val="1"/>
    <w:link w:val="11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8">
    <w:name w:val="明显引用 字符"/>
    <w:link w:val="117"/>
    <w:qFormat/>
    <w:uiPriority w:val="30"/>
    <w:rPr>
      <w:i/>
    </w:rPr>
  </w:style>
  <w:style w:type="character" w:customStyle="1" w:styleId="119">
    <w:name w:val="页眉 字符"/>
    <w:link w:val="26"/>
    <w:qFormat/>
    <w:uiPriority w:val="99"/>
  </w:style>
  <w:style w:type="character" w:customStyle="1" w:styleId="120">
    <w:name w:val="Footer Char"/>
    <w:qFormat/>
    <w:uiPriority w:val="99"/>
  </w:style>
  <w:style w:type="character" w:customStyle="1" w:styleId="121">
    <w:name w:val="页脚 字符"/>
    <w:link w:val="24"/>
    <w:qFormat/>
    <w:uiPriority w:val="99"/>
  </w:style>
  <w:style w:type="table" w:customStyle="1" w:styleId="12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7">
    <w:name w:val="脚注文本 字符"/>
    <w:link w:val="30"/>
    <w:qFormat/>
    <w:uiPriority w:val="99"/>
    <w:rPr>
      <w:sz w:val="18"/>
    </w:rPr>
  </w:style>
  <w:style w:type="character" w:customStyle="1" w:styleId="248">
    <w:name w:val="尾注文本 字符"/>
    <w:link w:val="23"/>
    <w:qFormat/>
    <w:uiPriority w:val="99"/>
    <w:rPr>
      <w:sz w:val="20"/>
    </w:rPr>
  </w:style>
  <w:style w:type="paragraph" w:customStyle="1" w:styleId="249">
    <w:name w:val="TOC 标题1"/>
    <w:unhideWhenUsed/>
    <w:qFormat/>
    <w:uiPriority w:val="39"/>
    <w:rPr>
      <w:rFonts w:hint="default" w:ascii="Times New Roman" w:hAnsi="Times New Roman" w:eastAsia="宋体" w:cs="Times New Roman"/>
      <w:lang w:val="en-US" w:eastAsia="zh-CN" w:bidi="ar-SA"/>
    </w:rPr>
  </w:style>
  <w:style w:type="paragraph" w:customStyle="1" w:styleId="250">
    <w:name w:val="标题 11"/>
    <w:basedOn w:val="1"/>
    <w:next w:val="1"/>
    <w:qFormat/>
    <w:uiPriority w:val="9"/>
    <w:pPr>
      <w:keepNext/>
      <w:keepLines/>
      <w:spacing w:before="340" w:after="330" w:line="578" w:lineRule="auto"/>
      <w:outlineLvl w:val="0"/>
    </w:pPr>
    <w:rPr>
      <w:b/>
      <w:bCs/>
      <w:sz w:val="44"/>
      <w:szCs w:val="44"/>
    </w:rPr>
  </w:style>
  <w:style w:type="paragraph" w:customStyle="1" w:styleId="251">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52">
    <w:name w:val="标题 31"/>
    <w:basedOn w:val="1"/>
    <w:next w:val="1"/>
    <w:qFormat/>
    <w:uiPriority w:val="0"/>
    <w:pPr>
      <w:keepNext/>
      <w:keepLines/>
      <w:spacing w:before="260" w:after="260" w:line="416" w:lineRule="auto"/>
      <w:outlineLvl w:val="2"/>
    </w:pPr>
    <w:rPr>
      <w:b/>
      <w:bCs/>
      <w:sz w:val="32"/>
      <w:szCs w:val="32"/>
    </w:rPr>
  </w:style>
  <w:style w:type="character" w:customStyle="1" w:styleId="253">
    <w:name w:val="默认段落字体1"/>
    <w:unhideWhenUsed/>
    <w:qFormat/>
    <w:uiPriority w:val="1"/>
  </w:style>
  <w:style w:type="table" w:customStyle="1" w:styleId="254">
    <w:name w:val="普通表格1"/>
    <w:unhideWhenUsed/>
    <w:qFormat/>
    <w:uiPriority w:val="99"/>
    <w:tblPr>
      <w:tblCellMar>
        <w:top w:w="0" w:type="dxa"/>
        <w:left w:w="0" w:type="dxa"/>
        <w:bottom w:w="0" w:type="dxa"/>
        <w:right w:w="0" w:type="dxa"/>
      </w:tblCellMar>
    </w:tblPr>
  </w:style>
  <w:style w:type="paragraph" w:customStyle="1" w:styleId="255">
    <w:name w:val="正文文本缩进1"/>
    <w:basedOn w:val="1"/>
    <w:next w:val="256"/>
    <w:qFormat/>
    <w:uiPriority w:val="0"/>
    <w:pPr>
      <w:spacing w:after="120"/>
      <w:ind w:left="420"/>
    </w:pPr>
    <w:rPr>
      <w:rFonts w:ascii="等线" w:hAnsi="等线" w:eastAsia="等线"/>
    </w:rPr>
  </w:style>
  <w:style w:type="paragraph" w:customStyle="1" w:styleId="256">
    <w:name w:val="寄信人地址1"/>
    <w:basedOn w:val="1"/>
    <w:unhideWhenUsed/>
    <w:qFormat/>
    <w:uiPriority w:val="99"/>
    <w:rPr>
      <w:rFonts w:ascii="Arial" w:hAnsi="Arial"/>
    </w:rPr>
  </w:style>
  <w:style w:type="paragraph" w:customStyle="1" w:styleId="257">
    <w:name w:val="正文缩进1"/>
    <w:basedOn w:val="1"/>
    <w:unhideWhenUsed/>
    <w:qFormat/>
    <w:uiPriority w:val="0"/>
    <w:pPr>
      <w:ind w:firstLine="420"/>
    </w:pPr>
  </w:style>
  <w:style w:type="paragraph" w:customStyle="1" w:styleId="258">
    <w:name w:val="批注文字1"/>
    <w:basedOn w:val="1"/>
    <w:link w:val="259"/>
    <w:qFormat/>
    <w:uiPriority w:val="0"/>
    <w:pPr>
      <w:jc w:val="left"/>
    </w:pPr>
  </w:style>
  <w:style w:type="character" w:customStyle="1" w:styleId="259">
    <w:name w:val="批注文字 Char"/>
    <w:link w:val="258"/>
    <w:qFormat/>
    <w:uiPriority w:val="0"/>
    <w:rPr>
      <w:rFonts w:ascii="Calibri" w:hAnsi="Calibri"/>
      <w:sz w:val="21"/>
      <w:szCs w:val="22"/>
    </w:rPr>
  </w:style>
  <w:style w:type="paragraph" w:customStyle="1" w:styleId="260">
    <w:name w:val="正文文本11"/>
    <w:basedOn w:val="1"/>
    <w:next w:val="62"/>
    <w:qFormat/>
    <w:uiPriority w:val="0"/>
    <w:rPr>
      <w:rFonts w:ascii="楷体_GB2312" w:hAnsi="Arial" w:eastAsia="楷体_GB2312"/>
      <w:sz w:val="28"/>
      <w:szCs w:val="28"/>
    </w:rPr>
  </w:style>
  <w:style w:type="paragraph" w:customStyle="1" w:styleId="261">
    <w:name w:val="纯文本1"/>
    <w:basedOn w:val="1"/>
    <w:qFormat/>
    <w:uiPriority w:val="99"/>
    <w:rPr>
      <w:rFonts w:ascii="宋体" w:hAnsi="Courier New"/>
      <w:sz w:val="20"/>
      <w:szCs w:val="21"/>
    </w:rPr>
  </w:style>
  <w:style w:type="paragraph" w:customStyle="1" w:styleId="262">
    <w:name w:val="正文文本缩进 21"/>
    <w:basedOn w:val="1"/>
    <w:qFormat/>
    <w:uiPriority w:val="0"/>
    <w:pPr>
      <w:spacing w:after="120" w:line="480" w:lineRule="auto"/>
      <w:ind w:left="640"/>
    </w:pPr>
    <w:rPr>
      <w:rFonts w:eastAsia="仿宋_GB2312"/>
      <w:sz w:val="32"/>
      <w:szCs w:val="28"/>
    </w:rPr>
  </w:style>
  <w:style w:type="paragraph" w:customStyle="1" w:styleId="263">
    <w:name w:val="批注框文本1"/>
    <w:basedOn w:val="1"/>
    <w:link w:val="264"/>
    <w:qFormat/>
    <w:uiPriority w:val="0"/>
    <w:rPr>
      <w:sz w:val="18"/>
      <w:szCs w:val="18"/>
    </w:rPr>
  </w:style>
  <w:style w:type="character" w:customStyle="1" w:styleId="264">
    <w:name w:val="批注框文本 Char"/>
    <w:link w:val="263"/>
    <w:qFormat/>
    <w:uiPriority w:val="0"/>
    <w:rPr>
      <w:sz w:val="18"/>
      <w:szCs w:val="18"/>
    </w:rPr>
  </w:style>
  <w:style w:type="paragraph" w:customStyle="1" w:styleId="265">
    <w:name w:val="页脚1"/>
    <w:basedOn w:val="1"/>
    <w:unhideWhenUsed/>
    <w:qFormat/>
    <w:uiPriority w:val="99"/>
    <w:pPr>
      <w:tabs>
        <w:tab w:val="center" w:pos="4153"/>
        <w:tab w:val="right" w:pos="8306"/>
      </w:tabs>
      <w:jc w:val="left"/>
    </w:pPr>
    <w:rPr>
      <w:sz w:val="18"/>
      <w:szCs w:val="18"/>
    </w:rPr>
  </w:style>
  <w:style w:type="paragraph" w:customStyle="1" w:styleId="266">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67">
    <w:name w:val="目录 11"/>
    <w:basedOn w:val="1"/>
    <w:next w:val="1"/>
    <w:unhideWhenUsed/>
    <w:qFormat/>
    <w:uiPriority w:val="39"/>
  </w:style>
  <w:style w:type="paragraph" w:customStyle="1" w:styleId="268">
    <w:name w:val="目录 21"/>
    <w:basedOn w:val="1"/>
    <w:next w:val="1"/>
    <w:qFormat/>
    <w:uiPriority w:val="0"/>
    <w:pPr>
      <w:ind w:left="420"/>
    </w:pPr>
  </w:style>
  <w:style w:type="paragraph" w:customStyle="1" w:styleId="269">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70">
    <w:name w:val="普通(网站)1"/>
    <w:basedOn w:val="1"/>
    <w:qFormat/>
    <w:uiPriority w:val="0"/>
    <w:rPr>
      <w:rFonts w:ascii="Times New Roman" w:hAnsi="Times New Roman"/>
      <w:sz w:val="24"/>
    </w:rPr>
  </w:style>
  <w:style w:type="paragraph" w:customStyle="1" w:styleId="271">
    <w:name w:val="批注主题1"/>
    <w:basedOn w:val="258"/>
    <w:next w:val="258"/>
    <w:link w:val="272"/>
    <w:qFormat/>
    <w:uiPriority w:val="0"/>
    <w:rPr>
      <w:b/>
      <w:bCs/>
    </w:rPr>
  </w:style>
  <w:style w:type="character" w:customStyle="1" w:styleId="272">
    <w:name w:val="批注主题 Char"/>
    <w:link w:val="271"/>
    <w:qFormat/>
    <w:uiPriority w:val="0"/>
    <w:rPr>
      <w:rFonts w:ascii="Calibri" w:hAnsi="Calibri"/>
      <w:b/>
      <w:bCs/>
      <w:sz w:val="21"/>
      <w:szCs w:val="22"/>
    </w:rPr>
  </w:style>
  <w:style w:type="paragraph" w:customStyle="1" w:styleId="273">
    <w:name w:val="正文首行缩进 21"/>
    <w:basedOn w:val="255"/>
    <w:next w:val="1"/>
    <w:qFormat/>
    <w:uiPriority w:val="0"/>
    <w:pPr>
      <w:spacing w:before="100" w:beforeAutospacing="1"/>
      <w:ind w:firstLine="420"/>
    </w:pPr>
    <w:rPr>
      <w:rFonts w:ascii="Times New Roman" w:hAnsi="Times New Roman" w:eastAsia="宋体"/>
      <w:sz w:val="20"/>
      <w:szCs w:val="21"/>
    </w:rPr>
  </w:style>
  <w:style w:type="table" w:customStyle="1" w:styleId="274">
    <w:name w:val="网格型1"/>
    <w:basedOn w:val="254"/>
    <w:qFormat/>
    <w:uiPriority w:val="0"/>
    <w:pPr>
      <w:widowControl w:val="0"/>
      <w:jc w:val="both"/>
    </w:pPr>
    <w:tblPr>
      <w:tblCellMar>
        <w:top w:w="0" w:type="dxa"/>
        <w:left w:w="0" w:type="dxa"/>
        <w:bottom w:w="0" w:type="dxa"/>
        <w:right w:w="0" w:type="dxa"/>
      </w:tblCellMar>
    </w:tblPr>
  </w:style>
  <w:style w:type="character" w:customStyle="1" w:styleId="275">
    <w:name w:val="要点1"/>
    <w:qFormat/>
    <w:uiPriority w:val="0"/>
    <w:rPr>
      <w:b/>
    </w:rPr>
  </w:style>
  <w:style w:type="character" w:customStyle="1" w:styleId="276">
    <w:name w:val="强调1"/>
    <w:qFormat/>
    <w:uiPriority w:val="0"/>
    <w:rPr>
      <w:i/>
    </w:rPr>
  </w:style>
  <w:style w:type="character" w:customStyle="1" w:styleId="277">
    <w:name w:val="超链接1"/>
    <w:qFormat/>
    <w:uiPriority w:val="0"/>
    <w:rPr>
      <w:color w:val="0000FF"/>
      <w:u w:val="single"/>
    </w:rPr>
  </w:style>
  <w:style w:type="character" w:customStyle="1" w:styleId="278">
    <w:name w:val="批注引用1"/>
    <w:qFormat/>
    <w:uiPriority w:val="0"/>
    <w:rPr>
      <w:sz w:val="21"/>
      <w:szCs w:val="21"/>
    </w:rPr>
  </w:style>
  <w:style w:type="paragraph" w:customStyle="1" w:styleId="279">
    <w:name w:val="Char"/>
    <w:basedOn w:val="1"/>
    <w:qFormat/>
    <w:uiPriority w:val="0"/>
    <w:pPr>
      <w:tabs>
        <w:tab w:val="left" w:pos="360"/>
      </w:tabs>
      <w:ind w:firstLine="200"/>
    </w:pPr>
    <w:rPr>
      <w:rFonts w:ascii="Times New Roman" w:hAnsi="Times New Roman"/>
      <w:sz w:val="28"/>
      <w:szCs w:val="30"/>
    </w:rPr>
  </w:style>
  <w:style w:type="paragraph" w:customStyle="1" w:styleId="280">
    <w:name w:val="Table Paragraph"/>
    <w:basedOn w:val="1"/>
    <w:qFormat/>
    <w:uiPriority w:val="1"/>
    <w:rPr>
      <w:rFonts w:ascii="Noto Sans CJK JP Regular" w:hAnsi="Noto Sans CJK JP Regular" w:eastAsia="Noto Sans CJK JP Regular" w:cs="Noto Sans CJK JP Regular"/>
    </w:rPr>
  </w:style>
  <w:style w:type="paragraph" w:customStyle="1" w:styleId="281">
    <w:name w:val="正文（1）"/>
    <w:basedOn w:val="1"/>
    <w:qFormat/>
    <w:uiPriority w:val="0"/>
    <w:pPr>
      <w:numPr>
        <w:ilvl w:val="0"/>
        <w:numId w:val="2"/>
      </w:numPr>
      <w:ind w:firstLine="200"/>
    </w:pPr>
    <w:rPr>
      <w:szCs w:val="24"/>
    </w:rPr>
  </w:style>
  <w:style w:type="paragraph" w:customStyle="1" w:styleId="282">
    <w:name w:val="朱-正文"/>
    <w:basedOn w:val="1"/>
    <w:qFormat/>
    <w:uiPriority w:val="0"/>
    <w:pPr>
      <w:ind w:firstLine="200"/>
    </w:pPr>
    <w:rPr>
      <w:rFonts w:ascii="Times New Roman"/>
      <w:color w:val="000000"/>
      <w:szCs w:val="24"/>
      <w:lang w:val="en-GB"/>
    </w:rPr>
  </w:style>
  <w:style w:type="paragraph" w:customStyle="1" w:styleId="283">
    <w:name w:val="GP正文(首行缩进)"/>
    <w:basedOn w:val="1"/>
    <w:qFormat/>
    <w:uiPriority w:val="0"/>
    <w:pPr>
      <w:ind w:firstLine="480"/>
      <w:jc w:val="left"/>
    </w:pPr>
    <w:rPr>
      <w:rFonts w:ascii="Times New Roman" w:hAnsi="宋体"/>
      <w:sz w:val="24"/>
      <w:szCs w:val="24"/>
    </w:rPr>
  </w:style>
  <w:style w:type="character" w:customStyle="1" w:styleId="284">
    <w:name w:val="font71"/>
    <w:basedOn w:val="41"/>
    <w:qFormat/>
    <w:uiPriority w:val="0"/>
    <w:rPr>
      <w:rFonts w:hint="eastAsia" w:ascii="宋体" w:hAnsi="宋体" w:eastAsia="宋体" w:cs="宋体"/>
      <w:color w:val="FF0000"/>
      <w:sz w:val="21"/>
      <w:szCs w:val="21"/>
      <w:u w:val="none"/>
    </w:rPr>
  </w:style>
  <w:style w:type="character" w:customStyle="1" w:styleId="285">
    <w:name w:val="font41"/>
    <w:qFormat/>
    <w:uiPriority w:val="0"/>
    <w:rPr>
      <w:rFonts w:hint="eastAsia" w:ascii="宋体" w:hAnsi="宋体" w:eastAsia="宋体" w:cs="宋体"/>
      <w:color w:val="000000"/>
      <w:sz w:val="21"/>
      <w:szCs w:val="21"/>
      <w:u w:val="none"/>
    </w:rPr>
  </w:style>
  <w:style w:type="paragraph" w:customStyle="1" w:styleId="286">
    <w:name w:val="列出段落"/>
    <w:basedOn w:val="1"/>
    <w:qFormat/>
    <w:uiPriority w:val="0"/>
    <w:pPr>
      <w:ind w:firstLine="420"/>
    </w:pPr>
  </w:style>
  <w:style w:type="paragraph" w:customStyle="1" w:styleId="287">
    <w:name w:val="列出段落2"/>
    <w:basedOn w:val="1"/>
    <w:qFormat/>
    <w:uiPriority w:val="34"/>
    <w:pPr>
      <w:ind w:firstLine="420"/>
    </w:pPr>
    <w:rPr>
      <w:rFonts w:ascii="宋体"/>
      <w:color w:val="404040"/>
    </w:rPr>
  </w:style>
  <w:style w:type="paragraph" w:customStyle="1" w:styleId="288">
    <w:name w:val="列表段落1"/>
    <w:basedOn w:val="1"/>
    <w:qFormat/>
    <w:uiPriority w:val="0"/>
    <w:pPr>
      <w:ind w:firstLine="200"/>
    </w:pPr>
    <w:rPr>
      <w:rFonts w:cs="宋体"/>
    </w:rPr>
  </w:style>
  <w:style w:type="character" w:customStyle="1" w:styleId="289">
    <w:name w:val="font51"/>
    <w:qFormat/>
    <w:uiPriority w:val="0"/>
    <w:rPr>
      <w:rFonts w:hint="eastAsia" w:ascii="宋体" w:hAnsi="宋体" w:eastAsia="宋体" w:cs="宋体"/>
      <w:color w:val="000000"/>
      <w:sz w:val="24"/>
      <w:szCs w:val="24"/>
      <w:u w:val="none"/>
      <w:vertAlign w:val="subscript"/>
    </w:rPr>
  </w:style>
  <w:style w:type="character" w:customStyle="1" w:styleId="290">
    <w:name w:val="font61"/>
    <w:basedOn w:val="41"/>
    <w:qFormat/>
    <w:uiPriority w:val="0"/>
    <w:rPr>
      <w:rFonts w:hint="eastAsia" w:ascii="宋体" w:hAnsi="宋体" w:eastAsia="宋体" w:cs="宋体"/>
      <w:color w:val="000000"/>
      <w:sz w:val="24"/>
      <w:szCs w:val="24"/>
      <w:u w:val="none"/>
    </w:rPr>
  </w:style>
  <w:style w:type="character" w:customStyle="1" w:styleId="291">
    <w:name w:val="font01"/>
    <w:qFormat/>
    <w:uiPriority w:val="0"/>
    <w:rPr>
      <w:rFonts w:hint="eastAsia" w:ascii="宋体" w:hAnsi="宋体" w:eastAsia="宋体" w:cs="宋体"/>
      <w:color w:val="000000"/>
      <w:sz w:val="24"/>
      <w:szCs w:val="24"/>
      <w:u w:val="none"/>
    </w:rPr>
  </w:style>
  <w:style w:type="character" w:customStyle="1" w:styleId="292">
    <w:name w:val="font81"/>
    <w:qFormat/>
    <w:uiPriority w:val="0"/>
    <w:rPr>
      <w:rFonts w:ascii="微软雅黑" w:hAnsi="微软雅黑" w:eastAsia="微软雅黑" w:cs="微软雅黑"/>
      <w:color w:val="000000"/>
      <w:sz w:val="24"/>
      <w:szCs w:val="24"/>
      <w:u w:val="none"/>
    </w:rPr>
  </w:style>
  <w:style w:type="character" w:customStyle="1" w:styleId="293">
    <w:name w:val="font91"/>
    <w:basedOn w:val="41"/>
    <w:qFormat/>
    <w:uiPriority w:val="0"/>
    <w:rPr>
      <w:rFonts w:ascii="Segoe UI Symbol" w:hAnsi="Segoe UI Symbol" w:eastAsia="Segoe UI Symbol" w:cs="Segoe UI Symbol"/>
      <w:color w:val="000000"/>
      <w:sz w:val="24"/>
      <w:szCs w:val="24"/>
      <w:u w:val="none"/>
    </w:rPr>
  </w:style>
  <w:style w:type="character" w:customStyle="1" w:styleId="294">
    <w:name w:val="font101"/>
    <w:qFormat/>
    <w:uiPriority w:val="0"/>
    <w:rPr>
      <w:rFonts w:ascii="Calibri" w:hAnsi="Calibri" w:cs="Calibri"/>
      <w:color w:val="000000"/>
      <w:sz w:val="24"/>
      <w:szCs w:val="24"/>
      <w:u w:val="none"/>
    </w:rPr>
  </w:style>
  <w:style w:type="paragraph" w:customStyle="1" w:styleId="295">
    <w:name w:val="TableItem"/>
    <w:qFormat/>
    <w:uiPriority w:val="0"/>
    <w:rPr>
      <w:rFonts w:hint="default" w:ascii="Verdana" w:hAnsi="Verdana" w:eastAsia="宋体" w:cs="Verdana"/>
      <w:b/>
      <w:bCs/>
      <w:color w:val="538135"/>
      <w:spacing w:val="-10"/>
      <w:sz w:val="16"/>
      <w:szCs w:val="28"/>
      <w:lang w:val="en-US" w:eastAsia="zh-CN" w:bidi="ar-SA"/>
    </w:rPr>
  </w:style>
  <w:style w:type="paragraph" w:customStyle="1" w:styleId="296">
    <w:name w:val="TableEmphasis"/>
    <w:basedOn w:val="1"/>
    <w:qFormat/>
    <w:uiPriority w:val="0"/>
    <w:rPr>
      <w:rFonts w:ascii="Times New Roman" w:hAnsi="Times New Roman" w:eastAsia="Times New Roman"/>
      <w:b/>
      <w:bCs/>
      <w:color w:val="3333FF"/>
      <w:sz w:val="16"/>
      <w:szCs w:val="18"/>
    </w:rPr>
  </w:style>
  <w:style w:type="paragraph" w:customStyle="1" w:styleId="297">
    <w:name w:val="修订1"/>
    <w:unhideWhenUsed/>
    <w:qFormat/>
    <w:uiPriority w:val="99"/>
    <w:rPr>
      <w:rFonts w:hint="default" w:ascii="Calibri" w:hAnsi="Calibri" w:eastAsia="宋体" w:cs="Times New Roman"/>
      <w:sz w:val="21"/>
      <w:szCs w:val="22"/>
      <w:lang w:val="en-US" w:eastAsia="zh-CN" w:bidi="ar-SA"/>
    </w:rPr>
  </w:style>
  <w:style w:type="paragraph" w:customStyle="1" w:styleId="298">
    <w:name w:val="修订2"/>
    <w:semiHidden/>
    <w:qFormat/>
    <w:uiPriority w:val="99"/>
    <w:rPr>
      <w:rFonts w:hint="default" w:ascii="Calibri" w:hAnsi="Calibri" w:eastAsia="宋体" w:cs="Times New Roman"/>
      <w:sz w:val="21"/>
      <w:szCs w:val="22"/>
      <w:lang w:val="en-US" w:eastAsia="zh-CN" w:bidi="ar-SA"/>
    </w:rPr>
  </w:style>
  <w:style w:type="character" w:customStyle="1" w:styleId="299">
    <w:name w:val="font11"/>
    <w:qFormat/>
    <w:uiPriority w:val="0"/>
    <w:rPr>
      <w:rFonts w:hint="eastAsia" w:ascii="宋体" w:hAnsi="宋体" w:eastAsia="宋体" w:cs="宋体"/>
      <w:color w:val="000000"/>
      <w:sz w:val="24"/>
      <w:szCs w:val="24"/>
      <w:u w:val="none"/>
    </w:rPr>
  </w:style>
  <w:style w:type="character" w:customStyle="1" w:styleId="300">
    <w:name w:val="font21"/>
    <w:qFormat/>
    <w:uiPriority w:val="0"/>
    <w:rPr>
      <w:rFonts w:ascii="Segoe UI Symbol" w:hAnsi="Segoe UI Symbol" w:eastAsia="Segoe UI Symbol" w:cs="Segoe UI Symbol"/>
      <w:color w:val="000000"/>
      <w:sz w:val="24"/>
      <w:szCs w:val="24"/>
      <w:u w:val="none"/>
    </w:rPr>
  </w:style>
  <w:style w:type="character" w:customStyle="1" w:styleId="301">
    <w:name w:val="NormalCharacter1"/>
    <w:semiHidden/>
    <w:qFormat/>
    <w:uiPriority w:val="0"/>
  </w:style>
  <w:style w:type="character" w:customStyle="1" w:styleId="302">
    <w:name w:val="font31"/>
    <w:qFormat/>
    <w:uiPriority w:val="0"/>
    <w:rPr>
      <w:rFonts w:hint="eastAsia" w:ascii="宋体" w:hAnsi="宋体" w:eastAsia="宋体" w:cs="宋体"/>
      <w:color w:val="000000"/>
      <w:sz w:val="21"/>
      <w:szCs w:val="21"/>
      <w:u w:val="none"/>
    </w:rPr>
  </w:style>
  <w:style w:type="paragraph" w:customStyle="1" w:styleId="303">
    <w:name w:val="无间隔1"/>
    <w:qFormat/>
    <w:uiPriority w:val="1"/>
    <w:rPr>
      <w:rFonts w:hint="default" w:ascii="Times New Roman" w:hAnsi="Times New Roman" w:eastAsia="宋体" w:cs="Times New Roman"/>
      <w:lang w:val="en-US" w:eastAsia="zh-CN" w:bidi="ar-SA"/>
    </w:rPr>
  </w:style>
  <w:style w:type="paragraph" w:customStyle="1" w:styleId="304">
    <w:name w:val="索引 41"/>
    <w:basedOn w:val="1"/>
    <w:next w:val="1"/>
    <w:unhideWhenUsed/>
    <w:qFormat/>
    <w:uiPriority w:val="99"/>
    <w:pPr>
      <w:ind w:left="600"/>
    </w:pPr>
    <w:rPr>
      <w:rFonts w:ascii="Verdana" w:hAnsi="Verdana" w:eastAsia="微软雅黑"/>
      <w:szCs w:val="20"/>
    </w:rPr>
  </w:style>
  <w:style w:type="paragraph" w:customStyle="1" w:styleId="305">
    <w:name w:val="样式 宋体 加粗 居中"/>
    <w:basedOn w:val="1"/>
    <w:qFormat/>
    <w:uiPriority w:val="0"/>
    <w:pPr>
      <w:jc w:val="center"/>
    </w:pPr>
    <w:rPr>
      <w:rFonts w:ascii="宋体" w:hAnsi="宋体" w:cs="宋体"/>
      <w:b/>
      <w:bCs/>
      <w:sz w:val="32"/>
      <w:szCs w:val="20"/>
    </w:rPr>
  </w:style>
  <w:style w:type="character" w:customStyle="1" w:styleId="306">
    <w:name w:val="font151"/>
    <w:basedOn w:val="41"/>
    <w:qFormat/>
    <w:uiPriority w:val="0"/>
    <w:rPr>
      <w:rFonts w:hint="eastAsia" w:ascii="宋体" w:hAnsi="宋体" w:eastAsia="宋体" w:cs="宋体"/>
      <w:color w:val="000000"/>
      <w:sz w:val="24"/>
      <w:szCs w:val="24"/>
      <w:u w:val="none"/>
    </w:rPr>
  </w:style>
  <w:style w:type="character" w:customStyle="1" w:styleId="307">
    <w:name w:val="font161"/>
    <w:basedOn w:val="41"/>
    <w:qFormat/>
    <w:uiPriority w:val="0"/>
    <w:rPr>
      <w:rFonts w:hint="eastAsia" w:ascii="宋体" w:hAnsi="宋体" w:eastAsia="宋体" w:cs="宋体"/>
      <w:color w:val="000000"/>
      <w:sz w:val="24"/>
      <w:szCs w:val="24"/>
      <w:u w:val="none"/>
    </w:rPr>
  </w:style>
  <w:style w:type="character" w:customStyle="1" w:styleId="308">
    <w:name w:val="font171"/>
    <w:basedOn w:val="41"/>
    <w:qFormat/>
    <w:uiPriority w:val="0"/>
    <w:rPr>
      <w:rFonts w:hint="eastAsia" w:ascii="宋体" w:hAnsi="宋体" w:eastAsia="宋体" w:cs="宋体"/>
      <w:color w:val="000000"/>
      <w:sz w:val="24"/>
      <w:szCs w:val="24"/>
      <w:u w:val="none"/>
    </w:rPr>
  </w:style>
  <w:style w:type="table" w:customStyle="1" w:styleId="309">
    <w:name w:val="Table Normal"/>
    <w:semiHidden/>
    <w:unhideWhenUsed/>
    <w:qFormat/>
    <w:uiPriority w:val="2"/>
    <w:tblPr>
      <w:tblCellMar>
        <w:top w:w="0" w:type="dxa"/>
        <w:left w:w="0" w:type="dxa"/>
        <w:bottom w:w="0" w:type="dxa"/>
        <w:right w:w="0" w:type="dxa"/>
      </w:tblCellMar>
    </w:tblPr>
  </w:style>
  <w:style w:type="paragraph" w:customStyle="1" w:styleId="310">
    <w:name w:val="正文文本缩进12"/>
    <w:basedOn w:val="1"/>
    <w:next w:val="1"/>
    <w:qFormat/>
    <w:uiPriority w:val="0"/>
    <w:pPr>
      <w:spacing w:line="520" w:lineRule="exact"/>
      <w:ind w:left="570"/>
    </w:pPr>
    <w:rPr>
      <w:rFonts w:ascii="方正仿宋简体" w:hAnsi="创艺简仿宋" w:eastAsia="方正仿宋简体"/>
      <w:sz w:val="24"/>
    </w:rPr>
  </w:style>
  <w:style w:type="paragraph" w:customStyle="1" w:styleId="311">
    <w:name w:val="Table Text"/>
    <w:basedOn w:val="1"/>
    <w:semiHidden/>
    <w:qFormat/>
    <w:uiPriority w:val="0"/>
    <w:rPr>
      <w:rFonts w:ascii="宋体" w:hAnsi="宋体" w:eastAsia="宋体" w:cs="宋体"/>
      <w:sz w:val="18"/>
      <w:szCs w:val="18"/>
      <w:lang w:val="en-US" w:eastAsia="en-US" w:bidi="ar-SA"/>
    </w:rPr>
  </w:style>
  <w:style w:type="paragraph" w:customStyle="1" w:styleId="312">
    <w:name w:val="标题 311"/>
    <w:basedOn w:val="1"/>
    <w:next w:val="1"/>
    <w:qFormat/>
    <w:uiPriority w:val="9"/>
    <w:pPr>
      <w:keepNext/>
      <w:keepLines/>
      <w:spacing w:before="260" w:after="260" w:line="413" w:lineRule="auto"/>
      <w:outlineLvl w:val="2"/>
    </w:pPr>
    <w:rPr>
      <w:b/>
      <w:sz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Company>
  <Pages>80</Pages>
  <Words>9851</Words>
  <Characters>10776</Characters>
  <TotalTime>83</TotalTime>
  <ScaleCrop>false</ScaleCrop>
  <LinksUpToDate>false</LinksUpToDate>
  <CharactersWithSpaces>10904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2024-08-07T07:47:00Z</dcterms:created>
  <dc:creator>Adminis</dc:creator>
  <cp:lastModifiedBy>只只</cp:lastModifiedBy>
  <cp:lastPrinted>2026-10-08T00:53:00Z</cp:lastPrinted>
  <dcterms:modified xsi:type="dcterms:W3CDTF">2026-10-08T02:58:22Z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C34941DF5CCF4394B8400D4260596DDA_13</vt:lpwstr>
  </property>
  <property fmtid="{D5CDD505-2E9C-101B-9397-08002B2CF9AE}" pid="4" name="KSOTemplateDocerSaveRecord">
    <vt:lpwstr>eyJoZGlkIjoiZTQzZDljYmM1NzAxOTllZjJiNGNhMjI1MzQwNjQ5NDkiLCJ1c2VySWQiOiI0MjA3MzY5OTYifQ==</vt:lpwstr>
  </property>
</Properties>
</file>