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eastAsia="宋体"/>
          <w:b/>
          <w:bCs/>
          <w:color w:val="000000"/>
          <w:sz w:val="32"/>
          <w:szCs w:val="24"/>
          <w:u w:val="single"/>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u w:val="none"/>
          <w:lang w:eastAsia="zh-CN"/>
        </w:rPr>
        <w:t xml:space="preserve">高邮市公安局算力及大模型应用服务项目</w:t>
      </w:r>
      <w:r/>
    </w:p>
    <w:p>
      <w:pPr>
        <w:spacing w:before="120" w:after="120" w:line="360" w:lineRule="auto"/>
        <w:rPr>
          <w:rFonts w:hint="eastAsia" w:ascii="Arial" w:hAnsi="Arial"/>
          <w:b/>
          <w:bCs/>
          <w:sz w:val="32"/>
          <w:szCs w:val="24"/>
        </w:rPr>
      </w:pPr>
      <w:r>
        <w:rPr>
          <w:rFonts w:hint="eastAsia" w:ascii="Arial" w:hAnsi="Arial"/>
          <w:b/>
          <w:bCs/>
          <w:sz w:val="32"/>
          <w:szCs w:val="24"/>
        </w:rPr>
        <w:t xml:space="preserve">项目编号：JSZC-321084-JZCG-G2026-0023</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扬州市公共资源交易中心高邮分中心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u w:val="single"/>
          <w:lang w:val="en-US" w:eastAsia="zh-CN"/>
        </w:rPr>
        <w:t xml:space="preserve"> 2026 </w:t>
      </w:r>
      <w:r>
        <w:rPr>
          <w:rFonts w:hint="eastAsia" w:ascii="Arial" w:hAnsi="Arial"/>
          <w:b/>
          <w:bCs/>
          <w:color w:val="000000"/>
          <w:sz w:val="32"/>
          <w:szCs w:val="24"/>
        </w:rPr>
        <w:t xml:space="preserve">年</w:t>
      </w:r>
      <w:r>
        <w:rPr>
          <w:rFonts w:hint="eastAsia" w:ascii="Arial" w:hAnsi="Arial"/>
          <w:b/>
          <w:bCs/>
          <w:color w:val="000000"/>
          <w:sz w:val="32"/>
          <w:szCs w:val="24"/>
          <w:u w:val="single"/>
          <w:lang w:val="en-US" w:eastAsia="zh-CN"/>
        </w:rPr>
        <w:t xml:space="preserve"> 9 </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523127445"/>
      <w:r/>
      <w:bookmarkStart w:id="1" w:name="_Toc513029200"/>
      <w:r/>
      <w:bookmarkStart w:id="2" w:name="_Toc120614210"/>
      <w:r/>
      <w:bookmarkStart w:id="3" w:name="_Toc479757206"/>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02</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06</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受[高邮市公安局]的委托，</w:t>
      </w:r>
      <w:r>
        <w:rPr>
          <w:rFonts w:hint="eastAsia" w:ascii="宋体" w:hAnsi="宋体"/>
          <w:color w:val="000000"/>
          <w:sz w:val="24"/>
          <w:szCs w:val="24"/>
          <w:lang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高邮市公安局算力及大模型应用服务项目</w:t>
      </w:r>
      <w:r>
        <w:rPr>
          <w:rFonts w:hint="eastAsia" w:ascii="宋体" w:hAnsi="宋体"/>
          <w:color w:val="auto"/>
          <w:sz w:val="24"/>
          <w:szCs w:val="24"/>
        </w:rPr>
        <w:t xml:space="preserve">](JSZC-321084-JZCG-G2026-0023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w:t>
      </w:r>
      <w:r>
        <w:rPr>
          <w:rFonts w:hint="eastAsia" w:ascii="宋体" w:hAnsi="宋体"/>
          <w:color w:val="auto"/>
          <w:sz w:val="24"/>
          <w:szCs w:val="24"/>
          <w:u w:val="single"/>
          <w:lang w:eastAsia="zh-CN"/>
        </w:rPr>
        <w:t xml:space="preserve">高邮市公安局算力及大模型应用服务项目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一、项目基本情况</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1.项目编号：JSZC-321084-JZCG-G2026-0023</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高邮市公安局算力及大模型应用服务项目</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68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150</w:t>
            </w:r>
            <w:r/>
          </w:p>
        </w:tc>
      </w:tr>
    </w:tbl>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68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150</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bCs/>
          <w:iCs/>
          <w:sz w:val="24"/>
          <w:szCs w:val="24"/>
          <w:lang w:val="en-US" w:eastAsia="zh-CN"/>
        </w:rPr>
        <w:t xml:space="preserve">为贯彻落实公安工作智能化、现代化建设要求，提升警务实战效能与研判能力，高邮市公安局拟建设一套面向警务场景的AI算力设备服务与一套智能体软件搭建服务。项目涵盖高性能国产化AI算力的部署，提供算力管理平台服务，并搭建</w:t>
      </w:r>
      <w:r>
        <w:rPr>
          <w:rFonts w:hint="eastAsia" w:ascii="宋体" w:hAnsi="宋体" w:cs="宋体"/>
          <w:bCs/>
          <w:iCs/>
          <w:sz w:val="24"/>
          <w:szCs w:val="24"/>
          <w:lang w:val="en-US" w:eastAsia="zh-CN"/>
        </w:rPr>
        <w:t xml:space="preserve">五</w:t>
      </w:r>
      <w:r>
        <w:rPr>
          <w:rFonts w:hint="eastAsia" w:ascii="宋体" w:hAnsi="宋体" w:eastAsia="宋体" w:cs="宋体"/>
          <w:bCs/>
          <w:iCs/>
          <w:sz w:val="24"/>
          <w:szCs w:val="24"/>
          <w:lang w:val="en-US" w:eastAsia="zh-CN"/>
        </w:rPr>
        <w:t xml:space="preserve">个智能体软件：盗窃案件分析智能体、交通类警情分析报告智能体、全警种知识库问答智能体、接线员培训出题工具智能体、处警预案流程思维导图绘制工具。</w:t>
      </w:r>
      <w:r>
        <w:rPr>
          <w:rFonts w:hint="eastAsia" w:ascii="宋体" w:hAnsi="宋体" w:eastAsia="宋体" w:cs="宋体"/>
          <w:bCs/>
          <w:iCs/>
          <w:color w:val="auto"/>
          <w:sz w:val="24"/>
          <w:szCs w:val="24"/>
          <w:highlight w:val="none"/>
          <w:lang w:val="en-US" w:eastAsia="zh-CN"/>
        </w:rPr>
        <w:t xml:space="preserve">（详细内容见本招标文件第四章）</w:t>
      </w:r>
      <w:r/>
    </w:p>
    <w:p>
      <w:pPr>
        <w:ind w:firstLine="480"/>
        <w:spacing w:line="400" w:lineRule="exact"/>
        <w:rPr>
          <w:rFonts w:hint="default" w:ascii="宋体" w:hAnsi="宋体"/>
          <w:color w:val="000000"/>
          <w:sz w:val="24"/>
          <w:szCs w:val="24"/>
          <w:u w:val="single"/>
          <w:lang w:val="en-US"/>
        </w:rPr>
      </w:pPr>
      <w:r>
        <w:rPr>
          <w:rFonts w:hint="eastAsia" w:ascii="宋体" w:hAnsi="宋体"/>
          <w:color w:val="000000"/>
          <w:sz w:val="24"/>
          <w:szCs w:val="24"/>
        </w:rPr>
        <w:t xml:space="preserve">6.合同履行期限：</w:t>
      </w:r>
      <w:r>
        <w:rPr>
          <w:rFonts w:hint="eastAsia" w:ascii="宋体" w:hAnsi="宋体" w:eastAsia="宋体" w:cs="宋体"/>
          <w:i w:val="0"/>
          <w:iCs w:val="0"/>
          <w:color w:val="auto"/>
          <w:sz w:val="24"/>
          <w:szCs w:val="24"/>
          <w:u w:val="none"/>
          <w:lang w:val="en-US" w:eastAsia="zh-CN"/>
        </w:rPr>
        <w:t xml:space="preserve">合同签订</w:t>
      </w:r>
      <w:r>
        <w:rPr>
          <w:rFonts w:hint="eastAsia" w:ascii="宋体" w:hAnsi="宋体" w:cs="宋体"/>
          <w:i w:val="0"/>
          <w:iCs w:val="0"/>
          <w:color w:val="auto"/>
          <w:sz w:val="24"/>
          <w:szCs w:val="24"/>
          <w:u w:val="none"/>
          <w:lang w:val="en-US" w:eastAsia="zh-CN"/>
        </w:rPr>
        <w:t xml:space="preserve">之日起60日历天</w:t>
      </w:r>
      <w:r>
        <w:rPr>
          <w:rFonts w:hint="eastAsia" w:ascii="宋体" w:hAnsi="宋体" w:eastAsia="宋体" w:cs="宋体"/>
          <w:i w:val="0"/>
          <w:iCs w:val="0"/>
          <w:color w:val="auto"/>
          <w:sz w:val="24"/>
          <w:szCs w:val="24"/>
          <w:u w:val="none"/>
          <w:lang w:val="en-US" w:eastAsia="zh-CN"/>
        </w:rPr>
        <w:t xml:space="preserve">内完成</w:t>
      </w:r>
      <w:r>
        <w:rPr>
          <w:rFonts w:hint="eastAsia" w:ascii="宋体" w:hAnsi="宋体" w:cs="宋体"/>
          <w:i w:val="0"/>
          <w:iCs w:val="0"/>
          <w:color w:val="auto"/>
          <w:sz w:val="24"/>
          <w:szCs w:val="24"/>
          <w:u w:val="none"/>
          <w:lang w:val="en-US" w:eastAsia="zh-CN"/>
        </w:rPr>
        <w:t xml:space="preserve">安装调试及验收工作,自验收之日起服务期一年</w:t>
      </w:r>
      <w:r>
        <w:rPr>
          <w:rFonts w:hint="eastAsia" w:ascii="宋体" w:hAnsi="宋体" w:eastAsia="宋体" w:cs="宋体"/>
          <w:i w:val="0"/>
          <w:iCs w:val="0"/>
          <w:color w:val="auto"/>
          <w:sz w:val="24"/>
          <w:szCs w:val="24"/>
          <w:u w:val="none"/>
          <w:lang w:val="en-US" w:eastAsia="zh-CN"/>
        </w:rPr>
        <w:t xml:space="preserve">。</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r/>
    </w:p>
    <w:p>
      <w:pPr>
        <w:ind w:firstLine="560"/>
        <w:spacing w:line="400" w:lineRule="exact"/>
        <w:rPr>
          <w:rFonts w:hint="eastAsia" w:ascii="宋体" w:hAnsi="宋体"/>
          <w:color w:val="000000"/>
          <w:sz w:val="28"/>
          <w:szCs w:val="28"/>
        </w:rPr>
      </w:pPr>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4.联合体投标</w:t>
      </w:r>
      <w:r/>
    </w:p>
    <w:tbl>
      <w:tblPr>
        <w:tblStyle w:val="72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2578"/>
        <w:gridCol w:w="3831"/>
      </w:tblGrid>
      <w:tr>
        <w:trPr/>
        <w:tc>
          <w:tcPr>
            <w:shd w:val="clear" w:color="auto" w:fill="auto"/>
            <w:tcBorders>
              <w:top w:val="single" w:color="000000" w:sz="8" w:space="0"/>
              <w:left w:val="single" w:color="000000" w:sz="8" w:space="0"/>
              <w:bottom w:val="single" w:color="000000" w:sz="8" w:space="0"/>
              <w:right w:val="single" w:color="000000" w:sz="8" w:space="0"/>
            </w:tcBorders>
            <w:tcW w:w="851"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采购</w:t>
            </w:r>
            <w:r/>
          </w:p>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包号</w:t>
            </w:r>
            <w:r/>
          </w:p>
        </w:tc>
        <w:tc>
          <w:tcPr>
            <w:shd w:val="clear" w:color="auto" w:fill="auto"/>
            <w:tcBorders>
              <w:top w:val="single" w:color="000000" w:sz="8" w:space="0"/>
              <w:left w:val="none" w:color="000000" w:sz="4" w:space="0"/>
              <w:bottom w:val="single" w:color="000000" w:sz="8" w:space="0"/>
              <w:right w:val="single" w:color="000000" w:sz="8" w:space="0"/>
            </w:tcBorders>
            <w:tcW w:w="2578"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是否接受联合体投标</w:t>
            </w:r>
            <w:r/>
          </w:p>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（是/否）</w:t>
            </w:r>
            <w:r/>
          </w:p>
        </w:tc>
        <w:tc>
          <w:tcPr>
            <w:shd w:val="clear" w:color="auto" w:fill="auto"/>
            <w:tcBorders>
              <w:top w:val="single" w:color="000000" w:sz="8" w:space="0"/>
              <w:left w:val="none" w:color="000000" w:sz="4" w:space="0"/>
              <w:bottom w:val="single" w:color="000000" w:sz="8" w:space="0"/>
              <w:right w:val="single" w:color="000000" w:sz="8" w:space="0"/>
            </w:tcBorders>
            <w:tcW w:w="3831"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该采购包中联合体成员数量上限</w:t>
            </w:r>
            <w:r/>
          </w:p>
        </w:tc>
      </w:tr>
      <w:tr>
        <w:trPr/>
        <w:tc>
          <w:tcPr>
            <w:shd w:val="clear" w:color="auto" w:fill="auto"/>
            <w:tcBorders>
              <w:top w:val="none" w:color="000000" w:sz="4" w:space="0"/>
              <w:left w:val="single" w:color="000000" w:sz="8" w:space="0"/>
              <w:bottom w:val="single" w:color="000000" w:sz="8" w:space="0"/>
              <w:right w:val="single" w:color="000000" w:sz="8" w:space="0"/>
            </w:tcBorders>
            <w:tcW w:w="851"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78"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否</w:t>
            </w:r>
            <w:r/>
          </w:p>
        </w:tc>
        <w:tc>
          <w:tcPr>
            <w:shd w:val="clear" w:color="auto" w:fill="auto"/>
            <w:tcBorders>
              <w:top w:val="none" w:color="000000" w:sz="4" w:space="0"/>
              <w:left w:val="none" w:color="000000" w:sz="4" w:space="0"/>
              <w:bottom w:val="single" w:color="000000" w:sz="8" w:space="0"/>
              <w:right w:val="single" w:color="000000" w:sz="8" w:space="0"/>
            </w:tcBorders>
            <w:tcW w:w="3831"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 </w:t>
            </w:r>
            <w:r/>
          </w:p>
        </w:tc>
      </w:tr>
    </w:tbl>
    <w:p>
      <w:pPr>
        <w:ind w:left="0" w:right="0" w:firstLine="480"/>
        <w:jc w:val="both"/>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5.进口产品投标</w:t>
      </w:r>
      <w:r/>
    </w:p>
    <w:tbl>
      <w:tblPr>
        <w:tblStyle w:val="72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8"/>
        <w:gridCol w:w="6422"/>
      </w:tblGrid>
      <w:tr>
        <w:trPr/>
        <w:tc>
          <w:tcPr>
            <w:shd w:val="clear" w:color="auto" w:fill="auto"/>
            <w:tcBorders>
              <w:top w:val="single" w:color="000000" w:sz="8" w:space="0"/>
              <w:left w:val="single" w:color="000000" w:sz="8" w:space="0"/>
              <w:bottom w:val="single" w:color="000000" w:sz="8" w:space="0"/>
              <w:right w:val="single" w:color="000000" w:sz="8" w:space="0"/>
            </w:tcBorders>
            <w:tcW w:w="838"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采购</w:t>
            </w:r>
            <w:r/>
          </w:p>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包号</w:t>
            </w:r>
            <w:r/>
          </w:p>
        </w:tc>
        <w:tc>
          <w:tcPr>
            <w:shd w:val="clear" w:color="auto" w:fill="auto"/>
            <w:tcBorders>
              <w:top w:val="single" w:color="000000" w:sz="8" w:space="0"/>
              <w:left w:val="none" w:color="000000" w:sz="4" w:space="0"/>
              <w:bottom w:val="single" w:color="000000" w:sz="8" w:space="0"/>
              <w:right w:val="single" w:color="000000" w:sz="8" w:space="0"/>
            </w:tcBorders>
            <w:tcW w:w="6422"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是否接受进口产品投标</w:t>
            </w:r>
            <w:r/>
          </w:p>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（是/否）</w:t>
            </w:r>
            <w:r/>
          </w:p>
        </w:tc>
      </w:tr>
      <w:tr>
        <w:trPr/>
        <w:tc>
          <w:tcPr>
            <w:shd w:val="clear" w:color="auto" w:fill="auto"/>
            <w:tcBorders>
              <w:top w:val="none" w:color="000000" w:sz="4" w:space="0"/>
              <w:left w:val="single" w:color="000000" w:sz="8" w:space="0"/>
              <w:bottom w:val="single" w:color="000000" w:sz="8" w:space="0"/>
              <w:right w:val="single" w:color="000000" w:sz="8" w:space="0"/>
            </w:tcBorders>
            <w:tcW w:w="838"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2"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否</w:t>
            </w:r>
            <w:r/>
          </w:p>
        </w:tc>
      </w:tr>
    </w:tbl>
    <w:p>
      <w:pPr>
        <w:ind w:right="0" w:firstLine="560"/>
        <w:jc w:val="both"/>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lang w:val="en-US" w:eastAsia="zh-CN" w:bidi="ar"/>
        </w:rPr>
        <w:t xml:space="preserve">（二）本项目的特定资格要求</w:t>
      </w:r>
      <w:r/>
    </w:p>
    <w:tbl>
      <w:tblPr>
        <w:tblStyle w:val="72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7"/>
        <w:gridCol w:w="6403"/>
      </w:tblGrid>
      <w:tr>
        <w:trPr/>
        <w:tc>
          <w:tcPr>
            <w:shd w:val="clear" w:color="auto" w:fill="auto"/>
            <w:tcBorders>
              <w:top w:val="single" w:color="000000" w:sz="8" w:space="0"/>
              <w:left w:val="single" w:color="000000" w:sz="8" w:space="0"/>
              <w:bottom w:val="single" w:color="000000" w:sz="8" w:space="0"/>
              <w:right w:val="single" w:color="000000" w:sz="8" w:space="0"/>
            </w:tcBorders>
            <w:tcW w:w="857"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采购</w:t>
            </w:r>
            <w:r/>
          </w:p>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包号</w:t>
            </w:r>
            <w:r/>
          </w:p>
        </w:tc>
        <w:tc>
          <w:tcPr>
            <w:shd w:val="clear" w:color="auto" w:fill="auto"/>
            <w:tcBorders>
              <w:top w:val="single" w:color="000000" w:sz="8" w:space="0"/>
              <w:left w:val="none" w:color="000000" w:sz="4" w:space="0"/>
              <w:bottom w:val="single" w:color="000000" w:sz="8" w:space="0"/>
              <w:right w:val="single" w:color="000000" w:sz="8" w:space="0"/>
            </w:tcBorders>
            <w:tcW w:w="6403"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特定资格要求</w:t>
            </w:r>
            <w:r/>
          </w:p>
        </w:tc>
      </w:tr>
      <w:tr>
        <w:trPr/>
        <w:tc>
          <w:tcPr>
            <w:shd w:val="clear" w:color="auto" w:fill="auto"/>
            <w:tcBorders>
              <w:top w:val="none" w:color="000000" w:sz="4" w:space="0"/>
              <w:left w:val="single" w:color="000000" w:sz="8" w:space="0"/>
              <w:bottom w:val="single" w:color="000000" w:sz="8" w:space="0"/>
              <w:right w:val="single" w:color="000000" w:sz="8" w:space="0"/>
            </w:tcBorders>
            <w:tcW w:w="857"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default" w:ascii="Times New Roman" w:hAnsi="Times New Roman" w:eastAsia="宋体" w:cs="Times New Roman"/>
                <w:sz w:val="21"/>
                <w:szCs w:val="21"/>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03" w:type="dxa"/>
            <w:vAlign w:val="top"/>
            <w:textDirection w:val="lrTb"/>
            <w:noWrap w:val="false"/>
          </w:tcPr>
          <w:p>
            <w:pPr>
              <w:ind w:left="0" w:right="0" w:firstLine="0"/>
              <w:jc w:val="center"/>
              <w:keepLines w:val="0"/>
              <w:keepNext w:val="0"/>
              <w:spacing w:before="0" w:beforeAutospacing="0" w:after="0" w:afterAutospacing="0" w:line="400" w:lineRule="atLeast"/>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4"/>
                <w:szCs w:val="24"/>
                <w:lang w:val="en-US" w:eastAsia="zh-CN" w:bidi="ar"/>
              </w:rPr>
              <w:t xml:space="preserve">无</w:t>
            </w:r>
            <w:r/>
          </w:p>
        </w:tc>
      </w:tr>
    </w:tbl>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r/>
    </w:p>
    <w:p>
      <w:pPr>
        <w:ind w:firstLine="498"/>
        <w:keepLines/>
        <w:keepNext/>
        <w:spacing w:before="156" w:after="156"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四、提交投标文件截止时间、开标时间和地点</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8"/>
        <w:keepLines/>
        <w:keepNext/>
        <w:spacing w:before="156" w:after="156"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高邮市公安局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高邮市海潮东路66号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张先生</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0514-84066051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扬州市公共资源交易中心高邮分中心</w:t>
      </w:r>
      <w:r>
        <w:rPr>
          <w:rFonts w:hint="eastAsia" w:ascii="宋体" w:hAnsi="宋体" w:cs="宋体"/>
          <w:color w:val="000000"/>
          <w:sz w:val="24"/>
          <w:szCs w:val="24"/>
        </w:rPr>
        <w:t xml:space="preserve">信息</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高邮市海潮东路997号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周宇 张睿</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0514-846</w:t>
      </w:r>
      <w:r>
        <w:rPr>
          <w:rFonts w:hint="eastAsia" w:ascii="宋体" w:hAnsi="宋体"/>
          <w:color w:val="000000"/>
          <w:sz w:val="24"/>
          <w:szCs w:val="24"/>
          <w:u w:val="single"/>
          <w:lang w:val="en-US" w:eastAsia="zh-CN"/>
        </w:rPr>
        <w:t xml:space="preserve">16755</w:t>
      </w:r>
      <w:r>
        <w:rPr>
          <w:rFonts w:hint="eastAsia" w:ascii="宋体" w:hAnsi="宋体"/>
          <w:color w:val="000000"/>
          <w:sz w:val="24"/>
          <w:szCs w:val="24"/>
          <w:u w:val="single"/>
        </w:rPr>
        <w:t xml:space="preserve">　　</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bookmarkEnd w:id="0"/>
      <w:bookmarkEnd w:id="1"/>
      <w:bookmarkEnd w:id="2"/>
      <w:bookmarkEnd w:id="3"/>
      <w:bookmarkEnd w:id="4"/>
      <w:bookmarkEnd w:id="5"/>
      <w:r/>
    </w:p>
    <w:p>
      <w:pPr>
        <w:pStyle w:val="956"/>
        <w:ind w:firstLine="2426"/>
        <w:jc w:val="both"/>
        <w:keepLines/>
        <w:keepNext/>
        <w:pageBreakBefore w:val="0"/>
        <w:spacing w:line="240" w:lineRule="auto"/>
        <w:widowControl w:val="off"/>
        <w:rPr>
          <w:rFonts w:hint="eastAsia" w:ascii="黑体" w:eastAsia="黑体"/>
          <w:b w:val="0"/>
          <w:bCs w:val="0"/>
          <w:color w:val="000000"/>
        </w:rPr>
      </w:pPr>
      <w:r/>
      <w:bookmarkStart w:id="6" w:name="_Toc120614211"/>
      <w:r/>
      <w:bookmarkStart w:id="7" w:name="_Hlt16619350"/>
      <w:r/>
      <w:bookmarkStart w:id="8" w:name="_Toc16938590"/>
      <w:r/>
      <w:bookmarkStart w:id="9" w:name="_Toc20823346"/>
      <w:r/>
      <w:bookmarkStart w:id="10" w:name="_Toc120614244"/>
      <w:r/>
      <w:bookmarkStart w:id="11" w:name="_Toc462564139"/>
      <w:r/>
      <w:bookmarkStart w:id="12" w:name="_Toc479757211"/>
      <w:r>
        <w:rPr>
          <w:rFonts w:hint="eastAsia" w:ascii="黑体" w:eastAsia="黑体"/>
          <w:color w:val="000000"/>
        </w:rPr>
        <w:t xml:space="preserve">第二章  </w:t>
      </w:r>
      <w:bookmarkEnd w:id="6"/>
      <w:r/>
      <w:bookmarkStart w:id="13" w:name="_Toc120614213"/>
      <w:r/>
      <w:bookmarkStart w:id="14" w:name="_Toc16938518"/>
      <w:r/>
      <w:bookmarkStart w:id="15" w:name="_Toc513029202"/>
      <w:r/>
      <w:bookmarkStart w:id="16" w:name="_Toc20823274"/>
      <w:r>
        <w:rPr>
          <w:rFonts w:hint="eastAsia" w:ascii="黑体" w:eastAsia="黑体"/>
          <w:color w:val="000000"/>
        </w:rPr>
        <w:t xml:space="preserve">投标人须知</w:t>
      </w:r>
      <w:bookmarkEnd w:id="13"/>
      <w:r/>
      <w:bookmarkEnd w:id="14"/>
      <w:r/>
      <w:bookmarkEnd w:id="15"/>
      <w:r/>
      <w:bookmarkEnd w:id="16"/>
      <w:r/>
      <w:r/>
    </w:p>
    <w:p>
      <w:pPr>
        <w:pStyle w:val="958"/>
        <w:ind w:firstLine="498"/>
        <w:spacing w:before="145" w:after="145" w:line="400" w:lineRule="exact"/>
        <w:rPr>
          <w:rFonts w:hint="eastAsia"/>
          <w:color w:val="000000"/>
        </w:rPr>
      </w:pPr>
      <w:r/>
      <w:bookmarkStart w:id="17" w:name="_Toc20823275"/>
      <w:r/>
      <w:bookmarkStart w:id="18" w:name="_Toc120614214"/>
      <w:r/>
      <w:bookmarkStart w:id="19" w:name="_Toc16938519"/>
      <w:r/>
      <w:bookmarkStart w:id="20" w:name="_Toc513029203"/>
      <w:r>
        <w:rPr>
          <w:rFonts w:hint="eastAsia"/>
          <w:color w:val="000000"/>
        </w:rPr>
        <w:t xml:space="preserve">一、总则</w:t>
      </w:r>
      <w:bookmarkEnd w:id="17"/>
      <w:r/>
      <w:bookmarkEnd w:id="18"/>
      <w:r/>
      <w:bookmarkEnd w:id="19"/>
      <w:r/>
      <w:bookmarkEnd w:id="20"/>
      <w:r/>
      <w:r/>
    </w:p>
    <w:p>
      <w:pPr>
        <w:pStyle w:val="959"/>
        <w:ind w:firstLine="420"/>
        <w:spacing w:before="0" w:after="0" w:line="400" w:lineRule="exact"/>
        <w:rPr>
          <w:rFonts w:hint="eastAsia"/>
          <w:b w:val="0"/>
          <w:bCs w:val="0"/>
          <w:color w:val="000000"/>
        </w:rPr>
      </w:pPr>
      <w:r/>
      <w:bookmarkStart w:id="21" w:name="_Hlt16619475"/>
      <w:r/>
      <w:bookmarkEnd w:id="21"/>
      <w:r/>
      <w:bookmarkStart w:id="22" w:name="_Toc458694821"/>
      <w:r/>
      <w:bookmarkStart w:id="23" w:name="_Toc513029204"/>
      <w:r/>
      <w:bookmarkStart w:id="24" w:name="_Toc20823276"/>
      <w:r/>
      <w:bookmarkStart w:id="25" w:name="_Toc16938520"/>
      <w:r>
        <w:rPr>
          <w:rFonts w:hint="eastAsia"/>
          <w:b w:val="0"/>
          <w:bCs w:val="0"/>
          <w:color w:val="000000"/>
        </w:rPr>
        <w:t xml:space="preserve">1</w:t>
      </w:r>
      <w:bookmarkEnd w:id="22"/>
      <w:r>
        <w:rPr>
          <w:rFonts w:hint="eastAsia"/>
          <w:b w:val="0"/>
          <w:bCs w:val="0"/>
          <w:color w:val="000000"/>
        </w:rPr>
        <w:t xml:space="preserve">、招标方式</w:t>
      </w:r>
      <w:bookmarkEnd w:id="23"/>
      <w:r/>
      <w:bookmarkEnd w:id="24"/>
      <w:r/>
      <w:bookmarkEnd w:id="25"/>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59"/>
        <w:ind w:firstLine="420"/>
        <w:spacing w:before="0" w:after="0" w:line="400" w:lineRule="exact"/>
        <w:rPr>
          <w:rFonts w:hint="eastAsia"/>
          <w:b w:val="0"/>
          <w:bCs w:val="0"/>
          <w:color w:val="000000"/>
        </w:rPr>
      </w:pPr>
      <w:r/>
      <w:bookmarkStart w:id="26" w:name="_Toc16938521"/>
      <w:r/>
      <w:bookmarkStart w:id="27" w:name="_Toc20823277"/>
      <w:r/>
      <w:bookmarkStart w:id="28" w:name="_Toc513029205"/>
      <w:r>
        <w:rPr>
          <w:rFonts w:hint="eastAsia"/>
          <w:b w:val="0"/>
          <w:bCs w:val="0"/>
          <w:color w:val="000000"/>
        </w:rPr>
        <w:t xml:space="preserve">2、合格的投标人</w:t>
      </w:r>
      <w:bookmarkEnd w:id="26"/>
      <w:r/>
      <w:bookmarkEnd w:id="27"/>
      <w:r/>
      <w:bookmarkEnd w:id="2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59"/>
        <w:ind w:firstLine="420"/>
        <w:spacing w:before="0" w:after="0" w:line="400" w:lineRule="exact"/>
        <w:rPr>
          <w:rFonts w:hint="eastAsia"/>
          <w:b w:val="0"/>
          <w:bCs w:val="0"/>
          <w:color w:val="000000"/>
        </w:rPr>
      </w:pPr>
      <w:r/>
      <w:bookmarkStart w:id="29" w:name="_Toc513029206"/>
      <w:r/>
      <w:bookmarkStart w:id="30" w:name="_Toc16938522"/>
      <w:r/>
      <w:bookmarkStart w:id="31" w:name="_Toc20823278"/>
      <w:r>
        <w:rPr>
          <w:rFonts w:hint="eastAsia"/>
          <w:b w:val="0"/>
          <w:bCs w:val="0"/>
          <w:color w:val="000000"/>
        </w:rPr>
        <w:t xml:space="preserve">3、适用法律</w:t>
      </w:r>
      <w:bookmarkEnd w:id="29"/>
      <w:r/>
      <w:bookmarkEnd w:id="30"/>
      <w:r/>
      <w:bookmarkEnd w:id="31"/>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59"/>
        <w:ind w:firstLine="420"/>
        <w:spacing w:before="0" w:after="0" w:line="400" w:lineRule="exact"/>
        <w:rPr>
          <w:rFonts w:hint="eastAsia"/>
          <w:b w:val="0"/>
          <w:bCs w:val="0"/>
          <w:color w:val="000000"/>
        </w:rPr>
      </w:pPr>
      <w:r/>
      <w:bookmarkStart w:id="32" w:name="_Toc462564067"/>
      <w:r/>
      <w:bookmarkStart w:id="33" w:name="_Toc20823279"/>
      <w:r/>
      <w:bookmarkStart w:id="34" w:name="_Toc16938523"/>
      <w:r/>
      <w:bookmarkStart w:id="35" w:name="_Toc513029207"/>
      <w:r>
        <w:rPr>
          <w:rFonts w:hint="eastAsia"/>
          <w:b w:val="0"/>
          <w:bCs w:val="0"/>
          <w:color w:val="000000"/>
        </w:rPr>
        <w:t xml:space="preserve">4、投标费用</w:t>
      </w:r>
      <w:bookmarkEnd w:id="32"/>
      <w:r/>
      <w:bookmarkEnd w:id="33"/>
      <w:r/>
      <w:bookmarkEnd w:id="34"/>
      <w:r/>
      <w:bookmarkEnd w:id="35"/>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59"/>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58"/>
        <w:ind w:firstLine="321"/>
        <w:spacing w:before="145" w:after="145" w:line="400" w:lineRule="exact"/>
        <w:rPr>
          <w:rFonts w:hint="eastAsia"/>
          <w:color w:val="000000"/>
        </w:rPr>
      </w:pPr>
      <w:r/>
      <w:bookmarkStart w:id="36" w:name="_Toc16938525"/>
      <w:r/>
      <w:bookmarkStart w:id="37" w:name="_Toc20823281"/>
      <w:r/>
      <w:bookmarkStart w:id="38" w:name="_Toc120614215"/>
      <w:r/>
      <w:bookmarkStart w:id="39" w:name="_Toc513029209"/>
      <w:r>
        <w:rPr>
          <w:rFonts w:hint="eastAsia"/>
          <w:color w:val="000000"/>
        </w:rPr>
        <w:t xml:space="preserve">二、招标文件</w:t>
      </w:r>
      <w:bookmarkEnd w:id="36"/>
      <w:r/>
      <w:bookmarkEnd w:id="37"/>
      <w:r/>
      <w:bookmarkEnd w:id="38"/>
      <w:r/>
      <w:bookmarkEnd w:id="39"/>
      <w:r/>
      <w:r/>
    </w:p>
    <w:p>
      <w:pPr>
        <w:pStyle w:val="959"/>
        <w:ind w:firstLine="420"/>
        <w:spacing w:before="0" w:after="0" w:line="400" w:lineRule="exact"/>
        <w:rPr>
          <w:rFonts w:hint="eastAsia"/>
          <w:b w:val="0"/>
          <w:bCs w:val="0"/>
          <w:color w:val="000000"/>
        </w:rPr>
      </w:pPr>
      <w:r/>
      <w:bookmarkStart w:id="40" w:name="_Toc513029210"/>
      <w:r/>
      <w:bookmarkStart w:id="41" w:name="_Toc20823282"/>
      <w:r/>
      <w:bookmarkStart w:id="42" w:name="_Toc16938526"/>
      <w:r>
        <w:rPr>
          <w:rFonts w:hint="eastAsia"/>
          <w:b w:val="0"/>
          <w:bCs w:val="0"/>
          <w:color w:val="000000"/>
        </w:rPr>
        <w:t xml:space="preserve">6、招标文件构成</w:t>
      </w:r>
      <w:bookmarkEnd w:id="40"/>
      <w:r/>
      <w:bookmarkEnd w:id="41"/>
      <w:r/>
      <w:bookmarkEnd w:id="42"/>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9"/>
        <w:ind w:firstLine="560"/>
        <w:spacing w:before="0" w:after="0" w:line="400" w:lineRule="exact"/>
        <w:rPr>
          <w:rFonts w:hint="eastAsia"/>
          <w:b w:val="0"/>
          <w:bCs w:val="0"/>
          <w:color w:val="000000"/>
        </w:rPr>
      </w:pPr>
      <w:r/>
      <w:bookmarkStart w:id="43" w:name="_Toc513029212"/>
      <w:r/>
      <w:bookmarkStart w:id="44" w:name="_Toc16938528"/>
      <w:r/>
      <w:bookmarkStart w:id="45" w:name="_Toc462564071"/>
      <w:r/>
      <w:bookmarkStart w:id="46" w:name="_Toc20823284"/>
      <w:r>
        <w:rPr>
          <w:b w:val="0"/>
          <w:bCs w:val="0"/>
          <w:color w:val="000000"/>
        </w:rPr>
        <w:t xml:space="preserve">7</w:t>
      </w:r>
      <w:r>
        <w:rPr>
          <w:rFonts w:hint="eastAsia"/>
          <w:b w:val="0"/>
          <w:bCs w:val="0"/>
          <w:color w:val="000000"/>
        </w:rPr>
        <w:t xml:space="preserve">、招标文件的修改</w:t>
      </w:r>
      <w:bookmarkEnd w:id="43"/>
      <w:r/>
      <w:bookmarkEnd w:id="44"/>
      <w:r/>
      <w:bookmarkEnd w:id="45"/>
      <w:r/>
      <w:bookmarkEnd w:id="46"/>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58"/>
        <w:ind w:firstLine="482"/>
        <w:spacing w:before="145" w:after="145" w:line="400" w:lineRule="exact"/>
        <w:rPr>
          <w:rFonts w:hint="eastAsia"/>
          <w:color w:val="000000"/>
        </w:rPr>
      </w:pPr>
      <w:r/>
      <w:bookmarkStart w:id="47" w:name="_Toc513029213"/>
      <w:r/>
      <w:bookmarkStart w:id="48" w:name="_Toc20823285"/>
      <w:r/>
      <w:bookmarkStart w:id="49" w:name="_Toc462564072"/>
      <w:r/>
      <w:bookmarkStart w:id="50" w:name="_Toc16938529"/>
      <w:r/>
      <w:bookmarkStart w:id="51" w:name="_Toc120614216"/>
      <w:r>
        <w:rPr>
          <w:rFonts w:hint="eastAsia"/>
          <w:color w:val="000000"/>
        </w:rPr>
        <w:t xml:space="preserve">三、投标文件的编制</w:t>
      </w:r>
      <w:bookmarkEnd w:id="47"/>
      <w:r/>
      <w:bookmarkEnd w:id="48"/>
      <w:r/>
      <w:bookmarkEnd w:id="49"/>
      <w:r/>
      <w:bookmarkEnd w:id="50"/>
      <w:r/>
      <w:bookmarkEnd w:id="51"/>
      <w:r/>
      <w:r/>
    </w:p>
    <w:p>
      <w:pPr>
        <w:pStyle w:val="959"/>
        <w:ind w:firstLine="560"/>
        <w:spacing w:before="0" w:after="0" w:line="400" w:lineRule="exact"/>
        <w:rPr>
          <w:rFonts w:hint="eastAsia"/>
          <w:bCs w:val="0"/>
          <w:color w:val="000000"/>
        </w:rPr>
      </w:pPr>
      <w:r/>
      <w:bookmarkStart w:id="52" w:name="_Toc16938530"/>
      <w:r/>
      <w:bookmarkStart w:id="53" w:name="_Toc20823286"/>
      <w:r/>
      <w:bookmarkStart w:id="54" w:name="_Toc462564073"/>
      <w:r/>
      <w:bookmarkStart w:id="55" w:name="_Toc513029214"/>
      <w:r>
        <w:rPr>
          <w:b w:val="0"/>
          <w:bCs w:val="0"/>
          <w:color w:val="000000"/>
        </w:rPr>
        <w:t xml:space="preserve">8</w:t>
      </w:r>
      <w:r>
        <w:rPr>
          <w:rFonts w:hint="eastAsia"/>
          <w:b w:val="0"/>
          <w:bCs w:val="0"/>
          <w:color w:val="000000"/>
        </w:rPr>
        <w:t xml:space="preserve">、投标文件的语言及度量衡单位</w:t>
      </w:r>
      <w:bookmarkEnd w:id="52"/>
      <w:r/>
      <w:bookmarkEnd w:id="53"/>
      <w:r/>
      <w:bookmarkEnd w:id="54"/>
      <w:r/>
      <w:bookmarkEnd w:id="55"/>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59"/>
        <w:ind w:firstLine="420"/>
        <w:spacing w:before="0" w:after="0" w:line="400" w:lineRule="exact"/>
        <w:rPr>
          <w:rFonts w:hint="eastAsia"/>
          <w:b w:val="0"/>
          <w:bCs w:val="0"/>
          <w:color w:val="000000"/>
        </w:rPr>
      </w:pPr>
      <w:r/>
      <w:bookmarkStart w:id="56" w:name="_Toc462564074"/>
      <w:r/>
      <w:bookmarkStart w:id="57" w:name="_Toc513029215"/>
      <w:r/>
      <w:bookmarkStart w:id="58" w:name="_Toc20823287"/>
      <w:r/>
      <w:bookmarkStart w:id="59" w:name="_Toc16938531"/>
      <w:r>
        <w:rPr>
          <w:b w:val="0"/>
          <w:bCs w:val="0"/>
          <w:color w:val="000000"/>
        </w:rPr>
        <w:t xml:space="preserve">9</w:t>
      </w:r>
      <w:r>
        <w:rPr>
          <w:rFonts w:hint="eastAsia"/>
          <w:b w:val="0"/>
          <w:bCs w:val="0"/>
          <w:color w:val="000000"/>
        </w:rPr>
        <w:t xml:space="preserve">、投标文件构成</w:t>
      </w:r>
      <w:bookmarkEnd w:id="56"/>
      <w:r/>
      <w:bookmarkEnd w:id="57"/>
      <w:r/>
      <w:bookmarkEnd w:id="58"/>
      <w:r/>
      <w:bookmarkEnd w:id="59"/>
      <w:r/>
      <w:r/>
    </w:p>
    <w:p>
      <w:pPr>
        <w:pStyle w:val="720"/>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59"/>
        <w:ind w:firstLine="420"/>
        <w:spacing w:before="0" w:after="0" w:line="400" w:lineRule="exact"/>
        <w:rPr>
          <w:rFonts w:hint="eastAsia"/>
          <w:b w:val="0"/>
          <w:bCs w:val="0"/>
          <w:color w:val="000000"/>
        </w:rPr>
      </w:pPr>
      <w:r/>
      <w:bookmarkStart w:id="60" w:name="_Hlt26670360"/>
      <w:r/>
      <w:bookmarkEnd w:id="60"/>
      <w:r/>
      <w:bookmarkStart w:id="61" w:name="_Hlt26954838"/>
      <w:r/>
      <w:bookmarkEnd w:id="61"/>
      <w:r/>
      <w:bookmarkStart w:id="62" w:name="_Hlt26668975"/>
      <w:r/>
      <w:bookmarkEnd w:id="62"/>
      <w:r/>
      <w:bookmarkStart w:id="63" w:name="_Toc14577357"/>
      <w:r/>
      <w:bookmarkStart w:id="64" w:name="_Toc49090509"/>
      <w:r/>
      <w:bookmarkStart w:id="65" w:name="_Toc513029219"/>
      <w:r/>
      <w:bookmarkStart w:id="66" w:name="_Toc14577354"/>
      <w:r/>
      <w:bookmarkStart w:id="67" w:name="_Toc49090507"/>
      <w:r/>
      <w:bookmarkStart w:id="68"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63"/>
      <w:r/>
      <w:bookmarkEnd w:id="64"/>
      <w:r/>
      <w:bookmarkEnd w:id="65"/>
      <w:r/>
      <w:bookmarkEnd w:id="66"/>
      <w:bookmarkEnd w:id="67"/>
      <w:bookmarkEnd w:id="68"/>
      <w:r/>
    </w:p>
    <w:p>
      <w:pPr>
        <w:spacing w:line="400" w:lineRule="exact"/>
        <w:rPr>
          <w:rFonts w:hint="default" w:ascii="宋体" w:hAnsi="宋体" w:eastAsia="宋体"/>
          <w:color w:val="000000"/>
          <w:sz w:val="24"/>
          <w:szCs w:val="24"/>
          <w:lang w:val="en-US" w:eastAsia="zh-CN"/>
        </w:rPr>
      </w:pPr>
      <w:r/>
      <w:bookmarkStart w:id="69" w:name="_Toc14577355"/>
      <w:r/>
      <w:bookmarkStart w:id="70"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5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69"/>
      <w:r/>
      <w:bookmarkStart w:id="71" w:name="_Hlt26670373"/>
      <w:r/>
      <w:bookmarkEnd w:id="71"/>
      <w:r>
        <w:rPr>
          <w:rFonts w:hint="eastAsia"/>
          <w:b w:val="0"/>
          <w:bCs w:val="0"/>
          <w:color w:val="000000"/>
        </w:rPr>
        <w:t xml:space="preserve">表</w:t>
      </w:r>
      <w:bookmarkEnd w:id="70"/>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72" w:name="_Hlt26954840"/>
      <w:r/>
      <w:bookmarkEnd w:id="72"/>
      <w:r>
        <w:rPr>
          <w:rFonts w:hint="eastAsia" w:ascii="宋体" w:hAnsi="宋体"/>
          <w:color w:val="000000"/>
          <w:sz w:val="24"/>
        </w:rPr>
        <w:t xml:space="preserve">标人按照招标文件规定格式填报投标分项报价表</w:t>
      </w:r>
      <w:bookmarkStart w:id="73" w:name="_Hlt26670399"/>
      <w:r/>
      <w:bookmarkEnd w:id="73"/>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59"/>
        <w:ind w:firstLine="420"/>
        <w:spacing w:before="0" w:after="0" w:line="400" w:lineRule="exact"/>
        <w:rPr>
          <w:rFonts w:hint="eastAsia"/>
          <w:b w:val="0"/>
          <w:bCs w:val="0"/>
          <w:color w:val="000000"/>
        </w:rPr>
      </w:pPr>
      <w:r/>
      <w:bookmarkStart w:id="74" w:name="_Hlt26954731"/>
      <w:r/>
      <w:bookmarkEnd w:id="74"/>
      <w:r/>
      <w:bookmarkStart w:id="75" w:name="_Hlt26954846"/>
      <w:r/>
      <w:bookmarkEnd w:id="75"/>
      <w:r/>
      <w:bookmarkStart w:id="76" w:name="_Hlt26954848"/>
      <w:r/>
      <w:bookmarkEnd w:id="76"/>
      <w:r/>
      <w:bookmarkStart w:id="77" w:name="_Hlt26668983"/>
      <w:r/>
      <w:bookmarkEnd w:id="77"/>
      <w:r/>
      <w:bookmarkStart w:id="78" w:name="_Hlt26670486"/>
      <w:r/>
      <w:bookmarkEnd w:id="78"/>
      <w:r/>
      <w:bookmarkStart w:id="79" w:name="_Hlt26954842"/>
      <w:r/>
      <w:bookmarkEnd w:id="79"/>
      <w:r/>
      <w:bookmarkStart w:id="80" w:name="_Hlt26954844"/>
      <w:r/>
      <w:bookmarkEnd w:id="80"/>
      <w:r/>
      <w:bookmarkStart w:id="81" w:name="_Hlt26670403"/>
      <w:r/>
      <w:bookmarkEnd w:id="81"/>
      <w:r/>
      <w:bookmarkStart w:id="82" w:name="_Hlt26670425"/>
      <w:r/>
      <w:bookmarkEnd w:id="82"/>
      <w:r/>
      <w:bookmarkStart w:id="83" w:name="_Hlt26670482"/>
      <w:r/>
      <w:bookmarkEnd w:id="83"/>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84" w:name="_Toc49090510"/>
      <w:r/>
      <w:bookmarkStart w:id="85"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5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84"/>
      <w:bookmarkEnd w:id="85"/>
      <w:r/>
    </w:p>
    <w:p>
      <w:pPr>
        <w:pStyle w:val="959"/>
        <w:ind w:firstLine="420"/>
        <w:spacing w:before="0" w:after="0" w:line="400" w:lineRule="exact"/>
        <w:rPr>
          <w:rFonts w:hint="eastAsia"/>
          <w:b w:val="0"/>
          <w:bCs w:val="0"/>
          <w:color w:val="000000"/>
        </w:rPr>
      </w:pPr>
      <w:r/>
      <w:bookmarkStart w:id="86" w:name="_Hlt26670489"/>
      <w:r/>
      <w:bookmarkEnd w:id="86"/>
      <w:r/>
      <w:bookmarkStart w:id="87" w:name="_Hlt26954850"/>
      <w:r/>
      <w:bookmarkEnd w:id="87"/>
      <w:r/>
      <w:bookmarkStart w:id="88" w:name="_Hlt26954734"/>
      <w:r/>
      <w:bookmarkEnd w:id="88"/>
      <w:r/>
      <w:bookmarkStart w:id="89" w:name="_Toc49090511"/>
      <w:r/>
      <w:bookmarkStart w:id="90"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89"/>
      <w:r/>
      <w:bookmarkEnd w:id="90"/>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5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58"/>
        <w:ind w:firstLine="482"/>
        <w:spacing w:before="145" w:after="145" w:line="400" w:lineRule="exact"/>
        <w:rPr>
          <w:rFonts w:hint="eastAsia"/>
          <w:color w:val="000000"/>
        </w:rPr>
      </w:pPr>
      <w:r/>
      <w:bookmarkStart w:id="91" w:name="_Hlt26954852"/>
      <w:r/>
      <w:bookmarkEnd w:id="91"/>
      <w:r/>
      <w:bookmarkStart w:id="92" w:name="_Hlt26954739"/>
      <w:r/>
      <w:bookmarkEnd w:id="92"/>
      <w:r/>
      <w:bookmarkStart w:id="93" w:name="_Toc20823296"/>
      <w:r/>
      <w:bookmarkStart w:id="94" w:name="_Toc513029224"/>
      <w:r/>
      <w:bookmarkStart w:id="95" w:name="_Toc16938540"/>
      <w:r/>
      <w:bookmarkStart w:id="96" w:name="_Toc120614217"/>
      <w:r>
        <w:rPr>
          <w:rFonts w:hint="eastAsia"/>
          <w:color w:val="000000"/>
        </w:rPr>
        <w:t xml:space="preserve">四、投标文件的递交</w:t>
      </w:r>
      <w:bookmarkEnd w:id="93"/>
      <w:r/>
      <w:bookmarkEnd w:id="94"/>
      <w:r/>
      <w:bookmarkEnd w:id="95"/>
      <w:r/>
      <w:bookmarkEnd w:id="96"/>
      <w:r/>
      <w:r/>
    </w:p>
    <w:p>
      <w:pPr>
        <w:pStyle w:val="959"/>
        <w:ind w:firstLine="560"/>
        <w:spacing w:before="0" w:after="0" w:line="400" w:lineRule="exact"/>
        <w:rPr>
          <w:rFonts w:hint="eastAsia" w:ascii="黑体"/>
          <w:b w:val="0"/>
          <w:bCs w:val="0"/>
          <w:color w:val="000000"/>
        </w:rPr>
      </w:pPr>
      <w:r/>
      <w:bookmarkStart w:id="97" w:name="_Toc513029225"/>
      <w:r/>
      <w:bookmarkStart w:id="98" w:name="_Toc462564084"/>
      <w:r/>
      <w:bookmarkStart w:id="99" w:name="_Toc20823297"/>
      <w:r/>
      <w:bookmarkStart w:id="100"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97"/>
      <w:r/>
      <w:bookmarkEnd w:id="98"/>
      <w:r/>
      <w:bookmarkEnd w:id="99"/>
      <w:r/>
      <w:bookmarkEnd w:id="100"/>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01" w:name="_Toc513029226"/>
      <w:r/>
      <w:bookmarkStart w:id="102" w:name="_Toc20823298"/>
      <w:r/>
      <w:bookmarkStart w:id="103" w:name="_Toc16938542"/>
      <w:r/>
      <w:r/>
    </w:p>
    <w:p>
      <w:pPr>
        <w:pStyle w:val="959"/>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01"/>
      <w:r/>
      <w:bookmarkEnd w:id="102"/>
      <w:r/>
      <w:bookmarkEnd w:id="103"/>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59"/>
        <w:ind w:firstLine="420"/>
        <w:spacing w:before="0" w:after="0" w:line="400" w:lineRule="exact"/>
        <w:rPr>
          <w:rFonts w:hint="eastAsia"/>
          <w:b w:val="0"/>
          <w:bCs w:val="0"/>
          <w:color w:val="000000"/>
        </w:rPr>
      </w:pPr>
      <w:r/>
      <w:bookmarkStart w:id="104" w:name="_Toc20823299"/>
      <w:r/>
      <w:bookmarkStart w:id="105" w:name="_Toc16938543"/>
      <w:r/>
      <w:bookmarkStart w:id="106"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04"/>
      <w:r/>
      <w:bookmarkEnd w:id="105"/>
      <w:r/>
      <w:bookmarkEnd w:id="106"/>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59"/>
        <w:ind w:firstLine="420"/>
        <w:spacing w:before="0" w:after="0" w:line="400" w:lineRule="exact"/>
        <w:rPr>
          <w:rFonts w:hint="eastAsia"/>
          <w:b w:val="0"/>
          <w:bCs w:val="0"/>
          <w:color w:val="000000"/>
        </w:rPr>
      </w:pPr>
      <w:r/>
      <w:bookmarkStart w:id="107" w:name="_Toc20823300"/>
      <w:r/>
      <w:bookmarkStart w:id="108" w:name="_Toc16938544"/>
      <w:r/>
      <w:bookmarkStart w:id="109" w:name="_Toc513029228"/>
      <w:r>
        <w:rPr>
          <w:b w:val="0"/>
          <w:bCs w:val="0"/>
          <w:color w:val="000000"/>
        </w:rPr>
        <w:t xml:space="preserve">19</w:t>
      </w:r>
      <w:r>
        <w:rPr>
          <w:rFonts w:hint="eastAsia"/>
          <w:b w:val="0"/>
          <w:bCs w:val="0"/>
          <w:color w:val="000000"/>
        </w:rPr>
        <w:t xml:space="preserve">、投标文件的撤回和修改</w:t>
      </w:r>
      <w:bookmarkEnd w:id="107"/>
      <w:r/>
      <w:bookmarkEnd w:id="108"/>
      <w:r/>
      <w:bookmarkEnd w:id="109"/>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58"/>
        <w:ind w:firstLine="482"/>
        <w:spacing w:before="145" w:after="145" w:line="400" w:lineRule="exact"/>
        <w:rPr>
          <w:rFonts w:hint="eastAsia"/>
          <w:color w:val="000000"/>
        </w:rPr>
      </w:pPr>
      <w:r/>
      <w:bookmarkStart w:id="110" w:name="_Toc16938545"/>
      <w:r/>
      <w:bookmarkStart w:id="111" w:name="_Toc513029229"/>
      <w:r/>
      <w:bookmarkStart w:id="112" w:name="_Toc20823301"/>
      <w:r/>
      <w:bookmarkStart w:id="113" w:name="_Toc120614218"/>
      <w:r>
        <w:rPr>
          <w:rFonts w:hint="eastAsia"/>
          <w:color w:val="000000"/>
        </w:rPr>
        <w:t xml:space="preserve">五、开标与评标</w:t>
      </w:r>
      <w:bookmarkEnd w:id="110"/>
      <w:r/>
      <w:bookmarkEnd w:id="111"/>
      <w:r/>
      <w:bookmarkEnd w:id="112"/>
      <w:r/>
      <w:bookmarkEnd w:id="113"/>
      <w:r/>
      <w:r/>
    </w:p>
    <w:p>
      <w:pPr>
        <w:pStyle w:val="959"/>
        <w:ind w:firstLine="420"/>
        <w:spacing w:before="0" w:after="0" w:line="400" w:lineRule="exact"/>
        <w:rPr>
          <w:rFonts w:hint="eastAsia"/>
          <w:b w:val="0"/>
          <w:bCs w:val="0"/>
          <w:color w:val="000000"/>
        </w:rPr>
      </w:pPr>
      <w:r/>
      <w:bookmarkStart w:id="114" w:name="_Toc16938546"/>
      <w:r/>
      <w:bookmarkStart w:id="115" w:name="_Toc20823302"/>
      <w:r/>
      <w:bookmarkStart w:id="116"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14"/>
      <w:r/>
      <w:bookmarkEnd w:id="115"/>
      <w:r/>
      <w:bookmarkEnd w:id="116"/>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59"/>
        <w:ind w:firstLine="420"/>
        <w:spacing w:before="0" w:after="0" w:line="400" w:lineRule="exact"/>
        <w:rPr>
          <w:rFonts w:hint="eastAsia"/>
          <w:b w:val="0"/>
          <w:bCs w:val="0"/>
          <w:color w:val="000000"/>
        </w:rPr>
      </w:pPr>
      <w:r/>
      <w:bookmarkStart w:id="117" w:name="_Toc20823303"/>
      <w:r/>
      <w:bookmarkStart w:id="118" w:name="_Toc513029231"/>
      <w:r/>
      <w:bookmarkStart w:id="119"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59"/>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17"/>
      <w:bookmarkEnd w:id="118"/>
      <w:bookmarkEnd w:id="119"/>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w:t>
      </w:r>
      <w:r>
        <w:rPr>
          <w:rFonts w:hint="eastAsia" w:ascii="宋体" w:hAnsi="宋体"/>
          <w:color w:val="000000"/>
          <w:sz w:val="24"/>
          <w:szCs w:val="24"/>
          <w:highlight w:val="none"/>
        </w:rPr>
        <w:t xml:space="preserve">限届满之日</w:t>
      </w:r>
      <w:r>
        <w:rPr>
          <w:rFonts w:hint="eastAsia" w:ascii="宋体" w:hAnsi="宋体"/>
          <w:color w:val="000000"/>
          <w:sz w:val="24"/>
          <w:szCs w:val="24"/>
        </w:rPr>
        <w:t xml:space="preserve">起通过苏采云系统查看自己的评审得分及排序情况。</w:t>
      </w:r>
      <w:r/>
    </w:p>
    <w:p>
      <w:pPr>
        <w:pStyle w:val="959"/>
        <w:ind w:firstLine="420"/>
        <w:spacing w:before="0" w:after="0" w:line="400" w:lineRule="exact"/>
        <w:rPr>
          <w:rFonts w:hint="eastAsia"/>
          <w:b w:val="0"/>
          <w:bCs w:val="0"/>
          <w:color w:val="000000"/>
        </w:rPr>
      </w:pPr>
      <w:r/>
      <w:bookmarkStart w:id="120" w:name="_Toc20823304"/>
      <w:r/>
      <w:bookmarkStart w:id="121" w:name="_Toc16938548"/>
      <w:r/>
      <w:bookmarkStart w:id="122"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20"/>
      <w:r/>
      <w:bookmarkEnd w:id="121"/>
      <w:r/>
      <w:bookmarkEnd w:id="122"/>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59"/>
        <w:ind w:firstLine="420"/>
        <w:spacing w:before="0" w:after="0" w:line="400" w:lineRule="exact"/>
        <w:rPr>
          <w:rFonts w:hint="eastAsia"/>
          <w:b w:val="0"/>
          <w:bCs w:val="0"/>
          <w:color w:val="000000"/>
        </w:rPr>
      </w:pPr>
      <w:r/>
      <w:bookmarkStart w:id="123" w:name="_Toc513029233"/>
      <w:r/>
      <w:bookmarkStart w:id="124" w:name="_Toc20823305"/>
      <w:r/>
      <w:bookmarkStart w:id="125"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23"/>
      <w:r/>
      <w:bookmarkEnd w:id="124"/>
      <w:r/>
      <w:bookmarkEnd w:id="125"/>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26" w:name="_Toc513029234"/>
      <w:r/>
      <w:bookmarkStart w:id="127" w:name="_Toc16938550"/>
      <w:r/>
      <w:bookmarkStart w:id="128"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59"/>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26"/>
      <w:r/>
      <w:bookmarkEnd w:id="127"/>
      <w:r/>
      <w:bookmarkEnd w:id="128"/>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29" w:name="_Toc513029235"/>
      <w:r/>
      <w:bookmarkStart w:id="130" w:name="_Toc20823307"/>
      <w:r/>
      <w:bookmarkStart w:id="131"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eastAsia="宋体"/>
          <w:bCs/>
          <w:color w:val="ff0000"/>
          <w:sz w:val="24"/>
          <w:szCs w:val="21"/>
          <w:highlight w:val="yellow"/>
          <w:lang w:eastAsia="zh-CN"/>
        </w:rPr>
      </w:pPr>
      <w:r>
        <w:rPr>
          <w:rFonts w:hint="eastAsia" w:ascii="宋体" w:hAnsi="宋体"/>
          <w:bCs/>
          <w:color w:val="auto"/>
          <w:sz w:val="24"/>
          <w:szCs w:val="21"/>
          <w:highlight w:val="none"/>
          <w:lang w:val="en-US" w:eastAsia="zh-CN"/>
        </w:rPr>
        <w:t xml:space="preserve">25.1.10.3</w:t>
      </w:r>
      <w:r>
        <w:rPr>
          <w:rFonts w:hint="eastAsia" w:ascii="宋体" w:hAnsi="宋体"/>
          <w:bCs/>
          <w:color w:val="auto"/>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58"/>
        <w:ind w:firstLine="482"/>
        <w:spacing w:before="145" w:after="145" w:line="400" w:lineRule="exact"/>
        <w:rPr>
          <w:rFonts w:hint="eastAsia"/>
          <w:color w:val="000000"/>
        </w:rPr>
      </w:pPr>
      <w:r/>
      <w:bookmarkStart w:id="132" w:name="_Toc120614219"/>
      <w:r>
        <w:rPr>
          <w:rFonts w:hint="eastAsia"/>
          <w:color w:val="000000"/>
        </w:rPr>
        <w:t xml:space="preserve">六、</w:t>
      </w:r>
      <w:bookmarkEnd w:id="129"/>
      <w:r/>
      <w:bookmarkEnd w:id="130"/>
      <w:r/>
      <w:bookmarkEnd w:id="131"/>
      <w:r>
        <w:rPr>
          <w:rFonts w:hint="eastAsia"/>
          <w:color w:val="000000"/>
        </w:rPr>
        <w:t xml:space="preserve">定标</w:t>
      </w:r>
      <w:bookmarkEnd w:id="132"/>
      <w:r/>
      <w:r/>
    </w:p>
    <w:p>
      <w:pPr>
        <w:pStyle w:val="959"/>
        <w:ind w:firstLine="600"/>
        <w:spacing w:before="0" w:after="0" w:line="400" w:lineRule="exact"/>
        <w:rPr>
          <w:rFonts w:hint="eastAsia" w:ascii="黑体" w:hAnsi="宋体" w:cs="Times New Roman"/>
          <w:b w:val="0"/>
          <w:color w:val="000000"/>
          <w:sz w:val="30"/>
          <w:szCs w:val="30"/>
        </w:rPr>
      </w:pPr>
      <w:r/>
      <w:bookmarkStart w:id="133" w:name="_Toc513029238"/>
      <w:r/>
      <w:bookmarkStart w:id="134" w:name="_Toc16938554"/>
      <w:r/>
      <w:bookmarkStart w:id="135"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33"/>
      <w:r>
        <w:rPr>
          <w:rFonts w:hint="eastAsia" w:ascii="黑体" w:hAnsi="宋体" w:cs="Times New Roman"/>
          <w:b w:val="0"/>
          <w:color w:val="000000"/>
          <w:sz w:val="30"/>
          <w:szCs w:val="30"/>
        </w:rPr>
        <w:t xml:space="preserve">确定</w:t>
      </w:r>
      <w:bookmarkEnd w:id="134"/>
      <w:r/>
      <w:bookmarkEnd w:id="135"/>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36"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5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36"/>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5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58"/>
        <w:spacing w:before="145" w:after="145" w:line="400" w:lineRule="exact"/>
        <w:rPr>
          <w:rFonts w:hint="eastAsia"/>
          <w:color w:val="000000"/>
        </w:rPr>
      </w:pPr>
      <w:r/>
      <w:bookmarkStart w:id="137" w:name="_Toc120614220"/>
      <w:r/>
      <w:bookmarkStart w:id="138" w:name="_Toc20823308"/>
      <w:r/>
      <w:bookmarkStart w:id="139" w:name="_Toc513029236"/>
      <w:r/>
      <w:bookmarkStart w:id="140" w:name="_Toc16938552"/>
      <w:r>
        <w:rPr>
          <w:rFonts w:hint="eastAsia"/>
          <w:color w:val="000000"/>
        </w:rPr>
        <w:t xml:space="preserve">七、授予合同</w:t>
      </w:r>
      <w:bookmarkEnd w:id="137"/>
      <w:r/>
      <w:bookmarkEnd w:id="138"/>
      <w:bookmarkEnd w:id="139"/>
      <w:bookmarkEnd w:id="140"/>
      <w:r/>
    </w:p>
    <w:p>
      <w:pPr>
        <w:pStyle w:val="959"/>
        <w:ind w:firstLine="600"/>
        <w:spacing w:before="0" w:after="0" w:line="400" w:lineRule="exact"/>
        <w:rPr>
          <w:rFonts w:hint="eastAsia" w:ascii="黑体" w:hAnsi="宋体" w:cs="Times New Roman"/>
          <w:b w:val="0"/>
          <w:color w:val="000000"/>
          <w:sz w:val="30"/>
          <w:szCs w:val="30"/>
        </w:rPr>
      </w:pPr>
      <w:r/>
      <w:bookmarkStart w:id="141" w:name="_Toc20823309"/>
      <w:r/>
      <w:bookmarkStart w:id="142" w:name="_Toc16938553"/>
      <w:r/>
      <w:bookmarkStart w:id="143"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41"/>
      <w:bookmarkEnd w:id="142"/>
      <w:bookmarkEnd w:id="143"/>
      <w:r/>
    </w:p>
    <w:p>
      <w:pPr>
        <w:pStyle w:val="959"/>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57"/>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rPr>
          <w:rFonts w:eastAsia="黑体"/>
          <w:sz w:val="44"/>
          <w:szCs w:val="44"/>
        </w:rPr>
      </w:pPr>
      <w:r>
        <w:rPr>
          <w:rFonts w:eastAsia="黑体"/>
          <w:sz w:val="44"/>
          <w:szCs w:val="44"/>
        </w:rPr>
        <w:br w:type="page" w:clear="all"/>
      </w:r>
      <w:r/>
    </w:p>
    <w:p>
      <w:pPr>
        <w:pStyle w:val="960"/>
        <w:rPr>
          <w:rFonts w:hint="eastAsia" w:ascii="黑体" w:eastAsia="黑体"/>
          <w:bCs/>
          <w:color w:val="000000"/>
          <w:sz w:val="44"/>
        </w:rPr>
      </w:pPr>
      <w:r/>
      <w:bookmarkStart w:id="144" w:name="_Toc20823315"/>
      <w:r/>
      <w:bookmarkStart w:id="145" w:name="_Toc513029243"/>
      <w:r/>
      <w:bookmarkStart w:id="146" w:name="_Toc16938559"/>
      <w:r>
        <w:rPr>
          <w:rFonts w:hint="eastAsia" w:ascii="黑体" w:eastAsia="黑体"/>
          <w:bCs/>
          <w:color w:val="000000"/>
          <w:sz w:val="44"/>
        </w:rPr>
        <w:t xml:space="preserve">第三章  合同文本</w:t>
      </w:r>
      <w:r/>
    </w:p>
    <w:p>
      <w:pPr>
        <w:jc w:val="center"/>
        <w:spacing w:before="145" w:after="145"/>
        <w:rPr>
          <w:rFonts w:hint="eastAsia" w:ascii="宋体" w:hAnsi="宋体"/>
          <w:b/>
          <w:color w:val="000000"/>
          <w:sz w:val="30"/>
        </w:rPr>
        <w:outlineLvl w:val="0"/>
      </w:pPr>
      <w:r>
        <w:rPr>
          <w:rFonts w:hint="eastAsia" w:ascii="宋体" w:hAnsi="宋体"/>
          <w:b/>
          <w:color w:val="000000"/>
          <w:sz w:val="30"/>
        </w:rPr>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61"/>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61"/>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61"/>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61"/>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61"/>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61"/>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61"/>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61"/>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61"/>
        <w:spacing w:before="120" w:after="120"/>
        <w:rPr>
          <w:rFonts w:hAnsi="宋体"/>
          <w:color w:val="000000"/>
          <w:sz w:val="24"/>
          <w:szCs w:val="24"/>
        </w:rPr>
      </w:pPr>
      <w:r>
        <w:rPr>
          <w:rFonts w:hint="eastAsia" w:hAnsi="宋体"/>
          <w:color w:val="000000"/>
          <w:sz w:val="24"/>
          <w:szCs w:val="24"/>
        </w:rPr>
        <w:t xml:space="preserve">1.5 履行地点：</w:t>
      </w:r>
      <w:r/>
    </w:p>
    <w:p>
      <w:pPr>
        <w:pStyle w:val="96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61"/>
        <w:spacing w:before="120" w:after="120"/>
        <w:rPr>
          <w:rFonts w:hAnsi="宋体"/>
          <w:b/>
          <w:color w:val="000000"/>
          <w:sz w:val="24"/>
          <w:szCs w:val="24"/>
        </w:rPr>
      </w:pPr>
      <w:r>
        <w:rPr>
          <w:rFonts w:hAnsi="宋体"/>
          <w:b/>
          <w:color w:val="000000"/>
          <w:sz w:val="24"/>
          <w:szCs w:val="24"/>
        </w:rPr>
        <w:t xml:space="preserve">二、合同金额</w:t>
      </w:r>
      <w:r/>
    </w:p>
    <w:p>
      <w:pPr>
        <w:pStyle w:val="961"/>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61"/>
        <w:spacing w:before="120" w:after="120"/>
        <w:rPr>
          <w:rFonts w:hAnsi="宋体"/>
          <w:b/>
          <w:color w:val="000000"/>
          <w:sz w:val="24"/>
          <w:szCs w:val="24"/>
        </w:rPr>
      </w:pPr>
      <w:r>
        <w:rPr>
          <w:rFonts w:hAnsi="宋体"/>
          <w:b/>
          <w:color w:val="000000"/>
          <w:sz w:val="24"/>
          <w:szCs w:val="24"/>
        </w:rPr>
        <w:t xml:space="preserve">三、技术资料</w:t>
      </w:r>
      <w:r/>
    </w:p>
    <w:p>
      <w:pPr>
        <w:pStyle w:val="961"/>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61"/>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1"/>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61"/>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ascii="宋体" w:hAnsi="宋体" w:cs="Courier New"/>
          <w:sz w:val="24"/>
          <w:szCs w:val="24"/>
        </w:rPr>
      </w:pPr>
      <w:r>
        <w:rPr>
          <w:rFonts w:ascii="宋体" w:hAnsi="宋体" w:cs="Courier New"/>
          <w:sz w:val="24"/>
          <w:szCs w:val="24"/>
        </w:rPr>
        <w:t xml:space="preserve">4.2 甲方基于本协议委托乙方开发的信息管理系统的使用权、转让权以及收益权均归属于甲方所有，信息管理系统开发、上线运行过程中形成的新知识产权，包括但不限于软件源代码、技术方案、设计图纸、个性化指标体系、数据挖掘结果、汇总报表以及没有界定归属的知识产权，均归</w:t>
      </w:r>
      <w:r>
        <w:rPr>
          <w:rFonts w:hint="eastAsia" w:ascii="宋体" w:hAnsi="宋体" w:cs="Courier New"/>
          <w:sz w:val="24"/>
          <w:szCs w:val="24"/>
        </w:rPr>
        <w:t xml:space="preserve">甲方</w:t>
      </w:r>
      <w:r>
        <w:rPr>
          <w:rFonts w:ascii="宋体" w:hAnsi="宋体" w:cs="Courier New"/>
          <w:sz w:val="24"/>
          <w:szCs w:val="24"/>
        </w:rPr>
        <w:t xml:space="preserve">所有。乙方不得向任何第三人转让研究开发成果。</w:t>
      </w:r>
      <w:r/>
    </w:p>
    <w:p>
      <w:pPr>
        <w:ind w:left="408" w:hanging="408"/>
        <w:spacing w:before="120" w:after="120"/>
        <w:rPr>
          <w:rFonts w:ascii="宋体" w:hAnsi="宋体" w:cs="Courier New"/>
          <w:sz w:val="24"/>
          <w:szCs w:val="24"/>
        </w:rPr>
      </w:pPr>
      <w:r>
        <w:rPr>
          <w:rFonts w:ascii="宋体" w:hAnsi="宋体" w:cs="Courier New"/>
          <w:sz w:val="24"/>
          <w:szCs w:val="24"/>
        </w:rPr>
        <w:t xml:space="preserve">4.3 甲方需要申请软件著作权或者发明专利的，乙方应无条件提供配合。乙方拒不配合导致甲方未能申请著作权或者发明专利的，甲方有权要求乙方按照合同价款的20%承担违约责任。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服务（包含与服务相关的货物）</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color w:val="0000ff"/>
          <w:sz w:val="24"/>
          <w:szCs w:val="24"/>
        </w:rPr>
      </w:pPr>
      <w:r>
        <w:rPr>
          <w:rFonts w:ascii="宋体" w:hAnsi="宋体" w:cs="Courier New"/>
          <w:b/>
          <w:sz w:val="24"/>
          <w:szCs w:val="24"/>
        </w:rPr>
        <w:t xml:space="preserve">六、履约保证金</w:t>
      </w:r>
      <w:r/>
    </w:p>
    <w:p>
      <w:pPr>
        <w:pStyle w:val="961"/>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961"/>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61"/>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961"/>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961"/>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961"/>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961"/>
        <w:ind w:left="408" w:hanging="408"/>
        <w:spacing w:before="120" w:after="120"/>
        <w:rPr>
          <w:rFonts w:hint="default" w:hAnsi="宋体"/>
          <w:color w:val="0000ff"/>
          <w:sz w:val="24"/>
          <w:szCs w:val="24"/>
          <w:highlight w:val="none"/>
          <w:lang w:val="en-US" w:eastAsia="zh-CN"/>
        </w:rPr>
      </w:pPr>
      <w:r>
        <w:rPr>
          <w:rFonts w:hint="eastAsia" w:hAnsi="宋体"/>
          <w:color w:val="auto"/>
          <w:sz w:val="24"/>
          <w:szCs w:val="24"/>
          <w:highlight w:val="none"/>
          <w:lang w:val="en-US" w:eastAsia="zh-CN"/>
        </w:rPr>
        <w:t xml:space="preserve">6.2.5履约保证金逾期退还的违约责任：</w:t>
      </w:r>
      <w:r>
        <w:rPr>
          <w:rFonts w:hint="eastAsia" w:hAnsi="宋体"/>
          <w:color w:val="0000ff"/>
          <w:sz w:val="24"/>
          <w:szCs w:val="24"/>
          <w:highlight w:val="none"/>
          <w:lang w:val="en-US" w:eastAsia="zh-CN"/>
        </w:rPr>
        <w:t xml:space="preserve">无</w:t>
      </w:r>
      <w:r/>
    </w:p>
    <w:p>
      <w:pPr>
        <w:spacing w:before="145" w:after="145"/>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45" w:after="145"/>
        <w:rPr>
          <w:rFonts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p>
    <w:p>
      <w:pPr>
        <w:spacing w:before="145" w:after="145"/>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spacing w:before="145" w:after="145"/>
        <w:rPr>
          <w:rFonts w:hint="eastAsia" w:ascii="宋体" w:hAnsi="宋体"/>
          <w:b w:val="0"/>
          <w:bCs/>
          <w:sz w:val="24"/>
          <w:szCs w:val="24"/>
        </w:rPr>
      </w:pPr>
      <w:r>
        <w:rPr>
          <w:rFonts w:hint="eastAsia" w:ascii="宋体" w:hAnsi="宋体"/>
          <w:b w:val="0"/>
          <w:bCs/>
          <w:sz w:val="24"/>
          <w:szCs w:val="24"/>
        </w:rPr>
        <w:t xml:space="preserve">8.1.1 预付款支付时间：合同签订后，乙方向甲方出具发票，甲方自收到发票之日起10个工作日内，支付合同价款的30%作为预付款。</w:t>
      </w:r>
      <w:r/>
    </w:p>
    <w:p>
      <w:pPr>
        <w:spacing w:before="145" w:after="145"/>
        <w:rPr>
          <w:rFonts w:hint="eastAsia" w:ascii="宋体" w:hAnsi="宋体"/>
          <w:b w:val="0"/>
          <w:bCs/>
          <w:sz w:val="24"/>
          <w:szCs w:val="24"/>
        </w:rPr>
      </w:pPr>
      <w:r>
        <w:rPr>
          <w:rFonts w:hint="eastAsia" w:ascii="宋体" w:hAnsi="宋体"/>
          <w:b w:val="0"/>
          <w:bCs/>
          <w:sz w:val="24"/>
          <w:szCs w:val="24"/>
        </w:rPr>
        <w:t xml:space="preserve">8.1.2 尾款支付时间：服务结束并验收合格,乙方向甲方出具发票，甲方自收到发票之日起10个工作日内付清剩余款项。</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10.1 甲方依法组织履约验收工作。</w:t>
      </w:r>
      <w:r/>
    </w:p>
    <w:p>
      <w:pPr>
        <w:spacing w:before="120" w:after="120"/>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spacing w:before="120" w:after="120"/>
        <w:rPr>
          <w:rFonts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spacing w:before="120" w:after="120"/>
        <w:rPr>
          <w:rFonts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spacing w:before="120" w:after="120"/>
        <w:rPr>
          <w:rFonts w:ascii="宋体" w:hAnsi="宋体" w:cs="Courier New"/>
          <w:sz w:val="24"/>
          <w:szCs w:val="24"/>
        </w:rPr>
      </w:pPr>
      <w:r>
        <w:rPr>
          <w:rFonts w:hint="eastAsia" w:ascii="宋体" w:hAnsi="宋体" w:cs="Courier New"/>
          <w:sz w:val="24"/>
          <w:szCs w:val="24"/>
        </w:rPr>
        <w:t xml:space="preserve">11.1 甲方无正当理由拒绝接受乙方提供服务的，甲方向乙方偿付拒绝接受服务合同价款总值</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before="120" w:after="120"/>
        <w:rPr>
          <w:rFonts w:ascii="宋体" w:hAnsi="宋体" w:cs="Courier New"/>
          <w:sz w:val="24"/>
          <w:szCs w:val="24"/>
        </w:rPr>
      </w:pPr>
      <w:r>
        <w:rPr>
          <w:rFonts w:hint="eastAsia" w:ascii="宋体" w:hAnsi="宋体" w:cs="Courier New"/>
          <w:sz w:val="24"/>
          <w:szCs w:val="24"/>
        </w:rPr>
        <w:t xml:space="preserve">11.2 甲方无故逾期验收和办理合同款项支付手续的，甲方应按逾期付款总额    每日向乙方支付违约金。</w:t>
      </w:r>
      <w:r/>
    </w:p>
    <w:p>
      <w:pPr>
        <w:spacing w:before="120" w:after="120"/>
        <w:rPr>
          <w:rFonts w:ascii="宋体" w:hAnsi="宋体" w:cs="Courier New"/>
          <w:sz w:val="24"/>
          <w:szCs w:val="24"/>
        </w:rPr>
      </w:pPr>
      <w:r>
        <w:rPr>
          <w:rFonts w:hint="eastAsia" w:ascii="宋体" w:hAnsi="宋体" w:cs="Courier New"/>
          <w:sz w:val="24"/>
          <w:szCs w:val="24"/>
        </w:rPr>
        <w:t xml:space="preserve">11.3 乙方逾期提供服务的，乙方应按逾期提供服务合同总额每日千分之</w:t>
      </w:r>
      <w:r>
        <w:rPr>
          <w:rFonts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的违约金，如造成甲方损失超过违约金的，超出部分由乙方继续承担赔偿责任。 </w:t>
      </w:r>
      <w:r/>
    </w:p>
    <w:p>
      <w:pPr>
        <w:spacing w:before="120" w:after="120"/>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spacing w:before="120" w:after="120"/>
        <w:rPr>
          <w:rFonts w:ascii="宋体" w:hAnsi="宋体" w:cs="Courier New"/>
          <w:sz w:val="24"/>
          <w:szCs w:val="24"/>
        </w:rPr>
      </w:pPr>
      <w:r>
        <w:rPr>
          <w:rFonts w:hint="eastAsia" w:ascii="宋体" w:hAnsi="宋体" w:cs="Courier New"/>
          <w:sz w:val="24"/>
          <w:szCs w:val="24"/>
        </w:rPr>
        <w:t xml:space="preserve">12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before="120" w:after="120"/>
        <w:rPr>
          <w:rFonts w:ascii="宋体" w:hAnsi="宋体" w:cs="Courier New"/>
          <w:sz w:val="24"/>
          <w:szCs w:val="24"/>
        </w:rPr>
      </w:pPr>
      <w:r>
        <w:rPr>
          <w:rFonts w:ascii="宋体" w:hAnsi="宋体" w:cs="Courier New"/>
          <w:sz w:val="24"/>
          <w:szCs w:val="24"/>
        </w:rPr>
        <w:t xml:space="preserve">  甲方：                        乙方： </w:t>
      </w:r>
      <w:r/>
    </w:p>
    <w:p>
      <w:pPr>
        <w:spacing w:before="120" w:after="120"/>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rPr>
          <w:rFonts w:ascii="宋体" w:hAnsi="Courier New" w:cs="Courier New"/>
        </w:rPr>
      </w:pPr>
      <w:r>
        <w:rPr>
          <w:rFonts w:hint="eastAsia" w:ascii="宋体" w:hAnsi="宋体" w:cs="Courier New"/>
          <w:sz w:val="24"/>
          <w:szCs w:val="24"/>
        </w:rPr>
        <w:t xml:space="preserve">联系电话：                    联系电话：          </w:t>
      </w:r>
      <w:r/>
    </w:p>
    <w:p>
      <w:pPr>
        <w:jc w:val="center"/>
        <w:spacing w:before="120" w:after="120"/>
        <w:rPr>
          <w:rFonts w:hint="eastAsia" w:ascii="宋体" w:hAnsi="Courier New" w:cs="Courier New"/>
        </w:rPr>
      </w:pPr>
      <w:r>
        <w:rPr>
          <w:rFonts w:hint="eastAsia" w:ascii="宋体" w:hAnsi="Courier New" w:cs="Courier New"/>
        </w:rPr>
        <w:t xml:space="preserve">                                         </w:t>
      </w:r>
      <w:r/>
    </w:p>
    <w:p>
      <w:pPr>
        <w:jc w:val="center"/>
        <w:spacing w:before="120" w:after="120"/>
        <w:rPr>
          <w:rFonts w:hint="eastAsia" w:ascii="宋体" w:hAnsi="Courier New" w:cs="Courier New"/>
        </w:rPr>
      </w:pPr>
      <w:r>
        <w:rPr>
          <w:rFonts w:hint="eastAsia" w:ascii="宋体" w:hAnsi="Courier New" w:cs="Courier New"/>
        </w:rPr>
      </w:r>
      <w:r/>
    </w:p>
    <w:p>
      <w:pPr>
        <w:jc w:val="right"/>
        <w:spacing w:before="120" w:after="120"/>
        <w:rPr>
          <w:rFonts w:ascii="宋体" w:hAnsi="Courier New" w:cs="Courier New"/>
          <w:sz w:val="24"/>
          <w:szCs w:val="28"/>
        </w:rPr>
      </w:pPr>
      <w:r>
        <w:rPr>
          <w:rFonts w:hint="eastAsia" w:ascii="宋体" w:hAnsi="Courier New" w:cs="Courier New"/>
          <w:sz w:val="24"/>
          <w:szCs w:val="28"/>
        </w:rPr>
        <w:t xml:space="preserve"> </w:t>
      </w:r>
      <w:r>
        <w:rPr>
          <w:rFonts w:ascii="宋体" w:hAnsi="Courier New" w:cs="Courier New"/>
          <w:sz w:val="24"/>
          <w:szCs w:val="28"/>
        </w:rPr>
        <w:t xml:space="preserve">签订日期：      年  </w:t>
      </w:r>
      <w:r>
        <w:rPr>
          <w:rFonts w:hint="eastAsia" w:ascii="宋体" w:hAnsi="Courier New" w:cs="Courier New"/>
          <w:sz w:val="24"/>
          <w:szCs w:val="28"/>
        </w:rPr>
        <w:t xml:space="preserve">  </w:t>
      </w:r>
      <w:r>
        <w:rPr>
          <w:rFonts w:ascii="宋体" w:hAnsi="Courier New" w:cs="Courier New"/>
          <w:sz w:val="24"/>
          <w:szCs w:val="28"/>
        </w:rPr>
        <w:t xml:space="preserve">月  </w:t>
      </w:r>
      <w:r>
        <w:rPr>
          <w:rFonts w:hint="eastAsia" w:ascii="宋体" w:hAnsi="Courier New" w:cs="Courier New"/>
          <w:sz w:val="24"/>
          <w:szCs w:val="28"/>
        </w:rPr>
        <w:t xml:space="preserve"> </w:t>
      </w:r>
      <w:r>
        <w:rPr>
          <w:rFonts w:ascii="宋体" w:hAnsi="Courier New" w:cs="Courier New"/>
          <w:sz w:val="24"/>
          <w:szCs w:val="28"/>
        </w:rPr>
        <w:t xml:space="preserve">日</w:t>
      </w:r>
      <w:bookmarkEnd w:id="144"/>
      <w:r/>
      <w:bookmarkEnd w:id="145"/>
      <w:r/>
      <w:bookmarkEnd w:id="146"/>
      <w:r/>
      <w:r/>
    </w:p>
    <w:p>
      <w:pPr>
        <w:spacing w:line="400" w:lineRule="exact"/>
        <w:rPr>
          <w:rFonts w:ascii="黑体" w:hAnsi="黑体" w:eastAsia="黑体"/>
          <w:sz w:val="28"/>
          <w:szCs w:val="28"/>
        </w:rPr>
        <w:outlineLvl w:val="9"/>
      </w:pPr>
      <w:r>
        <w:rPr>
          <w:rFonts w:ascii="黑体" w:hAnsi="黑体" w:eastAsia="黑体"/>
          <w:sz w:val="28"/>
          <w:szCs w:val="28"/>
        </w:rPr>
      </w:r>
      <w:r/>
    </w:p>
    <w:p>
      <w:pPr>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spacing w:before="120" w:after="120" w:line="0" w:lineRule="atLeast"/>
        <w:rPr>
          <w:rFonts w:hint="eastAsia" w:ascii="宋体" w:hAnsi="宋体" w:cs="Courier New"/>
          <w:color w:val="000000"/>
          <w:sz w:val="24"/>
          <w:szCs w:val="24"/>
        </w:rPr>
        <w:outlineLvl w:val="0"/>
      </w:pPr>
      <w:r>
        <w:rPr>
          <w:rFonts w:hint="eastAsia" w:ascii="黑体" w:hAnsi="Courier New" w:eastAsia="黑体" w:cs="Courier New"/>
          <w:bCs/>
          <w:color w:val="000000"/>
          <w:sz w:val="44"/>
          <w:szCs w:val="21"/>
        </w:rPr>
        <w:t xml:space="preserve">第</w:t>
      </w:r>
      <w:bookmarkEnd w:id="7"/>
      <w:r>
        <w:rPr>
          <w:rFonts w:hint="eastAsia" w:ascii="黑体" w:hAnsi="Courier New" w:eastAsia="黑体" w:cs="Courier New"/>
          <w:bCs/>
          <w:color w:val="000000"/>
          <w:sz w:val="44"/>
          <w:szCs w:val="21"/>
        </w:rPr>
        <w:t xml:space="preserve">四章 采购需求</w:t>
      </w:r>
      <w:bookmarkEnd w:id="8"/>
      <w:r/>
      <w:bookmarkEnd w:id="9"/>
      <w:r/>
      <w:bookmarkEnd w:id="10"/>
      <w:r/>
      <w:r/>
    </w:p>
    <w:p>
      <w:pPr>
        <w:spacing w:line="0" w:lineRule="atLeast"/>
        <w:rPr>
          <w:rFonts w:ascii="宋体" w:hAnsi="宋体"/>
          <w:b/>
          <w:color w:val="000000"/>
          <w:sz w:val="24"/>
          <w:szCs w:val="24"/>
        </w:rPr>
      </w:pPr>
      <w:r/>
      <w:bookmarkStart w:id="147" w:name="_Toc49090575"/>
      <w:r/>
      <w:bookmarkStart w:id="148" w:name="_Toc26554093"/>
      <w:r/>
      <w:r/>
    </w:p>
    <w:p>
      <w:pPr>
        <w:numPr>
          <w:ilvl w:val="0"/>
          <w:numId w:val="0"/>
        </w:numPr>
        <w:ind w:left="495" w:hanging="495"/>
        <w:jc w:val="both"/>
        <w:spacing w:line="0" w:lineRule="atLeast"/>
        <w:rPr>
          <w:rFonts w:ascii="宋体" w:hAnsi="宋体"/>
          <w:color w:val="000000"/>
          <w:sz w:val="24"/>
          <w:szCs w:val="24"/>
        </w:rPr>
        <w:outlineLvl w:val="1"/>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hint="eastAsia" w:ascii="宋体" w:hAnsi="宋体" w:eastAsia="宋体" w:cs="宋体"/>
          <w:bCs/>
          <w:iCs/>
          <w:sz w:val="24"/>
          <w:szCs w:val="24"/>
          <w:lang w:eastAsia="zh-CN"/>
        </w:rPr>
      </w:pPr>
      <w:r>
        <w:rPr>
          <w:rFonts w:hint="eastAsia" w:ascii="宋体" w:hAnsi="宋体" w:eastAsia="宋体" w:cs="宋体"/>
          <w:bCs/>
          <w:iCs/>
          <w:sz w:val="24"/>
          <w:szCs w:val="24"/>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无</w:t>
      </w:r>
      <w:r>
        <w:rPr>
          <w:rFonts w:hint="eastAsia" w:ascii="宋体" w:hAnsi="宋体" w:cs="宋体"/>
          <w:bCs/>
          <w:iCs/>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bCs/>
          <w:iCs/>
          <w:sz w:val="24"/>
          <w:szCs w:val="24"/>
        </w:rPr>
        <w:t xml:space="preserve">2.</w:t>
      </w:r>
      <w:r>
        <w:rPr>
          <w:rFonts w:hint="eastAsia" w:ascii="宋体" w:hAnsi="宋体" w:eastAsia="宋体" w:cs="宋体"/>
          <w:sz w:val="24"/>
          <w:szCs w:val="24"/>
        </w:rPr>
        <w:t xml:space="preserve">投标人必须对技术要求和商务要求中的实质性要求</w:t>
      </w:r>
      <w:r>
        <w:rPr>
          <w:rFonts w:hint="eastAsia" w:ascii="宋体" w:hAnsi="宋体" w:eastAsia="宋体" w:cs="宋体"/>
          <w:b/>
          <w:bCs/>
          <w:color w:val="ff0000"/>
          <w:sz w:val="24"/>
          <w:szCs w:val="24"/>
        </w:rPr>
        <w:t xml:space="preserve">（</w:t>
      </w:r>
      <w:r>
        <w:rPr>
          <w:rFonts w:hint="eastAsia" w:ascii="宋体" w:hAnsi="宋体" w:eastAsia="宋体" w:cs="宋体"/>
          <w:b/>
          <w:bCs/>
          <w:i/>
          <w:color w:val="ff0000"/>
          <w:sz w:val="24"/>
          <w:szCs w:val="21"/>
          <w:u w:val="single"/>
        </w:rPr>
        <w:t xml:space="preserve">斜体且有下划线部分</w:t>
      </w:r>
      <w:r>
        <w:rPr>
          <w:rFonts w:hint="eastAsia" w:ascii="宋体" w:hAnsi="宋体" w:eastAsia="宋体" w:cs="宋体"/>
          <w:b/>
          <w:bCs/>
          <w:color w:val="ff0000"/>
          <w:sz w:val="24"/>
          <w:szCs w:val="21"/>
        </w:rPr>
        <w:t xml:space="preserve">）</w:t>
      </w:r>
      <w:r>
        <w:rPr>
          <w:rFonts w:hint="eastAsia" w:ascii="宋体" w:hAnsi="宋体" w:eastAsia="宋体" w:cs="宋体"/>
          <w:sz w:val="24"/>
          <w:szCs w:val="24"/>
        </w:rPr>
        <w:t xml:space="preserve">逐条做出明确响应。如果招标文件要求提供证明材料，投标人必须将证明材料列于</w:t>
      </w:r>
      <w:r>
        <w:rPr>
          <w:rFonts w:hint="eastAsia" w:ascii="宋体" w:hAnsi="宋体" w:eastAsia="宋体" w:cs="宋体"/>
          <w:b/>
          <w:sz w:val="24"/>
          <w:szCs w:val="24"/>
        </w:rPr>
        <w:t xml:space="preserve">实质性要求响应及偏离表</w:t>
      </w:r>
      <w:r>
        <w:rPr>
          <w:rFonts w:hint="eastAsia" w:ascii="宋体" w:hAnsi="宋体" w:eastAsia="宋体" w:cs="宋体"/>
          <w:sz w:val="24"/>
          <w:szCs w:val="24"/>
        </w:rPr>
        <w:t xml:space="preserve">之下。投标人未对实质性要求逐条作出明确响应的，或未按招标文件要求提供证明材料的，该采购包作无效投标处理。</w:t>
      </w:r>
      <w:r/>
    </w:p>
    <w:p>
      <w:pPr>
        <w:ind w:firstLine="480"/>
        <w:spacing w:line="400" w:lineRule="exact"/>
        <w:rPr>
          <w:rFonts w:hint="eastAsia" w:ascii="宋体" w:hAnsi="宋体" w:eastAsia="宋体" w:cs="宋体"/>
          <w:sz w:val="24"/>
          <w:szCs w:val="24"/>
        </w:rPr>
      </w:pPr>
      <w:r>
        <w:rPr>
          <w:rFonts w:hint="eastAsia" w:ascii="宋体" w:hAnsi="宋体" w:eastAsia="宋体" w:cs="宋体"/>
          <w:bCs/>
          <w:iCs/>
          <w:sz w:val="24"/>
          <w:szCs w:val="24"/>
        </w:rPr>
        <w:t xml:space="preserve">3.投标人需对技术要求（未加斜体下划线的非实质性要求）逐条做出明确响应。如果招标文件要求提供证明材料，投标人需将证明材料列于</w:t>
      </w:r>
      <w:r>
        <w:rPr>
          <w:rFonts w:hint="eastAsia" w:ascii="宋体" w:hAnsi="宋体" w:eastAsia="宋体" w:cs="宋体"/>
          <w:b/>
          <w:sz w:val="24"/>
          <w:szCs w:val="24"/>
        </w:rPr>
        <w:t xml:space="preserve">技术要求响应及偏离表</w:t>
      </w:r>
      <w:r>
        <w:rPr>
          <w:rFonts w:hint="eastAsia" w:ascii="宋体" w:hAnsi="宋体" w:eastAsia="宋体" w:cs="宋体"/>
          <w:sz w:val="24"/>
          <w:szCs w:val="24"/>
        </w:rPr>
        <w:t xml:space="preserve">之下。</w:t>
      </w:r>
      <w:r/>
    </w:p>
    <w:p>
      <w:pPr>
        <w:ind w:firstLine="480"/>
        <w:spacing w:line="400" w:lineRule="exact"/>
        <w:rPr>
          <w:rFonts w:hint="eastAsia" w:ascii="宋体" w:hAnsi="宋体" w:eastAsia="宋体" w:cs="宋体"/>
          <w:bCs/>
          <w:iCs/>
          <w:sz w:val="24"/>
          <w:szCs w:val="24"/>
        </w:rPr>
      </w:pPr>
      <w:r>
        <w:rPr>
          <w:rFonts w:hint="eastAsia" w:ascii="宋体" w:hAnsi="宋体" w:eastAsia="宋体" w:cs="宋体"/>
          <w:bCs/>
          <w:iCs/>
          <w:sz w:val="24"/>
          <w:szCs w:val="24"/>
        </w:rPr>
        <w:t xml:space="preserve">4. 投标人需对商务要求（未加斜体下划线的非实质性要求）逐条做出明确响应。如果招标文件要求提供证明材料，投标人需将证明材料列于</w:t>
      </w:r>
      <w:r>
        <w:rPr>
          <w:rFonts w:hint="eastAsia" w:ascii="宋体" w:hAnsi="宋体" w:eastAsia="宋体" w:cs="宋体"/>
          <w:b/>
          <w:sz w:val="24"/>
          <w:szCs w:val="24"/>
        </w:rPr>
        <w:t xml:space="preserve">商务要求响应及偏离表</w:t>
      </w:r>
      <w:r>
        <w:rPr>
          <w:rFonts w:hint="eastAsia" w:ascii="宋体" w:hAnsi="宋体" w:eastAsia="宋体" w:cs="宋体"/>
          <w:sz w:val="24"/>
          <w:szCs w:val="24"/>
        </w:rPr>
        <w:t xml:space="preserve">之下。</w:t>
      </w:r>
      <w:r/>
    </w:p>
    <w:p>
      <w:pPr>
        <w:ind w:firstLine="480"/>
        <w:spacing w:line="400" w:lineRule="exact"/>
        <w:rPr>
          <w:rFonts w:hint="eastAsia" w:ascii="宋体" w:hAnsi="宋体" w:eastAsia="宋体" w:cs="宋体"/>
          <w:bCs/>
          <w:iCs/>
          <w:sz w:val="24"/>
          <w:szCs w:val="24"/>
        </w:rPr>
      </w:pPr>
      <w:r>
        <w:rPr>
          <w:rFonts w:hint="eastAsia" w:ascii="宋体" w:hAnsi="宋体" w:eastAsia="宋体" w:cs="宋体"/>
          <w:bCs/>
          <w:iCs/>
          <w:sz w:val="24"/>
          <w:szCs w:val="24"/>
        </w:rPr>
        <w:t xml:space="preserve">5. 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6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Height w:val="90"/>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color w:val="auto"/>
                <w:sz w:val="24"/>
                <w:szCs w:val="24"/>
                <w:u w:val="none"/>
                <w:lang w:eastAsia="zh-CN"/>
              </w:rPr>
              <w:t xml:space="preserve">高邮市公安局算力及大模型应用服务项目</w:t>
            </w:r>
            <w:r/>
          </w:p>
        </w:tc>
        <w:tc>
          <w:tcPr>
            <w:tcW w:w="3022" w:type="dxa"/>
            <w:vAlign w:val="center"/>
            <w:textDirection w:val="lrTb"/>
            <w:noWrap w:val="false"/>
          </w:tcPr>
          <w:p>
            <w:pPr>
              <w:jc w:val="center"/>
              <w:spacing w:line="0" w:lineRule="atLeast"/>
              <w:rPr>
                <w:rFonts w:hint="eastAsia" w:ascii="宋体" w:hAnsi="宋体" w:eastAsia="宋体"/>
                <w:sz w:val="24"/>
                <w:szCs w:val="24"/>
                <w:lang w:eastAsia="zh-CN"/>
              </w:rPr>
            </w:pPr>
            <w:r>
              <w:rPr>
                <w:rFonts w:ascii="宋体" w:hAnsi="宋体"/>
                <w:color w:val="000000"/>
                <w:sz w:val="24"/>
                <w:szCs w:val="24"/>
              </w:rPr>
              <w:t xml:space="preserve">软件和信息技术服务业</w:t>
            </w:r>
            <w:r/>
          </w:p>
        </w:tc>
      </w:tr>
    </w:tbl>
    <w:p>
      <w:pPr>
        <w:jc w:val="left"/>
        <w:spacing w:line="360" w:lineRule="auto"/>
        <w:widowControl/>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jc w:val="left"/>
        <w:keepLines w:val="0"/>
        <w:keepNext w:val="0"/>
        <w:pageBreakBefore w:val="0"/>
        <w:spacing w:line="400" w:lineRule="exact"/>
        <w:widowControl/>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政府采购中实施本国产品标准及相关政策</w:t>
      </w:r>
      <w:r/>
    </w:p>
    <w:p>
      <w:pPr>
        <w:ind w:firstLine="480"/>
        <w:jc w:val="left"/>
        <w:keepLines w:val="0"/>
        <w:keepNext w:val="0"/>
        <w:pageBreakBefore w:val="0"/>
        <w:spacing w:line="400" w:lineRule="exact"/>
        <w:widowControl/>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1.政策依据《国务院办公厅关于在政府采购中实施本国产品标准及相关政策的通知》（国办发〔2025〕34号）。</w:t>
      </w:r>
      <w:r/>
    </w:p>
    <w:p>
      <w:pPr>
        <w:ind w:firstLine="480"/>
        <w:jc w:val="left"/>
        <w:keepLines w:val="0"/>
        <w:keepNext w:val="0"/>
        <w:pageBreakBefore w:val="0"/>
        <w:spacing w:line="400" w:lineRule="exact"/>
        <w:widowControl/>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00" w:lineRule="exact"/>
        <w:widowControl/>
        <w:rPr>
          <w:rFonts w:hint="eastAsia" w:ascii="宋体" w:hAnsi="宋体" w:cs="宋体"/>
          <w:b/>
          <w:bCs/>
          <w:color w:val="auto"/>
          <w:sz w:val="24"/>
          <w:szCs w:val="24"/>
          <w:highlight w:val="cyan"/>
          <w:lang w:val="en-US" w:eastAsia="zh-CN"/>
        </w:rPr>
        <w:outlineLvl w:val="1"/>
      </w:pPr>
      <w:r>
        <w:rPr>
          <w:rFonts w:hint="eastAsia" w:ascii="宋体" w:hAnsi="宋体" w:cs="宋体"/>
          <w:b w:val="0"/>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widowControl/>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jc w:val="left"/>
        <w:spacing w:line="360" w:lineRule="auto"/>
        <w:widowControl/>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项目概况</w:t>
      </w:r>
      <w:r/>
    </w:p>
    <w:p>
      <w:pPr>
        <w:ind w:firstLine="480"/>
        <w:spacing w:line="400" w:lineRule="exact"/>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 xml:space="preserve">为贯彻落实公安工作智能化、现代化建设要求，提升警务实战效能与研判能力，高邮市公安局拟建设一套面向警务场景的AI算力设备服务与一套智能体软件搭建服务。项目涵盖高性能国产化AI算力的部署，提供算力管理平台服务，并搭建</w:t>
      </w:r>
      <w:r>
        <w:rPr>
          <w:rFonts w:hint="eastAsia" w:ascii="宋体" w:hAnsi="宋体" w:cs="宋体"/>
          <w:bCs/>
          <w:iCs/>
          <w:sz w:val="24"/>
          <w:szCs w:val="24"/>
          <w:lang w:val="en-US" w:eastAsia="zh-CN"/>
        </w:rPr>
        <w:t xml:space="preserve">五</w:t>
      </w:r>
      <w:r>
        <w:rPr>
          <w:rFonts w:hint="eastAsia" w:ascii="宋体" w:hAnsi="宋体" w:eastAsia="宋体" w:cs="宋体"/>
          <w:bCs/>
          <w:iCs/>
          <w:sz w:val="24"/>
          <w:szCs w:val="24"/>
          <w:lang w:val="en-US" w:eastAsia="zh-CN"/>
        </w:rPr>
        <w:t xml:space="preserve">个智能体软件：盗窃案件分析智能体、交通类警情分析报告智能体、全警种知识库问答智能体、接线员培训出题工具智能体、处警预案流程思维导图绘制工具。</w:t>
      </w:r>
      <w:r/>
    </w:p>
    <w:p>
      <w:pPr>
        <w:ind w:firstLine="480"/>
        <w:spacing w:line="400" w:lineRule="exact"/>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r>
      <w:r/>
    </w:p>
    <w:p>
      <w:pPr>
        <w:numPr>
          <w:ilvl w:val="0"/>
          <w:numId w:val="5"/>
        </w:numPr>
        <w:jc w:val="left"/>
        <w:spacing w:line="360" w:lineRule="auto"/>
        <w:rPr>
          <w:rFonts w:hint="default"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服务内容</w:t>
      </w:r>
      <w:r/>
    </w:p>
    <w:tbl>
      <w:tblPr>
        <w:tblStyle w:val="68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6"/>
        <w:gridCol w:w="3096"/>
        <w:gridCol w:w="2616"/>
        <w:gridCol w:w="854"/>
        <w:gridCol w:w="854"/>
      </w:tblGrid>
      <w:tr>
        <w:trPr>
          <w:jc w:val="center"/>
          <w:trHeight w:val="404"/>
        </w:trPr>
        <w:tc>
          <w:tcPr>
            <w:gridSpan w:val="5"/>
            <w:shd w:val="clear" w:color="auto" w:fill="auto"/>
            <w:tcBorders>
              <w:top w:val="single" w:color="000000" w:sz="4" w:space="0"/>
              <w:left w:val="single" w:color="000000" w:sz="4" w:space="0"/>
              <w:bottom w:val="single" w:color="000000" w:sz="4" w:space="0"/>
              <w:right w:val="single" w:color="000000" w:sz="4" w:space="0"/>
            </w:tcBorders>
            <w:tcW w:w="8116" w:type="dxa"/>
            <w:vAlign w:val="center"/>
            <w:textDirection w:val="lrTb"/>
            <w:noWrap/>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算力设备</w:t>
            </w:r>
            <w:r>
              <w:rPr>
                <w:rFonts w:hint="eastAsia" w:ascii="宋体" w:hAnsi="宋体" w:cs="宋体"/>
                <w:color w:val="auto"/>
                <w:sz w:val="24"/>
                <w:szCs w:val="24"/>
                <w:lang w:val="en-US" w:eastAsia="zh-CN"/>
              </w:rPr>
              <w:t xml:space="preserve">服务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spacing w:line="360" w:lineRule="auto"/>
              <w:widowControl/>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单位</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bidi="ar"/>
              </w:rPr>
              <w:t xml:space="preserve">AI</w:t>
            </w:r>
            <w:r>
              <w:rPr>
                <w:rFonts w:hint="eastAsia" w:ascii="宋体" w:hAnsi="宋体" w:eastAsia="宋体" w:cs="宋体"/>
                <w:color w:val="auto"/>
                <w:sz w:val="24"/>
                <w:szCs w:val="24"/>
                <w:lang w:val="en-US" w:eastAsia="zh-CN" w:bidi="ar"/>
              </w:rPr>
              <w:t xml:space="preserve">算力</w:t>
            </w:r>
            <w:r>
              <w:rPr>
                <w:rFonts w:hint="eastAsia" w:ascii="宋体" w:hAnsi="宋体" w:cs="宋体"/>
                <w:color w:val="auto"/>
                <w:sz w:val="24"/>
                <w:szCs w:val="24"/>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center"/>
              <w:spacing w:line="360" w:lineRule="auto"/>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算力管理平台服务</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r>
      <w:tr>
        <w:trPr>
          <w:jc w:val="center"/>
          <w:trHeight w:val="404"/>
        </w:trPr>
        <w:tc>
          <w:tcPr>
            <w:gridSpan w:val="5"/>
            <w:shd w:val="clear" w:color="auto" w:fill="auto"/>
            <w:tcBorders>
              <w:top w:val="single" w:color="000000" w:sz="4" w:space="0"/>
              <w:left w:val="single" w:color="000000" w:sz="4" w:space="0"/>
              <w:bottom w:val="single" w:color="000000" w:sz="4" w:space="0"/>
              <w:right w:val="single" w:color="000000" w:sz="4" w:space="0"/>
            </w:tcBorders>
            <w:tcW w:w="8116" w:type="dxa"/>
            <w:vAlign w:val="center"/>
            <w:textDirection w:val="lrTb"/>
            <w:noWrap/>
          </w:tcPr>
          <w:p>
            <w:pPr>
              <w:jc w:val="center"/>
              <w:spacing w:line="360" w:lineRule="auto"/>
              <w:widowControl/>
              <w:rPr>
                <w:rFonts w:hint="default" w:ascii="宋体" w:hAnsi="宋体" w:eastAsia="宋体" w:cs="宋体"/>
                <w:color w:val="auto"/>
                <w:sz w:val="24"/>
                <w:szCs w:val="24"/>
                <w:lang w:val="en-US" w:bidi="ar"/>
              </w:rPr>
            </w:pPr>
            <w:r>
              <w:rPr>
                <w:rFonts w:hint="eastAsia" w:ascii="宋体" w:hAnsi="宋体" w:eastAsia="宋体" w:cs="宋体"/>
                <w:color w:val="auto"/>
                <w:sz w:val="24"/>
                <w:szCs w:val="24"/>
                <w:lang w:bidi="ar"/>
              </w:rPr>
              <w:t xml:space="preserve">智能体软件</w:t>
            </w:r>
            <w:r>
              <w:rPr>
                <w:rFonts w:hint="eastAsia" w:ascii="宋体" w:hAnsi="宋体" w:eastAsia="宋体" w:cs="宋体"/>
                <w:color w:val="auto"/>
                <w:sz w:val="24"/>
                <w:szCs w:val="24"/>
                <w:lang w:val="en-US" w:eastAsia="zh-CN" w:bidi="ar"/>
              </w:rPr>
              <w:t xml:space="preserve">搭建</w:t>
            </w:r>
            <w:r>
              <w:rPr>
                <w:rFonts w:hint="eastAsia" w:ascii="宋体" w:hAnsi="宋体" w:cs="宋体"/>
                <w:color w:val="auto"/>
                <w:sz w:val="24"/>
                <w:szCs w:val="24"/>
                <w:lang w:val="en-US" w:eastAsia="zh-CN" w:bidi="ar"/>
              </w:rPr>
              <w:t xml:space="preserve">服务</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bidi="ar"/>
              </w:rPr>
              <w:t xml:space="preserve">盗窃案件分析智能体</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项</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bidi="ar"/>
              </w:rPr>
              <w:t xml:space="preserve">交通类警情分析报告智能体</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cs="宋体"/>
                <w:color w:val="auto"/>
                <w:sz w:val="24"/>
                <w:szCs w:val="24"/>
                <w:lang w:val="en-US" w:eastAsia="zh-CN" w:bidi="ar"/>
              </w:rPr>
              <w:t xml:space="preserve">项</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全</w:t>
            </w:r>
            <w:r>
              <w:rPr>
                <w:rFonts w:hint="eastAsia" w:ascii="宋体" w:hAnsi="宋体" w:eastAsia="宋体" w:cs="宋体"/>
                <w:color w:val="auto"/>
                <w:sz w:val="24"/>
                <w:szCs w:val="24"/>
                <w:lang w:bidi="ar"/>
              </w:rPr>
              <w:t xml:space="preserve">警种知识库问答智能体</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接线员培训出题工具智能体</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r>
      <w:tr>
        <w:trPr>
          <w:jc w:val="center"/>
          <w:trHeight w:val="733"/>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处警预案流程思维导图绘制工具</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w:t>
            </w:r>
            <w:r>
              <w:rPr>
                <w:rFonts w:hint="eastAsia" w:ascii="宋体" w:hAnsi="宋体" w:cs="宋体"/>
                <w:color w:val="auto"/>
                <w:sz w:val="24"/>
                <w:szCs w:val="24"/>
                <w:lang w:val="en-US" w:eastAsia="zh-CN" w:bidi="ar"/>
              </w:rPr>
              <w:t xml:space="preserve">服务</w:t>
            </w:r>
            <w:r>
              <w:rPr>
                <w:rFonts w:hint="eastAsia" w:ascii="宋体" w:hAnsi="宋体" w:eastAsia="宋体" w:cs="宋体"/>
                <w:color w:val="auto"/>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r>
    </w:tbl>
    <w:p>
      <w:pPr>
        <w:numPr>
          <w:ilvl w:val="0"/>
          <w:numId w:val="0"/>
        </w:numPr>
        <w:jc w:val="left"/>
        <w:spacing w:line="360" w:lineRule="auto"/>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numPr>
          <w:ilvl w:val="0"/>
          <w:numId w:val="0"/>
        </w:numPr>
        <w:jc w:val="left"/>
        <w:spacing w:line="360" w:lineRule="auto"/>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四、服务</w:t>
      </w:r>
      <w:r>
        <w:rPr>
          <w:rFonts w:hint="eastAsia" w:ascii="宋体" w:hAnsi="宋体" w:eastAsia="宋体" w:cs="宋体"/>
          <w:b/>
          <w:bCs/>
          <w:color w:val="auto"/>
          <w:sz w:val="24"/>
          <w:szCs w:val="24"/>
        </w:rPr>
        <w:t xml:space="preserve">要求</w:t>
      </w:r>
      <w:r/>
    </w:p>
    <w:p>
      <w:pPr>
        <w:rPr>
          <w:rFonts w:ascii="Times New Roman" w:hAnsi="Times New Roman"/>
          <w:color w:val="auto"/>
          <w:szCs w:val="21"/>
          <w:highlight w:val="none"/>
        </w:rPr>
      </w:pPr>
      <w:r>
        <w:rPr>
          <w:rFonts w:hint="eastAsia" w:asciiTheme="minorEastAsia" w:hAnsiTheme="minorEastAsia" w:eastAsiaTheme="minorEastAsia"/>
          <w:i/>
          <w:iCs/>
          <w:color w:val="000000" w:themeColor="text1"/>
          <w:sz w:val="24"/>
          <w:szCs w:val="24"/>
          <w:u w:val="single"/>
          <w14:textFill>
            <w14:solidFill>
              <w14:schemeClr w14:val="tx1"/>
            </w14:solidFill>
          </w14:textFill>
        </w:rPr>
        <w:t xml:space="preserve">绿色数据中心需求标准</w:t>
      </w:r>
      <w:r>
        <w:rPr>
          <w:rFonts w:hint="eastAsia" w:asciiTheme="minorEastAsia" w:hAnsiTheme="minorEastAsia" w:eastAsiaTheme="minorEastAsia"/>
          <w:b/>
          <w:bCs/>
          <w:i/>
          <w:iCs/>
          <w:color w:val="000000" w:themeColor="text1"/>
          <w:sz w:val="24"/>
          <w:szCs w:val="24"/>
          <w:u w:val="single"/>
          <w14:textFill>
            <w14:solidFill>
              <w14:schemeClr w14:val="tx1"/>
            </w14:solidFill>
          </w14:textFill>
        </w:rPr>
        <w:t xml:space="preserve">（服务器及存储设备技术指标要求）：</w:t>
      </w:r>
      <w:r>
        <w:rPr>
          <w:rFonts w:ascii="Times New Roman" w:hAnsi="Times New Roman"/>
          <w:color w:val="auto"/>
          <w:szCs w:val="21"/>
          <w:highlight w:val="none"/>
        </w:rPr>
        <w:t xml:space="preserve"> </w:t>
      </w:r>
      <w:r/>
    </w:p>
    <w:tbl>
      <w:tblPr>
        <w:tblStyle w:val="68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426"/>
        <w:gridCol w:w="1689"/>
        <w:gridCol w:w="1269"/>
        <w:gridCol w:w="1687"/>
        <w:gridCol w:w="2808"/>
      </w:tblGrid>
      <w:tr>
        <w:trPr/>
        <w:tc>
          <w:tcPr>
            <w:shd w:val="clear" w:color="auto" w:fill="auto"/>
            <w:tcW w:w="417" w:type="dxa"/>
            <w:textDirection w:val="lrTb"/>
            <w:noWrap w:val="false"/>
          </w:tcPr>
          <w:p>
            <w:pPr>
              <w:jc w:val="cente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gridSpan w:val="3"/>
            <w:shd w:val="clear" w:color="auto" w:fill="d8d8d8"/>
            <w:tcW w:w="3384"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指标</w:t>
            </w:r>
            <w:r/>
          </w:p>
        </w:tc>
        <w:tc>
          <w:tcPr>
            <w:shd w:val="clear" w:color="auto" w:fill="d8d8d8"/>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限制值</w:t>
            </w:r>
            <w:r/>
          </w:p>
        </w:tc>
        <w:tc>
          <w:tcPr>
            <w:shd w:val="clear" w:color="auto" w:fill="d8d8d8"/>
            <w:tcW w:w="2808"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判定依据</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方法</w:t>
            </w:r>
            <w:r/>
          </w:p>
        </w:tc>
      </w:tr>
      <w:tr>
        <w:trPr>
          <w:trHeight w:val="611"/>
        </w:trPr>
        <w:tc>
          <w:tcPr>
            <w:shd w:val="clear" w:color="auto" w:fill="auto"/>
            <w:tcW w:w="417" w:type="dxa"/>
            <w:vAlign w:val="center"/>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gridSpan w:val="3"/>
            <w:shd w:val="clear" w:color="auto" w:fill="auto"/>
            <w:tcW w:w="3384" w:type="dxa"/>
            <w:vAlign w:val="center"/>
            <w:textDirection w:val="lrTb"/>
            <w:noWrap w:val="false"/>
          </w:tcPr>
          <w:p>
            <w:pP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产品可再生利用率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80%</w:t>
            </w:r>
            <w:r/>
          </w:p>
        </w:tc>
        <w:tc>
          <w:tcPr>
            <w:shd w:val="clear" w:color="auto" w:fill="auto"/>
            <w:tcW w:w="2808" w:type="dxa"/>
            <w:vAlign w:val="center"/>
            <w:textDirection w:val="lrTb"/>
            <w:noWrap w:val="false"/>
          </w:tcPr>
          <w:p>
            <w:pP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根据</w:t>
            </w:r>
            <w:r>
              <w:rPr>
                <w:rFonts w:ascii="Times New Roman" w:hAnsi="Times New Roman"/>
                <w:color w:val="auto"/>
                <w:sz w:val="24"/>
                <w:szCs w:val="24"/>
                <w:highlight w:val="none"/>
              </w:rPr>
              <w:t xml:space="preserve">GB/T 32355.2</w:t>
            </w:r>
            <w:r>
              <w:rPr>
                <w:rFonts w:hint="eastAsia" w:ascii="Times New Roman" w:hAnsi="Times New Roman"/>
                <w:color w:val="auto"/>
                <w:sz w:val="24"/>
                <w:szCs w:val="24"/>
                <w:highlight w:val="none"/>
              </w:rPr>
              <w:t xml:space="preserve">及附录</w:t>
            </w:r>
            <w:r>
              <w:rPr>
                <w:rFonts w:ascii="Times New Roman" w:hAnsi="Times New Roman"/>
                <w:color w:val="auto"/>
                <w:sz w:val="24"/>
                <w:szCs w:val="24"/>
                <w:highlight w:val="none"/>
              </w:rPr>
              <w:t xml:space="preserve">C</w:t>
            </w:r>
            <w:r>
              <w:rPr>
                <w:rFonts w:hint="eastAsia" w:ascii="Times New Roman" w:hAnsi="Times New Roman"/>
                <w:color w:val="auto"/>
                <w:sz w:val="24"/>
                <w:szCs w:val="24"/>
                <w:highlight w:val="none"/>
              </w:rPr>
              <w:t xml:space="preserve">要求</w:t>
            </w:r>
            <w:r>
              <w:rPr>
                <w:rFonts w:hint="eastAsia" w:ascii="Times New Roman" w:hAnsi="Times New Roman"/>
                <w:color w:val="auto"/>
                <w:sz w:val="24"/>
                <w:szCs w:val="24"/>
                <w:highlight w:val="none"/>
                <w:lang w:eastAsia="zh-CN"/>
              </w:rPr>
              <w:t xml:space="preserve">进行判定</w:t>
            </w:r>
            <w:r/>
          </w:p>
        </w:tc>
      </w:tr>
      <w:tr>
        <w:trPr>
          <w:trHeight w:val="85"/>
        </w:trPr>
        <w:tc>
          <w:tcPr>
            <w:shd w:val="clear" w:color="auto" w:fill="auto"/>
            <w:tcW w:w="417" w:type="dxa"/>
            <w:vAlign w:val="center"/>
            <w:vMerge w:val="restart"/>
            <w:textDirection w:val="lrTb"/>
            <w:noWrap w:val="false"/>
          </w:tcPr>
          <w:p>
            <w:pPr>
              <w:spacing w:line="276" w:lineRule="auto"/>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2</w:t>
            </w:r>
            <w:r/>
          </w:p>
        </w:tc>
        <w:tc>
          <w:tcPr>
            <w:shd w:val="clear" w:color="auto" w:fill="auto"/>
            <w:tcW w:w="426" w:type="dxa"/>
            <w:vAlign w:val="center"/>
            <w:vMerge w:val="restart"/>
            <w:textDirection w:val="lrTb"/>
            <w:noWrap w:val="false"/>
          </w:tcPr>
          <w:p>
            <w:pPr>
              <w:spacing w:line="276" w:lineRule="auto"/>
              <w:rPr>
                <w:rFonts w:ascii="Times New Roman" w:hAnsi="Times New Roman"/>
                <w:color w:val="auto"/>
                <w:sz w:val="24"/>
                <w:szCs w:val="24"/>
                <w:highlight w:val="none"/>
              </w:rPr>
            </w:pPr>
            <w:r>
              <w:rPr>
                <w:rFonts w:hint="eastAsia" w:ascii="Times New Roman"/>
                <w:color w:val="auto"/>
                <w:sz w:val="24"/>
                <w:szCs w:val="24"/>
                <w:highlight w:val="none"/>
              </w:rPr>
              <w:t xml:space="preserve">供电模块效率</w:t>
            </w:r>
            <w:r/>
          </w:p>
        </w:tc>
        <w:tc>
          <w:tcPr>
            <w:shd w:val="clear" w:color="auto" w:fill="auto"/>
            <w:tcW w:w="1689" w:type="dxa"/>
            <w:vAlign w:val="center"/>
            <w:vMerge w:val="restart"/>
            <w:textDirection w:val="lrTb"/>
            <w:noWrap w:val="false"/>
          </w:tcPr>
          <w:p>
            <w:pPr>
              <w:spacing w:line="276" w:lineRule="auto"/>
              <w:rPr>
                <w:rFonts w:ascii="Times New Roman" w:hAnsi="Times New Roman"/>
                <w:color w:val="auto"/>
                <w:sz w:val="24"/>
                <w:szCs w:val="24"/>
                <w:highlight w:val="none"/>
              </w:rPr>
            </w:pPr>
            <w:r>
              <w:rPr>
                <w:rFonts w:ascii="Times New Roman"/>
                <w:color w:val="auto"/>
                <w:sz w:val="24"/>
                <w:szCs w:val="24"/>
                <w:highlight w:val="none"/>
              </w:rPr>
              <w:t xml:space="preserve">20%</w:t>
            </w:r>
            <w:r>
              <w:rPr>
                <w:rFonts w:hint="eastAsia" w:ascii="Times New Roman" w:hAnsi="Times New Roman"/>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90%</w:t>
            </w:r>
            <w:r/>
          </w:p>
        </w:tc>
        <w:tc>
          <w:tcPr>
            <w:shd w:val="clear" w:color="auto" w:fill="auto"/>
            <w:tcW w:w="2808" w:type="dxa"/>
            <w:vAlign w:val="center"/>
            <w:vMerge w:val="restart"/>
            <w:textDirection w:val="lrTb"/>
            <w:noWrap w:val="false"/>
          </w:tcPr>
          <w:p>
            <w:pPr>
              <w:spacing w:line="276" w:lineRule="auto"/>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检测方法</w:t>
            </w:r>
            <w:r>
              <w:rPr>
                <w:rFonts w:hint="eastAsia" w:ascii="Times New Roman" w:hAnsi="Times New Roman"/>
                <w:color w:val="auto"/>
                <w:sz w:val="24"/>
                <w:szCs w:val="24"/>
                <w:highlight w:val="none"/>
                <w:lang w:eastAsia="zh-CN"/>
              </w:rPr>
              <w:t xml:space="preserve">按照</w:t>
            </w:r>
            <w:r>
              <w:rPr>
                <w:rFonts w:ascii="Times New Roman" w:hAnsi="Times New Roman"/>
                <w:color w:val="auto"/>
                <w:sz w:val="24"/>
                <w:szCs w:val="24"/>
                <w:highlight w:val="none"/>
              </w:rPr>
              <w:t xml:space="preserve">HJ 2507</w:t>
            </w:r>
            <w:r>
              <w:rPr>
                <w:rFonts w:hint="eastAsia" w:ascii="Times New Roman" w:hAnsi="Times New Roman"/>
                <w:color w:val="auto"/>
                <w:sz w:val="24"/>
                <w:szCs w:val="24"/>
                <w:highlight w:val="none"/>
              </w:rPr>
              <w:t xml:space="preserve">附录</w:t>
            </w:r>
            <w:r>
              <w:rPr>
                <w:rFonts w:ascii="Times New Roman" w:hAnsi="Times New Roman"/>
                <w:color w:val="auto"/>
                <w:sz w:val="24"/>
                <w:szCs w:val="24"/>
                <w:highlight w:val="none"/>
              </w:rPr>
              <w:t xml:space="preserve">B</w:t>
            </w:r>
            <w:r>
              <w:rPr>
                <w:rFonts w:hint="eastAsia" w:ascii="Times New Roman" w:hAnsi="Times New Roman"/>
                <w:color w:val="auto"/>
                <w:sz w:val="24"/>
                <w:szCs w:val="24"/>
                <w:highlight w:val="none"/>
              </w:rPr>
              <w:t xml:space="preserve">要求</w:t>
            </w:r>
            <w:r>
              <w:rPr>
                <w:rFonts w:hint="eastAsia" w:ascii="Times New Roman" w:hAnsi="Times New Roman"/>
                <w:color w:val="auto"/>
                <w:sz w:val="24"/>
                <w:szCs w:val="24"/>
                <w:highlight w:val="none"/>
                <w:lang w:eastAsia="zh-CN"/>
              </w:rPr>
              <w:t xml:space="preserve">执行</w:t>
            </w:r>
            <w:r/>
          </w:p>
        </w:tc>
      </w:tr>
      <w:tr>
        <w:trP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269" w:type="dxa"/>
            <w:vAlign w:val="center"/>
            <w:textDirection w:val="lrTb"/>
            <w:noWrap w:val="false"/>
          </w:tcPr>
          <w:p>
            <w:pPr>
              <w:spacing w:line="276" w:lineRule="auto"/>
              <w:rPr>
                <w:rFonts w:ascii="Times New Roman"/>
                <w:color w:val="auto"/>
                <w:sz w:val="24"/>
                <w:szCs w:val="24"/>
                <w:highlight w:val="none"/>
              </w:rPr>
            </w:pPr>
            <w:r>
              <w:rPr>
                <w:rFonts w:hint="eastAsia" w:ascii="Times New Roman" w:hAnsi="Times New Roman"/>
                <w:color w:val="auto"/>
                <w:sz w:val="24"/>
                <w:szCs w:val="24"/>
                <w:highlight w:val="none"/>
              </w:rPr>
              <w:t xml:space="preserve">功率因数（</w:t>
            </w:r>
            <w:r>
              <w:rPr>
                <w:rFonts w:ascii="Times New Roman" w:hAnsi="Times New Roman"/>
                <w:color w:val="auto"/>
                <w:sz w:val="24"/>
                <w:szCs w:val="24"/>
                <w:highlight w:val="none"/>
              </w:rPr>
              <w:t xml:space="preserve">PF</w:t>
            </w:r>
            <w:r>
              <w:rPr>
                <w:rFonts w:hint="eastAsia" w:ascii="Times New Roman" w:hAnsi="Times New Roman"/>
                <w:color w:val="auto"/>
                <w:sz w:val="24"/>
                <w:szCs w:val="24"/>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689" w:type="dxa"/>
            <w:vAlign w:val="center"/>
            <w:vMerge w:val="restart"/>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t xml:space="preserve">50%</w:t>
            </w:r>
            <w:r>
              <w:rPr>
                <w:rFonts w:hint="eastAsia" w:ascii="Times New Roman" w:hAnsi="Times New Roman"/>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color w:val="auto"/>
                <w:sz w:val="24"/>
                <w:szCs w:val="24"/>
                <w:highlight w:val="none"/>
              </w:rPr>
            </w:pPr>
            <w:r>
              <w:rPr>
                <w:rFonts w:hint="eastAsia" w:ascii="Times New Roman" w:hAnsi="Times New Roman"/>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94%</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269" w:type="dxa"/>
            <w:vAlign w:val="center"/>
            <w:textDirection w:val="lrTb"/>
            <w:noWrap w:val="false"/>
          </w:tcPr>
          <w:p>
            <w:pPr>
              <w:spacing w:line="276" w:lineRule="auto"/>
              <w:rPr>
                <w:rFonts w:ascii="Times New Roman"/>
                <w:color w:val="auto"/>
                <w:sz w:val="24"/>
                <w:szCs w:val="24"/>
                <w:highlight w:val="none"/>
              </w:rPr>
            </w:pPr>
            <w:r>
              <w:rPr>
                <w:rFonts w:hint="eastAsia" w:ascii="Times New Roman" w:hAnsi="Times New Roman"/>
                <w:color w:val="auto"/>
                <w:sz w:val="24"/>
                <w:szCs w:val="24"/>
                <w:highlight w:val="none"/>
              </w:rPr>
              <w:t xml:space="preserve">功率因数（</w:t>
            </w:r>
            <w:r>
              <w:rPr>
                <w:rFonts w:ascii="Times New Roman" w:hAnsi="Times New Roman"/>
                <w:color w:val="auto"/>
                <w:sz w:val="24"/>
                <w:szCs w:val="24"/>
                <w:highlight w:val="none"/>
              </w:rPr>
              <w:t xml:space="preserve">PF</w:t>
            </w:r>
            <w:r>
              <w:rPr>
                <w:rFonts w:hint="eastAsia" w:ascii="Times New Roman" w:hAnsi="Times New Roman"/>
                <w:color w:val="auto"/>
                <w:sz w:val="24"/>
                <w:szCs w:val="24"/>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689" w:type="dxa"/>
            <w:vAlign w:val="center"/>
            <w:vMerge w:val="restart"/>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t xml:space="preserve">100%</w:t>
            </w:r>
            <w:r>
              <w:rPr>
                <w:rFonts w:hint="eastAsia" w:ascii="Times New Roman" w:hAnsi="Times New Roman"/>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color w:val="auto"/>
                <w:sz w:val="24"/>
                <w:szCs w:val="24"/>
                <w:highlight w:val="none"/>
              </w:rPr>
            </w:pPr>
            <w:r>
              <w:rPr>
                <w:rFonts w:hint="eastAsia" w:ascii="Times New Roman" w:hAnsi="Times New Roman"/>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91%</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702"/>
        </w:trPr>
        <w:tc>
          <w:tcPr>
            <w:shd w:val="clear" w:color="auto" w:fill="auto"/>
            <w:tcW w:w="417"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 w:val="24"/>
                <w:szCs w:val="24"/>
                <w:highlight w:val="none"/>
              </w:rPr>
            </w:pPr>
            <w:r>
              <w:rPr>
                <w:rFonts w:ascii="Times New Roman"/>
                <w:color w:val="auto"/>
                <w:sz w:val="24"/>
                <w:szCs w:val="24"/>
                <w:highlight w:val="none"/>
              </w:rPr>
            </w:r>
            <w:r/>
          </w:p>
        </w:tc>
        <w:tc>
          <w:tcPr>
            <w:shd w:val="clear" w:color="auto" w:fill="auto"/>
            <w:tcW w:w="1269" w:type="dxa"/>
            <w:vAlign w:val="center"/>
            <w:textDirection w:val="lrTb"/>
            <w:noWrap w:val="false"/>
          </w:tcPr>
          <w:p>
            <w:pPr>
              <w:spacing w:line="276" w:lineRule="auto"/>
              <w:rPr>
                <w:rFonts w:ascii="Times New Roman"/>
                <w:color w:val="auto"/>
                <w:sz w:val="24"/>
                <w:szCs w:val="24"/>
                <w:highlight w:val="none"/>
              </w:rPr>
            </w:pPr>
            <w:r>
              <w:rPr>
                <w:rFonts w:hint="eastAsia" w:ascii="Times New Roman" w:hAnsi="Times New Roman"/>
                <w:color w:val="auto"/>
                <w:sz w:val="24"/>
                <w:szCs w:val="24"/>
                <w:highlight w:val="none"/>
              </w:rPr>
              <w:t xml:space="preserve">功率因数（</w:t>
            </w:r>
            <w:r>
              <w:rPr>
                <w:rFonts w:ascii="Times New Roman" w:hAnsi="Times New Roman"/>
                <w:color w:val="auto"/>
                <w:sz w:val="24"/>
                <w:szCs w:val="24"/>
                <w:highlight w:val="none"/>
              </w:rPr>
              <w:t xml:space="preserve">PF</w:t>
            </w:r>
            <w:r>
              <w:rPr>
                <w:rFonts w:hint="eastAsia" w:ascii="Times New Roman" w:hAnsi="Times New Roman"/>
                <w:color w:val="auto"/>
                <w:sz w:val="24"/>
                <w:szCs w:val="24"/>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u w:val="single"/>
        </w:rPr>
        <w:outlineLvl w:val="1"/>
      </w:pPr>
      <w:r>
        <w:rPr>
          <w:rFonts w:hint="eastAsia" w:ascii="宋体" w:hAnsi="宋体" w:cs="宋体"/>
          <w:b w:val="0"/>
          <w:bCs w:val="0"/>
          <w:i/>
          <w:iCs/>
          <w:color w:val="auto"/>
          <w:sz w:val="24"/>
          <w:szCs w:val="24"/>
          <w:u w:val="single"/>
          <w:lang w:val="en-US" w:eastAsia="zh-CN"/>
        </w:rPr>
        <w:t xml:space="preserve">AI算力设备</w:t>
      </w:r>
      <w:r>
        <w:rPr>
          <w:rFonts w:hint="eastAsia" w:ascii="宋体" w:hAnsi="宋体" w:eastAsia="宋体" w:cs="宋体"/>
          <w:b w:val="0"/>
          <w:bCs w:val="0"/>
          <w:i/>
          <w:iCs/>
          <w:color w:val="auto"/>
          <w:sz w:val="24"/>
          <w:szCs w:val="24"/>
          <w:u w:val="single"/>
        </w:rPr>
        <w:t xml:space="preserve">必须满足《绿色数据中心政府采购需求标准（试行）》（财库[2023]7号）关于服务器及存储设备采购需求标准。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1"/>
      </w:pPr>
      <w:r>
        <w:rPr>
          <w:rFonts w:hint="eastAsia" w:ascii="宋体" w:hAnsi="宋体" w:eastAsia="宋体" w:cs="宋体"/>
          <w:b w:val="0"/>
          <w:bCs w:val="0"/>
          <w:color w:val="auto"/>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0"/>
        <w:jc w:val="left"/>
        <w:spacing w:line="360" w:lineRule="auto"/>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numPr>
          <w:ilvl w:val="0"/>
          <w:numId w:val="0"/>
        </w:numPr>
        <w:ind w:firstLine="0"/>
        <w:jc w:val="left"/>
        <w:spacing w:line="360" w:lineRule="auto"/>
        <w:rPr>
          <w:rFonts w:hint="default"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AI算力服务</w:t>
      </w:r>
      <w:r/>
    </w:p>
    <w:tbl>
      <w:tblPr>
        <w:tblStyle w:val="688"/>
        <w:tblpPr w:horzAnchor="page" w:tblpX="1712" w:vertAnchor="text" w:tblpY="600"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996"/>
        <w:gridCol w:w="1187"/>
        <w:gridCol w:w="5769"/>
      </w:tblGrid>
      <w:tr>
        <w:trPr/>
        <w:tc>
          <w:tcPr>
            <w:tcW w:w="33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W w:w="58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一级指标</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二级指标</w:t>
            </w:r>
            <w:r/>
          </w:p>
        </w:tc>
        <w:tc>
          <w:tcPr>
            <w:tcW w:w="338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指标要求</w:t>
            </w:r>
            <w:r/>
          </w:p>
        </w:tc>
      </w:tr>
      <w:tr>
        <w:trPr/>
        <w:tc>
          <w:tcPr>
            <w:tcW w:w="33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58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CPU</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规格</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b w:val="0"/>
                <w:bCs w:val="0"/>
                <w:i/>
                <w:iCs/>
                <w:color w:val="000000"/>
                <w:sz w:val="24"/>
                <w:szCs w:val="24"/>
                <w:u w:val="single"/>
                <w:lang w:val="en-US" w:eastAsia="zh-CN" w:bidi="ar"/>
              </w:rPr>
              <w:t xml:space="preserve">CPU 信息</w:t>
            </w:r>
            <w:r/>
          </w:p>
        </w:tc>
        <w:tc>
          <w:tcPr>
            <w:tcW w:w="3382" w:type="pct"/>
            <w:vAlign w:val="center"/>
            <w:textDirection w:val="lrTb"/>
            <w:noWrap w:val="false"/>
          </w:tcPr>
          <w:p>
            <w:pPr>
              <w:jc w:val="left"/>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配置≥2颗国产化C86架构处理器，单颗CPU≥48核心，单颗CPU主频≥2.6GHz（证明材料可为系统截图或产品彩页或技术白皮书）</w:t>
            </w:r>
            <w:r/>
          </w:p>
        </w:tc>
      </w:tr>
      <w:tr>
        <w:trPr/>
        <w:tc>
          <w:tcPr>
            <w:tcW w:w="33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58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内存</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规格</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b w:val="0"/>
                <w:bCs w:val="0"/>
                <w:i/>
                <w:iCs/>
                <w:color w:val="000000"/>
                <w:sz w:val="24"/>
                <w:szCs w:val="24"/>
                <w:u w:val="single"/>
                <w:lang w:val="en-US" w:eastAsia="zh-CN" w:bidi="ar"/>
              </w:rPr>
              <w:t xml:space="preserve">内存配置容量</w:t>
            </w:r>
            <w:r/>
          </w:p>
        </w:tc>
        <w:tc>
          <w:tcPr>
            <w:tcW w:w="3382" w:type="pct"/>
            <w:vAlign w:val="center"/>
            <w:textDirection w:val="lrTb"/>
            <w:noWrap w:val="false"/>
          </w:tcPr>
          <w:p>
            <w:pPr>
              <w:jc w:val="left"/>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配置≥ 1024GB DDR5 RDIMM内存</w:t>
            </w:r>
            <w:r/>
          </w:p>
        </w:tc>
      </w:tr>
      <w:tr>
        <w:trPr/>
        <w:tc>
          <w:tcPr>
            <w:tcBorders>
              <w:bottom w:val="single" w:color="auto" w:sz="4" w:space="0"/>
            </w:tcBorders>
            <w:tcW w:w="336"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w:t>
            </w:r>
            <w:r/>
          </w:p>
        </w:tc>
        <w:tc>
          <w:tcPr>
            <w:tcBorders>
              <w:bottom w:val="single" w:color="auto" w:sz="4" w:space="0"/>
            </w:tcBorders>
            <w:tcW w:w="584"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存储设备规格</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b w:val="0"/>
                <w:bCs w:val="0"/>
                <w:i/>
                <w:iCs/>
                <w:color w:val="000000"/>
                <w:sz w:val="24"/>
                <w:szCs w:val="24"/>
                <w:u w:val="single"/>
                <w:lang w:val="en-US" w:eastAsia="zh-CN" w:bidi="ar"/>
              </w:rPr>
              <w:t xml:space="preserve">存储容量</w:t>
            </w:r>
            <w:r/>
          </w:p>
        </w:tc>
        <w:tc>
          <w:tcPr>
            <w:tcW w:w="3382" w:type="pct"/>
            <w:vAlign w:val="center"/>
            <w:textDirection w:val="lrTb"/>
            <w:noWrap w:val="false"/>
          </w:tcPr>
          <w:p>
            <w:pPr>
              <w:jc w:val="left"/>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配置≥2块 480G SATA_SSD企业级硬盘，配置≥4块3840G NVME_SSD企业级硬盘</w:t>
            </w:r>
            <w:r/>
          </w:p>
        </w:tc>
      </w:tr>
      <w:tr>
        <w:trPr>
          <w:trHeight w:val="604"/>
        </w:trPr>
        <w:tc>
          <w:tcPr>
            <w:tcBorders>
              <w:top w:val="single" w:color="auto" w:sz="4" w:space="0"/>
            </w:tcBorders>
            <w:tcW w:w="336"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tcBorders>
              <w:top w:val="single" w:color="auto" w:sz="4" w:space="0"/>
            </w:tcBorders>
            <w:tcW w:w="584" w:type="pct"/>
            <w:vAlign w:val="center"/>
            <w:vMerge w:val="restart"/>
            <w:textDirection w:val="lrTb"/>
            <w:noWrap w:val="false"/>
          </w:tcPr>
          <w:p>
            <w:pPr>
              <w:jc w:val="center"/>
              <w:keepLines w:val="0"/>
              <w:keepNext w:val="0"/>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GPU</w:t>
            </w:r>
            <w:r/>
          </w:p>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规格</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算力</w:t>
            </w:r>
            <w:r/>
          </w:p>
        </w:tc>
        <w:tc>
          <w:tcPr>
            <w:tcW w:w="3382" w:type="pct"/>
            <w:vAlign w:val="center"/>
            <w:textDirection w:val="lrTb"/>
            <w:noWrap w:val="false"/>
          </w:tcPr>
          <w:p>
            <w:pPr>
              <w:jc w:val="left"/>
              <w:keepLines w:val="0"/>
              <w:keepNext w:val="0"/>
              <w:widowControl/>
              <w:rPr>
                <w:rFonts w:hint="eastAsia" w:ascii="宋体" w:hAnsi="宋体" w:eastAsia="宋体" w:cs="宋体"/>
                <w:b w:val="0"/>
                <w:bCs w:val="0"/>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配置≥8张国产GPU卡，整机算力BF16/FP16≥0.9PFLOPS。</w:t>
            </w:r>
            <w:r/>
          </w:p>
        </w:tc>
      </w:tr>
      <w:tr>
        <w:trPr>
          <w:trHeight w:val="604"/>
        </w:trPr>
        <w:tc>
          <w:tcPr>
            <w:tcW w:w="336"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584" w:type="pct"/>
            <w:vAlign w:val="center"/>
            <w:vMerge w:val="continue"/>
            <w:textDirection w:val="lrTb"/>
            <w:noWrap w:val="false"/>
          </w:tcPr>
          <w:p>
            <w:pPr>
              <w:jc w:val="center"/>
              <w:keepLines w:val="0"/>
              <w:keepNext w:val="0"/>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r>
            <w:r/>
          </w:p>
        </w:tc>
        <w:tc>
          <w:tcPr>
            <w:tcW w:w="6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显存</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仿宋"/>
                <w:b/>
                <w:bCs/>
                <w:sz w:val="24"/>
                <w:szCs w:val="24"/>
              </w:rPr>
              <w:t xml:space="preserve">★</w:t>
            </w:r>
            <w:r>
              <w:rPr>
                <w:rFonts w:hint="eastAsia" w:ascii="宋体" w:hAnsi="宋体" w:eastAsia="宋体" w:cs="宋体"/>
                <w:i w:val="0"/>
                <w:iCs w:val="0"/>
                <w:color w:val="000000"/>
                <w:sz w:val="24"/>
                <w:szCs w:val="24"/>
                <w:u w:val="none"/>
                <w:lang w:val="en-US" w:eastAsia="zh-CN" w:bidi="ar"/>
              </w:rPr>
              <w:t xml:space="preserve">整机总显存≥380GB（证明材料可为系统截图或产品彩页或技术白皮书</w:t>
            </w:r>
            <w:r>
              <w:rPr>
                <w:rFonts w:hint="eastAsia" w:ascii="宋体" w:hAnsi="宋体" w:cs="宋体"/>
                <w:i w:val="0"/>
                <w:iCs w:val="0"/>
                <w:color w:val="000000"/>
                <w:sz w:val="24"/>
                <w:szCs w:val="24"/>
                <w:u w:val="none"/>
                <w:lang w:val="en-US" w:eastAsia="zh-CN" w:bidi="ar"/>
              </w:rPr>
              <w:t xml:space="preserve">或第三方检测机构出具的有效检验(检测) 报告</w:t>
            </w:r>
            <w:r>
              <w:rPr>
                <w:rFonts w:hint="eastAsia" w:ascii="宋体" w:hAnsi="宋体" w:eastAsia="宋体" w:cs="宋体"/>
                <w:i w:val="0"/>
                <w:iCs w:val="0"/>
                <w:color w:val="000000"/>
                <w:sz w:val="24"/>
                <w:szCs w:val="24"/>
                <w:u w:val="none"/>
                <w:lang w:val="en-US" w:eastAsia="zh-CN" w:bidi="ar"/>
              </w:rPr>
              <w:t xml:space="preserve">）</w:t>
            </w:r>
            <w:r/>
          </w:p>
        </w:tc>
      </w:tr>
      <w:tr>
        <w:trPr>
          <w:trHeight w:val="604"/>
        </w:trPr>
        <w:tc>
          <w:tcPr>
            <w:tcW w:w="336"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tcW w:w="584" w:type="pct"/>
            <w:vAlign w:val="center"/>
            <w:vMerge w:val="continue"/>
            <w:textDirection w:val="lrTb"/>
            <w:noWrap w:val="false"/>
          </w:tcPr>
          <w:p>
            <w:pPr>
              <w:jc w:val="center"/>
              <w:keepLines w:val="0"/>
              <w:keepNext w:val="0"/>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r>
            <w:r/>
          </w:p>
        </w:tc>
        <w:tc>
          <w:tcPr>
            <w:tcW w:w="6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互联宽带</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仿宋"/>
                <w:b/>
                <w:bCs/>
                <w:sz w:val="24"/>
                <w:szCs w:val="24"/>
              </w:rPr>
              <w:t xml:space="preserve">★</w:t>
            </w:r>
            <w:r>
              <w:rPr>
                <w:rFonts w:hint="eastAsia" w:ascii="宋体" w:hAnsi="宋体" w:eastAsia="宋体" w:cs="宋体"/>
                <w:i w:val="0"/>
                <w:iCs w:val="0"/>
                <w:color w:val="000000"/>
                <w:sz w:val="24"/>
                <w:szCs w:val="24"/>
                <w:u w:val="none"/>
                <w:lang w:val="en-US" w:eastAsia="zh-CN" w:bidi="ar"/>
              </w:rPr>
              <w:t xml:space="preserve">单机内具备卡间互联带宽≥</w:t>
            </w:r>
            <w:r>
              <w:rPr>
                <w:rFonts w:hint="eastAsia" w:ascii="宋体" w:hAnsi="宋体" w:cs="宋体"/>
                <w:i w:val="0"/>
                <w:iCs w:val="0"/>
                <w:color w:val="000000"/>
                <w:sz w:val="24"/>
                <w:szCs w:val="24"/>
                <w:u w:val="none"/>
                <w:lang w:val="en-US" w:eastAsia="zh-CN" w:bidi="ar"/>
              </w:rPr>
              <w:t xml:space="preserve">350</w:t>
            </w:r>
            <w:r>
              <w:rPr>
                <w:rFonts w:hint="eastAsia" w:ascii="宋体" w:hAnsi="宋体" w:eastAsia="宋体" w:cs="宋体"/>
                <w:i w:val="0"/>
                <w:iCs w:val="0"/>
                <w:color w:val="000000"/>
                <w:sz w:val="24"/>
                <w:szCs w:val="24"/>
                <w:u w:val="none"/>
                <w:lang w:val="en-US" w:eastAsia="zh-CN" w:bidi="ar"/>
              </w:rPr>
              <w:t xml:space="preserve">GB/s（证明材料可为系统测试结果截图或产品彩页或技术白皮书）</w:t>
            </w:r>
            <w:r/>
          </w:p>
        </w:tc>
      </w:tr>
      <w:tr>
        <w:trPr>
          <w:trHeight w:val="726"/>
        </w:trPr>
        <w:tc>
          <w:tcPr>
            <w:tcW w:w="336" w:type="pct"/>
            <w:vAlign w:val="center"/>
            <w:textDirection w:val="lrTb"/>
            <w:noWrap w:val="false"/>
          </w:tcPr>
          <w:p>
            <w:pPr>
              <w:jc w:val="center"/>
              <w:keepLines w:val="0"/>
              <w:keepNext w:val="0"/>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tcW w:w="584" w:type="pct"/>
            <w:vAlign w:val="center"/>
            <w:textDirection w:val="lrTb"/>
            <w:noWrap w:val="false"/>
          </w:tcPr>
          <w:p>
            <w:pPr>
              <w:jc w:val="center"/>
              <w:keepLines w:val="0"/>
              <w:keepNext w:val="0"/>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算力能力</w:t>
            </w:r>
            <w:r/>
          </w:p>
        </w:tc>
        <w:tc>
          <w:tcPr>
            <w:tcW w:w="6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推理性能</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仿宋"/>
                <w:b/>
                <w:bCs/>
                <w:sz w:val="24"/>
                <w:szCs w:val="24"/>
              </w:rPr>
              <w:t xml:space="preserve">★</w:t>
            </w:r>
            <w:r>
              <w:rPr>
                <w:rFonts w:hint="eastAsia" w:ascii="宋体" w:hAnsi="宋体" w:eastAsia="宋体" w:cs="宋体"/>
                <w:i w:val="0"/>
                <w:iCs w:val="0"/>
                <w:color w:val="000000"/>
                <w:sz w:val="24"/>
                <w:szCs w:val="24"/>
                <w:u w:val="none"/>
                <w:lang w:val="en-US" w:eastAsia="zh-CN" w:bidi="ar"/>
              </w:rPr>
              <w:t xml:space="preserve">至少8张GPU/NPU推理卡运行Qwen3-235B-A22B INT8模型，在2048/2048输入输出的推理场景，可满足以下性能要求TPOT≤50ms时，大模型可承载≥16并发，8卡生成吞吐≥400 Tokens/秒（证明材料可为系统测试结果截图或产品彩页或技术白皮书）</w:t>
            </w:r>
            <w:r/>
          </w:p>
        </w:tc>
      </w:tr>
      <w:tr>
        <w:trPr>
          <w:trHeight w:val="726"/>
        </w:trPr>
        <w:tc>
          <w:tcPr>
            <w:tcW w:w="33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tcW w:w="58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兼容性</w:t>
            </w:r>
            <w:r/>
          </w:p>
        </w:tc>
        <w:tc>
          <w:tcPr>
            <w:tcW w:w="69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卡兼容性</w:t>
            </w:r>
            <w:r/>
          </w:p>
        </w:tc>
        <w:tc>
          <w:tcPr>
            <w:tcW w:w="3382"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★支持CUDA生态通用AI相关算子（至少包含vectorAdd、matrixMul、cudaTensorCoreGem</w:t>
            </w:r>
            <w:r>
              <w:rPr>
                <w:rFonts w:hint="eastAsia" w:ascii="宋体" w:hAnsi="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lang w:val="en-US" w:eastAsia="zh-CN" w:bidi="ar"/>
              </w:rPr>
              <w:t xml:space="preserve">、bf16TensorCoreGemm）的API兼容能力，可通过CUDA Samples编译验证测试。（证明材料可为系统截图或产品彩页或技术白皮书</w:t>
            </w:r>
            <w:r>
              <w:rPr>
                <w:rFonts w:hint="eastAsia" w:ascii="宋体" w:hAnsi="宋体" w:cs="宋体"/>
                <w:i w:val="0"/>
                <w:iCs w:val="0"/>
                <w:color w:val="000000"/>
                <w:sz w:val="24"/>
                <w:szCs w:val="24"/>
                <w:u w:val="none"/>
                <w:lang w:val="en-US" w:eastAsia="zh-CN" w:bidi="ar"/>
              </w:rPr>
              <w:t xml:space="preserve">或第三方检测机构出具的有效检验(检测) 报告</w:t>
            </w:r>
            <w:r>
              <w:rPr>
                <w:rFonts w:hint="eastAsia" w:ascii="宋体" w:hAnsi="宋体" w:eastAsia="宋体" w:cs="宋体"/>
                <w:i w:val="0"/>
                <w:iCs w:val="0"/>
                <w:color w:val="000000"/>
                <w:sz w:val="24"/>
                <w:szCs w:val="24"/>
                <w:u w:val="none"/>
                <w:lang w:val="en-US" w:eastAsia="zh-CN" w:bidi="ar"/>
              </w:rPr>
              <w:t xml:space="preserve">）</w:t>
            </w:r>
            <w:r/>
          </w:p>
        </w:tc>
      </w:tr>
      <w:tr>
        <w:trPr>
          <w:trHeight w:val="726"/>
        </w:trPr>
        <w:tc>
          <w:tcPr>
            <w:tcW w:w="336"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tcW w:w="584" w:type="pct"/>
            <w:vAlign w:val="center"/>
            <w:textDirection w:val="lrTb"/>
            <w:noWrap w:val="false"/>
          </w:tcPr>
          <w:p>
            <w:pPr>
              <w:jc w:val="center"/>
              <w:keepLines w:val="0"/>
              <w:keepNext w:val="0"/>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系统</w:t>
            </w:r>
            <w:r/>
          </w:p>
        </w:tc>
        <w:tc>
          <w:tcPr>
            <w:tcW w:w="6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操作系统</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仿宋"/>
                <w:b/>
                <w:bCs/>
                <w:sz w:val="24"/>
                <w:szCs w:val="24"/>
              </w:rPr>
              <w:t xml:space="preserve">★</w:t>
            </w:r>
            <w:r>
              <w:rPr>
                <w:rFonts w:hint="eastAsia" w:ascii="宋体" w:hAnsi="宋体" w:eastAsia="宋体" w:cs="宋体"/>
                <w:i w:val="0"/>
                <w:iCs w:val="0"/>
                <w:color w:val="000000"/>
                <w:sz w:val="24"/>
                <w:szCs w:val="24"/>
                <w:u w:val="none"/>
                <w:lang w:val="en-US" w:eastAsia="zh-CN" w:bidi="ar"/>
              </w:rPr>
              <w:t xml:space="preserve">配置正版国产服务器操作系统，通过国家有关部门指定的测评机构开展的安全可靠测评。（证明材料可为系统截图或产品彩页或技术白皮书等）</w:t>
            </w:r>
            <w:r/>
          </w:p>
        </w:tc>
      </w:tr>
      <w:tr>
        <w:trPr>
          <w:trHeight w:val="726"/>
        </w:trPr>
        <w:tc>
          <w:tcPr>
            <w:tcW w:w="336"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tcW w:w="584" w:type="pct"/>
            <w:vAlign w:val="center"/>
            <w:textDirection w:val="lrTb"/>
            <w:noWrap w:val="false"/>
          </w:tcPr>
          <w:p>
            <w:pPr>
              <w:jc w:val="center"/>
              <w:keepLines w:val="0"/>
              <w:keepNext w:val="0"/>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w:t>
            </w:r>
            <w:r/>
          </w:p>
        </w:tc>
        <w:tc>
          <w:tcPr>
            <w:tcW w:w="69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网卡</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配置≥1块双口25GE以太网卡（含光模块）</w:t>
            </w:r>
            <w:r/>
          </w:p>
        </w:tc>
      </w:tr>
      <w:tr>
        <w:trPr>
          <w:trHeight w:val="726"/>
        </w:trPr>
        <w:tc>
          <w:tcPr>
            <w:tcW w:w="336"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9</w:t>
            </w:r>
            <w:r/>
          </w:p>
        </w:tc>
        <w:tc>
          <w:tcPr>
            <w:tcW w:w="58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服务要求</w:t>
            </w:r>
            <w:r/>
          </w:p>
        </w:tc>
        <w:tc>
          <w:tcPr>
            <w:tcW w:w="696"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质保</w:t>
            </w:r>
            <w:r/>
          </w:p>
        </w:tc>
        <w:tc>
          <w:tcPr>
            <w:tcW w:w="338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投标人中标后提供不少于</w:t>
            </w:r>
            <w:r>
              <w:rPr>
                <w:rFonts w:hint="eastAsia" w:ascii="宋体" w:hAnsi="宋体" w:cs="宋体"/>
                <w:i/>
                <w:iCs/>
                <w:color w:val="000000"/>
                <w:sz w:val="24"/>
                <w:szCs w:val="24"/>
                <w:u w:val="single"/>
                <w:lang w:val="en-US" w:eastAsia="zh-CN" w:bidi="ar"/>
              </w:rPr>
              <w:t xml:space="preserve">一</w:t>
            </w:r>
            <w:r>
              <w:rPr>
                <w:rFonts w:hint="eastAsia" w:ascii="宋体" w:hAnsi="宋体" w:eastAsia="宋体" w:cs="宋体"/>
                <w:i/>
                <w:iCs/>
                <w:color w:val="000000"/>
                <w:sz w:val="24"/>
                <w:szCs w:val="24"/>
                <w:u w:val="single"/>
                <w:lang w:val="en-US" w:eastAsia="zh-CN" w:bidi="ar"/>
              </w:rPr>
              <w:t xml:space="preserve">年原厂质保（提供承诺函原件扫描上传）</w:t>
            </w:r>
            <w:r/>
          </w:p>
        </w:tc>
      </w:tr>
    </w:tbl>
    <w:p>
      <w:pP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br w:type="page" w:clear="all"/>
      </w:r>
      <w:r/>
    </w:p>
    <w:p>
      <w:pPr>
        <w:numPr>
          <w:ilvl w:val="0"/>
          <w:numId w:val="0"/>
        </w:numPr>
        <w:ind w:firstLine="0"/>
        <w:jc w:val="left"/>
        <w:spacing w:line="360" w:lineRule="auto"/>
        <w:rPr>
          <w:rFonts w:hint="default"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算力管理平台服务</w:t>
      </w:r>
      <w:r/>
    </w:p>
    <w:tbl>
      <w:tblPr>
        <w:tblStyle w:val="688"/>
        <w:tblW w:w="5005" w:type="pct"/>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63"/>
        <w:gridCol w:w="6674"/>
      </w:tblGrid>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基础信息展示</w:t>
            </w:r>
            <w:r/>
          </w:p>
        </w:tc>
        <w:tc>
          <w:tcPr>
            <w:shd w:val="clear" w:color="auto" w:fill="auto"/>
            <w:tcW w:w="3908" w:type="pct"/>
            <w:vAlign w:val="center"/>
            <w:textDirection w:val="lrTb"/>
            <w:noWrap w:val="false"/>
          </w:tcPr>
          <w:p>
            <w:pPr>
              <w:rPr>
                <w:rFonts w:hint="eastAsia" w:ascii="宋体" w:hAnsi="宋体" w:eastAsia="宋体" w:cs="仿宋"/>
                <w:sz w:val="24"/>
                <w:szCs w:val="24"/>
                <w:lang w:val="en-US" w:eastAsia="zh-CN" w:bidi="ar-SA"/>
              </w:rPr>
            </w:pPr>
            <w:r>
              <w:rPr>
                <w:rFonts w:hint="eastAsia" w:ascii="宋体" w:hAnsi="宋体" w:cs="方正仿宋_GBK"/>
                <w:color w:val="000000"/>
                <w:sz w:val="24"/>
                <w:szCs w:val="24"/>
              </w:rPr>
              <w:t xml:space="preserve">资源数据：统计并展示集群和节点的数量；资产数据：统计并展示模型和镜像的数量。</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方正仿宋_GBK"/>
                <w:color w:val="000000"/>
                <w:sz w:val="24"/>
                <w:szCs w:val="24"/>
                <w:lang w:val="en-US" w:eastAsia="zh-CN" w:bidi="ar-SA"/>
              </w:rPr>
            </w:pPr>
            <w:r>
              <w:rPr>
                <w:rFonts w:hint="eastAsia" w:ascii="宋体" w:hAnsi="宋体" w:cs="仿宋"/>
                <w:b/>
                <w:bCs/>
                <w:sz w:val="24"/>
                <w:szCs w:val="24"/>
              </w:rPr>
              <w:t xml:space="preserve">★</w:t>
            </w:r>
            <w:r>
              <w:rPr>
                <w:rFonts w:hint="eastAsia" w:ascii="宋体" w:hAnsi="宋体" w:cs="方正仿宋_GBK"/>
                <w:color w:val="000000"/>
                <w:sz w:val="24"/>
                <w:szCs w:val="24"/>
              </w:rPr>
              <w:t xml:space="preserve">节点概览：</w:t>
            </w:r>
            <w:r>
              <w:rPr>
                <w:rFonts w:ascii="宋体" w:hAnsi="宋体" w:cs="方正仿宋_GBK"/>
                <w:color w:val="000000"/>
                <w:sz w:val="24"/>
                <w:szCs w:val="24"/>
              </w:rPr>
              <w:t xml:space="preserve">支持展示当前节点概览信息，包括节点资源信息、服务器硬件资源用量统计（CPU、内存、GPU）、推理任务资源使用情况</w:t>
            </w:r>
            <w:r>
              <w:rPr>
                <w:rFonts w:hint="eastAsia" w:ascii="宋体" w:hAnsi="宋体" w:cs="方正仿宋_GBK"/>
                <w:color w:val="000000"/>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方正仿宋_GBK"/>
                <w:color w:val="000000"/>
                <w:sz w:val="24"/>
                <w:szCs w:val="24"/>
                <w:lang w:val="en-US" w:eastAsia="zh-CN" w:bidi="ar-SA"/>
              </w:rPr>
            </w:pPr>
            <w:r>
              <w:rPr>
                <w:rFonts w:hint="eastAsia" w:ascii="宋体" w:hAnsi="宋体" w:cs="仿宋"/>
                <w:b/>
                <w:bCs/>
                <w:sz w:val="24"/>
                <w:szCs w:val="24"/>
              </w:rPr>
              <w:t xml:space="preserve">★</w:t>
            </w:r>
            <w:r>
              <w:rPr>
                <w:rFonts w:hint="eastAsia" w:ascii="宋体" w:hAnsi="宋体" w:cs="方正仿宋_GBK"/>
                <w:color w:val="000000"/>
                <w:sz w:val="24"/>
                <w:szCs w:val="24"/>
              </w:rPr>
              <w:t xml:space="preserve">应用分析：可展示已导入应用数和已部署应用数，支持按</w:t>
            </w:r>
            <w:r>
              <w:rPr>
                <w:rFonts w:ascii="宋体" w:hAnsi="宋体" w:cs="方正仿宋_GBK"/>
                <w:color w:val="000000"/>
                <w:sz w:val="24"/>
                <w:szCs w:val="24"/>
              </w:rPr>
              <w:t xml:space="preserve">CPU</w:t>
            </w:r>
            <w:r>
              <w:rPr>
                <w:rFonts w:hint="eastAsia" w:ascii="宋体" w:hAnsi="宋体" w:cs="方正仿宋_GBK"/>
                <w:color w:val="000000"/>
                <w:sz w:val="24"/>
                <w:szCs w:val="24"/>
              </w:rPr>
              <w:t xml:space="preserve">、内存或</w:t>
            </w:r>
            <w:r>
              <w:rPr>
                <w:rFonts w:ascii="宋体" w:hAnsi="宋体" w:cs="方正仿宋_GBK"/>
                <w:color w:val="000000"/>
                <w:sz w:val="24"/>
                <w:szCs w:val="24"/>
              </w:rPr>
              <w:t xml:space="preserve">GPU</w:t>
            </w:r>
            <w:r>
              <w:rPr>
                <w:rFonts w:hint="eastAsia" w:ascii="宋体" w:hAnsi="宋体" w:cs="方正仿宋_GBK"/>
                <w:color w:val="000000"/>
                <w:sz w:val="24"/>
                <w:szCs w:val="24"/>
              </w:rPr>
              <w:t xml:space="preserve">展示应</w:t>
            </w:r>
            <w:r>
              <w:rPr>
                <w:rFonts w:hint="eastAsia" w:ascii="微软雅黑" w:hAnsi="微软雅黑" w:eastAsia="微软雅黑" w:cs="微软雅黑"/>
                <w:color w:val="000000"/>
                <w:sz w:val="24"/>
                <w:szCs w:val="24"/>
              </w:rPr>
              <w:t xml:space="preserve">⽤</w:t>
            </w:r>
            <w:r>
              <w:rPr>
                <w:rFonts w:hint="eastAsia" w:ascii="宋体" w:hAnsi="宋体" w:cs="方正仿宋_GBK"/>
                <w:color w:val="000000"/>
                <w:sz w:val="24"/>
                <w:szCs w:val="24"/>
              </w:rPr>
              <w:t xml:space="preserve">资源的消耗量。</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任务资源消耗统计：以列表形式统计并展示任务的资源消耗量。</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业务数据：统计并展示在线服</w:t>
            </w:r>
            <w:r>
              <w:rPr>
                <w:rFonts w:hint="eastAsia" w:ascii="宋体" w:hAnsi="宋体" w:eastAsia="宋体" w:cs="宋体"/>
                <w:color w:val="000000"/>
                <w:sz w:val="24"/>
                <w:szCs w:val="24"/>
              </w:rPr>
              <w:t xml:space="preserve">务和应⽤的数量</w:t>
            </w:r>
            <w:r>
              <w:rPr>
                <w:rFonts w:hint="eastAsia" w:ascii="宋体" w:hAnsi="宋体" w:cs="方正仿宋_GBK"/>
                <w:color w:val="000000"/>
                <w:sz w:val="24"/>
                <w:szCs w:val="24"/>
              </w:rPr>
              <w:t xml:space="preserve">。</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推理服务</w:t>
            </w:r>
            <w:r/>
          </w:p>
        </w:tc>
        <w:tc>
          <w:tcPr>
            <w:shd w:val="clear" w:color="auto" w:fill="auto"/>
            <w:tcW w:w="3908" w:type="pct"/>
            <w:vAlign w:val="center"/>
            <w:textDirection w:val="lrTb"/>
            <w:noWrap w:val="false"/>
          </w:tcPr>
          <w:p>
            <w:pPr>
              <w:rPr>
                <w:rFonts w:hint="eastAsia" w:ascii="宋体" w:hAnsi="宋体" w:eastAsia="宋体" w:cs="仿宋"/>
                <w:sz w:val="24"/>
                <w:szCs w:val="24"/>
                <w:lang w:val="en-US" w:eastAsia="zh-CN" w:bidi="ar-SA"/>
              </w:rPr>
            </w:pPr>
            <w:r>
              <w:rPr>
                <w:rFonts w:hint="eastAsia" w:ascii="宋体" w:hAnsi="宋体" w:cs="仿宋"/>
                <w:b/>
                <w:bCs/>
                <w:sz w:val="24"/>
                <w:szCs w:val="24"/>
              </w:rPr>
              <w:t xml:space="preserve">★</w:t>
            </w:r>
            <w:r>
              <w:rPr>
                <w:rFonts w:hint="eastAsia" w:ascii="宋体" w:hAnsi="宋体" w:cs="方正仿宋_GBK"/>
                <w:color w:val="000000"/>
                <w:sz w:val="24"/>
                <w:szCs w:val="24"/>
              </w:rPr>
              <w:t xml:space="preserve">模型仓库：用于管理模型文件，出厂预置部分行业主流领域模型，支持展示模型资源与在线服务的关联关系。</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模型仓库：通过权限控制模型访问和操作，提供自动适配推理环境的部署⽅式。</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b w:val="0"/>
                <w:bCs w:val="0"/>
                <w:i/>
                <w:iCs/>
                <w:color w:val="000000"/>
                <w:sz w:val="24"/>
                <w:szCs w:val="24"/>
                <w:highlight w:val="none"/>
                <w:u w:val="single"/>
              </w:rPr>
              <w:t xml:space="preserve">模型仓库：预置系统模型不允许删除。</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镜像库：控制台提供镜像库服务，出厂预制镜像，支持用户自定义镜像。</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镜像库：通过权限控制镜像访问和操作，支持在线服务启动时⾃动拉起对应容器镜像。</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b w:val="0"/>
                <w:bCs w:val="0"/>
                <w:i/>
                <w:iCs/>
                <w:color w:val="000000"/>
                <w:sz w:val="24"/>
                <w:szCs w:val="24"/>
                <w:highlight w:val="none"/>
                <w:u w:val="single"/>
              </w:rPr>
              <w:t xml:space="preserve">镜像库：预置系统镜像不允许删除。</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在线服务：提供大模型在线部署能力，可选不同硬件配置、模型，支持智能推荐、自定义配置等功能。</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在线服务：提供模型体验功能，如⽂本模型，可提供在线chat对话，并且支持页面选择调用模型的相关参数。</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在线服务：提供在线chat对话并且在对话⻚⾯⽀持模型调⽤参数修改。</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在线服务：服务部署时支持设置服务名称、服务端口、CPU数量、GPU数量等。</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i/>
                <w:iCs/>
                <w:color w:val="000000"/>
                <w:sz w:val="24"/>
                <w:szCs w:val="24"/>
                <w:highlight w:val="none"/>
                <w:u w:val="single"/>
              </w:rPr>
              <w:t xml:space="preserve">在线服务：支持在线服务按需停止或删除。</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模型观测：展示Token消耗、⾸Token延时等信息，以了解模型的使⽤情况和性能变化，从⽽更有效地进⾏问题定位、故障排除和性能优化。</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模型体验</w:t>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预置部分文本模型和知识库，以便与大模型进行对话，从而增强检索应用的用户体验。</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支持选择本地构建的⽂本模型，提供⽂本问答的功能体验。</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支持为RAG应⽤构建结构化知识库，⽀持⾼效检索与⽣成体验。</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监控运维</w:t>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节点监控：提供节点硬件监控信息，包括基础监控信息（CPU、内存使用率等）和各GPU卡相关监控信息，高频采集确保提供用户系统的实时运行状态并精确检测。</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告警管理：提供节点级告警管理功能，实时展示机器硬件故障告警级别和具体内容，并且区分告警严重等级，</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安全规则：支持创建、编辑、克隆、删除安全规则。</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应用中心</w:t>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应用商店：展示所有入驻到应⽤商店的AI应⽤，⽀持应⽤检索，应⽤部署等。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我的应用：</w:t>
            </w:r>
            <w:r>
              <w:rPr>
                <w:rFonts w:hint="eastAsia" w:ascii="宋体" w:hAnsi="宋体" w:eastAsia="宋体" w:cs="宋体"/>
                <w:sz w:val="24"/>
                <w:szCs w:val="24"/>
              </w:rPr>
              <w:t xml:space="preserve">展示已经部署的应⽤实例，⽀持模糊搜索和查看应⽤详情。</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节点管理</w:t>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支持节点的管理，可展示当前节点的信息，提供远程登录、密码修改、主机名修改等功能。</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远程登录：支持通过WebConsole服务实现节点远程登录操作；</w:t>
            </w:r>
            <w:r/>
          </w:p>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支持修改root用户密码；支持修改主机名。</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系统管理</w:t>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用户管理：支持用户管理功能，包括创建、禁用、角色授权、重置、删除等功能。</w:t>
            </w:r>
            <w:r>
              <w:rPr>
                <w:rFonts w:hint="eastAsia" w:ascii="宋体" w:hAnsi="宋体" w:eastAsia="宋体" w:cs="宋体"/>
                <w:i w:val="0"/>
                <w:iCs w:val="0"/>
                <w:color w:val="000000"/>
                <w:sz w:val="24"/>
                <w:szCs w:val="24"/>
                <w:u w:val="none"/>
                <w:lang w:val="en-US" w:eastAsia="zh-CN" w:bidi="ar"/>
              </w:rPr>
              <w:t xml:space="preserve">（证明材料可为系统截图或产品彩页或技术白皮书等）</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提供操作日志功能，支持查看操作日志详情</w:t>
            </w:r>
            <w:r/>
          </w:p>
        </w:tc>
      </w:tr>
      <w:tr>
        <w:trPr>
          <w:trHeight w:val="570"/>
        </w:trPr>
        <w:tc>
          <w:tcPr>
            <w:shd w:val="clear" w:color="auto" w:fill="auto"/>
            <w:tcW w:w="1091" w:type="pct"/>
            <w:vAlign w:val="center"/>
            <w:vMerge w:val="restart"/>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安全</w:t>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账号管理：支持应用平台层和主机系统层用户，支持使用者按需更新凭证。</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日志存储：支持平台管控、监控以及系统安装的日志，确保系统运行状态及操作行为的完整记录与可追溯性。</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运行安全：支持通过配置网络安全规则强化访问控制，仅开放业务必需的端口，规避安全攻击。</w:t>
            </w:r>
            <w:r/>
          </w:p>
        </w:tc>
      </w:tr>
      <w:tr>
        <w:trPr>
          <w:trHeight w:val="570"/>
        </w:trPr>
        <w:tc>
          <w:tcPr>
            <w:shd w:val="clear" w:color="auto" w:fill="auto"/>
            <w:tcW w:w="1091" w:type="pct"/>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08"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合规安全：支持基本的合规要求如采用基于角色概念（RBAC）的权限访问控制，遵循三权分立原则，通过角色互斥与权限最小化设计保障系统安全;用户角色分为管理员、安全管理员、应用管理员和审计管理员四个角色;管理员与安全管理员互斥，任一角色无法独揽用户创建、权限分配与账号熔断权;应用管理员仅持有业务必需权限，无法触及系统底层或用户管理体系。</w:t>
            </w:r>
            <w:r/>
          </w:p>
        </w:tc>
      </w:tr>
      <w:tr>
        <w:trPr>
          <w:trHeight w:val="647"/>
        </w:trPr>
        <w:tc>
          <w:tcPr>
            <w:shd w:val="clear" w:color="auto" w:fill="auto"/>
            <w:tcW w:w="1091" w:type="pct"/>
            <w:vAlign w:val="center"/>
            <w:textDirection w:val="lrTb"/>
            <w:noWrap w:val="false"/>
          </w:tcPr>
          <w:p>
            <w:pPr>
              <w:jc w:val="center"/>
              <w:rPr>
                <w:rFonts w:hint="eastAsia" w:ascii="宋体" w:hAnsi="宋体" w:eastAsia="宋体" w:cs="方正仿宋_GBK"/>
                <w:color w:val="000000"/>
                <w:sz w:val="24"/>
                <w:szCs w:val="24"/>
                <w:lang w:val="en-US" w:eastAsia="zh-CN" w:bidi="ar-SA"/>
              </w:rPr>
            </w:pPr>
            <w:r>
              <w:rPr>
                <w:rFonts w:hint="eastAsia" w:ascii="宋体" w:hAnsi="宋体" w:cs="方正仿宋_GBK"/>
                <w:color w:val="000000"/>
                <w:sz w:val="24"/>
                <w:szCs w:val="24"/>
              </w:rPr>
              <w:t xml:space="preserve">质保服务</w:t>
            </w:r>
            <w:r/>
          </w:p>
        </w:tc>
        <w:tc>
          <w:tcPr>
            <w:shd w:val="clear" w:color="auto" w:fill="auto"/>
            <w:tcW w:w="3908" w:type="pct"/>
            <w:vAlign w:val="center"/>
            <w:textDirection w:val="lrTb"/>
            <w:noWrap w:val="false"/>
          </w:tcPr>
          <w:p>
            <w:pPr>
              <w:rPr>
                <w:rFonts w:hint="eastAsia" w:ascii="宋体" w:hAnsi="宋体" w:eastAsia="宋体" w:cs="宋体"/>
                <w:b/>
                <w:bCs/>
                <w:sz w:val="24"/>
                <w:szCs w:val="24"/>
                <w:lang w:val="en-US" w:eastAsia="zh-CN" w:bidi="ar-SA"/>
              </w:rPr>
            </w:pPr>
            <w:r>
              <w:rPr>
                <w:rFonts w:hint="eastAsia" w:ascii="宋体" w:hAnsi="宋体" w:eastAsia="宋体" w:cs="宋体"/>
                <w:b w:val="0"/>
                <w:bCs w:val="0"/>
                <w:i/>
                <w:iCs/>
                <w:color w:val="000000"/>
                <w:sz w:val="24"/>
                <w:szCs w:val="24"/>
                <w:u w:val="single"/>
              </w:rPr>
              <w:t xml:space="preserve">投标人中标后提供不少于</w:t>
            </w:r>
            <w:r>
              <w:rPr>
                <w:rFonts w:hint="eastAsia" w:ascii="宋体" w:hAnsi="宋体" w:cs="宋体"/>
                <w:b w:val="0"/>
                <w:bCs w:val="0"/>
                <w:i/>
                <w:iCs/>
                <w:color w:val="000000"/>
                <w:sz w:val="24"/>
                <w:szCs w:val="24"/>
                <w:u w:val="single"/>
                <w:lang w:val="en-US" w:eastAsia="zh-CN"/>
              </w:rPr>
              <w:t xml:space="preserve">一</w:t>
            </w:r>
            <w:r>
              <w:rPr>
                <w:rFonts w:hint="eastAsia" w:ascii="宋体" w:hAnsi="宋体" w:eastAsia="宋体" w:cs="宋体"/>
                <w:b w:val="0"/>
                <w:bCs w:val="0"/>
                <w:i/>
                <w:iCs/>
                <w:color w:val="000000"/>
                <w:sz w:val="24"/>
                <w:szCs w:val="24"/>
                <w:u w:val="single"/>
              </w:rPr>
              <w:t xml:space="preserve">年原厂质保。</w:t>
            </w:r>
            <w:r>
              <w:rPr>
                <w:rFonts w:hint="eastAsia" w:ascii="宋体" w:hAnsi="宋体" w:eastAsia="宋体" w:cs="宋体"/>
                <w:i/>
                <w:iCs/>
                <w:color w:val="000000"/>
                <w:sz w:val="24"/>
                <w:szCs w:val="24"/>
                <w:u w:val="single"/>
                <w:lang w:val="en-US" w:eastAsia="zh-CN" w:bidi="ar"/>
              </w:rPr>
              <w:t xml:space="preserve">（提供承诺函原件扫描上传）</w:t>
            </w:r>
            <w:r/>
          </w:p>
        </w:tc>
      </w:tr>
    </w:tbl>
    <w:p>
      <w:pPr>
        <w:pStyle w:val="717"/>
        <w:ind w:left="0"/>
      </w:pPr>
      <w:r/>
      <w:r/>
    </w:p>
    <w:tbl>
      <w:tblPr>
        <w:tblStyle w:val="6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5"/>
        <w:gridCol w:w="1550"/>
        <w:gridCol w:w="1383"/>
        <w:gridCol w:w="4300"/>
      </w:tblGrid>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智能体软件开发服务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建设内容</w:t>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一级功能</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二级功能</w:t>
            </w:r>
            <w:r/>
          </w:p>
        </w:tc>
        <w:tc>
          <w:tcPr>
            <w:shd w:val="clear" w:color="auto" w:fill="ffffff"/>
            <w:tcBorders>
              <w:top w:val="single" w:color="000000" w:sz="4" w:space="0"/>
              <w:left w:val="single" w:color="000000" w:sz="4" w:space="0"/>
              <w:bottom w:val="single" w:color="000000" w:sz="4" w:space="0"/>
              <w:right w:val="single" w:color="000000" w:sz="4" w:space="0"/>
            </w:tcBorders>
            <w:tcW w:w="252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详细描述</w:t>
            </w:r>
            <w:r/>
          </w:p>
        </w:tc>
      </w:tr>
      <w:tr>
        <w:trPr>
          <w:trHeight w:val="2105"/>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智能体软件服务</w:t>
            </w:r>
            <w:r/>
          </w:p>
        </w:tc>
        <w:tc>
          <w:tcPr>
            <w:shd w:val="clear" w:color="auto" w:fill="auto"/>
            <w:tcBorders>
              <w:top w:val="single" w:color="000000" w:sz="4" w:space="0"/>
              <w:left w:val="single" w:color="000000" w:sz="4" w:space="0"/>
              <w:right w:val="single" w:color="000000" w:sz="4" w:space="0"/>
            </w:tcBorders>
            <w:tcW w:w="90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智能体搭建服务</w:t>
            </w:r>
            <w:r/>
          </w:p>
        </w:tc>
        <w:tc>
          <w:tcPr>
            <w:shd w:val="clear" w:color="auto" w:fill="ffffff"/>
            <w:tcBorders>
              <w:top w:val="single" w:color="000000" w:sz="4" w:space="0"/>
              <w:left w:val="single" w:color="000000" w:sz="4" w:space="0"/>
              <w:right w:val="single" w:color="000000" w:sz="4" w:space="0"/>
            </w:tcBorders>
            <w:tcW w:w="81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盗窃案件分析智能体服务</w:t>
            </w:r>
            <w:r/>
          </w:p>
        </w:tc>
        <w:tc>
          <w:tcPr>
            <w:shd w:val="clear" w:color="auto" w:fill="auto"/>
            <w:tcBorders>
              <w:top w:val="single" w:color="000000" w:sz="4" w:space="0"/>
              <w:left w:val="single" w:color="000000" w:sz="4" w:space="0"/>
              <w:bottom w:val="single" w:color="000000" w:sz="4" w:space="0"/>
              <w:right w:val="single" w:color="000000" w:sz="4" w:space="0"/>
            </w:tcBorders>
            <w:tcW w:w="252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功能是通过高适应性的识别能力，从海量、口语化且格式不一的原始警情文本中，自动精准提取案发时间、地点及失窃物品明细等关键要素；同时，系统需支持将提取结果结构化输出，提供自然语言智能问答与取数服务，并具备数据自动归集与分类统计功能，以替代人工汇总，全面提升研判效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AI交通类警情分析报告智能体服务</w:t>
            </w:r>
            <w:r/>
          </w:p>
        </w:tc>
        <w:tc>
          <w:tcPr>
            <w:shd w:val="clear" w:color="auto" w:fill="auto"/>
            <w:tcBorders>
              <w:top w:val="single" w:color="000000" w:sz="4" w:space="0"/>
              <w:left w:val="single" w:color="000000" w:sz="4" w:space="0"/>
              <w:bottom w:val="single" w:color="000000" w:sz="4" w:space="0"/>
              <w:right w:val="single" w:color="000000" w:sz="4" w:space="0"/>
            </w:tcBorders>
            <w:tcW w:w="252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要求系统具备对交通警情数据进行时间、数量、地点（含重点隐患区域自动识别）等多维度的自动化研判分析能力；同时，系统需支持自动生成包含数据统计、规律总结、隐患提示及工作建议等模块的标准化分析报告，并支持导出为Word、PDF等常用格式，以满足工作汇报、台账留存及专项研判等业务场景需求。</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全警种知识库问答智能体</w:t>
            </w:r>
            <w:r/>
          </w:p>
        </w:tc>
        <w:tc>
          <w:tcPr>
            <w:shd w:val="clear" w:color="auto" w:fill="auto"/>
            <w:tcBorders>
              <w:top w:val="single" w:color="000000" w:sz="4" w:space="0"/>
              <w:left w:val="single" w:color="000000" w:sz="4" w:space="0"/>
              <w:bottom w:val="single" w:color="000000" w:sz="4" w:space="0"/>
              <w:right w:val="single" w:color="000000" w:sz="4" w:space="0"/>
            </w:tcBorders>
            <w:tcW w:w="252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全警种知识覆盖：集成涵盖刑事侦查、治安管理、交通法规、执法细则、户籍政策、出入境条例等各警种核心业务知识库，确保知识获取的全面性与权威性。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精准智能问答：能够理解民警口语化、模糊化的提问方式，精准定位问题核心，从海量知识中快速检索并生成简洁明了的答案，同时自动标注答案出处（如具体法条、文件名称及条款），方便民警溯源核实。</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高效赋能实战：将传统的人工查阅资料时间从分钟级甚至小时级缩短至秒级，显著降低民警学习成本与查询负担，提升执法规范化水平与警务工作效率，尤其在处理复杂案件或新类型问题时提供即时决策参考。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接线员培训出题工具智能体</w:t>
            </w:r>
            <w:r/>
          </w:p>
        </w:tc>
        <w:tc>
          <w:tcPr>
            <w:shd w:val="clear" w:color="auto" w:fill="auto"/>
            <w:tcBorders>
              <w:top w:val="single" w:color="000000" w:sz="4" w:space="0"/>
              <w:left w:val="single" w:color="000000" w:sz="4" w:space="0"/>
              <w:bottom w:val="single" w:color="000000" w:sz="4" w:space="0"/>
              <w:right w:val="single" w:color="000000" w:sz="4" w:space="0"/>
            </w:tcBorders>
            <w:tcW w:w="252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知识驱动出题：智能体实时关联并解析最新的业务培训文档与知识库更新。当业务规则或话术调整后，无需人工干预，系统即可基于新内容即时生成相关考题，确保考核内容与一线实战要求高度一致，解决了传统题库更新滞后的痛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交互式智能组卷：只需跟智能工具对话说明想要的题型，业务的类型以及题量，系统即可在数秒内完成从知识点抽取、题干编写、干扰项设计到答案校对的全流程。支持单选、多选、判断等多种题型，并可自定义试卷题量，大幅缩短备课周期，提升培训组织效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高质量题目输出：生成的题目逻辑严密、表述清晰，能深入考察接线员的实际业务能力。而非仅仅测试死记硬背的知识，从而有效提升培训的实战转化率。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9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处警预案流程思维导图绘制工具</w:t>
            </w:r>
            <w:r/>
          </w:p>
        </w:tc>
        <w:tc>
          <w:tcPr>
            <w:shd w:val="clear" w:color="auto" w:fill="auto"/>
            <w:tcBorders>
              <w:top w:val="single" w:color="000000" w:sz="4" w:space="0"/>
              <w:left w:val="single" w:color="000000" w:sz="4" w:space="0"/>
              <w:bottom w:val="single" w:color="000000" w:sz="4" w:space="0"/>
              <w:right w:val="single" w:color="000000" w:sz="4" w:space="0"/>
            </w:tcBorders>
            <w:tcW w:w="252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案文本一键结构化：支持导入Word、PDF等格式的警情预案文件，智能体能够自动拆解长文本，精准识别“接警—研判—指令下达—现场处置—反馈—善后”等全链条环节，自动梳理出标准化的处置流程架构。无需人工逐字梳理，即可将大段文字转化为可视化的节点网络，大幅降低预案数字化门槛。</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专业格式兼容导出：考虑到部分特大复杂警情（如反恐防暴、大型活动安保）的流程极其繁琐，工具支持导出标准的 Mermaid 语法代码。用户可将代码一键复制并导入至 ProcessOn、XMind、Visio 等主流专业绘图软件中，系统会自动将其还原为可编辑的矢量图形。这既保留了机器生成的效率，又赋予了专业人员在高级绘图软件中进行精细化布局调整、样式美化及二次开发的灵活性，实现了从“自动化生成”到“专业化定制”的平滑过渡。</w:t>
            </w:r>
            <w:r/>
          </w:p>
        </w:tc>
      </w:tr>
    </w:tbl>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numPr>
          <w:ilvl w:val="-1"/>
          <w:numId w:val="0"/>
        </w:numPr>
        <w:ind w:firstLine="0"/>
        <w:jc w:val="left"/>
        <w:keepLines w:val="0"/>
        <w:keepNext w:val="0"/>
        <w:pageBreakBefore w:val="0"/>
        <w:spacing w:line="360" w:lineRule="auto"/>
        <w:widowControl w:val="off"/>
        <w:rPr>
          <w:rFonts w:hint="default" w:ascii="宋体" w:hAnsi="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五</w:t>
      </w:r>
      <w:r>
        <w:rPr>
          <w:rFonts w:hint="default"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rPr>
        <w:t xml:space="preserve">项目技术团队要求</w:t>
      </w:r>
      <w:r/>
    </w:p>
    <w:p>
      <w:pPr>
        <w:numPr>
          <w:ilvl w:val="-1"/>
          <w:numId w:val="0"/>
        </w:numPr>
        <w:ind w:firstLine="480"/>
        <w:jc w:val="left"/>
        <w:keepLines w:val="0"/>
        <w:keepNext w:val="0"/>
        <w:pageBreakBefore w:val="0"/>
        <w:spacing w:line="360" w:lineRule="auto"/>
        <w:widowControl w:val="off"/>
        <w:rPr>
          <w:rFonts w:hint="eastAsia" w:ascii="宋体" w:hAnsi="宋体" w:cs="Times New Roman"/>
          <w:b w:val="0"/>
          <w:bCs w:val="0"/>
          <w:color w:val="auto"/>
          <w:sz w:val="24"/>
          <w:szCs w:val="21"/>
          <w:lang w:val="en-US" w:eastAsia="zh-CN"/>
        </w:rPr>
        <w:outlineLvl w:val="9"/>
      </w:pPr>
      <w:r>
        <w:rPr>
          <w:rFonts w:hint="default" w:ascii="宋体" w:hAnsi="宋体" w:cs="Times New Roman"/>
          <w:b w:val="0"/>
          <w:bCs w:val="0"/>
          <w:color w:val="auto"/>
          <w:sz w:val="24"/>
          <w:szCs w:val="21"/>
          <w:highlight w:val="none"/>
          <w:lang w:val="en-US" w:eastAsia="zh-CN"/>
        </w:rPr>
        <w:t xml:space="preserve">该项目必须配备完备的技术团队</w:t>
      </w:r>
      <w:r>
        <w:rPr>
          <w:rFonts w:hint="eastAsia" w:ascii="宋体" w:hAnsi="宋体" w:cs="Times New Roman"/>
          <w:b w:val="0"/>
          <w:bCs w:val="0"/>
          <w:color w:val="auto"/>
          <w:sz w:val="24"/>
          <w:szCs w:val="21"/>
          <w:lang w:val="en-US" w:eastAsia="zh-CN"/>
        </w:rPr>
        <w:t xml:space="preserve">3</w:t>
      </w:r>
      <w:r>
        <w:rPr>
          <w:rFonts w:hint="default" w:ascii="宋体" w:hAnsi="宋体" w:cs="Times New Roman"/>
          <w:b w:val="0"/>
          <w:bCs w:val="0"/>
          <w:color w:val="auto"/>
          <w:sz w:val="24"/>
          <w:szCs w:val="21"/>
          <w:highlight w:val="none"/>
          <w:lang w:val="en-US" w:eastAsia="zh-CN"/>
        </w:rPr>
        <w:t xml:space="preserve">人</w:t>
      </w:r>
      <w:r>
        <w:rPr>
          <w:rFonts w:hint="eastAsia" w:ascii="宋体" w:hAnsi="宋体" w:cs="Times New Roman"/>
          <w:b w:val="0"/>
          <w:bCs w:val="0"/>
          <w:color w:val="auto"/>
          <w:sz w:val="24"/>
          <w:szCs w:val="21"/>
          <w:lang w:val="en-US" w:eastAsia="zh-CN"/>
        </w:rPr>
        <w:t xml:space="preserve">，至少包括项目经理1名、驻场人员2名。</w:t>
      </w:r>
      <w:r/>
    </w:p>
    <w:p>
      <w:pPr>
        <w:numPr>
          <w:ilvl w:val="0"/>
          <w:numId w:val="0"/>
        </w:numPr>
        <w:ind w:firstLine="480"/>
        <w:keepLines w:val="0"/>
        <w:keepNext w:val="0"/>
        <w:pageBreakBefore w:val="0"/>
        <w:spacing w:line="360" w:lineRule="auto"/>
        <w:widowControl/>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项目经理应具有</w:t>
      </w:r>
      <w:r>
        <w:rPr>
          <w:rFonts w:hint="eastAsia" w:ascii="宋体" w:hAnsi="宋体" w:cs="宋体"/>
          <w:b w:val="0"/>
          <w:bCs w:val="0"/>
          <w:color w:val="auto"/>
          <w:sz w:val="24"/>
          <w:szCs w:val="24"/>
          <w:lang w:val="en-US" w:eastAsia="zh-CN"/>
        </w:rPr>
        <w:t xml:space="preserve">中国网络安全审查认证和市场监管大数据中心</w:t>
      </w:r>
      <w:r>
        <w:rPr>
          <w:rFonts w:hint="eastAsia" w:ascii="宋体" w:hAnsi="宋体" w:eastAsia="宋体" w:cs="宋体"/>
          <w:b w:val="0"/>
          <w:bCs w:val="0"/>
          <w:color w:val="auto"/>
          <w:sz w:val="24"/>
          <w:szCs w:val="24"/>
          <w:lang w:val="en-US" w:eastAsia="zh-CN"/>
        </w:rPr>
        <w:t xml:space="preserve">颁发的CISAW信息安全保障人员认证证书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工业和信息化部教育与考试中心颁发的信息技术应用创新考试评价证书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系统架构师</w:t>
      </w:r>
      <w:r>
        <w:rPr>
          <w:rFonts w:hint="eastAsia" w:ascii="宋体" w:hAnsi="宋体" w:cs="Times New Roman"/>
          <w:b w:val="0"/>
          <w:bCs w:val="0"/>
          <w:color w:val="auto"/>
          <w:sz w:val="24"/>
          <w:szCs w:val="21"/>
          <w:lang w:val="en-US" w:eastAsia="zh-CN"/>
        </w:rPr>
        <w:t xml:space="preserve">。</w:t>
      </w:r>
      <w:r/>
    </w:p>
    <w:p>
      <w:pPr>
        <w:numPr>
          <w:ilvl w:val="-1"/>
          <w:numId w:val="0"/>
        </w:numPr>
        <w:keepLines w:val="0"/>
        <w:keepNext w:val="0"/>
        <w:pageBreakBefore w:val="0"/>
        <w:spacing w:line="360" w:lineRule="auto"/>
        <w:widowControl w:val="off"/>
        <w:rPr>
          <w:rFonts w:hint="default" w:ascii="宋体" w:hAnsi="宋体" w:cs="Times New Roman"/>
          <w:b/>
          <w:bCs/>
          <w:color w:val="auto"/>
          <w:sz w:val="24"/>
          <w:szCs w:val="21"/>
          <w:lang w:val="en-US" w:eastAsia="zh-CN"/>
        </w:rPr>
      </w:pP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cs="Times New Roman"/>
          <w:b/>
          <w:bCs/>
          <w:color w:val="auto"/>
          <w:sz w:val="24"/>
          <w:szCs w:val="21"/>
          <w:lang w:val="en-US" w:eastAsia="zh-CN"/>
        </w:rPr>
        <w:t xml:space="preserve">项目实施要求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投标人应编制项目实施方案</w:t>
      </w:r>
      <w:r>
        <w:rPr>
          <w:rFonts w:hint="eastAsia" w:ascii="宋体" w:hAnsi="宋体" w:cs="Times New Roman"/>
          <w:b w:val="0"/>
          <w:bCs w:val="0"/>
          <w:color w:val="auto"/>
          <w:sz w:val="24"/>
          <w:szCs w:val="21"/>
          <w:lang w:val="en-US" w:eastAsia="zh-CN"/>
        </w:rPr>
        <w:t xml:space="preserve">,</w:t>
      </w:r>
      <w:r>
        <w:rPr>
          <w:rFonts w:hint="default" w:ascii="宋体" w:hAnsi="宋体" w:cs="Times New Roman"/>
          <w:b w:val="0"/>
          <w:bCs w:val="0"/>
          <w:color w:val="auto"/>
          <w:sz w:val="24"/>
          <w:szCs w:val="21"/>
          <w:lang w:val="en-US" w:eastAsia="zh-CN"/>
        </w:rPr>
        <w:t xml:space="preserve">负责软硬件安装调试，应具备实施本次项目相应的技术能力，充分了解采购人现状和业务需求</w:t>
      </w:r>
      <w:r>
        <w:rPr>
          <w:rFonts w:hint="eastAsia" w:ascii="宋体" w:hAnsi="宋体" w:cs="Times New Roman"/>
          <w:b w:val="0"/>
          <w:bCs w:val="0"/>
          <w:color w:val="auto"/>
          <w:sz w:val="24"/>
          <w:szCs w:val="21"/>
          <w:lang w:val="en-US" w:eastAsia="zh-CN"/>
        </w:rPr>
        <w:t xml:space="preserve">，在</w:t>
      </w:r>
      <w:r>
        <w:rPr>
          <w:rFonts w:hint="default" w:ascii="宋体" w:hAnsi="宋体" w:cs="Times New Roman"/>
          <w:b w:val="0"/>
          <w:bCs w:val="0"/>
          <w:color w:val="auto"/>
          <w:sz w:val="24"/>
          <w:szCs w:val="21"/>
          <w:lang w:val="en-US" w:eastAsia="zh-CN"/>
        </w:rPr>
        <w:t xml:space="preserve">与用户等相关方充分沟通后，制定详细可行的项目实施方案。投标人</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在投标文件中体现以下要求:</w:t>
      </w:r>
      <w:r/>
    </w:p>
    <w:p>
      <w:pPr>
        <w:numPr>
          <w:ilvl w:val="-1"/>
          <w:numId w:val="0"/>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（1）所有安装、调试、布线及施工工作，须严格遵守国家机房建设标准、服务器设备安装行业规范及采购人机房管理制度。</w:t>
      </w:r>
      <w:r/>
    </w:p>
    <w:p>
      <w:pPr>
        <w:numPr>
          <w:ilvl w:val="-1"/>
          <w:numId w:val="0"/>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（2）具备独立完成本项目全流程实施、调试、优化、售后的技术团队，无项目违约、质量事故等不良记录。</w:t>
      </w:r>
      <w:r/>
    </w:p>
    <w:p>
      <w:pPr>
        <w:numPr>
          <w:ilvl w:val="-1"/>
          <w:numId w:val="0"/>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（3）具备专业的服务器整机安装、机柜部署、机房布线、硬件调试、硬件故障检测与排查能力，熟悉机架式服务器标准安装规范、机房强弱电施工标准、设备接地等要求。</w:t>
      </w:r>
      <w:r/>
    </w:p>
    <w:p>
      <w:pPr>
        <w:numPr>
          <w:ilvl w:val="-1"/>
          <w:numId w:val="0"/>
        </w:numPr>
        <w:keepLines w:val="0"/>
        <w:keepNext w:val="0"/>
        <w:pageBreakBefore w:val="0"/>
        <w:spacing w:line="360" w:lineRule="auto"/>
        <w:widowControl w:val="off"/>
        <w:rPr>
          <w:rFonts w:hint="default" w:ascii="宋体" w:hAnsi="宋体" w:cs="Times New Roman"/>
          <w:b/>
          <w:bCs/>
          <w:color w:val="auto"/>
          <w:sz w:val="24"/>
          <w:szCs w:val="21"/>
          <w:lang w:val="en-US" w:eastAsia="zh-CN"/>
        </w:rPr>
      </w:pPr>
      <w:r>
        <w:rPr>
          <w:rFonts w:hint="eastAsia" w:ascii="宋体" w:hAnsi="宋体" w:cs="Times New Roman"/>
          <w:b/>
          <w:bCs/>
          <w:color w:val="auto"/>
          <w:sz w:val="24"/>
          <w:szCs w:val="21"/>
          <w:lang w:val="en-US" w:eastAsia="zh-CN"/>
        </w:rPr>
        <w:t xml:space="preserve">七、</w:t>
      </w:r>
      <w:r>
        <w:rPr>
          <w:rFonts w:hint="default" w:ascii="宋体" w:hAnsi="宋体" w:cs="Times New Roman"/>
          <w:b/>
          <w:bCs/>
          <w:color w:val="auto"/>
          <w:sz w:val="24"/>
          <w:szCs w:val="21"/>
          <w:lang w:val="en-US" w:eastAsia="zh-CN"/>
        </w:rPr>
        <w:t xml:space="preserve">工期保证措施</w:t>
      </w:r>
      <w:r>
        <w:rPr>
          <w:rFonts w:hint="eastAsia" w:ascii="宋体" w:hAnsi="宋体" w:cs="Times New Roman"/>
          <w:b/>
          <w:bCs/>
          <w:color w:val="auto"/>
          <w:sz w:val="24"/>
          <w:szCs w:val="21"/>
          <w:lang w:val="en-US" w:eastAsia="zh-CN"/>
        </w:rPr>
        <w:t xml:space="preserve">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投标人应编制工期保证措施方案，方案工期要求不得低于招标文件的规定。提供工期保障所必须的工期目标、人员保证</w:t>
      </w:r>
      <w:r>
        <w:rPr>
          <w:rFonts w:hint="eastAsia" w:ascii="宋体" w:hAnsi="宋体" w:cs="Times New Roman"/>
          <w:b w:val="0"/>
          <w:bCs w:val="0"/>
          <w:color w:val="auto"/>
          <w:sz w:val="24"/>
          <w:szCs w:val="21"/>
          <w:lang w:val="en-US" w:eastAsia="zh-CN"/>
        </w:rPr>
        <w:t xml:space="preserve">、统筹工序等内容，</w:t>
      </w:r>
      <w:r>
        <w:rPr>
          <w:rFonts w:hint="default" w:ascii="宋体" w:hAnsi="宋体" w:cs="Times New Roman"/>
          <w:b w:val="0"/>
          <w:bCs w:val="0"/>
          <w:color w:val="auto"/>
          <w:sz w:val="24"/>
          <w:szCs w:val="21"/>
          <w:lang w:val="en-US" w:eastAsia="zh-CN"/>
        </w:rPr>
        <w:t xml:space="preserve">保证项目按期完成。投标人</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在投标文件中体现以下要求:</w:t>
      </w:r>
      <w:r/>
    </w:p>
    <w:p>
      <w:pPr>
        <w:numPr>
          <w:ilvl w:val="0"/>
          <w:numId w:val="6"/>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供应商需在实施方案中明确各阶段工期节点，包含调研阶段、方案报 审阶段、设备到货阶段、硬件安装阶段、软件调试阶段、测试优化阶段、验收交付阶段。</w:t>
      </w:r>
      <w:r/>
    </w:p>
    <w:p>
      <w:pPr>
        <w:numPr>
          <w:ilvl w:val="0"/>
          <w:numId w:val="6"/>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项目实施期间，供应商</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足额配置经验丰富的项目经理、现场实施工程师，全程驻场施工，不得无故缺岗、离岗。提前储备施工工具、辅材、线缆、配件等物资，提前完成设备到货对接，杜绝因人员不足、人员更换、物资缺失、设备滞后到货造成工期延误。关键施工阶段</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增派人力，保障工序高效推进。</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（3）</w:t>
      </w:r>
      <w:r>
        <w:rPr>
          <w:rFonts w:hint="default" w:ascii="宋体" w:hAnsi="宋体" w:cs="Times New Roman"/>
          <w:b w:val="0"/>
          <w:bCs w:val="0"/>
          <w:color w:val="auto"/>
          <w:sz w:val="24"/>
          <w:szCs w:val="21"/>
          <w:lang w:val="en-US" w:eastAsia="zh-CN"/>
        </w:rPr>
        <w:t xml:space="preserve">供应商</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科学统筹施工工序，合理排布到货验收、机位规划、上架安装、布线、调试、测试等各环节作业流程，优化施工顺序，可并行作业的工序合理并行，避免工序冲突、等待、返工。提前对接采购人完成进场审批、机房准入、施工报备等前期准备工作，压缩前置周期，保障项目即进即施、连续施工。</w:t>
      </w:r>
      <w:r/>
    </w:p>
    <w:p>
      <w:pPr>
        <w:numPr>
          <w:ilvl w:val="-1"/>
          <w:numId w:val="0"/>
        </w:numPr>
        <w:keepLines w:val="0"/>
        <w:keepNext w:val="0"/>
        <w:pageBreakBefore w:val="0"/>
        <w:spacing w:line="360" w:lineRule="auto"/>
        <w:widowControl w:val="off"/>
        <w:rPr>
          <w:rFonts w:hint="default" w:ascii="宋体" w:hAnsi="宋体" w:cs="Times New Roman"/>
          <w:b/>
          <w:bCs/>
          <w:color w:val="auto"/>
          <w:sz w:val="24"/>
          <w:szCs w:val="21"/>
          <w:lang w:val="en-US" w:eastAsia="zh-CN"/>
        </w:rPr>
      </w:pPr>
      <w:r>
        <w:rPr>
          <w:rFonts w:hint="eastAsia" w:ascii="宋体" w:hAnsi="宋体" w:cs="Times New Roman"/>
          <w:b/>
          <w:bCs/>
          <w:color w:val="auto"/>
          <w:sz w:val="24"/>
          <w:szCs w:val="21"/>
          <w:lang w:val="en-US" w:eastAsia="zh-CN"/>
        </w:rPr>
        <w:t xml:space="preserve">八、</w:t>
      </w:r>
      <w:r>
        <w:rPr>
          <w:rFonts w:hint="default" w:ascii="宋体" w:hAnsi="宋体" w:cs="Times New Roman"/>
          <w:b/>
          <w:bCs/>
          <w:color w:val="auto"/>
          <w:sz w:val="24"/>
          <w:szCs w:val="21"/>
          <w:lang w:val="en-US" w:eastAsia="zh-CN"/>
        </w:rPr>
        <w:t xml:space="preserve">质量保证措施</w:t>
      </w:r>
      <w:r>
        <w:rPr>
          <w:rFonts w:hint="eastAsia" w:ascii="宋体" w:hAnsi="宋体" w:cs="Times New Roman"/>
          <w:b/>
          <w:bCs/>
          <w:color w:val="auto"/>
          <w:sz w:val="24"/>
          <w:szCs w:val="21"/>
          <w:lang w:val="en-US" w:eastAsia="zh-CN"/>
        </w:rPr>
        <w:t xml:space="preserve">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投标人应编制质量保证措施方案，提出质量管理目标、质量保证措施、质量控制点等。投标人</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在投标文件中体现以下要求:</w:t>
      </w:r>
      <w:r/>
    </w:p>
    <w:p>
      <w:pPr>
        <w:numPr>
          <w:ilvl w:val="-1"/>
          <w:numId w:val="0"/>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1）供应商需建立专属项目质量管控小组，明确项目经理为项目质量第一责任人，配置专职质量检查员，落实“施工人员自检、质检人员复检、项目经理终检”的三级质量管控责任制。明确各岗位质量职责，全程监督现场施工、设备安装、调试全流程质量，杜绝违规施工、粗放施工、盲目调试等质量隐患，所有质量问题做到责任到人、闭环整改。</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（2）</w:t>
      </w:r>
      <w:r>
        <w:rPr>
          <w:rFonts w:hint="default" w:ascii="宋体" w:hAnsi="宋体" w:cs="Times New Roman"/>
          <w:b w:val="0"/>
          <w:bCs w:val="0"/>
          <w:color w:val="auto"/>
          <w:sz w:val="24"/>
          <w:szCs w:val="21"/>
          <w:lang w:val="en-US" w:eastAsia="zh-CN"/>
        </w:rPr>
        <w:t xml:space="preserve">严格落实设备及辅材进场验收制度，所有服务器设备、线缆、配件、辅材</w:t>
      </w:r>
      <w:r>
        <w:rPr>
          <w:rFonts w:hint="eastAsia" w:ascii="宋体" w:hAnsi="宋体" w:cs="Times New Roman"/>
          <w:b w:val="0"/>
          <w:bCs w:val="0"/>
          <w:color w:val="auto"/>
          <w:sz w:val="24"/>
          <w:szCs w:val="21"/>
          <w:lang w:val="en-US" w:eastAsia="zh-CN"/>
        </w:rPr>
        <w:t xml:space="preserve">须</w:t>
      </w:r>
      <w:r>
        <w:rPr>
          <w:rFonts w:hint="default" w:ascii="宋体" w:hAnsi="宋体" w:cs="Times New Roman"/>
          <w:b w:val="0"/>
          <w:bCs w:val="0"/>
          <w:color w:val="auto"/>
          <w:sz w:val="24"/>
          <w:szCs w:val="21"/>
          <w:lang w:val="en-US" w:eastAsia="zh-CN"/>
        </w:rPr>
        <w:t xml:space="preserve">为全新正品、符合项目技术参数及行业标准。进场前联合采购人逐项核验设备型号、参数、序列号、合格证、质检报告、原厂质保资料，核查设备外观、硬件完整性，严禁翻新、瑕疵、不合格、无资质设备及辅材进场使用。所有进场物资留存验收台账、影像资料，实现物资质量可追溯。</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（3）</w:t>
      </w:r>
      <w:r>
        <w:rPr>
          <w:rFonts w:hint="default" w:ascii="宋体" w:hAnsi="宋体" w:cs="Times New Roman"/>
          <w:b w:val="0"/>
          <w:bCs w:val="0"/>
          <w:color w:val="auto"/>
          <w:sz w:val="24"/>
          <w:szCs w:val="21"/>
          <w:lang w:val="en-US" w:eastAsia="zh-CN"/>
        </w:rPr>
        <w:t xml:space="preserve">严格执行标准化施工工艺，所有上架安装、布线、固定、接线作业严格遵循国家机房施工规范及本项目实施方案要求。实行工序报验制度，每一道施工工序完成后，施工人员先行自检，自检合格后由质检人员复检，确认无误并经采购人确认后方可进入下一工序，上道工序不合格绝不开展下道工序，从源头杜绝返工及质量缺陷。施工过程全程留存施工照片、操作记录，保证施工过程可查、质量可控。</w:t>
      </w:r>
      <w:r/>
    </w:p>
    <w:p>
      <w:pPr>
        <w:numPr>
          <w:ilvl w:val="-1"/>
          <w:numId w:val="0"/>
        </w:numPr>
        <w:keepLines w:val="0"/>
        <w:keepNext w:val="0"/>
        <w:pageBreakBefore w:val="0"/>
        <w:spacing w:line="360" w:lineRule="auto"/>
        <w:widowControl w:val="off"/>
        <w:rPr>
          <w:rFonts w:hint="default" w:ascii="宋体" w:hAnsi="宋体" w:cs="Times New Roman"/>
          <w:b/>
          <w:bCs/>
          <w:color w:val="auto"/>
          <w:sz w:val="24"/>
          <w:szCs w:val="21"/>
          <w:lang w:val="en-US" w:eastAsia="zh-CN"/>
        </w:rPr>
      </w:pPr>
      <w:r>
        <w:rPr>
          <w:rFonts w:hint="eastAsia" w:ascii="宋体" w:hAnsi="宋体" w:cs="Times New Roman"/>
          <w:b/>
          <w:bCs/>
          <w:color w:val="auto"/>
          <w:sz w:val="24"/>
          <w:szCs w:val="21"/>
          <w:lang w:val="en-US" w:eastAsia="zh-CN"/>
        </w:rPr>
        <w:t xml:space="preserve">九、应急保障</w:t>
      </w:r>
      <w:r>
        <w:rPr>
          <w:rFonts w:hint="default" w:ascii="宋体" w:hAnsi="宋体" w:cs="Times New Roman"/>
          <w:b/>
          <w:bCs/>
          <w:color w:val="auto"/>
          <w:sz w:val="24"/>
          <w:szCs w:val="21"/>
          <w:lang w:val="en-US" w:eastAsia="zh-CN"/>
        </w:rPr>
        <w:t xml:space="preserve">措施要求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应急保障</w:t>
      </w:r>
      <w:r>
        <w:rPr>
          <w:rFonts w:hint="default" w:ascii="宋体" w:hAnsi="宋体" w:cs="Times New Roman"/>
          <w:b w:val="0"/>
          <w:bCs w:val="0"/>
          <w:color w:val="auto"/>
          <w:sz w:val="24"/>
          <w:szCs w:val="21"/>
          <w:lang w:val="en-US" w:eastAsia="zh-CN"/>
        </w:rPr>
        <w:t xml:space="preserve">措施方案，方案中体现完善的</w:t>
      </w:r>
      <w:r>
        <w:rPr>
          <w:rFonts w:hint="eastAsia" w:ascii="宋体" w:hAnsi="宋体" w:cs="Times New Roman"/>
          <w:b w:val="0"/>
          <w:bCs w:val="0"/>
          <w:color w:val="auto"/>
          <w:sz w:val="24"/>
          <w:szCs w:val="21"/>
          <w:lang w:val="en-US" w:eastAsia="zh-CN"/>
        </w:rPr>
        <w:t xml:space="preserve">应急组织</w:t>
      </w:r>
      <w:r>
        <w:rPr>
          <w:rFonts w:hint="default" w:ascii="宋体" w:hAnsi="宋体" w:cs="Times New Roman"/>
          <w:b w:val="0"/>
          <w:bCs w:val="0"/>
          <w:color w:val="auto"/>
          <w:sz w:val="24"/>
          <w:szCs w:val="21"/>
          <w:lang w:val="en-US" w:eastAsia="zh-CN"/>
        </w:rPr>
        <w:t xml:space="preserve">体系、</w:t>
      </w:r>
      <w:r>
        <w:rPr>
          <w:rFonts w:ascii="宋体" w:hAnsi="宋体" w:eastAsia="宋体" w:cs="宋体"/>
          <w:sz w:val="24"/>
          <w:szCs w:val="24"/>
        </w:rPr>
        <w:t xml:space="preserve">故障响应时效</w:t>
      </w:r>
      <w:r>
        <w:rPr>
          <w:rFonts w:hint="default" w:ascii="宋体" w:hAnsi="宋体" w:cs="Times New Roman"/>
          <w:b w:val="0"/>
          <w:bCs w:val="0"/>
          <w:color w:val="auto"/>
          <w:sz w:val="24"/>
          <w:szCs w:val="21"/>
          <w:lang w:val="en-US" w:eastAsia="zh-CN"/>
        </w:rPr>
        <w:t xml:space="preserve">、</w:t>
      </w:r>
      <w:r>
        <w:rPr>
          <w:rFonts w:ascii="宋体" w:hAnsi="宋体" w:eastAsia="宋体" w:cs="宋体"/>
          <w:sz w:val="24"/>
          <w:szCs w:val="24"/>
        </w:rPr>
        <w:t xml:space="preserve">应急资源保障</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突发事件处置</w:t>
      </w:r>
      <w:r>
        <w:rPr>
          <w:rFonts w:hint="default" w:ascii="宋体" w:hAnsi="宋体" w:cs="Times New Roman"/>
          <w:b w:val="0"/>
          <w:bCs w:val="0"/>
          <w:color w:val="auto"/>
          <w:sz w:val="24"/>
          <w:szCs w:val="21"/>
          <w:lang w:val="en-US" w:eastAsia="zh-CN"/>
        </w:rPr>
        <w:t xml:space="preserve">等。投标人</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在投标文件中体现以下服务要求：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（1）须建立7×24 小时应急值守机制，设立专属项目应急联络人、技术负责人，提供固定电话、手机、应急邮箱等多渠道联系方式，响应信息保持实时更新并报送采购人。</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（2）须组建专项应急技术团队，包含算力运维、大模型平台、网络、安全应急人员，明确岗位职责、处置流程；应急人员不得随意更换，如需更换须提前书面报备采购人并完成交接。</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（3）</w:t>
      </w:r>
      <w:r>
        <w:rPr>
          <w:rFonts w:ascii="宋体" w:hAnsi="宋体" w:eastAsia="宋体" w:cs="宋体"/>
          <w:sz w:val="24"/>
          <w:szCs w:val="24"/>
        </w:rPr>
        <w:t xml:space="preserve">建立分级告警机制，区分一般故障、重要故障、重大突发事件，制定对应的告警触发、通知上报流程，故障发生后第一时间同步采购人。</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（4）</w:t>
      </w:r>
      <w:r>
        <w:rPr>
          <w:rFonts w:ascii="宋体" w:hAnsi="宋体" w:eastAsia="宋体" w:cs="宋体"/>
          <w:sz w:val="24"/>
          <w:szCs w:val="24"/>
        </w:rPr>
        <w:t xml:space="preserve">建立完整备份机制，对平台配置、模型参数、业务策略定期备份，定期验证备份可恢复性；发生数据、配置损坏时，可通过备份快速回滚恢复。</w:t>
      </w:r>
      <w:r/>
    </w:p>
    <w:p>
      <w:pPr>
        <w:numPr>
          <w:ilvl w:val="-1"/>
          <w:numId w:val="0"/>
        </w:numPr>
        <w:keepLines w:val="0"/>
        <w:keepNext w:val="0"/>
        <w:pageBreakBefore w:val="0"/>
        <w:spacing w:line="360" w:lineRule="auto"/>
        <w:widowControl w:val="off"/>
        <w:rPr>
          <w:rFonts w:hint="eastAsia" w:ascii="宋体" w:hAnsi="宋体" w:cs="Times New Roman"/>
          <w:b/>
          <w:bCs/>
          <w:color w:val="auto"/>
          <w:sz w:val="24"/>
          <w:szCs w:val="21"/>
          <w:lang w:val="en-US" w:eastAsia="zh-CN"/>
        </w:rPr>
      </w:pPr>
      <w:r>
        <w:rPr>
          <w:rFonts w:hint="eastAsia" w:ascii="宋体" w:hAnsi="宋体" w:cs="Times New Roman"/>
          <w:b/>
          <w:bCs/>
          <w:color w:val="auto"/>
          <w:sz w:val="24"/>
          <w:szCs w:val="21"/>
          <w:lang w:val="en-US" w:eastAsia="zh-CN"/>
        </w:rPr>
        <w:t xml:space="preserve">十、项目培训要求</w:t>
      </w:r>
      <w:r/>
    </w:p>
    <w:p>
      <w:pPr>
        <w:numPr>
          <w:ilvl w:val="-1"/>
          <w:numId w:val="0"/>
        </w:numPr>
        <w:ind w:firstLine="480"/>
        <w:keepLines w:val="0"/>
        <w:keepNext w:val="0"/>
        <w:pageBreakBefore w:val="0"/>
        <w:spacing w:line="360" w:lineRule="auto"/>
        <w:widowControl w:val="off"/>
        <w:rPr>
          <w:rFonts w:hint="default" w:ascii="宋体" w:hAnsi="宋体" w:cs="Times New Roman"/>
          <w:b w:val="0"/>
          <w:bCs w:val="0"/>
          <w:color w:val="auto"/>
          <w:sz w:val="24"/>
          <w:szCs w:val="21"/>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项目培训方案，</w:t>
      </w:r>
      <w:r>
        <w:rPr>
          <w:rFonts w:hint="default" w:ascii="宋体" w:hAnsi="宋体" w:cs="Times New Roman"/>
          <w:b w:val="0"/>
          <w:bCs w:val="0"/>
          <w:color w:val="auto"/>
          <w:sz w:val="24"/>
          <w:szCs w:val="21"/>
          <w:lang w:val="en-US" w:eastAsia="zh-CN"/>
        </w:rPr>
        <w:t xml:space="preserve">根据采购人的要求对设备使用提供技术培训和指导。投标人应培训方案包含：培训计划、培训对象、培训人员等。投标人</w:t>
      </w:r>
      <w:r>
        <w:rPr>
          <w:rFonts w:hint="eastAsia" w:ascii="宋体" w:hAnsi="宋体" w:cs="Times New Roman"/>
          <w:b w:val="0"/>
          <w:bCs w:val="0"/>
          <w:color w:val="auto"/>
          <w:sz w:val="24"/>
          <w:szCs w:val="21"/>
          <w:lang w:val="en-US" w:eastAsia="zh-CN"/>
        </w:rPr>
        <w:t xml:space="preserve">需</w:t>
      </w:r>
      <w:r>
        <w:rPr>
          <w:rFonts w:hint="default" w:ascii="宋体" w:hAnsi="宋体" w:cs="Times New Roman"/>
          <w:b w:val="0"/>
          <w:bCs w:val="0"/>
          <w:color w:val="auto"/>
          <w:sz w:val="24"/>
          <w:szCs w:val="21"/>
          <w:lang w:val="en-US" w:eastAsia="zh-CN"/>
        </w:rPr>
        <w:t xml:space="preserve">在投标文件中体现以下要求:</w:t>
      </w:r>
      <w:r/>
    </w:p>
    <w:p>
      <w:pPr>
        <w:numPr>
          <w:ilvl w:val="0"/>
          <w:numId w:val="7"/>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投标人需针对采购人不同岗位人员实施分层分类培训，按管理岗、运维操作岗分别制定专属培训内容，各层级培训次数不少于1次，确保培训全覆盖、无遗漏、可实操、可落地。</w:t>
      </w:r>
      <w:r/>
    </w:p>
    <w:p>
      <w:pPr>
        <w:numPr>
          <w:ilvl w:val="0"/>
          <w:numId w:val="7"/>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投标人需严格按照采购人管理体系，划分培训对象，有针对性的进行培训。</w:t>
      </w:r>
      <w:r/>
    </w:p>
    <w:p>
      <w:pPr>
        <w:numPr>
          <w:ilvl w:val="0"/>
          <w:numId w:val="7"/>
        </w:numPr>
        <w:ind w:firstLine="480"/>
        <w:keepLines w:val="0"/>
        <w:keepNext w:val="0"/>
        <w:pageBreakBefore w:val="0"/>
        <w:spacing w:line="360" w:lineRule="auto"/>
        <w:widowControl w:val="off"/>
        <w:rPr>
          <w:rFonts w:hint="eastAsia" w:ascii="宋体" w:hAnsi="宋体" w:cs="Times New Roman"/>
          <w:b w:val="0"/>
          <w:bCs w:val="0"/>
          <w:color w:val="auto"/>
          <w:sz w:val="24"/>
          <w:szCs w:val="21"/>
          <w:lang w:val="en-US" w:eastAsia="zh-CN"/>
        </w:rPr>
      </w:pPr>
      <w:r>
        <w:rPr>
          <w:rFonts w:hint="eastAsia" w:ascii="宋体" w:hAnsi="宋体" w:cs="Times New Roman"/>
          <w:b w:val="0"/>
          <w:bCs w:val="0"/>
          <w:color w:val="auto"/>
          <w:sz w:val="24"/>
          <w:szCs w:val="21"/>
          <w:lang w:val="en-US" w:eastAsia="zh-CN"/>
        </w:rPr>
        <w:t xml:space="preserve">投标人需委派具备丰富服务器硬件部署、调试、运维经验的资深工程师作为授课讲师，讲师需熟悉本项目所有设备型号、硬件结构、部署方式、运行特性及常见故障场景。</w:t>
      </w:r>
      <w:r/>
    </w:p>
    <w:p>
      <w:pPr>
        <w:numPr>
          <w:ilvl w:val="-1"/>
          <w:numId w:val="0"/>
        </w:numPr>
        <w:keepLines w:val="0"/>
        <w:keepNext w:val="0"/>
        <w:pageBreakBefore w:val="0"/>
        <w:spacing w:line="36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十一、运行维护服务要求</w:t>
      </w:r>
      <w:r/>
    </w:p>
    <w:p>
      <w:pPr>
        <w:numPr>
          <w:ilvl w:val="0"/>
          <w:numId w:val="0"/>
        </w:numPr>
        <w:ind w:firstLine="480"/>
        <w:jc w:val="left"/>
        <w:keepLines w:val="0"/>
        <w:keepNext w:val="0"/>
        <w:pageBreakBefore w:val="0"/>
        <w:spacing w:line="360" w:lineRule="auto"/>
        <w:widowControl w:val="off"/>
        <w:rPr>
          <w:rFonts w:hint="eastAsia" w:ascii="宋体" w:hAnsi="宋体" w:cs="宋体"/>
          <w:i w:val="0"/>
          <w:iCs w:val="0"/>
          <w:color w:val="auto"/>
          <w:sz w:val="24"/>
          <w:szCs w:val="24"/>
          <w:u w:val="none"/>
          <w:lang w:val="en-US" w:eastAsia="zh-CN"/>
        </w:rPr>
        <w:outlineLvl w:val="9"/>
      </w:pPr>
      <w:r>
        <w:rPr>
          <w:rFonts w:hint="eastAsia" w:ascii="宋体" w:hAnsi="宋体" w:cs="宋体"/>
          <w:i w:val="0"/>
          <w:iCs w:val="0"/>
          <w:color w:val="auto"/>
          <w:sz w:val="24"/>
          <w:szCs w:val="24"/>
          <w:u w:val="none"/>
          <w:lang w:val="en-US" w:eastAsia="zh-CN"/>
        </w:rPr>
        <w:t xml:space="preserve">投标人应编制运行维护服务方案，方案中内容包括但不限于:体现完善的运行维护体系、运行维护保证措施、运行维护团队等。 应根据采购人的要求对系统使用提供技术培训和指导。投标人需在投标文件中体现以下服务要求：</w:t>
      </w:r>
      <w:r/>
    </w:p>
    <w:p>
      <w:pPr>
        <w:numPr>
          <w:ilvl w:val="0"/>
          <w:numId w:val="0"/>
        </w:numPr>
        <w:ind w:firstLine="480"/>
        <w:jc w:val="left"/>
        <w:keepLines w:val="0"/>
        <w:keepNext w:val="0"/>
        <w:pageBreakBefore w:val="0"/>
        <w:spacing w:line="360" w:lineRule="auto"/>
        <w:widowControl w:val="off"/>
        <w:rPr>
          <w:rFonts w:hint="eastAsia" w:ascii="宋体" w:hAnsi="宋体" w:cs="宋体"/>
          <w:i w:val="0"/>
          <w:iCs w:val="0"/>
          <w:color w:val="auto"/>
          <w:sz w:val="24"/>
          <w:szCs w:val="24"/>
          <w:u w:val="none"/>
          <w:lang w:val="en-US" w:eastAsia="zh-CN"/>
        </w:rPr>
        <w:outlineLvl w:val="9"/>
      </w:pPr>
      <w:r>
        <w:rPr>
          <w:rFonts w:hint="eastAsia" w:ascii="宋体" w:hAnsi="宋体" w:cs="宋体"/>
          <w:i w:val="0"/>
          <w:iCs w:val="0"/>
          <w:color w:val="auto"/>
          <w:sz w:val="24"/>
          <w:szCs w:val="24"/>
          <w:u w:val="none"/>
          <w:lang w:val="en-US" w:eastAsia="zh-CN"/>
        </w:rPr>
        <w:t xml:space="preserve">1、自验收交付使用之日起，提供一年的7*24小时技术支持，确保系统使用正常，并对所有中标产品实行终身保修，系统应用软件终身免费升级。</w:t>
      </w:r>
      <w:r/>
    </w:p>
    <w:p>
      <w:pPr>
        <w:numPr>
          <w:ilvl w:val="0"/>
          <w:numId w:val="0"/>
        </w:numPr>
        <w:ind w:firstLine="480"/>
        <w:jc w:val="left"/>
        <w:keepLines w:val="0"/>
        <w:keepNext w:val="0"/>
        <w:pageBreakBefore w:val="0"/>
        <w:spacing w:line="360" w:lineRule="auto"/>
        <w:widowControl w:val="off"/>
        <w:rPr>
          <w:rFonts w:hint="eastAsia" w:ascii="宋体" w:hAnsi="宋体" w:cs="宋体"/>
          <w:i w:val="0"/>
          <w:iCs w:val="0"/>
          <w:color w:val="auto"/>
          <w:sz w:val="24"/>
          <w:szCs w:val="24"/>
          <w:u w:val="none"/>
          <w:lang w:val="en-US" w:eastAsia="zh-CN"/>
        </w:rPr>
        <w:outlineLvl w:val="9"/>
      </w:pPr>
      <w:r>
        <w:rPr>
          <w:rFonts w:hint="eastAsia" w:ascii="宋体" w:hAnsi="宋体" w:cs="宋体"/>
          <w:i w:val="0"/>
          <w:iCs w:val="0"/>
          <w:color w:val="auto"/>
          <w:sz w:val="24"/>
          <w:szCs w:val="24"/>
          <w:u w:val="none"/>
          <w:lang w:val="en-US" w:eastAsia="zh-CN"/>
        </w:rPr>
        <w:t xml:space="preserve">2、供应商应对具体使用此项中标服务的客户每年不少于三次免费巡检、维护服务。</w:t>
      </w:r>
      <w:r/>
    </w:p>
    <w:p>
      <w:pPr>
        <w:numPr>
          <w:ilvl w:val="0"/>
          <w:numId w:val="0"/>
        </w:numPr>
        <w:ind w:firstLine="480"/>
        <w:jc w:val="left"/>
        <w:keepLines w:val="0"/>
        <w:keepNext w:val="0"/>
        <w:pageBreakBefore w:val="0"/>
        <w:spacing w:line="360" w:lineRule="auto"/>
        <w:widowControl w:val="off"/>
        <w:rPr>
          <w:rFonts w:hint="eastAsia" w:ascii="宋体" w:hAnsi="宋体" w:cs="宋体"/>
          <w:i w:val="0"/>
          <w:iCs w:val="0"/>
          <w:color w:val="auto"/>
          <w:sz w:val="24"/>
          <w:szCs w:val="24"/>
          <w:u w:val="none"/>
          <w:lang w:val="en-US" w:eastAsia="zh-CN"/>
        </w:rPr>
        <w:outlineLvl w:val="9"/>
      </w:pPr>
      <w:r>
        <w:rPr>
          <w:rFonts w:hint="eastAsia" w:ascii="宋体" w:hAnsi="宋体" w:cs="宋体"/>
          <w:i w:val="0"/>
          <w:iCs w:val="0"/>
          <w:color w:val="auto"/>
          <w:sz w:val="24"/>
          <w:szCs w:val="24"/>
          <w:u w:val="none"/>
          <w:lang w:val="en-US" w:eastAsia="zh-CN"/>
        </w:rPr>
        <w:t xml:space="preserve">3、无论在服务期内还是服务期满后，一旦设备发生故障，采购人无法自行排除时，在接到客户通知后，供应商应保证尽快派人上门服务，6小时内到达现场处理，不得影响使用单位的使用需要。</w:t>
      </w:r>
      <w:r/>
    </w:p>
    <w:p>
      <w:pPr>
        <w:numPr>
          <w:ilvl w:val="0"/>
          <w:numId w:val="0"/>
        </w:numPr>
        <w:ind w:firstLine="480"/>
        <w:jc w:val="left"/>
        <w:keepLines w:val="0"/>
        <w:keepNext w:val="0"/>
        <w:pageBreakBefore w:val="0"/>
        <w:spacing w:line="360" w:lineRule="auto"/>
        <w:widowControl w:val="off"/>
        <w:rPr>
          <w:rFonts w:hint="default" w:ascii="宋体" w:hAnsi="宋体" w:cs="宋体"/>
          <w:i w:val="0"/>
          <w:iCs w:val="0"/>
          <w:color w:val="auto"/>
          <w:sz w:val="24"/>
          <w:szCs w:val="24"/>
          <w:u w:val="none"/>
          <w:lang w:val="en-US" w:eastAsia="zh-CN"/>
        </w:rPr>
        <w:outlineLvl w:val="9"/>
      </w:pPr>
      <w:r>
        <w:rPr>
          <w:rFonts w:hint="eastAsia" w:ascii="宋体" w:hAnsi="宋体" w:cs="宋体"/>
          <w:i w:val="0"/>
          <w:iCs w:val="0"/>
          <w:color w:val="auto"/>
          <w:sz w:val="24"/>
          <w:szCs w:val="24"/>
          <w:u w:val="none"/>
          <w:lang w:val="en-US" w:eastAsia="zh-CN"/>
        </w:rPr>
        <w:t xml:space="preserve">4、提供培训方案，方案应包含培训计划、培训对象、培训人员等。培训应对针对采购人的管理需要对培训对象分层次进行，各层次不少于2次。</w:t>
      </w:r>
      <w:r/>
    </w:p>
    <w:p>
      <w:pPr>
        <w:numPr>
          <w:ilvl w:val="0"/>
          <w:numId w:val="0"/>
        </w:num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lang w:val="en-US" w:eastAsia="zh-CN" w:bidi="ar-SA"/>
        </w:rPr>
        <w:t xml:space="preserve">十二</w:t>
      </w:r>
      <w:r>
        <w:rPr>
          <w:rFonts w:hint="eastAsia" w:ascii="宋体" w:hAnsi="宋体" w:eastAsia="宋体" w:cs="宋体"/>
          <w:b/>
          <w:bCs/>
          <w:color w:val="auto"/>
          <w:sz w:val="24"/>
          <w:szCs w:val="24"/>
          <w:lang w:val="en-US" w:eastAsia="zh-CN" w:bidi="ar-SA"/>
        </w:rPr>
        <w:t xml:space="preserve">、</w:t>
      </w:r>
      <w:r>
        <w:rPr>
          <w:rFonts w:hint="eastAsia" w:ascii="宋体" w:hAnsi="宋体" w:cs="宋体"/>
          <w:b/>
          <w:bCs/>
          <w:color w:val="auto"/>
          <w:sz w:val="24"/>
          <w:szCs w:val="24"/>
          <w:highlight w:val="none"/>
          <w:lang w:val="en-US" w:eastAsia="zh-CN"/>
        </w:rPr>
        <w:t xml:space="preserve">服务期</w:t>
      </w:r>
      <w:r/>
    </w:p>
    <w:p>
      <w:pPr>
        <w:numPr>
          <w:ilvl w:val="0"/>
          <w:numId w:val="0"/>
        </w:numPr>
        <w:ind w:firstLine="480"/>
        <w:jc w:val="left"/>
        <w:keepLines w:val="0"/>
        <w:keepNext w:val="0"/>
        <w:pageBreakBefore w:val="0"/>
        <w:spacing w:line="360" w:lineRule="auto"/>
        <w:widowControl w:val="off"/>
        <w:rPr>
          <w:rFonts w:hint="eastAsia" w:ascii="宋体" w:hAnsi="宋体" w:cs="宋体"/>
          <w:b/>
          <w:bCs/>
          <w:color w:val="auto"/>
          <w:sz w:val="24"/>
          <w:szCs w:val="24"/>
          <w:lang w:val="en-US" w:eastAsia="zh-CN"/>
        </w:rPr>
        <w:outlineLvl w:val="9"/>
      </w:pPr>
      <w:r>
        <w:rPr>
          <w:rFonts w:hint="eastAsia" w:ascii="宋体" w:hAnsi="宋体" w:eastAsia="宋体" w:cs="宋体"/>
          <w:i w:val="0"/>
          <w:iCs w:val="0"/>
          <w:color w:val="auto"/>
          <w:sz w:val="24"/>
          <w:szCs w:val="24"/>
          <w:u w:val="none"/>
          <w:lang w:val="en-US" w:eastAsia="zh-CN"/>
        </w:rPr>
        <w:t xml:space="preserve">合同签订</w:t>
      </w:r>
      <w:r>
        <w:rPr>
          <w:rFonts w:hint="eastAsia" w:ascii="宋体" w:hAnsi="宋体" w:cs="宋体"/>
          <w:i w:val="0"/>
          <w:iCs w:val="0"/>
          <w:color w:val="auto"/>
          <w:sz w:val="24"/>
          <w:szCs w:val="24"/>
          <w:u w:val="none"/>
          <w:lang w:val="en-US" w:eastAsia="zh-CN"/>
        </w:rPr>
        <w:t xml:space="preserve">之日起60日历天</w:t>
      </w:r>
      <w:r>
        <w:rPr>
          <w:rFonts w:hint="eastAsia" w:ascii="宋体" w:hAnsi="宋体" w:eastAsia="宋体" w:cs="宋体"/>
          <w:i w:val="0"/>
          <w:iCs w:val="0"/>
          <w:color w:val="auto"/>
          <w:sz w:val="24"/>
          <w:szCs w:val="24"/>
          <w:u w:val="none"/>
          <w:lang w:val="en-US" w:eastAsia="zh-CN"/>
        </w:rPr>
        <w:t xml:space="preserve">内完成</w:t>
      </w:r>
      <w:r>
        <w:rPr>
          <w:rFonts w:hint="eastAsia" w:ascii="宋体" w:hAnsi="宋体" w:cs="宋体"/>
          <w:i w:val="0"/>
          <w:iCs w:val="0"/>
          <w:color w:val="auto"/>
          <w:sz w:val="24"/>
          <w:szCs w:val="24"/>
          <w:u w:val="none"/>
          <w:lang w:val="en-US" w:eastAsia="zh-CN"/>
        </w:rPr>
        <w:t xml:space="preserve">安装调试及验收工作,自验收之日起服务期一年</w:t>
      </w:r>
      <w:r>
        <w:rPr>
          <w:rFonts w:hint="eastAsia" w:ascii="宋体" w:hAnsi="宋体" w:eastAsia="宋体" w:cs="宋体"/>
          <w:i w:val="0"/>
          <w:iCs w:val="0"/>
          <w:color w:val="auto"/>
          <w:sz w:val="24"/>
          <w:szCs w:val="24"/>
          <w:u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三</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rPr>
        <w:t xml:space="preserve">演示要求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演示方式 上传视频演示</w:t>
      </w:r>
      <w:r/>
    </w:p>
    <w:p>
      <w:pPr>
        <w:ind w:firstLine="480"/>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按照招标文件规定的演示内容制作演示视频文件，视频文件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分钟</w:t>
      </w:r>
      <w:bookmarkStart w:id="149" w:name="_Toc120614281"/>
      <w:r>
        <w:rPr>
          <w:rFonts w:hint="eastAsia" w:ascii="宋体" w:hAnsi="宋体" w:cs="宋体"/>
          <w:color w:val="000000"/>
          <w:sz w:val="24"/>
          <w:szCs w:val="24"/>
          <w:lang w:val="en-US" w:eastAsia="zh-CN"/>
        </w:rPr>
        <w:t xml:space="preserve">。演示内容如下：</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演示</w:t>
      </w:r>
      <w:r>
        <w:rPr>
          <w:rFonts w:hint="eastAsia" w:ascii="宋体" w:hAnsi="宋体" w:eastAsia="宋体" w:cs="宋体"/>
          <w:b/>
          <w:bCs/>
          <w:color w:val="auto"/>
          <w:sz w:val="24"/>
          <w:szCs w:val="24"/>
          <w:lang w:val="en-US" w:eastAsia="zh-CN"/>
        </w:rPr>
        <w:t xml:space="preserve">盗窃案件分析智能体</w:t>
      </w:r>
      <w:r/>
    </w:p>
    <w:p>
      <w:pPr>
        <w:numPr>
          <w:ilvl w:val="0"/>
          <w:numId w:val="0"/>
        </w:numPr>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信息自动提取</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系统应能够对海量原始警情文本进行自动化解析，精准抓取盗窃类警情的核心要素</w:t>
      </w:r>
      <w:r>
        <w:rPr>
          <w:rFonts w:hint="eastAsia" w:ascii="宋体" w:hAnsi="宋体" w:cs="宋体"/>
          <w:b w:val="0"/>
          <w:bCs w:val="0"/>
          <w:color w:val="auto"/>
          <w:sz w:val="24"/>
          <w:szCs w:val="24"/>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以下为演示内容1：</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（1）案件发生时间：包括具体日期、时段（如凌晨、上午、夜间等）；</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）案发地点：细化至路面，住宅和商铺等层级；</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）失窃物品明细：包括物品类型、数量、价值等信息。</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结构化输出：支持将提取结果以结构化形式（如表格）输出，便于后续分析、存储与展示；</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智能问答与数据归集：支持以自然语言方式进行智能问数与取数，替代人工数据汇总；</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提供警情数据自动归集、分类统计与总结分析功能，提升研判效率。</w:t>
      </w:r>
      <w:r/>
    </w:p>
    <w:p>
      <w:pPr>
        <w:ind w:left="0" w:firstLine="0"/>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2、演示AI交通类警情分析报告智能体</w:t>
      </w:r>
      <w:r/>
    </w:p>
    <w:p>
      <w:pPr>
        <w:ind w:left="0" w:firstLine="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多维度研判分析能力</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系统应能对交通类警情数据进行自动化、多维度分析</w:t>
      </w:r>
      <w:r>
        <w:rPr>
          <w:rFonts w:hint="eastAsia" w:ascii="宋体" w:hAnsi="宋体" w:cs="宋体"/>
          <w:b w:val="0"/>
          <w:bCs w:val="0"/>
          <w:color w:val="auto"/>
          <w:sz w:val="24"/>
          <w:szCs w:val="24"/>
          <w:lang w:eastAsia="zh-CN"/>
        </w:rPr>
        <w:t xml:space="preserve">。</w:t>
      </w:r>
      <w:r/>
    </w:p>
    <w:p>
      <w:pPr>
        <w:numPr>
          <w:ilvl w:val="0"/>
          <w:numId w:val="0"/>
        </w:numPr>
        <w:keepLines w:val="0"/>
        <w:keepNext w:val="0"/>
        <w:pageBreakBefore w:val="0"/>
        <w:spacing w:line="360" w:lineRule="auto"/>
        <w:widowControl w:val="off"/>
        <w:rPr>
          <w:rFonts w:hint="eastAsia"/>
          <w:lang w:eastAsia="zh-CN"/>
        </w:rPr>
      </w:pPr>
      <w:r>
        <w:rPr>
          <w:rFonts w:hint="eastAsia" w:ascii="宋体" w:hAnsi="宋体" w:cs="宋体"/>
          <w:b/>
          <w:bCs/>
          <w:color w:val="auto"/>
          <w:sz w:val="24"/>
          <w:szCs w:val="24"/>
          <w:lang w:val="en-US" w:eastAsia="zh-CN"/>
        </w:rPr>
        <w:t xml:space="preserve">以下为演示内容2：</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时间维度：早高峰、晚高峰、平峰、夜间等时段分布；</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数量维度：单日、单周、月度、年度总量及同比、环比分析；</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地点维度：具体路口、路段、区域分布；</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标准化报告自动生成：支持自动生成格式统一、内容完整的分析报告；</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报告内容至少包括，数据统计、规律总结、隐患提示、工作建议等模块；</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报告支持导出为Word、PDF等常用格式，适配工作汇报、台账留存、专项研判等场景。</w:t>
      </w:r>
      <w:r/>
    </w:p>
    <w:p>
      <w:pPr>
        <w:ind w:left="0" w:firstLine="0"/>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演示</w:t>
      </w:r>
      <w:r>
        <w:rPr>
          <w:rFonts w:hint="eastAsia" w:ascii="宋体" w:hAnsi="宋体" w:eastAsia="宋体" w:cs="宋体"/>
          <w:b/>
          <w:bCs/>
          <w:color w:val="auto"/>
          <w:sz w:val="24"/>
          <w:szCs w:val="24"/>
          <w:lang w:val="en-US" w:eastAsia="zh-CN"/>
        </w:rPr>
        <w:t xml:space="preserve">全警种知识库问答智能体</w:t>
      </w:r>
      <w:r/>
    </w:p>
    <w:p>
      <w:pPr>
        <w:ind w:left="0" w:firstLine="0"/>
        <w:keepLines w:val="0"/>
        <w:keepNext w:val="0"/>
        <w:pageBreakBefore w:val="0"/>
        <w:spacing w:line="360" w:lineRule="auto"/>
        <w:widowControl w:val="off"/>
        <w:rPr>
          <w:rFonts w:hint="eastAsia" w:ascii="宋体" w:hAnsi="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包含</w:t>
      </w:r>
      <w:r>
        <w:rPr>
          <w:rFonts w:hint="eastAsia" w:ascii="宋体" w:hAnsi="宋体" w:eastAsia="宋体" w:cs="宋体"/>
          <w:b w:val="0"/>
          <w:bCs w:val="0"/>
          <w:color w:val="auto"/>
          <w:sz w:val="24"/>
          <w:szCs w:val="24"/>
          <w:lang w:val="en-US" w:eastAsia="zh-CN"/>
        </w:rPr>
        <w:t xml:space="preserve">全</w:t>
      </w:r>
      <w:r>
        <w:rPr>
          <w:rFonts w:hint="eastAsia" w:ascii="宋体" w:hAnsi="宋体" w:eastAsia="宋体" w:cs="宋体"/>
          <w:b w:val="0"/>
          <w:bCs w:val="0"/>
          <w:color w:val="auto"/>
          <w:sz w:val="24"/>
          <w:szCs w:val="24"/>
          <w:lang w:eastAsia="zh-CN"/>
        </w:rPr>
        <w:t xml:space="preserve">警种知识覆盖</w:t>
      </w:r>
      <w:r>
        <w:rPr>
          <w:rFonts w:hint="eastAsia" w:ascii="宋体" w:hAnsi="宋体" w:cs="宋体"/>
          <w:b w:val="0"/>
          <w:bCs w:val="0"/>
          <w:color w:val="auto"/>
          <w:sz w:val="24"/>
          <w:szCs w:val="24"/>
          <w:lang w:eastAsia="zh-CN"/>
        </w:rPr>
        <w:t xml:space="preserve">。</w:t>
      </w:r>
      <w:r/>
    </w:p>
    <w:p>
      <w:pPr>
        <w:numPr>
          <w:ilvl w:val="0"/>
          <w:numId w:val="0"/>
        </w:numPr>
        <w:keepLines w:val="0"/>
        <w:keepNext w:val="0"/>
        <w:pageBreakBefore w:val="0"/>
        <w:spacing w:line="360" w:lineRule="auto"/>
        <w:widowControl w:val="off"/>
        <w:rPr>
          <w:rFonts w:hint="eastAsia"/>
          <w:lang w:eastAsia="zh-CN"/>
        </w:rPr>
      </w:pPr>
      <w:r>
        <w:rPr>
          <w:rFonts w:hint="eastAsia" w:ascii="宋体" w:hAnsi="宋体" w:cs="宋体"/>
          <w:b/>
          <w:bCs/>
          <w:color w:val="auto"/>
          <w:sz w:val="24"/>
          <w:szCs w:val="24"/>
          <w:lang w:val="en-US" w:eastAsia="zh-CN"/>
        </w:rPr>
        <w:t xml:space="preserve">以下为演示内容3：</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集成涵盖刑事侦查、治安管理、交通法规、执法细则、户籍政策、出入境条例等各警种核心业务知识库，确保知识获取的全面性与权威性。</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面向社区民警走访入户场景，精准识别群众诉求核心，实时检索海量警务知识库，生成简明适用的工作指引与常规管理机制</w:t>
      </w:r>
      <w:r>
        <w:rPr>
          <w:rFonts w:hint="eastAsia" w:ascii="宋体" w:hAnsi="宋体" w:cs="宋体"/>
          <w:b w:val="0"/>
          <w:bCs w:val="0"/>
          <w:color w:val="auto"/>
          <w:sz w:val="24"/>
          <w:szCs w:val="24"/>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同时自动标注答案出处（如具体法条、文件名称及条款），方便民警溯源核实。</w:t>
      </w:r>
      <w:r/>
    </w:p>
    <w:p>
      <w:pPr>
        <w:ind w:left="0" w:firstLine="0"/>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lang w:eastAsia="zh-CN"/>
        </w:rPr>
        <w:t xml:space="preserve">演示</w:t>
      </w:r>
      <w:r>
        <w:rPr>
          <w:rFonts w:hint="eastAsia" w:ascii="宋体" w:hAnsi="宋体" w:eastAsia="宋体" w:cs="宋体"/>
          <w:b/>
          <w:bCs/>
          <w:color w:val="auto"/>
          <w:sz w:val="24"/>
          <w:szCs w:val="24"/>
          <w:lang w:val="en-US" w:eastAsia="zh-CN"/>
        </w:rPr>
        <w:t xml:space="preserve">接线员培训出题工具智能体</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以下为演示内容4：</w:t>
      </w:r>
      <w:r/>
    </w:p>
    <w:p>
      <w:p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（1）动态知识驱动出题：智能体实时关联并解析最新的业务培训文档与知识库更新。</w:t>
      </w:r>
      <w:r/>
    </w:p>
    <w:p>
      <w:p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）当业务规则或话术调整后，无需人工干预，系统即可基于新内容即时生成相关考题，确保考核内容与一线实战要求高度一致。</w:t>
      </w:r>
      <w:r/>
    </w:p>
    <w:p>
      <w:p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）交互式智能组卷：只需跟智能工具对话说明想要的题型，业务的类型以及题量，系统即可在数秒内完成从知识点抽取、题干编写、干扰项设计到答案校对的全流程。</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5、演示处警预案流程思维导图绘制工具</w:t>
      </w:r>
      <w:r/>
    </w:p>
    <w:p>
      <w:pPr>
        <w:ind w:left="0" w:firstLine="0"/>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以下为演示内容5：</w:t>
      </w:r>
      <w:r/>
    </w:p>
    <w:p>
      <w:p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预案文本一键结构化：支持导入Word、PDF等格式的警情预案文件，智能体能够自动拆解长文本，精准识别“接警—研判—指令下达—现场处置—反馈—善后”等全链条环节，自动梳理出标准化的处置流程架构。</w:t>
      </w:r>
      <w:r/>
    </w:p>
    <w:p>
      <w:p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（2）无需人工逐字梳理，即可将大段文字转化为可视化的节点网络，大幅降低预案数字化门槛。</w:t>
      </w:r>
      <w:r/>
    </w:p>
    <w:p>
      <w:pPr>
        <w:rPr>
          <w:rFonts w:hint="eastAsia" w:ascii="黑体" w:eastAsia="黑体"/>
          <w:bCs/>
          <w:color w:val="000000"/>
          <w:sz w:val="44"/>
          <w:szCs w:val="28"/>
          <w:lang w:val="en-US" w:eastAsia="zh-CN"/>
        </w:rPr>
      </w:pPr>
      <w:r>
        <w:rPr>
          <w:rFonts w:hint="eastAsia" w:ascii="黑体" w:eastAsia="黑体"/>
          <w:bCs/>
          <w:color w:val="000000"/>
          <w:sz w:val="44"/>
          <w:szCs w:val="28"/>
          <w:lang w:val="en-US" w:eastAsia="zh-CN"/>
        </w:rPr>
        <w:br w:type="page" w:clear="all"/>
      </w:r>
      <w:r/>
    </w:p>
    <w:p>
      <w:pPr>
        <w:jc w:val="center"/>
        <w:keepLines w:val="0"/>
        <w:keepNext w:val="0"/>
        <w:pageBreakBefore w:val="0"/>
        <w:spacing w:line="360" w:lineRule="auto"/>
        <w:widowControl w:val="off"/>
        <w:rPr>
          <w:rFonts w:hint="eastAsia" w:ascii="黑体" w:hAnsi="Times New Roman" w:eastAsia="黑体"/>
          <w:bCs/>
          <w:color w:val="000000"/>
          <w:sz w:val="44"/>
          <w:szCs w:val="28"/>
        </w:rPr>
        <w:outlineLvl w:val="0"/>
      </w:pPr>
      <w:r>
        <w:rPr>
          <w:rFonts w:hint="eastAsia" w:ascii="黑体" w:eastAsia="黑体"/>
          <w:bCs/>
          <w:color w:val="000000"/>
          <w:sz w:val="44"/>
          <w:szCs w:val="28"/>
          <w:lang w:val="en-US" w:eastAsia="zh-CN"/>
        </w:rPr>
        <w:t xml:space="preserve"> </w:t>
      </w:r>
      <w:r>
        <w:rPr>
          <w:rFonts w:hint="eastAsia" w:ascii="黑体" w:hAnsi="Times New Roman" w:eastAsia="黑体"/>
          <w:bCs/>
          <w:color w:val="000000"/>
          <w:sz w:val="44"/>
          <w:szCs w:val="28"/>
        </w:rPr>
        <w:t xml:space="preserve">第五章 </w:t>
      </w:r>
      <w:r>
        <w:rPr>
          <w:rFonts w:hint="eastAsia" w:ascii="黑体" w:hAnsi="Times New Roman" w:eastAsia="黑体"/>
          <w:b w:val="0"/>
          <w:bCs/>
          <w:color w:val="000000"/>
          <w:sz w:val="44"/>
          <w:szCs w:val="28"/>
        </w:rPr>
        <w:t xml:space="preserve"> 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采用综合评分法，评标结果按评审后得分由高到低顺序排列。得分相同的，按投标报价由低到高顺序排列。得分且投标报价相同的并列。</w:t>
      </w:r>
      <w:r/>
    </w:p>
    <w:tbl>
      <w:tblPr>
        <w:tblStyle w:val="68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rPr>
        <w:t xml:space="preserve">1</w:t>
      </w:r>
      <w:r>
        <w:rPr>
          <w:rFonts w:hint="eastAsia" w:ascii="宋体" w:hAnsi="宋体"/>
          <w:color w:val="000000"/>
          <w:sz w:val="24"/>
          <w:szCs w:val="24"/>
          <w:highlight w:val="none"/>
        </w:rPr>
        <w:t xml:space="preserve">、小微型企业价格扣除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color w:val="auto"/>
          <w:sz w:val="24"/>
          <w:szCs w:val="24"/>
          <w:highlight w:val="none"/>
        </w:rPr>
        <w:t xml:space="preserve">相应的《中小企业声明函</w:t>
      </w:r>
      <w:r>
        <w:rPr>
          <w:rFonts w:hint="eastAsia" w:ascii="宋体" w:hAnsi="宋体"/>
          <w:color w:val="000000"/>
          <w:sz w:val="24"/>
          <w:szCs w:val="24"/>
          <w:highlight w:val="none"/>
        </w:rPr>
        <w:t xml:space="preserve">》。</w:t>
      </w:r>
      <w:r/>
    </w:p>
    <w:p>
      <w:pPr>
        <w:pStyle w:val="922"/>
        <w:ind w:firstLine="360"/>
        <w:spacing w:line="0" w:lineRule="atLeast"/>
        <w:rPr>
          <w:rFonts w:hint="default"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rPr>
        <w:t xml:space="preserve">价格扣除，用扣除后的价格参与评审。</w:t>
      </w:r>
      <w:r/>
    </w:p>
    <w:p>
      <w:pPr>
        <w:ind w:left="0" w:right="0" w:firstLine="480"/>
        <w:jc w:val="both"/>
        <w:spacing w:before="120" w:after="120" w:line="400" w:lineRule="atLeast"/>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688"/>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7429"/>
      </w:tblGrid>
      <w:tr>
        <w:trPr>
          <w:jc w:val="center"/>
          <w:trHeight w:val="430"/>
        </w:trPr>
        <w:tc>
          <w:tcPr>
            <w:tcW w:w="8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41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评分标准</w:t>
            </w:r>
            <w:r/>
          </w:p>
        </w:tc>
      </w:tr>
      <w:tr>
        <w:trPr>
          <w:jc w:val="center"/>
          <w:trHeight w:val="667"/>
        </w:trPr>
        <w:tc>
          <w:tcPr>
            <w:tcW w:w="819" w:type="pct"/>
            <w:vAlign w:val="center"/>
            <w:textDirection w:val="lrTb"/>
            <w:noWrap w:val="false"/>
          </w:tcPr>
          <w:p>
            <w:pPr>
              <w:pStyle w:val="694"/>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价  格</w:t>
            </w:r>
            <w:r/>
          </w:p>
          <w:p>
            <w:pPr>
              <w:pStyle w:val="694"/>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4180" w:type="pct"/>
            <w:vAlign w:val="center"/>
            <w:textDirection w:val="lrTb"/>
            <w:noWrap w:val="false"/>
          </w:tcPr>
          <w:p>
            <w:pPr>
              <w:pStyle w:val="694"/>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以满足招标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要求的最低投标报价为评标基准价，得满分</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分，其他投标报价得分＝（评标基准价/其他投标报价）×</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×100％。</w:t>
            </w:r>
            <w:r/>
          </w:p>
        </w:tc>
      </w:tr>
      <w:tr>
        <w:trPr>
          <w:jc w:val="center"/>
          <w:trHeight w:val="667"/>
        </w:trPr>
        <w:tc>
          <w:tcPr>
            <w:tcW w:w="819" w:type="pct"/>
            <w:vAlign w:val="center"/>
            <w:textDirection w:val="lrTb"/>
            <w:noWrap w:val="false"/>
          </w:tcPr>
          <w:p>
            <w:pPr>
              <w:pStyle w:val="694"/>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技术性能</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4180" w:type="pct"/>
            <w:vAlign w:val="center"/>
            <w:textDirection w:val="lrTb"/>
            <w:noWrap w:val="false"/>
          </w:tcPr>
          <w:p>
            <w:pPr>
              <w:pStyle w:val="694"/>
              <w:numPr>
                <w:ilvl w:val="0"/>
                <w:numId w:val="8"/>
              </w:num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根据投标人所投产品技术参数与招标文件要求比较，按照招标文件要求提供证明资料。带★的重要技术指标共1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项，有一项负偏离扣2分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扣完为止。满分30分。</w:t>
            </w:r>
            <w:r/>
          </w:p>
        </w:tc>
      </w:tr>
      <w:tr>
        <w:trPr>
          <w:jc w:val="center"/>
          <w:trHeight w:val="611"/>
        </w:trPr>
        <w:tc>
          <w:tcPr>
            <w:tcW w:w="8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服务</w:t>
            </w:r>
            <w:r>
              <w:rPr>
                <w:rFonts w:hint="eastAsia" w:ascii="宋体" w:hAnsi="宋体" w:eastAsia="宋体" w:cs="宋体"/>
                <w:color w:val="auto"/>
                <w:sz w:val="24"/>
                <w:szCs w:val="24"/>
              </w:rPr>
              <w:t xml:space="preserve">方案</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w:t>
            </w:r>
            <w:r/>
          </w:p>
        </w:tc>
        <w:tc>
          <w:tcPr>
            <w:tcW w:w="4180" w:type="pct"/>
            <w:vAlign w:val="center"/>
            <w:textDirection w:val="lrTb"/>
            <w:noWrap w:val="false"/>
          </w:tcPr>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rPr>
                <w:rFonts w:hint="eastAsia" w:ascii="宋体" w:hAnsi="宋体" w:cs="Times New Roman"/>
                <w:b/>
                <w:bCs/>
                <w:color w:val="auto"/>
                <w:sz w:val="24"/>
                <w:szCs w:val="21"/>
                <w:lang w:val="en-US" w:eastAsia="zh-CN"/>
              </w:rPr>
              <w:t xml:space="preserve">项目实施方案</w:t>
            </w:r>
            <w:r/>
          </w:p>
          <w:p>
            <w:pPr>
              <w:rPr>
                <w:rFonts w:hint="eastAsia" w:ascii="宋体" w:hAnsi="宋体" w:eastAsia="宋体" w:cs="宋体"/>
                <w:b w:val="0"/>
                <w:bCs w:val="0"/>
                <w:color w:val="auto"/>
                <w:sz w:val="24"/>
                <w:szCs w:val="24"/>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项目实施方案，</w:t>
            </w:r>
            <w:r>
              <w:rPr>
                <w:rFonts w:hint="eastAsia" w:ascii="宋体" w:hAnsi="宋体" w:eastAsia="宋体" w:cs="宋体"/>
                <w:b w:val="0"/>
                <w:bCs w:val="0"/>
                <w:color w:val="auto"/>
                <w:sz w:val="24"/>
                <w:szCs w:val="24"/>
                <w:lang w:val="en-US" w:eastAsia="zh-CN"/>
              </w:rPr>
              <w:t xml:space="preserve">提供的内容优于招标文件相关要求的得4分；符合要求的得2分，不符合要求或未提供的得0分。</w:t>
            </w:r>
            <w:r/>
          </w:p>
          <w:p>
            <w:pP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工期保证措施</w:t>
            </w:r>
            <w:r>
              <w:rPr>
                <w:rFonts w:hint="eastAsia" w:ascii="宋体" w:hAnsi="宋体" w:cs="Times New Roman"/>
                <w:b/>
                <w:bCs/>
                <w:color w:val="auto"/>
                <w:sz w:val="24"/>
                <w:szCs w:val="21"/>
                <w:lang w:val="en-US" w:eastAsia="zh-CN"/>
              </w:rPr>
              <w:t xml:space="preserve">方案</w:t>
            </w:r>
            <w:r/>
          </w:p>
          <w:p>
            <w:pPr>
              <w:rPr>
                <w:rFonts w:hint="eastAsia" w:ascii="宋体" w:hAnsi="宋体" w:eastAsia="宋体" w:cs="宋体"/>
                <w:b w:val="0"/>
                <w:bCs w:val="0"/>
                <w:color w:val="auto"/>
                <w:sz w:val="24"/>
                <w:szCs w:val="24"/>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工期</w:t>
            </w:r>
            <w:r>
              <w:rPr>
                <w:rFonts w:hint="default" w:ascii="宋体" w:hAnsi="宋体" w:cs="Times New Roman"/>
                <w:b w:val="0"/>
                <w:bCs w:val="0"/>
                <w:color w:val="auto"/>
                <w:sz w:val="24"/>
                <w:szCs w:val="21"/>
                <w:lang w:val="en-US" w:eastAsia="zh-CN"/>
              </w:rPr>
              <w:t xml:space="preserve">保证措施方案</w:t>
            </w:r>
            <w:r>
              <w:rPr>
                <w:rFonts w:hint="eastAsia" w:ascii="宋体" w:hAnsi="宋体" w:cs="Times New Roman"/>
                <w:b w:val="0"/>
                <w:bCs w:val="0"/>
                <w:color w:val="auto"/>
                <w:sz w:val="24"/>
                <w:szCs w:val="21"/>
                <w:lang w:val="en-US" w:eastAsia="zh-CN"/>
              </w:rPr>
              <w:t xml:space="preserve">，</w:t>
            </w:r>
            <w:r>
              <w:rPr>
                <w:rFonts w:hint="eastAsia" w:ascii="宋体" w:hAnsi="宋体" w:eastAsia="宋体" w:cs="宋体"/>
                <w:b w:val="0"/>
                <w:bCs w:val="0"/>
                <w:color w:val="auto"/>
                <w:sz w:val="24"/>
                <w:szCs w:val="24"/>
                <w:lang w:val="en-US" w:eastAsia="zh-CN"/>
              </w:rPr>
              <w:t xml:space="preserve">提供的内容优于招标文件相关要求的得4分；符合要求的得2分，不符合要求或未提供的得0分。</w:t>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3、质量保证措施</w:t>
            </w:r>
            <w:r>
              <w:rPr>
                <w:rFonts w:hint="eastAsia" w:ascii="宋体" w:hAnsi="宋体" w:cs="Times New Roman"/>
                <w:b/>
                <w:bCs/>
                <w:color w:val="auto"/>
                <w:sz w:val="24"/>
                <w:szCs w:val="21"/>
                <w:lang w:val="en-US" w:eastAsia="zh-CN"/>
              </w:rPr>
              <w:t xml:space="preserve">方案</w:t>
            </w:r>
            <w:r/>
          </w:p>
          <w:p>
            <w:pPr>
              <w:rPr>
                <w:rFonts w:hint="eastAsia" w:ascii="宋体" w:hAnsi="宋体" w:eastAsia="宋体" w:cs="宋体"/>
                <w:b w:val="0"/>
                <w:bCs w:val="0"/>
                <w:color w:val="auto"/>
                <w:sz w:val="24"/>
                <w:szCs w:val="24"/>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质量</w:t>
            </w:r>
            <w:r>
              <w:rPr>
                <w:rFonts w:hint="default" w:ascii="宋体" w:hAnsi="宋体" w:cs="Times New Roman"/>
                <w:b w:val="0"/>
                <w:bCs w:val="0"/>
                <w:color w:val="auto"/>
                <w:sz w:val="24"/>
                <w:szCs w:val="21"/>
                <w:lang w:val="en-US" w:eastAsia="zh-CN"/>
              </w:rPr>
              <w:t xml:space="preserve">保证措施方案</w:t>
            </w:r>
            <w:r>
              <w:rPr>
                <w:rFonts w:hint="eastAsia" w:ascii="宋体" w:hAnsi="宋体" w:cs="Times New Roman"/>
                <w:b w:val="0"/>
                <w:bCs w:val="0"/>
                <w:color w:val="auto"/>
                <w:sz w:val="24"/>
                <w:szCs w:val="21"/>
                <w:lang w:val="en-US" w:eastAsia="zh-CN"/>
              </w:rPr>
              <w:t xml:space="preserve">，</w:t>
            </w:r>
            <w:r>
              <w:rPr>
                <w:rFonts w:hint="eastAsia" w:ascii="宋体" w:hAnsi="宋体" w:eastAsia="宋体" w:cs="宋体"/>
                <w:b w:val="0"/>
                <w:bCs w:val="0"/>
                <w:color w:val="auto"/>
                <w:sz w:val="24"/>
                <w:szCs w:val="24"/>
                <w:lang w:val="en-US" w:eastAsia="zh-CN"/>
              </w:rPr>
              <w:t xml:space="preserve">提供的内容优于招标文件相关要求的得4分；符合要求的得2分，不符合要求或未提供的得0分。</w:t>
            </w:r>
            <w:r/>
          </w:p>
          <w:p>
            <w:pP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应急保障</w:t>
            </w:r>
            <w:r>
              <w:rPr>
                <w:rFonts w:hint="default" w:ascii="宋体" w:hAnsi="宋体" w:eastAsia="宋体" w:cs="宋体"/>
                <w:b/>
                <w:bCs/>
                <w:color w:val="auto"/>
                <w:sz w:val="24"/>
                <w:szCs w:val="24"/>
                <w:lang w:val="en-US" w:eastAsia="zh-CN"/>
              </w:rPr>
              <w:t xml:space="preserve">措施</w:t>
            </w:r>
            <w:r>
              <w:rPr>
                <w:rFonts w:hint="eastAsia" w:ascii="宋体" w:hAnsi="宋体" w:cs="Times New Roman"/>
                <w:b/>
                <w:bCs/>
                <w:color w:val="auto"/>
                <w:sz w:val="24"/>
                <w:szCs w:val="21"/>
                <w:lang w:val="en-US" w:eastAsia="zh-CN"/>
              </w:rPr>
              <w:t xml:space="preserve">方案</w:t>
            </w:r>
            <w:r/>
          </w:p>
          <w:p>
            <w:pPr>
              <w:numPr>
                <w:ilvl w:val="0"/>
                <w:numId w:val="0"/>
              </w:numPr>
              <w:spacing w:line="240" w:lineRule="auto"/>
              <w:rPr>
                <w:rFonts w:hint="eastAsia" w:ascii="宋体" w:hAnsi="宋体" w:eastAsia="宋体" w:cs="宋体"/>
                <w:b w:val="0"/>
                <w:bCs w:val="0"/>
                <w:color w:val="auto"/>
                <w:sz w:val="24"/>
                <w:szCs w:val="24"/>
                <w:lang w:val="en-US" w:eastAsia="zh-CN"/>
              </w:rPr>
            </w:pPr>
            <w:r>
              <w:rPr>
                <w:rFonts w:hint="default" w:ascii="宋体" w:hAnsi="宋体" w:cs="Times New Roman"/>
                <w:b w:val="0"/>
                <w:bCs w:val="0"/>
                <w:color w:val="auto"/>
                <w:sz w:val="24"/>
                <w:szCs w:val="21"/>
                <w:lang w:val="en-US" w:eastAsia="zh-CN"/>
              </w:rPr>
              <w:t xml:space="preserve">投标人应编制应急保障措施方案</w:t>
            </w:r>
            <w:r>
              <w:rPr>
                <w:rFonts w:hint="eastAsia" w:ascii="宋体" w:hAnsi="宋体" w:cs="Times New Roman"/>
                <w:b w:val="0"/>
                <w:bCs w:val="0"/>
                <w:color w:val="auto"/>
                <w:sz w:val="24"/>
                <w:szCs w:val="21"/>
                <w:lang w:val="en-US" w:eastAsia="zh-CN"/>
              </w:rPr>
              <w:t xml:space="preserve">，</w:t>
            </w:r>
            <w:r>
              <w:rPr>
                <w:rFonts w:hint="eastAsia" w:ascii="宋体" w:hAnsi="宋体" w:eastAsia="宋体" w:cs="宋体"/>
                <w:b w:val="0"/>
                <w:bCs w:val="0"/>
                <w:color w:val="auto"/>
                <w:sz w:val="24"/>
                <w:szCs w:val="24"/>
                <w:lang w:val="en-US" w:eastAsia="zh-CN"/>
              </w:rPr>
              <w:t xml:space="preserve">提供的内容优于招标文件相关要求的得4分；符合要求的得2分，不符合要求或未提供的得0分。</w:t>
            </w:r>
            <w:r/>
          </w:p>
          <w:p>
            <w:pP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、项目培训方案</w:t>
            </w:r>
            <w:r/>
          </w:p>
          <w:p>
            <w:pPr>
              <w:ind w:left="0" w:firstLine="0"/>
              <w:spacing w:line="240" w:lineRule="auto"/>
              <w:rPr>
                <w:rFonts w:hint="eastAsia" w:ascii="宋体" w:hAnsi="宋体" w:cs="宋体"/>
                <w:b w:val="0"/>
                <w:bCs w:val="0"/>
                <w:color w:val="auto"/>
                <w:sz w:val="24"/>
                <w:szCs w:val="24"/>
                <w:highlight w:val="none"/>
                <w:lang w:val="en-US" w:eastAsia="zh-CN"/>
              </w:rPr>
            </w:pPr>
            <w:r>
              <w:rPr>
                <w:rFonts w:hint="default" w:ascii="宋体" w:hAnsi="宋体" w:cs="Times New Roman"/>
                <w:b w:val="0"/>
                <w:bCs w:val="0"/>
                <w:color w:val="auto"/>
                <w:sz w:val="24"/>
                <w:szCs w:val="21"/>
                <w:lang w:val="en-US" w:eastAsia="zh-CN"/>
              </w:rPr>
              <w:t xml:space="preserve">投标人应编制</w:t>
            </w:r>
            <w:r>
              <w:rPr>
                <w:rFonts w:hint="eastAsia" w:ascii="宋体" w:hAnsi="宋体" w:cs="Times New Roman"/>
                <w:b w:val="0"/>
                <w:bCs w:val="0"/>
                <w:color w:val="auto"/>
                <w:sz w:val="24"/>
                <w:szCs w:val="21"/>
                <w:lang w:val="en-US" w:eastAsia="zh-CN"/>
              </w:rPr>
              <w:t xml:space="preserve">项目培训方案，</w:t>
            </w:r>
            <w:r>
              <w:rPr>
                <w:rFonts w:hint="eastAsia" w:ascii="宋体" w:hAnsi="宋体" w:eastAsia="宋体" w:cs="宋体"/>
                <w:b w:val="0"/>
                <w:bCs w:val="0"/>
                <w:color w:val="auto"/>
                <w:sz w:val="24"/>
                <w:szCs w:val="24"/>
                <w:lang w:val="en-US" w:eastAsia="zh-CN"/>
              </w:rPr>
              <w:t xml:space="preserve">提供的内容优于招标文件相关要求的得4分；符合要求的得2分，不符合要求或未提供的得0分。</w:t>
            </w:r>
            <w:r/>
          </w:p>
          <w:p>
            <w:pPr>
              <w:numPr>
                <w:ilvl w:val="0"/>
                <w:numId w:val="0"/>
              </w:numPr>
              <w:spacing w:line="24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6、运行维护服务方案</w:t>
            </w:r>
            <w:r/>
          </w:p>
          <w:p>
            <w:pPr>
              <w:numPr>
                <w:ilvl w:val="0"/>
                <w:numId w:val="0"/>
              </w:numPr>
              <w:spacing w:line="240" w:lineRule="auto"/>
              <w:rPr>
                <w:rFonts w:hint="eastAsia" w:ascii="宋体" w:hAnsi="宋体" w:cs="宋体"/>
                <w:b w:val="0"/>
                <w:bCs w:val="0"/>
                <w:color w:val="0000ff"/>
                <w:sz w:val="24"/>
                <w:szCs w:val="24"/>
                <w:lang w:val="en-US" w:eastAsia="zh-CN"/>
              </w:rPr>
            </w:pPr>
            <w:r>
              <w:rPr>
                <w:rFonts w:hint="eastAsia" w:ascii="宋体" w:hAnsi="宋体" w:cs="宋体"/>
                <w:b w:val="0"/>
                <w:bCs w:val="0"/>
                <w:color w:val="auto"/>
                <w:sz w:val="24"/>
                <w:szCs w:val="24"/>
                <w:lang w:val="en-US" w:eastAsia="zh-CN"/>
              </w:rPr>
              <w:t xml:space="preserve">投标人根据招标文件及要求提供运行维护服务方案，</w:t>
            </w:r>
            <w:r>
              <w:rPr>
                <w:rFonts w:hint="eastAsia" w:ascii="宋体" w:hAnsi="宋体" w:eastAsia="宋体" w:cs="宋体"/>
                <w:b w:val="0"/>
                <w:bCs w:val="0"/>
                <w:color w:val="auto"/>
                <w:sz w:val="24"/>
                <w:szCs w:val="24"/>
                <w:lang w:val="en-US" w:eastAsia="zh-CN"/>
              </w:rPr>
              <w:t xml:space="preserve">提供的内容优于招标文件相关要求的得</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分；符合要求的得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分，不符合要求或未提供的得0分。</w:t>
            </w:r>
            <w:r/>
          </w:p>
        </w:tc>
      </w:tr>
      <w:tr>
        <w:trPr>
          <w:jc w:val="center"/>
          <w:trHeight w:val="583"/>
        </w:trPr>
        <w:tc>
          <w:tcPr>
            <w:tcW w:w="8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项目组实力</w:t>
            </w:r>
            <w:r/>
          </w:p>
          <w:p>
            <w:pPr>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4180" w:type="pct"/>
            <w:vAlign w:val="center"/>
            <w:textDirection w:val="lrTb"/>
            <w:noWrap w:val="false"/>
          </w:tcPr>
          <w:p>
            <w:pPr>
              <w:ind w:left="0" w:firstLine="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为了保证项目实施的质量，本项目的项目经理同一人具有</w:t>
            </w:r>
            <w:r>
              <w:rPr>
                <w:rFonts w:hint="eastAsia" w:ascii="宋体" w:hAnsi="宋体" w:cs="宋体"/>
                <w:b w:val="0"/>
                <w:bCs w:val="0"/>
                <w:color w:val="auto"/>
                <w:sz w:val="24"/>
                <w:szCs w:val="24"/>
                <w:lang w:val="en-US" w:eastAsia="zh-CN"/>
              </w:rPr>
              <w:t xml:space="preserve">中国网络安全审查认证和市场监管大数据中心</w:t>
            </w:r>
            <w:r>
              <w:rPr>
                <w:rFonts w:hint="eastAsia" w:ascii="宋体" w:hAnsi="宋体" w:eastAsia="宋体" w:cs="宋体"/>
                <w:b w:val="0"/>
                <w:bCs w:val="0"/>
                <w:color w:val="auto"/>
                <w:sz w:val="24"/>
                <w:szCs w:val="24"/>
                <w:lang w:val="en-US" w:eastAsia="zh-CN"/>
              </w:rPr>
              <w:t xml:space="preserve">颁发的CISAW信息安全保障人员认证证书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工业和信息化部教育与考试中心颁发的信息技术应用创新考试评价证书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系统架构师</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提供1个证书得1分，提供2个证书得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分，否则不得分。</w:t>
            </w:r>
            <w:r/>
          </w:p>
          <w:p>
            <w:pPr>
              <w:ind w:left="0" w:firstLine="0"/>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（提供近</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个月内任意</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个月为其缴纳社保的证明及资质相关证书。以上资料均要求提供原件扫描件。评分中出现无证明资料或专家无法凭所提供资料判断是否得分的情况，一律作不得分处理。）</w:t>
            </w:r>
            <w:r/>
          </w:p>
        </w:tc>
      </w:tr>
      <w:tr>
        <w:trPr>
          <w:jc w:val="center"/>
          <w:trHeight w:val="583"/>
        </w:trPr>
        <w:tc>
          <w:tcPr>
            <w:tcW w:w="819" w:type="pct"/>
            <w:vAlign w:val="center"/>
            <w:textDirection w:val="lrTb"/>
            <w:noWrap w:val="false"/>
          </w:tcPr>
          <w:p>
            <w:pPr>
              <w:jc w:val="center"/>
              <w:spacing w:line="24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驻场人员</w:t>
            </w:r>
            <w:r/>
          </w:p>
          <w:p>
            <w:pPr>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(2分)</w:t>
            </w:r>
            <w:r/>
          </w:p>
        </w:tc>
        <w:tc>
          <w:tcPr>
            <w:tcW w:w="4180" w:type="pct"/>
            <w:vAlign w:val="center"/>
            <w:textDirection w:val="lrTb"/>
            <w:noWrap w:val="false"/>
          </w:tcPr>
          <w:p>
            <w:pPr>
              <w:ind w:left="0" w:firstLine="0"/>
              <w:spacing w:line="240" w:lineRule="auto"/>
              <w:rPr>
                <w:rFonts w:hint="default" w:ascii="宋体" w:hAnsi="宋体" w:eastAsia="宋体" w:cs="宋体"/>
                <w:b/>
                <w:bCs/>
                <w:color w:val="auto"/>
                <w:sz w:val="24"/>
                <w:szCs w:val="24"/>
                <w:lang w:val="en-US" w:eastAsia="zh-CN"/>
              </w:rPr>
            </w:pPr>
            <w:r>
              <w:rPr>
                <w:rFonts w:hint="eastAsia" w:ascii="宋体" w:hAnsi="宋体" w:cs="宋体"/>
                <w:b w:val="0"/>
                <w:bCs w:val="0"/>
                <w:color w:val="auto"/>
                <w:sz w:val="24"/>
                <w:szCs w:val="24"/>
                <w:lang w:val="en-US" w:eastAsia="zh-CN"/>
              </w:rPr>
              <w:t xml:space="preserve">投标人承诺派驻专职软件开发人员提供项目现场驻场服务，驻场服务周期自项目实施启动至项目竣工验收合格为止。提供一名得1分，满分2分。</w:t>
            </w:r>
            <w:r>
              <w:rPr>
                <w:rFonts w:hint="eastAsia" w:ascii="宋体" w:hAnsi="宋体" w:cs="宋体"/>
                <w:b/>
                <w:bCs/>
                <w:color w:val="auto"/>
                <w:sz w:val="24"/>
                <w:szCs w:val="24"/>
                <w:lang w:val="en-US" w:eastAsia="zh-CN"/>
              </w:rPr>
              <w:t xml:space="preserve">（提供驻场承诺函和驻场服务人员明细清单）</w:t>
            </w:r>
            <w:r/>
          </w:p>
        </w:tc>
      </w:tr>
      <w:tr>
        <w:trPr>
          <w:jc w:val="center"/>
          <w:trHeight w:val="583"/>
        </w:trPr>
        <w:tc>
          <w:tcPr>
            <w:tcW w:w="819" w:type="pct"/>
            <w:vAlign w:val="center"/>
            <w:textDirection w:val="lrTb"/>
            <w:noWrap w:val="false"/>
          </w:tcPr>
          <w:p>
            <w:pPr>
              <w:jc w:val="center"/>
              <w:spacing w:line="24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类似业绩</w:t>
            </w:r>
            <w:r/>
          </w:p>
          <w:p>
            <w:pPr>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（12分）</w:t>
            </w:r>
            <w:r/>
          </w:p>
        </w:tc>
        <w:tc>
          <w:tcPr>
            <w:tcW w:w="4180" w:type="pct"/>
            <w:vAlign w:val="center"/>
            <w:textDirection w:val="lrTb"/>
            <w:noWrap w:val="false"/>
          </w:tcPr>
          <w:p>
            <w:pPr>
              <w:ind w:left="0" w:firstLine="0"/>
              <w:spacing w:line="240" w:lineRule="auto"/>
              <w:rPr>
                <w:rFonts w:hint="eastAsia" w:ascii="宋体" w:hAnsi="宋体" w:cs="宋体"/>
                <w:b w:val="0"/>
                <w:bCs w:val="0"/>
                <w:color w:val="auto"/>
                <w:sz w:val="24"/>
                <w:szCs w:val="24"/>
                <w:lang w:val="en-US" w:eastAsia="zh-CN"/>
              </w:rPr>
            </w:pPr>
            <w:r>
              <w:rPr>
                <w:rFonts w:hint="eastAsia" w:ascii="宋体" w:hAnsi="宋体" w:eastAsia="宋体" w:cs="宋体"/>
                <w:color w:val="auto"/>
                <w:sz w:val="24"/>
                <w:szCs w:val="24"/>
                <w:highlight w:val="none"/>
              </w:rPr>
              <w:t xml:space="preserve">投标人具有202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年1月1日以来（以合同签订日期为准）承担过的类似项目业绩，每提供一个得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（提供合同复印件加盖投标人公章）</w:t>
            </w:r>
            <w:r/>
          </w:p>
        </w:tc>
      </w:tr>
      <w:tr>
        <w:trPr>
          <w:jc w:val="center"/>
          <w:trHeight w:val="583"/>
        </w:trPr>
        <w:tc>
          <w:tcPr>
            <w:tcW w:w="8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系统演示</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分）</w:t>
            </w:r>
            <w:r/>
          </w:p>
        </w:tc>
        <w:tc>
          <w:tcPr>
            <w:tcW w:w="4180" w:type="pct"/>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需按照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系统演示必须采用视频录像，且操作流畅并配音介绍，采用 PPT、Demo 等方式代替的，该部分得 0 分，演示所用到的电脑等相关设备自备。</w:t>
            </w:r>
            <w:r/>
          </w:p>
          <w:p>
            <w:pPr>
              <w:ind w:left="0" w:firstLine="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演示</w:t>
            </w:r>
            <w:r>
              <w:rPr>
                <w:rFonts w:hint="eastAsia" w:ascii="宋体" w:hAnsi="宋体" w:eastAsia="宋体" w:cs="宋体"/>
                <w:b/>
                <w:bCs/>
                <w:color w:val="auto"/>
                <w:sz w:val="24"/>
                <w:szCs w:val="24"/>
                <w:lang w:val="en-US" w:eastAsia="zh-CN"/>
              </w:rPr>
              <w:t xml:space="preserve">盗窃案件分析智能体</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包</w:t>
            </w:r>
            <w:r>
              <w:rPr>
                <w:rFonts w:hint="eastAsia" w:ascii="宋体" w:hAnsi="宋体" w:eastAsia="宋体" w:cs="宋体"/>
                <w:b w:val="0"/>
                <w:bCs w:val="0"/>
                <w:color w:val="auto"/>
                <w:sz w:val="24"/>
                <w:szCs w:val="24"/>
                <w:lang w:val="en-US" w:eastAsia="zh-CN"/>
              </w:rPr>
              <w:t xml:space="preserve">含信息自动提取：系统应能够对海量原始警情文本进行自动化解析，精准抓取盗窃类警情的三大核心要素：</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案件发生时间：包括具体日期、时段（如凌晨、上午、夜间等）；</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案发地点：细化至路面，住宅和商铺等层级；</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失窃物品明细：包括物品类型、数量、价值等信息。</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结构化输出：支持将提取结果以结构化形式（如表格）输出，便于后续分析、存储与展示；</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5</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智能问答与数据归集：支持以自然语言方式进行智能问数与取数，替代人工数据汇总；</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6</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提供警情数据自动归集、分类统计与总结分析功能，提升研判效率。每个功能满足得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分，不满足不得分，满分</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分。</w:t>
            </w:r>
            <w:r/>
          </w:p>
          <w:p>
            <w:pPr>
              <w:ind w:left="0" w:firstLine="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eastAsia="zh-CN"/>
              </w:rPr>
              <w:t xml:space="preserve">2、演示AI交通类警情分析报告智能体，</w:t>
            </w:r>
            <w:r>
              <w:rPr>
                <w:rFonts w:hint="eastAsia" w:ascii="宋体" w:hAnsi="宋体" w:eastAsia="宋体" w:cs="宋体"/>
                <w:b w:val="0"/>
                <w:bCs w:val="0"/>
                <w:color w:val="auto"/>
                <w:sz w:val="24"/>
                <w:szCs w:val="24"/>
                <w:lang w:eastAsia="zh-CN"/>
              </w:rPr>
              <w:t xml:space="preserve">包含多维度研判分析能力，系统应能对交通类警情数据进行自动化、多维度分析，至少包括以下维度：</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时间维度：早高峰、晚高峰、平峰、夜间等时段分布；</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数量维度：单日、单周、月度、年度总量及同比、环比分析；</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地点维度：具体路口、路段、区域分布；</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标准化报告自动生成：支持自动生成格式统一、内容完整的分析报告；</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5</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报告内容至少包括，数据统计、规律总结、隐患提示、工作建议等模块；</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6</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报告支持导出为Word、PDF等常用格式，适配工作汇报、台账留存、专项研判等场景。每个功能满足得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分，不满足不得分，满分</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分。</w:t>
            </w:r>
            <w:r/>
          </w:p>
          <w:p>
            <w:pPr>
              <w:ind w:left="0" w:firstLine="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演示</w:t>
            </w:r>
            <w:r>
              <w:rPr>
                <w:rFonts w:hint="eastAsia" w:ascii="宋体" w:hAnsi="宋体" w:eastAsia="宋体" w:cs="宋体"/>
                <w:b/>
                <w:bCs/>
                <w:color w:val="auto"/>
                <w:sz w:val="24"/>
                <w:szCs w:val="24"/>
                <w:lang w:val="en-US" w:eastAsia="zh-CN"/>
              </w:rPr>
              <w:t xml:space="preserve">全警种知识库问答智能体</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包含</w:t>
            </w:r>
            <w:r>
              <w:rPr>
                <w:rFonts w:hint="eastAsia" w:ascii="宋体" w:hAnsi="宋体" w:eastAsia="宋体" w:cs="宋体"/>
                <w:b w:val="0"/>
                <w:bCs w:val="0"/>
                <w:color w:val="auto"/>
                <w:sz w:val="24"/>
                <w:szCs w:val="24"/>
                <w:lang w:val="en-US" w:eastAsia="zh-CN"/>
              </w:rPr>
              <w:t xml:space="preserve">全</w:t>
            </w:r>
            <w:r>
              <w:rPr>
                <w:rFonts w:hint="eastAsia" w:ascii="宋体" w:hAnsi="宋体" w:eastAsia="宋体" w:cs="宋体"/>
                <w:b w:val="0"/>
                <w:bCs w:val="0"/>
                <w:color w:val="auto"/>
                <w:sz w:val="24"/>
                <w:szCs w:val="24"/>
                <w:lang w:eastAsia="zh-CN"/>
              </w:rPr>
              <w:t xml:space="preserve">警种知识覆盖：</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集成涵盖刑事侦查、治安管理、交通法规、执法细则、户籍政策、出入境条例等各警种核心业务知识库，确保知识获取的全面性与权威性。</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面向社区民警走访入户场景，精准识别群众诉求核心，实时检索海量警务知识库，生成简明适用的工作指引与常规管理机制，</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同时自动标注答案出处（如具体法条、文件名称及条款），方便民警溯源核实。每个功能满足得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分，不满足不得分，满分</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分。</w:t>
            </w:r>
            <w:r/>
          </w:p>
          <w:p>
            <w:pPr>
              <w:ind w:left="0" w:firstLine="0"/>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lang w:eastAsia="zh-CN"/>
              </w:rPr>
              <w:t xml:space="preserve">演示</w:t>
            </w:r>
            <w:r>
              <w:rPr>
                <w:rFonts w:hint="eastAsia" w:ascii="宋体" w:hAnsi="宋体" w:eastAsia="宋体" w:cs="宋体"/>
                <w:b/>
                <w:bCs/>
                <w:color w:val="auto"/>
                <w:sz w:val="24"/>
                <w:szCs w:val="24"/>
                <w:lang w:val="en-US" w:eastAsia="zh-CN"/>
              </w:rPr>
              <w:t xml:space="preserve">接线员培训出题工具智能体，</w:t>
            </w:r>
            <w:r>
              <w:rPr>
                <w:rFonts w:hint="eastAsia" w:ascii="宋体" w:hAnsi="宋体" w:eastAsia="宋体" w:cs="宋体"/>
                <w:b w:val="0"/>
                <w:bCs w:val="0"/>
                <w:color w:val="auto"/>
                <w:sz w:val="24"/>
                <w:szCs w:val="24"/>
                <w:lang w:eastAsia="zh-CN"/>
              </w:rPr>
              <w:t xml:space="preserve">包含</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动态知识驱动出题：智能体实时关联并解析最新的业务培训文档与知识库更新。</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当业务规则或话术调整后，无需人工干预，系统即可基于新内容即时生成相关考题，确保考核内容与一线实战要求高度一致。</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交互式智能组卷：只需跟智能工具对话说明想要的题型，业务的类型以及题量，系统即可在数秒内完成从知识点抽取、题干编写、干扰项设计到答案校对的全流程。</w:t>
            </w:r>
            <w:r>
              <w:rPr>
                <w:rFonts w:hint="eastAsia" w:ascii="宋体" w:hAnsi="宋体" w:eastAsia="宋体" w:cs="宋体"/>
                <w:b w:val="0"/>
                <w:bCs w:val="0"/>
                <w:color w:val="auto"/>
                <w:sz w:val="24"/>
                <w:szCs w:val="24"/>
                <w:lang w:eastAsia="zh-CN"/>
              </w:rPr>
              <w:t xml:space="preserve">每个功能满足得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分，不满足不得分，满分</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分。</w:t>
            </w:r>
            <w:r/>
          </w:p>
          <w:p>
            <w:pPr>
              <w:ind w:left="0" w:firstLine="0"/>
              <w:spacing w:line="240" w:lineRule="auto"/>
              <w:rPr>
                <w:rFonts w:hint="eastAsia" w:ascii="宋体" w:hAnsi="宋体" w:cs="宋体"/>
                <w:b/>
                <w:bCs/>
                <w:color w:val="auto"/>
                <w:sz w:val="24"/>
                <w:szCs w:val="24"/>
                <w:lang w:eastAsia="zh-CN"/>
              </w:rPr>
            </w:pPr>
            <w:r>
              <w:rPr>
                <w:rFonts w:hint="eastAsia" w:ascii="宋体" w:hAnsi="宋体" w:eastAsia="宋体" w:cs="宋体"/>
                <w:b/>
                <w:bCs/>
                <w:color w:val="auto"/>
                <w:sz w:val="24"/>
                <w:szCs w:val="24"/>
                <w:lang w:val="en-US" w:eastAsia="zh-CN"/>
              </w:rPr>
              <w:t xml:space="preserve">5、演示处警预案流程思维导图绘制工具，</w:t>
            </w:r>
            <w:r>
              <w:rPr>
                <w:rFonts w:hint="eastAsia" w:ascii="宋体" w:hAnsi="宋体" w:eastAsia="宋体" w:cs="宋体"/>
                <w:b w:val="0"/>
                <w:bCs w:val="0"/>
                <w:color w:val="auto"/>
                <w:sz w:val="24"/>
                <w:szCs w:val="24"/>
                <w:lang w:eastAsia="zh-CN"/>
              </w:rPr>
              <w:t xml:space="preserve">包含</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预案文本一键结构化：支持导入Word、PDF等格式的警情预案文件，智能体能够自动拆解长文本，精准识别“接警—研判—指令下达—现场处置—反馈—善后”等全链条环节，自动梳理出标准化的处置流程架构。</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无需人工逐字梳理，即可将大段文字转化为可视化的节点网络，大幅降低预案数字化门槛。</w:t>
            </w:r>
            <w:r>
              <w:rPr>
                <w:rFonts w:hint="eastAsia" w:ascii="宋体" w:hAnsi="宋体" w:eastAsia="宋体" w:cs="宋体"/>
                <w:b w:val="0"/>
                <w:bCs w:val="0"/>
                <w:color w:val="auto"/>
                <w:sz w:val="24"/>
                <w:szCs w:val="24"/>
                <w:lang w:eastAsia="zh-CN"/>
              </w:rPr>
              <w:t xml:space="preserve">每个功能满足得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分，不满足不得分，满分</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分。</w:t>
            </w:r>
            <w:r/>
          </w:p>
        </w:tc>
      </w:tr>
      <w:tr>
        <w:trPr>
          <w:jc w:val="center"/>
          <w:trHeight w:val="525"/>
        </w:trPr>
        <w:tc>
          <w:tcPr>
            <w:tcW w:w="8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1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100分</w:t>
            </w:r>
            <w:r/>
          </w:p>
        </w:tc>
      </w:tr>
    </w:tbl>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47"/>
      <w:r/>
      <w:bookmarkEnd w:id="148"/>
      <w:r/>
      <w:bookmarkEnd w:id="149"/>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50" w:name="_Hlt26955039"/>
      <w:r/>
      <w:bookmarkEnd w:id="150"/>
      <w:r/>
      <w:bookmarkStart w:id="151" w:name="_Hlt26671244"/>
      <w:r/>
      <w:bookmarkEnd w:id="151"/>
      <w:r/>
      <w:bookmarkStart w:id="152" w:name="_Toc49090576"/>
      <w:r/>
      <w:bookmarkStart w:id="153" w:name="_Toc26554094"/>
      <w:r/>
      <w:bookmarkStart w:id="154"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bookmarkEnd w:id="11"/>
      <w:r/>
      <w:bookmarkEnd w:id="12"/>
      <w:r/>
      <w:bookmarkEnd w:id="152"/>
      <w:r/>
      <w:bookmarkEnd w:id="153"/>
      <w:r/>
      <w:bookmarkEnd w:id="154"/>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24"/>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724"/>
        <w:ind w:firstLine="468"/>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w:t>
      </w:r>
      <w:r>
        <w:rPr>
          <w:rFonts w:hint="eastAsia" w:ascii="宋体" w:hAnsi="宋体" w:eastAsia="宋体" w:cs="Times New Roman"/>
          <w:sz w:val="24"/>
          <w:szCs w:val="21"/>
          <w:highlight w:val="none"/>
          <w:lang w:val="en-US" w:eastAsia="zh-CN" w:bidi="ar-SA"/>
        </w:rPr>
        <w:t xml:space="preserve">14</w:t>
      </w:r>
      <w:r>
        <w:rPr>
          <w:rFonts w:hint="eastAsia" w:ascii="宋体" w:hAnsi="宋体" w:eastAsia="宋体" w:cs="Times New Roman"/>
          <w:sz w:val="24"/>
          <w:szCs w:val="21"/>
          <w:lang w:val="en-US" w:eastAsia="zh-CN" w:bidi="ar-SA"/>
        </w:rPr>
        <w:t xml:space="preserve">）。</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15</w:t>
      </w:r>
      <w:r>
        <w:rPr>
          <w:rFonts w:hint="eastAsia" w:ascii="宋体" w:hAnsi="宋体"/>
          <w:color w:val="auto"/>
          <w:sz w:val="24"/>
          <w:szCs w:val="21"/>
          <w:lang w:val="en-US" w:eastAsia="zh-CN"/>
        </w:rPr>
        <w:t xml:space="preserve">）</w:t>
      </w:r>
      <w:r/>
    </w:p>
    <w:p>
      <w:pPr>
        <w:ind w:firstLine="482"/>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jc w:val="left"/>
        <w:rPr>
          <w:rFonts w:hint="eastAsia" w:ascii="宋体" w:hAnsi="宋体"/>
          <w:b/>
          <w:sz w:val="24"/>
          <w:szCs w:val="24"/>
        </w:rPr>
      </w:pPr>
      <w:r>
        <w:rPr>
          <w:rFonts w:hint="eastAsia" w:ascii="宋体" w:hAnsi="宋体"/>
          <w:b/>
          <w:sz w:val="24"/>
          <w:szCs w:val="24"/>
        </w:rPr>
      </w:r>
      <w:r/>
    </w:p>
    <w:p>
      <w:pPr>
        <w:jc w:val="left"/>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68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bl>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68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2136"/>
        <w:gridCol w:w="1265"/>
        <w:gridCol w:w="1265"/>
        <w:gridCol w:w="1576"/>
        <w:gridCol w:w="1590"/>
      </w:tblGrid>
      <w:tr>
        <w:trPr>
          <w:trHeight w:val="315"/>
        </w:trPr>
        <w:tc>
          <w:tcPr>
            <w:gridSpan w:val="6"/>
            <w:shd w:val="clear" w:color="auto" w:fill="auto"/>
            <w:tcW w:w="50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算力设备服务</w:t>
            </w:r>
            <w:r/>
          </w:p>
        </w:tc>
      </w:tr>
      <w:tr>
        <w:trPr>
          <w:trHeight w:val="30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25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74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74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9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W w:w="9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总价（元）</w:t>
            </w:r>
            <w:r/>
          </w:p>
        </w:tc>
      </w:tr>
      <w:tr>
        <w:trPr>
          <w:trHeight w:val="30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25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AI算力服务</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25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算力管理平台服务</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gridSpan w:val="6"/>
            <w:shd w:val="clear" w:color="auto" w:fill="auto"/>
            <w:tcW w:w="50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智能体软件搭建服务</w:t>
            </w:r>
            <w:r/>
          </w:p>
        </w:tc>
      </w:tr>
      <w:tr>
        <w:trPr>
          <w:trHeight w:val="30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25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模块</w:t>
            </w:r>
            <w:r/>
          </w:p>
        </w:tc>
        <w:tc>
          <w:tcPr>
            <w:shd w:val="clear" w:color="auto" w:fill="auto"/>
            <w:tcW w:w="74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74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9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W w:w="9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总价（元）</w:t>
            </w:r>
            <w:r/>
          </w:p>
        </w:tc>
      </w:tr>
      <w:tr>
        <w:trPr>
          <w:trHeight w:val="30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W w:w="12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盗窃案件分析智能体</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W w:w="12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交通类警情分析报告智能体</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W w:w="12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全警种知识库问答智能体</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W w:w="12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接线员培训出题工具智能体</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5"/>
        </w:trPr>
        <w:tc>
          <w:tcPr>
            <w:shd w:val="clear" w:color="auto" w:fill="auto"/>
            <w:tcW w:w="4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W w:w="12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处警预案流程思维导图绘制工具</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92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5"/>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投标总报价（人民币：元）</w:t>
            </w:r>
            <w:r/>
          </w:p>
        </w:tc>
      </w:tr>
      <w:tr>
        <w:trPr>
          <w:trHeight w:val="585"/>
        </w:trPr>
        <w:tc>
          <w:tcPr>
            <w:gridSpan w:val="6"/>
            <w:shd w:val="clear" w:color="auto" w:fill="auto"/>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pStyle w:val="720"/>
        <w:jc w:val="both"/>
        <w:keepLines w:val="0"/>
        <w:keepNext w:val="0"/>
        <w:pageBreakBefore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20"/>
        <w:jc w:val="both"/>
        <w:keepLines w:val="0"/>
        <w:keepNext w:val="0"/>
        <w:pageBreakBefore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none"/>
          <w:lang w:val="en-US" w:eastAsia="zh-CN"/>
        </w:rPr>
        <w:t xml:space="preserve">投标总报价”数额为各“分项总价”之和。</w:t>
      </w:r>
      <w:r/>
    </w:p>
    <w:p>
      <w:pPr>
        <w:pStyle w:val="7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3.分项服务不需填写品牌、规格型号、制造商、产地。</w:t>
      </w:r>
      <w:r/>
    </w:p>
    <w:p>
      <w:pPr>
        <w:spacing w:line="400" w:lineRule="exact"/>
        <w:rPr>
          <w:rFonts w:ascii="宋体" w:hAnsi="宋体"/>
          <w:sz w:val="24"/>
          <w:highlight w:val="none"/>
        </w:rPr>
      </w:pPr>
      <w:r>
        <w:rPr>
          <w:rFonts w:hint="eastAsia" w:ascii="宋体" w:hAnsi="宋体" w:eastAsia="宋体" w:cs="宋体"/>
          <w:color w:val="ff0000"/>
          <w:sz w:val="24"/>
          <w:szCs w:val="24"/>
          <w:highlight w:val="none"/>
          <w:lang w:val="en-US" w:eastAsia="zh-CN"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724"/>
        <w:rPr>
          <w:rFonts w:ascii="宋体" w:hAnsi="宋体"/>
          <w:b/>
          <w:color w:val="ff0000"/>
          <w:sz w:val="24"/>
          <w:szCs w:val="24"/>
        </w:rPr>
      </w:pPr>
      <w:r>
        <w:rPr>
          <w:rFonts w:ascii="宋体" w:hAnsi="宋体"/>
          <w:b/>
          <w:color w:val="ff0000"/>
          <w:sz w:val="24"/>
          <w:szCs w:val="24"/>
        </w:rPr>
      </w:r>
      <w:r/>
    </w:p>
    <w:p>
      <w:pPr>
        <w:pStyle w:val="724"/>
        <w:rPr>
          <w:rFonts w:ascii="宋体" w:hAnsi="宋体"/>
          <w:b/>
          <w:color w:val="ff0000"/>
          <w:sz w:val="24"/>
          <w:szCs w:val="24"/>
        </w:rPr>
      </w:pPr>
      <w:r>
        <w:rPr>
          <w:rFonts w:ascii="宋体" w:hAnsi="宋体"/>
          <w:b/>
          <w:color w:val="ff0000"/>
          <w:sz w:val="24"/>
          <w:szCs w:val="24"/>
        </w:rPr>
      </w:r>
      <w:r/>
    </w:p>
    <w:p>
      <w:pPr>
        <w:pStyle w:val="724"/>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24"/>
        <w:rPr>
          <w:rFonts w:hint="eastAsia" w:ascii="宋体" w:hAnsi="宋体"/>
          <w:sz w:val="24"/>
          <w:szCs w:val="24"/>
        </w:rPr>
      </w:pPr>
      <w:r>
        <w:rPr>
          <w:rFonts w:hint="eastAsia" w:ascii="宋体" w:hAnsi="宋体"/>
          <w:sz w:val="24"/>
          <w:szCs w:val="24"/>
        </w:rPr>
      </w:r>
      <w:r/>
    </w:p>
    <w:p>
      <w:pPr>
        <w:pStyle w:val="724"/>
        <w:rPr>
          <w:rFonts w:hint="eastAsia" w:ascii="宋体" w:hAnsi="宋体"/>
          <w:sz w:val="24"/>
          <w:szCs w:val="24"/>
        </w:rPr>
      </w:pPr>
      <w:r>
        <w:rPr>
          <w:rFonts w:hint="eastAsia" w:ascii="宋体" w:hAnsi="宋体"/>
          <w:sz w:val="24"/>
          <w:szCs w:val="24"/>
        </w:rPr>
      </w:r>
      <w:r/>
    </w:p>
    <w:p>
      <w:pPr>
        <w:pStyle w:val="724"/>
        <w:rPr>
          <w:rFonts w:hint="eastAsia" w:ascii="宋体" w:hAnsi="宋体"/>
          <w:sz w:val="24"/>
          <w:szCs w:val="24"/>
        </w:rPr>
      </w:pPr>
      <w:r>
        <w:rPr>
          <w:rFonts w:hint="eastAsia" w:ascii="宋体" w:hAnsi="宋体"/>
          <w:sz w:val="24"/>
          <w:szCs w:val="24"/>
        </w:rPr>
      </w:r>
      <w:r/>
    </w:p>
    <w:p>
      <w:pPr>
        <w:pStyle w:val="724"/>
        <w:rPr>
          <w:rFonts w:hint="eastAsia" w:ascii="宋体" w:hAnsi="宋体"/>
          <w:sz w:val="24"/>
          <w:szCs w:val="24"/>
        </w:rPr>
      </w:pPr>
      <w:r>
        <w:rPr>
          <w:rFonts w:hint="eastAsia" w:ascii="宋体" w:hAnsi="宋体"/>
          <w:sz w:val="24"/>
          <w:szCs w:val="24"/>
        </w:rPr>
      </w:r>
      <w:r/>
    </w:p>
    <w:p>
      <w:pPr>
        <w:pStyle w:val="724"/>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24"/>
        <w:rPr>
          <w:rFonts w:hint="eastAsia" w:ascii="宋体" w:hAnsi="宋体"/>
          <w:b/>
          <w:sz w:val="24"/>
          <w:szCs w:val="21"/>
        </w:rPr>
      </w:pPr>
      <w:r>
        <w:rPr>
          <w:rFonts w:hint="eastAsia" w:ascii="宋体" w:hAnsi="宋体"/>
          <w:b/>
          <w:sz w:val="24"/>
          <w:szCs w:val="21"/>
        </w:rPr>
      </w:r>
      <w:r/>
    </w:p>
    <w:p>
      <w:pPr>
        <w:pStyle w:val="724"/>
        <w:rPr>
          <w:rFonts w:hint="eastAsia" w:ascii="宋体" w:hAnsi="宋体"/>
          <w:b/>
          <w:sz w:val="24"/>
          <w:szCs w:val="21"/>
        </w:rPr>
      </w:pPr>
      <w:r>
        <w:rPr>
          <w:rFonts w:hint="eastAsia" w:ascii="宋体" w:hAnsi="宋体"/>
          <w:b/>
          <w:sz w:val="24"/>
          <w:szCs w:val="21"/>
        </w:rPr>
      </w:r>
      <w:r/>
    </w:p>
    <w:p>
      <w:pPr>
        <w:pStyle w:val="724"/>
        <w:rPr>
          <w:rFonts w:hint="eastAsia" w:ascii="宋体" w:hAnsi="宋体"/>
          <w:b/>
          <w:sz w:val="24"/>
          <w:szCs w:val="21"/>
        </w:rPr>
      </w:pPr>
      <w:r>
        <w:rPr>
          <w:rFonts w:hint="eastAsia" w:ascii="宋体" w:hAnsi="宋体"/>
          <w:b/>
          <w:sz w:val="24"/>
          <w:szCs w:val="21"/>
        </w:rPr>
      </w:r>
      <w:r/>
    </w:p>
    <w:p>
      <w:pPr>
        <w:pStyle w:val="724"/>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24"/>
        <w:rPr>
          <w:rFonts w:ascii="宋体" w:hAnsi="宋体"/>
          <w:b/>
          <w:color w:val="000000"/>
          <w:sz w:val="24"/>
          <w:szCs w:val="21"/>
        </w:rPr>
      </w:pPr>
      <w:r>
        <w:rPr>
          <w:rFonts w:ascii="宋体" w:hAnsi="宋体"/>
          <w:b/>
          <w:color w:val="000000"/>
          <w:sz w:val="24"/>
          <w:szCs w:val="21"/>
        </w:rPr>
      </w:r>
      <w:r/>
    </w:p>
    <w:p>
      <w:pPr>
        <w:pStyle w:val="724"/>
        <w:rPr>
          <w:rFonts w:ascii="宋体" w:hAnsi="宋体"/>
          <w:b/>
          <w:color w:val="000000"/>
          <w:sz w:val="24"/>
          <w:szCs w:val="21"/>
        </w:rPr>
      </w:pPr>
      <w:r>
        <w:rPr>
          <w:rFonts w:ascii="宋体" w:hAnsi="宋体"/>
          <w:b/>
          <w:color w:val="000000"/>
          <w:sz w:val="24"/>
          <w:szCs w:val="21"/>
        </w:rPr>
      </w:r>
      <w:r/>
    </w:p>
    <w:p>
      <w:pPr>
        <w:pStyle w:val="724"/>
        <w:rPr>
          <w:rFonts w:ascii="宋体" w:hAnsi="宋体"/>
          <w:b/>
          <w:color w:val="000000"/>
          <w:sz w:val="24"/>
          <w:szCs w:val="21"/>
        </w:rPr>
      </w:pPr>
      <w:r>
        <w:rPr>
          <w:rFonts w:ascii="宋体" w:hAnsi="宋体"/>
          <w:b/>
          <w:color w:val="000000"/>
          <w:sz w:val="24"/>
          <w:szCs w:val="21"/>
        </w:rPr>
      </w:r>
      <w:r/>
    </w:p>
    <w:p>
      <w:pPr>
        <w:pStyle w:val="724"/>
        <w:rPr>
          <w:rFonts w:ascii="宋体" w:hAnsi="宋体"/>
          <w:b/>
          <w:color w:val="000000"/>
          <w:sz w:val="24"/>
          <w:szCs w:val="21"/>
        </w:rPr>
      </w:pPr>
      <w:r>
        <w:rPr>
          <w:rFonts w:ascii="宋体" w:hAnsi="宋体"/>
          <w:b/>
          <w:color w:val="000000"/>
          <w:sz w:val="24"/>
          <w:szCs w:val="21"/>
        </w:rPr>
      </w:r>
      <w:r/>
    </w:p>
    <w:p>
      <w:pPr>
        <w:pStyle w:val="724"/>
        <w:rPr>
          <w:rFonts w:ascii="宋体" w:hAnsi="宋体"/>
          <w:b/>
          <w:color w:val="000000"/>
          <w:sz w:val="24"/>
          <w:szCs w:val="21"/>
        </w:rPr>
      </w:pPr>
      <w:r>
        <w:rPr>
          <w:rFonts w:ascii="宋体" w:hAnsi="宋体"/>
          <w:b/>
          <w:color w:val="000000"/>
          <w:sz w:val="24"/>
          <w:szCs w:val="21"/>
        </w:rPr>
      </w:r>
      <w:r/>
    </w:p>
    <w:p>
      <w:pPr>
        <w:pStyle w:val="724"/>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24"/>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68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24"/>
        <w:rPr>
          <w:rFonts w:ascii="宋体" w:hAnsi="宋体"/>
          <w:b/>
          <w:color w:val="000000"/>
          <w:sz w:val="24"/>
          <w:szCs w:val="21"/>
        </w:rPr>
      </w:pPr>
      <w:r>
        <w:rPr>
          <w:rFonts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rPr>
          <w:rFonts w:hint="eastAsia" w:ascii="宋体" w:hAnsi="宋体"/>
          <w:b/>
          <w:color w:val="000000"/>
          <w:sz w:val="24"/>
          <w:szCs w:val="21"/>
        </w:rPr>
      </w:pPr>
      <w:r>
        <w:rPr>
          <w:rFonts w:hint="eastAsia" w:ascii="宋体" w:hAnsi="宋体"/>
          <w:b/>
          <w:color w:val="000000"/>
          <w:sz w:val="24"/>
          <w:szCs w:val="21"/>
        </w:rPr>
      </w:r>
      <w:r/>
    </w:p>
    <w:p>
      <w:pPr>
        <w:pStyle w:val="724"/>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4"/>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20"/>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0"/>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0"/>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20"/>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20"/>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0"/>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20"/>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8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72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3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3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2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3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3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2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2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20"/>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lang w:val="en-US" w:eastAsia="zh-CN"/>
        </w:rPr>
        <w:t xml:space="preserve">14</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lang w:val="en-US" w:eastAsia="zh-C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96"/>
        <w:jc w:val="both"/>
        <w:rPr>
          <w:rFonts w:hint="eastAsia" w:ascii="宋体" w:hAnsi="宋体" w:eastAsia="宋体" w:cs="宋体"/>
          <w:b/>
          <w:bCs/>
          <w:spacing w:val="-20"/>
          <w:sz w:val="32"/>
          <w:szCs w:val="32"/>
        </w:rPr>
      </w:pPr>
      <w:r/>
      <w:bookmarkStart w:id="155" w:name="_GoBack"/>
      <w:r/>
      <w:bookmarkEnd w:id="155"/>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1812" cy="1314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118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7pt;height:10.3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3"/>
      <w:isLgl w:val="false"/>
      <w:suff w:val="nothing"/>
      <w:lvlText w:val=""/>
      <w:lvlJc w:val="left"/>
      <w:pPr>
        <w:ind w:left="0" w:firstLine="0"/>
      </w:pPr>
      <w:rPr>
        <w:rFonts w:hint="eastAsia"/>
      </w:rPr>
    </w:lvl>
    <w:lvl w:ilvl="6">
      <w:start w:val="1"/>
      <w:numFmt w:val="none"/>
      <w:pStyle w:val="684"/>
      <w:isLgl w:val="false"/>
      <w:suff w:val="nothing"/>
      <w:lvlText w:val=""/>
      <w:lvlJc w:val="left"/>
      <w:pPr>
        <w:ind w:left="0" w:firstLine="0"/>
      </w:pPr>
      <w:rPr>
        <w:rFonts w:hint="eastAsia"/>
      </w:rPr>
    </w:lvl>
    <w:lvl w:ilvl="7">
      <w:start w:val="1"/>
      <w:numFmt w:val="none"/>
      <w:pStyle w:val="685"/>
      <w:isLgl w:val="false"/>
      <w:suff w:val="nothing"/>
      <w:lvlText w:val=""/>
      <w:lvlJc w:val="left"/>
      <w:pPr>
        <w:ind w:left="0" w:firstLine="0"/>
      </w:pPr>
      <w:rPr>
        <w:rFonts w:hint="eastAsia"/>
      </w:rPr>
    </w:lvl>
    <w:lvl w:ilvl="8">
      <w:start w:val="1"/>
      <w:numFmt w:val="none"/>
      <w:pStyle w:val="68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7"/>
  </w:num>
  <w:num w:numId="4">
    <w:abstractNumId w:val="0"/>
  </w:num>
  <w:num w:numId="5">
    <w:abstractNumId w:val="5"/>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link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8">
    <w:name w:val="Heading 1"/>
    <w:basedOn w:val="677"/>
    <w:next w:val="677"/>
    <w:link w:val="886"/>
    <w:uiPriority w:val="0"/>
    <w:qFormat/>
    <w:pPr>
      <w:jc w:val="center"/>
      <w:keepNext/>
      <w:outlineLvl w:val="0"/>
    </w:pPr>
    <w:rPr>
      <w:rFonts w:ascii="楷体_GB2312" w:hAnsi="Times New Roman" w:eastAsia="楷体_GB2312" w:cs="Times New Roman"/>
      <w:sz w:val="28"/>
      <w:szCs w:val="28"/>
    </w:rPr>
  </w:style>
  <w:style w:type="paragraph" w:styleId="679">
    <w:name w:val="Heading 2"/>
    <w:basedOn w:val="677"/>
    <w:next w:val="677"/>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0">
    <w:name w:val="Heading 3"/>
    <w:basedOn w:val="677"/>
    <w:next w:val="689"/>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1">
    <w:name w:val="Heading 4"/>
    <w:basedOn w:val="677"/>
    <w:next w:val="689"/>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682">
    <w:name w:val="Heading 5"/>
    <w:basedOn w:val="677"/>
    <w:next w:val="689"/>
    <w:link w:val="891"/>
    <w:uiPriority w:val="0"/>
    <w:qFormat/>
    <w:pPr>
      <w:keepNext/>
      <w:outlineLvl w:val="4"/>
    </w:pPr>
    <w:rPr>
      <w:rFonts w:ascii="宋体" w:hAnsi="Times New Roman" w:eastAsia="宋体" w:cs="Times New Roman"/>
      <w:color w:val="000000"/>
      <w:sz w:val="28"/>
      <w:szCs w:val="28"/>
    </w:rPr>
  </w:style>
  <w:style w:type="paragraph" w:styleId="683">
    <w:name w:val="Heading 6"/>
    <w:basedOn w:val="677"/>
    <w:next w:val="677"/>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4">
    <w:name w:val="Heading 7"/>
    <w:basedOn w:val="677"/>
    <w:next w:val="677"/>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5">
    <w:name w:val="Heading 8"/>
    <w:basedOn w:val="677"/>
    <w:next w:val="677"/>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6">
    <w:name w:val="Heading 9"/>
    <w:basedOn w:val="677"/>
    <w:next w:val="677"/>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87" w:default="1">
    <w:name w:val="Default Paragraph Font"/>
    <w:uiPriority w:val="1"/>
    <w:unhideWhenUsed/>
    <w:qFormat/>
  </w:style>
  <w:style w:type="table" w:styleId="688" w:default="1">
    <w:name w:val="Normal Table"/>
    <w:uiPriority w:val="99"/>
    <w:unhideWhenUsed/>
    <w:qFormat/>
    <w:tblPr>
      <w:tblCellMar>
        <w:left w:w="108" w:type="dxa"/>
        <w:top w:w="0" w:type="dxa"/>
        <w:right w:w="108" w:type="dxa"/>
        <w:bottom w:w="0" w:type="dxa"/>
      </w:tblCellMar>
    </w:tblPr>
  </w:style>
  <w:style w:type="paragraph" w:styleId="689">
    <w:name w:val="Normal Indent"/>
    <w:basedOn w:val="677"/>
    <w:link w:val="888"/>
    <w:uiPriority w:val="0"/>
    <w:qFormat/>
    <w:pPr>
      <w:ind w:firstLine="420"/>
    </w:pPr>
    <w:rPr>
      <w:szCs w:val="21"/>
    </w:rPr>
  </w:style>
  <w:style w:type="paragraph" w:styleId="690">
    <w:name w:val="List 3"/>
    <w:basedOn w:val="677"/>
    <w:uiPriority w:val="0"/>
    <w:qFormat/>
    <w:pPr>
      <w:ind w:left="100" w:hanging="200"/>
    </w:pPr>
    <w:rPr>
      <w:rFonts w:ascii="Times New Roman" w:hAnsi="Times New Roman" w:eastAsia="宋体" w:cs="Times New Roman"/>
      <w:szCs w:val="21"/>
    </w:rPr>
  </w:style>
  <w:style w:type="paragraph" w:styleId="691">
    <w:name w:val="toc 7"/>
    <w:basedOn w:val="677"/>
    <w:next w:val="677"/>
    <w:uiPriority w:val="0"/>
    <w:semiHidden/>
    <w:qFormat/>
    <w:pPr>
      <w:ind w:left="1260"/>
      <w:jc w:val="left"/>
    </w:pPr>
    <w:rPr>
      <w:rFonts w:ascii="Times New Roman" w:hAnsi="Times New Roman" w:eastAsia="宋体" w:cs="Times New Roman"/>
      <w:szCs w:val="21"/>
    </w:rPr>
  </w:style>
  <w:style w:type="paragraph" w:styleId="692">
    <w:name w:val="Caption"/>
    <w:basedOn w:val="677"/>
    <w:next w:val="677"/>
    <w:uiPriority w:val="35"/>
    <w:semiHidden/>
    <w:unhideWhenUsed/>
    <w:qFormat/>
    <w:pPr>
      <w:spacing w:line="276" w:lineRule="auto"/>
    </w:pPr>
    <w:rPr>
      <w:b/>
      <w:bCs/>
      <w:color w:val="4f81bd"/>
      <w:sz w:val="18"/>
      <w:szCs w:val="18"/>
    </w:rPr>
  </w:style>
  <w:style w:type="paragraph" w:styleId="693">
    <w:name w:val="Document Map"/>
    <w:basedOn w:val="677"/>
    <w:link w:val="896"/>
    <w:uiPriority w:val="0"/>
    <w:semiHidden/>
    <w:qFormat/>
    <w:pPr>
      <w:shd w:val="clear" w:color="auto" w:fill="000080"/>
    </w:pPr>
    <w:rPr>
      <w:rFonts w:ascii="Times New Roman" w:hAnsi="Times New Roman" w:eastAsia="宋体" w:cs="Times New Roman"/>
      <w:szCs w:val="21"/>
    </w:rPr>
  </w:style>
  <w:style w:type="paragraph" w:styleId="694">
    <w:name w:val="annotation text"/>
    <w:basedOn w:val="677"/>
    <w:link w:val="897"/>
    <w:uiPriority w:val="0"/>
    <w:unhideWhenUsed/>
    <w:qFormat/>
    <w:pPr>
      <w:jc w:val="left"/>
    </w:pPr>
  </w:style>
  <w:style w:type="paragraph" w:styleId="695">
    <w:name w:val="Body Text 3"/>
    <w:basedOn w:val="677"/>
    <w:link w:val="898"/>
    <w:uiPriority w:val="0"/>
    <w:qFormat/>
    <w:rPr>
      <w:rFonts w:ascii="仿宋_GB2312" w:hAnsi="Arial" w:eastAsia="仿宋_GB2312" w:cs="Times New Roman"/>
      <w:sz w:val="32"/>
      <w:szCs w:val="32"/>
    </w:rPr>
  </w:style>
  <w:style w:type="paragraph" w:styleId="696">
    <w:name w:val="Body Text"/>
    <w:basedOn w:val="677"/>
    <w:link w:val="899"/>
    <w:uiPriority w:val="0"/>
    <w:qFormat/>
    <w:rPr>
      <w:rFonts w:ascii="楷体_GB2312" w:hAnsi="Arial" w:eastAsia="楷体_GB2312" w:cs="Times New Roman"/>
      <w:sz w:val="28"/>
      <w:szCs w:val="28"/>
    </w:rPr>
  </w:style>
  <w:style w:type="paragraph" w:styleId="697">
    <w:name w:val="Body Text Indent"/>
    <w:basedOn w:val="677"/>
    <w:next w:val="677"/>
    <w:link w:val="900"/>
    <w:uiPriority w:val="0"/>
    <w:unhideWhenUsed/>
    <w:qFormat/>
    <w:pPr>
      <w:ind w:left="420"/>
      <w:spacing w:after="120"/>
    </w:pPr>
  </w:style>
  <w:style w:type="paragraph" w:styleId="698">
    <w:name w:val="List 2"/>
    <w:basedOn w:val="677"/>
    <w:uiPriority w:val="0"/>
    <w:qFormat/>
    <w:pPr>
      <w:ind w:left="100" w:hanging="200"/>
    </w:pPr>
    <w:rPr>
      <w:rFonts w:ascii="Times New Roman" w:hAnsi="Times New Roman" w:eastAsia="宋体" w:cs="Times New Roman"/>
      <w:szCs w:val="21"/>
    </w:rPr>
  </w:style>
  <w:style w:type="paragraph" w:styleId="699">
    <w:name w:val="toc 5"/>
    <w:basedOn w:val="677"/>
    <w:next w:val="677"/>
    <w:uiPriority w:val="0"/>
    <w:semiHidden/>
    <w:qFormat/>
    <w:pPr>
      <w:ind w:left="840"/>
      <w:jc w:val="left"/>
    </w:pPr>
    <w:rPr>
      <w:rFonts w:ascii="Times New Roman" w:hAnsi="Times New Roman" w:eastAsia="宋体" w:cs="Times New Roman"/>
      <w:szCs w:val="21"/>
    </w:rPr>
  </w:style>
  <w:style w:type="paragraph" w:styleId="700">
    <w:name w:val="toc 3"/>
    <w:basedOn w:val="677"/>
    <w:next w:val="677"/>
    <w:uiPriority w:val="0"/>
    <w:semiHidden/>
    <w:qFormat/>
    <w:pPr>
      <w:ind w:left="420"/>
      <w:jc w:val="left"/>
    </w:pPr>
    <w:rPr>
      <w:rFonts w:ascii="Times New Roman" w:hAnsi="Times New Roman" w:eastAsia="宋体" w:cs="Times New Roman"/>
      <w:i/>
      <w:iCs/>
      <w:szCs w:val="24"/>
    </w:rPr>
  </w:style>
  <w:style w:type="paragraph" w:styleId="701">
    <w:name w:val="Plain Text"/>
    <w:basedOn w:val="677"/>
    <w:link w:val="901"/>
    <w:uiPriority w:val="0"/>
    <w:qFormat/>
    <w:rPr>
      <w:rFonts w:ascii="宋体" w:hAnsi="Courier New" w:eastAsia="宋体" w:cs="Courier New"/>
      <w:szCs w:val="21"/>
    </w:rPr>
  </w:style>
  <w:style w:type="paragraph" w:styleId="702">
    <w:name w:val="toc 8"/>
    <w:basedOn w:val="677"/>
    <w:next w:val="677"/>
    <w:uiPriority w:val="0"/>
    <w:semiHidden/>
    <w:qFormat/>
    <w:pPr>
      <w:ind w:left="1470"/>
      <w:jc w:val="left"/>
    </w:pPr>
    <w:rPr>
      <w:rFonts w:ascii="Times New Roman" w:hAnsi="Times New Roman" w:eastAsia="宋体" w:cs="Times New Roman"/>
      <w:szCs w:val="21"/>
    </w:rPr>
  </w:style>
  <w:style w:type="paragraph" w:styleId="703">
    <w:name w:val="Date"/>
    <w:basedOn w:val="677"/>
    <w:next w:val="677"/>
    <w:link w:val="902"/>
    <w:uiPriority w:val="0"/>
    <w:qFormat/>
    <w:rPr>
      <w:rFonts w:ascii="Times New Roman" w:hAnsi="Times New Roman" w:eastAsia="宋体" w:cs="Times New Roman"/>
      <w:sz w:val="24"/>
      <w:szCs w:val="24"/>
    </w:rPr>
  </w:style>
  <w:style w:type="paragraph" w:styleId="704">
    <w:name w:val="Body Text Indent 2"/>
    <w:basedOn w:val="677"/>
    <w:link w:val="903"/>
    <w:uiPriority w:val="0"/>
    <w:qFormat/>
    <w:pPr>
      <w:ind w:left="630" w:firstLine="645"/>
    </w:pPr>
    <w:rPr>
      <w:rFonts w:ascii="Arial" w:hAnsi="Arial" w:eastAsia="仿宋_GB2312" w:cs="Arial"/>
      <w:sz w:val="32"/>
      <w:szCs w:val="32"/>
    </w:rPr>
  </w:style>
  <w:style w:type="paragraph" w:styleId="705">
    <w:name w:val="endnote text"/>
    <w:basedOn w:val="677"/>
    <w:link w:val="884"/>
    <w:uiPriority w:val="99"/>
    <w:semiHidden/>
    <w:unhideWhenUsed/>
    <w:qFormat/>
    <w:pPr>
      <w:spacing w:after="0" w:line="240" w:lineRule="auto"/>
    </w:pPr>
    <w:rPr>
      <w:sz w:val="20"/>
    </w:rPr>
  </w:style>
  <w:style w:type="paragraph" w:styleId="706">
    <w:name w:val="Balloon Text"/>
    <w:basedOn w:val="677"/>
    <w:link w:val="904"/>
    <w:uiPriority w:val="0"/>
    <w:semiHidden/>
    <w:qFormat/>
    <w:rPr>
      <w:rFonts w:ascii="Times New Roman" w:hAnsi="Times New Roman" w:eastAsia="宋体" w:cs="Times New Roman"/>
      <w:sz w:val="18"/>
      <w:szCs w:val="18"/>
    </w:rPr>
  </w:style>
  <w:style w:type="paragraph" w:styleId="707">
    <w:name w:val="Footer"/>
    <w:basedOn w:val="677"/>
    <w:link w:val="905"/>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708">
    <w:name w:val="Header"/>
    <w:basedOn w:val="677"/>
    <w:link w:val="90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09">
    <w:name w:val="toc 1"/>
    <w:basedOn w:val="677"/>
    <w:next w:val="67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toc 4"/>
    <w:basedOn w:val="677"/>
    <w:next w:val="677"/>
    <w:uiPriority w:val="0"/>
    <w:semiHidden/>
    <w:qFormat/>
    <w:pPr>
      <w:ind w:left="630"/>
      <w:jc w:val="left"/>
    </w:pPr>
    <w:rPr>
      <w:rFonts w:ascii="Times New Roman" w:hAnsi="Times New Roman" w:eastAsia="宋体" w:cs="Times New Roman"/>
      <w:szCs w:val="21"/>
    </w:rPr>
  </w:style>
  <w:style w:type="paragraph" w:styleId="711">
    <w:name w:val="Subtitle"/>
    <w:basedOn w:val="677"/>
    <w:next w:val="677"/>
    <w:link w:val="750"/>
    <w:uiPriority w:val="11"/>
    <w:qFormat/>
    <w:pPr>
      <w:spacing w:before="200" w:after="200"/>
    </w:pPr>
    <w:rPr>
      <w:sz w:val="24"/>
      <w:szCs w:val="24"/>
    </w:rPr>
  </w:style>
  <w:style w:type="paragraph" w:styleId="712">
    <w:name w:val="List"/>
    <w:basedOn w:val="677"/>
    <w:uiPriority w:val="0"/>
    <w:qFormat/>
    <w:pPr>
      <w:ind w:left="200" w:hanging="200"/>
    </w:pPr>
    <w:rPr>
      <w:rFonts w:ascii="Times New Roman" w:hAnsi="Times New Roman" w:eastAsia="宋体" w:cs="Times New Roman"/>
      <w:szCs w:val="21"/>
    </w:rPr>
  </w:style>
  <w:style w:type="paragraph" w:styleId="713">
    <w:name w:val="footnote text"/>
    <w:basedOn w:val="677"/>
    <w:link w:val="883"/>
    <w:uiPriority w:val="99"/>
    <w:semiHidden/>
    <w:unhideWhenUsed/>
    <w:qFormat/>
    <w:pPr>
      <w:spacing w:after="40" w:line="240" w:lineRule="auto"/>
    </w:pPr>
    <w:rPr>
      <w:sz w:val="18"/>
    </w:rPr>
  </w:style>
  <w:style w:type="paragraph" w:styleId="714">
    <w:name w:val="toc 6"/>
    <w:basedOn w:val="677"/>
    <w:next w:val="677"/>
    <w:uiPriority w:val="0"/>
    <w:semiHidden/>
    <w:qFormat/>
    <w:pPr>
      <w:ind w:left="1050"/>
      <w:jc w:val="left"/>
    </w:pPr>
    <w:rPr>
      <w:rFonts w:ascii="Times New Roman" w:hAnsi="Times New Roman" w:eastAsia="宋体" w:cs="Times New Roman"/>
      <w:szCs w:val="21"/>
    </w:rPr>
  </w:style>
  <w:style w:type="paragraph" w:styleId="715">
    <w:name w:val="Body Text Indent 3"/>
    <w:basedOn w:val="677"/>
    <w:link w:val="907"/>
    <w:uiPriority w:val="0"/>
    <w:qFormat/>
    <w:pPr>
      <w:ind w:left="645" w:firstLine="645"/>
    </w:pPr>
    <w:rPr>
      <w:rFonts w:ascii="Arial" w:hAnsi="Arial" w:eastAsia="仿宋_GB2312" w:cs="Arial"/>
      <w:color w:val="ffff00"/>
      <w:sz w:val="32"/>
      <w:szCs w:val="32"/>
    </w:rPr>
  </w:style>
  <w:style w:type="paragraph" w:styleId="716">
    <w:name w:val="table of figures"/>
    <w:basedOn w:val="677"/>
    <w:next w:val="677"/>
    <w:uiPriority w:val="0"/>
    <w:semiHidden/>
    <w:qFormat/>
    <w:pPr>
      <w:ind w:left="840" w:hanging="420"/>
    </w:pPr>
    <w:rPr>
      <w:rFonts w:ascii="Times New Roman" w:hAnsi="Times New Roman" w:eastAsia="宋体" w:cs="Times New Roman"/>
      <w:szCs w:val="21"/>
    </w:rPr>
  </w:style>
  <w:style w:type="paragraph" w:styleId="717">
    <w:name w:val="toc 2"/>
    <w:basedOn w:val="677"/>
    <w:next w:val="677"/>
    <w:uiPriority w:val="0"/>
    <w:semiHidden/>
    <w:qFormat/>
    <w:pPr>
      <w:ind w:left="210"/>
      <w:jc w:val="left"/>
    </w:pPr>
    <w:rPr>
      <w:rFonts w:ascii="Times New Roman" w:hAnsi="Times New Roman" w:eastAsia="宋体" w:cs="Times New Roman"/>
      <w:smallCaps/>
      <w:szCs w:val="24"/>
    </w:rPr>
  </w:style>
  <w:style w:type="paragraph" w:styleId="718">
    <w:name w:val="toc 9"/>
    <w:basedOn w:val="677"/>
    <w:next w:val="677"/>
    <w:uiPriority w:val="0"/>
    <w:semiHidden/>
    <w:qFormat/>
    <w:pPr>
      <w:ind w:left="1680"/>
      <w:jc w:val="left"/>
    </w:pPr>
    <w:rPr>
      <w:rFonts w:ascii="Times New Roman" w:hAnsi="Times New Roman" w:eastAsia="宋体" w:cs="Times New Roman"/>
      <w:szCs w:val="21"/>
    </w:rPr>
  </w:style>
  <w:style w:type="paragraph" w:styleId="719">
    <w:name w:val="Body Text 2"/>
    <w:basedOn w:val="677"/>
    <w:link w:val="908"/>
    <w:uiPriority w:val="0"/>
    <w:qFormat/>
    <w:pPr>
      <w:jc w:val="center"/>
      <w:widowControl/>
    </w:pPr>
    <w:rPr>
      <w:rFonts w:ascii="楷体_GB2312" w:hAnsi="Times New Roman" w:eastAsia="楷体_GB2312" w:cs="Times New Roman"/>
      <w:sz w:val="28"/>
      <w:szCs w:val="28"/>
    </w:rPr>
  </w:style>
  <w:style w:type="paragraph" w:styleId="720">
    <w:name w:val="Normal (Web)"/>
    <w:basedOn w:val="677"/>
    <w:uiPriority w:val="99"/>
    <w:qFormat/>
    <w:pPr>
      <w:jc w:val="left"/>
      <w:spacing w:before="100" w:beforeAutospacing="1" w:after="100" w:afterAutospacing="1"/>
      <w:widowControl/>
    </w:pPr>
    <w:rPr>
      <w:rFonts w:ascii="宋体" w:hAnsi="宋体" w:eastAsia="宋体" w:cs="宋体"/>
      <w:sz w:val="24"/>
      <w:szCs w:val="24"/>
    </w:rPr>
  </w:style>
  <w:style w:type="paragraph" w:styleId="721">
    <w:name w:val="index 1"/>
    <w:basedOn w:val="677"/>
    <w:next w:val="677"/>
    <w:uiPriority w:val="0"/>
    <w:semiHidden/>
    <w:qFormat/>
    <w:pPr>
      <w:spacing w:line="240" w:lineRule="atLeast"/>
    </w:pPr>
    <w:rPr>
      <w:rFonts w:ascii="Times New Roman" w:hAnsi="Times New Roman" w:eastAsia="宋体" w:cs="Times New Roman"/>
      <w:b/>
      <w:bCs/>
      <w:szCs w:val="21"/>
    </w:rPr>
  </w:style>
  <w:style w:type="paragraph" w:styleId="722">
    <w:name w:val="Title"/>
    <w:basedOn w:val="677"/>
    <w:next w:val="677"/>
    <w:link w:val="749"/>
    <w:uiPriority w:val="10"/>
    <w:qFormat/>
    <w:pPr>
      <w:contextualSpacing/>
      <w:spacing w:before="300" w:after="200"/>
    </w:pPr>
    <w:rPr>
      <w:sz w:val="48"/>
      <w:szCs w:val="48"/>
    </w:rPr>
  </w:style>
  <w:style w:type="paragraph" w:styleId="723">
    <w:name w:val="annotation subject"/>
    <w:basedOn w:val="694"/>
    <w:next w:val="694"/>
    <w:link w:val="909"/>
    <w:uiPriority w:val="0"/>
    <w:semiHidden/>
    <w:qFormat/>
    <w:rPr>
      <w:rFonts w:ascii="Times New Roman" w:hAnsi="Times New Roman" w:eastAsia="宋体" w:cs="Times New Roman"/>
      <w:b/>
      <w:bCs/>
      <w:szCs w:val="21"/>
    </w:rPr>
  </w:style>
  <w:style w:type="paragraph" w:styleId="724">
    <w:name w:val="Body Text First Indent"/>
    <w:basedOn w:val="696"/>
    <w:link w:val="910"/>
    <w:uiPriority w:val="0"/>
    <w:qFormat/>
    <w:pPr>
      <w:ind w:firstLine="200"/>
      <w:spacing w:line="360" w:lineRule="auto"/>
    </w:pPr>
    <w:rPr>
      <w:rFonts w:ascii="仿宋_GB2312" w:hAnsi="Times New Roman" w:eastAsia="仿宋_GB2312" w:cs="Times New Roman"/>
      <w:sz w:val="30"/>
      <w:szCs w:val="30"/>
    </w:rPr>
  </w:style>
  <w:style w:type="paragraph" w:styleId="725">
    <w:name w:val="Body Text First Indent 2"/>
    <w:basedOn w:val="697"/>
    <w:link w:val="911"/>
    <w:uiPriority w:val="0"/>
    <w:qFormat/>
    <w:pPr>
      <w:ind w:left="0" w:firstLine="420"/>
      <w:spacing w:after="0" w:line="360" w:lineRule="auto"/>
    </w:pPr>
    <w:rPr>
      <w:rFonts w:ascii="宋体" w:hAnsi="宋体" w:eastAsia="宋体" w:cs="Times New Roman"/>
      <w:szCs w:val="20"/>
    </w:rPr>
  </w:style>
  <w:style w:type="table" w:styleId="726">
    <w:name w:val="Table Grid"/>
    <w:basedOn w:val="68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basedOn w:val="687"/>
    <w:uiPriority w:val="0"/>
    <w:qFormat/>
    <w:rPr>
      <w:b/>
      <w:bCs/>
    </w:rPr>
  </w:style>
  <w:style w:type="character" w:styleId="728">
    <w:name w:val="endnote reference"/>
    <w:basedOn w:val="687"/>
    <w:uiPriority w:val="99"/>
    <w:semiHidden/>
    <w:unhideWhenUsed/>
    <w:qFormat/>
    <w:rPr>
      <w:vertAlign w:val="superscript"/>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Emphasis"/>
    <w:uiPriority w:val="0"/>
    <w:qFormat/>
    <w:rPr>
      <w:i/>
    </w:rPr>
  </w:style>
  <w:style w:type="character" w:styleId="732">
    <w:name w:val="Hyperlink"/>
    <w:uiPriority w:val="0"/>
    <w:qFormat/>
    <w:rPr>
      <w:color w:val="0000ff"/>
      <w:u w:val="single"/>
    </w:rPr>
  </w:style>
  <w:style w:type="character" w:styleId="733">
    <w:name w:val="annotation reference"/>
    <w:uiPriority w:val="0"/>
    <w:semiHidden/>
    <w:qFormat/>
    <w:rPr>
      <w:sz w:val="21"/>
      <w:szCs w:val="21"/>
    </w:rPr>
  </w:style>
  <w:style w:type="character" w:styleId="734">
    <w:name w:val="footnote reference"/>
    <w:basedOn w:val="687"/>
    <w:uiPriority w:val="99"/>
    <w:unhideWhenUsed/>
    <w:qFormat/>
    <w:rPr>
      <w:vertAlign w:val="superscript"/>
    </w:rPr>
  </w:style>
  <w:style w:type="paragraph" w:styleId="735" w:customStyle="1">
    <w:name w:val="正文1"/>
    <w:basedOn w:val="677"/>
    <w:next w:val="736"/>
    <w:uiPriority w:val="0"/>
    <w:qFormat/>
    <w:pPr>
      <w:jc w:val="left"/>
      <w:spacing w:line="360" w:lineRule="atLeast"/>
    </w:pPr>
    <w:rPr>
      <w:rFonts w:ascii="宋体" w:hAnsi="Calibri"/>
      <w:sz w:val="24"/>
      <w:szCs w:val="20"/>
    </w:rPr>
  </w:style>
  <w:style w:type="paragraph" w:styleId="736" w:customStyle="1">
    <w:name w:val="正文文本1"/>
    <w:basedOn w:val="735"/>
    <w:next w:val="737"/>
    <w:uiPriority w:val="0"/>
    <w:qFormat/>
    <w:pPr>
      <w:spacing w:after="120"/>
    </w:pPr>
    <w:rPr>
      <w:lang w:eastAsia="en-US"/>
    </w:rPr>
  </w:style>
  <w:style w:type="paragraph" w:styleId="737" w:customStyle="1">
    <w:name w:val="一级条标题"/>
    <w:basedOn w:val="738"/>
    <w:next w:val="7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8" w:customStyle="1">
    <w:name w:val="章标题"/>
    <w:next w:val="6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9" w:customStyle="1">
    <w:name w:val="段"/>
    <w:basedOn w:val="735"/>
    <w:next w:val="677"/>
    <w:uiPriority w:val="0"/>
    <w:qFormat/>
    <w:pPr>
      <w:ind w:firstLine="200"/>
      <w:widowControl/>
    </w:pPr>
    <w:rPr>
      <w:sz w:val="20"/>
    </w:rPr>
  </w:style>
  <w:style w:type="character" w:styleId="740" w:customStyle="1">
    <w:name w:val="Heading 1 Char"/>
    <w:basedOn w:val="687"/>
    <w:uiPriority w:val="9"/>
    <w:qFormat/>
    <w:rPr>
      <w:rFonts w:ascii="Arial" w:hAnsi="Arial" w:eastAsia="Arial" w:cs="Arial"/>
      <w:sz w:val="40"/>
      <w:szCs w:val="40"/>
    </w:rPr>
  </w:style>
  <w:style w:type="character" w:styleId="741" w:customStyle="1">
    <w:name w:val="Heading 2 Char"/>
    <w:basedOn w:val="687"/>
    <w:uiPriority w:val="9"/>
    <w:qFormat/>
    <w:rPr>
      <w:rFonts w:ascii="Arial" w:hAnsi="Arial" w:eastAsia="Arial" w:cs="Arial"/>
      <w:sz w:val="34"/>
    </w:rPr>
  </w:style>
  <w:style w:type="character" w:styleId="742" w:customStyle="1">
    <w:name w:val="Heading 3 Char"/>
    <w:basedOn w:val="687"/>
    <w:uiPriority w:val="9"/>
    <w:qFormat/>
    <w:rPr>
      <w:rFonts w:ascii="Arial" w:hAnsi="Arial" w:eastAsia="Arial" w:cs="Arial"/>
      <w:sz w:val="30"/>
      <w:szCs w:val="30"/>
    </w:rPr>
  </w:style>
  <w:style w:type="character" w:styleId="743" w:customStyle="1">
    <w:name w:val="Heading 4 Char"/>
    <w:basedOn w:val="687"/>
    <w:uiPriority w:val="9"/>
    <w:qFormat/>
    <w:rPr>
      <w:rFonts w:ascii="Arial" w:hAnsi="Arial" w:eastAsia="Arial" w:cs="Arial"/>
      <w:b/>
      <w:bCs/>
      <w:sz w:val="26"/>
      <w:szCs w:val="26"/>
    </w:rPr>
  </w:style>
  <w:style w:type="character" w:styleId="744" w:customStyle="1">
    <w:name w:val="Heading 5 Char"/>
    <w:basedOn w:val="687"/>
    <w:uiPriority w:val="9"/>
    <w:qFormat/>
    <w:rPr>
      <w:rFonts w:ascii="Arial" w:hAnsi="Arial" w:eastAsia="Arial" w:cs="Arial"/>
      <w:b/>
      <w:bCs/>
      <w:sz w:val="24"/>
      <w:szCs w:val="24"/>
    </w:rPr>
  </w:style>
  <w:style w:type="character" w:styleId="745" w:customStyle="1">
    <w:name w:val="Heading 6 Char"/>
    <w:basedOn w:val="687"/>
    <w:uiPriority w:val="9"/>
    <w:qFormat/>
    <w:rPr>
      <w:rFonts w:ascii="Arial" w:hAnsi="Arial" w:eastAsia="Arial" w:cs="Arial"/>
      <w:b/>
      <w:bCs/>
      <w:sz w:val="22"/>
      <w:szCs w:val="22"/>
    </w:rPr>
  </w:style>
  <w:style w:type="character" w:styleId="746" w:customStyle="1">
    <w:name w:val="Heading 7 Char"/>
    <w:basedOn w:val="687"/>
    <w:uiPriority w:val="9"/>
    <w:qFormat/>
    <w:rPr>
      <w:rFonts w:ascii="Arial" w:hAnsi="Arial" w:eastAsia="Arial" w:cs="Arial"/>
      <w:b/>
      <w:bCs/>
      <w:i/>
      <w:iCs/>
      <w:sz w:val="22"/>
      <w:szCs w:val="22"/>
    </w:rPr>
  </w:style>
  <w:style w:type="character" w:styleId="747" w:customStyle="1">
    <w:name w:val="Heading 8 Char"/>
    <w:basedOn w:val="687"/>
    <w:uiPriority w:val="9"/>
    <w:qFormat/>
    <w:rPr>
      <w:rFonts w:ascii="Arial" w:hAnsi="Arial" w:eastAsia="Arial" w:cs="Arial"/>
      <w:i/>
      <w:iCs/>
      <w:sz w:val="22"/>
      <w:szCs w:val="22"/>
    </w:rPr>
  </w:style>
  <w:style w:type="character" w:styleId="748" w:customStyle="1">
    <w:name w:val="Heading 9 Char"/>
    <w:basedOn w:val="687"/>
    <w:uiPriority w:val="9"/>
    <w:qFormat/>
    <w:rPr>
      <w:rFonts w:ascii="Arial" w:hAnsi="Arial" w:eastAsia="Arial" w:cs="Arial"/>
      <w:i/>
      <w:iCs/>
      <w:sz w:val="21"/>
      <w:szCs w:val="21"/>
    </w:rPr>
  </w:style>
  <w:style w:type="character" w:styleId="749" w:customStyle="1">
    <w:name w:val="Title Char"/>
    <w:basedOn w:val="687"/>
    <w:link w:val="722"/>
    <w:uiPriority w:val="10"/>
    <w:qFormat/>
    <w:rPr>
      <w:sz w:val="48"/>
      <w:szCs w:val="48"/>
    </w:rPr>
  </w:style>
  <w:style w:type="character" w:styleId="750" w:customStyle="1">
    <w:name w:val="Subtitle Char"/>
    <w:basedOn w:val="687"/>
    <w:link w:val="711"/>
    <w:uiPriority w:val="11"/>
    <w:qFormat/>
    <w:rPr>
      <w:sz w:val="24"/>
      <w:szCs w:val="24"/>
    </w:rPr>
  </w:style>
  <w:style w:type="paragraph" w:styleId="751">
    <w:name w:val="Quote"/>
    <w:basedOn w:val="677"/>
    <w:next w:val="677"/>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77"/>
    <w:next w:val="677"/>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687"/>
    <w:uiPriority w:val="99"/>
    <w:qFormat/>
  </w:style>
  <w:style w:type="character" w:styleId="756" w:customStyle="1">
    <w:name w:val="Footer Char"/>
    <w:basedOn w:val="687"/>
    <w:uiPriority w:val="99"/>
    <w:qFormat/>
  </w:style>
  <w:style w:type="character" w:styleId="757" w:customStyle="1">
    <w:name w:val="Caption Char"/>
    <w:uiPriority w:val="99"/>
    <w:qFormat/>
  </w:style>
  <w:style w:type="table" w:styleId="758"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68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68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68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71"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72" w:customStyle="1">
    <w:name w:val="Grid Table 2 - Accent 1"/>
    <w:basedOn w:val="6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73" w:customStyle="1">
    <w:name w:val="Grid Table 2 - Accent 2"/>
    <w:basedOn w:val="6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74" w:customStyle="1">
    <w:name w:val="Grid Table 2 - Accent 3"/>
    <w:basedOn w:val="6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75" w:customStyle="1">
    <w:name w:val="Grid Table 2 - Accent 4"/>
    <w:basedOn w:val="6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76" w:customStyle="1">
    <w:name w:val="Grid Table 2 - Accent 5"/>
    <w:basedOn w:val="6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77" w:customStyle="1">
    <w:name w:val="Grid Table 2 - Accent 6"/>
    <w:basedOn w:val="6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78"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6" w:customStyle="1">
    <w:name w:val="Grid Table 4 - Accent 1"/>
    <w:basedOn w:val="6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87" w:customStyle="1">
    <w:name w:val="Grid Table 4 - Accent 2"/>
    <w:basedOn w:val="6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88" w:customStyle="1">
    <w:name w:val="Grid Table 4 - Accent 3"/>
    <w:basedOn w:val="6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89" w:customStyle="1">
    <w:name w:val="Grid Table 4 - Accent 4"/>
    <w:basedOn w:val="6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90" w:customStyle="1">
    <w:name w:val="Grid Table 4 - Accent 5"/>
    <w:basedOn w:val="6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91" w:customStyle="1">
    <w:name w:val="Grid Table 4 - Accent 6"/>
    <w:basedOn w:val="6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92"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3"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94"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95"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96"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97"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98"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99"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00" w:customStyle="1">
    <w:name w:val="Grid Table 6 Colorful - Accent 1"/>
    <w:basedOn w:val="6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01" w:customStyle="1">
    <w:name w:val="Grid Table 6 Colorful - Accent 2"/>
    <w:basedOn w:val="6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12" w:space="0"/>
        </w:tcBorders>
      </w:tcPr>
    </w:tblStylePr>
    <w:tblStylePr w:type="lastCol">
      <w:rPr>
        <w:b/>
        <w:color w:val="d99896"/>
      </w:rPr>
    </w:tblStylePr>
    <w:tblStylePr w:type="lastRow">
      <w:rPr>
        <w:b/>
        <w:color w:val="d99896"/>
      </w:rPr>
    </w:tblStylePr>
  </w:style>
  <w:style w:type="table" w:styleId="802" w:customStyle="1">
    <w:name w:val="Grid Table 6 Colorful - Accent 3"/>
    <w:basedOn w:val="6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bottom w:val="single" w:color="9BBB59" w:sz="12" w:space="0"/>
        </w:tcBorders>
      </w:tcPr>
    </w:tblStylePr>
    <w:tblStylePr w:type="lastCol">
      <w:rPr>
        <w:b/>
        <w:color w:val="9aba58"/>
      </w:rPr>
    </w:tblStylePr>
    <w:tblStylePr w:type="lastRow">
      <w:rPr>
        <w:b/>
        <w:color w:val="9aba58"/>
      </w:rPr>
    </w:tblStylePr>
  </w:style>
  <w:style w:type="table" w:styleId="803" w:customStyle="1">
    <w:name w:val="Grid Table 6 Colorful - Accent 4"/>
    <w:basedOn w:val="6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04" w:customStyle="1">
    <w:name w:val="Grid Table 6 Colorful - Accent 5"/>
    <w:basedOn w:val="6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05" w:customStyle="1">
    <w:name w:val="Grid Table 6 Colorful - Accent 6"/>
    <w:basedOn w:val="6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06"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7" w:customStyle="1">
    <w:name w:val="Grid Table 7 Colorful - Accent 1"/>
    <w:basedOn w:val="6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08" w:customStyle="1">
    <w:name w:val="Grid Table 7 Colorful - Accent 2"/>
    <w:basedOn w:val="6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09" w:customStyle="1">
    <w:name w:val="Grid Table 7 Colorful - Accent 3"/>
    <w:basedOn w:val="6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10" w:customStyle="1">
    <w:name w:val="Grid Table 7 Colorful - Accent 4"/>
    <w:basedOn w:val="6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11" w:customStyle="1">
    <w:name w:val="Grid Table 7 Colorful - Accent 5"/>
    <w:basedOn w:val="6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12" w:customStyle="1">
    <w:name w:val="Grid Table 7 Colorful - Accent 6"/>
    <w:basedOn w:val="6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13" w:customStyle="1">
    <w:name w:val="List Table 1 Light"/>
    <w:basedOn w:val="688"/>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4" w:customStyle="1">
    <w:name w:val="List Table 1 Light - Accent 1"/>
    <w:basedOn w:val="688"/>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15" w:customStyle="1">
    <w:name w:val="List Table 1 Light - Accent 2"/>
    <w:basedOn w:val="688"/>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16" w:customStyle="1">
    <w:name w:val="List Table 1 Light - Accent 3"/>
    <w:basedOn w:val="688"/>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17" w:customStyle="1">
    <w:name w:val="List Table 1 Light - Accent 4"/>
    <w:basedOn w:val="688"/>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18" w:customStyle="1">
    <w:name w:val="List Table 1 Light - Accent 5"/>
    <w:basedOn w:val="688"/>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19" w:customStyle="1">
    <w:name w:val="List Table 1 Light - Accent 6"/>
    <w:basedOn w:val="688"/>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20"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21" w:customStyle="1">
    <w:name w:val="List Table 2 - Accent 1"/>
    <w:basedOn w:val="6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22" w:customStyle="1">
    <w:name w:val="List Table 2 - Accent 2"/>
    <w:basedOn w:val="6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23" w:customStyle="1">
    <w:name w:val="List Table 2 - Accent 3"/>
    <w:basedOn w:val="6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24" w:customStyle="1">
    <w:name w:val="List Table 2 - Accent 4"/>
    <w:basedOn w:val="6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25" w:customStyle="1">
    <w:name w:val="List Table 2 - Accent 5"/>
    <w:basedOn w:val="6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26" w:customStyle="1">
    <w:name w:val="List Table 2 - Accent 6"/>
    <w:basedOn w:val="6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27"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List Table 3 - Accent 1"/>
    <w:basedOn w:val="6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9" w:customStyle="1">
    <w:name w:val="List Table 3 - Accent 2"/>
    <w:basedOn w:val="6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0" w:customStyle="1">
    <w:name w:val="List Table 3 - Accent 3"/>
    <w:basedOn w:val="6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31" w:customStyle="1">
    <w:name w:val="List Table 3 - Accent 4"/>
    <w:basedOn w:val="6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2" w:customStyle="1">
    <w:name w:val="List Table 3 - Accent 5"/>
    <w:basedOn w:val="6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3" w:customStyle="1">
    <w:name w:val="List Table 3 - Accent 6"/>
    <w:basedOn w:val="6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4"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List Table 4 - Accent 1"/>
    <w:basedOn w:val="6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6" w:customStyle="1">
    <w:name w:val="List Table 4 - Accent 2"/>
    <w:basedOn w:val="6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37" w:customStyle="1">
    <w:name w:val="List Table 4 - Accent 3"/>
    <w:basedOn w:val="6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38" w:customStyle="1">
    <w:name w:val="List Table 4 - Accent 4"/>
    <w:basedOn w:val="6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39" w:customStyle="1">
    <w:name w:val="List Table 4 - Accent 5"/>
    <w:basedOn w:val="6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0" w:customStyle="1">
    <w:name w:val="List Table 4 - Accent 6"/>
    <w:basedOn w:val="6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41"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42" w:customStyle="1">
    <w:name w:val="List Table 5 Dark - Accent 1"/>
    <w:basedOn w:val="6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43" w:customStyle="1">
    <w:name w:val="List Table 5 Dark - Accent 2"/>
    <w:basedOn w:val="6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44" w:customStyle="1">
    <w:name w:val="List Table 5 Dark - Accent 3"/>
    <w:basedOn w:val="6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45" w:customStyle="1">
    <w:name w:val="List Table 5 Dark - Accent 4"/>
    <w:basedOn w:val="6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46" w:customStyle="1">
    <w:name w:val="List Table 5 Dark - Accent 5"/>
    <w:basedOn w:val="6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47" w:customStyle="1">
    <w:name w:val="List Table 5 Dark - Accent 6"/>
    <w:basedOn w:val="6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48"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49" w:customStyle="1">
    <w:name w:val="List Table 6 Colorful - Accent 1"/>
    <w:basedOn w:val="6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850" w:customStyle="1">
    <w:name w:val="List Table 6 Colorful - Accent 2"/>
    <w:basedOn w:val="6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4" w:space="0"/>
        </w:tcBorders>
      </w:tcPr>
    </w:tblStylePr>
    <w:tblStylePr w:type="lastCol">
      <w:rPr>
        <w:b/>
        <w:color w:val="d99896"/>
      </w:rPr>
    </w:tblStylePr>
    <w:tblStylePr w:type="lastRow">
      <w:rPr>
        <w:b/>
        <w:color w:val="d99896"/>
      </w:rPr>
      <w:tcPr>
        <w:tcBorders>
          <w:top w:val="single" w:color="D99795" w:sz="4" w:space="0"/>
        </w:tcBorders>
      </w:tcPr>
    </w:tblStylePr>
  </w:style>
  <w:style w:type="table" w:styleId="851" w:customStyle="1">
    <w:name w:val="List Table 6 Colorful - Accent 3"/>
    <w:basedOn w:val="6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C" w:sz="4" w:space="0"/>
        </w:tcBorders>
      </w:tcPr>
    </w:tblStylePr>
    <w:tblStylePr w:type="lastCol">
      <w:rPr>
        <w:b/>
        <w:color w:val="c2d69b"/>
      </w:rPr>
    </w:tblStylePr>
    <w:tblStylePr w:type="lastRow">
      <w:rPr>
        <w:b/>
        <w:color w:val="c2d69b"/>
      </w:rPr>
      <w:tcPr>
        <w:tcBorders>
          <w:top w:val="single" w:color="C3D69C" w:sz="4" w:space="0"/>
        </w:tcBorders>
      </w:tcPr>
    </w:tblStylePr>
  </w:style>
  <w:style w:type="table" w:styleId="852" w:customStyle="1">
    <w:name w:val="List Table 6 Colorful - Accent 4"/>
    <w:basedOn w:val="6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53" w:customStyle="1">
    <w:name w:val="List Table 6 Colorful - Accent 5"/>
    <w:basedOn w:val="6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54" w:customStyle="1">
    <w:name w:val="List Table 6 Colorful - Accent 6"/>
    <w:basedOn w:val="6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55"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6" w:customStyle="1">
    <w:name w:val="List Table 7 Colorful - Accent 1"/>
    <w:basedOn w:val="688"/>
    <w:uiPriority w:val="99"/>
    <w:qFormat/>
    <w:pPr>
      <w:spacing w:after="0" w:line="240" w:lineRule="auto"/>
    </w:pPr>
    <w:tblPr>
      <w:tblBorders>
        <w:right w:val="single" w:color="4F81BD" w:themeColor="accent1"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57" w:customStyle="1">
    <w:name w:val="List Table 7 Colorful - Accent 2"/>
    <w:basedOn w:val="688"/>
    <w:uiPriority w:val="99"/>
    <w:qFormat/>
    <w:pPr>
      <w:spacing w:after="0" w:line="240" w:lineRule="auto"/>
    </w:pPr>
    <w:tblPr>
      <w:tblBorders>
        <w:right w:val="single" w:color="D99795" w:themeColor="accent2" w:themeTint="97"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8" w:customStyle="1">
    <w:name w:val="List Table 7 Colorful - Accent 3"/>
    <w:basedOn w:val="688"/>
    <w:uiPriority w:val="99"/>
    <w:qFormat/>
    <w:pPr>
      <w:spacing w:after="0" w:line="240" w:lineRule="auto"/>
    </w:pPr>
    <w:tblPr>
      <w:tblBorders>
        <w:right w:val="single" w:color="C3D69C" w:themeColor="accent3" w:themeTint="98"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59" w:customStyle="1">
    <w:name w:val="List Table 7 Colorful - Accent 4"/>
    <w:basedOn w:val="688"/>
    <w:uiPriority w:val="99"/>
    <w:qFormat/>
    <w:pPr>
      <w:spacing w:after="0" w:line="240" w:lineRule="auto"/>
    </w:pPr>
    <w:tblPr>
      <w:tblBorders>
        <w:right w:val="single" w:color="B2A1C6" w:themeColor="accent4" w:themeTint="9A"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0" w:customStyle="1">
    <w:name w:val="List Table 7 Colorful - Accent 5"/>
    <w:basedOn w:val="688"/>
    <w:uiPriority w:val="99"/>
    <w:qFormat/>
    <w:pPr>
      <w:spacing w:after="0" w:line="240" w:lineRule="auto"/>
    </w:pPr>
    <w:tblPr>
      <w:tblBorders>
        <w:right w:val="single" w:color="92CCDC" w:themeColor="accent5" w:themeTint="9A"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61" w:customStyle="1">
    <w:name w:val="List Table 7 Colorful - Accent 6"/>
    <w:basedOn w:val="688"/>
    <w:uiPriority w:val="99"/>
    <w:qFormat/>
    <w:pPr>
      <w:spacing w:after="0" w:line="240" w:lineRule="auto"/>
    </w:pPr>
    <w:tblPr>
      <w:tblBorders>
        <w:right w:val="single" w:color="FAC090" w:themeColor="accent6" w:themeTint="98"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62"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3"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4"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5"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6"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7"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8"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9"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0" w:customStyle="1">
    <w:name w:val="Bordered &amp; Lined - Accent 1"/>
    <w:basedOn w:val="6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1" w:customStyle="1">
    <w:name w:val="Bordered &amp; Lined - Accent 2"/>
    <w:basedOn w:val="6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2" w:customStyle="1">
    <w:name w:val="Bordered &amp; Lined - Accent 3"/>
    <w:basedOn w:val="6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3" w:customStyle="1">
    <w:name w:val="Bordered &amp; Lined - Accent 4"/>
    <w:basedOn w:val="6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4" w:customStyle="1">
    <w:name w:val="Bordered &amp; Lined - Accent 5"/>
    <w:basedOn w:val="6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5" w:customStyle="1">
    <w:name w:val="Bordered &amp; Lined - Accent 6"/>
    <w:basedOn w:val="6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6"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77" w:customStyle="1">
    <w:name w:val="Bordered - Accent 1"/>
    <w:basedOn w:val="6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78" w:customStyle="1">
    <w:name w:val="Bordered - Accent 2"/>
    <w:basedOn w:val="6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79" w:customStyle="1">
    <w:name w:val="Bordered - Accent 3"/>
    <w:basedOn w:val="6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80" w:customStyle="1">
    <w:name w:val="Bordered - Accent 4"/>
    <w:basedOn w:val="6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81" w:customStyle="1">
    <w:name w:val="Bordered - Accent 5"/>
    <w:basedOn w:val="6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82" w:customStyle="1">
    <w:name w:val="Bordered - Accent 6"/>
    <w:basedOn w:val="6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83" w:customStyle="1">
    <w:name w:val="Footnote Text Char"/>
    <w:link w:val="713"/>
    <w:uiPriority w:val="99"/>
    <w:qFormat/>
    <w:rPr>
      <w:sz w:val="18"/>
    </w:rPr>
  </w:style>
  <w:style w:type="character" w:styleId="884" w:customStyle="1">
    <w:name w:val="Endnote Text Char"/>
    <w:link w:val="705"/>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character" w:styleId="886" w:customStyle="1">
    <w:name w:val="标题 1 Char"/>
    <w:link w:val="678"/>
    <w:uiPriority w:val="0"/>
    <w:qFormat/>
    <w:rPr>
      <w:rFonts w:ascii="楷体_GB2312" w:hAnsi="Times New Roman" w:eastAsia="楷体_GB2312" w:cs="Times New Roman"/>
      <w:sz w:val="28"/>
      <w:szCs w:val="28"/>
    </w:rPr>
  </w:style>
  <w:style w:type="character" w:styleId="887" w:customStyle="1">
    <w:name w:val="标题 2 Char"/>
    <w:link w:val="679"/>
    <w:uiPriority w:val="0"/>
    <w:qFormat/>
    <w:rPr>
      <w:rFonts w:ascii="Arial" w:hAnsi="Arial" w:eastAsia="幼圆" w:cs="Arial"/>
      <w:b/>
      <w:bCs/>
      <w:sz w:val="44"/>
      <w:szCs w:val="44"/>
    </w:rPr>
  </w:style>
  <w:style w:type="character" w:styleId="888" w:customStyle="1">
    <w:name w:val="正文缩进 Char"/>
    <w:link w:val="689"/>
    <w:uiPriority w:val="0"/>
    <w:qFormat/>
    <w:rPr>
      <w:szCs w:val="21"/>
    </w:rPr>
  </w:style>
  <w:style w:type="character" w:styleId="889" w:customStyle="1">
    <w:name w:val="标题 3 Char"/>
    <w:link w:val="680"/>
    <w:uiPriority w:val="0"/>
    <w:qFormat/>
    <w:rPr>
      <w:rFonts w:ascii="Times New Roman" w:hAnsi="Times New Roman" w:eastAsia="宋体" w:cs="Times New Roman"/>
      <w:b/>
      <w:bCs/>
      <w:sz w:val="32"/>
      <w:szCs w:val="32"/>
    </w:rPr>
  </w:style>
  <w:style w:type="character" w:styleId="890" w:customStyle="1">
    <w:name w:val="标题 4 Char"/>
    <w:link w:val="681"/>
    <w:uiPriority w:val="0"/>
    <w:qFormat/>
    <w:rPr>
      <w:rFonts w:ascii="Arial" w:hAnsi="Arial" w:eastAsia="黑体" w:cs="Arial"/>
      <w:b/>
      <w:bCs/>
      <w:sz w:val="28"/>
      <w:szCs w:val="28"/>
    </w:rPr>
  </w:style>
  <w:style w:type="character" w:styleId="891" w:customStyle="1">
    <w:name w:val="标题 5 Char"/>
    <w:link w:val="682"/>
    <w:uiPriority w:val="0"/>
    <w:qFormat/>
    <w:rPr>
      <w:rFonts w:ascii="宋体" w:hAnsi="Times New Roman" w:eastAsia="宋体" w:cs="Times New Roman"/>
      <w:color w:val="000000"/>
      <w:sz w:val="28"/>
      <w:szCs w:val="28"/>
    </w:rPr>
  </w:style>
  <w:style w:type="character" w:styleId="892" w:customStyle="1">
    <w:name w:val="标题 6 Char"/>
    <w:link w:val="683"/>
    <w:uiPriority w:val="0"/>
    <w:qFormat/>
    <w:rPr>
      <w:rFonts w:ascii="Arial" w:hAnsi="Arial" w:eastAsia="黑体" w:cs="Times New Roman"/>
      <w:b/>
      <w:bCs/>
      <w:sz w:val="24"/>
      <w:szCs w:val="24"/>
    </w:rPr>
  </w:style>
  <w:style w:type="character" w:styleId="893" w:customStyle="1">
    <w:name w:val="标题 7 Char"/>
    <w:link w:val="684"/>
    <w:uiPriority w:val="0"/>
    <w:qFormat/>
    <w:rPr>
      <w:rFonts w:ascii="Times New Roman" w:hAnsi="Times New Roman" w:eastAsia="宋体" w:cs="Times New Roman"/>
      <w:b/>
      <w:bCs/>
      <w:sz w:val="24"/>
      <w:szCs w:val="24"/>
    </w:rPr>
  </w:style>
  <w:style w:type="character" w:styleId="894" w:customStyle="1">
    <w:name w:val="标题 8 Char"/>
    <w:link w:val="685"/>
    <w:uiPriority w:val="0"/>
    <w:qFormat/>
    <w:rPr>
      <w:rFonts w:ascii="Arial" w:hAnsi="Arial" w:eastAsia="黑体" w:cs="Times New Roman"/>
      <w:sz w:val="24"/>
      <w:szCs w:val="24"/>
    </w:rPr>
  </w:style>
  <w:style w:type="character" w:styleId="895" w:customStyle="1">
    <w:name w:val="标题 9 Char"/>
    <w:link w:val="686"/>
    <w:uiPriority w:val="0"/>
    <w:qFormat/>
    <w:rPr>
      <w:rFonts w:ascii="Arial" w:hAnsi="Arial" w:eastAsia="黑体" w:cs="Times New Roman"/>
      <w:szCs w:val="21"/>
    </w:rPr>
  </w:style>
  <w:style w:type="character" w:styleId="896" w:customStyle="1">
    <w:name w:val="文档结构图 Char"/>
    <w:link w:val="693"/>
    <w:uiPriority w:val="0"/>
    <w:semiHidden/>
    <w:qFormat/>
    <w:rPr>
      <w:rFonts w:ascii="Times New Roman" w:hAnsi="Times New Roman" w:eastAsia="宋体" w:cs="Times New Roman"/>
      <w:szCs w:val="21"/>
      <w:shd w:val="clear" w:color="auto" w:fill="000080"/>
    </w:rPr>
  </w:style>
  <w:style w:type="character" w:styleId="897" w:customStyle="1">
    <w:name w:val="批注文字 Char"/>
    <w:link w:val="694"/>
    <w:uiPriority w:val="99"/>
    <w:semiHidden/>
    <w:qFormat/>
  </w:style>
  <w:style w:type="character" w:styleId="898" w:customStyle="1">
    <w:name w:val="正文文本 3 Char"/>
    <w:link w:val="695"/>
    <w:uiPriority w:val="0"/>
    <w:qFormat/>
    <w:rPr>
      <w:rFonts w:ascii="仿宋_GB2312" w:hAnsi="Arial" w:eastAsia="仿宋_GB2312" w:cs="Times New Roman"/>
      <w:sz w:val="32"/>
      <w:szCs w:val="32"/>
    </w:rPr>
  </w:style>
  <w:style w:type="character" w:styleId="899" w:customStyle="1">
    <w:name w:val="正文文本 Char"/>
    <w:link w:val="696"/>
    <w:uiPriority w:val="0"/>
    <w:qFormat/>
    <w:rPr>
      <w:rFonts w:ascii="楷体_GB2312" w:hAnsi="Arial" w:eastAsia="楷体_GB2312" w:cs="Times New Roman"/>
      <w:sz w:val="28"/>
      <w:szCs w:val="28"/>
    </w:rPr>
  </w:style>
  <w:style w:type="character" w:styleId="900" w:customStyle="1">
    <w:name w:val="正文文本缩进 Char"/>
    <w:link w:val="697"/>
    <w:uiPriority w:val="99"/>
    <w:semiHidden/>
    <w:qFormat/>
  </w:style>
  <w:style w:type="character" w:styleId="901" w:customStyle="1">
    <w:name w:val="纯文本 Char"/>
    <w:link w:val="701"/>
    <w:uiPriority w:val="0"/>
    <w:qFormat/>
    <w:rPr>
      <w:rFonts w:ascii="宋体" w:hAnsi="Courier New" w:eastAsia="宋体" w:cs="Courier New"/>
      <w:szCs w:val="21"/>
    </w:rPr>
  </w:style>
  <w:style w:type="character" w:styleId="902" w:customStyle="1">
    <w:name w:val="日期 Char"/>
    <w:link w:val="703"/>
    <w:uiPriority w:val="0"/>
    <w:qFormat/>
    <w:rPr>
      <w:rFonts w:ascii="Times New Roman" w:hAnsi="Times New Roman" w:eastAsia="宋体" w:cs="Times New Roman"/>
      <w:sz w:val="24"/>
      <w:szCs w:val="24"/>
    </w:rPr>
  </w:style>
  <w:style w:type="character" w:styleId="903" w:customStyle="1">
    <w:name w:val="正文文本缩进 2 Char"/>
    <w:link w:val="704"/>
    <w:uiPriority w:val="0"/>
    <w:qFormat/>
    <w:rPr>
      <w:rFonts w:ascii="Arial" w:hAnsi="Arial" w:eastAsia="仿宋_GB2312" w:cs="Arial"/>
      <w:sz w:val="32"/>
      <w:szCs w:val="32"/>
    </w:rPr>
  </w:style>
  <w:style w:type="character" w:styleId="904" w:customStyle="1">
    <w:name w:val="批注框文本 Char"/>
    <w:link w:val="706"/>
    <w:uiPriority w:val="0"/>
    <w:semiHidden/>
    <w:qFormat/>
    <w:rPr>
      <w:rFonts w:ascii="Times New Roman" w:hAnsi="Times New Roman" w:eastAsia="宋体" w:cs="Times New Roman"/>
      <w:sz w:val="18"/>
      <w:szCs w:val="18"/>
    </w:rPr>
  </w:style>
  <w:style w:type="character" w:styleId="905" w:customStyle="1">
    <w:name w:val="页脚 Char"/>
    <w:link w:val="707"/>
    <w:uiPriority w:val="99"/>
    <w:qFormat/>
    <w:rPr>
      <w:rFonts w:ascii="Times New Roman" w:hAnsi="Times New Roman" w:eastAsia="宋体" w:cs="Times New Roman"/>
      <w:sz w:val="18"/>
      <w:szCs w:val="18"/>
    </w:rPr>
  </w:style>
  <w:style w:type="character" w:styleId="906" w:customStyle="1">
    <w:name w:val="页眉 Char"/>
    <w:link w:val="708"/>
    <w:uiPriority w:val="0"/>
    <w:qFormat/>
    <w:rPr>
      <w:rFonts w:ascii="Times New Roman" w:hAnsi="Times New Roman" w:eastAsia="宋体" w:cs="Times New Roman"/>
      <w:sz w:val="18"/>
      <w:szCs w:val="18"/>
    </w:rPr>
  </w:style>
  <w:style w:type="character" w:styleId="907" w:customStyle="1">
    <w:name w:val="正文文本缩进 3 Char"/>
    <w:link w:val="715"/>
    <w:uiPriority w:val="0"/>
    <w:qFormat/>
    <w:rPr>
      <w:rFonts w:ascii="Arial" w:hAnsi="Arial" w:eastAsia="仿宋_GB2312" w:cs="Arial"/>
      <w:color w:val="ffff00"/>
      <w:sz w:val="32"/>
      <w:szCs w:val="32"/>
    </w:rPr>
  </w:style>
  <w:style w:type="character" w:styleId="908" w:customStyle="1">
    <w:name w:val="正文文本 2 Char"/>
    <w:link w:val="719"/>
    <w:uiPriority w:val="0"/>
    <w:qFormat/>
    <w:rPr>
      <w:rFonts w:ascii="楷体_GB2312" w:hAnsi="Times New Roman" w:eastAsia="楷体_GB2312" w:cs="Times New Roman"/>
      <w:sz w:val="28"/>
      <w:szCs w:val="28"/>
    </w:rPr>
  </w:style>
  <w:style w:type="character" w:styleId="909" w:customStyle="1">
    <w:name w:val="批注主题 Char"/>
    <w:link w:val="723"/>
    <w:uiPriority w:val="0"/>
    <w:semiHidden/>
    <w:qFormat/>
    <w:rPr>
      <w:rFonts w:ascii="Times New Roman" w:hAnsi="Times New Roman" w:eastAsia="宋体" w:cs="Times New Roman"/>
      <w:b/>
      <w:bCs/>
      <w:szCs w:val="21"/>
    </w:rPr>
  </w:style>
  <w:style w:type="character" w:styleId="910" w:customStyle="1">
    <w:name w:val="正文首行缩进 Char"/>
    <w:link w:val="724"/>
    <w:uiPriority w:val="0"/>
    <w:qFormat/>
    <w:rPr>
      <w:rFonts w:ascii="仿宋_GB2312" w:hAnsi="Times New Roman" w:eastAsia="仿宋_GB2312" w:cs="Times New Roman"/>
      <w:sz w:val="30"/>
      <w:szCs w:val="30"/>
    </w:rPr>
  </w:style>
  <w:style w:type="character" w:styleId="911" w:customStyle="1">
    <w:name w:val="正文首行缩进 2 Char"/>
    <w:link w:val="725"/>
    <w:uiPriority w:val="0"/>
    <w:qFormat/>
    <w:rPr>
      <w:rFonts w:ascii="宋体" w:hAnsi="宋体" w:eastAsia="宋体" w:cs="Times New Roman"/>
      <w:szCs w:val="20"/>
    </w:rPr>
  </w:style>
  <w:style w:type="character" w:styleId="912" w:customStyle="1">
    <w:name w:val="font5 Char"/>
    <w:uiPriority w:val="0"/>
    <w:qFormat/>
    <w:rPr>
      <w:rFonts w:ascii="宋体" w:hAnsi="宋体" w:eastAsia="宋体"/>
      <w:sz w:val="28"/>
      <w:szCs w:val="28"/>
      <w:lang w:val="en-US" w:eastAsia="zh-CN" w:bidi="ar-SA"/>
    </w:rPr>
  </w:style>
  <w:style w:type="character" w:styleId="913" w:customStyle="1">
    <w:name w:val="二级目录 Char"/>
    <w:link w:val="914"/>
    <w:uiPriority w:val="0"/>
    <w:qFormat/>
    <w:rPr>
      <w:b/>
      <w:sz w:val="30"/>
      <w:szCs w:val="28"/>
    </w:rPr>
  </w:style>
  <w:style w:type="paragraph" w:styleId="914" w:customStyle="1">
    <w:name w:val="二级目录"/>
    <w:next w:val="677"/>
    <w:link w:val="91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677"/>
    <w:link w:val="915"/>
    <w:uiPriority w:val="0"/>
    <w:qFormat/>
    <w:pPr>
      <w:contextualSpacing/>
      <w:ind w:left="720"/>
      <w:jc w:val="left"/>
      <w:widowControl/>
    </w:pPr>
    <w:rPr>
      <w:rFonts w:ascii="Calibri" w:hAnsi="Calibri"/>
      <w:sz w:val="24"/>
      <w:szCs w:val="24"/>
      <w:lang w:eastAsia="en-US" w:bidi="en-US"/>
    </w:rPr>
  </w:style>
  <w:style w:type="paragraph" w:styleId="917" w:customStyle="1">
    <w:name w:val="Body Text(ch)"/>
    <w:basedOn w:val="677"/>
    <w:next w:val="696"/>
    <w:uiPriority w:val="0"/>
    <w:qFormat/>
    <w:pPr>
      <w:spacing w:after="120"/>
    </w:pPr>
    <w:rPr>
      <w:rFonts w:ascii="宋体" w:hAnsi="Arial" w:eastAsia="宋体" w:cs="Times New Roman"/>
      <w:bCs/>
      <w:iCs/>
      <w:szCs w:val="24"/>
    </w:rPr>
  </w:style>
  <w:style w:type="paragraph" w:styleId="918" w:customStyle="1">
    <w:name w:val="xl27"/>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19" w:customStyle="1">
    <w:name w:val="xl26"/>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0" w:customStyle="1">
    <w:name w:val="Char"/>
    <w:basedOn w:val="677"/>
    <w:uiPriority w:val="0"/>
    <w:qFormat/>
    <w:pPr>
      <w:ind w:firstLine="200"/>
      <w:tabs>
        <w:tab w:val="left" w:pos="360" w:leader="none"/>
      </w:tabs>
    </w:pPr>
    <w:rPr>
      <w:rFonts w:ascii="Times New Roman" w:hAnsi="Times New Roman" w:eastAsia="宋体" w:cs="Times New Roman"/>
      <w:sz w:val="28"/>
      <w:szCs w:val="30"/>
    </w:rPr>
  </w:style>
  <w:style w:type="paragraph" w:styleId="921" w:customStyle="1">
    <w:name w:val=" Char"/>
    <w:basedOn w:val="693"/>
    <w:uiPriority w:val="0"/>
    <w:qFormat/>
    <w:rPr>
      <w:rFonts w:ascii="Tahoma" w:hAnsi="Tahoma"/>
      <w:sz w:val="24"/>
      <w:szCs w:val="24"/>
    </w:rPr>
  </w:style>
  <w:style w:type="paragraph" w:styleId="922" w:customStyle="1">
    <w:name w:val="普通正文"/>
    <w:basedOn w:val="677"/>
    <w:uiPriority w:val="0"/>
    <w:qFormat/>
    <w:pPr>
      <w:ind w:firstLine="480"/>
      <w:jc w:val="left"/>
      <w:spacing w:before="120" w:after="120" w:line="360" w:lineRule="auto"/>
    </w:pPr>
    <w:rPr>
      <w:rFonts w:ascii="Arial" w:hAnsi="Arial" w:eastAsia="宋体" w:cs="Times New Roman"/>
      <w:sz w:val="24"/>
      <w:szCs w:val="24"/>
    </w:rPr>
  </w:style>
  <w:style w:type="paragraph" w:styleId="923" w:customStyle="1">
    <w:name w:val="table_lines"/>
    <w:basedOn w:val="677"/>
    <w:uiPriority w:val="0"/>
    <w:qFormat/>
    <w:pPr>
      <w:jc w:val="left"/>
      <w:widowControl/>
    </w:pPr>
    <w:rPr>
      <w:rFonts w:ascii="Times New Roman" w:hAnsi="Times New Roman" w:eastAsia="宋体" w:cs="Times New Roman"/>
      <w:sz w:val="20"/>
      <w:szCs w:val="20"/>
      <w:lang w:val="de-DE" w:eastAsia="de-DE"/>
    </w:rPr>
  </w:style>
  <w:style w:type="paragraph" w:styleId="9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5" w:customStyle="1">
    <w:name w:val="font7"/>
    <w:basedOn w:val="67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26" w:customStyle="1">
    <w:name w:val=" Char Char Char Char"/>
    <w:basedOn w:val="693"/>
    <w:uiPriority w:val="0"/>
    <w:qFormat/>
    <w:pPr>
      <w:spacing w:line="360" w:lineRule="auto"/>
    </w:pPr>
    <w:rPr>
      <w:rFonts w:ascii="Tahoma" w:hAnsi="Tahoma"/>
      <w:sz w:val="24"/>
      <w:szCs w:val="24"/>
    </w:rPr>
  </w:style>
  <w:style w:type="paragraph" w:styleId="927">
    <w:name w:val="List Paragraph"/>
    <w:basedOn w:val="677"/>
    <w:uiPriority w:val="0"/>
    <w:qFormat/>
    <w:pPr>
      <w:contextualSpacing/>
      <w:ind w:left="720"/>
      <w:jc w:val="left"/>
      <w:widowControl/>
    </w:pPr>
    <w:rPr>
      <w:rFonts w:ascii="Calibri" w:hAnsi="Calibri" w:eastAsia="宋体" w:cs="Times New Roman"/>
      <w:sz w:val="24"/>
      <w:szCs w:val="24"/>
      <w:lang w:eastAsia="en-US" w:bidi="en-US"/>
    </w:rPr>
  </w:style>
  <w:style w:type="paragraph" w:styleId="928" w:customStyle="1">
    <w:name w:val="4"/>
    <w:basedOn w:val="677"/>
    <w:next w:val="715"/>
    <w:uiPriority w:val="0"/>
    <w:qFormat/>
    <w:pPr>
      <w:ind w:firstLine="420"/>
      <w:spacing w:line="360" w:lineRule="auto"/>
    </w:pPr>
    <w:rPr>
      <w:rFonts w:ascii="Times New Roman" w:hAnsi="Times New Roman" w:eastAsia="宋体" w:cs="Times New Roman"/>
      <w:color w:val="ff0000"/>
      <w:sz w:val="24"/>
      <w:szCs w:val="24"/>
    </w:rPr>
  </w:style>
  <w:style w:type="paragraph" w:styleId="929" w:customStyle="1">
    <w:name w:val="普通 (Web)"/>
    <w:basedOn w:val="677"/>
    <w:uiPriority w:val="0"/>
    <w:qFormat/>
    <w:pPr>
      <w:jc w:val="left"/>
      <w:spacing w:before="100" w:beforeAutospacing="1" w:after="100" w:afterAutospacing="1"/>
      <w:widowControl/>
    </w:pPr>
    <w:rPr>
      <w:rFonts w:ascii="宋体" w:hAnsi="宋体" w:eastAsia="宋体" w:cs="Times New Roman"/>
      <w:sz w:val="24"/>
      <w:szCs w:val="24"/>
    </w:rPr>
  </w:style>
  <w:style w:type="paragraph" w:styleId="930" w:customStyle="1">
    <w:name w:val=" Char Char Char Char Char Char Char Char Char Char"/>
    <w:basedOn w:val="677"/>
    <w:uiPriority w:val="0"/>
    <w:qFormat/>
    <w:pPr>
      <w:spacing w:line="360" w:lineRule="auto"/>
    </w:pPr>
    <w:rPr>
      <w:rFonts w:ascii="Times New Roman" w:hAnsi="Times New Roman" w:eastAsia="宋体" w:cs="Times New Roman"/>
      <w:sz w:val="24"/>
      <w:szCs w:val="20"/>
    </w:rPr>
  </w:style>
  <w:style w:type="paragraph" w:styleId="931" w:customStyle="1">
    <w:name w:val="样式1"/>
    <w:basedOn w:val="677"/>
    <w:uiPriority w:val="0"/>
    <w:qFormat/>
    <w:pPr>
      <w:numPr>
        <w:ilvl w:val="0"/>
        <w:numId w:val="3"/>
      </w:numPr>
    </w:pPr>
    <w:rPr>
      <w:rFonts w:ascii="宋体" w:hAnsi="宋体" w:eastAsia="宋体" w:cs="Times New Roman"/>
      <w:szCs w:val="21"/>
    </w:rPr>
  </w:style>
  <w:style w:type="paragraph" w:styleId="932" w:customStyle="1">
    <w:name w:val="font6"/>
    <w:basedOn w:val="67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3"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4"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5" w:customStyle="1">
    <w:name w:val="标题3"/>
    <w:basedOn w:val="677"/>
    <w:next w:val="677"/>
    <w:uiPriority w:val="0"/>
    <w:qFormat/>
    <w:pPr>
      <w:ind w:firstLine="624"/>
      <w:spacing w:line="590" w:lineRule="atLeast"/>
    </w:pPr>
    <w:rPr>
      <w:rFonts w:ascii="方正黑体_GBK" w:hAnsi="Times New Roman" w:eastAsia="方正黑体_GBK" w:cs="Times New Roman"/>
      <w:sz w:val="32"/>
      <w:szCs w:val="32"/>
    </w:rPr>
  </w:style>
  <w:style w:type="paragraph" w:styleId="936" w:customStyle="1">
    <w:name w:val="xl24"/>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7" w:customStyle="1">
    <w:name w:val="xl29"/>
    <w:basedOn w:val="67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38" w:customStyle="1">
    <w:name w:val="Char Char Char Char Char Char Char Char"/>
    <w:basedOn w:val="677"/>
    <w:uiPriority w:val="0"/>
    <w:qFormat/>
    <w:pPr>
      <w:jc w:val="left"/>
      <w:spacing w:after="160" w:line="240" w:lineRule="exact"/>
      <w:widowControl/>
    </w:pPr>
    <w:rPr>
      <w:rFonts w:ascii="Verdana" w:hAnsi="Verdana" w:eastAsia="宋体" w:cs="Times New Roman"/>
      <w:sz w:val="20"/>
      <w:szCs w:val="20"/>
      <w:lang w:eastAsia="en-US"/>
    </w:rPr>
  </w:style>
  <w:style w:type="paragraph" w:styleId="939" w:customStyle="1">
    <w:name w:val="xl28"/>
    <w:basedOn w:val="67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0" w:customStyle="1">
    <w:name w:val=" Char Char Char Char Char Char Char Char"/>
    <w:basedOn w:val="677"/>
    <w:uiPriority w:val="0"/>
    <w:qFormat/>
    <w:pPr>
      <w:jc w:val="left"/>
      <w:spacing w:after="160" w:line="240" w:lineRule="exact"/>
      <w:widowControl/>
    </w:pPr>
    <w:rPr>
      <w:rFonts w:ascii="Verdana" w:hAnsi="Verdana" w:eastAsia="宋体" w:cs="Times New Roman"/>
      <w:sz w:val="20"/>
      <w:szCs w:val="20"/>
      <w:lang w:eastAsia="en-US"/>
    </w:rPr>
  </w:style>
  <w:style w:type="paragraph" w:styleId="941" w:customStyle="1">
    <w:name w:val="xl30"/>
    <w:basedOn w:val="67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2" w:customStyle="1">
    <w:name w:val="Char Char Char Char"/>
    <w:basedOn w:val="693"/>
    <w:uiPriority w:val="0"/>
    <w:qFormat/>
    <w:pPr>
      <w:spacing w:line="360" w:lineRule="auto"/>
    </w:pPr>
    <w:rPr>
      <w:rFonts w:ascii="Tahoma" w:hAnsi="Tahoma"/>
      <w:sz w:val="24"/>
      <w:szCs w:val="24"/>
    </w:rPr>
  </w:style>
  <w:style w:type="paragraph" w:styleId="943" w:customStyle="1">
    <w:name w:val="table_1stline"/>
    <w:basedOn w:val="677"/>
    <w:uiPriority w:val="0"/>
    <w:qFormat/>
    <w:pPr>
      <w:jc w:val="left"/>
      <w:spacing w:before="120"/>
      <w:widowControl/>
    </w:pPr>
    <w:rPr>
      <w:rFonts w:ascii="Times New Roman" w:hAnsi="Times New Roman" w:eastAsia="宋体" w:cs="Times New Roman"/>
      <w:bCs/>
      <w:sz w:val="20"/>
      <w:szCs w:val="20"/>
      <w:lang w:val="de-DE" w:eastAsia="de-DE"/>
    </w:rPr>
  </w:style>
  <w:style w:type="paragraph" w:styleId="944" w:customStyle="1">
    <w:name w:val="font5"/>
    <w:basedOn w:val="67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5" w:customStyle="1">
    <w:name w:val="标题1"/>
    <w:basedOn w:val="677"/>
    <w:next w:val="67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6"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4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9" w:customStyle="1">
    <w:name w:val="_正文"/>
    <w:basedOn w:val="677"/>
    <w:uiPriority w:val="0"/>
    <w:qFormat/>
    <w:pPr>
      <w:ind w:firstLine="560"/>
      <w:spacing w:line="360" w:lineRule="auto"/>
    </w:pPr>
    <w:rPr>
      <w:sz w:val="28"/>
      <w:szCs w:val="28"/>
      <w:lang w:val="zh-CN"/>
    </w:rPr>
  </w:style>
  <w:style w:type="character" w:styleId="950" w:customStyle="1">
    <w:name w:val="页脚 字符"/>
    <w:basedOn w:val="951"/>
    <w:link w:val="952"/>
    <w:uiPriority w:val="99"/>
    <w:qFormat/>
    <w:rPr>
      <w:rFonts w:ascii="Times New Roman" w:hAnsi="Times New Roman" w:eastAsia="宋体" w:cs="Times New Roman"/>
      <w:sz w:val="18"/>
      <w:szCs w:val="18"/>
    </w:rPr>
  </w:style>
  <w:style w:type="character" w:styleId="951" w:customStyle="1">
    <w:name w:val="默认段落字体1"/>
    <w:link w:val="677"/>
    <w:uiPriority w:val="1"/>
    <w:unhideWhenUsed/>
    <w:qFormat/>
    <w:rPr>
      <w:rFonts w:hint="default" w:ascii="Times New Roman" w:hAnsi="Times New Roman" w:eastAsia="宋体" w:cs="Times New Roman"/>
      <w:sz w:val="21"/>
      <w:szCs w:val="22"/>
      <w:lang w:val="en-US" w:eastAsia="zh-CN" w:bidi="ar-SA"/>
    </w:rPr>
  </w:style>
  <w:style w:type="paragraph" w:styleId="952" w:customStyle="1">
    <w:name w:val="页脚1"/>
    <w:basedOn w:val="677"/>
    <w:link w:val="950"/>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53" w:customStyle="1">
    <w:name w:val="标题 411"/>
    <w:basedOn w:val="677"/>
    <w:next w:val="954"/>
    <w:uiPriority w:val="9"/>
    <w:qFormat/>
    <w:pPr>
      <w:keepLines/>
      <w:keepNext/>
      <w:spacing w:before="320" w:after="200"/>
      <w:outlineLvl w:val="3"/>
    </w:pPr>
    <w:rPr>
      <w:rFonts w:ascii="Arial" w:hAnsi="Arial" w:eastAsia="Arial" w:cs="Arial"/>
      <w:b/>
      <w:bCs/>
      <w:sz w:val="26"/>
      <w:szCs w:val="26"/>
    </w:rPr>
  </w:style>
  <w:style w:type="paragraph" w:styleId="954" w:customStyle="1">
    <w:name w:val="正文缩进11"/>
    <w:basedOn w:val="677"/>
    <w:uiPriority w:val="99"/>
    <w:qFormat/>
    <w:pPr>
      <w:ind w:firstLine="420"/>
    </w:pPr>
  </w:style>
  <w:style w:type="paragraph" w:styleId="955" w:customStyle="1">
    <w:name w:val="普通(网站)2"/>
    <w:basedOn w:val="677"/>
    <w:uiPriority w:val="99"/>
    <w:unhideWhenUsed/>
    <w:qFormat/>
    <w:pPr>
      <w:jc w:val="left"/>
      <w:spacing w:beforeAutospacing="1" w:afterAutospacing="1"/>
    </w:pPr>
    <w:rPr>
      <w:sz w:val="24"/>
    </w:rPr>
  </w:style>
  <w:style w:type="paragraph" w:styleId="956" w:customStyle="1">
    <w:name w:val="标题 21"/>
    <w:basedOn w:val="677"/>
    <w:next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
    <w:basedOn w:val="677"/>
    <w:uiPriority w:val="0"/>
    <w:qFormat/>
    <w:pPr>
      <w:ind w:firstLine="420"/>
    </w:pPr>
  </w:style>
  <w:style w:type="paragraph" w:styleId="958" w:customStyle="1">
    <w:name w:val="标题 31"/>
    <w:basedOn w:val="677"/>
    <w:next w:val="957"/>
    <w:uiPriority w:val="0"/>
    <w:qFormat/>
    <w:pPr>
      <w:keepLines/>
      <w:keepNext/>
      <w:spacing w:before="260" w:after="260" w:line="416" w:lineRule="auto"/>
      <w:outlineLvl w:val="2"/>
    </w:pPr>
    <w:rPr>
      <w:b/>
      <w:bCs/>
      <w:sz w:val="32"/>
      <w:szCs w:val="32"/>
    </w:rPr>
  </w:style>
  <w:style w:type="paragraph" w:styleId="959" w:customStyle="1">
    <w:name w:val="标题 41"/>
    <w:basedOn w:val="677"/>
    <w:next w:val="957"/>
    <w:uiPriority w:val="0"/>
    <w:qFormat/>
    <w:pPr>
      <w:keepLines/>
      <w:keepNext/>
      <w:spacing w:before="280" w:after="290" w:line="376" w:lineRule="auto"/>
      <w:outlineLvl w:val="3"/>
    </w:pPr>
    <w:rPr>
      <w:rFonts w:ascii="Arial" w:hAnsi="Arial" w:eastAsia="黑体" w:cs="Arial"/>
      <w:b/>
      <w:bCs/>
      <w:sz w:val="28"/>
      <w:szCs w:val="28"/>
    </w:rPr>
  </w:style>
  <w:style w:type="paragraph" w:styleId="960" w:customStyle="1">
    <w:name w:val="标题 11"/>
    <w:basedOn w:val="677"/>
    <w:next w:val="677"/>
    <w:uiPriority w:val="0"/>
    <w:qFormat/>
    <w:pPr>
      <w:jc w:val="center"/>
      <w:keepNext/>
      <w:outlineLvl w:val="0"/>
    </w:pPr>
    <w:rPr>
      <w:rFonts w:ascii="楷体_GB2312" w:eastAsia="楷体_GB2312"/>
      <w:sz w:val="28"/>
      <w:szCs w:val="28"/>
    </w:rPr>
  </w:style>
  <w:style w:type="paragraph" w:styleId="961" w:customStyle="1">
    <w:name w:val="纯文本1"/>
    <w:basedOn w:val="677"/>
    <w:uiPriority w:val="0"/>
    <w:qFormat/>
    <w:rPr>
      <w:rFonts w:ascii="宋体" w:hAnsi="Courier New" w:cs="Courier New"/>
    </w:rPr>
  </w:style>
  <w:style w:type="numbering" w:styleId="12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张睿</cp:lastModifiedBy>
  <cp:revision>2</cp:revision>
  <dcterms:created xsi:type="dcterms:W3CDTF">2023-03-16T10:13:00Z</dcterms:created>
  <dcterms:modified xsi:type="dcterms:W3CDTF">2026-09-28T03:04:32Z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2052-12.1.0.28505</vt:lpwstr>
  </property>
  <property fmtid="{D5CDD505-2E9C-101B-9397-08002B2CF9AE}" pid="4" name="ICV">
    <vt:lpwstr>A4962B49327341AEB67F6AD45893126D_13</vt:lpwstr>
  </property>
</Properties>
</file>