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5"/>
        <w:ind w:firstLine="0"/>
        <w:jc w:val="both"/>
        <w:rPr>
          <w:rFonts w:hint="eastAsia" w:ascii="宋体" w:hAnsi="宋体" w:eastAsia="宋体" w:cs="宋体"/>
          <w:b/>
          <w:bCs/>
          <w:color w:val="000000"/>
          <w:sz w:val="84"/>
        </w:rPr>
      </w:pPr>
      <w:r>
        <w:rPr>
          <w:rFonts w:hint="eastAsia" w:ascii="宋体" w:hAnsi="宋体" w:eastAsia="宋体" w:cs="宋体"/>
          <w:b/>
          <w:bCs/>
          <w:color w:val="000000"/>
          <w:sz w:val="84"/>
        </w:rPr>
      </w:r>
      <w:r/>
    </w:p>
    <w:p>
      <w:pPr>
        <w:pStyle w:val="1085"/>
        <w:ind w:firstLine="0"/>
        <w:jc w:val="center"/>
        <w:rPr>
          <w:rFonts w:hint="eastAsia" w:ascii="宋体" w:hAnsi="宋体" w:eastAsia="宋体" w:cs="宋体"/>
          <w:b/>
          <w:bCs/>
          <w:color w:val="000000"/>
          <w:sz w:val="84"/>
        </w:rPr>
      </w:pPr>
      <w:r>
        <w:rPr>
          <w:rFonts w:hint="eastAsia" w:ascii="宋体" w:hAnsi="宋体" w:eastAsia="宋体" w:cs="宋体"/>
          <w:b/>
          <w:bCs/>
          <w:color w:val="000000"/>
          <w:sz w:val="84"/>
        </w:rPr>
        <w:t xml:space="preserve">招标文件</w:t>
      </w:r>
      <w:r/>
    </w:p>
    <w:p>
      <w:pPr>
        <w:pStyle w:val="1085"/>
        <w:ind w:left="0" w:firstLine="0"/>
        <w:jc w:val="center"/>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1085"/>
        <w:ind w:left="0" w:firstLine="0"/>
        <w:jc w:val="center"/>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1085"/>
        <w:ind w:left="0" w:firstLine="0"/>
        <w:jc w:val="center"/>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1085"/>
        <w:ind w:left="0" w:firstLine="0"/>
        <w:jc w:val="center"/>
        <w:rPr>
          <w:rFonts w:hint="eastAsia" w:ascii="宋体" w:hAnsi="宋体" w:eastAsia="宋体" w:cs="宋体"/>
          <w:b/>
          <w:bCs/>
          <w:sz w:val="32"/>
          <w:highlight w:val="none"/>
          <w:lang w:eastAsia="zh-CN"/>
        </w:rPr>
      </w:pPr>
      <w:r>
        <w:rPr>
          <w:rFonts w:hint="eastAsia" w:ascii="宋体" w:hAnsi="宋体" w:eastAsia="宋体" w:cs="宋体"/>
          <w:b/>
          <w:bCs/>
          <w:sz w:val="32"/>
          <w:highlight w:val="none"/>
        </w:rPr>
        <w:t xml:space="preserve">项目名称：</w:t>
      </w:r>
      <w:r>
        <w:rPr>
          <w:rFonts w:hint="eastAsia" w:ascii="宋体" w:hAnsi="宋体" w:eastAsia="宋体" w:cs="宋体"/>
          <w:b/>
          <w:bCs/>
          <w:sz w:val="32"/>
          <w:highlight w:val="none"/>
          <w:lang w:eastAsia="zh-CN"/>
        </w:rPr>
        <w:t xml:space="preserve">高邮市界首镇集镇环境服务社会化管理服务项目</w:t>
      </w:r>
      <w:r/>
    </w:p>
    <w:p>
      <w:pPr>
        <w:pStyle w:val="1085"/>
        <w:ind w:left="0" w:firstLine="0"/>
        <w:jc w:val="center"/>
        <w:rPr>
          <w:rFonts w:hint="eastAsia" w:ascii="宋体" w:hAnsi="宋体" w:eastAsia="宋体" w:cs="宋体"/>
          <w:b/>
          <w:sz w:val="30"/>
          <w:szCs w:val="30"/>
          <w:highlight w:val="none"/>
          <w:lang w:eastAsia="zh-CN"/>
        </w:rPr>
      </w:pPr>
      <w:r>
        <w:rPr>
          <w:rFonts w:hint="eastAsia" w:ascii="宋体" w:hAnsi="宋体" w:eastAsia="宋体" w:cs="宋体"/>
          <w:b/>
          <w:bCs/>
          <w:sz w:val="32"/>
          <w:highlight w:val="none"/>
        </w:rPr>
        <w:t xml:space="preserve">项目编号：</w:t>
      </w:r>
      <w:r>
        <w:rPr>
          <w:rFonts w:hint="eastAsia" w:ascii="宋体" w:hAnsi="宋体" w:cs="宋体"/>
          <w:b/>
          <w:bCs/>
          <w:sz w:val="32"/>
          <w:highlight w:val="none"/>
          <w:lang w:eastAsia="zh-CN"/>
        </w:rPr>
        <w:t xml:space="preserve">JSZC-321084-JYZX-G2026-0008</w:t>
      </w:r>
      <w:r/>
    </w:p>
    <w:p>
      <w:pPr>
        <w:pStyle w:val="1085"/>
        <w:ind w:firstLine="0"/>
        <w:jc w:val="center"/>
        <w:rPr>
          <w:rFonts w:hint="eastAsia" w:ascii="宋体" w:hAnsi="宋体" w:eastAsia="宋体" w:cs="宋体"/>
          <w:b/>
          <w:bCs/>
          <w:color w:val="000000"/>
          <w:sz w:val="32"/>
          <w:lang w:val="en-US" w:eastAsia="zh-CN"/>
        </w:rPr>
      </w:pPr>
      <w:r>
        <w:rPr>
          <w:rFonts w:hint="eastAsia" w:ascii="宋体" w:hAnsi="宋体" w:eastAsia="宋体" w:cs="宋体"/>
          <w:b/>
          <w:bCs/>
          <w:color w:val="000000"/>
          <w:sz w:val="32"/>
          <w:lang w:val="en-US" w:eastAsia="zh-CN"/>
        </w:rPr>
      </w:r>
      <w:r/>
    </w:p>
    <w:p>
      <w:pPr>
        <w:pStyle w:val="1085"/>
        <w:ind w:firstLine="0"/>
        <w:jc w:val="center"/>
        <w:rPr>
          <w:rFonts w:hint="eastAsia" w:ascii="宋体" w:hAnsi="宋体" w:eastAsia="宋体" w:cs="宋体"/>
          <w:b/>
          <w:bCs/>
          <w:color w:val="000000"/>
          <w:sz w:val="32"/>
          <w:lang w:val="en-US" w:eastAsia="zh-CN"/>
        </w:rPr>
      </w:pPr>
      <w:r>
        <w:rPr>
          <w:rFonts w:hint="eastAsia" w:ascii="宋体" w:hAnsi="宋体" w:eastAsia="宋体" w:cs="宋体"/>
          <w:b/>
          <w:bCs/>
          <w:color w:val="000000"/>
          <w:sz w:val="32"/>
          <w:lang w:val="en-US" w:eastAsia="zh-CN"/>
        </w:rPr>
      </w:r>
      <w:r/>
    </w:p>
    <w:p>
      <w:pPr>
        <w:pStyle w:val="1085"/>
        <w:ind w:firstLine="0"/>
        <w:jc w:val="center"/>
        <w:rPr>
          <w:rFonts w:hint="eastAsia" w:ascii="宋体" w:hAnsi="宋体" w:eastAsia="宋体" w:cs="宋体"/>
          <w:b/>
          <w:bCs/>
          <w:color w:val="000000"/>
          <w:sz w:val="32"/>
          <w:lang w:val="en-US" w:eastAsia="zh-CN"/>
        </w:rPr>
      </w:pPr>
      <w:r>
        <w:rPr>
          <w:rFonts w:hint="eastAsia" w:ascii="宋体" w:hAnsi="宋体" w:eastAsia="宋体" w:cs="宋体"/>
          <w:b/>
          <w:bCs/>
          <w:color w:val="000000"/>
          <w:sz w:val="32"/>
          <w:lang w:val="en-US" w:eastAsia="zh-CN"/>
        </w:rPr>
      </w:r>
      <w:r/>
    </w:p>
    <w:p>
      <w:pPr>
        <w:pStyle w:val="1085"/>
        <w:ind w:firstLine="0"/>
        <w:jc w:val="center"/>
        <w:rPr>
          <w:rFonts w:hint="eastAsia" w:ascii="宋体" w:hAnsi="宋体" w:eastAsia="宋体" w:cs="宋体"/>
          <w:b/>
          <w:bCs/>
          <w:color w:val="000000"/>
          <w:sz w:val="32"/>
          <w:lang w:val="en-US" w:eastAsia="zh-CN"/>
        </w:rPr>
      </w:pPr>
      <w:r>
        <w:rPr>
          <w:rFonts w:hint="eastAsia" w:ascii="宋体" w:hAnsi="宋体" w:eastAsia="宋体" w:cs="宋体"/>
          <w:b/>
          <w:bCs/>
          <w:color w:val="000000"/>
          <w:sz w:val="32"/>
          <w:lang w:val="en-US" w:eastAsia="zh-CN"/>
        </w:rPr>
      </w:r>
      <w:r/>
    </w:p>
    <w:p>
      <w:pPr>
        <w:pStyle w:val="1085"/>
        <w:ind w:firstLine="0"/>
        <w:jc w:val="center"/>
        <w:spacing w:line="360" w:lineRule="auto"/>
        <w:rPr>
          <w:rFonts w:hint="eastAsia" w:ascii="宋体" w:hAnsi="宋体" w:eastAsia="宋体" w:cs="宋体"/>
          <w:b/>
          <w:bCs/>
          <w:color w:val="000000"/>
          <w:sz w:val="32"/>
          <w:lang w:val="en-US" w:eastAsia="zh-CN"/>
        </w:rPr>
      </w:pPr>
      <w:r>
        <w:rPr>
          <w:rFonts w:hint="eastAsia" w:ascii="宋体" w:hAnsi="宋体" w:eastAsia="宋体" w:cs="宋体"/>
          <w:b/>
          <w:bCs/>
          <w:color w:val="000000"/>
          <w:sz w:val="32"/>
          <w:lang w:val="en-US" w:eastAsia="zh-CN"/>
        </w:rPr>
        <w:t xml:space="preserve">高邮市界首镇人民政府</w:t>
      </w:r>
      <w:r/>
    </w:p>
    <w:p>
      <w:pPr>
        <w:pStyle w:val="1085"/>
        <w:ind w:firstLine="0"/>
        <w:jc w:val="center"/>
        <w:spacing w:line="360" w:lineRule="auto"/>
        <w:rPr>
          <w:rFonts w:hint="eastAsia" w:ascii="宋体" w:hAnsi="宋体" w:eastAsia="宋体" w:cs="宋体"/>
          <w:b/>
          <w:bCs/>
          <w:color w:val="000000"/>
          <w:sz w:val="32"/>
          <w:lang w:val="en-US" w:eastAsia="zh-CN"/>
        </w:rPr>
      </w:pPr>
      <w:r>
        <w:rPr>
          <w:rFonts w:hint="eastAsia" w:ascii="宋体" w:hAnsi="宋体" w:eastAsia="宋体" w:cs="宋体"/>
          <w:b/>
          <w:bCs/>
          <w:color w:val="000000"/>
          <w:sz w:val="32"/>
          <w:lang w:val="en-US" w:eastAsia="zh-CN"/>
        </w:rPr>
        <w:t xml:space="preserve">扬州九域工程咨询有限公司</w:t>
      </w:r>
      <w:r/>
    </w:p>
    <w:p>
      <w:pPr>
        <w:pStyle w:val="1085"/>
        <w:ind w:firstLine="0"/>
        <w:jc w:val="center"/>
        <w:spacing w:line="360" w:lineRule="auto"/>
        <w:rPr>
          <w:rFonts w:hint="eastAsia" w:ascii="宋体" w:hAnsi="宋体" w:eastAsia="宋体" w:cs="宋体"/>
          <w:color w:val="000000"/>
        </w:rPr>
      </w:pPr>
      <w:r>
        <w:rPr>
          <w:rFonts w:hint="eastAsia" w:ascii="宋体" w:hAnsi="宋体" w:eastAsia="宋体" w:cs="宋体"/>
          <w:b/>
          <w:bCs/>
          <w:color w:val="000000"/>
          <w:sz w:val="32"/>
          <w:u w:val="none"/>
          <w:lang w:val="en-US" w:eastAsia="zh-CN"/>
        </w:rPr>
        <w:t xml:space="preserve">2026</w:t>
      </w:r>
      <w:r>
        <w:rPr>
          <w:rFonts w:hint="eastAsia" w:ascii="宋体" w:hAnsi="宋体" w:eastAsia="宋体" w:cs="宋体"/>
          <w:b/>
          <w:bCs/>
          <w:color w:val="000000"/>
          <w:sz w:val="32"/>
          <w:u w:val="none"/>
        </w:rPr>
        <w:t xml:space="preserve">年</w:t>
      </w:r>
      <w:r>
        <w:rPr>
          <w:rFonts w:hint="eastAsia" w:ascii="宋体" w:hAnsi="宋体" w:cs="宋体"/>
          <w:b/>
          <w:bCs/>
          <w:color w:val="000000"/>
          <w:sz w:val="32"/>
          <w:u w:val="none"/>
          <w:lang w:val="en-US" w:eastAsia="zh-CN"/>
        </w:rPr>
        <w:t xml:space="preserve">10</w:t>
      </w:r>
      <w:r>
        <w:rPr>
          <w:rFonts w:hint="eastAsia" w:ascii="宋体" w:hAnsi="宋体" w:eastAsia="宋体" w:cs="宋体"/>
          <w:b/>
          <w:bCs/>
          <w:color w:val="000000"/>
          <w:sz w:val="32"/>
          <w:u w:val="none"/>
        </w:rPr>
        <w:t xml:space="preserve">月</w:t>
      </w:r>
      <w:r>
        <w:rPr>
          <w:rFonts w:hint="eastAsia" w:ascii="宋体" w:hAnsi="宋体" w:eastAsia="宋体" w:cs="宋体"/>
          <w:color w:val="000000"/>
        </w:rPr>
        <w:t xml:space="preserve">                        </w:t>
      </w:r>
      <w:r/>
    </w:p>
    <w:p>
      <w:pPr>
        <w:jc w:val="center"/>
        <w:spacing w:line="480" w:lineRule="auto"/>
        <w:rPr>
          <w:rFonts w:hint="eastAsia" w:ascii="宋体" w:hAnsi="宋体" w:eastAsia="宋体" w:cs="宋体"/>
          <w:color w:val="000000"/>
        </w:rPr>
        <w:sectPr>
          <w:headerReference w:type="default" r:id="rId9"/>
          <w:footerReference w:type="default" r:id="rId14"/>
          <w:footnotePr/>
          <w:endnotePr/>
          <w:type w:val="nextPage"/>
          <w:pgSz w:w="11905" w:h="16838" w:orient="portrait"/>
          <w:pgMar w:top="1134" w:right="1134" w:bottom="1134" w:left="1134" w:header="0" w:footer="1020" w:gutter="0"/>
          <w:cols w:num="1" w:sep="0" w:space="0" w:equalWidth="1"/>
          <w:docGrid w:linePitch="360"/>
        </w:sectPr>
        <w:outlineLvl w:val="0"/>
      </w:pPr>
      <w:r/>
      <w:bookmarkStart w:id="0" w:name="_Toc120614210"/>
      <w:r/>
      <w:bookmarkStart w:id="1" w:name="_Toc20823272"/>
      <w:r/>
      <w:bookmarkStart w:id="2" w:name="_Toc513029200"/>
      <w:r/>
      <w:bookmarkStart w:id="3" w:name="_Toc16938516"/>
      <w:r/>
      <w:bookmarkStart w:id="4" w:name="_Toc479757206"/>
      <w:r/>
      <w:bookmarkStart w:id="5" w:name="_Toc523127445"/>
      <w:r/>
      <w:r/>
    </w:p>
    <w:p>
      <w:pPr>
        <w:jc w:val="center"/>
        <w:rPr>
          <w:rFonts w:hint="eastAsia" w:ascii="宋体" w:hAnsi="宋体" w:eastAsia="宋体" w:cs="宋体"/>
          <w:b/>
          <w:color w:val="000000"/>
          <w:sz w:val="44"/>
        </w:rPr>
      </w:pPr>
      <w:r>
        <w:rPr>
          <w:rFonts w:hint="eastAsia" w:ascii="宋体" w:hAnsi="宋体" w:eastAsia="宋体" w:cs="宋体"/>
          <w:b/>
          <w:color w:val="000000"/>
          <w:sz w:val="44"/>
        </w:rPr>
        <w:t xml:space="preserve">总  目  录</w:t>
      </w:r>
      <w:r/>
    </w:p>
    <w:p>
      <w:pPr>
        <w:spacing w:line="480" w:lineRule="auto"/>
        <w:rPr>
          <w:rFonts w:hint="eastAsia" w:ascii="宋体" w:hAnsi="宋体" w:eastAsia="宋体" w:cs="宋体"/>
          <w:b/>
          <w:color w:val="000000"/>
          <w:sz w:val="28"/>
        </w:rPr>
      </w:pPr>
      <w:r>
        <w:rPr>
          <w:rFonts w:hint="eastAsia" w:ascii="宋体" w:hAnsi="宋体" w:eastAsia="宋体" w:cs="宋体"/>
          <w:b/>
          <w:color w:val="000000"/>
          <w:sz w:val="28"/>
        </w:rPr>
      </w:r>
      <w:r/>
    </w:p>
    <w:p>
      <w:pPr>
        <w:numPr>
          <w:ilvl w:val="0"/>
          <w:numId w:val="5"/>
        </w:numPr>
        <w:spacing w:line="360" w:lineRule="auto"/>
        <w:rPr>
          <w:rFonts w:hint="eastAsia" w:ascii="宋体" w:hAnsi="宋体" w:eastAsia="宋体" w:cs="宋体"/>
          <w:color w:val="000000"/>
          <w:sz w:val="32"/>
          <w:szCs w:val="32"/>
        </w:rPr>
        <w:outlineLvl w:val="0"/>
      </w:pPr>
      <w:r>
        <w:rPr>
          <w:rFonts w:hint="eastAsia" w:ascii="宋体" w:hAnsi="宋体" w:eastAsia="宋体" w:cs="宋体"/>
          <w:color w:val="000000"/>
          <w:sz w:val="32"/>
          <w:szCs w:val="32"/>
        </w:rPr>
        <w:t xml:space="preserve">投标邀请</w:t>
      </w:r>
      <w:r>
        <w:rPr>
          <w:rFonts w:hint="eastAsia" w:ascii="宋体" w:hAnsi="宋体" w:eastAsia="宋体" w:cs="宋体"/>
          <w:color w:val="000000"/>
          <w:sz w:val="32"/>
          <w:szCs w:val="32"/>
          <w:lang w:val="en-US" w:eastAsia="zh-CN"/>
        </w:rPr>
        <w:t xml:space="preserve">  </w:t>
      </w:r>
      <w:r>
        <w:rPr>
          <w:rFonts w:hint="eastAsia" w:ascii="宋体" w:hAnsi="宋体" w:eastAsia="宋体" w:cs="宋体"/>
          <w:color w:val="000000"/>
          <w:sz w:val="32"/>
          <w:szCs w:val="32"/>
        </w:rPr>
        <w:t xml:space="preserve">……………………………………</w:t>
      </w:r>
      <w:r>
        <w:rPr>
          <w:rFonts w:hint="eastAsia" w:ascii="宋体" w:hAnsi="宋体" w:eastAsia="宋体" w:cs="宋体"/>
          <w:color w:val="000000"/>
          <w:sz w:val="32"/>
          <w:szCs w:val="32"/>
          <w:lang w:val="en-US" w:eastAsia="zh-CN"/>
        </w:rPr>
        <w:t xml:space="preserve">1</w:t>
      </w:r>
      <w:r>
        <w:rPr>
          <w:rFonts w:hint="eastAsia" w:ascii="宋体" w:hAnsi="宋体" w:eastAsia="宋体" w:cs="宋体"/>
          <w:color w:val="000000"/>
          <w:sz w:val="32"/>
          <w:szCs w:val="32"/>
        </w:rPr>
        <w:t xml:space="preserve"> </w:t>
      </w:r>
      <w:r/>
    </w:p>
    <w:p>
      <w:pPr>
        <w:numPr>
          <w:ilvl w:val="0"/>
          <w:numId w:val="5"/>
        </w:numPr>
        <w:spacing w:line="360" w:lineRule="auto"/>
        <w:rPr>
          <w:rFonts w:hint="eastAsia" w:ascii="宋体" w:hAnsi="宋体" w:eastAsia="宋体" w:cs="宋体"/>
          <w:color w:val="000000"/>
          <w:sz w:val="32"/>
          <w:szCs w:val="32"/>
        </w:rPr>
        <w:outlineLvl w:val="0"/>
      </w:pPr>
      <w:r>
        <w:rPr>
          <w:rFonts w:hint="eastAsia" w:ascii="宋体" w:hAnsi="宋体" w:eastAsia="宋体" w:cs="宋体"/>
          <w:bCs/>
          <w:color w:val="000000"/>
          <w:sz w:val="32"/>
          <w:szCs w:val="32"/>
        </w:rPr>
        <w:t xml:space="preserve">投标人须知</w:t>
      </w:r>
      <w:r>
        <w:rPr>
          <w:rFonts w:hint="eastAsia" w:ascii="宋体" w:hAnsi="宋体" w:eastAsia="宋体" w:cs="宋体"/>
          <w:bCs/>
          <w:color w:val="000000"/>
          <w:sz w:val="32"/>
          <w:szCs w:val="32"/>
          <w:lang w:val="en-US" w:eastAsia="zh-CN"/>
        </w:rPr>
        <w:t xml:space="preserve">  </w:t>
      </w:r>
      <w:r>
        <w:rPr>
          <w:rFonts w:hint="eastAsia" w:ascii="宋体" w:hAnsi="宋体" w:eastAsia="宋体" w:cs="宋体"/>
          <w:color w:val="000000"/>
          <w:sz w:val="32"/>
          <w:szCs w:val="32"/>
        </w:rPr>
        <w:t xml:space="preserve">…………………………………</w:t>
      </w:r>
      <w:r>
        <w:rPr>
          <w:rFonts w:hint="eastAsia" w:ascii="宋体" w:hAnsi="宋体" w:eastAsia="宋体" w:cs="宋体"/>
          <w:color w:val="000000"/>
          <w:sz w:val="32"/>
          <w:szCs w:val="32"/>
          <w:lang w:val="en-US" w:eastAsia="zh-CN"/>
        </w:rPr>
        <w:t xml:space="preserve">4</w:t>
      </w:r>
      <w:r>
        <w:rPr>
          <w:rFonts w:hint="eastAsia" w:ascii="宋体" w:hAnsi="宋体" w:eastAsia="宋体" w:cs="宋体"/>
          <w:color w:val="000000"/>
          <w:sz w:val="32"/>
          <w:szCs w:val="32"/>
        </w:rPr>
        <w:t xml:space="preserve">  </w:t>
      </w:r>
      <w:r/>
    </w:p>
    <w:p>
      <w:pPr>
        <w:numPr>
          <w:ilvl w:val="0"/>
          <w:numId w:val="5"/>
        </w:numPr>
        <w:spacing w:line="360" w:lineRule="auto"/>
        <w:rPr>
          <w:rFonts w:hint="eastAsia" w:ascii="宋体" w:hAnsi="宋体" w:eastAsia="宋体" w:cs="宋体"/>
          <w:color w:val="000000"/>
          <w:sz w:val="32"/>
          <w:szCs w:val="32"/>
        </w:rPr>
        <w:outlineLvl w:val="0"/>
      </w:pPr>
      <w:r>
        <w:rPr>
          <w:rFonts w:hint="eastAsia" w:ascii="宋体" w:hAnsi="宋体" w:eastAsia="宋体" w:cs="宋体"/>
          <w:color w:val="000000"/>
          <w:sz w:val="32"/>
          <w:szCs w:val="32"/>
        </w:rPr>
        <w:t xml:space="preserve">合同文本</w:t>
      </w:r>
      <w:r>
        <w:rPr>
          <w:rFonts w:hint="eastAsia" w:ascii="宋体" w:hAnsi="宋体" w:eastAsia="宋体" w:cs="宋体"/>
          <w:color w:val="000000"/>
          <w:sz w:val="32"/>
          <w:szCs w:val="32"/>
          <w:lang w:val="en-US" w:eastAsia="zh-CN"/>
        </w:rPr>
        <w:t xml:space="preserve"> </w:t>
      </w:r>
      <w:r>
        <w:rPr>
          <w:rFonts w:hint="eastAsia" w:ascii="宋体" w:hAnsi="宋体" w:eastAsia="宋体" w:cs="宋体"/>
          <w:color w:val="000000"/>
          <w:sz w:val="32"/>
          <w:szCs w:val="32"/>
        </w:rPr>
        <w:t xml:space="preserve">……………………………………</w:t>
      </w:r>
      <w:r>
        <w:rPr>
          <w:rFonts w:hint="eastAsia" w:ascii="宋体" w:hAnsi="宋体" w:eastAsia="宋体" w:cs="宋体"/>
          <w:color w:val="000000"/>
          <w:sz w:val="32"/>
          <w:szCs w:val="32"/>
          <w:lang w:val="en-US" w:eastAsia="zh-CN"/>
        </w:rPr>
        <w:t xml:space="preserve">13</w:t>
      </w:r>
      <w:r/>
    </w:p>
    <w:p>
      <w:pPr>
        <w:numPr>
          <w:ilvl w:val="0"/>
          <w:numId w:val="5"/>
        </w:numPr>
        <w:spacing w:line="360" w:lineRule="auto"/>
        <w:rPr>
          <w:rFonts w:hint="eastAsia" w:ascii="宋体" w:hAnsi="宋体" w:eastAsia="宋体" w:cs="宋体"/>
          <w:color w:val="000000"/>
          <w:sz w:val="32"/>
          <w:szCs w:val="32"/>
        </w:rPr>
        <w:outlineLvl w:val="0"/>
      </w:pPr>
      <w:r>
        <w:rPr>
          <w:rFonts w:hint="eastAsia" w:ascii="宋体" w:hAnsi="宋体" w:eastAsia="宋体" w:cs="宋体"/>
          <w:color w:val="000000"/>
          <w:sz w:val="32"/>
          <w:szCs w:val="32"/>
        </w:rPr>
        <w:t xml:space="preserve">采购需求</w:t>
      </w:r>
      <w:r>
        <w:rPr>
          <w:rFonts w:hint="eastAsia" w:ascii="宋体" w:hAnsi="宋体" w:eastAsia="宋体" w:cs="宋体"/>
          <w:color w:val="000000"/>
          <w:sz w:val="32"/>
          <w:szCs w:val="32"/>
          <w:lang w:val="en-US" w:eastAsia="zh-CN"/>
        </w:rPr>
        <w:t xml:space="preserve"> </w:t>
      </w:r>
      <w:r>
        <w:rPr>
          <w:rFonts w:hint="eastAsia" w:ascii="宋体" w:hAnsi="宋体" w:eastAsia="宋体" w:cs="宋体"/>
          <w:color w:val="000000"/>
          <w:sz w:val="32"/>
          <w:szCs w:val="32"/>
        </w:rPr>
        <w:t xml:space="preserve">……………………………………</w:t>
      </w:r>
      <w:r>
        <w:rPr>
          <w:rFonts w:hint="eastAsia" w:ascii="宋体" w:hAnsi="宋体" w:eastAsia="宋体" w:cs="宋体"/>
          <w:color w:val="000000"/>
          <w:sz w:val="32"/>
          <w:szCs w:val="32"/>
          <w:lang w:val="en-US" w:eastAsia="zh-CN"/>
        </w:rPr>
        <w:t xml:space="preserve">19</w:t>
      </w:r>
      <w:r/>
    </w:p>
    <w:p>
      <w:pPr>
        <w:numPr>
          <w:ilvl w:val="0"/>
          <w:numId w:val="5"/>
        </w:numPr>
        <w:spacing w:line="360" w:lineRule="auto"/>
        <w:rPr>
          <w:rFonts w:hint="eastAsia" w:ascii="宋体" w:hAnsi="宋体" w:eastAsia="宋体" w:cs="宋体"/>
          <w:color w:val="000000"/>
          <w:sz w:val="32"/>
          <w:szCs w:val="32"/>
        </w:rPr>
        <w:outlineLvl w:val="0"/>
      </w:pPr>
      <w:r>
        <w:rPr>
          <w:rFonts w:hint="eastAsia" w:ascii="宋体" w:hAnsi="宋体" w:eastAsia="宋体" w:cs="宋体"/>
          <w:bCs/>
          <w:color w:val="000000"/>
          <w:sz w:val="32"/>
          <w:szCs w:val="32"/>
        </w:rPr>
        <w:t xml:space="preserve">评标方法与评标标准</w:t>
      </w:r>
      <w:r>
        <w:rPr>
          <w:rFonts w:hint="eastAsia" w:ascii="宋体" w:hAnsi="宋体" w:eastAsia="宋体" w:cs="宋体"/>
          <w:bCs/>
          <w:color w:val="000000"/>
          <w:sz w:val="32"/>
          <w:szCs w:val="32"/>
          <w:lang w:val="en-US" w:eastAsia="zh-CN"/>
        </w:rPr>
        <w:t xml:space="preserve"> </w:t>
      </w:r>
      <w:r>
        <w:rPr>
          <w:rFonts w:hint="eastAsia" w:ascii="宋体" w:hAnsi="宋体" w:eastAsia="宋体" w:cs="宋体"/>
          <w:color w:val="000000"/>
          <w:sz w:val="32"/>
          <w:szCs w:val="32"/>
        </w:rPr>
        <w:t xml:space="preserve">………………………</w:t>
      </w:r>
      <w:r>
        <w:rPr>
          <w:rFonts w:hint="eastAsia" w:ascii="宋体" w:hAnsi="宋体" w:eastAsia="宋体" w:cs="宋体"/>
          <w:color w:val="000000"/>
          <w:sz w:val="32"/>
          <w:szCs w:val="32"/>
          <w:lang w:val="en-US" w:eastAsia="zh-CN"/>
        </w:rPr>
        <w:t xml:space="preserve">93</w:t>
      </w:r>
      <w:r/>
    </w:p>
    <w:p>
      <w:pPr>
        <w:numPr>
          <w:ilvl w:val="0"/>
          <w:numId w:val="5"/>
        </w:numPr>
        <w:spacing w:line="360" w:lineRule="auto"/>
        <w:rPr>
          <w:rFonts w:hint="eastAsia" w:ascii="宋体" w:hAnsi="宋体" w:eastAsia="宋体" w:cs="宋体"/>
          <w:color w:val="000000"/>
          <w:sz w:val="32"/>
          <w:szCs w:val="32"/>
        </w:rPr>
        <w:outlineLvl w:val="0"/>
      </w:pPr>
      <w:r>
        <w:rPr>
          <w:rFonts w:hint="eastAsia" w:ascii="宋体" w:hAnsi="宋体" w:eastAsia="宋体" w:cs="宋体"/>
          <w:color w:val="000000"/>
          <w:sz w:val="32"/>
          <w:szCs w:val="32"/>
        </w:rPr>
        <w:t xml:space="preserve">投标文件格式</w:t>
      </w:r>
      <w:r>
        <w:rPr>
          <w:rFonts w:hint="eastAsia" w:ascii="宋体" w:hAnsi="宋体" w:eastAsia="宋体" w:cs="宋体"/>
          <w:color w:val="000000"/>
          <w:sz w:val="32"/>
          <w:szCs w:val="32"/>
          <w:lang w:val="en-US" w:eastAsia="zh-CN"/>
        </w:rPr>
        <w:t xml:space="preserve"> </w:t>
      </w:r>
      <w:r>
        <w:rPr>
          <w:rFonts w:hint="eastAsia" w:ascii="宋体" w:hAnsi="宋体" w:eastAsia="宋体" w:cs="宋体"/>
          <w:color w:val="000000"/>
          <w:sz w:val="32"/>
          <w:szCs w:val="32"/>
        </w:rPr>
        <w:t xml:space="preserve">………………………………</w:t>
      </w:r>
      <w:r>
        <w:rPr>
          <w:rFonts w:hint="eastAsia" w:ascii="宋体" w:hAnsi="宋体" w:eastAsia="宋体" w:cs="宋体"/>
          <w:color w:val="000000"/>
          <w:sz w:val="32"/>
          <w:szCs w:val="32"/>
          <w:lang w:val="en-US" w:eastAsia="zh-CN"/>
        </w:rPr>
        <w:t xml:space="preserve">98</w:t>
      </w:r>
      <w:r/>
    </w:p>
    <w:p>
      <w:pPr>
        <w:pStyle w:val="820"/>
        <w:rPr>
          <w:rFonts w:hint="eastAsia" w:ascii="宋体" w:hAnsi="宋体" w:eastAsia="宋体" w:cs="宋体"/>
        </w:rPr>
        <w:sectPr>
          <w:footerReference w:type="default" r:id="rId15"/>
          <w:footnotePr/>
          <w:endnotePr/>
          <w:type w:val="nextPage"/>
          <w:pgSz w:w="11905" w:h="16838" w:orient="portrait"/>
          <w:pgMar w:top="1134" w:right="1134" w:bottom="1134" w:left="1134" w:header="0" w:footer="1020" w:gutter="0"/>
          <w:pgNumType w:start="1"/>
          <w:cols w:num="1" w:sep="0" w:space="0" w:equalWidth="1"/>
          <w:docGrid w:linePitch="360"/>
        </w:sectPr>
      </w:pPr>
      <w:r>
        <w:rPr>
          <w:rFonts w:hint="eastAsia" w:ascii="宋体" w:hAnsi="宋体" w:eastAsia="宋体" w:cs="宋体"/>
        </w:rPr>
      </w:r>
      <w:r/>
    </w:p>
    <w:p>
      <w:pPr>
        <w:pStyle w:val="996"/>
        <w:spacing w:line="360" w:lineRule="auto"/>
        <w:rPr>
          <w:rFonts w:hint="eastAsia" w:ascii="宋体" w:hAnsi="宋体" w:eastAsia="宋体" w:cs="宋体"/>
          <w:bCs/>
          <w:color w:val="000000"/>
          <w:sz w:val="44"/>
          <w:szCs w:val="44"/>
          <w:lang w:val="en-US"/>
        </w:rPr>
      </w:pPr>
      <w:r>
        <w:rPr>
          <w:rFonts w:hint="eastAsia" w:ascii="宋体" w:hAnsi="宋体" w:eastAsia="宋体" w:cs="宋体"/>
          <w:color w:val="000000"/>
          <w:sz w:val="32"/>
          <w:szCs w:val="32"/>
        </w:rPr>
        <w:t xml:space="preserve">第一章  </w:t>
      </w:r>
      <w:bookmarkEnd w:id="0"/>
      <w:r>
        <w:rPr>
          <w:rFonts w:hint="eastAsia" w:ascii="宋体" w:hAnsi="宋体" w:eastAsia="宋体" w:cs="宋体"/>
          <w:color w:val="000000"/>
          <w:sz w:val="32"/>
          <w:szCs w:val="32"/>
          <w:lang w:val="en-US" w:eastAsia="zh-CN"/>
        </w:rPr>
        <w:t xml:space="preserve">高邮市界首镇人民政府关于</w:t>
      </w:r>
      <w:r>
        <w:rPr>
          <w:rFonts w:hint="eastAsia" w:ascii="宋体" w:hAnsi="宋体" w:eastAsia="宋体" w:cs="宋体"/>
          <w:color w:val="000000"/>
          <w:sz w:val="32"/>
          <w:szCs w:val="32"/>
          <w:lang w:eastAsia="zh-CN"/>
        </w:rPr>
        <w:t xml:space="preserve">高邮市界首镇集镇环境服务社会化管理服务项目</w:t>
      </w:r>
      <w:r>
        <w:rPr>
          <w:rFonts w:hint="eastAsia" w:ascii="宋体" w:hAnsi="宋体" w:eastAsia="宋体" w:cs="宋体"/>
          <w:color w:val="000000"/>
          <w:sz w:val="32"/>
          <w:szCs w:val="32"/>
          <w:lang w:val="en-US" w:eastAsia="zh-CN"/>
        </w:rPr>
        <w:t xml:space="preserve">的招标公告</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sz w:val="24"/>
          <w:szCs w:val="24"/>
          <w:highlight w:val="none"/>
        </w:rPr>
        <w:t xml:space="preserve">受</w:t>
      </w:r>
      <w:r>
        <w:rPr>
          <w:rFonts w:hint="eastAsia" w:ascii="宋体" w:hAnsi="宋体" w:eastAsia="宋体" w:cs="宋体"/>
          <w:sz w:val="24"/>
          <w:szCs w:val="24"/>
          <w:highlight w:val="none"/>
          <w:lang w:eastAsia="zh-CN"/>
        </w:rPr>
        <w:t xml:space="preserve">高邮市界首镇人民政府</w:t>
      </w:r>
      <w:r>
        <w:rPr>
          <w:rFonts w:hint="eastAsia" w:ascii="宋体" w:hAnsi="宋体" w:eastAsia="宋体" w:cs="宋体"/>
          <w:sz w:val="24"/>
          <w:szCs w:val="24"/>
          <w:highlight w:val="none"/>
        </w:rPr>
        <w:t xml:space="preserve">的委托，</w:t>
      </w:r>
      <w:r>
        <w:rPr>
          <w:rFonts w:hint="eastAsia" w:ascii="宋体" w:hAnsi="宋体" w:eastAsia="宋体" w:cs="宋体"/>
          <w:sz w:val="24"/>
          <w:szCs w:val="24"/>
          <w:highlight w:val="none"/>
          <w:lang w:eastAsia="zh-CN"/>
        </w:rPr>
        <w:t xml:space="preserve">扬州九域工程咨询有限公司</w:t>
      </w:r>
      <w:r>
        <w:rPr>
          <w:rFonts w:hint="eastAsia" w:ascii="宋体" w:hAnsi="宋体" w:eastAsia="宋体" w:cs="宋体"/>
          <w:sz w:val="24"/>
          <w:szCs w:val="24"/>
          <w:highlight w:val="none"/>
        </w:rPr>
        <w:t xml:space="preserve">就</w:t>
      </w:r>
      <w:r>
        <w:rPr>
          <w:rFonts w:hint="eastAsia" w:ascii="宋体" w:hAnsi="宋体" w:eastAsia="宋体" w:cs="宋体"/>
          <w:sz w:val="24"/>
          <w:szCs w:val="24"/>
          <w:highlight w:val="none"/>
          <w:lang w:eastAsia="zh-CN"/>
        </w:rPr>
        <w:t xml:space="preserve">高邮市界首镇集镇环境服务社会化管理服务项目（</w:t>
      </w:r>
      <w:r>
        <w:rPr>
          <w:rFonts w:hint="eastAsia" w:ascii="宋体" w:hAnsi="宋体" w:cs="宋体"/>
          <w:sz w:val="24"/>
          <w:szCs w:val="24"/>
          <w:highlight w:val="none"/>
          <w:lang w:eastAsia="zh-CN"/>
        </w:rPr>
        <w:t xml:space="preserve">JSZC-321084-JYZX-G2026-0008</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项目进行公开招标采购，欢迎符合条件的</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投标</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rPr>
        <w:t xml:space="preserve">项目概况</w:t>
      </w:r>
      <w:r/>
    </w:p>
    <w:p>
      <w:pPr>
        <w:ind w:firstLine="480"/>
        <w:spacing w:line="360" w:lineRule="auto"/>
        <w:rPr>
          <w:rFonts w:hint="eastAsia" w:ascii="宋体" w:hAnsi="宋体" w:eastAsia="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u w:val="single"/>
          <w:lang w:eastAsia="zh-CN"/>
        </w:rPr>
        <w:t xml:space="preserve">高邮市界首镇集镇环境服务社会化管理服务项目</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招标项目的潜在投标人可在</w:t>
      </w:r>
      <w:r>
        <w:rPr>
          <w:rFonts w:hint="eastAsia" w:ascii="宋体" w:hAnsi="宋体" w:eastAsia="宋体" w:cs="宋体"/>
          <w:sz w:val="24"/>
          <w:szCs w:val="24"/>
          <w:highlight w:val="none"/>
          <w:u w:val="single"/>
        </w:rPr>
        <w:t xml:space="preserve">“江苏政府采购网”“扬州市政府采购网”自行免费下载</w:t>
      </w:r>
      <w:r>
        <w:rPr>
          <w:rFonts w:hint="eastAsia" w:ascii="宋体" w:hAnsi="宋体" w:eastAsia="宋体" w:cs="宋体"/>
          <w:sz w:val="24"/>
          <w:szCs w:val="24"/>
          <w:highlight w:val="none"/>
        </w:rPr>
        <w:t xml:space="preserve">招标文件，并于</w:t>
      </w:r>
      <w:r>
        <w:rPr>
          <w:rFonts w:hint="eastAsia" w:ascii="宋体" w:hAnsi="宋体" w:eastAsia="宋体" w:cs="宋体"/>
          <w:sz w:val="24"/>
          <w:szCs w:val="24"/>
          <w:highlight w:val="none"/>
          <w:u w:val="single"/>
          <w:lang w:eastAsia="zh-CN"/>
        </w:rPr>
        <w:t xml:space="preserve">2026</w:t>
      </w:r>
      <w:r>
        <w:rPr>
          <w:rFonts w:hint="eastAsia" w:ascii="宋体" w:hAnsi="宋体" w:eastAsia="宋体" w:cs="宋体"/>
          <w:sz w:val="24"/>
          <w:szCs w:val="24"/>
          <w:highlight w:val="none"/>
          <w:u w:val="single"/>
        </w:rPr>
        <w:t xml:space="preserve">年</w:t>
      </w:r>
      <w:r>
        <w:rPr>
          <w:rFonts w:hint="eastAsia" w:ascii="宋体" w:hAnsi="宋体" w:eastAsia="宋体" w:cs="宋体"/>
          <w:sz w:val="24"/>
          <w:szCs w:val="24"/>
          <w:highlight w:val="none"/>
          <w:u w:val="single"/>
          <w:lang w:val="en-US" w:eastAsia="zh-CN"/>
        </w:rPr>
        <w:t xml:space="preserve">11</w:t>
      </w:r>
      <w:r>
        <w:rPr>
          <w:rFonts w:hint="eastAsia" w:ascii="宋体" w:hAnsi="宋体" w:eastAsia="宋体" w:cs="宋体"/>
          <w:sz w:val="24"/>
          <w:szCs w:val="24"/>
          <w:highlight w:val="none"/>
          <w:u w:val="single"/>
        </w:rPr>
        <w:t xml:space="preserve">月</w:t>
      </w:r>
      <w:r>
        <w:rPr>
          <w:rFonts w:hint="eastAsia" w:ascii="宋体" w:hAnsi="宋体" w:eastAsia="宋体" w:cs="宋体"/>
          <w:sz w:val="24"/>
          <w:szCs w:val="24"/>
          <w:highlight w:val="none"/>
          <w:u w:val="single"/>
          <w:lang w:val="en-US" w:eastAsia="zh-CN"/>
        </w:rPr>
        <w:t xml:space="preserve">6</w:t>
      </w:r>
      <w:r>
        <w:rPr>
          <w:rFonts w:hint="eastAsia" w:ascii="宋体" w:hAnsi="宋体" w:eastAsia="宋体" w:cs="宋体"/>
          <w:sz w:val="24"/>
          <w:szCs w:val="24"/>
          <w:highlight w:val="none"/>
          <w:u w:val="single"/>
        </w:rPr>
        <w:t xml:space="preserve">日09点</w:t>
      </w:r>
      <w:r>
        <w:rPr>
          <w:rFonts w:hint="eastAsia" w:ascii="宋体" w:hAnsi="宋体" w:eastAsia="宋体" w:cs="宋体"/>
          <w:sz w:val="24"/>
          <w:szCs w:val="24"/>
          <w:highlight w:val="none"/>
          <w:u w:val="single"/>
          <w:lang w:val="en-US" w:eastAsia="zh-CN"/>
        </w:rPr>
        <w:t xml:space="preserve">0</w:t>
      </w:r>
      <w:r>
        <w:rPr>
          <w:rFonts w:hint="eastAsia" w:ascii="宋体" w:hAnsi="宋体" w:eastAsia="宋体" w:cs="宋体"/>
          <w:sz w:val="24"/>
          <w:szCs w:val="24"/>
          <w:highlight w:val="none"/>
          <w:u w:val="single"/>
        </w:rPr>
        <w:t xml:space="preserve">0分（北京时间）</w:t>
      </w:r>
      <w:r>
        <w:rPr>
          <w:rFonts w:hint="eastAsia" w:ascii="宋体" w:hAnsi="宋体" w:eastAsia="宋体" w:cs="宋体"/>
          <w:bCs/>
          <w:sz w:val="24"/>
          <w:szCs w:val="24"/>
          <w:highlight w:val="none"/>
        </w:rPr>
        <w:t xml:space="preserve">前递交投标文件</w:t>
      </w:r>
      <w:r>
        <w:rPr>
          <w:rFonts w:hint="eastAsia" w:ascii="宋体" w:hAnsi="宋体" w:eastAsia="宋体" w:cs="宋体"/>
          <w:sz w:val="24"/>
          <w:szCs w:val="24"/>
          <w:highlight w:val="none"/>
        </w:rPr>
        <w:t xml:space="preserve">。</w:t>
      </w:r>
      <w:r/>
    </w:p>
    <w:p>
      <w:pPr>
        <w:pStyle w:val="999"/>
        <w:ind w:firstLine="498"/>
        <w:spacing w:before="145" w:after="145" w:line="360" w:lineRule="auto"/>
        <w:rPr>
          <w:rFonts w:hint="eastAsia" w:ascii="宋体" w:hAnsi="宋体" w:eastAsia="宋体" w:cs="宋体"/>
          <w:color w:val="000000"/>
          <w:sz w:val="24"/>
          <w:szCs w:val="24"/>
        </w:rPr>
      </w:pPr>
      <w:r/>
      <w:bookmarkStart w:id="6" w:name="_Toc35393621"/>
      <w:r/>
      <w:bookmarkStart w:id="7" w:name="_Toc28359079"/>
      <w:r/>
      <w:bookmarkStart w:id="8" w:name="_Toc28359002"/>
      <w:r/>
      <w:bookmarkStart w:id="9" w:name="_Toc35393790"/>
      <w:r/>
      <w:bookmarkStart w:id="10" w:name="_Toc38985263"/>
      <w:r/>
      <w:bookmarkStart w:id="11" w:name="_Hlk24379207"/>
      <w:r>
        <w:rPr>
          <w:rFonts w:hint="eastAsia" w:ascii="宋体" w:hAnsi="宋体" w:eastAsia="宋体" w:cs="宋体"/>
          <w:color w:val="000000"/>
          <w:sz w:val="24"/>
          <w:szCs w:val="24"/>
        </w:rPr>
        <w:t xml:space="preserve">一、项目基本情况</w:t>
      </w:r>
      <w:bookmarkEnd w:id="6"/>
      <w:r/>
      <w:bookmarkEnd w:id="7"/>
      <w:r/>
      <w:bookmarkEnd w:id="8"/>
      <w:r/>
      <w:bookmarkEnd w:id="9"/>
      <w:r/>
      <w:bookmarkEnd w:id="10"/>
      <w:r/>
      <w:bookmarkEnd w:id="11"/>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1.项目编号：</w:t>
      </w:r>
      <w:r>
        <w:rPr>
          <w:rFonts w:hint="eastAsia" w:ascii="宋体" w:hAnsi="宋体" w:cs="宋体"/>
          <w:color w:val="000000"/>
          <w:sz w:val="24"/>
          <w:szCs w:val="24"/>
          <w:lang w:eastAsia="zh-CN"/>
        </w:rPr>
        <w:t xml:space="preserve">JSZC-321084-JYZX-G2026-0008</w:t>
      </w:r>
      <w:r>
        <w:rPr>
          <w:rFonts w:hint="eastAsia" w:ascii="宋体" w:hAnsi="宋体" w:eastAsia="宋体" w:cs="宋体"/>
          <w:color w:val="000000"/>
          <w:sz w:val="24"/>
          <w:szCs w:val="24"/>
          <w:lang w:val="en-US" w:eastAsia="zh-CN"/>
        </w:rPr>
        <w:t xml:space="preserve"> </w:t>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2.项目名称：</w:t>
      </w:r>
      <w:r>
        <w:rPr>
          <w:rFonts w:hint="eastAsia" w:ascii="宋体" w:hAnsi="宋体" w:eastAsia="宋体" w:cs="宋体"/>
          <w:color w:val="000000"/>
          <w:sz w:val="24"/>
          <w:szCs w:val="24"/>
          <w:lang w:eastAsia="zh-CN"/>
        </w:rPr>
        <w:t xml:space="preserve">高邮市界首镇集镇环境服务社会化管理服务项目</w:t>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3.预算金额</w:t>
      </w:r>
      <w:r>
        <w:rPr>
          <w:rFonts w:hint="eastAsia" w:ascii="宋体" w:hAnsi="宋体" w:eastAsia="宋体" w:cs="宋体"/>
          <w:color w:val="000000"/>
          <w:sz w:val="24"/>
          <w:szCs w:val="24"/>
          <w:lang w:eastAsia="zh-CN"/>
        </w:rPr>
        <w:t xml:space="preserve">：</w:t>
      </w:r>
      <w:r>
        <w:rPr>
          <w:rFonts w:hint="eastAsia" w:ascii="宋体" w:hAnsi="宋体" w:eastAsia="宋体" w:cs="宋体"/>
          <w:sz w:val="24"/>
          <w:szCs w:val="24"/>
          <w:highlight w:val="none"/>
          <w:lang w:val="en-US" w:eastAsia="zh-CN"/>
        </w:rPr>
        <w:t xml:space="preserve">147</w:t>
      </w: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lang w:val="en-US" w:eastAsia="zh-CN"/>
        </w:rPr>
        <w:t xml:space="preserve">/年，三年预算金额为441万元。</w:t>
      </w:r>
      <w:r/>
    </w:p>
    <w:p>
      <w:pPr>
        <w:ind w:firstLine="480"/>
        <w:spacing w:line="360" w:lineRule="auto"/>
        <w:rPr>
          <w:rFonts w:hint="eastAsia" w:ascii="宋体" w:hAnsi="宋体" w:eastAsia="宋体" w:cs="宋体"/>
          <w:color w:val="ff0000"/>
          <w:sz w:val="24"/>
          <w:szCs w:val="24"/>
          <w:lang w:val="en-US" w:eastAsia="zh-CN"/>
        </w:rPr>
      </w:pPr>
      <w:r>
        <w:rPr>
          <w:rFonts w:hint="eastAsia" w:ascii="宋体" w:hAnsi="宋体" w:eastAsia="宋体" w:cs="宋体"/>
          <w:color w:val="000000"/>
          <w:sz w:val="24"/>
          <w:szCs w:val="24"/>
        </w:rPr>
        <w:t xml:space="preserve">4.最高限</w:t>
      </w:r>
      <w:r>
        <w:rPr>
          <w:rFonts w:hint="eastAsia" w:ascii="宋体" w:hAnsi="宋体" w:eastAsia="宋体" w:cs="宋体"/>
          <w:color w:val="auto"/>
          <w:sz w:val="24"/>
          <w:szCs w:val="24"/>
          <w:highlight w:val="none"/>
        </w:rPr>
        <w:t xml:space="preserve">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本项目设定最高限价，最高限价为133.77</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val="en-US" w:eastAsia="zh-CN"/>
        </w:rPr>
        <w:t xml:space="preserve">/年。</w:t>
      </w:r>
      <w:r/>
    </w:p>
    <w:p>
      <w:pPr>
        <w:numPr>
          <w:ilvl w:val="0"/>
          <w:numId w:val="0"/>
        </w:num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bidi="ar-SA"/>
        </w:rPr>
        <w:t xml:space="preserve">5.</w:t>
      </w:r>
      <w:r>
        <w:rPr>
          <w:rFonts w:hint="eastAsia" w:ascii="宋体" w:hAnsi="宋体" w:eastAsia="宋体" w:cs="宋体"/>
          <w:color w:val="000000"/>
          <w:sz w:val="24"/>
          <w:szCs w:val="24"/>
        </w:rPr>
        <w:t xml:space="preserve">采购需求（简介）：</w:t>
      </w:r>
      <w:r>
        <w:rPr>
          <w:rFonts w:hint="eastAsia" w:ascii="宋体" w:hAnsi="宋体" w:eastAsia="宋体" w:cs="宋体"/>
          <w:color w:val="auto"/>
          <w:sz w:val="24"/>
          <w:szCs w:val="24"/>
          <w:highlight w:val="none"/>
          <w:lang w:val="en-US" w:eastAsia="zh-CN"/>
        </w:rPr>
        <w:t xml:space="preserve">内容包含道路、街巷、镇区内部部分河道及广场、公园、绿化带保洁、生活垃圾及零散建筑垃圾收集与清运、公厕保洁、果皮箱、垃圾桶、收集亭的保洁和清运等。</w:t>
      </w:r>
      <w:r>
        <w:rPr>
          <w:rFonts w:hint="eastAsia" w:ascii="宋体" w:hAnsi="宋体" w:eastAsia="宋体" w:cs="宋体"/>
          <w:color w:val="000000"/>
          <w:sz w:val="24"/>
          <w:szCs w:val="24"/>
        </w:rPr>
        <w:t xml:space="preserve">详细内容见本招标文件第四章</w:t>
      </w:r>
      <w:r>
        <w:rPr>
          <w:rFonts w:hint="eastAsia" w:ascii="宋体" w:hAnsi="宋体" w:cs="宋体"/>
          <w:color w:val="000000"/>
          <w:sz w:val="24"/>
          <w:szCs w:val="24"/>
          <w:lang w:eastAsia="zh-CN"/>
        </w:rPr>
        <w:t xml:space="preserve">。</w:t>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6.合同履行期限：合同履约期三年，合同一年一签。本项目合同首签1年，考核合格的情况下，采购人与中标人可签订下一年合同。</w:t>
      </w:r>
      <w:r/>
    </w:p>
    <w:p>
      <w:pPr>
        <w:numPr>
          <w:ilvl w:val="0"/>
          <w:numId w:val="0"/>
        </w:numPr>
        <w:ind w:left="0"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bidi="ar-SA"/>
        </w:rPr>
        <w:t xml:space="preserve">7.</w:t>
      </w:r>
      <w:r>
        <w:rPr>
          <w:rFonts w:hint="eastAsia" w:ascii="宋体" w:hAnsi="宋体" w:eastAsia="宋体" w:cs="宋体"/>
          <w:i w:val="0"/>
          <w:iCs w:val="0"/>
          <w:caps w:val="0"/>
          <w:color w:val="auto"/>
          <w:spacing w:val="0"/>
          <w:sz w:val="24"/>
          <w:szCs w:val="24"/>
          <w:shd w:val="clear" w:color="auto" w:fill="ffffff"/>
        </w:rPr>
        <w:t xml:space="preserve">本项目（是/否）接受联合体投标：否</w:t>
      </w:r>
      <w:r/>
    </w:p>
    <w:p>
      <w:pPr>
        <w:numPr>
          <w:ilvl w:val="0"/>
          <w:numId w:val="0"/>
        </w:numPr>
        <w:ind w:left="0"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bidi="ar-SA"/>
        </w:rPr>
        <w:t xml:space="preserve">8.</w:t>
      </w:r>
      <w:r>
        <w:rPr>
          <w:rFonts w:hint="eastAsia" w:ascii="宋体" w:hAnsi="宋体" w:eastAsia="宋体" w:cs="宋体"/>
          <w:i w:val="0"/>
          <w:iCs w:val="0"/>
          <w:caps w:val="0"/>
          <w:color w:val="auto"/>
          <w:spacing w:val="0"/>
          <w:sz w:val="24"/>
          <w:szCs w:val="24"/>
          <w:shd w:val="clear" w:color="auto" w:fill="ffffff"/>
        </w:rPr>
        <w:t xml:space="preserve">本项目（是/否）接受</w:t>
      </w:r>
      <w:r>
        <w:rPr>
          <w:rFonts w:hint="eastAsia" w:ascii="宋体" w:hAnsi="宋体" w:eastAsia="宋体" w:cs="宋体"/>
          <w:i w:val="0"/>
          <w:iCs w:val="0"/>
          <w:caps w:val="0"/>
          <w:color w:val="auto"/>
          <w:spacing w:val="0"/>
          <w:sz w:val="24"/>
          <w:szCs w:val="24"/>
          <w:shd w:val="clear" w:color="auto" w:fill="ffffff"/>
          <w:lang w:val="en-US" w:eastAsia="zh-CN"/>
        </w:rPr>
        <w:t xml:space="preserve">进口产品</w:t>
      </w:r>
      <w:r>
        <w:rPr>
          <w:rFonts w:hint="eastAsia" w:ascii="宋体" w:hAnsi="宋体" w:eastAsia="宋体" w:cs="宋体"/>
          <w:i w:val="0"/>
          <w:iCs w:val="0"/>
          <w:caps w:val="0"/>
          <w:color w:val="auto"/>
          <w:spacing w:val="0"/>
          <w:sz w:val="24"/>
          <w:szCs w:val="24"/>
          <w:shd w:val="clear" w:color="auto" w:fill="ffffff"/>
        </w:rPr>
        <w:t xml:space="preserve">投标：否</w:t>
      </w:r>
      <w:r/>
    </w:p>
    <w:p>
      <w:pPr>
        <w:pStyle w:val="999"/>
        <w:ind w:firstLine="498"/>
        <w:spacing w:before="145" w:after="145" w:line="360" w:lineRule="auto"/>
        <w:rPr>
          <w:rFonts w:hint="eastAsia" w:ascii="宋体" w:hAnsi="宋体" w:eastAsia="宋体" w:cs="宋体"/>
          <w:color w:val="000000"/>
          <w:sz w:val="24"/>
          <w:szCs w:val="24"/>
        </w:rPr>
      </w:pPr>
      <w:r/>
      <w:bookmarkStart w:id="12" w:name="_Toc28359080"/>
      <w:r/>
      <w:bookmarkStart w:id="13" w:name="_Toc35393622"/>
      <w:r/>
      <w:bookmarkStart w:id="14" w:name="_Toc38985264"/>
      <w:r/>
      <w:bookmarkStart w:id="15" w:name="_Toc28359003"/>
      <w:r/>
      <w:bookmarkStart w:id="16" w:name="_Toc35393791"/>
      <w:r>
        <w:rPr>
          <w:rFonts w:hint="eastAsia" w:ascii="宋体" w:hAnsi="宋体" w:eastAsia="宋体" w:cs="宋体"/>
          <w:color w:val="000000"/>
          <w:sz w:val="24"/>
          <w:szCs w:val="24"/>
        </w:rPr>
        <w:t xml:space="preserve">二、申请人的资格要求：</w:t>
      </w:r>
      <w:bookmarkEnd w:id="12"/>
      <w:r/>
      <w:bookmarkEnd w:id="13"/>
      <w:r/>
      <w:bookmarkEnd w:id="14"/>
      <w:r/>
      <w:bookmarkEnd w:id="15"/>
      <w:r/>
      <w:bookmarkEnd w:id="16"/>
      <w:r/>
      <w:r/>
    </w:p>
    <w:p>
      <w:pPr>
        <w:ind w:firstLine="480"/>
        <w:spacing w:line="360" w:lineRule="auto"/>
        <w:rPr>
          <w:rFonts w:hint="eastAsia" w:ascii="宋体" w:hAnsi="宋体" w:eastAsia="宋体" w:cs="宋体"/>
          <w:color w:val="000000"/>
          <w:sz w:val="24"/>
          <w:szCs w:val="24"/>
        </w:rPr>
      </w:pPr>
      <w:r/>
      <w:bookmarkStart w:id="17" w:name="_Toc28359004"/>
      <w:r/>
      <w:bookmarkStart w:id="18" w:name="_Toc35393792"/>
      <w:r/>
      <w:bookmarkStart w:id="19" w:name="_Toc28359081"/>
      <w:r/>
      <w:bookmarkStart w:id="20" w:name="_Toc38985265"/>
      <w:r/>
      <w:bookmarkStart w:id="21" w:name="_Toc35393623"/>
      <w:r>
        <w:rPr>
          <w:rFonts w:hint="eastAsia" w:ascii="宋体" w:hAnsi="宋体" w:eastAsia="宋体" w:cs="宋体"/>
          <w:color w:val="000000"/>
          <w:sz w:val="24"/>
          <w:szCs w:val="24"/>
        </w:rPr>
        <w:t xml:space="preserve">（一）通用资格要求</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1.满足《中华人民共和国政府采购法》第二十二条规定，并提供下列材料：</w:t>
      </w:r>
      <w:r/>
    </w:p>
    <w:p>
      <w:pPr>
        <w:ind w:firstLine="480"/>
        <w:spacing w:line="360" w:lineRule="auto"/>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rPr>
        <w:t xml:space="preserve">1.1法人或者其他组织的营业执照等证明文件，自然人的身份证明</w:t>
      </w:r>
      <w:r>
        <w:rPr>
          <w:rFonts w:hint="eastAsia" w:ascii="宋体" w:hAnsi="宋体" w:eastAsia="宋体" w:cs="宋体"/>
          <w:i/>
          <w:iCs/>
          <w:sz w:val="24"/>
          <w:szCs w:val="24"/>
          <w:u w:val="single"/>
          <w:lang w:eastAsia="zh-CN"/>
        </w:rPr>
        <w:t xml:space="preserve">。</w:t>
      </w:r>
      <w:r/>
    </w:p>
    <w:p>
      <w:pPr>
        <w:ind w:firstLine="480"/>
        <w:spacing w:line="360" w:lineRule="auto"/>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rPr>
        <w:t xml:space="preserve">1.2依法缴纳职工社会保障资金的证明材料</w:t>
      </w:r>
      <w:r>
        <w:rPr>
          <w:rFonts w:hint="eastAsia" w:ascii="宋体" w:hAnsi="宋体" w:eastAsia="宋体" w:cs="宋体"/>
          <w:b/>
          <w:bCs/>
          <w:i/>
          <w:iCs/>
          <w:sz w:val="24"/>
          <w:szCs w:val="24"/>
          <w:u w:val="single"/>
        </w:rPr>
        <w:t xml:space="preserve">(税务、银行或社会保险基金管理部门出具的近三个月内任意一个月缴纳职工社会保障资金的缴款凭证或缴款证明)（供应商依法享受缓缴、免缴的提供证明材料）</w:t>
      </w:r>
      <w:r>
        <w:rPr>
          <w:rFonts w:hint="eastAsia" w:ascii="宋体" w:hAnsi="宋体" w:eastAsia="宋体" w:cs="宋体"/>
          <w:b/>
          <w:bCs/>
          <w:i/>
          <w:iCs/>
          <w:sz w:val="24"/>
          <w:szCs w:val="24"/>
          <w:u w:val="single"/>
          <w:lang w:eastAsia="zh-CN"/>
        </w:rPr>
        <w:t xml:space="preserve">。</w:t>
      </w:r>
      <w:r/>
    </w:p>
    <w:p>
      <w:pPr>
        <w:ind w:firstLine="480"/>
        <w:spacing w:line="360" w:lineRule="auto"/>
        <w:rPr>
          <w:rFonts w:hint="eastAsia" w:ascii="宋体" w:hAnsi="宋体" w:eastAsia="宋体" w:cs="宋体"/>
          <w:b/>
          <w:bCs/>
          <w:i/>
          <w:iCs/>
          <w:color w:val="ff0000"/>
          <w:sz w:val="24"/>
          <w:szCs w:val="24"/>
          <w:u w:val="single"/>
          <w:lang w:eastAsia="zh-CN"/>
        </w:rPr>
      </w:pPr>
      <w:r>
        <w:rPr>
          <w:rFonts w:hint="eastAsia" w:ascii="宋体" w:hAnsi="宋体" w:eastAsia="宋体" w:cs="宋体"/>
          <w:i/>
          <w:iCs/>
          <w:sz w:val="24"/>
          <w:szCs w:val="24"/>
          <w:u w:val="single"/>
        </w:rPr>
        <w:t xml:space="preserve">1.3供应商近三个月内任意一份依法纳税的缴款凭证</w:t>
      </w:r>
      <w:r>
        <w:rPr>
          <w:rFonts w:hint="eastAsia" w:ascii="宋体" w:hAnsi="宋体" w:eastAsia="宋体" w:cs="宋体"/>
          <w:b/>
          <w:bCs/>
          <w:i/>
          <w:iCs/>
          <w:sz w:val="24"/>
          <w:szCs w:val="24"/>
          <w:u w:val="single"/>
        </w:rPr>
        <w:t xml:space="preserve">（供应商依法享受缓缴、免缴的提供证明材料）</w:t>
      </w:r>
      <w:r>
        <w:rPr>
          <w:rFonts w:hint="eastAsia" w:ascii="宋体" w:hAnsi="宋体" w:eastAsia="宋体" w:cs="宋体"/>
          <w:b/>
          <w:bCs/>
          <w:i/>
          <w:iCs/>
          <w:sz w:val="24"/>
          <w:szCs w:val="24"/>
          <w:u w:val="single"/>
          <w:lang w:eastAsia="zh-CN"/>
        </w:rPr>
        <w:t xml:space="preserve">。</w:t>
      </w:r>
      <w:r/>
    </w:p>
    <w:p>
      <w:pPr>
        <w:ind w:firstLine="480"/>
        <w:spacing w:line="360" w:lineRule="auto"/>
        <w:rPr>
          <w:rFonts w:hint="eastAsia" w:ascii="宋体" w:hAnsi="宋体" w:eastAsia="宋体" w:cs="宋体"/>
          <w:b/>
          <w:bCs/>
          <w:i/>
          <w:iCs/>
          <w:sz w:val="24"/>
          <w:szCs w:val="24"/>
          <w:u w:val="single"/>
          <w:lang w:eastAsia="zh-CN"/>
        </w:rPr>
      </w:pPr>
      <w:r>
        <w:rPr>
          <w:rFonts w:hint="eastAsia" w:ascii="宋体" w:hAnsi="宋体" w:eastAsia="宋体" w:cs="宋体"/>
          <w:i/>
          <w:iCs/>
          <w:sz w:val="24"/>
          <w:szCs w:val="24"/>
          <w:u w:val="single"/>
        </w:rPr>
        <w:t xml:space="preserve">1.4上一年度的财务报告情况</w:t>
      </w:r>
      <w:r>
        <w:rPr>
          <w:rFonts w:hint="eastAsia" w:ascii="宋体" w:hAnsi="宋体" w:eastAsia="宋体" w:cs="宋体"/>
          <w:b/>
          <w:bCs/>
          <w:i/>
          <w:iCs/>
          <w:sz w:val="24"/>
          <w:szCs w:val="24"/>
          <w:u w:val="single"/>
        </w:rPr>
        <w:t xml:space="preserve">（成立不满一年不需提供）</w:t>
      </w:r>
      <w:r>
        <w:rPr>
          <w:rFonts w:hint="eastAsia" w:ascii="宋体" w:hAnsi="宋体" w:eastAsia="宋体" w:cs="宋体"/>
          <w:b/>
          <w:bCs/>
          <w:i/>
          <w:iCs/>
          <w:sz w:val="24"/>
          <w:szCs w:val="24"/>
          <w:u w:val="single"/>
          <w:lang w:eastAsia="zh-CN"/>
        </w:rPr>
        <w:t xml:space="preserve">。</w:t>
      </w:r>
      <w:r/>
    </w:p>
    <w:p>
      <w:pPr>
        <w:ind w:firstLine="480"/>
        <w:spacing w:line="360" w:lineRule="auto"/>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rPr>
        <w:t xml:space="preserve">1.5具备履行合同所必需的设备和专业技术能力的</w:t>
      </w:r>
      <w:r>
        <w:rPr>
          <w:rFonts w:hint="eastAsia" w:ascii="宋体" w:hAnsi="宋体" w:eastAsia="宋体" w:cs="宋体"/>
          <w:i/>
          <w:iCs/>
          <w:sz w:val="24"/>
          <w:szCs w:val="24"/>
          <w:u w:val="single"/>
          <w:lang w:val="en-US" w:eastAsia="zh-CN"/>
        </w:rPr>
        <w:t xml:space="preserve">书面声明</w:t>
      </w:r>
      <w:r>
        <w:rPr>
          <w:rFonts w:hint="eastAsia" w:ascii="宋体" w:hAnsi="宋体" w:eastAsia="宋体" w:cs="宋体"/>
          <w:i/>
          <w:iCs/>
          <w:sz w:val="24"/>
          <w:szCs w:val="24"/>
          <w:u w:val="single"/>
          <w:lang w:eastAsia="zh-CN"/>
        </w:rPr>
        <w:t xml:space="preserve">。</w:t>
      </w:r>
      <w:r/>
    </w:p>
    <w:p>
      <w:pPr>
        <w:ind w:firstLine="480"/>
        <w:spacing w:line="360" w:lineRule="auto"/>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rPr>
        <w:t xml:space="preserve">1.6参加本次政府采购活动前3年内在经营活动中没有重大违法记录的书面声明</w:t>
      </w:r>
      <w:r>
        <w:rPr>
          <w:rFonts w:hint="eastAsia" w:ascii="宋体" w:hAnsi="宋体" w:eastAsia="宋体" w:cs="宋体"/>
          <w:i/>
          <w:iCs/>
          <w:sz w:val="24"/>
          <w:szCs w:val="24"/>
          <w:u w:val="single"/>
          <w:lang w:eastAsia="zh-CN"/>
        </w:rPr>
        <w:t xml:space="preserve">。</w:t>
      </w:r>
      <w:r/>
    </w:p>
    <w:p>
      <w:pPr>
        <w:ind w:firstLine="480"/>
        <w:spacing w:line="360" w:lineRule="auto"/>
        <w:rPr>
          <w:rFonts w:hint="eastAsia" w:ascii="宋体" w:hAnsi="宋体" w:eastAsia="宋体" w:cs="宋体"/>
          <w:b/>
          <w:bCs/>
          <w:i/>
          <w:iCs/>
          <w:sz w:val="24"/>
          <w:szCs w:val="24"/>
          <w:highlight w:val="none"/>
          <w:u w:val="single"/>
          <w:lang w:eastAsia="zh-CN"/>
        </w:rPr>
      </w:pPr>
      <w:r>
        <w:rPr>
          <w:rFonts w:hint="eastAsia" w:ascii="宋体" w:hAnsi="宋体" w:eastAsia="宋体" w:cs="宋体"/>
          <w:i/>
          <w:iCs/>
          <w:sz w:val="24"/>
          <w:szCs w:val="24"/>
          <w:u w:val="single"/>
        </w:rPr>
        <w:t xml:space="preserve">1.7未被“信用中国”网站（www.creditchina.gov.cn）、“中国政府采购网"(www.ccgp.gov.cn)列入失信被执行人、重大税收违法案件当事人名单、政府采购严重违法失信行为记录名单</w:t>
      </w:r>
      <w:r>
        <w:rPr>
          <w:rFonts w:hint="eastAsia" w:ascii="宋体" w:hAnsi="宋体" w:eastAsia="宋体" w:cs="宋体"/>
          <w:i/>
          <w:iCs/>
          <w:sz w:val="24"/>
          <w:szCs w:val="24"/>
          <w:highlight w:val="none"/>
          <w:u w:val="single"/>
          <w:lang w:eastAsia="zh-CN"/>
        </w:rPr>
        <w:t xml:space="preserve">。</w:t>
      </w:r>
      <w:r/>
    </w:p>
    <w:p>
      <w:pPr>
        <w:ind w:firstLine="480"/>
        <w:spacing w:line="360" w:lineRule="auto"/>
        <w:rPr>
          <w:rFonts w:hint="eastAsia" w:ascii="宋体" w:hAnsi="宋体" w:eastAsia="宋体" w:cs="宋体"/>
          <w:i/>
          <w:iCs/>
          <w:sz w:val="24"/>
          <w:szCs w:val="24"/>
          <w:highlight w:val="none"/>
          <w:u w:val="single"/>
          <w:lang w:eastAsia="zh-CN"/>
        </w:rPr>
      </w:pPr>
      <w:r>
        <w:rPr>
          <w:rFonts w:hint="eastAsia" w:ascii="宋体" w:hAnsi="宋体" w:eastAsia="宋体" w:cs="宋体"/>
          <w:i/>
          <w:iCs/>
          <w:sz w:val="24"/>
          <w:szCs w:val="24"/>
          <w:highlight w:val="none"/>
          <w:u w:val="single"/>
        </w:rPr>
        <w:t xml:space="preserve">1.8供应商信用承诺函</w:t>
      </w:r>
      <w:r>
        <w:rPr>
          <w:rFonts w:hint="eastAsia" w:ascii="宋体" w:hAnsi="宋体" w:eastAsia="宋体" w:cs="宋体"/>
          <w:i/>
          <w:iCs/>
          <w:sz w:val="24"/>
          <w:szCs w:val="24"/>
          <w:highlight w:val="none"/>
          <w:u w:val="single"/>
          <w:lang w:eastAsia="zh-CN"/>
        </w:rPr>
        <w:t xml:space="preserve">。</w:t>
      </w:r>
      <w:r/>
    </w:p>
    <w:p>
      <w:pPr>
        <w:ind w:firstLine="480"/>
        <w:spacing w:line="360" w:lineRule="auto"/>
        <w:rPr>
          <w:rFonts w:hint="eastAsia" w:ascii="宋体" w:hAnsi="宋体" w:eastAsia="宋体" w:cs="宋体"/>
          <w:i/>
          <w:iCs/>
          <w:sz w:val="24"/>
          <w:szCs w:val="24"/>
          <w:u w:val="single"/>
        </w:rPr>
      </w:pPr>
      <w:r>
        <w:rPr>
          <w:rFonts w:hint="eastAsia" w:ascii="宋体" w:hAnsi="宋体" w:eastAsia="宋体" w:cs="宋体"/>
          <w:color w:val="000000"/>
          <w:sz w:val="24"/>
          <w:szCs w:val="24"/>
          <w:highlight w:val="none"/>
        </w:rPr>
        <w:t xml:space="preserve">2.落实政府采购政策需满</w:t>
      </w:r>
      <w:r>
        <w:rPr>
          <w:rFonts w:hint="eastAsia" w:ascii="宋体" w:hAnsi="宋体" w:eastAsia="宋体" w:cs="宋体"/>
          <w:color w:val="000000"/>
          <w:sz w:val="24"/>
          <w:szCs w:val="24"/>
        </w:rPr>
        <w:t xml:space="preserve">足的资格要求：</w:t>
      </w:r>
      <w:r>
        <w:rPr>
          <w:rFonts w:hint="eastAsia" w:ascii="宋体" w:hAnsi="宋体" w:eastAsia="宋体" w:cs="宋体"/>
          <w:i/>
          <w:iCs/>
          <w:sz w:val="24"/>
          <w:szCs w:val="24"/>
          <w:u w:val="single"/>
        </w:rPr>
        <w:t xml:space="preserve">根据《政府采购促进中小企业发展管理办法》规定，本项目面向中小企业采购，投标人投标时须提供《中小企业声明函》，《中小企业声明函》不符合要求或未提供的，投标文件无效</w:t>
      </w:r>
      <w:r>
        <w:rPr>
          <w:rFonts w:hint="eastAsia" w:ascii="宋体" w:hAnsi="宋体" w:eastAsia="宋体" w:cs="宋体"/>
          <w:i/>
          <w:iCs/>
          <w:sz w:val="24"/>
          <w:szCs w:val="24"/>
          <w:u w:val="single"/>
          <w:lang w:eastAsia="zh-CN"/>
        </w:rPr>
        <w:t xml:space="preserve">。</w:t>
      </w:r>
      <w:r>
        <w:rPr>
          <w:rFonts w:hint="eastAsia" w:ascii="宋体" w:hAnsi="宋体" w:eastAsia="宋体" w:cs="宋体"/>
          <w:i/>
          <w:iCs/>
          <w:sz w:val="24"/>
          <w:szCs w:val="24"/>
          <w:u w:val="single"/>
          <w:lang w:val="en-US" w:eastAsia="zh-CN"/>
        </w:rPr>
        <w:t xml:space="preserve">本项目采购标的按《中小企业划型标准规定》标准所属行业区分为其他未列明行业。</w:t>
      </w:r>
      <w:r/>
    </w:p>
    <w:p>
      <w:pPr>
        <w:ind w:firstLine="24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（二）本项目的特定资格要求</w:t>
      </w:r>
      <w:r>
        <w:rPr>
          <w:rFonts w:hint="eastAsia" w:ascii="宋体" w:hAnsi="宋体" w:eastAsia="宋体" w:cs="宋体"/>
          <w:color w:val="000000"/>
          <w:sz w:val="24"/>
          <w:szCs w:val="24"/>
          <w:lang w:val="en-US" w:eastAsia="zh-CN"/>
        </w:rPr>
        <w:t xml:space="preserve">:无</w:t>
      </w:r>
      <w:r/>
    </w:p>
    <w:p>
      <w:pPr>
        <w:ind w:firstLine="498"/>
        <w:keepLines/>
        <w:keepNext/>
        <w:spacing w:before="145" w:after="145" w:line="360" w:lineRule="auto"/>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rPr>
        <w:t xml:space="preserve">三、获取招标文件</w:t>
      </w:r>
      <w:r/>
    </w:p>
    <w:p>
      <w:pPr>
        <w:ind w:firstLine="5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1.时间：自招标文件公告发布之日起5个工作日。</w:t>
      </w:r>
      <w:r/>
    </w:p>
    <w:p>
      <w:pPr>
        <w:ind w:firstLine="5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2.方式：本项目采用网上注册登记方式</w:t>
      </w:r>
      <w:r>
        <w:rPr>
          <w:rFonts w:hint="eastAsia" w:ascii="宋体" w:hAnsi="宋体" w:eastAsia="宋体" w:cs="宋体"/>
          <w:color w:val="000000"/>
          <w:sz w:val="24"/>
          <w:szCs w:val="24"/>
          <w:lang w:val="en-US" w:eastAsia="zh-CN"/>
        </w:rPr>
        <w:t xml:space="preserve">自行免费下载</w:t>
      </w:r>
      <w:r>
        <w:rPr>
          <w:rFonts w:hint="eastAsia" w:ascii="宋体" w:hAnsi="宋体" w:eastAsia="宋体" w:cs="宋体"/>
          <w:color w:val="000000"/>
          <w:sz w:val="24"/>
          <w:szCs w:val="24"/>
        </w:rPr>
        <w:t xml:space="preserve">。</w:t>
      </w:r>
      <w:r/>
    </w:p>
    <w:p>
      <w:pPr>
        <w:ind w:firstLine="54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3.地址：“苏采云”系统（网址：</w:t>
      </w:r>
      <w:r>
        <w:rPr>
          <w:rFonts w:hint="eastAsia" w:ascii="宋体" w:hAnsi="宋体" w:eastAsia="宋体" w:cs="宋体"/>
          <w:color w:val="000000"/>
          <w:sz w:val="24"/>
          <w:szCs w:val="24"/>
          <w:u w:val="none"/>
          <w:lang w:val="en-US" w:eastAsia="zh-CN"/>
        </w:rPr>
        <w:t xml:space="preserve">http://jszfcg.jsczt.cn/）</w:t>
      </w:r>
      <w:r/>
    </w:p>
    <w:p>
      <w:pPr>
        <w:ind w:firstLine="54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4.潜在供应商访问政府采购管理交易系统（苏采云）的网络地址和方法：</w:t>
      </w:r>
      <w:r/>
    </w:p>
    <w:p>
      <w:pPr>
        <w:ind w:firstLine="54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（2）“CA数字证书”的获取：供应商需办理CA锁，“苏采云”系统目前仅支持“苏采云”系统下的政务CA，省内各地区办理的“苏采云”系统下的政务CA全省通用。</w:t>
      </w:r>
      <w:r/>
    </w:p>
    <w:p>
      <w:pPr>
        <w:ind w:firstLine="54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（3）“CA数字证书”的办理材料以及供应商操作手册详见：</w:t>
      </w:r>
      <w:r/>
    </w:p>
    <w:p>
      <w:pPr>
        <w:ind w:firstLine="54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http://zfcg.yangzhou.gov.cn/zfcg/xzzx/202309/4d7de1f7865f4a2894fc22bc452f94d8.shtml。</w:t>
      </w:r>
      <w:r/>
    </w:p>
    <w:p>
      <w:pPr>
        <w:ind w:firstLine="54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（4）潜在供应商访问“苏采云”系统的网络地址和方法：“苏采云”系统的网址：http://jszfcg.jsczt.cn/。</w:t>
      </w:r>
      <w:r/>
    </w:p>
    <w:p>
      <w:pPr>
        <w:ind w:firstLine="54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（5）采购文件（后缀名为“.kedt”）、供应商操作手册及政府采购客户端工具也可通过“苏采云”系统--已报名项目--报名详情页面内相应链接进行下载。</w:t>
      </w:r>
      <w:r/>
    </w:p>
    <w:p>
      <w:pPr>
        <w:ind w:firstLine="54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（6）招标代理机构（采购代理机构）将数据电文形式的采购文件加载至“苏采云”系统，供潜在供应商下载或者查阅。     </w:t>
      </w:r>
      <w:r/>
    </w:p>
    <w:p>
      <w:pPr>
        <w:ind w:firstLine="54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（7）苏采云系统使用谷歌浏览器参与不见面开标。</w:t>
      </w:r>
      <w:bookmarkEnd w:id="17"/>
      <w:r/>
      <w:bookmarkEnd w:id="18"/>
      <w:r/>
      <w:bookmarkEnd w:id="19"/>
      <w:r/>
      <w:bookmarkEnd w:id="20"/>
      <w:r/>
      <w:bookmarkEnd w:id="21"/>
      <w:r/>
      <w:r/>
    </w:p>
    <w:p>
      <w:pPr>
        <w:pStyle w:val="999"/>
        <w:ind w:firstLine="498"/>
        <w:spacing w:before="145" w:after="145" w:line="360" w:lineRule="auto"/>
        <w:rPr>
          <w:rFonts w:hint="eastAsia" w:ascii="宋体" w:hAnsi="宋体" w:eastAsia="宋体" w:cs="宋体"/>
          <w:color w:val="000000"/>
          <w:sz w:val="24"/>
          <w:szCs w:val="24"/>
        </w:rPr>
      </w:pPr>
      <w:r/>
      <w:bookmarkStart w:id="22" w:name="_Toc28359082"/>
      <w:r/>
      <w:bookmarkStart w:id="23" w:name="_Toc28359005"/>
      <w:r/>
      <w:bookmarkStart w:id="24" w:name="_Toc38985266"/>
      <w:r/>
      <w:bookmarkStart w:id="25" w:name="_Toc35393624"/>
      <w:r/>
      <w:bookmarkStart w:id="26" w:name="_Toc35393793"/>
      <w:r>
        <w:rPr>
          <w:rFonts w:hint="eastAsia" w:ascii="宋体" w:hAnsi="宋体" w:eastAsia="宋体" w:cs="宋体"/>
          <w:color w:val="000000"/>
          <w:sz w:val="24"/>
          <w:szCs w:val="24"/>
        </w:rPr>
        <w:t xml:space="preserve">四、提交投标文件</w:t>
      </w:r>
      <w:bookmarkEnd w:id="22"/>
      <w:r/>
      <w:bookmarkEnd w:id="23"/>
      <w:r>
        <w:rPr>
          <w:rFonts w:hint="eastAsia" w:ascii="宋体" w:hAnsi="宋体" w:eastAsia="宋体" w:cs="宋体"/>
          <w:color w:val="000000"/>
          <w:sz w:val="24"/>
          <w:szCs w:val="24"/>
        </w:rPr>
        <w:t xml:space="preserve">截止时间、开标时间和地点</w:t>
      </w:r>
      <w:bookmarkEnd w:id="24"/>
      <w:r/>
      <w:bookmarkEnd w:id="25"/>
      <w:r/>
      <w:bookmarkEnd w:id="26"/>
      <w:r/>
      <w:r/>
    </w:p>
    <w:p>
      <w:pPr>
        <w:ind w:firstLine="480"/>
        <w:spacing w:line="360" w:lineRule="auto"/>
        <w:rPr>
          <w:rFonts w:hint="eastAsia" w:ascii="宋体" w:hAnsi="宋体" w:eastAsia="宋体" w:cs="宋体"/>
          <w:bCs/>
          <w:color w:val="000000"/>
          <w:sz w:val="24"/>
          <w:szCs w:val="24"/>
          <w:u w:val="single"/>
        </w:rPr>
      </w:pPr>
      <w:r>
        <w:rPr>
          <w:rFonts w:hint="eastAsia" w:ascii="宋体" w:hAnsi="宋体" w:eastAsia="宋体" w:cs="宋体"/>
          <w:bCs/>
          <w:color w:val="000000"/>
          <w:sz w:val="24"/>
          <w:szCs w:val="24"/>
          <w:u w:val="none"/>
        </w:rPr>
        <w:t xml:space="preserve">1.</w:t>
      </w:r>
      <w:r>
        <w:rPr>
          <w:rFonts w:hint="eastAsia" w:ascii="宋体" w:hAnsi="宋体" w:eastAsia="宋体" w:cs="宋体"/>
          <w:bCs/>
          <w:color w:val="000000"/>
          <w:sz w:val="24"/>
          <w:szCs w:val="24"/>
          <w:u w:val="none"/>
          <w:lang w:val="en-US" w:eastAsia="zh-CN"/>
        </w:rPr>
        <w:t xml:space="preserve">时间：2026年11月6日09点00分</w:t>
      </w:r>
      <w:r>
        <w:rPr>
          <w:rFonts w:hint="eastAsia" w:ascii="宋体" w:hAnsi="宋体" w:eastAsia="宋体" w:cs="宋体"/>
          <w:bCs/>
          <w:color w:val="000000"/>
          <w:sz w:val="24"/>
          <w:szCs w:val="24"/>
        </w:rPr>
        <w:t xml:space="preserve">（北京时间）</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2.地点：“苏采云”政府采购交易系统</w:t>
      </w:r>
      <w:r/>
    </w:p>
    <w:p>
      <w:pPr>
        <w:ind w:firstLine="498"/>
        <w:keepLines/>
        <w:keepNext/>
        <w:spacing w:before="145" w:after="145" w:line="360" w:lineRule="auto"/>
        <w:rPr>
          <w:rFonts w:hint="eastAsia" w:ascii="宋体" w:hAnsi="宋体" w:eastAsia="宋体" w:cs="宋体"/>
          <w:b/>
          <w:bCs/>
          <w:color w:val="000000"/>
          <w:sz w:val="24"/>
          <w:szCs w:val="24"/>
        </w:rPr>
        <w:outlineLvl w:val="2"/>
      </w:pPr>
      <w:r/>
      <w:bookmarkStart w:id="27" w:name="_Toc38985267"/>
      <w:r/>
      <w:bookmarkStart w:id="28" w:name="_Toc35393625"/>
      <w:r/>
      <w:bookmarkStart w:id="29" w:name="_Toc28359084"/>
      <w:r/>
      <w:bookmarkStart w:id="30" w:name="_Toc35393794"/>
      <w:r/>
      <w:bookmarkStart w:id="31" w:name="_Toc28359007"/>
      <w:r>
        <w:rPr>
          <w:rFonts w:hint="eastAsia" w:ascii="宋体" w:hAnsi="宋体" w:eastAsia="宋体" w:cs="宋体"/>
          <w:b/>
          <w:bCs/>
          <w:color w:val="000000"/>
          <w:sz w:val="24"/>
          <w:szCs w:val="24"/>
        </w:rPr>
        <w:t xml:space="preserve">五、公告期限</w:t>
      </w:r>
      <w:bookmarkEnd w:id="27"/>
      <w:r/>
      <w:bookmarkEnd w:id="28"/>
      <w:r/>
      <w:bookmarkEnd w:id="29"/>
      <w:r/>
      <w:bookmarkEnd w:id="30"/>
      <w:r/>
      <w:bookmarkEnd w:id="31"/>
      <w:r/>
      <w:r/>
    </w:p>
    <w:p>
      <w:pPr>
        <w:ind w:firstLine="498"/>
        <w:keepLines/>
        <w:keepNext/>
        <w:spacing w:before="145" w:after="145"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自本公告发布之日起5个工作日。</w:t>
      </w:r>
      <w:r/>
    </w:p>
    <w:p>
      <w:pPr>
        <w:pStyle w:val="999"/>
        <w:ind w:firstLine="498"/>
        <w:spacing w:before="145" w:after="145" w:line="360" w:lineRule="auto"/>
        <w:rPr>
          <w:rFonts w:hint="eastAsia" w:ascii="宋体" w:hAnsi="宋体" w:eastAsia="宋体" w:cs="宋体"/>
          <w:color w:val="000000"/>
          <w:sz w:val="24"/>
          <w:szCs w:val="24"/>
        </w:rPr>
      </w:pPr>
      <w:r/>
      <w:bookmarkStart w:id="32" w:name="_Toc35393795"/>
      <w:r/>
      <w:bookmarkStart w:id="33" w:name="_Toc35393626"/>
      <w:r/>
      <w:bookmarkStart w:id="34" w:name="_Toc38985268"/>
      <w:r>
        <w:rPr>
          <w:rFonts w:hint="eastAsia" w:ascii="宋体" w:hAnsi="宋体" w:eastAsia="宋体" w:cs="宋体"/>
          <w:color w:val="000000"/>
          <w:sz w:val="24"/>
          <w:szCs w:val="24"/>
        </w:rPr>
        <w:t xml:space="preserve">六、其他补充事宜</w:t>
      </w:r>
      <w:bookmarkEnd w:id="32"/>
      <w:r/>
      <w:bookmarkEnd w:id="33"/>
      <w:r/>
      <w:bookmarkEnd w:id="34"/>
      <w:r/>
      <w:r/>
    </w:p>
    <w:p>
      <w:pPr>
        <w:pStyle w:val="999"/>
        <w:ind w:firstLine="498"/>
        <w:spacing w:before="145" w:after="145" w:line="360" w:lineRule="auto"/>
        <w:rPr>
          <w:rFonts w:hint="eastAsia" w:ascii="宋体" w:hAnsi="宋体" w:eastAsia="宋体" w:cs="宋体"/>
          <w:b w:val="0"/>
          <w:bCs w:val="0"/>
          <w:color w:val="000000"/>
          <w:sz w:val="24"/>
          <w:szCs w:val="24"/>
        </w:rPr>
      </w:pPr>
      <w:r/>
      <w:bookmarkStart w:id="35" w:name="_Toc35393627"/>
      <w:r/>
      <w:bookmarkStart w:id="36" w:name="_Toc28359008"/>
      <w:r/>
      <w:bookmarkStart w:id="37" w:name="_Toc28359085"/>
      <w:r/>
      <w:bookmarkStart w:id="38" w:name="_Toc35393796"/>
      <w:r/>
      <w:bookmarkStart w:id="39" w:name="_Toc38985269"/>
      <w:r>
        <w:rPr>
          <w:rFonts w:hint="eastAsia" w:ascii="宋体" w:hAnsi="宋体" w:eastAsia="宋体" w:cs="宋体"/>
          <w:b w:val="0"/>
          <w:bCs w:val="0"/>
          <w:color w:val="000000"/>
          <w:sz w:val="24"/>
          <w:szCs w:val="24"/>
        </w:rPr>
        <w:t xml:space="preserve">有关本次招标的事项若存在变动或修改，敬请及时关注“扬州市政府采购网”、“江苏省政府采购网”发布的信息或更正公告。</w:t>
      </w:r>
      <w:r/>
    </w:p>
    <w:p>
      <w:pPr>
        <w:pStyle w:val="999"/>
        <w:ind w:firstLine="498"/>
        <w:spacing w:before="145" w:after="145"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七、本次招标联系方式</w:t>
      </w:r>
      <w:bookmarkEnd w:id="35"/>
      <w:r/>
      <w:bookmarkEnd w:id="36"/>
      <w:r/>
      <w:bookmarkEnd w:id="37"/>
      <w:r/>
      <w:bookmarkEnd w:id="38"/>
      <w:r/>
      <w:bookmarkEnd w:id="39"/>
      <w:r/>
      <w:r/>
    </w:p>
    <w:p>
      <w:pPr>
        <w:ind w:firstLine="480"/>
        <w:jc w:val="left"/>
        <w:spacing w:line="360" w:lineRule="auto"/>
        <w:tabs>
          <w:tab w:val="left" w:pos="771" w:leader="none"/>
        </w:tabs>
        <w:rPr>
          <w:rFonts w:hint="eastAsia" w:ascii="宋体" w:hAnsi="宋体" w:eastAsia="宋体" w:cs="宋体"/>
          <w:color w:val="000000"/>
          <w:sz w:val="24"/>
          <w:szCs w:val="24"/>
          <w:u w:val="none"/>
          <w:lang w:val="en-US" w:eastAsia="zh-CN"/>
        </w:rPr>
      </w:pPr>
      <w:r/>
      <w:bookmarkStart w:id="40" w:name="_Toc28359009"/>
      <w:r/>
      <w:bookmarkStart w:id="41" w:name="_Toc28359086"/>
      <w:r/>
      <w:bookmarkStart w:id="42" w:name="_Toc28359087"/>
      <w:r/>
      <w:bookmarkStart w:id="43" w:name="_Toc28359010"/>
      <w:r>
        <w:rPr>
          <w:rFonts w:hint="eastAsia" w:ascii="宋体" w:hAnsi="宋体" w:eastAsia="宋体" w:cs="宋体"/>
          <w:color w:val="000000"/>
          <w:sz w:val="24"/>
          <w:szCs w:val="24"/>
          <w:u w:val="none"/>
          <w:lang w:val="en-US" w:eastAsia="zh-CN"/>
        </w:rPr>
        <w:t xml:space="preserve">1.招标人信息</w:t>
      </w:r>
      <w:r/>
    </w:p>
    <w:p>
      <w:pPr>
        <w:ind w:left="1079" w:hanging="300"/>
        <w:jc w:val="left"/>
        <w:spacing w:line="360" w:lineRule="auto"/>
        <w:tabs>
          <w:tab w:val="left" w:pos="771" w:leader="none"/>
        </w:tabs>
        <w:rPr>
          <w:rFonts w:hint="eastAsia" w:ascii="宋体" w:hAnsi="宋体" w:eastAsia="宋体" w:cs="宋体"/>
          <w:color w:val="000000"/>
          <w:sz w:val="24"/>
          <w:szCs w:val="24"/>
          <w:u w:val="none"/>
        </w:rPr>
      </w:pPr>
      <w:r>
        <w:rPr>
          <w:rFonts w:hint="eastAsia" w:ascii="宋体" w:hAnsi="宋体" w:eastAsia="宋体" w:cs="宋体"/>
          <w:color w:val="000000"/>
          <w:sz w:val="24"/>
          <w:szCs w:val="24"/>
          <w:u w:val="none"/>
        </w:rPr>
        <w:t xml:space="preserve">名 称：</w:t>
      </w:r>
      <w:r>
        <w:rPr>
          <w:rFonts w:hint="eastAsia" w:ascii="宋体" w:hAnsi="宋体" w:eastAsia="宋体" w:cs="宋体"/>
          <w:color w:val="000000"/>
          <w:sz w:val="24"/>
          <w:szCs w:val="24"/>
          <w:u w:val="none"/>
          <w:lang w:eastAsia="zh-CN"/>
        </w:rPr>
        <w:t xml:space="preserve">高邮市界首镇人民政府</w:t>
      </w:r>
      <w:r/>
    </w:p>
    <w:p>
      <w:pPr>
        <w:ind w:left="1079" w:hanging="300"/>
        <w:jc w:val="left"/>
        <w:spacing w:line="360" w:lineRule="auto"/>
        <w:rPr>
          <w:rFonts w:hint="eastAsia" w:ascii="宋体" w:hAnsi="宋体" w:eastAsia="宋体" w:cs="宋体"/>
          <w:color w:val="000000"/>
          <w:sz w:val="24"/>
          <w:szCs w:val="24"/>
          <w:u w:val="none"/>
        </w:rPr>
      </w:pPr>
      <w:r>
        <w:rPr>
          <w:rFonts w:hint="eastAsia" w:ascii="宋体" w:hAnsi="宋体" w:eastAsia="宋体" w:cs="宋体"/>
          <w:color w:val="000000"/>
          <w:sz w:val="24"/>
          <w:szCs w:val="24"/>
          <w:u w:val="none"/>
        </w:rPr>
        <w:t xml:space="preserve">地址：高邮市</w:t>
      </w:r>
      <w:r>
        <w:rPr>
          <w:rFonts w:hint="eastAsia" w:ascii="宋体" w:hAnsi="宋体" w:eastAsia="宋体" w:cs="宋体"/>
          <w:color w:val="000000"/>
          <w:sz w:val="24"/>
          <w:szCs w:val="24"/>
          <w:u w:val="none"/>
          <w:lang w:eastAsia="zh-CN"/>
        </w:rPr>
        <w:t xml:space="preserve">界首</w:t>
      </w:r>
      <w:r>
        <w:rPr>
          <w:rFonts w:hint="eastAsia" w:ascii="宋体" w:hAnsi="宋体" w:eastAsia="宋体" w:cs="宋体"/>
          <w:color w:val="000000"/>
          <w:sz w:val="24"/>
          <w:szCs w:val="24"/>
          <w:u w:val="none"/>
        </w:rPr>
        <w:t xml:space="preserve">镇</w:t>
      </w:r>
      <w:r/>
    </w:p>
    <w:p>
      <w:pPr>
        <w:ind w:left="1079" w:hanging="300"/>
        <w:jc w:val="left"/>
        <w:spacing w:line="360" w:lineRule="auto"/>
        <w:rPr>
          <w:rFonts w:hint="eastAsia" w:ascii="宋体" w:hAnsi="宋体" w:eastAsia="宋体" w:cs="宋体"/>
          <w:color w:val="000000"/>
          <w:sz w:val="24"/>
          <w:szCs w:val="24"/>
          <w:u w:val="none"/>
          <w:lang w:val="en-US"/>
        </w:rPr>
      </w:pPr>
      <w:r>
        <w:rPr>
          <w:rFonts w:hint="eastAsia" w:ascii="宋体" w:hAnsi="宋体" w:eastAsia="宋体" w:cs="宋体"/>
          <w:color w:val="000000"/>
          <w:sz w:val="24"/>
          <w:szCs w:val="24"/>
          <w:u w:val="none"/>
        </w:rPr>
        <w:t xml:space="preserve">联系人：</w:t>
      </w:r>
      <w:r>
        <w:rPr>
          <w:rFonts w:hint="eastAsia" w:ascii="宋体" w:hAnsi="宋体" w:eastAsia="宋体" w:cs="宋体"/>
          <w:color w:val="000000"/>
          <w:sz w:val="24"/>
          <w:szCs w:val="24"/>
          <w:u w:val="none"/>
          <w:lang w:val="en-US" w:eastAsia="zh-CN"/>
        </w:rPr>
        <w:t xml:space="preserve">丁国富</w:t>
      </w:r>
      <w:r/>
    </w:p>
    <w:p>
      <w:pPr>
        <w:ind w:left="1079" w:hanging="300"/>
        <w:jc w:val="left"/>
        <w:spacing w:line="360" w:lineRule="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rPr>
        <w:t xml:space="preserve">联系方式：13</w:t>
      </w:r>
      <w:r>
        <w:rPr>
          <w:rFonts w:hint="eastAsia" w:ascii="宋体" w:hAnsi="宋体" w:eastAsia="宋体" w:cs="宋体"/>
          <w:color w:val="000000"/>
          <w:sz w:val="24"/>
          <w:szCs w:val="24"/>
          <w:u w:val="none"/>
          <w:lang w:val="en-US" w:eastAsia="zh-CN"/>
        </w:rPr>
        <w:t xml:space="preserve">773313770</w:t>
      </w:r>
      <w:r/>
    </w:p>
    <w:p>
      <w:pPr>
        <w:ind w:firstLine="480"/>
        <w:spacing w:line="360" w:lineRule="auto"/>
        <w:rPr>
          <w:rFonts w:hint="eastAsia" w:ascii="宋体" w:hAnsi="宋体" w:eastAsia="宋体" w:cs="宋体"/>
          <w:color w:val="000000"/>
          <w:sz w:val="24"/>
          <w:szCs w:val="24"/>
          <w:u w:val="none"/>
        </w:rPr>
      </w:pPr>
      <w:r>
        <w:rPr>
          <w:rFonts w:hint="eastAsia" w:ascii="宋体" w:hAnsi="宋体" w:eastAsia="宋体" w:cs="宋体"/>
          <w:color w:val="000000"/>
          <w:sz w:val="24"/>
          <w:szCs w:val="24"/>
          <w:u w:val="none"/>
        </w:rPr>
        <w:t xml:space="preserve">2.</w:t>
      </w:r>
      <w:bookmarkEnd w:id="40"/>
      <w:r/>
      <w:bookmarkEnd w:id="41"/>
      <w:r>
        <w:rPr>
          <w:rFonts w:hint="eastAsia" w:ascii="宋体" w:hAnsi="宋体" w:eastAsia="宋体" w:cs="宋体"/>
          <w:color w:val="000000"/>
          <w:sz w:val="24"/>
          <w:szCs w:val="24"/>
          <w:u w:val="none"/>
        </w:rPr>
        <w:t xml:space="preserve">采购代理机构信息</w:t>
      </w:r>
      <w:r/>
    </w:p>
    <w:p>
      <w:pPr>
        <w:ind w:firstLine="720"/>
        <w:spacing w:line="360" w:lineRule="auto"/>
        <w:rPr>
          <w:rFonts w:hint="eastAsia" w:ascii="宋体" w:hAnsi="宋体" w:eastAsia="宋体" w:cs="宋体"/>
          <w:color w:val="000000"/>
          <w:sz w:val="24"/>
          <w:szCs w:val="24"/>
          <w:u w:val="none"/>
        </w:rPr>
      </w:pPr>
      <w:r>
        <w:rPr>
          <w:rFonts w:hint="eastAsia" w:ascii="宋体" w:hAnsi="宋体" w:eastAsia="宋体" w:cs="宋体"/>
          <w:color w:val="000000"/>
          <w:sz w:val="24"/>
          <w:szCs w:val="24"/>
          <w:u w:val="none"/>
        </w:rPr>
        <w:t xml:space="preserve">名称：</w:t>
      </w:r>
      <w:r>
        <w:rPr>
          <w:rFonts w:hint="eastAsia" w:ascii="宋体" w:hAnsi="宋体" w:eastAsia="宋体" w:cs="宋体"/>
          <w:color w:val="000000"/>
          <w:sz w:val="24"/>
          <w:szCs w:val="24"/>
          <w:u w:val="none"/>
          <w:lang w:val="en" w:eastAsia="zh-CN"/>
        </w:rPr>
        <w:t xml:space="preserve">扬州九域工程咨询有限公司</w:t>
      </w:r>
      <w:r/>
    </w:p>
    <w:p>
      <w:pPr>
        <w:ind w:firstLine="720"/>
        <w:spacing w:line="360" w:lineRule="auto"/>
        <w:rPr>
          <w:rFonts w:hint="eastAsia" w:ascii="宋体" w:hAnsi="宋体" w:eastAsia="宋体" w:cs="宋体"/>
          <w:color w:val="000000"/>
          <w:sz w:val="24"/>
          <w:szCs w:val="24"/>
          <w:u w:val="none"/>
          <w:lang w:val="en-US"/>
        </w:rPr>
      </w:pPr>
      <w:r>
        <w:rPr>
          <w:rFonts w:hint="eastAsia" w:ascii="宋体" w:hAnsi="宋体" w:eastAsia="宋体" w:cs="宋体"/>
          <w:color w:val="000000"/>
          <w:sz w:val="24"/>
          <w:szCs w:val="24"/>
          <w:u w:val="none"/>
        </w:rPr>
        <w:t xml:space="preserve">地址：</w:t>
      </w:r>
      <w:r>
        <w:rPr>
          <w:rFonts w:hint="eastAsia" w:ascii="宋体" w:hAnsi="宋体" w:eastAsia="宋体" w:cs="宋体"/>
          <w:color w:val="000000"/>
          <w:sz w:val="24"/>
          <w:szCs w:val="24"/>
          <w:u w:val="none"/>
          <w:lang w:val="en" w:eastAsia="zh-CN"/>
        </w:rPr>
        <w:t xml:space="preserve">高邮城南经济新区中心大道66号</w:t>
      </w:r>
      <w:r/>
    </w:p>
    <w:p>
      <w:pPr>
        <w:ind w:firstLine="720"/>
        <w:spacing w:line="360" w:lineRule="auto"/>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rPr>
        <w:t xml:space="preserve">联系人：</w:t>
      </w:r>
      <w:r>
        <w:rPr>
          <w:rFonts w:hint="eastAsia" w:ascii="宋体" w:hAnsi="宋体" w:cs="宋体"/>
          <w:color w:val="000000"/>
          <w:sz w:val="24"/>
          <w:szCs w:val="24"/>
          <w:u w:val="none"/>
          <w:lang w:val="en-US" w:eastAsia="zh-CN"/>
        </w:rPr>
        <w:t xml:space="preserve">刘瑛瑛</w:t>
      </w:r>
      <w:r/>
    </w:p>
    <w:p>
      <w:pPr>
        <w:ind w:firstLine="720"/>
        <w:spacing w:line="360" w:lineRule="auto"/>
        <w:rPr>
          <w:rFonts w:hint="eastAsia" w:ascii="宋体" w:hAnsi="宋体" w:eastAsia="宋体" w:cs="宋体"/>
          <w:color w:val="000000"/>
          <w:sz w:val="24"/>
          <w:szCs w:val="24"/>
          <w:lang w:val="en" w:eastAsia="zh-CN"/>
        </w:rPr>
      </w:pPr>
      <w:r>
        <w:rPr>
          <w:rFonts w:hint="eastAsia" w:ascii="宋体" w:hAnsi="宋体" w:eastAsia="宋体" w:cs="宋体"/>
          <w:color w:val="000000"/>
          <w:sz w:val="24"/>
          <w:szCs w:val="24"/>
          <w:u w:val="none"/>
        </w:rPr>
        <w:t xml:space="preserve">联系电话：</w:t>
      </w:r>
      <w:r>
        <w:rPr>
          <w:rFonts w:hint="eastAsia" w:ascii="宋体" w:hAnsi="宋体" w:cs="宋体"/>
          <w:color w:val="000000"/>
          <w:sz w:val="24"/>
          <w:szCs w:val="24"/>
          <w:u w:val="none"/>
          <w:lang w:val="en-US" w:eastAsia="zh-CN"/>
        </w:rPr>
        <w:t xml:space="preserve">18556207073</w:t>
      </w:r>
      <w:r>
        <w:rPr>
          <w:rFonts w:hint="eastAsia" w:ascii="宋体" w:hAnsi="宋体" w:eastAsia="宋体" w:cs="宋体"/>
          <w:color w:val="000000"/>
          <w:sz w:val="24"/>
          <w:szCs w:val="24"/>
          <w:lang w:val="en" w:eastAsia="zh-CN"/>
        </w:rPr>
        <w:t xml:space="preserve">　</w:t>
      </w:r>
      <w:bookmarkEnd w:id="42"/>
      <w:r/>
      <w:bookmarkEnd w:id="43"/>
      <w:r/>
      <w:r/>
    </w:p>
    <w:p>
      <w:pPr>
        <w:ind w:firstLine="480"/>
        <w:spacing w:line="360" w:lineRule="auto"/>
        <w:tabs>
          <w:tab w:val="left" w:pos="900" w:leader="none"/>
        </w:tabs>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八、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eastAsia="宋体" w:cs="宋体"/>
          <w:bCs/>
          <w:color w:val="000000"/>
          <w:sz w:val="24"/>
          <w:szCs w:val="24"/>
        </w:rPr>
        <w:t xml:space="preserve">。</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九、其他</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2.供应商如确定参加</w:t>
      </w:r>
      <w:r>
        <w:rPr>
          <w:rFonts w:hint="eastAsia" w:ascii="宋体" w:hAnsi="宋体" w:eastAsia="宋体" w:cs="宋体"/>
          <w:b w:val="0"/>
          <w:bCs w:val="0"/>
          <w:sz w:val="24"/>
          <w:szCs w:val="24"/>
          <w:lang w:val="en-US" w:eastAsia="zh-CN"/>
        </w:rPr>
        <w:t xml:space="preserve">投标</w:t>
      </w:r>
      <w:r>
        <w:rPr>
          <w:rFonts w:hint="eastAsia" w:ascii="宋体" w:hAnsi="宋体" w:eastAsia="宋体" w:cs="宋体"/>
          <w:b w:val="0"/>
          <w:bCs w:val="0"/>
          <w:sz w:val="24"/>
          <w:szCs w:val="24"/>
        </w:rPr>
        <w:t xml:space="preserve">，可自行下载采购文件及有关资料，按照《操作手册》进行注册，领取CA和办理电子签章，并按《操作手册》要求制作、上传电子投标文件，技术支持联系方式：13813140731。</w:t>
      </w:r>
      <w:r/>
    </w:p>
    <w:p>
      <w:pPr>
        <w:ind w:firstLine="480"/>
        <w:jc w:val="left"/>
        <w:spacing w:line="360" w:lineRule="auto"/>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3.潜在供应商对采购文件项目需求部分的询问、质疑请向采购人提出，由采购人负责答复。</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4</w:t>
      </w:r>
      <w:r>
        <w:rPr>
          <w:rFonts w:hint="eastAsia" w:ascii="宋体" w:hAnsi="宋体" w:eastAsia="宋体" w:cs="宋体"/>
          <w:b w:val="0"/>
          <w:bCs w:val="0"/>
          <w:sz w:val="24"/>
          <w:szCs w:val="24"/>
        </w:rPr>
        <w:t xml:space="preserve">.本次采购不收取保证金。</w:t>
      </w:r>
      <w:r/>
    </w:p>
    <w:p>
      <w:pPr>
        <w:ind w:firstLine="480"/>
        <w:spacing w:line="360" w:lineRule="auto"/>
        <w:rPr>
          <w:rFonts w:hint="eastAsia" w:ascii="宋体" w:hAnsi="宋体" w:eastAsia="宋体" w:cs="宋体"/>
          <w:b w:val="0"/>
          <w:bCs w:val="0"/>
          <w:i/>
          <w:iCs/>
          <w:sz w:val="24"/>
          <w:szCs w:val="24"/>
          <w:u w:val="single"/>
        </w:rPr>
      </w:pPr>
      <w:r>
        <w:rPr>
          <w:rFonts w:hint="eastAsia" w:ascii="宋体" w:hAnsi="宋体" w:eastAsia="宋体" w:cs="宋体"/>
          <w:b w:val="0"/>
          <w:bCs w:val="0"/>
          <w:sz w:val="24"/>
          <w:szCs w:val="24"/>
          <w:lang w:val="en-US" w:eastAsia="zh-CN"/>
        </w:rPr>
        <w:t xml:space="preserve">5</w:t>
      </w:r>
      <w:r>
        <w:rPr>
          <w:rFonts w:hint="eastAsia" w:ascii="宋体" w:hAnsi="宋体" w:eastAsia="宋体" w:cs="宋体"/>
          <w:b w:val="0"/>
          <w:bCs w:val="0"/>
          <w:sz w:val="24"/>
          <w:szCs w:val="24"/>
        </w:rPr>
        <w:t xml:space="preserve">.</w:t>
      </w:r>
      <w:r>
        <w:rPr>
          <w:rFonts w:hint="eastAsia" w:ascii="宋体" w:hAnsi="宋体" w:eastAsia="宋体" w:cs="宋体"/>
          <w:b w:val="0"/>
          <w:bCs w:val="0"/>
          <w:i/>
          <w:iCs/>
          <w:sz w:val="24"/>
          <w:szCs w:val="24"/>
          <w:u w:val="single"/>
        </w:rPr>
        <w:t xml:space="preserve">本项目采购文件中所有斜体下划线部分为实质性条款，如不满足，则为无效响应。</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6</w:t>
      </w:r>
      <w:r>
        <w:rPr>
          <w:rFonts w:hint="eastAsia" w:ascii="宋体" w:hAnsi="宋体" w:eastAsia="宋体" w:cs="宋体"/>
          <w:b w:val="0"/>
          <w:bCs w:val="0"/>
          <w:sz w:val="24"/>
          <w:szCs w:val="24"/>
        </w:rPr>
        <w:t xml:space="preserve">.推进政府采购支持绿色建材促进建筑品质提升政策实施工作。对政府采购工程采购文件应把“建设工程要求和材料性能符合《绿色建筑和绿色建材政府采购需求标准》的相关要求”作为实质性要求并以醒目方式进行标识，且在投标无效条件或否决投标条件中作相应载明；拟定施工合同中，须明确工程承包单位对涉及真实使用《需求标准》中的绿色建材的，应当全部采购和使用符合《需求标准》的绿色建材，提供绿色建材供应商符合《需求标准》相关指标要求的绿色建材检测报告或提供符合《需求标准》相关指标的绿色建材产品认证证书。</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7</w:t>
      </w:r>
      <w:r>
        <w:rPr>
          <w:rFonts w:hint="eastAsia" w:ascii="宋体" w:hAnsi="宋体" w:eastAsia="宋体" w:cs="宋体"/>
          <w:b w:val="0"/>
          <w:bCs w:val="0"/>
          <w:sz w:val="24"/>
          <w:szCs w:val="24"/>
        </w:rPr>
        <w:t xml:space="preserve">.落实好政府采购履约资金扶持政策。中标/成交供应商可凭政府采购合同办理融资贷款，详见江苏政府采购网“政采贷”专栏。</w:t>
      </w:r>
      <w:r/>
    </w:p>
    <w:p>
      <w:pPr>
        <w:ind w:firstLine="480"/>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8</w:t>
      </w:r>
      <w:r>
        <w:rPr>
          <w:rFonts w:hint="eastAsia" w:ascii="宋体" w:hAnsi="宋体" w:eastAsia="宋体" w:cs="宋体"/>
          <w:b w:val="0"/>
          <w:bCs w:val="0"/>
          <w:sz w:val="24"/>
          <w:szCs w:val="24"/>
        </w:rPr>
        <w:t xml:space="preserve">.推行电子履约保函（保险）。政府采购履约保函（保险）是指在政府采购活动中第三方机构向采购人提供的保证政府采购中标、成交供应商履行合同义务的担保或保险。供应商可通过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w:t>
      </w:r>
      <w:r/>
    </w:p>
    <w:p>
      <w:pPr>
        <w:pStyle w:val="820"/>
        <w:numPr>
          <w:ilvl w:val="0"/>
          <w:numId w:val="0"/>
        </w:numPr>
        <w:ind w:firstLine="480"/>
        <w:spacing w:line="360" w:lineRule="auto"/>
        <w:rPr>
          <w:rFonts w:hint="eastAsia" w:ascii="宋体" w:hAnsi="宋体" w:eastAsia="宋体" w:cs="宋体"/>
          <w:sz w:val="24"/>
          <w:szCs w:val="24"/>
        </w:rPr>
      </w:pPr>
      <w:r>
        <w:rPr>
          <w:rFonts w:hint="eastAsia" w:ascii="宋体" w:hAnsi="宋体" w:eastAsia="宋体" w:cs="宋体"/>
          <w:b w:val="0"/>
          <w:bCs w:val="0"/>
          <w:sz w:val="24"/>
          <w:szCs w:val="24"/>
          <w:lang w:val="en-US" w:eastAsia="zh-CN"/>
        </w:rPr>
        <w:t xml:space="preserve">9</w:t>
      </w:r>
      <w:r>
        <w:rPr>
          <w:rFonts w:hint="eastAsia" w:ascii="宋体" w:hAnsi="宋体" w:eastAsia="宋体" w:cs="宋体"/>
          <w:b w:val="0"/>
          <w:bCs w:val="0"/>
          <w:sz w:val="24"/>
          <w:szCs w:val="24"/>
        </w:rPr>
        <w:t xml:space="preserve">.严格执行政府采购关于支持</w:t>
      </w:r>
      <w:r>
        <w:rPr>
          <w:rFonts w:hint="eastAsia" w:ascii="宋体" w:hAnsi="宋体" w:eastAsia="宋体" w:cs="宋体"/>
          <w:b w:val="0"/>
          <w:bCs w:val="0"/>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20"/>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20"/>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20"/>
        <w:jc w:val="right"/>
        <w:spacing w:line="360" w:lineRule="auto"/>
        <w:rPr>
          <w:rFonts w:hint="eastAsia" w:ascii="宋体" w:hAnsi="宋体" w:eastAsia="宋体" w:cs="宋体"/>
          <w:sz w:val="24"/>
          <w:szCs w:val="24"/>
        </w:rPr>
      </w:pPr>
      <w:r>
        <w:rPr>
          <w:rFonts w:hint="eastAsia" w:ascii="宋体" w:hAnsi="宋体" w:eastAsia="宋体" w:cs="宋体"/>
          <w:color w:val="000000"/>
          <w:sz w:val="24"/>
          <w:szCs w:val="24"/>
          <w:u w:val="none"/>
          <w:lang w:eastAsia="zh-CN"/>
        </w:rPr>
        <w:t xml:space="preserve">高邮市界首镇人民政府</w:t>
      </w:r>
      <w:r/>
    </w:p>
    <w:p>
      <w:pPr>
        <w:pStyle w:val="820"/>
        <w:jc w:val="right"/>
        <w:spacing w:line="360" w:lineRule="auto"/>
        <w:rPr>
          <w:rFonts w:hint="eastAsia" w:ascii="宋体" w:hAnsi="宋体" w:eastAsia="宋体" w:cs="宋体"/>
          <w:sz w:val="24"/>
          <w:szCs w:val="24"/>
        </w:rPr>
      </w:pPr>
      <w:r>
        <w:rPr>
          <w:rFonts w:hint="eastAsia" w:ascii="宋体" w:hAnsi="宋体" w:eastAsia="宋体" w:cs="宋体"/>
          <w:color w:val="000000"/>
          <w:sz w:val="24"/>
          <w:szCs w:val="24"/>
          <w:u w:val="none"/>
          <w:lang w:val="en-US" w:eastAsia="zh-CN"/>
        </w:rPr>
        <w:t xml:space="preserve">扬州九域工程咨询有限公司</w:t>
      </w:r>
      <w:r/>
    </w:p>
    <w:p>
      <w:pPr>
        <w:ind w:right="840"/>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p>
    <w:p>
      <w:pPr>
        <w:pStyle w:val="997"/>
        <w:jc w:val="center"/>
        <w:keepLines/>
        <w:keepNext/>
        <w:pageBreakBefore w:val="0"/>
        <w:spacing w:line="240" w:lineRule="auto"/>
        <w:widowControl w:val="off"/>
        <w:rPr>
          <w:rFonts w:hint="eastAsia" w:ascii="宋体" w:hAnsi="宋体" w:eastAsia="宋体" w:cs="宋体"/>
          <w:b w:val="0"/>
          <w:bCs w:val="0"/>
          <w:color w:val="000000"/>
        </w:rPr>
      </w:pPr>
      <w:r/>
      <w:bookmarkStart w:id="44" w:name="_Toc120614211"/>
      <w:r>
        <w:rPr>
          <w:rFonts w:hint="eastAsia" w:ascii="宋体" w:hAnsi="宋体" w:eastAsia="宋体" w:cs="宋体"/>
          <w:color w:val="000000"/>
          <w:sz w:val="32"/>
          <w:szCs w:val="32"/>
        </w:rPr>
        <w:t xml:space="preserve">第二章  </w:t>
      </w:r>
      <w:bookmarkEnd w:id="1"/>
      <w:r/>
      <w:bookmarkEnd w:id="2"/>
      <w:r/>
      <w:bookmarkEnd w:id="3"/>
      <w:r/>
      <w:bookmarkEnd w:id="4"/>
      <w:r/>
      <w:bookmarkEnd w:id="5"/>
      <w:r/>
      <w:bookmarkEnd w:id="44"/>
      <w:r/>
      <w:bookmarkStart w:id="45" w:name="_Toc20823274"/>
      <w:r/>
      <w:bookmarkStart w:id="46" w:name="_Toc16938518"/>
      <w:r/>
      <w:bookmarkStart w:id="47" w:name="_Toc513029202"/>
      <w:r/>
      <w:bookmarkStart w:id="48" w:name="_Toc120614213"/>
      <w:r>
        <w:rPr>
          <w:rFonts w:hint="eastAsia" w:ascii="宋体" w:hAnsi="宋体" w:eastAsia="宋体" w:cs="宋体"/>
          <w:color w:val="000000"/>
          <w:sz w:val="32"/>
          <w:szCs w:val="32"/>
        </w:rPr>
        <w:t xml:space="preserve">投标人须知</w:t>
      </w:r>
      <w:bookmarkEnd w:id="45"/>
      <w:r/>
      <w:bookmarkEnd w:id="46"/>
      <w:r/>
      <w:bookmarkEnd w:id="47"/>
      <w:r/>
      <w:bookmarkEnd w:id="48"/>
      <w:r/>
      <w:r/>
    </w:p>
    <w:p>
      <w:pPr>
        <w:pStyle w:val="999"/>
        <w:spacing w:before="145" w:after="145" w:line="360" w:lineRule="auto"/>
        <w:rPr>
          <w:rFonts w:hint="eastAsia" w:ascii="宋体" w:hAnsi="宋体" w:eastAsia="宋体" w:cs="宋体"/>
          <w:color w:val="000000"/>
          <w:sz w:val="24"/>
          <w:szCs w:val="24"/>
        </w:rPr>
      </w:pPr>
      <w:r/>
      <w:bookmarkStart w:id="49" w:name="_Toc20823275"/>
      <w:r/>
      <w:bookmarkStart w:id="50" w:name="_Toc513029203"/>
      <w:r/>
      <w:bookmarkStart w:id="51" w:name="_Toc16938519"/>
      <w:r/>
      <w:bookmarkStart w:id="52" w:name="_Toc120614214"/>
      <w:r>
        <w:rPr>
          <w:rFonts w:hint="eastAsia" w:ascii="宋体" w:hAnsi="宋体" w:eastAsia="宋体" w:cs="宋体"/>
          <w:color w:val="000000"/>
          <w:sz w:val="24"/>
          <w:szCs w:val="24"/>
        </w:rPr>
        <w:t xml:space="preserve">一、总则</w:t>
      </w:r>
      <w:bookmarkEnd w:id="49"/>
      <w:r/>
      <w:bookmarkEnd w:id="50"/>
      <w:r/>
      <w:bookmarkEnd w:id="51"/>
      <w:r/>
      <w:bookmarkEnd w:id="52"/>
      <w:r/>
      <w:r/>
    </w:p>
    <w:p>
      <w:pPr>
        <w:ind w:firstLine="480"/>
        <w:spacing w:line="360" w:lineRule="auto"/>
        <w:rPr>
          <w:rFonts w:hint="eastAsia" w:ascii="宋体" w:hAnsi="宋体" w:eastAsia="宋体" w:cs="宋体"/>
          <w:b w:val="0"/>
          <w:bCs w:val="0"/>
          <w:color w:val="000000"/>
          <w:sz w:val="24"/>
          <w:szCs w:val="24"/>
          <w:lang w:eastAsia="zh-CN"/>
        </w:rPr>
      </w:pPr>
      <w:r/>
      <w:bookmarkStart w:id="53" w:name="_Hlt16619475"/>
      <w:r/>
      <w:bookmarkEnd w:id="53"/>
      <w:r/>
      <w:bookmarkStart w:id="54" w:name="_Toc458694821"/>
      <w:r/>
      <w:bookmarkStart w:id="55" w:name="_Toc16938520"/>
      <w:r/>
      <w:bookmarkStart w:id="56" w:name="_Toc513029204"/>
      <w:r/>
      <w:bookmarkStart w:id="57" w:name="_Toc20823276"/>
      <w:r>
        <w:rPr>
          <w:rFonts w:hint="eastAsia" w:ascii="宋体" w:hAnsi="宋体" w:eastAsia="宋体" w:cs="宋体"/>
          <w:b w:val="0"/>
          <w:bCs w:val="0"/>
          <w:color w:val="000000"/>
          <w:sz w:val="24"/>
          <w:szCs w:val="24"/>
          <w:lang w:eastAsia="zh-CN"/>
        </w:rPr>
        <w:t xml:space="preserve">1.</w:t>
      </w:r>
      <w:bookmarkEnd w:id="54"/>
      <w:r>
        <w:rPr>
          <w:rFonts w:hint="eastAsia" w:ascii="宋体" w:hAnsi="宋体" w:eastAsia="宋体" w:cs="宋体"/>
          <w:b w:val="0"/>
          <w:bCs w:val="0"/>
          <w:color w:val="000000"/>
          <w:sz w:val="24"/>
          <w:szCs w:val="24"/>
          <w:lang w:eastAsia="zh-CN"/>
        </w:rPr>
        <w:t xml:space="preserve">招标方式</w:t>
      </w:r>
      <w:bookmarkEnd w:id="55"/>
      <w:r/>
      <w:bookmarkEnd w:id="56"/>
      <w:r/>
      <w:bookmarkEnd w:id="57"/>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1.1 本次招标采取公开招标方式，本招标文件仅适用于招标公告中所述项目。</w:t>
      </w:r>
      <w:r/>
    </w:p>
    <w:p>
      <w:pPr>
        <w:ind w:firstLine="480"/>
        <w:spacing w:line="360" w:lineRule="auto"/>
        <w:rPr>
          <w:rFonts w:hint="eastAsia" w:ascii="宋体" w:hAnsi="宋体" w:eastAsia="宋体" w:cs="宋体"/>
          <w:b w:val="0"/>
          <w:bCs w:val="0"/>
          <w:color w:val="000000"/>
          <w:sz w:val="24"/>
          <w:szCs w:val="24"/>
          <w:lang w:eastAsia="zh-CN"/>
        </w:rPr>
      </w:pPr>
      <w:r/>
      <w:bookmarkStart w:id="58" w:name="_Toc513029205"/>
      <w:r/>
      <w:bookmarkStart w:id="59" w:name="_Toc16938521"/>
      <w:r/>
      <w:bookmarkStart w:id="60" w:name="_Toc20823277"/>
      <w:r>
        <w:rPr>
          <w:rFonts w:hint="eastAsia" w:ascii="宋体" w:hAnsi="宋体" w:eastAsia="宋体" w:cs="宋体"/>
          <w:b w:val="0"/>
          <w:bCs w:val="0"/>
          <w:color w:val="000000"/>
          <w:sz w:val="24"/>
          <w:szCs w:val="24"/>
          <w:lang w:eastAsia="zh-CN"/>
        </w:rPr>
        <w:t xml:space="preserve">2.合格的投标人</w:t>
      </w:r>
      <w:bookmarkEnd w:id="58"/>
      <w:r/>
      <w:bookmarkEnd w:id="59"/>
      <w:r/>
      <w:bookmarkEnd w:id="60"/>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2.1满足招标公告中投标人的资格要求的规定。</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2.2 满足本文件实质性要求的规定。</w:t>
      </w:r>
      <w:r/>
    </w:p>
    <w:p>
      <w:pPr>
        <w:ind w:firstLine="480"/>
        <w:spacing w:line="360" w:lineRule="auto"/>
        <w:rPr>
          <w:rFonts w:hint="eastAsia" w:ascii="宋体" w:hAnsi="宋体" w:eastAsia="宋体" w:cs="宋体"/>
          <w:b w:val="0"/>
          <w:bCs w:val="0"/>
          <w:color w:val="000000"/>
          <w:sz w:val="24"/>
          <w:szCs w:val="24"/>
          <w:lang w:eastAsia="zh-CN"/>
        </w:rPr>
      </w:pPr>
      <w:r/>
      <w:bookmarkStart w:id="61" w:name="_Toc20823278"/>
      <w:r/>
      <w:bookmarkStart w:id="62" w:name="_Toc16938522"/>
      <w:r/>
      <w:bookmarkStart w:id="63" w:name="_Toc513029206"/>
      <w:r>
        <w:rPr>
          <w:rFonts w:hint="eastAsia" w:ascii="宋体" w:hAnsi="宋体" w:eastAsia="宋体" w:cs="宋体"/>
          <w:b w:val="0"/>
          <w:bCs w:val="0"/>
          <w:color w:val="000000"/>
          <w:sz w:val="24"/>
          <w:szCs w:val="24"/>
          <w:lang w:eastAsia="zh-CN"/>
        </w:rPr>
        <w:t xml:space="preserve">3.适用法律</w:t>
      </w:r>
      <w:bookmarkEnd w:id="61"/>
      <w:r/>
      <w:bookmarkEnd w:id="62"/>
      <w:r/>
      <w:bookmarkEnd w:id="63"/>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3.1 本次招标及由此产生的合同受中华人民共和国有关的法律法规制约和保护。</w:t>
      </w:r>
      <w:r/>
    </w:p>
    <w:p>
      <w:pPr>
        <w:ind w:firstLine="480"/>
        <w:spacing w:line="360" w:lineRule="auto"/>
        <w:rPr>
          <w:rFonts w:hint="eastAsia" w:ascii="宋体" w:hAnsi="宋体" w:eastAsia="宋体" w:cs="宋体"/>
          <w:b w:val="0"/>
          <w:bCs w:val="0"/>
          <w:color w:val="000000"/>
          <w:sz w:val="24"/>
          <w:szCs w:val="24"/>
          <w:lang w:eastAsia="zh-CN"/>
        </w:rPr>
      </w:pPr>
      <w:r/>
      <w:bookmarkStart w:id="64" w:name="_Toc513029207"/>
      <w:r/>
      <w:bookmarkStart w:id="65" w:name="_Toc16938523"/>
      <w:r/>
      <w:bookmarkStart w:id="66" w:name="_Toc20823279"/>
      <w:r/>
      <w:bookmarkStart w:id="67" w:name="_Toc462564067"/>
      <w:r>
        <w:rPr>
          <w:rFonts w:hint="eastAsia" w:ascii="宋体" w:hAnsi="宋体" w:eastAsia="宋体" w:cs="宋体"/>
          <w:b w:val="0"/>
          <w:bCs w:val="0"/>
          <w:color w:val="000000"/>
          <w:sz w:val="24"/>
          <w:szCs w:val="24"/>
          <w:lang w:eastAsia="zh-CN"/>
        </w:rPr>
        <w:t xml:space="preserve">4.投标费用</w:t>
      </w:r>
      <w:bookmarkEnd w:id="64"/>
      <w:r/>
      <w:bookmarkEnd w:id="65"/>
      <w:r/>
      <w:bookmarkEnd w:id="66"/>
      <w:r/>
      <w:bookmarkEnd w:id="67"/>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4.1 投标人应自行承担所有与参加投标有关的费用，无论投标过程中的做法和结果如何，</w:t>
      </w:r>
      <w:r>
        <w:rPr>
          <w:rFonts w:hint="eastAsia" w:ascii="宋体" w:hAnsi="宋体" w:eastAsia="宋体" w:cs="宋体"/>
          <w:b w:val="0"/>
          <w:bCs w:val="0"/>
          <w:color w:val="000000"/>
          <w:sz w:val="24"/>
          <w:szCs w:val="24"/>
          <w:lang w:val="en-US" w:eastAsia="zh-CN"/>
        </w:rPr>
        <w:t xml:space="preserve">招标人和代理公司</w:t>
      </w:r>
      <w:r>
        <w:rPr>
          <w:rFonts w:hint="eastAsia" w:ascii="宋体" w:hAnsi="宋体" w:eastAsia="宋体" w:cs="宋体"/>
          <w:b w:val="0"/>
          <w:bCs w:val="0"/>
          <w:color w:val="000000"/>
          <w:sz w:val="24"/>
          <w:szCs w:val="24"/>
          <w:lang w:eastAsia="zh-CN"/>
        </w:rPr>
        <w:t xml:space="preserve">在任何情况下均无义务和责任承担这些费用。</w:t>
      </w:r>
      <w:r/>
    </w:p>
    <w:p>
      <w:pPr>
        <w:ind w:firstLine="480"/>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4.2</w:t>
      </w:r>
      <w:bookmarkStart w:id="68" w:name="_Hlk115095815"/>
      <w:r>
        <w:rPr>
          <w:rFonts w:hint="eastAsia" w:ascii="宋体" w:hAnsi="宋体" w:eastAsia="宋体" w:cs="宋体"/>
          <w:b w:val="0"/>
          <w:bCs w:val="0"/>
          <w:color w:val="000000"/>
          <w:sz w:val="24"/>
          <w:szCs w:val="24"/>
          <w:highlight w:val="none"/>
          <w:lang w:eastAsia="zh-CN"/>
        </w:rPr>
        <w:t xml:space="preserve">本次采购由</w:t>
      </w:r>
      <w:r>
        <w:rPr>
          <w:rFonts w:hint="eastAsia" w:ascii="宋体" w:hAnsi="宋体" w:eastAsia="宋体" w:cs="宋体"/>
          <w:b w:val="0"/>
          <w:bCs w:val="0"/>
          <w:color w:val="000000"/>
          <w:sz w:val="24"/>
          <w:szCs w:val="24"/>
          <w:highlight w:val="none"/>
          <w:lang w:val="en-US" w:eastAsia="zh-CN"/>
        </w:rPr>
        <w:t xml:space="preserve">中标</w:t>
      </w:r>
      <w:r>
        <w:rPr>
          <w:rFonts w:hint="eastAsia" w:ascii="宋体" w:hAnsi="宋体" w:eastAsia="宋体" w:cs="宋体"/>
          <w:b w:val="0"/>
          <w:bCs w:val="0"/>
          <w:color w:val="000000"/>
          <w:sz w:val="24"/>
          <w:szCs w:val="24"/>
          <w:highlight w:val="none"/>
          <w:lang w:eastAsia="zh-CN"/>
        </w:rPr>
        <w:t xml:space="preserve">单位在领取成交通知书前</w:t>
      </w:r>
      <w:r>
        <w:rPr>
          <w:rFonts w:hint="eastAsia" w:ascii="宋体" w:hAnsi="宋体" w:eastAsia="宋体" w:cs="宋体"/>
          <w:b w:val="0"/>
          <w:bCs w:val="0"/>
          <w:color w:val="000000"/>
          <w:sz w:val="24"/>
          <w:szCs w:val="24"/>
          <w:highlight w:val="none"/>
          <w:lang w:val="en-US" w:eastAsia="zh-CN"/>
        </w:rPr>
        <w:t xml:space="preserve">支付本项目的招标代理费，招标代理费</w:t>
      </w:r>
      <w:r>
        <w:rPr>
          <w:rFonts w:hint="eastAsia" w:ascii="宋体" w:hAnsi="宋体" w:eastAsia="宋体" w:cs="宋体"/>
          <w:b w:val="0"/>
          <w:bCs w:val="0"/>
          <w:color w:val="000000"/>
          <w:sz w:val="24"/>
          <w:szCs w:val="24"/>
          <w:highlight w:val="none"/>
          <w:lang w:eastAsia="zh-CN"/>
        </w:rPr>
        <w:t xml:space="preserve">按照国家计委印发的《招标代理服务收费管理暂行办法》(计价格【2002】1980号文)</w:t>
      </w:r>
      <w:r>
        <w:rPr>
          <w:rFonts w:hint="eastAsia" w:ascii="宋体" w:hAnsi="宋体" w:eastAsia="宋体" w:cs="宋体"/>
          <w:b w:val="0"/>
          <w:bCs w:val="0"/>
          <w:color w:val="000000"/>
          <w:sz w:val="24"/>
          <w:szCs w:val="24"/>
          <w:highlight w:val="none"/>
          <w:lang w:val="en-US" w:eastAsia="zh-CN"/>
        </w:rPr>
        <w:t xml:space="preserve">服务</w:t>
      </w:r>
      <w:r>
        <w:rPr>
          <w:rFonts w:hint="eastAsia" w:ascii="宋体" w:hAnsi="宋体" w:eastAsia="宋体" w:cs="宋体"/>
          <w:b w:val="0"/>
          <w:bCs w:val="0"/>
          <w:color w:val="000000"/>
          <w:sz w:val="24"/>
          <w:szCs w:val="24"/>
          <w:highlight w:val="none"/>
          <w:lang w:eastAsia="zh-CN"/>
        </w:rPr>
        <w:t xml:space="preserve">类标准</w:t>
      </w:r>
      <w:r>
        <w:rPr>
          <w:rFonts w:hint="eastAsia" w:ascii="宋体" w:hAnsi="宋体" w:eastAsia="宋体" w:cs="宋体"/>
          <w:b w:val="0"/>
          <w:bCs w:val="0"/>
          <w:color w:val="000000"/>
          <w:sz w:val="24"/>
          <w:szCs w:val="24"/>
          <w:highlight w:val="none"/>
          <w:lang w:val="en-US" w:eastAsia="zh-CN"/>
        </w:rPr>
        <w:t xml:space="preserve">收取，</w:t>
      </w:r>
      <w:r>
        <w:rPr>
          <w:rFonts w:hint="eastAsia" w:ascii="宋体" w:hAnsi="宋体" w:eastAsia="宋体" w:cs="宋体"/>
          <w:b w:val="0"/>
          <w:bCs w:val="0"/>
          <w:color w:val="000000"/>
          <w:sz w:val="24"/>
          <w:szCs w:val="24"/>
          <w:highlight w:val="none"/>
          <w:lang w:eastAsia="zh-CN"/>
        </w:rPr>
        <w:t xml:space="preserve">一次性支付给招标代理机构代理服务费。</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（1）代理服务费以人民币支付；</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（2）代理服务费一次性以电汇、转账等非现金形式支付；</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（3）招标代理服务费不在</w:t>
      </w:r>
      <w:r>
        <w:rPr>
          <w:rFonts w:hint="eastAsia" w:ascii="宋体" w:hAnsi="宋体" w:eastAsia="宋体" w:cs="宋体"/>
          <w:b w:val="0"/>
          <w:bCs w:val="0"/>
          <w:color w:val="000000"/>
          <w:sz w:val="24"/>
          <w:szCs w:val="24"/>
          <w:lang w:val="en-US" w:eastAsia="zh-CN"/>
        </w:rPr>
        <w:t xml:space="preserve">投标</w:t>
      </w:r>
      <w:r>
        <w:rPr>
          <w:rFonts w:hint="eastAsia" w:ascii="宋体" w:hAnsi="宋体" w:eastAsia="宋体" w:cs="宋体"/>
          <w:b w:val="0"/>
          <w:bCs w:val="0"/>
          <w:color w:val="000000"/>
          <w:sz w:val="24"/>
          <w:szCs w:val="24"/>
          <w:lang w:eastAsia="zh-CN"/>
        </w:rPr>
        <w:t xml:space="preserve">报价中单列，包含在</w:t>
      </w:r>
      <w:r>
        <w:rPr>
          <w:rFonts w:hint="eastAsia" w:ascii="宋体" w:hAnsi="宋体" w:eastAsia="宋体" w:cs="宋体"/>
          <w:b w:val="0"/>
          <w:bCs w:val="0"/>
          <w:color w:val="000000"/>
          <w:sz w:val="24"/>
          <w:szCs w:val="24"/>
          <w:lang w:val="en-US" w:eastAsia="zh-CN"/>
        </w:rPr>
        <w:t xml:space="preserve">投标</w:t>
      </w:r>
      <w:r>
        <w:rPr>
          <w:rFonts w:hint="eastAsia" w:ascii="宋体" w:hAnsi="宋体" w:eastAsia="宋体" w:cs="宋体"/>
          <w:b w:val="0"/>
          <w:bCs w:val="0"/>
          <w:color w:val="000000"/>
          <w:sz w:val="24"/>
          <w:szCs w:val="24"/>
          <w:lang w:eastAsia="zh-CN"/>
        </w:rPr>
        <w:t xml:space="preserve">总价中，由</w:t>
      </w:r>
      <w:r>
        <w:rPr>
          <w:rFonts w:hint="eastAsia" w:ascii="宋体" w:hAnsi="宋体" w:eastAsia="宋体" w:cs="宋体"/>
          <w:b w:val="0"/>
          <w:bCs w:val="0"/>
          <w:color w:val="000000"/>
          <w:sz w:val="24"/>
          <w:szCs w:val="24"/>
          <w:lang w:val="en-US" w:eastAsia="zh-CN"/>
        </w:rPr>
        <w:t xml:space="preserve">中标</w:t>
      </w:r>
      <w:r>
        <w:rPr>
          <w:rFonts w:hint="eastAsia" w:ascii="宋体" w:hAnsi="宋体" w:eastAsia="宋体" w:cs="宋体"/>
          <w:b w:val="0"/>
          <w:bCs w:val="0"/>
          <w:color w:val="000000"/>
          <w:sz w:val="24"/>
          <w:szCs w:val="24"/>
          <w:lang w:eastAsia="zh-CN"/>
        </w:rPr>
        <w:t xml:space="preserve">单位支付给代理机构。</w:t>
      </w:r>
      <w:r/>
    </w:p>
    <w:p>
      <w:pPr>
        <w:ind w:firstLine="48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4.3专家评审费按扬财购【2020】40号文《关于进一步规范扬州市政府采购专家评审费标准的通知》执行。</w:t>
      </w:r>
      <w:bookmarkEnd w:id="68"/>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5.招标文件的约束力</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5.1 投标人一旦参加本项目采购活动，即被认为接受了本招标文件的规定和约束。</w:t>
      </w:r>
      <w:r/>
    </w:p>
    <w:p>
      <w:pPr>
        <w:pStyle w:val="999"/>
        <w:ind w:firstLine="321"/>
        <w:spacing w:before="145" w:after="145" w:line="360" w:lineRule="auto"/>
        <w:rPr>
          <w:rFonts w:hint="eastAsia" w:ascii="宋体" w:hAnsi="宋体" w:eastAsia="宋体" w:cs="宋体"/>
          <w:color w:val="000000"/>
          <w:sz w:val="24"/>
          <w:szCs w:val="24"/>
        </w:rPr>
      </w:pPr>
      <w:r/>
      <w:bookmarkStart w:id="69" w:name="_Toc513029209"/>
      <w:r/>
      <w:bookmarkStart w:id="70" w:name="_Toc120614215"/>
      <w:r/>
      <w:bookmarkStart w:id="71" w:name="_Toc16938525"/>
      <w:r/>
      <w:bookmarkStart w:id="72" w:name="_Toc20823281"/>
      <w:r>
        <w:rPr>
          <w:rFonts w:hint="eastAsia" w:ascii="宋体" w:hAnsi="宋体" w:eastAsia="宋体" w:cs="宋体"/>
          <w:color w:val="000000"/>
          <w:sz w:val="24"/>
          <w:szCs w:val="24"/>
        </w:rPr>
        <w:t xml:space="preserve">二、招标文件</w:t>
      </w:r>
      <w:bookmarkEnd w:id="69"/>
      <w:r/>
      <w:bookmarkEnd w:id="70"/>
      <w:r/>
      <w:bookmarkEnd w:id="71"/>
      <w:r/>
      <w:bookmarkEnd w:id="72"/>
      <w:r/>
      <w:r/>
    </w:p>
    <w:p>
      <w:pPr>
        <w:ind w:firstLine="480"/>
        <w:spacing w:line="360" w:lineRule="auto"/>
        <w:rPr>
          <w:rFonts w:hint="eastAsia" w:ascii="宋体" w:hAnsi="宋体" w:eastAsia="宋体" w:cs="宋体"/>
          <w:b w:val="0"/>
          <w:bCs w:val="0"/>
          <w:color w:val="000000"/>
          <w:sz w:val="24"/>
          <w:szCs w:val="24"/>
        </w:rPr>
      </w:pPr>
      <w:r/>
      <w:bookmarkStart w:id="73" w:name="_Toc16938526"/>
      <w:r/>
      <w:bookmarkStart w:id="74" w:name="_Toc20823282"/>
      <w:r/>
      <w:bookmarkStart w:id="75" w:name="_Toc513029210"/>
      <w:r>
        <w:rPr>
          <w:rFonts w:hint="eastAsia" w:ascii="宋体" w:hAnsi="宋体" w:eastAsia="宋体" w:cs="宋体"/>
          <w:b w:val="0"/>
          <w:bCs w:val="0"/>
          <w:color w:val="000000"/>
          <w:sz w:val="24"/>
          <w:szCs w:val="24"/>
          <w:lang w:eastAsia="zh-CN"/>
        </w:rPr>
        <w:t xml:space="preserve">6.</w:t>
      </w:r>
      <w:r>
        <w:rPr>
          <w:rFonts w:hint="eastAsia" w:ascii="宋体" w:hAnsi="宋体" w:eastAsia="宋体" w:cs="宋体"/>
          <w:b w:val="0"/>
          <w:bCs w:val="0"/>
          <w:color w:val="000000"/>
          <w:sz w:val="24"/>
          <w:szCs w:val="24"/>
        </w:rPr>
        <w:t xml:space="preserve">招标文件构成</w:t>
      </w:r>
      <w:bookmarkEnd w:id="73"/>
      <w:r/>
      <w:bookmarkEnd w:id="74"/>
      <w:r/>
      <w:bookmarkEnd w:id="75"/>
      <w:r/>
      <w:r/>
    </w:p>
    <w:p>
      <w:pPr>
        <w:ind w:firstLine="48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6.1 招标文件由以下部分组成：</w:t>
      </w:r>
      <w:r/>
    </w:p>
    <w:p>
      <w:pPr>
        <w:ind w:firstLine="48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（1）投标邀请</w:t>
      </w:r>
      <w:r/>
    </w:p>
    <w:p>
      <w:pPr>
        <w:ind w:firstLine="48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（2）投标人须知</w:t>
      </w:r>
      <w:r/>
    </w:p>
    <w:p>
      <w:pPr>
        <w:ind w:firstLine="48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（3）合同文本</w:t>
      </w:r>
      <w:r/>
    </w:p>
    <w:p>
      <w:pPr>
        <w:ind w:firstLine="48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（4）采购需求</w:t>
      </w:r>
      <w:r/>
    </w:p>
    <w:p>
      <w:pPr>
        <w:ind w:firstLine="48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（5）评标方法与评标标准</w:t>
      </w:r>
      <w:r/>
    </w:p>
    <w:p>
      <w:pPr>
        <w:ind w:firstLine="48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（6）投标文件格式</w:t>
      </w:r>
      <w:r/>
    </w:p>
    <w:p>
      <w:pPr>
        <w:ind w:firstLine="48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请仔细检查招标文件是否齐全，如有缺漏请立即与</w:t>
      </w:r>
      <w:r>
        <w:rPr>
          <w:rFonts w:hint="eastAsia" w:ascii="宋体" w:hAnsi="宋体" w:eastAsia="宋体" w:cs="宋体"/>
          <w:b w:val="0"/>
          <w:bCs w:val="0"/>
          <w:color w:val="000000"/>
          <w:sz w:val="24"/>
          <w:szCs w:val="24"/>
          <w:lang w:val="en-US" w:eastAsia="zh-CN"/>
        </w:rPr>
        <w:t xml:space="preserve">招标代理公司</w:t>
      </w:r>
      <w:r>
        <w:rPr>
          <w:rFonts w:hint="eastAsia" w:ascii="宋体" w:hAnsi="宋体" w:eastAsia="宋体" w:cs="宋体"/>
          <w:b w:val="0"/>
          <w:bCs w:val="0"/>
          <w:color w:val="000000"/>
          <w:sz w:val="24"/>
          <w:szCs w:val="24"/>
        </w:rPr>
        <w:t xml:space="preserve">联系解决。</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b w:val="0"/>
          <w:bCs w:val="0"/>
          <w:color w:val="000000"/>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360" w:lineRule="auto"/>
        <w:rPr>
          <w:rFonts w:hint="eastAsia" w:ascii="宋体" w:hAnsi="宋体" w:eastAsia="宋体" w:cs="宋体"/>
          <w:b w:val="0"/>
          <w:bCs w:val="0"/>
          <w:color w:val="000000"/>
          <w:sz w:val="24"/>
          <w:szCs w:val="24"/>
        </w:rPr>
      </w:pPr>
      <w:r/>
      <w:bookmarkStart w:id="76" w:name="_Toc20823284"/>
      <w:r/>
      <w:bookmarkStart w:id="77" w:name="_Toc513029212"/>
      <w:r/>
      <w:bookmarkStart w:id="78" w:name="_Toc462564071"/>
      <w:r/>
      <w:bookmarkStart w:id="79" w:name="_Toc16938528"/>
      <w:r>
        <w:rPr>
          <w:rFonts w:hint="eastAsia" w:ascii="宋体" w:hAnsi="宋体" w:eastAsia="宋体" w:cs="宋体"/>
          <w:b w:val="0"/>
          <w:bCs w:val="0"/>
          <w:color w:val="000000"/>
          <w:sz w:val="24"/>
          <w:szCs w:val="24"/>
          <w:lang w:eastAsia="zh-CN"/>
        </w:rPr>
        <w:t xml:space="preserve">7.</w:t>
      </w:r>
      <w:r>
        <w:rPr>
          <w:rFonts w:hint="eastAsia" w:ascii="宋体" w:hAnsi="宋体" w:eastAsia="宋体" w:cs="宋体"/>
          <w:b w:val="0"/>
          <w:bCs w:val="0"/>
          <w:color w:val="000000"/>
          <w:sz w:val="24"/>
          <w:szCs w:val="24"/>
        </w:rPr>
        <w:t xml:space="preserve">招标文件的修改</w:t>
      </w:r>
      <w:bookmarkEnd w:id="76"/>
      <w:r/>
      <w:bookmarkEnd w:id="77"/>
      <w:r/>
      <w:bookmarkEnd w:id="78"/>
      <w:r/>
      <w:bookmarkEnd w:id="79"/>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7.1</w:t>
      </w:r>
      <w:r>
        <w:rPr>
          <w:rFonts w:hint="eastAsia" w:ascii="宋体" w:hAnsi="宋体" w:eastAsia="宋体" w:cs="宋体"/>
          <w:color w:val="000000"/>
          <w:sz w:val="24"/>
          <w:szCs w:val="24"/>
        </w:rPr>
        <w:t xml:space="preserve"> 在投标截止时</w:t>
      </w:r>
      <w:r>
        <w:rPr>
          <w:rFonts w:hint="eastAsia" w:ascii="宋体" w:hAnsi="宋体" w:eastAsia="宋体" w:cs="宋体"/>
          <w:color w:val="000000"/>
          <w:sz w:val="24"/>
          <w:szCs w:val="24"/>
          <w:lang w:eastAsia="zh-CN"/>
        </w:rPr>
        <w:t xml:space="preserve">间之</w:t>
      </w:r>
      <w:r>
        <w:rPr>
          <w:rFonts w:hint="eastAsia" w:ascii="宋体" w:hAnsi="宋体" w:eastAsia="宋体" w:cs="宋体"/>
          <w:color w:val="000000"/>
          <w:sz w:val="24"/>
          <w:szCs w:val="24"/>
        </w:rPr>
        <w:t xml:space="preserve">前，</w:t>
      </w:r>
      <w:r>
        <w:rPr>
          <w:rFonts w:hint="eastAsia" w:ascii="宋体" w:hAnsi="宋体" w:eastAsia="宋体" w:cs="宋体"/>
          <w:color w:val="000000"/>
          <w:sz w:val="24"/>
          <w:szCs w:val="24"/>
          <w:lang w:val="en-US" w:eastAsia="zh-CN"/>
        </w:rPr>
        <w:t xml:space="preserve">招标代理公司</w:t>
      </w:r>
      <w:r>
        <w:rPr>
          <w:rFonts w:hint="eastAsia" w:ascii="宋体" w:hAnsi="宋体" w:eastAsia="宋体" w:cs="宋体"/>
          <w:color w:val="000000"/>
          <w:sz w:val="24"/>
          <w:szCs w:val="24"/>
        </w:rPr>
        <w:t xml:space="preserve">可以对招标文件进行修改。</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7.2 </w:t>
      </w:r>
      <w:r>
        <w:rPr>
          <w:rFonts w:hint="eastAsia" w:ascii="宋体" w:hAnsi="宋体" w:eastAsia="宋体" w:cs="宋体"/>
          <w:color w:val="000000"/>
          <w:sz w:val="24"/>
          <w:szCs w:val="24"/>
          <w:lang w:val="en-US" w:eastAsia="zh-CN"/>
        </w:rPr>
        <w:t xml:space="preserve">招标代理公司</w:t>
      </w:r>
      <w:r>
        <w:rPr>
          <w:rFonts w:hint="eastAsia" w:ascii="宋体" w:hAnsi="宋体" w:eastAsia="宋体" w:cs="宋体"/>
          <w:color w:val="000000"/>
          <w:sz w:val="24"/>
          <w:szCs w:val="24"/>
        </w:rPr>
        <w:t xml:space="preserve">有权按照法定的要求推迟投标截止日期和开标日期。</w:t>
      </w:r>
      <w:r/>
    </w:p>
    <w:p>
      <w:pPr>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szCs w:val="24"/>
        </w:rPr>
        <w:t xml:space="preserve">7.3 </w:t>
      </w:r>
      <w:r>
        <w:rPr>
          <w:rFonts w:hint="eastAsia" w:ascii="宋体" w:hAnsi="宋体" w:eastAsia="宋体" w:cs="宋体"/>
          <w:color w:val="000000"/>
          <w:sz w:val="24"/>
          <w:szCs w:val="24"/>
        </w:rPr>
        <w:t xml:space="preserve">招标文件的修改将在江苏政府采购网</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扬州市政府采购网公布</w:t>
      </w:r>
      <w:r>
        <w:rPr>
          <w:rFonts w:hint="eastAsia" w:ascii="宋体" w:hAnsi="宋体" w:eastAsia="宋体" w:cs="宋体"/>
          <w:color w:val="000000"/>
          <w:sz w:val="24"/>
          <w:szCs w:val="24"/>
        </w:rPr>
        <w:t xml:space="preserve">，补充文件将作为招标文件的组成部分，并对投标人具有约束力。</w:t>
      </w:r>
      <w:r/>
    </w:p>
    <w:p>
      <w:pPr>
        <w:pStyle w:val="999"/>
        <w:ind w:firstLine="482"/>
        <w:spacing w:before="145" w:after="145" w:line="360" w:lineRule="auto"/>
        <w:rPr>
          <w:rFonts w:hint="eastAsia" w:ascii="宋体" w:hAnsi="宋体" w:eastAsia="宋体" w:cs="宋体"/>
          <w:color w:val="auto"/>
          <w:sz w:val="24"/>
          <w:szCs w:val="24"/>
        </w:rPr>
      </w:pPr>
      <w:r/>
      <w:bookmarkStart w:id="80" w:name="_Toc20823285"/>
      <w:r/>
      <w:bookmarkStart w:id="81" w:name="_Toc462564072"/>
      <w:r/>
      <w:bookmarkStart w:id="82" w:name="_Toc513029213"/>
      <w:r/>
      <w:bookmarkStart w:id="83" w:name="_Toc120614216"/>
      <w:r/>
      <w:bookmarkStart w:id="84" w:name="_Toc16938529"/>
      <w:r>
        <w:rPr>
          <w:rFonts w:hint="eastAsia" w:ascii="宋体" w:hAnsi="宋体" w:eastAsia="宋体" w:cs="宋体"/>
          <w:color w:val="auto"/>
          <w:sz w:val="24"/>
          <w:szCs w:val="24"/>
        </w:rPr>
        <w:t xml:space="preserve">三、投标文件的编制</w:t>
      </w:r>
      <w:bookmarkEnd w:id="80"/>
      <w:r/>
      <w:bookmarkEnd w:id="81"/>
      <w:r/>
      <w:bookmarkEnd w:id="82"/>
      <w:r/>
      <w:bookmarkEnd w:id="83"/>
      <w:r/>
      <w:bookmarkEnd w:id="84"/>
      <w:r/>
      <w:r/>
    </w:p>
    <w:p>
      <w:pPr>
        <w:ind w:firstLine="480"/>
        <w:spacing w:line="360" w:lineRule="auto"/>
        <w:rPr>
          <w:rFonts w:hint="eastAsia" w:ascii="宋体" w:hAnsi="宋体" w:eastAsia="宋体" w:cs="宋体"/>
          <w:b w:val="0"/>
          <w:bCs w:val="0"/>
          <w:color w:val="000000"/>
          <w:sz w:val="24"/>
          <w:szCs w:val="24"/>
          <w:lang w:eastAsia="zh-CN"/>
        </w:rPr>
      </w:pPr>
      <w:r/>
      <w:bookmarkStart w:id="85" w:name="_Toc462564073"/>
      <w:r/>
      <w:bookmarkStart w:id="86" w:name="_Toc20823286"/>
      <w:r/>
      <w:bookmarkStart w:id="87" w:name="_Toc16938530"/>
      <w:r/>
      <w:bookmarkStart w:id="88" w:name="_Toc513029214"/>
      <w:r>
        <w:rPr>
          <w:rFonts w:hint="eastAsia" w:ascii="宋体" w:hAnsi="宋体" w:eastAsia="宋体" w:cs="宋体"/>
          <w:b w:val="0"/>
          <w:bCs w:val="0"/>
          <w:color w:val="000000"/>
          <w:sz w:val="24"/>
          <w:szCs w:val="24"/>
          <w:lang w:eastAsia="zh-CN"/>
        </w:rPr>
        <w:t xml:space="preserve">8.投标文件的语言及度量衡单位</w:t>
      </w:r>
      <w:bookmarkEnd w:id="85"/>
      <w:r/>
      <w:bookmarkEnd w:id="86"/>
      <w:r/>
      <w:bookmarkEnd w:id="87"/>
      <w:r/>
      <w:bookmarkEnd w:id="88"/>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8.1 投标人提交的投标文件以及投标人与</w:t>
      </w:r>
      <w:r>
        <w:rPr>
          <w:rFonts w:hint="eastAsia" w:ascii="宋体" w:hAnsi="宋体" w:eastAsia="宋体" w:cs="宋体"/>
          <w:b w:val="0"/>
          <w:bCs w:val="0"/>
          <w:color w:val="000000"/>
          <w:sz w:val="24"/>
          <w:szCs w:val="24"/>
          <w:lang w:val="en-US" w:eastAsia="zh-CN"/>
        </w:rPr>
        <w:t xml:space="preserve">招标代理公司</w:t>
      </w:r>
      <w:r>
        <w:rPr>
          <w:rFonts w:hint="eastAsia" w:ascii="宋体" w:hAnsi="宋体" w:eastAsia="宋体" w:cs="宋体"/>
          <w:b w:val="0"/>
          <w:bCs w:val="0"/>
          <w:color w:val="000000"/>
          <w:sz w:val="24"/>
          <w:szCs w:val="24"/>
          <w:lang w:eastAsia="zh-CN"/>
        </w:rPr>
        <w:t xml:space="preserve">就有关投标的所有来往通知、函件和文件均应使用简体中文。</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8.2 除技术性能另有规定外，投标文件所使用的度量衡单位，均须采用国家法定计量单位。</w:t>
      </w:r>
      <w:r/>
    </w:p>
    <w:p>
      <w:pPr>
        <w:ind w:firstLine="480"/>
        <w:spacing w:line="360" w:lineRule="auto"/>
        <w:rPr>
          <w:rFonts w:hint="eastAsia" w:ascii="宋体" w:hAnsi="宋体" w:eastAsia="宋体" w:cs="宋体"/>
          <w:b w:val="0"/>
          <w:bCs w:val="0"/>
          <w:color w:val="000000"/>
          <w:sz w:val="24"/>
          <w:szCs w:val="24"/>
          <w:lang w:eastAsia="zh-CN"/>
        </w:rPr>
      </w:pPr>
      <w:r/>
      <w:bookmarkStart w:id="89" w:name="_Toc20823287"/>
      <w:r/>
      <w:bookmarkStart w:id="90" w:name="_Toc513029215"/>
      <w:r/>
      <w:bookmarkStart w:id="91" w:name="_Toc16938531"/>
      <w:r/>
      <w:bookmarkStart w:id="92" w:name="_Toc462564074"/>
      <w:r>
        <w:rPr>
          <w:rFonts w:hint="eastAsia" w:ascii="宋体" w:hAnsi="宋体" w:eastAsia="宋体" w:cs="宋体"/>
          <w:b w:val="0"/>
          <w:bCs w:val="0"/>
          <w:color w:val="000000"/>
          <w:sz w:val="24"/>
          <w:szCs w:val="24"/>
          <w:lang w:eastAsia="zh-CN"/>
        </w:rPr>
        <w:t xml:space="preserve">9.投标文件构成</w:t>
      </w:r>
      <w:bookmarkEnd w:id="89"/>
      <w:r/>
      <w:bookmarkEnd w:id="90"/>
      <w:r/>
      <w:bookmarkEnd w:id="91"/>
      <w:r/>
      <w:bookmarkEnd w:id="92"/>
      <w:r/>
      <w:r/>
    </w:p>
    <w:p>
      <w:pPr>
        <w:ind w:firstLine="480"/>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eastAsia="zh-CN"/>
        </w:rPr>
        <w:t xml:space="preserve">9.1 投标人编写的投标文件应包括</w:t>
      </w:r>
      <w:r>
        <w:rPr>
          <w:rFonts w:hint="eastAsia" w:ascii="宋体" w:hAnsi="宋体" w:eastAsia="宋体" w:cs="宋体"/>
          <w:b w:val="0"/>
          <w:bCs w:val="0"/>
          <w:color w:val="000000"/>
          <w:sz w:val="24"/>
          <w:szCs w:val="24"/>
          <w:lang w:val="en-US" w:eastAsia="zh-CN"/>
        </w:rPr>
        <w:t xml:space="preserve">基本目录、</w:t>
      </w:r>
      <w:r>
        <w:rPr>
          <w:rFonts w:hint="eastAsia" w:ascii="宋体" w:hAnsi="宋体" w:eastAsia="宋体" w:cs="宋体"/>
          <w:b w:val="0"/>
          <w:bCs w:val="0"/>
          <w:color w:val="000000"/>
          <w:sz w:val="24"/>
          <w:szCs w:val="24"/>
          <w:lang w:eastAsia="zh-CN"/>
        </w:rPr>
        <w:t xml:space="preserve">资格</w:t>
      </w:r>
      <w:r>
        <w:rPr>
          <w:rFonts w:hint="eastAsia" w:ascii="宋体" w:hAnsi="宋体" w:eastAsia="宋体" w:cs="宋体"/>
          <w:b w:val="0"/>
          <w:bCs w:val="0"/>
          <w:color w:val="000000"/>
          <w:sz w:val="24"/>
          <w:szCs w:val="24"/>
          <w:lang w:val="en-US" w:eastAsia="zh-CN"/>
        </w:rPr>
        <w:t xml:space="preserve">审查内容</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符合性审查内容、价格扣除证明文件等部分。</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9.2 如标书制作工具中格式和内容与“江苏政府采购网、</w:t>
      </w:r>
      <w:r>
        <w:rPr>
          <w:rFonts w:hint="eastAsia" w:ascii="宋体" w:hAnsi="宋体" w:eastAsia="宋体" w:cs="宋体"/>
          <w:b w:val="0"/>
          <w:bCs w:val="0"/>
          <w:color w:val="000000"/>
          <w:sz w:val="24"/>
          <w:szCs w:val="24"/>
          <w:lang w:val="en-US" w:eastAsia="zh-CN"/>
        </w:rPr>
        <w:t xml:space="preserve">扬州市政府采购网</w:t>
      </w:r>
      <w:r>
        <w:rPr>
          <w:rFonts w:hint="eastAsia" w:ascii="宋体" w:hAnsi="宋体" w:eastAsia="宋体" w:cs="宋体"/>
          <w:b w:val="0"/>
          <w:bCs w:val="0"/>
          <w:color w:val="000000"/>
          <w:sz w:val="24"/>
          <w:szCs w:val="24"/>
          <w:lang w:eastAsia="zh-CN"/>
        </w:rPr>
        <w:t xml:space="preserve">”发布的招标文件不一致，请以“江苏政府采购网、</w:t>
      </w:r>
      <w:r>
        <w:rPr>
          <w:rFonts w:hint="eastAsia" w:ascii="宋体" w:hAnsi="宋体" w:eastAsia="宋体" w:cs="宋体"/>
          <w:b w:val="0"/>
          <w:bCs w:val="0"/>
          <w:color w:val="000000"/>
          <w:sz w:val="24"/>
          <w:szCs w:val="24"/>
          <w:lang w:val="en-US" w:eastAsia="zh-CN"/>
        </w:rPr>
        <w:t xml:space="preserve">扬州市政府采购网</w:t>
      </w:r>
      <w:r>
        <w:rPr>
          <w:rFonts w:hint="eastAsia" w:ascii="宋体" w:hAnsi="宋体" w:eastAsia="宋体" w:cs="宋体"/>
          <w:b w:val="0"/>
          <w:bCs w:val="0"/>
          <w:color w:val="000000"/>
          <w:sz w:val="24"/>
          <w:szCs w:val="24"/>
          <w:lang w:eastAsia="zh-CN"/>
        </w:rPr>
        <w:t xml:space="preserve">”发布的招标文件为准。</w:t>
      </w:r>
      <w:r/>
    </w:p>
    <w:p>
      <w:pPr>
        <w:ind w:firstLine="480"/>
        <w:spacing w:line="360" w:lineRule="auto"/>
        <w:rPr>
          <w:rFonts w:hint="eastAsia" w:ascii="宋体" w:hAnsi="宋体" w:eastAsia="宋体" w:cs="宋体"/>
          <w:b w:val="0"/>
          <w:bCs w:val="0"/>
          <w:color w:val="000000"/>
          <w:sz w:val="24"/>
          <w:szCs w:val="24"/>
          <w:lang w:eastAsia="zh-CN"/>
        </w:rPr>
      </w:pPr>
      <w:r/>
      <w:bookmarkStart w:id="93" w:name="_Hlt26954838"/>
      <w:r/>
      <w:bookmarkEnd w:id="93"/>
      <w:r/>
      <w:bookmarkStart w:id="94" w:name="_Hlt26668975"/>
      <w:r/>
      <w:bookmarkEnd w:id="94"/>
      <w:r/>
      <w:bookmarkStart w:id="95" w:name="_Hlt26670360"/>
      <w:r/>
      <w:bookmarkEnd w:id="95"/>
      <w:r/>
      <w:bookmarkStart w:id="96" w:name="_Toc513029219"/>
      <w:r/>
      <w:bookmarkStart w:id="97" w:name="_Toc14577357"/>
      <w:r/>
      <w:bookmarkStart w:id="98" w:name="_Toc49090509"/>
      <w:r/>
      <w:bookmarkStart w:id="99" w:name="_Toc49090507"/>
      <w:r/>
      <w:bookmarkStart w:id="100" w:name="_Toc513029216"/>
      <w:r/>
      <w:bookmarkStart w:id="101" w:name="_Toc14577354"/>
      <w:r>
        <w:rPr>
          <w:rFonts w:hint="eastAsia" w:ascii="宋体" w:hAnsi="宋体" w:eastAsia="宋体" w:cs="宋体"/>
          <w:b w:val="0"/>
          <w:bCs w:val="0"/>
          <w:color w:val="000000"/>
          <w:sz w:val="24"/>
          <w:szCs w:val="24"/>
          <w:lang w:eastAsia="zh-CN"/>
        </w:rPr>
        <w:t xml:space="preserve">10.证明投标人及投标标的符合招标文件规定的文件</w:t>
      </w:r>
      <w:bookmarkEnd w:id="96"/>
      <w:r/>
      <w:bookmarkEnd w:id="97"/>
      <w:r/>
      <w:bookmarkEnd w:id="98"/>
      <w:r/>
      <w:bookmarkEnd w:id="99"/>
      <w:r/>
      <w:bookmarkEnd w:id="100"/>
      <w:r/>
      <w:bookmarkEnd w:id="101"/>
      <w:r/>
      <w:r/>
    </w:p>
    <w:p>
      <w:pPr>
        <w:ind w:firstLine="480"/>
        <w:spacing w:line="360" w:lineRule="auto"/>
        <w:rPr>
          <w:rFonts w:hint="eastAsia" w:ascii="宋体" w:hAnsi="宋体" w:eastAsia="宋体" w:cs="宋体"/>
          <w:b w:val="0"/>
          <w:bCs w:val="0"/>
          <w:color w:val="000000"/>
          <w:sz w:val="24"/>
          <w:szCs w:val="24"/>
          <w:lang w:val="en-US" w:eastAsia="zh-CN"/>
        </w:rPr>
      </w:pPr>
      <w:r/>
      <w:bookmarkStart w:id="102" w:name="_Toc14577355"/>
      <w:r/>
      <w:bookmarkStart w:id="103" w:name="_Toc49090508"/>
      <w:r>
        <w:rPr>
          <w:rFonts w:hint="eastAsia" w:ascii="宋体" w:hAnsi="宋体" w:eastAsia="宋体" w:cs="宋体"/>
          <w:b w:val="0"/>
          <w:bCs w:val="0"/>
          <w:color w:val="000000"/>
          <w:sz w:val="24"/>
          <w:szCs w:val="24"/>
          <w:lang w:eastAsia="zh-CN"/>
        </w:rPr>
        <w:t xml:space="preserve">10.1 投标人应按照</w:t>
      </w:r>
      <w:r>
        <w:rPr>
          <w:rFonts w:hint="eastAsia" w:ascii="宋体" w:hAnsi="宋体" w:eastAsia="宋体" w:cs="宋体"/>
          <w:b w:val="0"/>
          <w:bCs w:val="0"/>
          <w:color w:val="000000"/>
          <w:sz w:val="24"/>
          <w:szCs w:val="24"/>
          <w:lang w:val="en-US" w:eastAsia="zh-CN"/>
        </w:rPr>
        <w:t xml:space="preserve">招标文件要求提交证明文件，证明其投标标的符合招标文件规定。</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10.2招标文件对证明文件无明确形式要求的，证明文件可以以文字资料、图纸和数据等形式提交。</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val="en-US" w:eastAsia="zh-CN"/>
        </w:rPr>
        <w:t xml:space="preserve">11</w:t>
      </w:r>
      <w:r>
        <w:rPr>
          <w:rFonts w:hint="eastAsia" w:ascii="宋体" w:hAnsi="宋体" w:eastAsia="宋体" w:cs="宋体"/>
          <w:b w:val="0"/>
          <w:bCs w:val="0"/>
          <w:color w:val="000000"/>
          <w:sz w:val="24"/>
          <w:szCs w:val="24"/>
          <w:lang w:eastAsia="zh-CN"/>
        </w:rPr>
        <w:t xml:space="preserve">.投标分项报价</w:t>
      </w:r>
      <w:bookmarkEnd w:id="102"/>
      <w:r/>
      <w:bookmarkStart w:id="104" w:name="_Hlt26670373"/>
      <w:r/>
      <w:bookmarkEnd w:id="104"/>
      <w:r>
        <w:rPr>
          <w:rFonts w:hint="eastAsia" w:ascii="宋体" w:hAnsi="宋体" w:eastAsia="宋体" w:cs="宋体"/>
          <w:b w:val="0"/>
          <w:bCs w:val="0"/>
          <w:color w:val="000000"/>
          <w:sz w:val="24"/>
          <w:szCs w:val="24"/>
          <w:lang w:eastAsia="zh-CN"/>
        </w:rPr>
        <w:t xml:space="preserve">表</w:t>
      </w:r>
      <w:bookmarkEnd w:id="103"/>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val="en-US" w:eastAsia="zh-CN"/>
        </w:rPr>
        <w:t xml:space="preserve">11</w:t>
      </w:r>
      <w:r>
        <w:rPr>
          <w:rFonts w:hint="eastAsia" w:ascii="宋体" w:hAnsi="宋体" w:eastAsia="宋体" w:cs="宋体"/>
          <w:b w:val="0"/>
          <w:bCs w:val="0"/>
          <w:color w:val="000000"/>
          <w:sz w:val="24"/>
          <w:szCs w:val="24"/>
          <w:lang w:eastAsia="zh-CN"/>
        </w:rPr>
        <w:t xml:space="preserve">.1 投</w:t>
      </w:r>
      <w:bookmarkStart w:id="105" w:name="_Hlt26954840"/>
      <w:r/>
      <w:bookmarkEnd w:id="105"/>
      <w:r>
        <w:rPr>
          <w:rFonts w:hint="eastAsia" w:ascii="宋体" w:hAnsi="宋体" w:eastAsia="宋体" w:cs="宋体"/>
          <w:b w:val="0"/>
          <w:bCs w:val="0"/>
          <w:color w:val="000000"/>
          <w:sz w:val="24"/>
          <w:szCs w:val="24"/>
          <w:lang w:eastAsia="zh-CN"/>
        </w:rPr>
        <w:t xml:space="preserve">标人按照招标文件规定格式填报投标分项报价表</w:t>
      </w:r>
      <w:bookmarkStart w:id="106" w:name="_Hlt26670399"/>
      <w:r/>
      <w:bookmarkEnd w:id="106"/>
      <w:r>
        <w:rPr>
          <w:rFonts w:hint="eastAsia" w:ascii="宋体" w:hAnsi="宋体" w:eastAsia="宋体" w:cs="宋体"/>
          <w:b w:val="0"/>
          <w:bCs w:val="0"/>
          <w:color w:val="000000"/>
          <w:sz w:val="24"/>
          <w:szCs w:val="24"/>
          <w:lang w:eastAsia="zh-CN"/>
        </w:rPr>
        <w:t xml:space="preserve">。</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val="en-US" w:eastAsia="zh-CN"/>
        </w:rPr>
        <w:t xml:space="preserve">11</w:t>
      </w:r>
      <w:r>
        <w:rPr>
          <w:rFonts w:hint="eastAsia" w:ascii="宋体" w:hAnsi="宋体" w:eastAsia="宋体" w:cs="宋体"/>
          <w:b w:val="0"/>
          <w:bCs w:val="0"/>
          <w:color w:val="000000"/>
          <w:sz w:val="24"/>
          <w:szCs w:val="24"/>
          <w:lang w:eastAsia="zh-CN"/>
        </w:rPr>
        <w:t xml:space="preserve">.2投标货币。投标文件中的单价和总价无特殊规定的采用人民币报价，以元为单位标注。招标文件中另有规定的按规定执行。</w:t>
      </w:r>
      <w:r/>
    </w:p>
    <w:p>
      <w:pPr>
        <w:ind w:firstLine="480"/>
        <w:spacing w:line="360" w:lineRule="auto"/>
        <w:rPr>
          <w:rFonts w:hint="eastAsia" w:ascii="宋体" w:hAnsi="宋体" w:eastAsia="宋体" w:cs="宋体"/>
          <w:b w:val="0"/>
          <w:bCs w:val="0"/>
          <w:color w:val="000000"/>
          <w:sz w:val="24"/>
          <w:szCs w:val="24"/>
          <w:lang w:eastAsia="zh-CN"/>
        </w:rPr>
      </w:pPr>
      <w:r/>
      <w:bookmarkStart w:id="107" w:name="_Hlt26954842"/>
      <w:r/>
      <w:bookmarkEnd w:id="107"/>
      <w:r/>
      <w:bookmarkStart w:id="108" w:name="_Hlt26670486"/>
      <w:r/>
      <w:bookmarkEnd w:id="108"/>
      <w:r/>
      <w:bookmarkStart w:id="109" w:name="_Hlt26670482"/>
      <w:r/>
      <w:bookmarkEnd w:id="109"/>
      <w:r/>
      <w:bookmarkStart w:id="110" w:name="_Hlt26954844"/>
      <w:r/>
      <w:bookmarkEnd w:id="110"/>
      <w:r/>
      <w:bookmarkStart w:id="111" w:name="_Hlt26954848"/>
      <w:r/>
      <w:bookmarkEnd w:id="111"/>
      <w:r/>
      <w:bookmarkStart w:id="112" w:name="_Hlt26668983"/>
      <w:r/>
      <w:bookmarkEnd w:id="112"/>
      <w:r/>
      <w:bookmarkStart w:id="113" w:name="_Hlt26954846"/>
      <w:r/>
      <w:bookmarkEnd w:id="113"/>
      <w:r/>
      <w:bookmarkStart w:id="114" w:name="_Hlt26670403"/>
      <w:r/>
      <w:bookmarkEnd w:id="114"/>
      <w:r/>
      <w:bookmarkStart w:id="115" w:name="_Hlt26670425"/>
      <w:r/>
      <w:bookmarkEnd w:id="115"/>
      <w:r/>
      <w:bookmarkStart w:id="116" w:name="_Hlt26954731"/>
      <w:r/>
      <w:bookmarkEnd w:id="116"/>
      <w:r>
        <w:rPr>
          <w:rFonts w:hint="eastAsia" w:ascii="宋体" w:hAnsi="宋体" w:eastAsia="宋体" w:cs="宋体"/>
          <w:b w:val="0"/>
          <w:bCs w:val="0"/>
          <w:color w:val="000000"/>
          <w:sz w:val="24"/>
          <w:szCs w:val="24"/>
          <w:lang w:eastAsia="zh-CN"/>
        </w:rPr>
        <w:t xml:space="preserve">12.技术要求响应及偏离表、商务要求响应及偏离表</w:t>
      </w:r>
      <w:r/>
    </w:p>
    <w:p>
      <w:pPr>
        <w:ind w:firstLine="480"/>
        <w:spacing w:line="360" w:lineRule="auto"/>
        <w:rPr>
          <w:rFonts w:hint="eastAsia" w:ascii="宋体" w:hAnsi="宋体" w:eastAsia="宋体" w:cs="宋体"/>
          <w:b w:val="0"/>
          <w:bCs w:val="0"/>
          <w:color w:val="000000"/>
          <w:sz w:val="24"/>
          <w:szCs w:val="24"/>
          <w:lang w:val="zh-CN" w:eastAsia="zh-CN"/>
        </w:rPr>
      </w:pPr>
      <w:r>
        <w:rPr>
          <w:rFonts w:hint="eastAsia" w:ascii="宋体" w:hAnsi="宋体" w:eastAsia="宋体" w:cs="宋体"/>
          <w:b w:val="0"/>
          <w:bCs w:val="0"/>
          <w:color w:val="000000"/>
          <w:sz w:val="24"/>
          <w:szCs w:val="24"/>
          <w:lang w:val="zh-CN" w:eastAsia="zh-CN"/>
        </w:rPr>
        <w:t xml:space="preserve">12.1 投标人需对招标文件中的技术要求与商务要求逐项作出响应或偏离，并说明原因。</w:t>
      </w:r>
      <w:r/>
    </w:p>
    <w:p>
      <w:pPr>
        <w:ind w:firstLine="480"/>
        <w:spacing w:line="360" w:lineRule="auto"/>
        <w:rPr>
          <w:rFonts w:hint="eastAsia" w:ascii="宋体" w:hAnsi="宋体" w:eastAsia="宋体" w:cs="宋体"/>
          <w:b w:val="0"/>
          <w:bCs w:val="0"/>
          <w:color w:val="000000"/>
          <w:sz w:val="24"/>
          <w:szCs w:val="24"/>
          <w:lang w:val="zh-CN" w:eastAsia="zh-CN"/>
        </w:rPr>
      </w:pPr>
      <w:r/>
      <w:bookmarkStart w:id="117" w:name="_Toc49090510"/>
      <w:r/>
      <w:bookmarkStart w:id="118" w:name="_Toc14577359"/>
      <w:r>
        <w:rPr>
          <w:rFonts w:hint="eastAsia" w:ascii="宋体" w:hAnsi="宋体" w:eastAsia="宋体" w:cs="宋体"/>
          <w:b w:val="0"/>
          <w:bCs w:val="0"/>
          <w:color w:val="000000"/>
          <w:sz w:val="24"/>
          <w:szCs w:val="24"/>
          <w:lang w:val="zh-CN" w:eastAsia="zh-CN"/>
        </w:rPr>
        <w:t xml:space="preserve">12.2 投标人需按照招标文件要求，在投标文件中提供与技术要求和商务要求相关的证明材料。</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13.投标函和开标一览表</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13.1 投标人应按照招标文件中提供的格式完整、正确填写投标函、开标一览表。</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13.2 对于采用货币报价的项目，开标一览表中的投标总报价应与投标分项报价表中的投标总报价一致，如不一致，不作为无效投标处理，但评标时按开标一览表中价格为准。</w:t>
      </w:r>
      <w:bookmarkEnd w:id="117"/>
      <w:r/>
      <w:bookmarkEnd w:id="118"/>
      <w:r/>
      <w:r/>
    </w:p>
    <w:p>
      <w:pPr>
        <w:ind w:firstLine="480"/>
        <w:spacing w:line="360" w:lineRule="auto"/>
        <w:rPr>
          <w:rFonts w:hint="eastAsia" w:ascii="宋体" w:hAnsi="宋体" w:eastAsia="宋体" w:cs="宋体"/>
          <w:b w:val="0"/>
          <w:bCs w:val="0"/>
          <w:color w:val="000000"/>
          <w:sz w:val="24"/>
          <w:szCs w:val="24"/>
          <w:lang w:eastAsia="zh-CN"/>
        </w:rPr>
      </w:pPr>
      <w:r/>
      <w:bookmarkStart w:id="119" w:name="_Hlt26954850"/>
      <w:r/>
      <w:bookmarkEnd w:id="119"/>
      <w:r/>
      <w:bookmarkStart w:id="120" w:name="_Hlt26954734"/>
      <w:r/>
      <w:bookmarkEnd w:id="120"/>
      <w:r/>
      <w:bookmarkStart w:id="121" w:name="_Hlt26670489"/>
      <w:r/>
      <w:bookmarkEnd w:id="121"/>
      <w:r/>
      <w:bookmarkStart w:id="122" w:name="_Toc49090511"/>
      <w:r/>
      <w:bookmarkStart w:id="123" w:name="_Toc14577360"/>
      <w:r>
        <w:rPr>
          <w:rFonts w:hint="eastAsia" w:ascii="宋体" w:hAnsi="宋体" w:eastAsia="宋体" w:cs="宋体"/>
          <w:b w:val="0"/>
          <w:bCs w:val="0"/>
          <w:color w:val="000000"/>
          <w:sz w:val="24"/>
          <w:szCs w:val="24"/>
          <w:lang w:eastAsia="zh-CN"/>
        </w:rPr>
        <w:t xml:space="preserve">14.投标有效期</w:t>
      </w:r>
      <w:bookmarkEnd w:id="122"/>
      <w:r/>
      <w:bookmarkEnd w:id="123"/>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14.1 投标有效期为</w:t>
      </w:r>
      <w:r>
        <w:rPr>
          <w:rFonts w:hint="eastAsia" w:ascii="宋体" w:hAnsi="宋体" w:eastAsia="宋体" w:cs="宋体"/>
          <w:b w:val="0"/>
          <w:bCs w:val="0"/>
          <w:color w:val="000000"/>
          <w:sz w:val="24"/>
          <w:szCs w:val="24"/>
          <w:lang w:val="en-US" w:eastAsia="zh-CN"/>
        </w:rPr>
        <w:t xml:space="preserve">招标代理公司</w:t>
      </w:r>
      <w:r>
        <w:rPr>
          <w:rFonts w:hint="eastAsia" w:ascii="宋体" w:hAnsi="宋体" w:eastAsia="宋体" w:cs="宋体"/>
          <w:b w:val="0"/>
          <w:bCs w:val="0"/>
          <w:color w:val="000000"/>
          <w:sz w:val="24"/>
          <w:szCs w:val="24"/>
          <w:lang w:eastAsia="zh-CN"/>
        </w:rPr>
        <w:t xml:space="preserve">规定的开标之日后六十（60）天。投标有效期比规定短的将被视为未实质性响应招标文件而予以拒绝。</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15.投标有效期的延长</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15.1 在特殊情况下，</w:t>
      </w:r>
      <w:r>
        <w:rPr>
          <w:rFonts w:hint="eastAsia" w:ascii="宋体" w:hAnsi="宋体" w:eastAsia="宋体" w:cs="宋体"/>
          <w:b w:val="0"/>
          <w:bCs w:val="0"/>
          <w:color w:val="000000"/>
          <w:sz w:val="24"/>
          <w:szCs w:val="24"/>
          <w:lang w:val="en-US" w:eastAsia="zh-CN"/>
        </w:rPr>
        <w:t xml:space="preserve">招标代理公司</w:t>
      </w:r>
      <w:r>
        <w:rPr>
          <w:rFonts w:hint="eastAsia" w:ascii="宋体" w:hAnsi="宋体" w:eastAsia="宋体" w:cs="宋体"/>
          <w:b w:val="0"/>
          <w:bCs w:val="0"/>
          <w:color w:val="000000"/>
          <w:sz w:val="24"/>
          <w:szCs w:val="24"/>
          <w:lang w:eastAsia="zh-CN"/>
        </w:rPr>
        <w:t xml:space="preserve">于原投标有效期满之前，可向投标人提出延长投标有效期的要求。这种要求与答复均应采用书面形式。投标人可以拒绝</w:t>
      </w:r>
      <w:r>
        <w:rPr>
          <w:rFonts w:hint="eastAsia" w:ascii="宋体" w:hAnsi="宋体" w:eastAsia="宋体" w:cs="宋体"/>
          <w:b w:val="0"/>
          <w:bCs w:val="0"/>
          <w:color w:val="000000"/>
          <w:sz w:val="24"/>
          <w:szCs w:val="24"/>
          <w:lang w:val="en-US" w:eastAsia="zh-CN"/>
        </w:rPr>
        <w:t xml:space="preserve">招标代理公司</w:t>
      </w:r>
      <w:r>
        <w:rPr>
          <w:rFonts w:hint="eastAsia" w:ascii="宋体" w:hAnsi="宋体" w:eastAsia="宋体" w:cs="宋体"/>
          <w:b w:val="0"/>
          <w:bCs w:val="0"/>
          <w:color w:val="000000"/>
          <w:sz w:val="24"/>
          <w:szCs w:val="24"/>
          <w:lang w:eastAsia="zh-CN"/>
        </w:rPr>
        <w:t xml:space="preserve">的这一要求而放弃投标。同意延长投标有效期的投标人既不能要求也不允许修改其投标文件，受投标有效期约束的所有权利与义务均延长至新的有效期。</w:t>
      </w:r>
      <w:r/>
    </w:p>
    <w:p>
      <w:pPr>
        <w:pStyle w:val="999"/>
        <w:ind w:firstLine="482"/>
        <w:spacing w:before="145" w:after="145" w:line="360" w:lineRule="auto"/>
        <w:rPr>
          <w:rFonts w:hint="eastAsia" w:ascii="宋体" w:hAnsi="宋体" w:eastAsia="宋体" w:cs="宋体"/>
          <w:color w:val="000000"/>
          <w:sz w:val="24"/>
          <w:szCs w:val="24"/>
        </w:rPr>
      </w:pPr>
      <w:r/>
      <w:bookmarkStart w:id="124" w:name="_Hlt26954852"/>
      <w:r/>
      <w:bookmarkEnd w:id="124"/>
      <w:r/>
      <w:bookmarkStart w:id="125" w:name="_Hlt26954739"/>
      <w:r/>
      <w:bookmarkEnd w:id="125"/>
      <w:r/>
      <w:bookmarkStart w:id="126" w:name="_Toc20823296"/>
      <w:r/>
      <w:bookmarkStart w:id="127" w:name="_Toc513029224"/>
      <w:r/>
      <w:bookmarkStart w:id="128" w:name="_Toc16938540"/>
      <w:r/>
      <w:bookmarkStart w:id="129" w:name="_Toc120614217"/>
      <w:r>
        <w:rPr>
          <w:rFonts w:hint="eastAsia" w:ascii="宋体" w:hAnsi="宋体" w:eastAsia="宋体" w:cs="宋体"/>
          <w:color w:val="000000"/>
          <w:sz w:val="24"/>
          <w:szCs w:val="24"/>
        </w:rPr>
        <w:t xml:space="preserve">四、投标文件的递交</w:t>
      </w:r>
      <w:bookmarkEnd w:id="126"/>
      <w:r/>
      <w:bookmarkEnd w:id="127"/>
      <w:r/>
      <w:bookmarkEnd w:id="128"/>
      <w:r/>
      <w:bookmarkEnd w:id="129"/>
      <w:r/>
      <w:r/>
    </w:p>
    <w:p>
      <w:pPr>
        <w:ind w:firstLine="480"/>
        <w:spacing w:line="360" w:lineRule="auto"/>
        <w:rPr>
          <w:rFonts w:hint="eastAsia" w:ascii="宋体" w:hAnsi="宋体" w:eastAsia="宋体" w:cs="宋体"/>
          <w:b w:val="0"/>
          <w:bCs w:val="0"/>
          <w:color w:val="000000"/>
          <w:sz w:val="24"/>
          <w:szCs w:val="24"/>
          <w:lang w:eastAsia="zh-CN"/>
        </w:rPr>
      </w:pPr>
      <w:r/>
      <w:bookmarkStart w:id="130" w:name="_Toc16938541"/>
      <w:r/>
      <w:bookmarkStart w:id="131" w:name="_Toc20823297"/>
      <w:r/>
      <w:bookmarkStart w:id="132" w:name="_Toc513029225"/>
      <w:r/>
      <w:bookmarkStart w:id="133" w:name="_Toc462564084"/>
      <w:r>
        <w:rPr>
          <w:rFonts w:hint="eastAsia" w:ascii="宋体" w:hAnsi="宋体" w:eastAsia="宋体" w:cs="宋体"/>
          <w:b w:val="0"/>
          <w:bCs w:val="0"/>
          <w:color w:val="000000"/>
          <w:sz w:val="24"/>
          <w:szCs w:val="24"/>
          <w:lang w:eastAsia="zh-CN"/>
        </w:rPr>
        <w:t xml:space="preserve">16.</w:t>
      </w:r>
      <w:r>
        <w:rPr>
          <w:rFonts w:hint="eastAsia" w:ascii="宋体" w:hAnsi="宋体" w:eastAsia="宋体" w:cs="宋体"/>
          <w:b w:val="0"/>
          <w:bCs w:val="0"/>
          <w:color w:val="000000"/>
          <w:sz w:val="24"/>
          <w:szCs w:val="24"/>
          <w:lang w:val="en-US" w:eastAsia="zh-CN"/>
        </w:rPr>
        <w:t xml:space="preserve">电子</w:t>
      </w:r>
      <w:r>
        <w:rPr>
          <w:rFonts w:hint="eastAsia" w:ascii="宋体" w:hAnsi="宋体" w:eastAsia="宋体" w:cs="宋体"/>
          <w:b w:val="0"/>
          <w:bCs w:val="0"/>
          <w:color w:val="000000"/>
          <w:sz w:val="24"/>
          <w:szCs w:val="24"/>
          <w:lang w:eastAsia="zh-CN"/>
        </w:rPr>
        <w:t xml:space="preserve">投标文件</w:t>
      </w:r>
      <w:bookmarkEnd w:id="130"/>
      <w:r/>
      <w:bookmarkEnd w:id="131"/>
      <w:r/>
      <w:bookmarkEnd w:id="132"/>
      <w:r/>
      <w:bookmarkEnd w:id="133"/>
      <w:r>
        <w:rPr>
          <w:rFonts w:hint="eastAsia" w:ascii="宋体" w:hAnsi="宋体" w:eastAsia="宋体" w:cs="宋体"/>
          <w:b w:val="0"/>
          <w:bCs w:val="0"/>
          <w:color w:val="000000"/>
          <w:sz w:val="24"/>
          <w:szCs w:val="24"/>
          <w:lang w:eastAsia="zh-CN"/>
        </w:rPr>
        <w:t xml:space="preserve">的递交</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16.1 投标人应当按照《操作手册》规定，在投标截止时间前制作并上传电子投标文件。</w:t>
      </w:r>
      <w:bookmarkStart w:id="134" w:name="_Toc16938542"/>
      <w:r/>
      <w:bookmarkStart w:id="135" w:name="_Toc513029226"/>
      <w:r/>
      <w:bookmarkStart w:id="136" w:name="_Toc20823298"/>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17.投标截止</w:t>
      </w:r>
      <w:bookmarkEnd w:id="134"/>
      <w:r/>
      <w:bookmarkEnd w:id="135"/>
      <w:r/>
      <w:bookmarkEnd w:id="136"/>
      <w:r>
        <w:rPr>
          <w:rFonts w:hint="eastAsia" w:ascii="宋体" w:hAnsi="宋体" w:eastAsia="宋体" w:cs="宋体"/>
          <w:b w:val="0"/>
          <w:bCs w:val="0"/>
          <w:color w:val="000000"/>
          <w:sz w:val="24"/>
          <w:szCs w:val="24"/>
          <w:lang w:eastAsia="zh-CN"/>
        </w:rPr>
        <w:t xml:space="preserve">时间</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17.1 投标人上传电子投标文件的时间不得迟于招标公告中规定的投标截止时间。</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投标人应充分考虑网络环境、网络带宽等风险因素，如因投标人自身原因造成的电子投标文件上传不成功的按照本招标文件第二章第25.1.2条规定做无效投标处理。</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17.2 </w:t>
      </w:r>
      <w:r>
        <w:rPr>
          <w:rFonts w:hint="eastAsia" w:ascii="宋体" w:hAnsi="宋体" w:eastAsia="宋体" w:cs="宋体"/>
          <w:b w:val="0"/>
          <w:bCs w:val="0"/>
          <w:color w:val="000000"/>
          <w:sz w:val="24"/>
          <w:szCs w:val="24"/>
          <w:lang w:val="en-US" w:eastAsia="zh-CN"/>
        </w:rPr>
        <w:t xml:space="preserve">招标代理公司</w:t>
      </w:r>
      <w:r>
        <w:rPr>
          <w:rFonts w:hint="eastAsia" w:ascii="宋体" w:hAnsi="宋体" w:eastAsia="宋体" w:cs="宋体"/>
          <w:b w:val="0"/>
          <w:bCs w:val="0"/>
          <w:color w:val="000000"/>
          <w:sz w:val="24"/>
          <w:szCs w:val="24"/>
          <w:lang w:eastAsia="zh-CN"/>
        </w:rPr>
        <w:t xml:space="preserve">可以按照规定，通过修改招标文件酌情延长投标截止时间，在此情况下，投标人的所有权利和义务以及投标人受制的截止时间均应以延长后新的截止时间为准。</w:t>
      </w:r>
      <w:r/>
    </w:p>
    <w:p>
      <w:pPr>
        <w:ind w:firstLine="480"/>
        <w:spacing w:line="360" w:lineRule="auto"/>
        <w:rPr>
          <w:rFonts w:hint="eastAsia" w:ascii="宋体" w:hAnsi="宋体" w:eastAsia="宋体" w:cs="宋体"/>
          <w:b w:val="0"/>
          <w:bCs w:val="0"/>
          <w:color w:val="000000"/>
          <w:sz w:val="24"/>
          <w:szCs w:val="24"/>
          <w:lang w:eastAsia="zh-CN"/>
        </w:rPr>
      </w:pPr>
      <w:r/>
      <w:bookmarkStart w:id="137" w:name="_Toc20823299"/>
      <w:r/>
      <w:bookmarkStart w:id="138" w:name="_Toc513029227"/>
      <w:r/>
      <w:bookmarkStart w:id="139" w:name="_Toc16938543"/>
      <w:r>
        <w:rPr>
          <w:rFonts w:hint="eastAsia" w:ascii="宋体" w:hAnsi="宋体" w:eastAsia="宋体" w:cs="宋体"/>
          <w:b w:val="0"/>
          <w:bCs w:val="0"/>
          <w:color w:val="000000"/>
          <w:sz w:val="24"/>
          <w:szCs w:val="24"/>
          <w:lang w:eastAsia="zh-CN"/>
        </w:rPr>
        <w:t xml:space="preserve">18.投标文件</w:t>
      </w:r>
      <w:bookmarkEnd w:id="137"/>
      <w:r/>
      <w:bookmarkEnd w:id="138"/>
      <w:r/>
      <w:bookmarkEnd w:id="139"/>
      <w:r>
        <w:rPr>
          <w:rFonts w:hint="eastAsia" w:ascii="宋体" w:hAnsi="宋体" w:eastAsia="宋体" w:cs="宋体"/>
          <w:b w:val="0"/>
          <w:bCs w:val="0"/>
          <w:color w:val="000000"/>
          <w:sz w:val="24"/>
          <w:szCs w:val="24"/>
          <w:lang w:eastAsia="zh-CN"/>
        </w:rPr>
        <w:t xml:space="preserve">的拒收</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18.1</w:t>
      </w:r>
      <w:r>
        <w:rPr>
          <w:rFonts w:hint="eastAsia" w:ascii="宋体" w:hAnsi="宋体" w:eastAsia="宋体" w:cs="宋体"/>
          <w:b w:val="0"/>
          <w:bCs w:val="0"/>
          <w:color w:val="000000"/>
          <w:sz w:val="24"/>
          <w:szCs w:val="24"/>
          <w:lang w:val="en-US" w:eastAsia="zh-CN"/>
        </w:rPr>
        <w:t xml:space="preserve">招标代理公司</w:t>
      </w:r>
      <w:r>
        <w:rPr>
          <w:rFonts w:hint="eastAsia" w:ascii="宋体" w:hAnsi="宋体" w:eastAsia="宋体" w:cs="宋体"/>
          <w:b w:val="0"/>
          <w:bCs w:val="0"/>
          <w:color w:val="000000"/>
          <w:sz w:val="24"/>
          <w:szCs w:val="24"/>
          <w:lang w:eastAsia="zh-CN"/>
        </w:rPr>
        <w:t xml:space="preserve">拒绝接收在其规定的投标截止时间后上传的任何投标文件。</w:t>
      </w:r>
      <w:r/>
    </w:p>
    <w:p>
      <w:pPr>
        <w:ind w:firstLine="480"/>
        <w:spacing w:line="360" w:lineRule="auto"/>
        <w:rPr>
          <w:rFonts w:hint="eastAsia" w:ascii="宋体" w:hAnsi="宋体" w:eastAsia="宋体" w:cs="宋体"/>
          <w:b w:val="0"/>
          <w:bCs w:val="0"/>
          <w:color w:val="000000"/>
          <w:sz w:val="24"/>
          <w:szCs w:val="24"/>
          <w:lang w:eastAsia="zh-CN"/>
        </w:rPr>
      </w:pPr>
      <w:r/>
      <w:bookmarkStart w:id="140" w:name="_Toc16938544"/>
      <w:r/>
      <w:bookmarkStart w:id="141" w:name="_Toc20823300"/>
      <w:r/>
      <w:bookmarkStart w:id="142" w:name="_Toc513029228"/>
      <w:r>
        <w:rPr>
          <w:rFonts w:hint="eastAsia" w:ascii="宋体" w:hAnsi="宋体" w:eastAsia="宋体" w:cs="宋体"/>
          <w:b w:val="0"/>
          <w:bCs w:val="0"/>
          <w:color w:val="000000"/>
          <w:sz w:val="24"/>
          <w:szCs w:val="24"/>
          <w:lang w:eastAsia="zh-CN"/>
        </w:rPr>
        <w:t xml:space="preserve">19.投标文件的撤回和修改</w:t>
      </w:r>
      <w:bookmarkEnd w:id="140"/>
      <w:r/>
      <w:bookmarkEnd w:id="141"/>
      <w:r/>
      <w:bookmarkEnd w:id="142"/>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19.1 投标文件的撤回</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19.1.1 电子投标文件的撤回</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投标人可在投标截止时间前，撤回其电子投标文件，具体操作方法见《操作手册》。</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19.1.2 投标人撤回电子投标文件，则认为其不再参与本项目投标活动。</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19.2 投标文件的修改</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19.2.1投标人可在投标截止时间前，对其电子投标文件进行修改，具体操作方法见《操作手册》。</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19.2.2 在投标截止时间之后，投标人不得对其电子投标文件作任何修改。</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 w:val="0"/>
          <w:bCs w:val="0"/>
          <w:color w:val="000000"/>
          <w:sz w:val="24"/>
          <w:szCs w:val="24"/>
          <w:lang w:eastAsia="zh-CN"/>
        </w:rPr>
        <w:t xml:space="preserve">19.3 在投标截止时间至招标文件中规定的投标有效期满之间的这段时间内，投标人不得撤回其投标</w:t>
      </w:r>
      <w:r>
        <w:rPr>
          <w:rFonts w:hint="eastAsia" w:ascii="宋体" w:hAnsi="宋体" w:eastAsia="宋体" w:cs="宋体"/>
          <w:bCs/>
          <w:color w:val="000000"/>
          <w:sz w:val="24"/>
          <w:szCs w:val="24"/>
        </w:rPr>
        <w:t xml:space="preserve">。</w:t>
      </w:r>
      <w:r/>
    </w:p>
    <w:p>
      <w:pPr>
        <w:ind w:firstLine="480"/>
        <w:spacing w:line="360" w:lineRule="auto"/>
        <w:rPr>
          <w:rFonts w:hint="eastAsia" w:ascii="宋体" w:hAnsi="宋体" w:eastAsia="宋体" w:cs="宋体"/>
          <w:b w:val="0"/>
          <w:bCs w:val="0"/>
          <w:color w:val="000000"/>
          <w:sz w:val="24"/>
          <w:szCs w:val="24"/>
          <w:lang w:eastAsia="zh-CN"/>
        </w:rPr>
      </w:pPr>
      <w:r/>
      <w:bookmarkStart w:id="143" w:name="_Toc20823301"/>
      <w:r/>
      <w:bookmarkStart w:id="144" w:name="_Toc120614218"/>
      <w:r/>
      <w:bookmarkStart w:id="145" w:name="_Toc16938545"/>
      <w:r/>
      <w:bookmarkStart w:id="146" w:name="_Toc513029229"/>
      <w:r>
        <w:rPr>
          <w:rFonts w:hint="eastAsia" w:ascii="宋体" w:hAnsi="宋体" w:eastAsia="宋体" w:cs="宋体"/>
          <w:b w:val="0"/>
          <w:bCs w:val="0"/>
          <w:color w:val="000000"/>
          <w:sz w:val="24"/>
          <w:szCs w:val="24"/>
          <w:lang w:eastAsia="zh-CN"/>
        </w:rPr>
        <w:t xml:space="preserve">五、开标与评标</w:t>
      </w:r>
      <w:bookmarkEnd w:id="143"/>
      <w:r/>
      <w:bookmarkEnd w:id="144"/>
      <w:r/>
      <w:bookmarkEnd w:id="145"/>
      <w:r/>
      <w:bookmarkEnd w:id="146"/>
      <w:r/>
      <w:r/>
    </w:p>
    <w:p>
      <w:pPr>
        <w:ind w:firstLine="480"/>
        <w:spacing w:line="360" w:lineRule="auto"/>
        <w:rPr>
          <w:rFonts w:hint="eastAsia" w:ascii="宋体" w:hAnsi="宋体" w:eastAsia="宋体" w:cs="宋体"/>
          <w:b w:val="0"/>
          <w:bCs w:val="0"/>
          <w:color w:val="000000"/>
          <w:sz w:val="24"/>
          <w:szCs w:val="24"/>
          <w:lang w:eastAsia="zh-CN"/>
        </w:rPr>
      </w:pPr>
      <w:r/>
      <w:bookmarkStart w:id="147" w:name="_Toc20823302"/>
      <w:r/>
      <w:bookmarkStart w:id="148" w:name="_Toc513029230"/>
      <w:r/>
      <w:bookmarkStart w:id="149" w:name="_Toc16938546"/>
      <w:r>
        <w:rPr>
          <w:rFonts w:hint="eastAsia" w:ascii="宋体" w:hAnsi="宋体" w:eastAsia="宋体" w:cs="宋体"/>
          <w:b w:val="0"/>
          <w:bCs w:val="0"/>
          <w:color w:val="000000"/>
          <w:sz w:val="24"/>
          <w:szCs w:val="24"/>
          <w:lang w:eastAsia="zh-CN"/>
        </w:rPr>
        <w:t xml:space="preserve">20.开标</w:t>
      </w:r>
      <w:bookmarkEnd w:id="147"/>
      <w:r/>
      <w:bookmarkEnd w:id="148"/>
      <w:r/>
      <w:bookmarkEnd w:id="149"/>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20.1 </w:t>
      </w:r>
      <w:r>
        <w:rPr>
          <w:rFonts w:hint="eastAsia" w:ascii="宋体" w:hAnsi="宋体" w:eastAsia="宋体" w:cs="宋体"/>
          <w:b w:val="0"/>
          <w:bCs w:val="0"/>
          <w:color w:val="000000"/>
          <w:sz w:val="24"/>
          <w:szCs w:val="24"/>
          <w:lang w:val="en-US" w:eastAsia="zh-CN"/>
        </w:rPr>
        <w:t xml:space="preserve">招标代理公司</w:t>
      </w:r>
      <w:r>
        <w:rPr>
          <w:rFonts w:hint="eastAsia" w:ascii="宋体" w:hAnsi="宋体" w:eastAsia="宋体" w:cs="宋体"/>
          <w:b w:val="0"/>
          <w:bCs w:val="0"/>
          <w:color w:val="000000"/>
          <w:sz w:val="24"/>
          <w:szCs w:val="24"/>
          <w:lang w:eastAsia="zh-CN"/>
        </w:rPr>
        <w:t xml:space="preserve">将在招标公告中规定的时间和地点组织公开开标。投标人应当按照《操作手册》规定，参加开标活动和在苏采云系统规定的时间内对投标文件进行解密。</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20.2开标仪式由</w:t>
      </w:r>
      <w:r>
        <w:rPr>
          <w:rFonts w:hint="eastAsia" w:ascii="宋体" w:hAnsi="宋体" w:eastAsia="宋体" w:cs="宋体"/>
          <w:b w:val="0"/>
          <w:bCs w:val="0"/>
          <w:color w:val="000000"/>
          <w:sz w:val="24"/>
          <w:szCs w:val="24"/>
          <w:lang w:val="en-US" w:eastAsia="zh-CN"/>
        </w:rPr>
        <w:t xml:space="preserve">招标代理公司</w:t>
      </w:r>
      <w:r>
        <w:rPr>
          <w:rFonts w:hint="eastAsia" w:ascii="宋体" w:hAnsi="宋体" w:eastAsia="宋体" w:cs="宋体"/>
          <w:b w:val="0"/>
          <w:bCs w:val="0"/>
          <w:color w:val="000000"/>
          <w:sz w:val="24"/>
          <w:szCs w:val="24"/>
          <w:lang w:eastAsia="zh-CN"/>
        </w:rPr>
        <w:t xml:space="preserve">组织。苏采云系统将自动对项目进行开标，并</w:t>
      </w:r>
      <w:r>
        <w:rPr>
          <w:rFonts w:hint="eastAsia" w:ascii="宋体" w:hAnsi="宋体" w:eastAsia="宋体" w:cs="宋体"/>
          <w:b w:val="0"/>
          <w:bCs w:val="0"/>
          <w:color w:val="000000"/>
          <w:sz w:val="24"/>
          <w:szCs w:val="24"/>
          <w:lang w:val="en-US" w:eastAsia="zh-CN"/>
        </w:rPr>
        <w:t xml:space="preserve">展示</w:t>
      </w:r>
      <w:r>
        <w:rPr>
          <w:rFonts w:hint="eastAsia" w:ascii="宋体" w:hAnsi="宋体" w:eastAsia="宋体" w:cs="宋体"/>
          <w:b w:val="0"/>
          <w:bCs w:val="0"/>
          <w:color w:val="000000"/>
          <w:sz w:val="24"/>
          <w:szCs w:val="24"/>
          <w:lang w:eastAsia="zh-CN"/>
        </w:rPr>
        <w:t xml:space="preserve">各投标人名称和投标价格。</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20.3投标人在开标过程中涉及的投标文件解密、开标结果确认等工作，应按照《操作手册》规定执行。</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20.4投标人如果对开标过程和开标记录有疑义，应当根据《操作手册》规定提出，如苏采云系统中《开标记录表》宣布后5分钟内未提出的，视同认可开标结果。</w:t>
      </w:r>
      <w:r/>
    </w:p>
    <w:p>
      <w:pPr>
        <w:ind w:firstLine="480"/>
        <w:spacing w:line="360" w:lineRule="auto"/>
        <w:rPr>
          <w:rFonts w:hint="eastAsia" w:ascii="宋体" w:hAnsi="宋体" w:eastAsia="宋体" w:cs="宋体"/>
          <w:b w:val="0"/>
          <w:bCs w:val="0"/>
          <w:color w:val="000000"/>
          <w:sz w:val="24"/>
          <w:szCs w:val="24"/>
          <w:lang w:eastAsia="zh-CN"/>
        </w:rPr>
      </w:pPr>
      <w:r/>
      <w:bookmarkStart w:id="150" w:name="_Toc513029231"/>
      <w:r/>
      <w:bookmarkStart w:id="151" w:name="_Toc20823303"/>
      <w:r/>
      <w:bookmarkStart w:id="152" w:name="_Toc16938547"/>
      <w:r>
        <w:rPr>
          <w:rFonts w:hint="eastAsia" w:ascii="宋体" w:hAnsi="宋体" w:eastAsia="宋体" w:cs="宋体"/>
          <w:b w:val="0"/>
          <w:bCs w:val="0"/>
          <w:color w:val="000000"/>
          <w:sz w:val="24"/>
          <w:szCs w:val="24"/>
          <w:lang w:eastAsia="zh-CN"/>
        </w:rPr>
        <w:t xml:space="preserve">21.评标委员会</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21.1 开标后，</w:t>
      </w:r>
      <w:r>
        <w:rPr>
          <w:rFonts w:hint="eastAsia" w:ascii="宋体" w:hAnsi="宋体" w:eastAsia="宋体" w:cs="宋体"/>
          <w:b w:val="0"/>
          <w:bCs w:val="0"/>
          <w:color w:val="000000"/>
          <w:sz w:val="24"/>
          <w:szCs w:val="24"/>
          <w:lang w:val="en-US" w:eastAsia="zh-CN"/>
        </w:rPr>
        <w:t xml:space="preserve">招标代理公司</w:t>
      </w:r>
      <w:r>
        <w:rPr>
          <w:rFonts w:hint="eastAsia" w:ascii="宋体" w:hAnsi="宋体" w:eastAsia="宋体" w:cs="宋体"/>
          <w:b w:val="0"/>
          <w:bCs w:val="0"/>
          <w:color w:val="000000"/>
          <w:sz w:val="24"/>
          <w:szCs w:val="24"/>
          <w:lang w:eastAsia="zh-CN"/>
        </w:rPr>
        <w:t xml:space="preserve">将立即组织评标委员会（以下简称评委会）进行评标。</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21.2 评委会由招标人代表和有关技术、经济等方面的专家组成，且人员构成符合政府采购有关规定。</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21.3评委会独立工作，负责评审所有投标文件并确定中标</w:t>
      </w:r>
      <w:r>
        <w:rPr>
          <w:rFonts w:hint="eastAsia" w:ascii="宋体" w:hAnsi="宋体" w:eastAsia="宋体" w:cs="宋体"/>
          <w:b w:val="0"/>
          <w:bCs w:val="0"/>
          <w:color w:val="000000"/>
          <w:sz w:val="24"/>
          <w:szCs w:val="24"/>
          <w:lang w:val="en-US" w:eastAsia="zh-CN"/>
        </w:rPr>
        <w:t xml:space="preserve">候</w:t>
      </w:r>
      <w:r>
        <w:rPr>
          <w:rFonts w:hint="eastAsia" w:ascii="宋体" w:hAnsi="宋体" w:eastAsia="宋体" w:cs="宋体"/>
          <w:b w:val="0"/>
          <w:bCs w:val="0"/>
          <w:color w:val="000000"/>
          <w:sz w:val="24"/>
          <w:szCs w:val="24"/>
          <w:lang w:eastAsia="zh-CN"/>
        </w:rPr>
        <w:t xml:space="preserve">选人。</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22.评标过程的保密与公正</w:t>
      </w:r>
      <w:bookmarkEnd w:id="150"/>
      <w:r/>
      <w:bookmarkEnd w:id="151"/>
      <w:r/>
      <w:bookmarkEnd w:id="152"/>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22.1凡是与审查、澄清、评价和比较投标的有关资料以及投标建议等，招标人、评委、</w:t>
      </w:r>
      <w:r>
        <w:rPr>
          <w:rFonts w:hint="eastAsia" w:ascii="宋体" w:hAnsi="宋体" w:eastAsia="宋体" w:cs="宋体"/>
          <w:b w:val="0"/>
          <w:bCs w:val="0"/>
          <w:color w:val="000000"/>
          <w:sz w:val="24"/>
          <w:szCs w:val="24"/>
          <w:lang w:val="en-US" w:eastAsia="zh-CN"/>
        </w:rPr>
        <w:t xml:space="preserve">招标代理公司</w:t>
      </w:r>
      <w:r>
        <w:rPr>
          <w:rFonts w:hint="eastAsia" w:ascii="宋体" w:hAnsi="宋体" w:eastAsia="宋体" w:cs="宋体"/>
          <w:b w:val="0"/>
          <w:bCs w:val="0"/>
          <w:color w:val="000000"/>
          <w:sz w:val="24"/>
          <w:szCs w:val="24"/>
          <w:lang w:eastAsia="zh-CN"/>
        </w:rPr>
        <w:t xml:space="preserve">均不得向投标人或与评标无关的其他人员透露。</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22.2在评标过程中，投标人不得以任何行为影响评标过程，否则其投标文件将被作为无效投标文件。</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22.3 </w:t>
      </w:r>
      <w:r>
        <w:rPr>
          <w:rFonts w:hint="eastAsia" w:ascii="宋体" w:hAnsi="宋体" w:eastAsia="宋体" w:cs="宋体"/>
          <w:b w:val="0"/>
          <w:bCs w:val="0"/>
          <w:color w:val="000000"/>
          <w:sz w:val="24"/>
          <w:szCs w:val="24"/>
          <w:lang w:val="en-US" w:eastAsia="zh-CN"/>
        </w:rPr>
        <w:t xml:space="preserve">招标代理公司</w:t>
      </w:r>
      <w:r>
        <w:rPr>
          <w:rFonts w:hint="eastAsia" w:ascii="宋体" w:hAnsi="宋体" w:eastAsia="宋体" w:cs="宋体"/>
          <w:b w:val="0"/>
          <w:bCs w:val="0"/>
          <w:color w:val="000000"/>
          <w:sz w:val="24"/>
          <w:szCs w:val="24"/>
          <w:lang w:eastAsia="zh-CN"/>
        </w:rPr>
        <w:t xml:space="preserve">和评委会不向未中标的投标人解释未中标原因，也不公布评标过程中的相关细节。</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22.4 采用综合评分法的项目，未中标的投标人可于中标结果公告期限届满之日起通过苏采云系统查看自己的评审得分及排序情况。</w:t>
      </w:r>
      <w:r/>
    </w:p>
    <w:p>
      <w:pPr>
        <w:ind w:firstLine="480"/>
        <w:spacing w:line="360" w:lineRule="auto"/>
        <w:rPr>
          <w:rFonts w:hint="eastAsia" w:ascii="宋体" w:hAnsi="宋体" w:eastAsia="宋体" w:cs="宋体"/>
          <w:b w:val="0"/>
          <w:bCs w:val="0"/>
          <w:color w:val="000000"/>
          <w:sz w:val="24"/>
          <w:szCs w:val="24"/>
          <w:lang w:eastAsia="zh-CN"/>
        </w:rPr>
      </w:pPr>
      <w:r/>
      <w:bookmarkStart w:id="153" w:name="_Toc20823304"/>
      <w:r/>
      <w:bookmarkStart w:id="154" w:name="_Toc16938548"/>
      <w:r/>
      <w:bookmarkStart w:id="155" w:name="_Toc513029232"/>
      <w:r>
        <w:rPr>
          <w:rFonts w:hint="eastAsia" w:ascii="宋体" w:hAnsi="宋体" w:eastAsia="宋体" w:cs="宋体"/>
          <w:b w:val="0"/>
          <w:bCs w:val="0"/>
          <w:color w:val="000000"/>
          <w:sz w:val="24"/>
          <w:szCs w:val="24"/>
          <w:lang w:eastAsia="zh-CN"/>
        </w:rPr>
        <w:t xml:space="preserve">23.投标文件的澄清</w:t>
      </w:r>
      <w:bookmarkEnd w:id="153"/>
      <w:r/>
      <w:bookmarkEnd w:id="154"/>
      <w:r/>
      <w:bookmarkEnd w:id="155"/>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23.1评标期间，评委会对投标文件中含义不明确、同类问题表述不一致或者有明显文字和计算错误的内容，有权要求投标人作出必要的澄清、说明或者补正。</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投标人的澄清、说明或者补正不得超出投标文件的范围或者改变投标文件的实质性内容。</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评委会并非对每个投标人都做澄清要求。</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23.2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23.3 接到评委会澄清、说明和补正要求的投标人如未按规定作出澄清、说明和补正，其风险由投标人自行承担。</w:t>
      </w:r>
      <w:r/>
    </w:p>
    <w:p>
      <w:pPr>
        <w:ind w:firstLine="480"/>
        <w:spacing w:line="360" w:lineRule="auto"/>
        <w:rPr>
          <w:rFonts w:hint="eastAsia" w:ascii="宋体" w:hAnsi="宋体" w:eastAsia="宋体" w:cs="宋体"/>
          <w:b w:val="0"/>
          <w:bCs w:val="0"/>
          <w:color w:val="000000"/>
          <w:sz w:val="24"/>
          <w:szCs w:val="24"/>
          <w:lang w:eastAsia="zh-CN"/>
        </w:rPr>
      </w:pPr>
      <w:r/>
      <w:bookmarkStart w:id="156" w:name="_Toc16938549"/>
      <w:r/>
      <w:bookmarkStart w:id="157" w:name="_Toc513029233"/>
      <w:r/>
      <w:bookmarkStart w:id="158" w:name="_Toc20823305"/>
      <w:r>
        <w:rPr>
          <w:rFonts w:hint="eastAsia" w:ascii="宋体" w:hAnsi="宋体" w:eastAsia="宋体" w:cs="宋体"/>
          <w:b w:val="0"/>
          <w:bCs w:val="0"/>
          <w:color w:val="000000"/>
          <w:sz w:val="24"/>
          <w:szCs w:val="24"/>
          <w:lang w:eastAsia="zh-CN"/>
        </w:rPr>
        <w:t xml:space="preserve">24.对投标文件的初审</w:t>
      </w:r>
      <w:bookmarkEnd w:id="156"/>
      <w:r/>
      <w:bookmarkEnd w:id="157"/>
      <w:r/>
      <w:bookmarkEnd w:id="158"/>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24.1投标文件初审分为资格审查和符合性审查。</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24.1.1 资格审查：依据法律法规和招标文件的规定，由招标人对投标文件中的资格证明文件进行审查。资格审查的结论，招标人以书面形式向评委会进行反馈。</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招标人在进行资格性审查的同时，将在“信用中国”网站（www.creditchina.gov.cn）</w:t>
      </w:r>
      <w:r>
        <w:rPr>
          <w:rFonts w:hint="eastAsia" w:ascii="宋体" w:hAnsi="宋体" w:eastAsia="宋体" w:cs="宋体"/>
          <w:b w:val="0"/>
          <w:bCs w:val="0"/>
          <w:color w:val="000000"/>
          <w:sz w:val="24"/>
          <w:szCs w:val="24"/>
          <w:lang w:val="en-US" w:eastAsia="zh-CN"/>
        </w:rPr>
        <w:t xml:space="preserve">和</w:t>
      </w:r>
      <w:r>
        <w:rPr>
          <w:rFonts w:hint="eastAsia" w:ascii="宋体" w:hAnsi="宋体" w:eastAsia="宋体" w:cs="宋体"/>
          <w:b w:val="0"/>
          <w:bCs w:val="0"/>
          <w:color w:val="000000"/>
          <w:sz w:val="24"/>
          <w:szCs w:val="24"/>
          <w:lang w:eastAsia="zh-CN"/>
        </w:rPr>
        <w:t xml:space="preserve">“中国政府采购网"(www.ccgp.gov.cn）查询投标人的信用记录，以确定投标人是否具备投标资格，查询结果留存并归档。</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接手联合体的项目，两个以上的自然人、法人或者其他组织组成一个联合体，以一个投标人的身份共同参加政府采购活动的，联合体成员</w:t>
      </w:r>
      <w:r>
        <w:rPr>
          <w:rFonts w:hint="eastAsia" w:ascii="宋体" w:hAnsi="宋体" w:eastAsia="宋体" w:cs="宋体"/>
          <w:b w:val="0"/>
          <w:bCs w:val="0"/>
          <w:color w:val="000000"/>
          <w:sz w:val="24"/>
          <w:szCs w:val="24"/>
          <w:lang w:val="en-US" w:eastAsia="zh-CN"/>
        </w:rPr>
        <w:t xml:space="preserve">中任何一方</w:t>
      </w:r>
      <w:r>
        <w:rPr>
          <w:rFonts w:hint="eastAsia" w:ascii="宋体" w:hAnsi="宋体" w:eastAsia="宋体" w:cs="宋体"/>
          <w:b w:val="0"/>
          <w:bCs w:val="0"/>
          <w:color w:val="000000"/>
          <w:sz w:val="24"/>
          <w:szCs w:val="24"/>
          <w:lang w:eastAsia="zh-CN"/>
        </w:rPr>
        <w:t xml:space="preserve">存在不良信用记录的，视同联合体存在不良</w:t>
      </w:r>
      <w:r>
        <w:rPr>
          <w:rFonts w:hint="eastAsia" w:ascii="宋体" w:hAnsi="宋体" w:eastAsia="宋体" w:cs="宋体"/>
          <w:b w:val="0"/>
          <w:bCs w:val="0"/>
          <w:color w:val="000000"/>
          <w:sz w:val="24"/>
          <w:szCs w:val="24"/>
          <w:lang w:val="en-US" w:eastAsia="zh-CN"/>
        </w:rPr>
        <w:t xml:space="preserve">信用</w:t>
      </w:r>
      <w:r>
        <w:rPr>
          <w:rFonts w:hint="eastAsia" w:ascii="宋体" w:hAnsi="宋体" w:eastAsia="宋体" w:cs="宋体"/>
          <w:b w:val="0"/>
          <w:bCs w:val="0"/>
          <w:color w:val="000000"/>
          <w:sz w:val="24"/>
          <w:szCs w:val="24"/>
          <w:lang w:eastAsia="zh-CN"/>
        </w:rPr>
        <w:t xml:space="preserve">记录。</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24.1.2 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24.1.3 未通过资格审查或符合性审查的投标人，</w:t>
      </w:r>
      <w:r>
        <w:rPr>
          <w:rFonts w:hint="eastAsia" w:ascii="宋体" w:hAnsi="宋体" w:eastAsia="宋体" w:cs="宋体"/>
          <w:b w:val="0"/>
          <w:bCs w:val="0"/>
          <w:color w:val="000000"/>
          <w:sz w:val="24"/>
          <w:szCs w:val="24"/>
          <w:lang w:val="en-US" w:eastAsia="zh-CN"/>
        </w:rPr>
        <w:t xml:space="preserve">招标代理公司</w:t>
      </w:r>
      <w:r>
        <w:rPr>
          <w:rFonts w:hint="eastAsia" w:ascii="宋体" w:hAnsi="宋体" w:eastAsia="宋体" w:cs="宋体"/>
          <w:b w:val="0"/>
          <w:bCs w:val="0"/>
          <w:color w:val="000000"/>
          <w:sz w:val="24"/>
          <w:szCs w:val="24"/>
          <w:lang w:eastAsia="zh-CN"/>
        </w:rPr>
        <w:t xml:space="preserve">将在苏采云系统中告知未通过资格审查或符合性审查的原因，评</w:t>
      </w:r>
      <w:r>
        <w:rPr>
          <w:rFonts w:hint="eastAsia" w:ascii="宋体" w:hAnsi="宋体" w:eastAsia="宋体" w:cs="宋体"/>
          <w:b w:val="0"/>
          <w:bCs w:val="0"/>
          <w:color w:val="000000"/>
          <w:sz w:val="24"/>
          <w:szCs w:val="24"/>
          <w:lang w:val="en-US" w:eastAsia="zh-CN"/>
        </w:rPr>
        <w:t xml:space="preserve">审</w:t>
      </w:r>
      <w:r>
        <w:rPr>
          <w:rFonts w:hint="eastAsia" w:ascii="宋体" w:hAnsi="宋体" w:eastAsia="宋体" w:cs="宋体"/>
          <w:b w:val="0"/>
          <w:bCs w:val="0"/>
          <w:color w:val="000000"/>
          <w:sz w:val="24"/>
          <w:szCs w:val="24"/>
          <w:lang w:eastAsia="zh-CN"/>
        </w:rPr>
        <w:t xml:space="preserve">结束后，</w:t>
      </w:r>
      <w:r>
        <w:rPr>
          <w:rFonts w:hint="eastAsia" w:ascii="宋体" w:hAnsi="宋体" w:eastAsia="宋体" w:cs="宋体"/>
          <w:b w:val="0"/>
          <w:bCs w:val="0"/>
          <w:color w:val="000000"/>
          <w:sz w:val="24"/>
          <w:szCs w:val="24"/>
          <w:lang w:val="en-US" w:eastAsia="zh-CN"/>
        </w:rPr>
        <w:t xml:space="preserve">招标代理公司</w:t>
      </w:r>
      <w:r>
        <w:rPr>
          <w:rFonts w:hint="eastAsia" w:ascii="宋体" w:hAnsi="宋体" w:eastAsia="宋体" w:cs="宋体"/>
          <w:b w:val="0"/>
          <w:bCs w:val="0"/>
          <w:color w:val="000000"/>
          <w:sz w:val="24"/>
          <w:szCs w:val="24"/>
          <w:lang w:eastAsia="zh-CN"/>
        </w:rPr>
        <w:t xml:space="preserve">将不再告知未通过资格审查</w:t>
      </w:r>
      <w:r>
        <w:rPr>
          <w:rFonts w:hint="eastAsia" w:ascii="宋体" w:hAnsi="宋体" w:eastAsia="宋体" w:cs="宋体"/>
          <w:b w:val="0"/>
          <w:bCs w:val="0"/>
          <w:color w:val="000000"/>
          <w:sz w:val="24"/>
          <w:szCs w:val="24"/>
          <w:lang w:val="en-US" w:eastAsia="zh-CN"/>
        </w:rPr>
        <w:t xml:space="preserve">或</w:t>
      </w:r>
      <w:r>
        <w:rPr>
          <w:rFonts w:hint="eastAsia" w:ascii="宋体" w:hAnsi="宋体" w:eastAsia="宋体" w:cs="宋体"/>
          <w:b w:val="0"/>
          <w:bCs w:val="0"/>
          <w:color w:val="000000"/>
          <w:sz w:val="24"/>
          <w:szCs w:val="24"/>
          <w:lang w:eastAsia="zh-CN"/>
        </w:rPr>
        <w:t xml:space="preserve">符合性审查的原因。</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所谓重大偏离或保留是指与招标文件规定的实质性要求存在负偏离，或者在实质上与招标文件不一致，而且限制了合同中买方和</w:t>
      </w:r>
      <w:r>
        <w:rPr>
          <w:rFonts w:hint="eastAsia" w:ascii="宋体" w:hAnsi="宋体" w:eastAsia="宋体" w:cs="宋体"/>
          <w:b w:val="0"/>
          <w:bCs w:val="0"/>
          <w:color w:val="000000"/>
          <w:sz w:val="24"/>
          <w:szCs w:val="24"/>
          <w:lang w:val="en-US" w:eastAsia="zh-CN"/>
        </w:rPr>
        <w:t xml:space="preserve">招标代理公司</w:t>
      </w:r>
      <w:r>
        <w:rPr>
          <w:rFonts w:hint="eastAsia" w:ascii="宋体" w:hAnsi="宋体" w:eastAsia="宋体" w:cs="宋体"/>
          <w:b w:val="0"/>
          <w:bCs w:val="0"/>
          <w:color w:val="000000"/>
          <w:sz w:val="24"/>
          <w:szCs w:val="24"/>
          <w:lang w:eastAsia="zh-CN"/>
        </w:rPr>
        <w:t xml:space="preserve">的权利或投标人的义务，纠正这些偏离或保留将会对其他实质性响应要求的投标人的竞争地位产生不公正的影响。重大偏离的认定需经过评委会以少数服从多数的原则作出结论。评委</w:t>
      </w:r>
      <w:r>
        <w:rPr>
          <w:rFonts w:hint="eastAsia" w:ascii="宋体" w:hAnsi="宋体" w:eastAsia="宋体" w:cs="宋体"/>
          <w:b w:val="0"/>
          <w:bCs w:val="0"/>
          <w:color w:val="000000"/>
          <w:sz w:val="24"/>
          <w:szCs w:val="24"/>
          <w:lang w:val="en-US" w:eastAsia="zh-CN"/>
        </w:rPr>
        <w:t xml:space="preserve">会</w:t>
      </w:r>
      <w:r>
        <w:rPr>
          <w:rFonts w:hint="eastAsia" w:ascii="宋体" w:hAnsi="宋体" w:eastAsia="宋体" w:cs="宋体"/>
          <w:b w:val="0"/>
          <w:bCs w:val="0"/>
          <w:color w:val="000000"/>
          <w:sz w:val="24"/>
          <w:szCs w:val="24"/>
          <w:lang w:eastAsia="zh-CN"/>
        </w:rPr>
        <w:t xml:space="preserve">决定投标文件的响应性只根据投标文件本身的内容，而不寻求外部的证据。</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24.3如果投标文件实质上没有响应招标文件的要求，评委会将予以拒绝，投标人不得通过修改或撤销不符合要求的偏离或保留而使其投标成为实质性响应的投标。</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24.4评委会将对确定为实质性响应的投标进行进一步审核，是否有计算上或累加上的算术错误，修正错误的原则如下：</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（1）投标文件中开标一览表内容与投标文件中相应内容不一致的，以开标一览表为准。</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（2）大写金额和小写金额不一致的，以大写金额为准。</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（3）单价金额小数点或者百分比有明显错位的，以开标一览表的总价为准，并修改单价。</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（4）总价金额与按单价汇总金额不一致的，以单价金额计算结果为准。</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同时出现两种以上错误的，按照前款规定的顺序修正。</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24.5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360" w:lineRule="auto"/>
        <w:rPr>
          <w:rFonts w:hint="eastAsia" w:ascii="宋体" w:hAnsi="宋体" w:eastAsia="宋体" w:cs="宋体"/>
          <w:b w:val="0"/>
          <w:bCs w:val="0"/>
          <w:color w:val="000000"/>
          <w:sz w:val="24"/>
          <w:szCs w:val="24"/>
          <w:lang w:eastAsia="zh-CN"/>
        </w:rPr>
      </w:pPr>
      <w:r/>
      <w:bookmarkStart w:id="159" w:name="_Toc16938550"/>
      <w:r/>
      <w:bookmarkStart w:id="160" w:name="_Toc513029234"/>
      <w:r/>
      <w:bookmarkStart w:id="161" w:name="_Toc20823306"/>
      <w:r>
        <w:rPr>
          <w:rFonts w:hint="eastAsia" w:ascii="宋体" w:hAnsi="宋体" w:eastAsia="宋体" w:cs="宋体"/>
          <w:b w:val="0"/>
          <w:bCs w:val="0"/>
          <w:color w:val="000000"/>
          <w:sz w:val="24"/>
          <w:szCs w:val="24"/>
          <w:lang w:eastAsia="zh-CN"/>
        </w:rPr>
        <w:t xml:space="preserve">24.6投标人在开、评标全过程中应保持通讯畅通，及时登录苏采云系统查阅、答复相关信息，并安排专人与招标代理公司及评委会联系。</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25.</w:t>
      </w:r>
      <w:bookmarkEnd w:id="159"/>
      <w:r/>
      <w:bookmarkEnd w:id="160"/>
      <w:r/>
      <w:bookmarkEnd w:id="161"/>
      <w:r>
        <w:rPr>
          <w:rFonts w:hint="eastAsia" w:ascii="宋体" w:hAnsi="宋体" w:eastAsia="宋体" w:cs="宋体"/>
          <w:b w:val="0"/>
          <w:bCs w:val="0"/>
          <w:color w:val="000000"/>
          <w:sz w:val="24"/>
          <w:szCs w:val="24"/>
          <w:lang w:eastAsia="zh-CN"/>
        </w:rPr>
        <w:t xml:space="preserve">无效投标条款和废标条款</w:t>
      </w:r>
      <w:r/>
    </w:p>
    <w:p>
      <w:pPr>
        <w:ind w:firstLine="480"/>
        <w:spacing w:line="360" w:lineRule="auto"/>
        <w:rPr>
          <w:rFonts w:hint="eastAsia" w:ascii="宋体" w:hAnsi="宋体" w:eastAsia="宋体" w:cs="宋体"/>
          <w:b w:val="0"/>
          <w:bCs w:val="0"/>
          <w:color w:val="000000"/>
          <w:sz w:val="24"/>
          <w:szCs w:val="24"/>
          <w:lang w:eastAsia="zh-CN"/>
        </w:rPr>
      </w:pPr>
      <w:r/>
      <w:bookmarkStart w:id="162" w:name="_Toc513029235"/>
      <w:r/>
      <w:bookmarkStart w:id="163" w:name="_Toc16938551"/>
      <w:r/>
      <w:bookmarkStart w:id="164" w:name="_Toc20823307"/>
      <w:r>
        <w:rPr>
          <w:rFonts w:hint="eastAsia" w:ascii="宋体" w:hAnsi="宋体" w:eastAsia="宋体" w:cs="宋体"/>
          <w:b w:val="0"/>
          <w:bCs w:val="0"/>
          <w:color w:val="000000"/>
          <w:sz w:val="24"/>
          <w:szCs w:val="24"/>
          <w:lang w:eastAsia="zh-CN"/>
        </w:rPr>
        <w:t xml:space="preserve">25.1无效投标条款</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25.1.1 投标人在苏采云系统规定的时间内未成功解密电子投标文件的。</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25.1.2 投标人未按照招标文件要求上传电子投标文件的。</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25.1.3 投标人同一采购包提交两个（含两个）以上不同的投标报价的。</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25.1.4投标人不具备招标文件中规定资格要求的。</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25.1.5投标人的报价超过了采购预算或最高限价的。</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25.1.6未通过符合性审查的。</w:t>
      </w:r>
      <w:r/>
    </w:p>
    <w:p>
      <w:pPr>
        <w:ind w:firstLine="480"/>
        <w:spacing w:line="360" w:lineRule="auto"/>
        <w:rPr>
          <w:rFonts w:hint="eastAsia" w:ascii="宋体" w:hAnsi="宋体" w:eastAsia="宋体" w:cs="宋体"/>
          <w:bCs/>
          <w:i/>
          <w:color w:val="000000"/>
          <w:sz w:val="24"/>
          <w:szCs w:val="24"/>
          <w:u w:val="single"/>
        </w:rPr>
      </w:pPr>
      <w:r>
        <w:rPr>
          <w:rFonts w:hint="eastAsia" w:ascii="宋体" w:hAnsi="宋体" w:eastAsia="宋体" w:cs="宋体"/>
          <w:b w:val="0"/>
          <w:bCs w:val="0"/>
          <w:color w:val="000000"/>
          <w:sz w:val="24"/>
          <w:szCs w:val="24"/>
          <w:lang w:eastAsia="zh-CN"/>
        </w:rPr>
        <w:t xml:space="preserve">25.1.7不符合招标文件中规定的实质性要求的</w:t>
      </w:r>
      <w:r>
        <w:rPr>
          <w:rFonts w:hint="eastAsia" w:ascii="宋体" w:hAnsi="宋体" w:eastAsia="宋体" w:cs="宋体"/>
          <w:b/>
          <w:bCs/>
          <w:color w:val="000000"/>
          <w:sz w:val="24"/>
          <w:szCs w:val="24"/>
        </w:rPr>
        <w:t xml:space="preserve">（本招标文件中</w:t>
      </w:r>
      <w:r>
        <w:rPr>
          <w:rFonts w:hint="eastAsia" w:ascii="宋体" w:hAnsi="宋体" w:eastAsia="宋体" w:cs="宋体"/>
          <w:b/>
          <w:bCs/>
          <w:i/>
          <w:color w:val="000000"/>
          <w:sz w:val="24"/>
          <w:szCs w:val="24"/>
          <w:u w:val="single"/>
        </w:rPr>
        <w:t xml:space="preserve">斜体且有下划线部分</w:t>
      </w:r>
      <w:r>
        <w:rPr>
          <w:rFonts w:hint="eastAsia" w:ascii="宋体" w:hAnsi="宋体" w:eastAsia="宋体" w:cs="宋体"/>
          <w:b/>
          <w:bCs/>
          <w:color w:val="000000"/>
          <w:sz w:val="24"/>
          <w:szCs w:val="24"/>
        </w:rPr>
        <w:t xml:space="preserve">为实质性要求）</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25.1.8 投标人被 “信用中国”网站（www.creditchina.gov.cn）列入失信被执行人或重大税收违法案件当事人名单或政府采购严重失信行为记录名单</w:t>
      </w:r>
      <w:r>
        <w:rPr>
          <w:rFonts w:hint="eastAsia" w:ascii="宋体" w:hAnsi="宋体" w:eastAsia="宋体" w:cs="宋体"/>
          <w:bCs/>
          <w:color w:val="000000"/>
          <w:sz w:val="24"/>
          <w:szCs w:val="24"/>
          <w:lang w:eastAsia="zh-CN"/>
        </w:rPr>
        <w:t xml:space="preserve">，</w:t>
      </w:r>
      <w:r>
        <w:rPr>
          <w:rFonts w:hint="eastAsia" w:ascii="宋体" w:hAnsi="宋体" w:eastAsia="宋体" w:cs="宋体"/>
          <w:sz w:val="24"/>
          <w:szCs w:val="24"/>
        </w:rPr>
        <w:t xml:space="preserve">“中国政府采购网"(www.ccgp.gov.cn</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列入政府采购严重失信行为记录名单</w:t>
      </w:r>
      <w:r>
        <w:rPr>
          <w:rFonts w:hint="eastAsia" w:ascii="宋体" w:hAnsi="宋体" w:eastAsia="宋体" w:cs="宋体"/>
          <w:sz w:val="24"/>
          <w:szCs w:val="24"/>
          <w:lang w:eastAsia="zh-CN"/>
        </w:rPr>
        <w:t xml:space="preserve">，</w:t>
      </w:r>
      <w:r>
        <w:rPr>
          <w:rFonts w:hint="eastAsia" w:ascii="宋体" w:hAnsi="宋体" w:eastAsia="宋体" w:cs="宋体"/>
          <w:bCs/>
          <w:color w:val="000000"/>
          <w:sz w:val="24"/>
          <w:szCs w:val="24"/>
        </w:rPr>
        <w:t xml:space="preserve">或查询“信用中国”网站后发现投标人存在其他不符合《中华人民共和国政府采购法》第二十二条规定条件的信用记录。</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25.1.9 投标文件含有</w:t>
      </w:r>
      <w:r>
        <w:rPr>
          <w:rFonts w:hint="eastAsia" w:ascii="宋体" w:hAnsi="宋体" w:eastAsia="宋体" w:cs="宋体"/>
          <w:bCs/>
          <w:color w:val="000000"/>
          <w:sz w:val="24"/>
          <w:szCs w:val="24"/>
          <w:lang w:eastAsia="zh-CN"/>
        </w:rPr>
        <w:t xml:space="preserve">招标人</w:t>
      </w:r>
      <w:r>
        <w:rPr>
          <w:rFonts w:hint="eastAsia" w:ascii="宋体" w:hAnsi="宋体" w:eastAsia="宋体" w:cs="宋体"/>
          <w:bCs/>
          <w:color w:val="000000"/>
          <w:sz w:val="24"/>
          <w:szCs w:val="24"/>
        </w:rPr>
        <w:t xml:space="preserve">不能接受的附加条件的。</w:t>
      </w:r>
      <w:r/>
    </w:p>
    <w:p>
      <w:pPr>
        <w:ind w:firstLine="480"/>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eastAsia="zh-CN"/>
        </w:rPr>
        <w:t xml:space="preserve">2</w:t>
      </w:r>
      <w:r>
        <w:rPr>
          <w:rFonts w:hint="eastAsia" w:ascii="宋体" w:hAnsi="宋体" w:eastAsia="宋体" w:cs="宋体"/>
          <w:b w:val="0"/>
          <w:bCs w:val="0"/>
          <w:color w:val="000000"/>
          <w:sz w:val="24"/>
          <w:szCs w:val="24"/>
          <w:lang w:val="en-US" w:eastAsia="zh-CN"/>
        </w:rPr>
        <w:t xml:space="preserve">5</w:t>
      </w:r>
      <w:r>
        <w:rPr>
          <w:rFonts w:hint="eastAsia" w:ascii="宋体" w:hAnsi="宋体" w:eastAsia="宋体" w:cs="宋体"/>
          <w:b w:val="0"/>
          <w:bCs w:val="0"/>
          <w:color w:val="000000"/>
          <w:sz w:val="24"/>
          <w:szCs w:val="24"/>
          <w:lang w:eastAsia="zh-CN"/>
        </w:rPr>
        <w:t xml:space="preserve">.1.10</w:t>
      </w:r>
      <w:r>
        <w:rPr>
          <w:rFonts w:hint="eastAsia" w:ascii="宋体" w:hAnsi="宋体" w:eastAsia="宋体" w:cs="宋体"/>
          <w:b w:val="0"/>
          <w:bCs w:val="0"/>
          <w:color w:val="000000"/>
          <w:sz w:val="24"/>
          <w:szCs w:val="24"/>
          <w:lang w:val="en-US" w:eastAsia="zh-CN"/>
        </w:rPr>
        <w:t xml:space="preserve"> 异常低价投标</w:t>
      </w:r>
      <w:r/>
    </w:p>
    <w:p>
      <w:pPr>
        <w:ind w:firstLine="480"/>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在评审过程中，</w:t>
      </w:r>
      <w:r>
        <w:rPr>
          <w:rFonts w:hint="eastAsia" w:ascii="宋体" w:hAnsi="宋体" w:eastAsia="宋体" w:cs="宋体"/>
          <w:b w:val="0"/>
          <w:bCs w:val="0"/>
          <w:color w:val="000000"/>
          <w:sz w:val="24"/>
          <w:szCs w:val="24"/>
          <w:lang w:eastAsia="zh-CN"/>
        </w:rPr>
        <w:t xml:space="preserve">评审委员会</w:t>
      </w:r>
      <w:r>
        <w:rPr>
          <w:rFonts w:hint="eastAsia" w:ascii="宋体" w:hAnsi="宋体" w:eastAsia="宋体" w:cs="宋体"/>
          <w:b w:val="0"/>
          <w:bCs w:val="0"/>
          <w:color w:val="000000"/>
          <w:sz w:val="24"/>
          <w:szCs w:val="24"/>
          <w:lang w:val="en-US" w:eastAsia="zh-CN"/>
        </w:rPr>
        <w:t xml:space="preserve">应当</w:t>
      </w:r>
      <w:r>
        <w:rPr>
          <w:rFonts w:hint="eastAsia" w:ascii="宋体" w:hAnsi="宋体" w:eastAsia="宋体" w:cs="宋体"/>
          <w:b w:val="0"/>
          <w:bCs w:val="0"/>
          <w:color w:val="000000"/>
          <w:sz w:val="24"/>
          <w:szCs w:val="24"/>
          <w:lang w:eastAsia="zh-CN"/>
        </w:rPr>
        <w:t xml:space="preserve">启动异常低价投标（响应）审查的情形和具体要求，包括：</w:t>
      </w:r>
      <w:r>
        <w:rPr>
          <w:rFonts w:hint="eastAsia" w:ascii="宋体" w:hAnsi="宋体" w:eastAsia="宋体" w:cs="宋体"/>
          <w:b w:val="0"/>
          <w:bCs w:val="0"/>
          <w:color w:val="000000"/>
          <w:sz w:val="24"/>
          <w:szCs w:val="24"/>
          <w:lang w:val="en-US" w:eastAsia="zh-CN"/>
        </w:rPr>
        <w:t xml:space="preserve">对存在过低的投标单价和投标总价的投标人进行质询，分析其做出的书面说明和提供的相关证明材料，确定过低的投标单价和投标总价是否能够成立；</w:t>
      </w:r>
      <w:r/>
    </w:p>
    <w:p>
      <w:pPr>
        <w:ind w:firstLine="480"/>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评审中出现下列情形之一的，评审委员会应当启动异常低价投标（响应）审查程序：</w:t>
      </w:r>
      <w:r/>
    </w:p>
    <w:p>
      <w:pPr>
        <w:ind w:firstLine="480"/>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（1）投标（响应）报价低于全部通过符合性审查供应商投标（响应）报价平均值65%的，即投标（响应）报价&lt;全部通过符合性审查供应商投标（响应）报价平均值×65%；</w:t>
      </w:r>
      <w:r/>
    </w:p>
    <w:p>
      <w:pPr>
        <w:ind w:firstLine="480"/>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（2）投标（响应）报价低于通过符合性审查的次低报价供应商投标（响应）报价65%的，即投标（响应）报价&lt;通过符合性审查的次低报价供应商投标（响应）报价×65%；</w:t>
      </w:r>
      <w:r/>
    </w:p>
    <w:p>
      <w:pPr>
        <w:ind w:firstLine="480"/>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（3）投标（响应）报价低于采购项目最高限价65%的，即投标（响应）报价&lt;采购项目最高限价×65%；</w:t>
      </w:r>
      <w:r/>
    </w:p>
    <w:p>
      <w:pPr>
        <w:ind w:firstLine="480"/>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25.1.9 投标文件未按照招标文件要求加盖CA电子公章的。</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25.1.12其他法律法规及本招标文件规定的属于无效投标的情形。</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25.2废标条款</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25.2.1符合专业条件的投标人或者对招标文件作实质响应的投标人不足三家的。25.2.2出现影响采购公正的违法、违规行为的。</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25.2.3因重大变故，采购任务取消的。</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25.2.4评委会认定招标文件存在歧义、重大缺陷导致评审工作无法进行。</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25.2.5 因苏采云系统系统故障原因造成开标不成功的。</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25.3 投标截止时间结束后参加投标的投标人不足三家的处理：</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 w:val="0"/>
          <w:bCs w:val="0"/>
          <w:color w:val="000000"/>
          <w:sz w:val="24"/>
          <w:szCs w:val="24"/>
          <w:lang w:eastAsia="zh-CN"/>
        </w:rPr>
        <w:t xml:space="preserve">25.3.1如出现投标截止时间结束后参加投标的投标人或者在评标期间对招标文件做出实质响应的投标人不足三家情况，按政府采购相关规定执行</w:t>
      </w:r>
      <w:r>
        <w:rPr>
          <w:rFonts w:hint="eastAsia" w:ascii="宋体" w:hAnsi="宋体" w:eastAsia="宋体" w:cs="宋体"/>
          <w:bCs/>
          <w:color w:val="000000"/>
          <w:sz w:val="24"/>
          <w:szCs w:val="24"/>
        </w:rPr>
        <w:t xml:space="preserve">。</w:t>
      </w:r>
      <w:r/>
    </w:p>
    <w:p>
      <w:pPr>
        <w:pStyle w:val="999"/>
        <w:ind w:firstLine="482"/>
        <w:spacing w:before="145" w:after="145" w:line="360" w:lineRule="auto"/>
        <w:rPr>
          <w:rFonts w:hint="eastAsia" w:ascii="宋体" w:hAnsi="宋体" w:eastAsia="宋体" w:cs="宋体"/>
          <w:color w:val="000000"/>
          <w:sz w:val="24"/>
          <w:szCs w:val="24"/>
        </w:rPr>
      </w:pPr>
      <w:r/>
      <w:bookmarkStart w:id="165" w:name="_Toc120614219"/>
      <w:r>
        <w:rPr>
          <w:rFonts w:hint="eastAsia" w:ascii="宋体" w:hAnsi="宋体" w:eastAsia="宋体" w:cs="宋体"/>
          <w:color w:val="000000"/>
          <w:sz w:val="24"/>
          <w:szCs w:val="24"/>
        </w:rPr>
        <w:t xml:space="preserve">六、</w:t>
      </w:r>
      <w:bookmarkEnd w:id="162"/>
      <w:r/>
      <w:bookmarkEnd w:id="163"/>
      <w:r/>
      <w:bookmarkEnd w:id="164"/>
      <w:r>
        <w:rPr>
          <w:rFonts w:hint="eastAsia" w:ascii="宋体" w:hAnsi="宋体" w:eastAsia="宋体" w:cs="宋体"/>
          <w:color w:val="000000"/>
          <w:sz w:val="24"/>
          <w:szCs w:val="24"/>
        </w:rPr>
        <w:t xml:space="preserve">定标</w:t>
      </w:r>
      <w:bookmarkEnd w:id="165"/>
      <w:r/>
      <w:r/>
    </w:p>
    <w:p>
      <w:pPr>
        <w:ind w:firstLine="480"/>
        <w:spacing w:line="360" w:lineRule="auto"/>
        <w:rPr>
          <w:rFonts w:hint="eastAsia" w:ascii="宋体" w:hAnsi="宋体" w:eastAsia="宋体" w:cs="宋体"/>
          <w:b w:val="0"/>
          <w:bCs w:val="0"/>
          <w:color w:val="000000"/>
          <w:sz w:val="24"/>
          <w:szCs w:val="24"/>
          <w:lang w:eastAsia="zh-CN"/>
        </w:rPr>
      </w:pPr>
      <w:r/>
      <w:bookmarkStart w:id="166" w:name="_Toc513029238"/>
      <w:r/>
      <w:bookmarkStart w:id="167" w:name="_Toc20823310"/>
      <w:r/>
      <w:bookmarkStart w:id="168" w:name="_Toc16938554"/>
      <w:r>
        <w:rPr>
          <w:rFonts w:hint="eastAsia" w:ascii="宋体" w:hAnsi="宋体" w:eastAsia="宋体" w:cs="宋体"/>
          <w:b w:val="0"/>
          <w:bCs w:val="0"/>
          <w:color w:val="000000"/>
          <w:sz w:val="24"/>
          <w:szCs w:val="24"/>
          <w:lang w:eastAsia="zh-CN"/>
        </w:rPr>
        <w:t xml:space="preserve">26.</w:t>
      </w:r>
      <w:bookmarkEnd w:id="166"/>
      <w:r>
        <w:rPr>
          <w:rFonts w:hint="eastAsia" w:ascii="宋体" w:hAnsi="宋体" w:eastAsia="宋体" w:cs="宋体"/>
          <w:b w:val="0"/>
          <w:bCs w:val="0"/>
          <w:color w:val="000000"/>
          <w:sz w:val="24"/>
          <w:szCs w:val="24"/>
          <w:lang w:eastAsia="zh-CN"/>
        </w:rPr>
        <w:t xml:space="preserve">确定</w:t>
      </w:r>
      <w:bookmarkEnd w:id="167"/>
      <w:r/>
      <w:bookmarkEnd w:id="168"/>
      <w:r>
        <w:rPr>
          <w:rFonts w:hint="eastAsia" w:ascii="宋体" w:hAnsi="宋体" w:eastAsia="宋体" w:cs="宋体"/>
          <w:b w:val="0"/>
          <w:bCs w:val="0"/>
          <w:color w:val="000000"/>
          <w:sz w:val="24"/>
          <w:szCs w:val="24"/>
          <w:lang w:eastAsia="zh-CN"/>
        </w:rPr>
        <w:t xml:space="preserve">中标人</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26.1中标候选人的选取原则和数量见招标文件第五章规定。 </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26.2 招标人应根据评委会推荐的中标候选人确定中标人。</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26.3 </w:t>
      </w:r>
      <w:r>
        <w:rPr>
          <w:rFonts w:hint="eastAsia" w:ascii="宋体" w:hAnsi="宋体" w:eastAsia="宋体" w:cs="宋体"/>
          <w:b w:val="0"/>
          <w:bCs w:val="0"/>
          <w:color w:val="000000"/>
          <w:sz w:val="24"/>
          <w:szCs w:val="24"/>
          <w:lang w:val="en-US" w:eastAsia="zh-CN"/>
        </w:rPr>
        <w:t xml:space="preserve">招标代理公司</w:t>
      </w:r>
      <w:r>
        <w:rPr>
          <w:rFonts w:hint="eastAsia" w:ascii="宋体" w:hAnsi="宋体" w:eastAsia="宋体" w:cs="宋体"/>
          <w:b w:val="0"/>
          <w:bCs w:val="0"/>
          <w:color w:val="000000"/>
          <w:sz w:val="24"/>
          <w:szCs w:val="24"/>
          <w:lang w:eastAsia="zh-CN"/>
        </w:rPr>
        <w:t xml:space="preserve">将在“江苏政府采购网、</w:t>
      </w:r>
      <w:r>
        <w:rPr>
          <w:rFonts w:hint="eastAsia" w:ascii="宋体" w:hAnsi="宋体" w:eastAsia="宋体" w:cs="宋体"/>
          <w:b w:val="0"/>
          <w:bCs w:val="0"/>
          <w:color w:val="000000"/>
          <w:sz w:val="24"/>
          <w:szCs w:val="24"/>
          <w:lang w:val="en-US" w:eastAsia="zh-CN"/>
        </w:rPr>
        <w:t xml:space="preserve">扬州市政府采购网</w:t>
      </w:r>
      <w:r>
        <w:rPr>
          <w:rFonts w:hint="eastAsia" w:ascii="宋体" w:hAnsi="宋体" w:eastAsia="宋体" w:cs="宋体"/>
          <w:b w:val="0"/>
          <w:bCs w:val="0"/>
          <w:color w:val="000000"/>
          <w:sz w:val="24"/>
          <w:szCs w:val="24"/>
          <w:lang w:eastAsia="zh-CN"/>
        </w:rPr>
        <w:t xml:space="preserve">”发布中标公告，公告期限为1个工作日。</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26.4  若有充分证据证明，中标人出现下列情况之一的，一经查实，将被取消中标资格：</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26.4.1提供虚假材料谋取中标的。</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26.4.2向招标人、</w:t>
      </w:r>
      <w:r>
        <w:rPr>
          <w:rFonts w:hint="eastAsia" w:ascii="宋体" w:hAnsi="宋体" w:eastAsia="宋体" w:cs="宋体"/>
          <w:b w:val="0"/>
          <w:bCs w:val="0"/>
          <w:color w:val="000000"/>
          <w:sz w:val="24"/>
          <w:szCs w:val="24"/>
          <w:lang w:val="en-US" w:eastAsia="zh-CN"/>
        </w:rPr>
        <w:t xml:space="preserve">招标代理公司</w:t>
      </w:r>
      <w:r>
        <w:rPr>
          <w:rFonts w:hint="eastAsia" w:ascii="宋体" w:hAnsi="宋体" w:eastAsia="宋体" w:cs="宋体"/>
          <w:b w:val="0"/>
          <w:bCs w:val="0"/>
          <w:color w:val="000000"/>
          <w:sz w:val="24"/>
          <w:szCs w:val="24"/>
          <w:lang w:eastAsia="zh-CN"/>
        </w:rPr>
        <w:t xml:space="preserve">行贿或者提供其他不正当利益的。</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26.4.3属于本文件规定的无效条件，但在评标过程中又未被评委会发现的。</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26.4.4与招标人或者其他投标人恶意串通的。</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26.4.5采取不正当手段诋毁、排挤其他投标人的。</w:t>
      </w:r>
      <w:r/>
    </w:p>
    <w:p>
      <w:pPr>
        <w:ind w:firstLine="480"/>
        <w:spacing w:line="360" w:lineRule="auto"/>
        <w:rPr>
          <w:rFonts w:hint="eastAsia" w:ascii="宋体" w:hAnsi="宋体" w:eastAsia="宋体" w:cs="宋体"/>
          <w:b w:val="0"/>
          <w:bCs w:val="0"/>
          <w:color w:val="000000"/>
          <w:sz w:val="24"/>
          <w:szCs w:val="24"/>
          <w:lang w:eastAsia="zh-CN"/>
        </w:rPr>
      </w:pPr>
      <w:r/>
      <w:bookmarkStart w:id="169" w:name="_Toc200451960"/>
      <w:r>
        <w:rPr>
          <w:rFonts w:hint="eastAsia" w:ascii="宋体" w:hAnsi="宋体" w:eastAsia="宋体" w:cs="宋体"/>
          <w:b w:val="0"/>
          <w:bCs w:val="0"/>
          <w:color w:val="000000"/>
          <w:sz w:val="24"/>
          <w:szCs w:val="24"/>
          <w:lang w:eastAsia="zh-CN"/>
        </w:rPr>
        <w:t xml:space="preserve">2</w:t>
      </w:r>
      <w:r>
        <w:rPr>
          <w:rFonts w:hint="eastAsia" w:ascii="宋体" w:hAnsi="宋体" w:eastAsia="宋体" w:cs="宋体"/>
          <w:b w:val="0"/>
          <w:bCs w:val="0"/>
          <w:color w:val="000000"/>
          <w:sz w:val="24"/>
          <w:szCs w:val="24"/>
          <w:lang w:val="en-US" w:eastAsia="zh-CN"/>
        </w:rPr>
        <w:t xml:space="preserve">6</w:t>
      </w:r>
      <w:r>
        <w:rPr>
          <w:rFonts w:hint="eastAsia" w:ascii="宋体" w:hAnsi="宋体" w:eastAsia="宋体" w:cs="宋体"/>
          <w:b w:val="0"/>
          <w:bCs w:val="0"/>
          <w:color w:val="000000"/>
          <w:sz w:val="24"/>
          <w:szCs w:val="24"/>
          <w:lang w:eastAsia="zh-CN"/>
        </w:rPr>
        <w:t xml:space="preserve">.5 有下列情形之一的，视为投标人串通投标，投标无效：</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w:t>
      </w:r>
      <w:r>
        <w:rPr>
          <w:rFonts w:hint="eastAsia" w:ascii="宋体" w:hAnsi="宋体" w:eastAsia="宋体" w:cs="宋体"/>
          <w:b w:val="0"/>
          <w:bCs w:val="0"/>
          <w:color w:val="000000"/>
          <w:sz w:val="24"/>
          <w:szCs w:val="24"/>
          <w:lang w:val="en-US" w:eastAsia="zh-CN"/>
        </w:rPr>
        <w:t xml:space="preserve">6</w:t>
      </w:r>
      <w:r>
        <w:rPr>
          <w:rFonts w:hint="eastAsia" w:ascii="宋体" w:hAnsi="宋体" w:eastAsia="宋体" w:cs="宋体"/>
          <w:b w:val="0"/>
          <w:bCs w:val="0"/>
          <w:color w:val="000000"/>
          <w:sz w:val="24"/>
          <w:szCs w:val="24"/>
          <w:lang w:eastAsia="zh-CN"/>
        </w:rPr>
        <w:t xml:space="preserve">.5.1不同投标人的投标文件由同一单位或者个人编制。</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val="en-US" w:eastAsia="zh-CN"/>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w:t>
      </w:r>
      <w:r>
        <w:rPr>
          <w:rFonts w:hint="eastAsia" w:ascii="宋体" w:hAnsi="宋体" w:eastAsia="宋体" w:cs="宋体"/>
          <w:b w:val="0"/>
          <w:bCs w:val="0"/>
          <w:color w:val="000000"/>
          <w:sz w:val="24"/>
          <w:szCs w:val="24"/>
          <w:lang w:val="en-US" w:eastAsia="zh-CN"/>
        </w:rPr>
        <w:t xml:space="preserve">6</w:t>
      </w:r>
      <w:r>
        <w:rPr>
          <w:rFonts w:hint="eastAsia" w:ascii="宋体" w:hAnsi="宋体" w:eastAsia="宋体" w:cs="宋体"/>
          <w:b w:val="0"/>
          <w:bCs w:val="0"/>
          <w:color w:val="000000"/>
          <w:sz w:val="24"/>
          <w:szCs w:val="24"/>
          <w:lang w:eastAsia="zh-CN"/>
        </w:rPr>
        <w:t xml:space="preserve">.5.2不同投标人委托同一单位或者个人办理投标事宜。</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w:t>
      </w:r>
      <w:r>
        <w:rPr>
          <w:rFonts w:hint="eastAsia" w:ascii="宋体" w:hAnsi="宋体" w:eastAsia="宋体" w:cs="宋体"/>
          <w:b w:val="0"/>
          <w:bCs w:val="0"/>
          <w:color w:val="000000"/>
          <w:sz w:val="24"/>
          <w:szCs w:val="24"/>
          <w:lang w:val="en-US" w:eastAsia="zh-CN"/>
        </w:rPr>
        <w:t xml:space="preserve">6</w:t>
      </w:r>
      <w:r>
        <w:rPr>
          <w:rFonts w:hint="eastAsia" w:ascii="宋体" w:hAnsi="宋体" w:eastAsia="宋体" w:cs="宋体"/>
          <w:b w:val="0"/>
          <w:bCs w:val="0"/>
          <w:color w:val="000000"/>
          <w:sz w:val="24"/>
          <w:szCs w:val="24"/>
          <w:lang w:eastAsia="zh-CN"/>
        </w:rPr>
        <w:t xml:space="preserve">.5.3 不同投标人的投标文件载明的项目管理成员或者联系人员为同一人。</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w:t>
      </w:r>
      <w:r>
        <w:rPr>
          <w:rFonts w:hint="eastAsia" w:ascii="宋体" w:hAnsi="宋体" w:eastAsia="宋体" w:cs="宋体"/>
          <w:b w:val="0"/>
          <w:bCs w:val="0"/>
          <w:color w:val="000000"/>
          <w:sz w:val="24"/>
          <w:szCs w:val="24"/>
          <w:lang w:val="en-US" w:eastAsia="zh-CN"/>
        </w:rPr>
        <w:t xml:space="preserve">6</w:t>
      </w:r>
      <w:r>
        <w:rPr>
          <w:rFonts w:hint="eastAsia" w:ascii="宋体" w:hAnsi="宋体" w:eastAsia="宋体" w:cs="宋体"/>
          <w:b w:val="0"/>
          <w:bCs w:val="0"/>
          <w:color w:val="000000"/>
          <w:sz w:val="24"/>
          <w:szCs w:val="24"/>
          <w:lang w:eastAsia="zh-CN"/>
        </w:rPr>
        <w:t xml:space="preserve">.5.4不同投标人的投标文件异常一致或者投标报价呈规律性差异。</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27.质疑处理</w:t>
      </w:r>
      <w:bookmarkEnd w:id="169"/>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27.1 提出质疑的投标人应当是参与所质疑项目采购活动的投标人。潜在投标人依法获取其可质疑的采购文件的，可以对采购文件提出质疑。</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27.2投标人认为采购文件、采购过程和采购结果使自己的权益受到损害的，可以在知道或应知其权益受到损害之日起七个工作日内，以书面形式根据下述2</w:t>
      </w:r>
      <w:r>
        <w:rPr>
          <w:rFonts w:hint="eastAsia" w:ascii="宋体" w:hAnsi="宋体" w:eastAsia="宋体" w:cs="宋体"/>
          <w:b w:val="0"/>
          <w:bCs w:val="0"/>
          <w:color w:val="000000"/>
          <w:sz w:val="24"/>
          <w:szCs w:val="24"/>
          <w:lang w:val="en-US" w:eastAsia="zh-CN"/>
        </w:rPr>
        <w:t xml:space="preserve">7</w:t>
      </w:r>
      <w:r>
        <w:rPr>
          <w:rFonts w:hint="eastAsia" w:ascii="宋体" w:hAnsi="宋体" w:eastAsia="宋体" w:cs="宋体"/>
          <w:b w:val="0"/>
          <w:bCs w:val="0"/>
          <w:color w:val="000000"/>
          <w:sz w:val="24"/>
          <w:szCs w:val="24"/>
          <w:lang w:eastAsia="zh-CN"/>
        </w:rPr>
        <w:t xml:space="preserve">.4条款的规定向</w:t>
      </w:r>
      <w:r>
        <w:rPr>
          <w:rFonts w:hint="eastAsia" w:ascii="宋体" w:hAnsi="宋体" w:eastAsia="宋体" w:cs="宋体"/>
          <w:b w:val="0"/>
          <w:bCs w:val="0"/>
          <w:color w:val="000000"/>
          <w:sz w:val="24"/>
          <w:szCs w:val="24"/>
          <w:lang w:val="en-US" w:eastAsia="zh-CN"/>
        </w:rPr>
        <w:t xml:space="preserve">招标代理公司</w:t>
      </w:r>
      <w:r>
        <w:rPr>
          <w:rFonts w:hint="eastAsia" w:ascii="宋体" w:hAnsi="宋体" w:eastAsia="宋体" w:cs="宋体"/>
          <w:b w:val="0"/>
          <w:bCs w:val="0"/>
          <w:color w:val="000000"/>
          <w:sz w:val="24"/>
          <w:szCs w:val="24"/>
          <w:lang w:eastAsia="zh-CN"/>
        </w:rPr>
        <w:t xml:space="preserve">或招标人提出质疑。上述应知其权益受到损害之日，是指：</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27.2.1对可以质疑的采购文件提出质疑的，为收到采购文件之日或者采购文件公告期限届满之日；</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27.2.2对采购过程提出质疑的，为各采购程序环节结束之日；</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27.2.3对中标或者成交结果提出质疑的，为中标或者成交结果公告期限届满之日。</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投标人应当在法定质疑期内一次性提出针对同一采购程序环节的质疑。投标人如在法定期限内对同一采购程序环节提出多次质疑的，</w:t>
      </w:r>
      <w:r>
        <w:rPr>
          <w:rFonts w:hint="eastAsia" w:ascii="宋体" w:hAnsi="宋体" w:eastAsia="宋体" w:cs="宋体"/>
          <w:b w:val="0"/>
          <w:bCs w:val="0"/>
          <w:color w:val="000000"/>
          <w:sz w:val="24"/>
          <w:szCs w:val="24"/>
          <w:lang w:val="en-US" w:eastAsia="zh-CN"/>
        </w:rPr>
        <w:t xml:space="preserve">招标代理公司</w:t>
      </w:r>
      <w:r>
        <w:rPr>
          <w:rFonts w:hint="eastAsia" w:ascii="宋体" w:hAnsi="宋体" w:eastAsia="宋体" w:cs="宋体"/>
          <w:b w:val="0"/>
          <w:bCs w:val="0"/>
          <w:color w:val="000000"/>
          <w:sz w:val="24"/>
          <w:szCs w:val="24"/>
          <w:lang w:eastAsia="zh-CN"/>
        </w:rPr>
        <w:t xml:space="preserve">、招标人将只对投标人第一次质疑作出答复。</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27.3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27.4投标人（含潜在投标人）对采购方式、</w:t>
      </w:r>
      <w:r>
        <w:rPr>
          <w:rFonts w:hint="eastAsia" w:ascii="宋体" w:hAnsi="宋体" w:eastAsia="宋体" w:cs="宋体"/>
          <w:b w:val="0"/>
          <w:bCs w:val="0"/>
          <w:color w:val="000000"/>
          <w:sz w:val="24"/>
          <w:szCs w:val="24"/>
          <w:lang w:val="en-US" w:eastAsia="zh-CN"/>
        </w:rPr>
        <w:t xml:space="preserve">招标文件中</w:t>
      </w:r>
      <w:r>
        <w:rPr>
          <w:rFonts w:hint="eastAsia" w:ascii="宋体" w:hAnsi="宋体" w:eastAsia="宋体" w:cs="宋体"/>
          <w:b w:val="0"/>
          <w:bCs w:val="0"/>
          <w:color w:val="000000"/>
          <w:sz w:val="24"/>
          <w:szCs w:val="24"/>
          <w:lang w:eastAsia="zh-CN"/>
        </w:rPr>
        <w:t xml:space="preserve">采购需求、投标人资格条件、评标方法与评标标准、合同文本</w:t>
      </w:r>
      <w:r>
        <w:rPr>
          <w:rFonts w:hint="eastAsia" w:ascii="宋体" w:hAnsi="宋体" w:eastAsia="宋体" w:cs="宋体"/>
          <w:b w:val="0"/>
          <w:bCs w:val="0"/>
          <w:color w:val="000000"/>
          <w:sz w:val="24"/>
          <w:szCs w:val="24"/>
          <w:lang w:val="en-US" w:eastAsia="zh-CN"/>
        </w:rPr>
        <w:t xml:space="preserve">及资格审查结果</w:t>
      </w:r>
      <w:r>
        <w:rPr>
          <w:rFonts w:hint="eastAsia" w:ascii="宋体" w:hAnsi="宋体" w:eastAsia="宋体" w:cs="宋体"/>
          <w:b w:val="0"/>
          <w:bCs w:val="0"/>
          <w:color w:val="000000"/>
          <w:sz w:val="24"/>
          <w:szCs w:val="24"/>
          <w:lang w:eastAsia="zh-CN"/>
        </w:rPr>
        <w:t xml:space="preserve">的询问、质疑请向招标人提出，由招标人负责答复。投标人对其他事项的询问、质疑请向</w:t>
      </w:r>
      <w:r>
        <w:rPr>
          <w:rFonts w:hint="eastAsia" w:ascii="宋体" w:hAnsi="宋体" w:eastAsia="宋体" w:cs="宋体"/>
          <w:b w:val="0"/>
          <w:bCs w:val="0"/>
          <w:color w:val="000000"/>
          <w:sz w:val="24"/>
          <w:szCs w:val="24"/>
          <w:lang w:val="en-US" w:eastAsia="zh-CN"/>
        </w:rPr>
        <w:t xml:space="preserve">招标代理公司</w:t>
      </w:r>
      <w:r>
        <w:rPr>
          <w:rFonts w:hint="eastAsia" w:ascii="宋体" w:hAnsi="宋体" w:eastAsia="宋体" w:cs="宋体"/>
          <w:b w:val="0"/>
          <w:bCs w:val="0"/>
          <w:color w:val="000000"/>
          <w:sz w:val="24"/>
          <w:szCs w:val="24"/>
          <w:lang w:eastAsia="zh-CN"/>
        </w:rPr>
        <w:t xml:space="preserve">提出，由</w:t>
      </w:r>
      <w:r>
        <w:rPr>
          <w:rFonts w:hint="eastAsia" w:ascii="宋体" w:hAnsi="宋体" w:eastAsia="宋体" w:cs="宋体"/>
          <w:b w:val="0"/>
          <w:bCs w:val="0"/>
          <w:color w:val="000000"/>
          <w:sz w:val="24"/>
          <w:szCs w:val="24"/>
          <w:lang w:val="en-US" w:eastAsia="zh-CN"/>
        </w:rPr>
        <w:t xml:space="preserve">招标代理公司</w:t>
      </w:r>
      <w:r>
        <w:rPr>
          <w:rFonts w:hint="eastAsia" w:ascii="宋体" w:hAnsi="宋体" w:eastAsia="宋体" w:cs="宋体"/>
          <w:b w:val="0"/>
          <w:bCs w:val="0"/>
          <w:color w:val="000000"/>
          <w:sz w:val="24"/>
          <w:szCs w:val="24"/>
          <w:lang w:eastAsia="zh-CN"/>
        </w:rPr>
        <w:t xml:space="preserve">负责答复。</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招标人及</w:t>
      </w:r>
      <w:r>
        <w:rPr>
          <w:rFonts w:hint="eastAsia" w:ascii="宋体" w:hAnsi="宋体" w:eastAsia="宋体" w:cs="宋体"/>
          <w:b w:val="0"/>
          <w:bCs w:val="0"/>
          <w:color w:val="000000"/>
          <w:sz w:val="24"/>
          <w:szCs w:val="24"/>
          <w:lang w:val="en-US" w:eastAsia="zh-CN"/>
        </w:rPr>
        <w:t xml:space="preserve">招标代理公司</w:t>
      </w:r>
      <w:r>
        <w:rPr>
          <w:rFonts w:hint="eastAsia" w:ascii="宋体" w:hAnsi="宋体" w:eastAsia="宋体" w:cs="宋体"/>
          <w:b w:val="0"/>
          <w:bCs w:val="0"/>
          <w:color w:val="000000"/>
          <w:sz w:val="24"/>
          <w:szCs w:val="24"/>
          <w:lang w:eastAsia="zh-CN"/>
        </w:rPr>
        <w:t xml:space="preserve">只接收以纸质原件形式送达的质疑，建议投标人尽量通过邮寄方式提交质疑（招标人和</w:t>
      </w:r>
      <w:r>
        <w:rPr>
          <w:rFonts w:hint="eastAsia" w:ascii="宋体" w:hAnsi="宋体" w:eastAsia="宋体" w:cs="宋体"/>
          <w:b w:val="0"/>
          <w:bCs w:val="0"/>
          <w:color w:val="000000"/>
          <w:sz w:val="24"/>
          <w:szCs w:val="24"/>
          <w:lang w:val="en-US" w:eastAsia="zh-CN"/>
        </w:rPr>
        <w:t xml:space="preserve">招标代理公司</w:t>
      </w:r>
      <w:r>
        <w:rPr>
          <w:rFonts w:hint="eastAsia" w:ascii="宋体" w:hAnsi="宋体" w:eastAsia="宋体" w:cs="宋体"/>
          <w:b w:val="0"/>
          <w:bCs w:val="0"/>
          <w:color w:val="000000"/>
          <w:sz w:val="24"/>
          <w:szCs w:val="24"/>
          <w:lang w:eastAsia="zh-CN"/>
        </w:rPr>
        <w:t xml:space="preserve">不接受无快递运单号的快递）。</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质疑接收人及联系方式见招标文件第一章。</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27.5 以下情形的质疑不予受理</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27.5.1 内容不符合《政府采购质疑和投诉办法》第十二条规定的质疑。</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27.5.2 超出政府采购法定期限的质疑。</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27.5.3 以传真、电子邮件等方式递交的非原件形式的质疑。</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27.5.4 未参加投标活动的投标人或在投标活动中自身权益未受到损害的投标人所提出的质疑。</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27.5.5投标人组成联合体参加投标，联合体中任何一方或多方未按要求签字、盖章、加盖公章的质疑。</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27.6 投标人提出书面质疑必须有理、有据，不得捏造事实、提供虚假材料进行恶意质疑。否则，一经查实，</w:t>
      </w:r>
      <w:r>
        <w:rPr>
          <w:rFonts w:hint="eastAsia" w:ascii="宋体" w:hAnsi="宋体" w:eastAsia="宋体" w:cs="宋体"/>
          <w:b w:val="0"/>
          <w:bCs w:val="0"/>
          <w:color w:val="000000"/>
          <w:sz w:val="24"/>
          <w:szCs w:val="24"/>
          <w:lang w:val="en-US" w:eastAsia="zh-CN"/>
        </w:rPr>
        <w:t xml:space="preserve">招标代理公司</w:t>
      </w:r>
      <w:r>
        <w:rPr>
          <w:rFonts w:hint="eastAsia" w:ascii="宋体" w:hAnsi="宋体" w:eastAsia="宋体" w:cs="宋体"/>
          <w:b w:val="0"/>
          <w:bCs w:val="0"/>
          <w:color w:val="000000"/>
          <w:sz w:val="24"/>
          <w:szCs w:val="24"/>
          <w:lang w:eastAsia="zh-CN"/>
        </w:rPr>
        <w:t xml:space="preserve">有权依据政府采购的有关规定，报请政府采购监管部门对该投标人进行相应的行政处罚和记录该投标人的失信信息。</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28.中标通知书</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28.l 中标结果确定后，</w:t>
      </w:r>
      <w:r>
        <w:rPr>
          <w:rFonts w:hint="eastAsia" w:ascii="宋体" w:hAnsi="宋体" w:eastAsia="宋体" w:cs="宋体"/>
          <w:b w:val="0"/>
          <w:bCs w:val="0"/>
          <w:color w:val="000000"/>
          <w:sz w:val="24"/>
          <w:szCs w:val="24"/>
          <w:lang w:val="en-US" w:eastAsia="zh-CN"/>
        </w:rPr>
        <w:t xml:space="preserve">招标代理公司</w:t>
      </w:r>
      <w:r>
        <w:rPr>
          <w:rFonts w:hint="eastAsia" w:ascii="宋体" w:hAnsi="宋体" w:eastAsia="宋体" w:cs="宋体"/>
          <w:b w:val="0"/>
          <w:bCs w:val="0"/>
          <w:color w:val="000000"/>
          <w:sz w:val="24"/>
          <w:szCs w:val="24"/>
          <w:lang w:eastAsia="zh-CN"/>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28.2中标通知书将是合同的一个组成部分。对招标人和中标人均具有法律效力。中标通知书发出后，招标人改变中标结果的，或者中标人放弃中标项目的，应当依法承担法律责任。</w:t>
      </w:r>
      <w:r/>
    </w:p>
    <w:p>
      <w:pPr>
        <w:ind w:firstLine="480"/>
        <w:spacing w:line="360" w:lineRule="auto"/>
        <w:rPr>
          <w:rFonts w:hint="eastAsia" w:ascii="宋体" w:hAnsi="宋体" w:eastAsia="宋体" w:cs="宋体"/>
          <w:b w:val="0"/>
          <w:bCs w:val="0"/>
          <w:color w:val="000000"/>
          <w:sz w:val="24"/>
          <w:szCs w:val="24"/>
          <w:lang w:eastAsia="zh-CN"/>
        </w:rPr>
      </w:pPr>
      <w:r/>
      <w:bookmarkStart w:id="170" w:name="_Toc120614220"/>
      <w:r/>
      <w:bookmarkStart w:id="171" w:name="_Toc20823308"/>
      <w:r/>
      <w:bookmarkStart w:id="172" w:name="_Toc513029236"/>
      <w:r/>
      <w:bookmarkStart w:id="173" w:name="_Toc16938552"/>
      <w:r>
        <w:rPr>
          <w:rFonts w:hint="eastAsia" w:ascii="宋体" w:hAnsi="宋体" w:eastAsia="宋体" w:cs="宋体"/>
          <w:b w:val="0"/>
          <w:bCs w:val="0"/>
          <w:color w:val="000000"/>
          <w:sz w:val="24"/>
          <w:szCs w:val="24"/>
          <w:lang w:eastAsia="zh-CN"/>
        </w:rPr>
        <w:t xml:space="preserve">七、授予合同</w:t>
      </w:r>
      <w:bookmarkEnd w:id="170"/>
      <w:r/>
      <w:bookmarkEnd w:id="171"/>
      <w:r/>
      <w:bookmarkEnd w:id="172"/>
      <w:r/>
      <w:bookmarkEnd w:id="173"/>
      <w:r/>
      <w:r/>
    </w:p>
    <w:p>
      <w:pPr>
        <w:ind w:firstLine="480"/>
        <w:spacing w:line="360" w:lineRule="auto"/>
        <w:rPr>
          <w:rFonts w:hint="eastAsia" w:ascii="宋体" w:hAnsi="宋体" w:eastAsia="宋体" w:cs="宋体"/>
          <w:b w:val="0"/>
          <w:bCs w:val="0"/>
          <w:color w:val="000000"/>
          <w:sz w:val="24"/>
          <w:szCs w:val="24"/>
          <w:lang w:eastAsia="zh-CN"/>
        </w:rPr>
      </w:pPr>
      <w:r/>
      <w:bookmarkStart w:id="174" w:name="_Toc16938553"/>
      <w:r/>
      <w:bookmarkStart w:id="175" w:name="_Toc513029237"/>
      <w:r/>
      <w:bookmarkStart w:id="176" w:name="_Toc20823309"/>
      <w:r>
        <w:rPr>
          <w:rFonts w:hint="eastAsia" w:ascii="宋体" w:hAnsi="宋体" w:eastAsia="宋体" w:cs="宋体"/>
          <w:b w:val="0"/>
          <w:bCs w:val="0"/>
          <w:color w:val="000000"/>
          <w:sz w:val="24"/>
          <w:szCs w:val="24"/>
          <w:lang w:eastAsia="zh-CN"/>
        </w:rPr>
        <w:t xml:space="preserve">29.签订合同</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29.l中标人应当在中标通知书发出之日起三十日内，按照招标文件确定的事项与招标人签订政府采购合同。</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29.2 招标文件、中标人的投标文件及招标过程中有关澄清、承诺文件均应作为合同附件。</w:t>
      </w:r>
      <w:r/>
    </w:p>
    <w:p>
      <w:pPr>
        <w:ind w:firstLine="48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29.3 签订合同后，中标人不得将合同标的进行转包。未经招标人同意，中标人也不得采用分包的形式履行合同，否则招标人有权终止合同。转包或分包造成招标人损失的，中标人应承担相应赔偿责任。</w:t>
      </w:r>
      <w:bookmarkEnd w:id="174"/>
      <w:r/>
      <w:bookmarkEnd w:id="175"/>
      <w:r/>
      <w:bookmarkEnd w:id="176"/>
      <w:r/>
      <w:r/>
    </w:p>
    <w:p>
      <w:pPr>
        <w:ind w:firstLine="480"/>
        <w:spacing w:line="360" w:lineRule="auto"/>
        <w:rPr>
          <w:rFonts w:hint="eastAsia" w:ascii="宋体" w:hAnsi="宋体" w:eastAsia="宋体" w:cs="宋体"/>
          <w:b w:val="0"/>
          <w:bCs w:val="0"/>
          <w:color w:val="000000"/>
          <w:sz w:val="24"/>
          <w:szCs w:val="24"/>
          <w:lang w:eastAsia="zh-CN"/>
        </w:rPr>
      </w:pPr>
      <w:r/>
      <w:bookmarkStart w:id="177" w:name="_Toc16938558"/>
      <w:r/>
      <w:bookmarkStart w:id="178" w:name="_Toc120614221"/>
      <w:r/>
      <w:bookmarkStart w:id="179" w:name="_Toc513029242"/>
      <w:r/>
      <w:bookmarkStart w:id="180" w:name="_Toc479757207"/>
      <w:r/>
      <w:bookmarkStart w:id="181" w:name="_Toc20823314"/>
      <w:r>
        <w:rPr>
          <w:rFonts w:hint="eastAsia" w:ascii="宋体" w:hAnsi="宋体" w:eastAsia="宋体" w:cs="宋体"/>
          <w:b w:val="0"/>
          <w:bCs w:val="0"/>
          <w:color w:val="000000"/>
          <w:sz w:val="24"/>
          <w:szCs w:val="24"/>
          <w:lang w:eastAsia="zh-CN"/>
        </w:rPr>
        <w:t xml:space="preserve">30.政府采购履约资金扶持政策</w:t>
      </w:r>
      <w:r/>
    </w:p>
    <w:p>
      <w:pPr>
        <w:ind w:firstLine="480"/>
        <w:spacing w:line="360" w:lineRule="auto"/>
        <w:rPr>
          <w:rFonts w:hint="eastAsia" w:ascii="宋体" w:hAnsi="宋体" w:eastAsia="宋体" w:cs="宋体"/>
          <w:color w:val="000000"/>
        </w:rPr>
      </w:pPr>
      <w:r>
        <w:rPr>
          <w:rFonts w:hint="eastAsia" w:ascii="宋体" w:hAnsi="宋体" w:eastAsia="宋体" w:cs="宋体"/>
          <w:b w:val="0"/>
          <w:bCs w:val="0"/>
          <w:color w:val="000000"/>
          <w:sz w:val="24"/>
          <w:szCs w:val="24"/>
          <w:lang w:eastAsia="zh-CN"/>
        </w:rPr>
        <w:t xml:space="preserve">中标人可凭政府采购合同办理融资贷款，详情请见江苏政府采购网“政采贷”专栏</w:t>
      </w:r>
      <w:r>
        <w:rPr>
          <w:rFonts w:hint="eastAsia" w:ascii="宋体" w:hAnsi="宋体" w:eastAsia="宋体" w:cs="宋体"/>
          <w:bCs/>
          <w:color w:val="000000"/>
          <w:sz w:val="24"/>
          <w:szCs w:val="24"/>
        </w:rPr>
        <w:t xml:space="preserve">。</w:t>
      </w:r>
      <w:r/>
    </w:p>
    <w:p>
      <w:pPr>
        <w:rPr>
          <w:rFonts w:hint="eastAsia" w:ascii="宋体" w:hAnsi="宋体" w:eastAsia="宋体" w:cs="宋体"/>
          <w:color w:val="000000"/>
        </w:rPr>
      </w:pPr>
      <w:r>
        <w:rPr>
          <w:rFonts w:hint="eastAsia" w:ascii="宋体" w:hAnsi="宋体" w:eastAsia="宋体" w:cs="宋体"/>
          <w:color w:val="000000"/>
        </w:rPr>
      </w:r>
      <w:bookmarkEnd w:id="177"/>
      <w:r/>
      <w:bookmarkEnd w:id="178"/>
      <w:r/>
      <w:bookmarkEnd w:id="179"/>
      <w:r/>
      <w:bookmarkEnd w:id="180"/>
      <w:r/>
      <w:bookmarkEnd w:id="181"/>
      <w:r/>
      <w:r/>
    </w:p>
    <w:p>
      <w:pPr>
        <w:pStyle w:val="997"/>
        <w:jc w:val="center"/>
        <w:keepLines/>
        <w:keepNext/>
        <w:pageBreakBefore w:val="0"/>
        <w:spacing w:line="240" w:lineRule="auto"/>
        <w:widowControl w:val="off"/>
        <w:rPr>
          <w:rFonts w:hint="eastAsia" w:ascii="宋体" w:hAnsi="宋体" w:eastAsia="宋体" w:cs="宋体"/>
          <w:color w:val="000000"/>
          <w:sz w:val="32"/>
          <w:szCs w:val="32"/>
        </w:rPr>
        <w:sectPr>
          <w:headerReference w:type="default" r:id="rId10"/>
          <w:footerReference w:type="default" r:id="rId16"/>
          <w:footnotePr/>
          <w:endnotePr/>
          <w:type w:val="nextPage"/>
          <w:pgSz w:w="11905" w:h="16838" w:orient="portrait"/>
          <w:pgMar w:top="1134" w:right="1134" w:bottom="1134" w:left="1134" w:header="0" w:footer="1020" w:gutter="0"/>
          <w:cols w:num="1" w:sep="0" w:space="0" w:equalWidth="1"/>
          <w:docGrid w:linePitch="360"/>
        </w:sectPr>
      </w:pPr>
      <w:r/>
      <w:bookmarkStart w:id="182" w:name="_Toc120614281"/>
      <w:r/>
      <w:bookmarkStart w:id="183" w:name="_Toc49090575"/>
      <w:r/>
      <w:bookmarkStart w:id="184" w:name="_Toc26554093"/>
      <w:r/>
      <w:bookmarkStart w:id="185" w:name="_Toc462564139"/>
      <w:r/>
      <w:bookmarkStart w:id="186" w:name="_Toc479757211"/>
      <w:r/>
      <w:r/>
    </w:p>
    <w:p>
      <w:pPr>
        <w:pStyle w:val="997"/>
        <w:jc w:val="center"/>
        <w:keepLines/>
        <w:keepNext/>
        <w:pageBreakBefore w:val="0"/>
        <w:spacing w:line="240" w:lineRule="auto"/>
        <w:widowControl w:val="off"/>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第三章  合同文本</w:t>
      </w:r>
      <w:r/>
    </w:p>
    <w:p>
      <w:pPr>
        <w:ind w:left="0" w:firstLine="638"/>
        <w:jc w:val="left"/>
        <w:rPr>
          <w:rFonts w:hint="eastAsia" w:ascii="宋体" w:hAnsi="宋体" w:eastAsia="宋体" w:cs="宋体"/>
          <w:sz w:val="28"/>
          <w:szCs w:val="28"/>
        </w:rPr>
      </w:pPr>
      <w:r>
        <w:rPr>
          <w:rFonts w:hint="eastAsia" w:ascii="宋体" w:hAnsi="宋体" w:eastAsia="宋体" w:cs="宋体"/>
          <w:sz w:val="28"/>
          <w:szCs w:val="28"/>
        </w:rPr>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甲方（采购人）：                              </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统一社会信用代码：                           </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                                 </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                                       </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乙方（中标方）：                               </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统一社会信用代码：                            </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                                  </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                                        </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根据《中华人民共和国民法典》等相关法律法规的规定，就</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开展本项目服务事宜，经协商一致，订立本合同。</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第一条 服务项目概况</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 服务区域：。</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1.2 服务内容：详见招标文件，具体包括但不限于：</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集镇规划区范围内西至大运河、东至高铁广场、南至创业路、北至子婴干渠路。</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1.3 服务要求：乙方需按招标文件及投标文件承诺提供合格服务；服务不合格的，甲方有权拒收，乙方应无偿重新提供服务且不得影响甲方正常工作，逾期需承担违约责任，且不免除其本合同项下其他义务。  </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1.4 服务标准：达到国家、行业合格标准及甲方考核合格要求。</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第二条  服务期限</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2.1框架合作期限：自合同签订之日起</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rPr>
        <w:t xml:space="preserve">年。</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第三条  服务费用及支付方式</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3.1年度服务费用：人民币        元（大写：     圆整），包含人工、物料、设备、运输、税费等乙方完成本合同约定服务所需的全部成本及利润；服务期内工作量增减，费用不作调整。</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3.2 支付方式（甲乙双方协商一致后，选择其中一种方式执行）：</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方式一</w:t>
      </w:r>
      <w:r/>
    </w:p>
    <w:p>
      <w:pPr>
        <w:ind w:left="0" w:firstLine="547"/>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合同签订后，</w:t>
      </w:r>
      <w:r>
        <w:rPr>
          <w:rFonts w:hint="eastAsia" w:ascii="宋体" w:hAnsi="宋体" w:eastAsia="宋体" w:cs="宋体"/>
          <w:sz w:val="24"/>
          <w:szCs w:val="24"/>
          <w:lang w:val="en-US" w:eastAsia="zh-CN"/>
        </w:rPr>
        <w:t xml:space="preserve">中标人</w:t>
      </w:r>
      <w:r>
        <w:rPr>
          <w:rFonts w:hint="eastAsia" w:ascii="宋体" w:hAnsi="宋体" w:eastAsia="宋体" w:cs="宋体"/>
          <w:sz w:val="24"/>
          <w:szCs w:val="24"/>
          <w:lang w:eastAsia="zh-CN"/>
        </w:rPr>
        <w:t xml:space="preserve">向</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lang w:eastAsia="zh-CN"/>
        </w:rPr>
        <w:t xml:space="preserve">开具发票，</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lang w:eastAsia="zh-CN"/>
        </w:rPr>
        <w:t xml:space="preserve">自收到发票后的</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lang w:eastAsia="zh-CN"/>
        </w:rPr>
        <w:t xml:space="preserve">日内支付合同总价</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0%的预付款；服务开始后，剩余每年合同总价的</w:t>
      </w: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eastAsia="zh-CN"/>
        </w:rPr>
        <w:t xml:space="preserve">0%，双方按</w:t>
      </w:r>
      <w:r>
        <w:rPr>
          <w:rFonts w:hint="eastAsia" w:ascii="宋体" w:hAnsi="宋体" w:eastAsia="宋体" w:cs="宋体"/>
          <w:sz w:val="24"/>
          <w:szCs w:val="24"/>
          <w:lang w:val="en-US" w:eastAsia="zh-CN"/>
        </w:rPr>
        <w:t xml:space="preserve">每个月平摊</w:t>
      </w:r>
      <w:r>
        <w:rPr>
          <w:rFonts w:hint="eastAsia" w:ascii="宋体" w:hAnsi="宋体" w:eastAsia="宋体" w:cs="宋体"/>
          <w:sz w:val="24"/>
          <w:szCs w:val="24"/>
          <w:lang w:eastAsia="zh-CN"/>
        </w:rPr>
        <w:t xml:space="preserve">服务费用，每</w:t>
      </w:r>
      <w:r>
        <w:rPr>
          <w:rFonts w:hint="eastAsia" w:ascii="宋体" w:hAnsi="宋体" w:eastAsia="宋体" w:cs="宋体"/>
          <w:sz w:val="24"/>
          <w:szCs w:val="24"/>
          <w:lang w:val="en-US" w:eastAsia="zh-CN"/>
        </w:rPr>
        <w:t xml:space="preserve">月</w:t>
      </w:r>
      <w:r>
        <w:rPr>
          <w:rFonts w:hint="eastAsia" w:ascii="宋体" w:hAnsi="宋体" w:eastAsia="宋体" w:cs="宋体"/>
          <w:sz w:val="24"/>
          <w:szCs w:val="24"/>
          <w:lang w:eastAsia="zh-CN"/>
        </w:rPr>
        <w:t xml:space="preserve">考核一次，每</w:t>
      </w:r>
      <w:r>
        <w:rPr>
          <w:rFonts w:hint="eastAsia" w:ascii="宋体" w:hAnsi="宋体" w:eastAsia="宋体" w:cs="宋体"/>
          <w:sz w:val="24"/>
          <w:szCs w:val="24"/>
          <w:lang w:val="en-US" w:eastAsia="zh-CN"/>
        </w:rPr>
        <w:t xml:space="preserve">月度</w:t>
      </w:r>
      <w:r>
        <w:rPr>
          <w:rFonts w:hint="eastAsia" w:ascii="宋体" w:hAnsi="宋体" w:eastAsia="宋体" w:cs="宋体"/>
          <w:sz w:val="24"/>
          <w:szCs w:val="24"/>
          <w:lang w:eastAsia="zh-CN"/>
        </w:rPr>
        <w:t xml:space="preserve">统计考核结果，核准当</w:t>
      </w:r>
      <w:r>
        <w:rPr>
          <w:rFonts w:hint="eastAsia" w:ascii="宋体" w:hAnsi="宋体" w:eastAsia="宋体" w:cs="宋体"/>
          <w:sz w:val="24"/>
          <w:szCs w:val="24"/>
          <w:lang w:val="en-US" w:eastAsia="zh-CN"/>
        </w:rPr>
        <w:t xml:space="preserve">月</w:t>
      </w:r>
      <w:r>
        <w:rPr>
          <w:rFonts w:hint="eastAsia" w:ascii="宋体" w:hAnsi="宋体" w:eastAsia="宋体" w:cs="宋体"/>
          <w:sz w:val="24"/>
          <w:szCs w:val="24"/>
          <w:lang w:eastAsia="zh-CN"/>
        </w:rPr>
        <w:t xml:space="preserve">经费，每</w:t>
      </w:r>
      <w:r>
        <w:rPr>
          <w:rFonts w:hint="eastAsia" w:ascii="宋体" w:hAnsi="宋体" w:eastAsia="宋体" w:cs="宋体"/>
          <w:sz w:val="24"/>
          <w:szCs w:val="24"/>
          <w:lang w:val="en-US" w:eastAsia="zh-CN"/>
        </w:rPr>
        <w:t xml:space="preserve">三个月</w:t>
      </w:r>
      <w:r>
        <w:rPr>
          <w:rFonts w:hint="eastAsia" w:ascii="宋体" w:hAnsi="宋体" w:eastAsia="宋体" w:cs="宋体"/>
          <w:sz w:val="24"/>
          <w:szCs w:val="24"/>
          <w:lang w:eastAsia="zh-CN"/>
        </w:rPr>
        <w:t xml:space="preserve">结束后，双方按考核结果确定实际支付费用，中标人向采购人开具发票，采购人自收到发票之日起15日内支付。</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方式二</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（1）乙方自愿放弃本合同项下的预付款权益，双方无预付相关权利义务。</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（2）具体支付节点及结算公式</w:t>
      </w:r>
      <w:r/>
    </w:p>
    <w:p>
      <w:pPr>
        <w:ind w:left="0" w:firstLine="547"/>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合同生效后，从年度服务期第2个月起，实行次月支付上月款项的结算方式，每月结算公式为：</w:t>
      </w:r>
      <w:r/>
    </w:p>
    <w:p>
      <w:pPr>
        <w:ind w:left="0" w:firstLine="547"/>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当月应付金额 =（年度服务费用÷12）- 当月考核应扣款</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highlight w:val="none"/>
        </w:rPr>
        <w:t xml:space="preserve">3.3 履约保证金：</w:t>
      </w:r>
      <w:r>
        <w:rPr>
          <w:rFonts w:hint="eastAsia" w:ascii="宋体" w:hAnsi="宋体" w:eastAsia="宋体" w:cs="宋体"/>
          <w:sz w:val="24"/>
          <w:szCs w:val="24"/>
        </w:rPr>
        <w:t xml:space="preserve">乙方应在合同签订后7个工作日内，自主选择以支票、汇票、本票或者金融机构、担保机构出具的保函、保险等非现金形式缴纳年服务金额10%的履约保证金（人民币     元，大写：    圆整），保证金不计利息。合同终止后若乙方有意拖延、拒绝履行与本项目有关的涉及人、财、物、事等方面责任与义务或处理不力时,甲方有权直接动用履约保证金,解决前述相关事项问题,乙方无条件支持,不得有异议。若履约保证金不足以解决相关事项问题时,缺额资金仍由乙方负责,相关经济、法律责任由乙方承担。</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合同期满,乙方没有出现任何违约行为且全面完成下列工作并经甲方书面同意后,由甲方出具履约保函解除函。</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①已妥善处理本项目的债权债务(工资、税费、社保及其他欠款);</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②配合做好交接期各项工作。</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合同履行结束后，甲方应及时退还交纳的履约保证金。</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履约保证金退还方式：按照乙方缴纳的方式进行退还。</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履约保证金退还时间：项目期满考核合格后15日内。</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履约保证金退还条件：乙方在履约期间未给甲方造成损失或造成的损失经扣除后存有结余的。</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履约保证金不予退还的情形：乙方不履行合同或履行该合同不符合合同约定不足以弥补乙方违约造成甲方损失的。</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履约保证金逾期退还的违约责任：按中国人民银行同期贷款基准利率上浮20%后的利率支付超期资金占用费，但因乙方自身原因导致无法及时退还的除外。</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4.1 甲方权利与义务</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（1）有权对乙方服务质量、作业流程、人员配备、设备投入等进行日常监督、检查与考核，可联合住建等相关部门开展定期考评，查阅项目相关文件资料、进入作业现场检查（不得干扰乙方正常作业）。</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（2）负责提供服务区域内相关设施基础资料，协助乙方协调与社区、商户及相关行政部门的关系，为乙方作业创造必要条件。</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（3）按合同约定及时足额支付服务费用；若因乙方违约需扣除相关费用，应提前告知乙方扣除依据及金额。</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（4）及时研究并反馈乙方提出的合理化建议，对服务期内出现的重大设施故障、安全隐患或突发事件，积极协调处置。</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（5）有权修订本项目考核评估办法，考核结果直接与服务费用挂钩；乙方服务未达标准的，甲方可另行聘请人员完成必要保洁工作，产生的费用从乙方服务费用中扣减。</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（6）可协同劳动监察部门核查乙方用工情况，督促乙方保障作业人员合法福利待遇，不承担乙方未依法建立劳动关系、未缴纳法定社保等产生的纠纷责任。</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（7）重大活动或突击任务前，提前通知乙方做好保障工作，协助乙方解决服务实施过程中遇到的合理困难。</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（8）若乙方发生重大质量、安全、环保事故或擅自停业、转包分包等影响公共利益的行为，甲方有权要求乙方承担全部责任及经济损失，市政府可决定临时接管服务项目。</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4.2 乙方权利与义务</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（1）严格按照合同约定及国家、省市级相关规范标准提供服务，按投标承诺配备足额管理人员、作业人员及专业设备，作业人员需持证上岗、统一着装，设备需定期维护确保正常运行。</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依法与作业人员建立劳动关系、签订劳动合同，按时足额支付工资（含基础工资、环卫岗位津贴、高温津贴、节假日加班工资等），足额缴纳法定社保、住房公积金，为作业人员购买工伤保险及人身意外伤害险（或雇主责任险），将劳动合同、社保缴纳凭证及保险手续报甲方备案；承担员工事故处理相关费用，保障作业人员合法权益。</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（3）建立日常巡查、台账管理、质量自查等工作制度，定期向甲方通报合同执行情况，主动自查自纠服务问题；重大事项（如安全事故、设施故障、群体事件等）24 小时内上报甲方及相关部门，发生严重质量问题或安全事故的，1 小时内报告并立即采取补救措施。</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建立健全城市管家数字化信息管理系统，按要求接入高邮市城管运管服平台，实现服务数据实时共享；依法向相关行政许可主管部门申请办理有效的城市生活垃圾经营性清扫、收集、运输服务许可证，并将许可证复印件报甲方备案。</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（5）加强作业人员职业道德、安全操作及专业技能培训，作业人员经考核合格后方可上岗，承担因管理疏漏、操作不当等造成的自身或第三人人身伤亡、财产损失责任。</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（6）自觉接受甲方及相关部门的管理、监督和检查，不得阻挠、拒绝检查工作；按时参加甲方及相关部门组织的各类会议，及时通报项目进展情况，根据要求完善服务措施。</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（7）无条件服从甲方安排的突发事件处置、重大活动突击任务及应急作业，确保在规定时间内完成相关工作。</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8）合同期满未完成新一轮发包时，应无条件继续提供道路保洁和垃圾收集等服务，服务费用按本合同标准执行；未能继续中标时，需积极配合下一轮中标方完成设施、台账、作业区域等交接工作，不得阻挠交接或影响项目正常运行，否则甲方产生的应急服务费用从乙方履约保证金中扣减。</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（9）合同期满后，如数归还甲方提供的环卫设施及设备，若出现损坏、遗失或数量不足的，按新购价赔偿；甲方可在履约保证金中扣除相关费用后再行支付剩余款项，由此造成的付款延误由乙方承担。</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（10）承担因自身作业行为、作业材料质量等引起的第三方损害赔偿责任或行政处罚责任；若甲方依法先行垫付相关款项，乙方需在收到甲方通知后30日内足额返还，否则甲方可直接从乙方服务款中扣除。</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9</w:t>
      </w:r>
      <w:r>
        <w:rPr>
          <w:rFonts w:hint="eastAsia" w:ascii="宋体" w:hAnsi="宋体" w:eastAsia="宋体" w:cs="宋体"/>
          <w:sz w:val="24"/>
          <w:szCs w:val="24"/>
        </w:rPr>
        <w:t xml:space="preserve">）未经甲方书面同意，不得擅自转包、违法分包本项目，不得擅自变更作业人员核心配置或降低服务标准。</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第五条  服务质量考核与结果运用</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5.1 甲方牵头每月依据招标文件中考核评估办法对乙方服务质量进行考核。</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5.2 考核结果与服务费用挂钩，按规定核减费用;连续2次或一年内累计3次考核低于75分的，视为考核不合格，甲方有权单方面解除合同。</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第六条  违约责任</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6.1 任何一方无正当理由提前解除合同的，应提前30日书面通知对方，并支付合同总金额10%的违约金（不可抗力或政策调整除外）；若因此给对方造成实际损失的，违约方还应就该损失承担赔偿责任。</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6.2 乙方未达服务标准且未按期整改，甲方有权扣除部分或全部履约保证金，乙方需赔偿甲方损失。</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6.3 乙方隐瞒不报导致重大质量、安全事故的，甲方经行政主管部门同意后，有权临时接管项目、没收履约保证金并终止合同，乙方承担全部损失。</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6.4 乙方擅自转包、肢解分包项目的，甲方有权没收履约保证金、解除合同，乙方赔偿甲方经济损失。</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6.5 乙方不履行合同义务、破产清算或被法院列入失信黑名单等丧失履约能力的，甲方有权单方面解除合同、收回服务权，30日内书面通知对方，合同自通知到达时解除。</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6.6 乙方出现下列情形之一的，合同自动终止，甲方没收履约保证金，乙方赔偿甲方经济损失：</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（1）连续2次或一年内累计3次考核低于75分（不含）；</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（2）不服从甲方交办的创建、重大活动保障等工作任务且被严重扣分的；</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（3）因管理不善引发劳资纠纷、安全事故等造成不良社会影响及严重后果的。</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第七条  不可抗力</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因地震、洪水、台风等不可抗力导致合同无法履行或延迟履行的，遭遇不可抗力一方应在24小时内通知对方，并在7日内提供有效证明文件。双方应根据不可抗力的影响，协商决定部分履行、延期履行或解除合同，互不承担违约责任。</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第八条  争议解决</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本合同履行过程中发生的争议，双方先友好协商解决；协商不成的，任何一方均有权向甲方所在地有管辖权的人民法院提起诉讼。</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第九条   其他条款</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9.1 招标文件（含本项目考核评估办法）、投标文件、中标通知书及乙方投标评标过程中的承诺、声明、书面澄清等，均为合同不可分割部分，与主合同具有同等法律效力。</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9.2 本合同未尽事宜，双方可签订书面补充协议，补充协议与本合同具有同等法律效力。</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9.3 本合同经双方法定代表人或授权代表签字，并加盖单位公章后生效。</w:t>
      </w:r>
      <w:r/>
    </w:p>
    <w:p>
      <w:pPr>
        <w:ind w:left="0" w:firstLine="547"/>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9.4 本合同一式6份，甲乙双方各执3份，具有同等法律效力。</w:t>
      </w:r>
      <w:r/>
    </w:p>
    <w:p>
      <w:pPr>
        <w:ind w:left="0" w:firstLine="638"/>
        <w:jc w:val="left"/>
        <w:rPr>
          <w:rFonts w:hint="eastAsia" w:ascii="宋体" w:hAnsi="宋体" w:eastAsia="宋体" w:cs="宋体"/>
          <w:sz w:val="28"/>
          <w:szCs w:val="28"/>
        </w:rPr>
      </w:pPr>
      <w:r>
        <w:rPr>
          <w:rFonts w:hint="eastAsia" w:ascii="宋体" w:hAnsi="宋体" w:eastAsia="宋体" w:cs="宋体"/>
          <w:sz w:val="28"/>
          <w:szCs w:val="28"/>
        </w:rPr>
      </w:r>
      <w:r/>
    </w:p>
    <w:tbl>
      <w:tblPr>
        <w:tblStyle w:val="819"/>
        <w:tblW w:w="0" w:type="auto"/>
        <w:jc w:val="center"/>
        <w:tblLayout w:type="fixed"/>
        <w:tblCellMar>
          <w:left w:w="108" w:type="dxa"/>
          <w:top w:w="0" w:type="dxa"/>
          <w:right w:w="108" w:type="dxa"/>
          <w:bottom w:w="0" w:type="dxa"/>
        </w:tblCellMar>
        <w:tblLook w:val="04A0" w:firstRow="1" w:lastRow="0" w:firstColumn="1" w:lastColumn="0" w:noHBand="0" w:noVBand="1"/>
      </w:tblPr>
      <w:tblGrid>
        <w:gridCol w:w="4835"/>
        <w:gridCol w:w="4784"/>
      </w:tblGrid>
      <w:tr>
        <w:trPr>
          <w:jc w:val="center"/>
          <w:trHeight w:val="629"/>
        </w:trPr>
        <w:tc>
          <w:tcPr>
            <w:tcBorders>
              <w:top w:val="none" w:color="000000" w:sz="4" w:space="0"/>
              <w:left w:val="none" w:color="000000" w:sz="4" w:space="0"/>
              <w:bottom w:val="none" w:color="000000" w:sz="4" w:space="0"/>
              <w:right w:val="none" w:color="000000" w:sz="4" w:space="0"/>
            </w:tcBorders>
            <w:tcW w:w="4835" w:type="dxa"/>
            <w:vAlign w:val="top"/>
            <w:textDirection w:val="lrTb"/>
            <w:noWrap w:val="false"/>
          </w:tcPr>
          <w:p>
            <w:pPr>
              <w:pStyle w:val="1122"/>
              <w:spacing w:before="120" w:after="120"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甲方</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盖章</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p>
        </w:tc>
        <w:tc>
          <w:tcPr>
            <w:tcBorders>
              <w:top w:val="none" w:color="000000" w:sz="4" w:space="0"/>
              <w:left w:val="none" w:color="000000" w:sz="4" w:space="0"/>
              <w:bottom w:val="none" w:color="000000" w:sz="4" w:space="0"/>
              <w:right w:val="none" w:color="000000" w:sz="4" w:space="0"/>
            </w:tcBorders>
            <w:tcW w:w="4784" w:type="dxa"/>
            <w:vAlign w:val="top"/>
            <w:textDirection w:val="lrTb"/>
            <w:noWrap w:val="false"/>
          </w:tcPr>
          <w:p>
            <w:pPr>
              <w:pStyle w:val="1122"/>
              <w:spacing w:before="120" w:after="120"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乙方</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盖章</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p>
        </w:tc>
      </w:tr>
      <w:tr>
        <w:trPr>
          <w:jc w:val="center"/>
          <w:trHeight w:val="629"/>
        </w:trPr>
        <w:tc>
          <w:tcPr>
            <w:tcBorders>
              <w:top w:val="none" w:color="000000" w:sz="4" w:space="0"/>
              <w:left w:val="none" w:color="000000" w:sz="4" w:space="0"/>
              <w:bottom w:val="none" w:color="000000" w:sz="4" w:space="0"/>
              <w:right w:val="none" w:color="000000" w:sz="4" w:space="0"/>
            </w:tcBorders>
            <w:tcW w:w="4835" w:type="dxa"/>
            <w:vAlign w:val="top"/>
            <w:textDirection w:val="lrTb"/>
            <w:noWrap w:val="false"/>
          </w:tcPr>
          <w:p>
            <w:pPr>
              <w:pStyle w:val="1122"/>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法定代表人或授权代表</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签字或盖章</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p>
        </w:tc>
        <w:tc>
          <w:tcPr>
            <w:tcBorders>
              <w:top w:val="none" w:color="000000" w:sz="4" w:space="0"/>
              <w:left w:val="none" w:color="000000" w:sz="4" w:space="0"/>
              <w:bottom w:val="none" w:color="000000" w:sz="4" w:space="0"/>
              <w:right w:val="none" w:color="000000" w:sz="4" w:space="0"/>
            </w:tcBorders>
            <w:tcW w:w="4784" w:type="dxa"/>
            <w:vAlign w:val="top"/>
            <w:textDirection w:val="lrTb"/>
            <w:noWrap w:val="false"/>
          </w:tcPr>
          <w:p>
            <w:pPr>
              <w:pStyle w:val="1122"/>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法定代表人或授权代表</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签字或盖章</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p>
        </w:tc>
      </w:tr>
    </w:tbl>
    <w:p>
      <w:pPr>
        <w:pStyle w:val="1122"/>
        <w:spacing w:before="120" w:after="12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1122"/>
        <w:spacing w:before="120" w:after="120"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见证方：</w:t>
      </w:r>
      <w:r/>
    </w:p>
    <w:p>
      <w:pPr>
        <w:pStyle w:val="1122"/>
        <w:spacing w:before="120" w:after="120"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项目经办人：</w:t>
      </w:r>
      <w:r/>
    </w:p>
    <w:p>
      <w:pPr>
        <w:jc w:val="left"/>
        <w:spacing w:line="360" w:lineRule="auto"/>
        <w:rPr>
          <w:rFonts w:hint="eastAsia" w:ascii="宋体" w:hAnsi="宋体" w:eastAsia="宋体" w:cs="宋体"/>
          <w:sz w:val="28"/>
          <w:szCs w:val="28"/>
          <w:lang w:val="en-US" w:eastAsia="zh-CN"/>
        </w:rPr>
      </w:pPr>
      <w:r>
        <w:rPr>
          <w:rFonts w:hint="eastAsia" w:ascii="宋体" w:hAnsi="宋体" w:eastAsia="宋体" w:cs="宋体"/>
          <w:sz w:val="24"/>
          <w:szCs w:val="24"/>
        </w:rPr>
        <w:t xml:space="preserve">签订日期：      年    月</w:t>
      </w:r>
      <w:r>
        <w:rPr>
          <w:rFonts w:hint="eastAsia" w:ascii="宋体" w:hAnsi="宋体" w:eastAsia="宋体" w:cs="宋体"/>
          <w:sz w:val="24"/>
          <w:szCs w:val="24"/>
          <w:lang w:val="en-US" w:eastAsia="zh-CN"/>
        </w:rPr>
        <w:t xml:space="preserve">    日</w:t>
      </w:r>
      <w:r/>
    </w:p>
    <w:p>
      <w:pPr>
        <w:pStyle w:val="1037"/>
        <w:jc w:val="center"/>
        <w:spacing w:before="120" w:after="120" w:line="0" w:lineRule="atLeast"/>
        <w:rPr>
          <w:rFonts w:hint="eastAsia" w:ascii="宋体" w:hAnsi="宋体" w:eastAsia="宋体" w:cs="宋体"/>
          <w:bCs/>
          <w:color w:val="000000"/>
          <w:sz w:val="44"/>
        </w:rPr>
        <w:sectPr>
          <w:footnotePr/>
          <w:endnotePr/>
          <w:type w:val="nextPage"/>
          <w:pgSz w:w="11905" w:h="16838" w:orient="portrait"/>
          <w:pgMar w:top="1134" w:right="1134" w:bottom="1134" w:left="1134" w:header="0" w:footer="1020" w:gutter="0"/>
          <w:cols w:num="1" w:sep="0" w:space="0" w:equalWidth="1"/>
          <w:docGrid w:linePitch="360"/>
        </w:sectPr>
      </w:pPr>
      <w:r>
        <w:rPr>
          <w:rFonts w:hint="eastAsia" w:ascii="宋体" w:hAnsi="宋体" w:eastAsia="宋体" w:cs="宋体"/>
          <w:bCs/>
          <w:color w:val="000000"/>
          <w:sz w:val="44"/>
        </w:rPr>
      </w:r>
      <w:r/>
    </w:p>
    <w:p>
      <w:pPr>
        <w:pStyle w:val="1037"/>
        <w:jc w:val="center"/>
        <w:spacing w:before="120" w:after="120" w:line="360" w:lineRule="auto"/>
        <w:rPr>
          <w:rFonts w:hint="eastAsia" w:ascii="宋体" w:hAnsi="宋体" w:eastAsia="宋体" w:cs="宋体"/>
          <w:color w:val="000000"/>
          <w:sz w:val="24"/>
          <w:szCs w:val="24"/>
        </w:rPr>
      </w:pPr>
      <w:r>
        <w:rPr>
          <w:rFonts w:hint="eastAsia" w:ascii="宋体" w:hAnsi="宋体" w:eastAsia="宋体" w:cs="宋体"/>
          <w:bCs/>
          <w:color w:val="000000"/>
          <w:sz w:val="32"/>
          <w:szCs w:val="32"/>
        </w:rPr>
        <w:t xml:space="preserve">第四章 采购需求</w:t>
      </w:r>
      <w:r/>
    </w:p>
    <w:p>
      <w:pPr>
        <w:numPr>
          <w:ilvl w:val="0"/>
          <w:numId w:val="0"/>
        </w:numPr>
        <w:ind w:left="495" w:hanging="495"/>
        <w:jc w:val="both"/>
        <w:spacing w:line="360" w:lineRule="auto"/>
        <w:rPr>
          <w:rFonts w:hint="eastAsia" w:ascii="宋体" w:hAnsi="宋体" w:eastAsia="宋体" w:cs="宋体"/>
          <w:color w:val="000000"/>
          <w:sz w:val="24"/>
          <w:szCs w:val="24"/>
        </w:rPr>
      </w:pPr>
      <w:r>
        <w:rPr>
          <w:rFonts w:hint="eastAsia" w:ascii="宋体" w:hAnsi="宋体" w:eastAsia="宋体" w:cs="宋体"/>
          <w:b/>
          <w:bCs w:val="0"/>
          <w:color w:val="000000"/>
          <w:sz w:val="24"/>
          <w:szCs w:val="24"/>
          <w:lang w:val="en-US" w:eastAsia="zh-CN" w:bidi="ar-SA"/>
        </w:rPr>
        <w:t xml:space="preserve">一、</w:t>
      </w:r>
      <w:r>
        <w:rPr>
          <w:rFonts w:hint="eastAsia" w:ascii="宋体" w:hAnsi="宋体" w:eastAsia="宋体" w:cs="宋体"/>
          <w:b/>
          <w:bCs w:val="0"/>
          <w:color w:val="000000"/>
          <w:sz w:val="24"/>
          <w:szCs w:val="24"/>
        </w:rPr>
        <w:t xml:space="preserve">项目属性:</w:t>
      </w:r>
      <w:r>
        <w:rPr>
          <w:rFonts w:hint="eastAsia" w:ascii="宋体" w:hAnsi="宋体" w:eastAsia="宋体" w:cs="宋体"/>
          <w:b/>
          <w:bCs w:val="0"/>
          <w:color w:val="000000"/>
          <w:sz w:val="24"/>
          <w:szCs w:val="24"/>
          <w:lang w:val="en-US" w:eastAsia="zh-CN"/>
        </w:rPr>
        <w:t xml:space="preserve">服务</w:t>
      </w:r>
      <w:r>
        <w:rPr>
          <w:rFonts w:hint="eastAsia" w:ascii="宋体" w:hAnsi="宋体" w:eastAsia="宋体" w:cs="宋体"/>
          <w:b/>
          <w:bCs w:val="0"/>
          <w:color w:val="000000"/>
          <w:sz w:val="24"/>
          <w:szCs w:val="24"/>
        </w:rPr>
        <w:t xml:space="preserve">类项目</w:t>
      </w:r>
      <w:r/>
    </w:p>
    <w:p>
      <w:pPr>
        <w:ind w:firstLine="480"/>
        <w:spacing w:line="360" w:lineRule="auto"/>
        <w:rPr>
          <w:rFonts w:hint="eastAsia" w:ascii="宋体" w:hAnsi="宋体" w:eastAsia="宋体" w:cs="宋体"/>
          <w:bCs/>
          <w:iCs/>
          <w:color w:val="auto"/>
          <w:sz w:val="24"/>
          <w:szCs w:val="24"/>
          <w:u w:val="single"/>
        </w:rPr>
      </w:pPr>
      <w:r>
        <w:rPr>
          <w:rFonts w:hint="eastAsia" w:ascii="宋体" w:hAnsi="宋体" w:eastAsia="宋体" w:cs="宋体"/>
          <w:bCs/>
          <w:iCs/>
          <w:color w:val="auto"/>
          <w:sz w:val="24"/>
          <w:szCs w:val="24"/>
        </w:rPr>
        <w:t xml:space="preserve">1. 如本项目采购产品被财政部、国家发改委、生态环境部等列入“节能产品</w:t>
      </w:r>
      <w:r>
        <w:rPr>
          <w:rFonts w:hint="eastAsia" w:ascii="宋体" w:hAnsi="宋体" w:eastAsia="宋体" w:cs="宋体"/>
          <w:bCs/>
          <w:iCs/>
          <w:color w:val="auto"/>
          <w:sz w:val="24"/>
          <w:szCs w:val="24"/>
          <w:lang w:val="en-US" w:eastAsia="zh-CN"/>
        </w:rPr>
        <w:t xml:space="preserve">政府采购</w:t>
      </w:r>
      <w:r>
        <w:rPr>
          <w:rFonts w:hint="eastAsia" w:ascii="宋体" w:hAnsi="宋体" w:eastAsia="宋体" w:cs="宋体"/>
          <w:bCs/>
          <w:iCs/>
          <w:color w:val="auto"/>
          <w:sz w:val="24"/>
          <w:szCs w:val="24"/>
        </w:rPr>
        <w:t xml:space="preserve">品目清单”强制采购范围，投标文件中必须提供国家确定的认证机构出具的、处于有效期之内的该节能产品认证证书。本项目强制节能产品有：</w:t>
      </w:r>
      <w:r>
        <w:rPr>
          <w:rFonts w:hint="eastAsia" w:ascii="宋体" w:hAnsi="宋体" w:eastAsia="宋体" w:cs="宋体"/>
          <w:bCs/>
          <w:iCs/>
          <w:color w:val="auto"/>
          <w:sz w:val="24"/>
          <w:szCs w:val="24"/>
          <w:u w:val="single"/>
        </w:rPr>
        <w:t xml:space="preserve">   </w:t>
      </w:r>
      <w:r>
        <w:rPr>
          <w:rFonts w:hint="eastAsia" w:ascii="宋体" w:hAnsi="宋体" w:eastAsia="宋体" w:cs="宋体"/>
          <w:bCs/>
          <w:iCs/>
          <w:color w:val="auto"/>
          <w:sz w:val="24"/>
          <w:szCs w:val="24"/>
          <w:u w:val="single"/>
          <w:lang w:val="en-US" w:eastAsia="zh-CN"/>
        </w:rPr>
        <w:t xml:space="preserve">无 </w:t>
      </w:r>
      <w:r>
        <w:rPr>
          <w:rFonts w:hint="eastAsia" w:ascii="宋体" w:hAnsi="宋体" w:eastAsia="宋体" w:cs="宋体"/>
          <w:bCs/>
          <w:iCs/>
          <w:color w:val="auto"/>
          <w:sz w:val="24"/>
          <w:szCs w:val="24"/>
          <w:u w:val="single"/>
        </w:rPr>
        <w:t xml:space="preserve">  </w:t>
      </w:r>
      <w:r>
        <w:rPr>
          <w:rFonts w:hint="eastAsia" w:ascii="宋体" w:hAnsi="宋体" w:eastAsia="宋体" w:cs="宋体"/>
          <w:bCs/>
          <w:iCs/>
          <w:color w:val="auto"/>
          <w:sz w:val="24"/>
          <w:szCs w:val="24"/>
          <w:u w:val="none"/>
          <w:lang w:eastAsia="zh-CN"/>
        </w:rPr>
        <w:t xml:space="preserve">。</w:t>
      </w:r>
      <w:r/>
    </w:p>
    <w:p>
      <w:pPr>
        <w:ind w:firstLine="480"/>
        <w:spacing w:line="360" w:lineRule="auto"/>
        <w:rPr>
          <w:rFonts w:hint="eastAsia" w:ascii="宋体" w:hAnsi="宋体" w:eastAsia="宋体" w:cs="宋体"/>
          <w:bCs/>
          <w:iCs/>
          <w:color w:val="auto"/>
          <w:sz w:val="24"/>
          <w:szCs w:val="24"/>
        </w:rPr>
      </w:pPr>
      <w:r>
        <w:rPr>
          <w:rFonts w:hint="eastAsia" w:ascii="宋体" w:hAnsi="宋体" w:eastAsia="宋体" w:cs="宋体"/>
          <w:bCs/>
          <w:iCs/>
          <w:color w:val="auto"/>
          <w:sz w:val="24"/>
          <w:szCs w:val="24"/>
        </w:rPr>
        <w:t xml:space="preserve">2. 供应商对于投标产品的包装应按照“财办库〔2020〕123号《关于印发《商品包装政府采购需求标准（试行）》、《快递包装政府采购需求标准（试行）》的通知》”执行。</w:t>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3.合同履行期限：合同履约期三年，合同一年一签。本项目合同首签1年，考核合格的情况下，采购人与中标人可签订下一年合同。</w:t>
      </w:r>
      <w:r/>
    </w:p>
    <w:p>
      <w:pPr>
        <w:ind w:firstLine="480"/>
        <w:spacing w:line="0" w:lineRule="atLeas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3. 采购标的</w:t>
      </w:r>
      <w:r>
        <w:rPr>
          <w:rFonts w:hint="eastAsia" w:ascii="宋体" w:hAnsi="宋体" w:eastAsia="宋体" w:cs="宋体"/>
          <w:color w:val="000000"/>
          <w:sz w:val="24"/>
          <w:szCs w:val="24"/>
          <w:lang w:eastAsia="zh-CN"/>
        </w:rPr>
        <w:t xml:space="preserve">：高邮市界首镇集镇环境服务社会化管理服务项目；</w:t>
      </w:r>
      <w:r>
        <w:rPr>
          <w:rFonts w:hint="eastAsia" w:ascii="宋体" w:hAnsi="宋体" w:eastAsia="宋体" w:cs="宋体"/>
          <w:sz w:val="24"/>
          <w:szCs w:val="24"/>
        </w:rPr>
        <w:t xml:space="preserve">对应中小企业划分标准所属行业</w:t>
      </w:r>
      <w:r>
        <w:rPr>
          <w:rFonts w:hint="eastAsia" w:ascii="宋体" w:hAnsi="宋体" w:eastAsia="宋体" w:cs="宋体"/>
          <w:sz w:val="24"/>
          <w:szCs w:val="24"/>
          <w:lang w:eastAsia="zh-CN"/>
        </w:rPr>
        <w:t xml:space="preserve">：</w:t>
      </w:r>
      <w:r>
        <w:rPr>
          <w:rFonts w:hint="eastAsia" w:ascii="宋体" w:hAnsi="宋体" w:eastAsia="宋体" w:cs="宋体"/>
          <w:color w:val="auto"/>
          <w:sz w:val="24"/>
          <w:szCs w:val="24"/>
          <w:highlight w:val="none"/>
          <w:lang w:val="en-US" w:eastAsia="zh-CN"/>
        </w:rPr>
        <w:t xml:space="preserve">其他未列明行业。</w:t>
      </w:r>
      <w:r/>
    </w:p>
    <w:p>
      <w:pPr>
        <w:spacing w:line="0" w:lineRule="atLeast"/>
        <w:rPr>
          <w:rFonts w:hint="eastAsia" w:ascii="宋体" w:hAnsi="宋体" w:eastAsia="宋体" w:cs="宋体"/>
          <w:sz w:val="24"/>
          <w:szCs w:val="24"/>
          <w:highlight w:val="yellow"/>
        </w:rPr>
      </w:pPr>
      <w:r>
        <w:rPr>
          <w:rFonts w:hint="eastAsia" w:ascii="宋体" w:hAnsi="宋体" w:eastAsia="宋体" w:cs="宋体"/>
          <w:sz w:val="24"/>
          <w:szCs w:val="24"/>
          <w:highlight w:val="yellow"/>
        </w:rPr>
      </w:r>
      <w:r/>
    </w:p>
    <w:p>
      <w:pPr>
        <w:pStyle w:val="840"/>
        <w:ind w:left="0" w:right="0"/>
        <w:jc w:val="both"/>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二、技术要求</w:t>
      </w:r>
      <w:r/>
    </w:p>
    <w:p>
      <w:pPr>
        <w:ind w:left="0" w:firstLine="0"/>
        <w:jc w:val="center"/>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第一节  项目概况</w:t>
      </w:r>
      <w:r/>
    </w:p>
    <w:p>
      <w:pPr>
        <w:ind w:firstLine="420"/>
        <w:keepLines w:val="0"/>
        <w:keepNext w:val="0"/>
        <w:pageBreakBefore w:val="0"/>
        <w:spacing w:line="360" w:lineRule="auto"/>
        <w:widowControl w:val="off"/>
        <w:tabs>
          <w:tab w:val="left" w:pos="777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一、项目概况</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高邮市，江苏省辖县级市。高邮是世界遗产城市、国家历史文化名城 、国家全域旅游示范区。地处长江三角洲，位于上海经济圈和南京都市圈双重辐射区，是苏中、苏北重要门户。是中国民歌之乡、中华诗词之乡、全国集邮之乡、中国建筑之乡。下辖13个乡镇街道和3个区，面积1963平方千米，人口83万人。</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高邮属亚热带温润气候区，常年主导风向为东南风，平均风速3.6米/秒；年平均气温15℃；年平均降雨1030毫米，年平均气压1016毫巴，年平均相对湿度67%，无霜期为217天。具有气候温和、雨量充沛、四季分明、日光充足、无霜期长特点。</w:t>
      </w:r>
      <w:r/>
    </w:p>
    <w:p>
      <w:pPr>
        <w:ind w:firstLine="420"/>
        <w:spacing w:line="360" w:lineRule="auto"/>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界首镇隶属于江苏省扬州市高邮市，地处高邮北端，因位于高邮、宝应、金湖三县市交界之首而得名，是中国历史文化名镇、运河古镇。</w:t>
      </w:r>
      <w:r>
        <w:rPr>
          <w:rFonts w:hint="eastAsia" w:ascii="宋体" w:hAnsi="宋体" w:eastAsia="宋体" w:cs="宋体"/>
          <w:sz w:val="24"/>
          <w:szCs w:val="24"/>
        </w:rPr>
        <w:t xml:space="preserve">面积：</w:t>
      </w:r>
      <w:r>
        <w:rPr>
          <w:rStyle w:val="844"/>
          <w:rFonts w:hint="eastAsia" w:ascii="宋体" w:hAnsi="宋体" w:eastAsia="宋体" w:cs="宋体"/>
          <w:sz w:val="24"/>
          <w:szCs w:val="24"/>
        </w:rPr>
        <w:t xml:space="preserve">85.8 平方公里</w:t>
      </w:r>
      <w:r>
        <w:rPr>
          <w:rFonts w:hint="eastAsia" w:ascii="宋体" w:hAnsi="宋体" w:eastAsia="宋体" w:cs="宋体"/>
          <w:sz w:val="24"/>
          <w:szCs w:val="24"/>
        </w:rPr>
        <w:t xml:space="preserve">；辖8个行政村、1个甓湖社区；户籍人口约3.08万</w:t>
      </w:r>
      <w:r>
        <w:rPr>
          <w:rFonts w:hint="eastAsia" w:ascii="宋体" w:hAnsi="宋体" w:eastAsia="宋体" w:cs="宋体"/>
          <w:sz w:val="24"/>
          <w:szCs w:val="24"/>
          <w:lang w:eastAsia="zh-CN"/>
        </w:rPr>
        <w:t xml:space="preserve">。</w:t>
      </w:r>
      <w:r/>
    </w:p>
    <w:p>
      <w:pPr>
        <w:ind w:firstLine="420"/>
        <w:keepLines w:val="0"/>
        <w:keepNext w:val="0"/>
        <w:pageBreakBefore w:val="0"/>
        <w:spacing w:line="360" w:lineRule="auto"/>
        <w:widowControl w:val="off"/>
        <w:tabs>
          <w:tab w:val="left" w:pos="7770" w:leader="none"/>
        </w:tabs>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t xml:space="preserve">二、作业区域</w:t>
      </w:r>
      <w:r/>
    </w:p>
    <w:p>
      <w:pPr>
        <w:ind w:firstLine="420"/>
        <w:spacing w:line="360" w:lineRule="auto"/>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是针对集镇规划区范围内西至大运河、东至高铁广场、南至创业路、北至子婴干渠路的道路及绿化广场、绿化带和公园的保洁、部分河道和人工湖的保洁、以及路边、垃圾收集亭周边零星建筑垃圾收集转运（建筑垃圾转须运至永安村东侧建筑垃圾临时收集点，生活垃圾转须运至界首镇垃圾中转站）、公厕保洁等城市环境综合作业服务内容。</w:t>
      </w:r>
      <w:r/>
    </w:p>
    <w:p>
      <w:pPr>
        <w:ind w:firstLine="420"/>
        <w:spacing w:line="360" w:lineRule="auto"/>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szCs w:val="21"/>
        </w:rPr>
        <mc:AlternateContent>
          <mc:Choice Requires="wpg">
            <w:drawing>
              <wp:inline xmlns:wp="http://schemas.openxmlformats.org/drawingml/2006/wordprocessingDrawing" distT="0" distB="0" distL="0" distR="0">
                <wp:extent cx="5219700" cy="3690620"/>
                <wp:effectExtent l="0" t="0" r="0" b="5080"/>
                <wp:docPr id="3" name="图片 1" descr="30远景建设规划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30远景建设规划图"/>
                        <pic:cNvPicPr>
                          <a:picLocks noChangeAspect="1"/>
                        </pic:cNvPicPr>
                        <pic:nvPr/>
                      </pic:nvPicPr>
                      <pic:blipFill>
                        <a:blip r:embed="rId20"/>
                        <a:stretch/>
                      </pic:blipFill>
                      <pic:spPr bwMode="auto">
                        <a:xfrm>
                          <a:off x="0" y="0"/>
                          <a:ext cx="5219700" cy="3690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1.0pt;height:290.6pt;mso-wrap-distance-left:0.0pt;mso-wrap-distance-top:0.0pt;mso-wrap-distance-right:0.0pt;mso-wrap-distance-bottom:0.0pt;" stroked="f">
                <v:path textboxrect="0,0,0,0"/>
                <v:imagedata r:id="rId20" o:title=""/>
              </v:shape>
            </w:pict>
          </mc:Fallback>
        </mc:AlternateConten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三、服务总体要求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1.投标人应当根据服务要求内容编制针对本项目的服务方案，服务方案至少包括</w:t>
      </w:r>
      <w:r>
        <w:rPr>
          <w:rFonts w:hint="eastAsia" w:ascii="宋体" w:hAnsi="宋体" w:eastAsia="宋体" w:cs="宋体"/>
          <w:color w:val="auto"/>
          <w:sz w:val="24"/>
          <w:szCs w:val="24"/>
          <w:highlight w:val="none"/>
          <w:lang w:val="zh-CN" w:eastAsia="zh-CN"/>
        </w:rPr>
        <w:t xml:space="preserve">对项目的理解及运营分析；项目分析、管理服务目标；</w:t>
      </w:r>
      <w:r>
        <w:rPr>
          <w:rFonts w:hint="eastAsia" w:ascii="宋体" w:hAnsi="宋体" w:eastAsia="宋体" w:cs="宋体"/>
          <w:color w:val="auto"/>
          <w:sz w:val="24"/>
          <w:szCs w:val="24"/>
          <w:highlight w:val="none"/>
          <w:lang w:val="en-US" w:eastAsia="zh-CN"/>
        </w:rPr>
        <w:t xml:space="preserve">人员配备、培训方案；机械化设备配置及作业方案；大气防控作业方案；节假日、迎接重大活动和检查评比的保障措施；垃圾收集清运服务重点难点问题处置需求方案；落叶季、防汛防涝、冬季扫雪除冰及恶劣天气应急预案作业方案；公园、广场清扫保洁服务重点难点问题处置需求方案；河道管护服务重点难点问题处置需求方案；小型智能洗扫车作业方案；安全作业文明作业方案等。</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所涉及区域相关业务现状、重难点分析：涵盖本项目所涉及的道路清扫保洁服务、秩序管理服务、小广告清理服务、绿化带保洁服务等相关业务现状分析，且基于现状总结归纳各项业务运营重难点并进行分析，提出工作保障方案及公司管理制度等。</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人员配备、培训方案：按本项目的要求合理配备各工种工作人员，包括人员数量等符合项目要求，简述人员年龄层次及工作素质、管理规范、内部考核要求等；在项目服务期内对各工种的人员进行各类专业的培训及管理，制定全面、科学合理、高效的方案。</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机械化设备配置及作业方案：针对项目实际情况，提供车辆设施设备配置及作业方案，包括车辆设施设备的配备、车辆设施设备的管理制度、设立设施设备运行、维修管护措施等内容，车辆行驶、容貌、调度、作业时间等要求符合项目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（4）节假日、迎接重大活动和检查评比的保障措施：根据全年的节假日、重大活动制定保障措施。</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垃圾收集清运服务重点难点问题处置需求方案：针对本项目垃圾收集（各点位、小区垃圾房到中转站）的实际情况和特点制定作业方案。包括但不限于：工作时间、车辆人员配置、运送过程中的环保措施、运送过程中的安全保障、台账制度等。</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（6）落叶季、防汛防涝、冬季扫雪除冰及恶劣天气应急预案作业方案：制定针对落叶季节、防汛防涝、冬季扫雪除冰、突发恶劣天气的应急保障作业预案，建立常态化应急队伍，保证应急设备和车辆的投入。</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公园、广场清扫保洁服务重点难点问题处置需求方案：分析公园、广场清扫保洁服务中的重点、难点（包含不限于工作时间、人员管理制度、机械人工配合作业、卫生死角的处置等），并制定处置需求方案。</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河道管护服务重点难点问题处置需求方案：针对本项目河道管护服务的重点难点，制定合理可行的处置方案，包括但不限于：工作时间、人员管理制度、机械联合作业、机械人工配合作业、卫生死角的处置等内容。</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（9）小型智能洗扫车作业方案：根据项目实际情况，有针对性地投放智能洗扫车，方案应包含：车辆配置、安全保障、工作时间、应急处置方案，要具有一定的创新性和可推广性。</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bookmarkStart w:id="187" w:name="_Hlk177032536"/>
      <w:r>
        <w:rPr>
          <w:rFonts w:hint="eastAsia" w:ascii="宋体" w:hAnsi="宋体" w:eastAsia="宋体" w:cs="宋体"/>
          <w:color w:val="auto"/>
          <w:sz w:val="24"/>
          <w:szCs w:val="24"/>
          <w:highlight w:val="none"/>
          <w:lang w:val="en-US" w:eastAsia="zh-CN"/>
        </w:rPr>
        <w:t xml:space="preserve">安全文明作业方案</w:t>
      </w:r>
      <w:bookmarkEnd w:id="187"/>
      <w:r>
        <w:rPr>
          <w:rFonts w:hint="eastAsia" w:ascii="宋体" w:hAnsi="宋体" w:eastAsia="宋体" w:cs="宋体"/>
          <w:color w:val="auto"/>
          <w:sz w:val="24"/>
          <w:szCs w:val="24"/>
          <w:highlight w:val="none"/>
          <w:lang w:val="en-US" w:eastAsia="zh-CN"/>
        </w:rPr>
        <w:t xml:space="preserve">：投标人提供的措施涵盖详细的安全管理制度及日常措施，对项目人员进行完整详实的岗前培训、安全教育，有定期开展安全检查和不定期的抽查等计划。其内容应包含但不限于：安全制度、安全责任划分、人员的职责分工和安全器材操作规范、应急处置方案等。投标人提供的措施涵盖详细的文明作业管理制度，对项目人员进行完整详实的文明宣传、引导。其内容应包含但不限于：文明作业保障措施、文明作业管理制度、内部考核要求等。</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2.服务方案需符合项目实际，能够全面保证服务内容和要求的贯彻落实。</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3.服务方案需体现招标人要求的全部职责和义务，并严格按照服务方案履职尽责。</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4.服务方案需保证达到招标人的服务质量要求和采购目的。</w:t>
      </w:r>
      <w:r/>
    </w:p>
    <w:p>
      <w:pPr>
        <w:ind w:firstLine="420"/>
        <w:keepLines w:val="0"/>
        <w:keepNext w:val="0"/>
        <w:pageBreakBefore w:val="0"/>
        <w:spacing w:line="360" w:lineRule="auto"/>
        <w:widowControl w:val="off"/>
        <w:tabs>
          <w:tab w:val="left" w:pos="777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本项目进退场交接过渡需遵循合规透明、无缝服务原则，严格按政府采购相关法规及合同约定执行。中标人需配合移交方完整移交项目资料、设施设备、财务台账及物资，接收方需保障过渡期核心服务不中断，采购人全程监督。</w:t>
      </w:r>
      <w:r/>
    </w:p>
    <w:p>
      <w:pPr>
        <w:ind w:firstLine="420"/>
        <w:jc w:val="center"/>
        <w:keepLines w:val="0"/>
        <w:keepNext w:val="0"/>
        <w:pageBreakBefore w:val="0"/>
        <w:spacing w:line="360" w:lineRule="auto"/>
        <w:widowControl w:val="off"/>
        <w:tabs>
          <w:tab w:val="left" w:pos="777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20"/>
        <w:jc w:val="center"/>
        <w:keepLines w:val="0"/>
        <w:keepNext w:val="0"/>
        <w:pageBreakBefore w:val="0"/>
        <w:spacing w:line="360" w:lineRule="auto"/>
        <w:widowControl w:val="off"/>
        <w:tabs>
          <w:tab w:val="left" w:pos="777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第二节   道路保洁</w:t>
      </w:r>
      <w:r/>
    </w:p>
    <w:p>
      <w:pPr>
        <w:ind w:firstLine="420"/>
        <w:keepLines w:val="0"/>
        <w:keepNext w:val="0"/>
        <w:pageBreakBefore w:val="0"/>
        <w:spacing w:line="360" w:lineRule="auto"/>
        <w:widowControl w:val="off"/>
        <w:tabs>
          <w:tab w:val="left" w:pos="777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一、项目作业要求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1、道路作业要求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全面负责集镇规划区内所有大街小巷及公园广场（含镇区内凤凰河）、景点设施以及房屋的保洁，包括清理所有桥面、路面、河道、招标范围绿化带的保洁、招标范围道路隔离栏的定期清洗、“牛皮癣”的清理、集镇规划区范围内装修建筑垃圾的清理、集镇绿化带范围内杂物的清理、绿化修剪后遗落在路面上的树叶、杂枝、集镇农贸市场的内部清扫。</w:t>
      </w:r>
      <w:r/>
    </w:p>
    <w:p>
      <w:pPr>
        <w:ind w:firstLine="420"/>
        <w:spacing w:line="360" w:lineRule="auto"/>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道路</w:t>
      </w:r>
      <w:r>
        <w:rPr>
          <w:rFonts w:hint="eastAsia" w:ascii="宋体" w:hAnsi="宋体" w:eastAsia="宋体" w:cs="宋体"/>
          <w:color w:val="auto"/>
          <w:sz w:val="24"/>
          <w:szCs w:val="24"/>
          <w:highlight w:val="none"/>
        </w:rPr>
        <w:t xml:space="preserve">清扫保洁</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做到“</w:t>
      </w:r>
      <w:r>
        <w:rPr>
          <w:rFonts w:hint="eastAsia" w:ascii="宋体" w:hAnsi="宋体" w:eastAsia="宋体" w:cs="宋体"/>
          <w:color w:val="auto"/>
          <w:sz w:val="24"/>
          <w:szCs w:val="24"/>
          <w:highlight w:val="none"/>
          <w:lang w:val="en-US" w:eastAsia="zh-CN"/>
        </w:rPr>
        <w:t xml:space="preserve">十无</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lang w:val="en-US" w:eastAsia="zh-CN"/>
        </w:rPr>
        <w:t xml:space="preserve">无果皮纸屑、无粪便、无积尘、无积水、无烟头、无遗撒物体、</w:t>
      </w:r>
      <w:r>
        <w:rPr>
          <w:rFonts w:hint="eastAsia" w:ascii="宋体" w:hAnsi="宋体" w:eastAsia="宋体" w:cs="宋体"/>
          <w:color w:val="auto"/>
          <w:sz w:val="24"/>
          <w:szCs w:val="24"/>
          <w:highlight w:val="none"/>
        </w:rPr>
        <w:t xml:space="preserve">无油渍痰迹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无裸露垃圾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无小广告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无漏扫漏保</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lang w:val="en-US" w:eastAsia="zh-CN"/>
        </w:rPr>
        <w:t xml:space="preserve">路面净、人行道净、道沿净、树坑净、污水口净）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路面见本色。</w:t>
      </w:r>
      <w:r/>
    </w:p>
    <w:p>
      <w:pPr>
        <w:ind w:firstLine="420"/>
        <w:spacing w:line="360" w:lineRule="auto"/>
        <w:tabs>
          <w:tab w:val="left" w:pos="777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）作业</w:t>
      </w:r>
      <w:r>
        <w:rPr>
          <w:rFonts w:hint="eastAsia" w:ascii="宋体" w:hAnsi="宋体" w:eastAsia="宋体" w:cs="宋体"/>
          <w:color w:val="auto"/>
          <w:sz w:val="24"/>
          <w:szCs w:val="24"/>
          <w:highlight w:val="none"/>
          <w:lang w:val="en-US" w:eastAsia="zh-CN"/>
        </w:rPr>
        <w:t xml:space="preserve">时</w:t>
      </w:r>
      <w:r>
        <w:rPr>
          <w:rFonts w:hint="eastAsia" w:ascii="宋体" w:hAnsi="宋体" w:eastAsia="宋体" w:cs="宋体"/>
          <w:color w:val="auto"/>
          <w:sz w:val="24"/>
          <w:szCs w:val="24"/>
          <w:highlight w:val="none"/>
        </w:rPr>
        <w:t xml:space="preserve">不扬尘、不漏</w:t>
      </w:r>
      <w:r>
        <w:rPr>
          <w:rFonts w:hint="eastAsia" w:ascii="宋体" w:hAnsi="宋体" w:eastAsia="宋体" w:cs="宋体"/>
          <w:color w:val="auto"/>
          <w:sz w:val="24"/>
          <w:szCs w:val="24"/>
          <w:highlight w:val="none"/>
          <w:lang w:val="en-US" w:eastAsia="zh-CN"/>
        </w:rPr>
        <w:t xml:space="preserve">扫</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rPr>
        <w:t xml:space="preserve">妨碍行人</w:t>
      </w:r>
      <w:r>
        <w:rPr>
          <w:rFonts w:hint="eastAsia" w:ascii="宋体" w:hAnsi="宋体" w:eastAsia="宋体" w:cs="宋体"/>
          <w:color w:val="auto"/>
          <w:sz w:val="24"/>
          <w:szCs w:val="24"/>
          <w:highlight w:val="none"/>
          <w:lang w:eastAsia="zh-CN"/>
        </w:rPr>
        <w:t xml:space="preserve">。</w:t>
      </w:r>
      <w:r/>
    </w:p>
    <w:p>
      <w:pPr>
        <w:ind w:firstLine="420"/>
        <w:spacing w:line="360" w:lineRule="auto"/>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bidi="ar-SA"/>
        </w:rPr>
        <w:t xml:space="preserve">机动车道、非机动车道、人行道、公园、广场、桥梁、城市出入口等，“横向到边，纵向到底”清扫保洁。</w:t>
      </w:r>
      <w:r/>
    </w:p>
    <w:tbl>
      <w:tblPr>
        <w:tblStyle w:val="8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36"/>
        <w:gridCol w:w="1211"/>
        <w:gridCol w:w="3901"/>
        <w:gridCol w:w="2029"/>
      </w:tblGrid>
      <w:tr>
        <w:trPr>
          <w:jc w:val="center"/>
          <w:trHeight w:val="567"/>
        </w:trPr>
        <w:tc>
          <w:tcPr>
            <w:tcBorders>
              <w:top w:val="single" w:color="auto" w:sz="4" w:space="0"/>
              <w:left w:val="single" w:color="auto" w:sz="4" w:space="0"/>
              <w:bottom w:val="single" w:color="auto" w:sz="4" w:space="0"/>
              <w:right w:val="single" w:color="auto" w:sz="4" w:space="0"/>
            </w:tcBorders>
            <w:tcW w:w="2536" w:type="dxa"/>
            <w:vAlign w:val="center"/>
            <w:textDirection w:val="lrTb"/>
            <w:noWrap w:val="false"/>
          </w:tcPr>
          <w:p>
            <w:pPr>
              <w:jc w:val="center"/>
              <w:spacing w:line="240" w:lineRule="auto"/>
              <w:tabs>
                <w:tab w:val="left" w:pos="777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类型</w:t>
            </w:r>
            <w:r/>
          </w:p>
        </w:tc>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jc w:val="center"/>
              <w:spacing w:line="240" w:lineRule="auto"/>
              <w:tabs>
                <w:tab w:val="left" w:pos="777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保洁时间</w:t>
            </w:r>
            <w:r/>
          </w:p>
        </w:tc>
        <w:tc>
          <w:tcPr>
            <w:tcBorders>
              <w:top w:val="single" w:color="auto" w:sz="4" w:space="0"/>
              <w:left w:val="single" w:color="auto" w:sz="4" w:space="0"/>
              <w:bottom w:val="single" w:color="auto" w:sz="4" w:space="0"/>
              <w:right w:val="single" w:color="auto" w:sz="4" w:space="0"/>
            </w:tcBorders>
            <w:tcW w:w="3901" w:type="dxa"/>
            <w:vAlign w:val="center"/>
            <w:textDirection w:val="lrTb"/>
            <w:noWrap w:val="false"/>
          </w:tcPr>
          <w:p>
            <w:pPr>
              <w:jc w:val="center"/>
              <w:spacing w:line="240" w:lineRule="auto"/>
              <w:tabs>
                <w:tab w:val="left" w:pos="777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具体作业时间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具体作业时间可根据实际情况进行调整，如商业大街、繁华地段）</w:t>
            </w:r>
            <w:r/>
          </w:p>
        </w:tc>
        <w:tc>
          <w:tcPr>
            <w:tcBorders>
              <w:top w:val="single" w:color="auto" w:sz="4" w:space="0"/>
              <w:left w:val="single" w:color="auto" w:sz="4" w:space="0"/>
              <w:bottom w:val="single" w:color="auto" w:sz="4" w:space="0"/>
              <w:right w:val="single" w:color="auto" w:sz="4" w:space="0"/>
            </w:tcBorders>
            <w:tcW w:w="2029" w:type="dxa"/>
            <w:vAlign w:val="center"/>
            <w:textDirection w:val="lrTb"/>
            <w:noWrap w:val="false"/>
          </w:tcPr>
          <w:p>
            <w:pPr>
              <w:jc w:val="center"/>
              <w:spacing w:line="240" w:lineRule="auto"/>
              <w:tabs>
                <w:tab w:val="left" w:pos="777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作业方式</w:t>
            </w:r>
            <w:r/>
          </w:p>
        </w:tc>
      </w:tr>
      <w:tr>
        <w:trPr>
          <w:cantSplit/>
          <w:jc w:val="center"/>
          <w:trHeight w:val="567"/>
        </w:trPr>
        <w:tc>
          <w:tcPr>
            <w:tcBorders>
              <w:top w:val="single" w:color="auto" w:sz="4" w:space="0"/>
              <w:left w:val="single" w:color="auto" w:sz="4" w:space="0"/>
              <w:right w:val="single" w:color="auto" w:sz="4" w:space="0"/>
            </w:tcBorders>
            <w:tcW w:w="2536" w:type="dxa"/>
            <w:vAlign w:val="center"/>
            <w:vMerge w:val="restart"/>
            <w:textDirection w:val="lrTb"/>
            <w:noWrap w:val="false"/>
          </w:tcPr>
          <w:p>
            <w:pPr>
              <w:jc w:val="center"/>
              <w:spacing w:line="24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集镇</w:t>
            </w:r>
            <w:r>
              <w:rPr>
                <w:rFonts w:hint="eastAsia" w:ascii="宋体" w:hAnsi="宋体" w:eastAsia="宋体" w:cs="宋体"/>
                <w:bCs/>
                <w:color w:val="auto"/>
                <w:sz w:val="24"/>
                <w:szCs w:val="24"/>
                <w:highlight w:val="none"/>
              </w:rPr>
              <w:t xml:space="preserve">道路</w:t>
            </w:r>
            <w:r/>
          </w:p>
        </w:tc>
        <w:tc>
          <w:tcPr>
            <w:tcBorders>
              <w:top w:val="single" w:color="auto" w:sz="4" w:space="0"/>
              <w:left w:val="single" w:color="auto" w:sz="4" w:space="0"/>
              <w:right w:val="single" w:color="auto" w:sz="4" w:space="0"/>
            </w:tcBorders>
            <w:tcW w:w="1211" w:type="dxa"/>
            <w:vAlign w:val="center"/>
            <w:vMerge w:val="restart"/>
            <w:textDirection w:val="lrTb"/>
            <w:noWrap w:val="false"/>
          </w:tcPr>
          <w:p>
            <w:pPr>
              <w:jc w:val="center"/>
              <w:spacing w:line="24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不低于12小时</w:t>
            </w:r>
            <w:r/>
          </w:p>
        </w:tc>
        <w:tc>
          <w:tcPr>
            <w:tcBorders>
              <w:top w:val="single" w:color="auto" w:sz="4" w:space="0"/>
              <w:left w:val="single" w:color="auto" w:sz="4" w:space="0"/>
              <w:bottom w:val="single" w:color="auto" w:sz="4" w:space="0"/>
              <w:right w:val="single" w:color="auto" w:sz="4" w:space="0"/>
            </w:tcBorders>
            <w:tcW w:w="3901" w:type="dxa"/>
            <w:vAlign w:val="center"/>
            <w:textDirection w:val="lrTb"/>
            <w:noWrap w:val="false"/>
          </w:tcPr>
          <w:p>
            <w:pPr>
              <w:jc w:val="center"/>
              <w:spacing w:line="24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第一次普扫时间在8:00前完成</w:t>
            </w:r>
            <w:r/>
          </w:p>
        </w:tc>
        <w:tc>
          <w:tcPr>
            <w:tcBorders>
              <w:top w:val="single" w:color="auto" w:sz="4" w:space="0"/>
              <w:left w:val="single" w:color="auto" w:sz="4" w:space="0"/>
              <w:bottom w:val="single" w:color="auto" w:sz="4" w:space="0"/>
              <w:right w:val="single" w:color="auto" w:sz="4" w:space="0"/>
            </w:tcBorders>
            <w:tcW w:w="2029" w:type="dxa"/>
            <w:vAlign w:val="center"/>
            <w:textDirection w:val="lrTb"/>
            <w:noWrap w:val="false"/>
          </w:tcPr>
          <w:p>
            <w:pPr>
              <w:jc w:val="center"/>
              <w:spacing w:line="24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全面普扫</w:t>
            </w:r>
            <w:r/>
          </w:p>
        </w:tc>
      </w:tr>
      <w:tr>
        <w:trPr>
          <w:cantSplit/>
          <w:jc w:val="center"/>
          <w:trHeight w:val="747"/>
        </w:trPr>
        <w:tc>
          <w:tcPr>
            <w:tcBorders>
              <w:left w:val="single" w:color="auto" w:sz="4" w:space="0"/>
              <w:right w:val="single" w:color="auto" w:sz="4" w:space="0"/>
            </w:tcBorders>
            <w:tcW w:w="2536" w:type="dxa"/>
            <w:vAlign w:val="center"/>
            <w:vMerge w:val="continue"/>
            <w:textDirection w:val="lrTb"/>
            <w:noWrap w:val="false"/>
          </w:tcPr>
          <w:p>
            <w:pPr>
              <w:jc w:val="center"/>
              <w:spacing w:line="24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left w:val="single" w:color="auto" w:sz="4" w:space="0"/>
              <w:right w:val="single" w:color="auto" w:sz="4" w:space="0"/>
            </w:tcBorders>
            <w:tcW w:w="1211" w:type="dxa"/>
            <w:vAlign w:val="center"/>
            <w:vMerge w:val="continue"/>
            <w:textDirection w:val="lrTb"/>
            <w:noWrap w:val="false"/>
          </w:tcPr>
          <w:p>
            <w:pPr>
              <w:jc w:val="center"/>
              <w:spacing w:line="24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901" w:type="dxa"/>
            <w:vAlign w:val="center"/>
            <w:textDirection w:val="lrTb"/>
            <w:noWrap w:val="false"/>
          </w:tcPr>
          <w:p>
            <w:pPr>
              <w:jc w:val="center"/>
              <w:spacing w:line="24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0—12:00</w:t>
            </w:r>
            <w:r/>
          </w:p>
          <w:p>
            <w:pPr>
              <w:jc w:val="center"/>
              <w:spacing w:line="24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w:t>
            </w:r>
            <w:r>
              <w:rPr>
                <w:rFonts w:hint="eastAsia" w:ascii="宋体" w:hAnsi="宋体" w:eastAsia="宋体" w:cs="宋体"/>
                <w:bCs/>
                <w:color w:val="auto"/>
                <w:sz w:val="24"/>
                <w:szCs w:val="24"/>
                <w:highlight w:val="none"/>
                <w:lang w:val="en-US" w:eastAsia="zh-CN"/>
              </w:rPr>
              <w:t xml:space="preserve">19</w:t>
            </w:r>
            <w:r>
              <w:rPr>
                <w:rFonts w:hint="eastAsia" w:ascii="宋体" w:hAnsi="宋体" w:eastAsia="宋体" w:cs="宋体"/>
                <w:bCs/>
                <w:color w:val="auto"/>
                <w:sz w:val="24"/>
                <w:szCs w:val="24"/>
                <w:highlight w:val="none"/>
              </w:rPr>
              <w:t xml:space="preserve">:00</w:t>
            </w:r>
            <w:r/>
          </w:p>
        </w:tc>
        <w:tc>
          <w:tcPr>
            <w:tcBorders>
              <w:top w:val="single" w:color="auto" w:sz="4" w:space="0"/>
              <w:left w:val="single" w:color="auto" w:sz="4" w:space="0"/>
              <w:bottom w:val="single" w:color="auto" w:sz="4" w:space="0"/>
              <w:right w:val="single" w:color="auto" w:sz="4" w:space="0"/>
            </w:tcBorders>
            <w:tcW w:w="2029" w:type="dxa"/>
            <w:vAlign w:val="center"/>
            <w:textDirection w:val="lrTb"/>
            <w:noWrap w:val="false"/>
          </w:tcPr>
          <w:p>
            <w:pPr>
              <w:jc w:val="center"/>
              <w:spacing w:line="24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分段巡回保洁</w:t>
            </w:r>
            <w:r/>
          </w:p>
        </w:tc>
      </w:tr>
      <w:tr>
        <w:trPr>
          <w:cantSplit/>
          <w:jc w:val="center"/>
          <w:trHeight w:val="912"/>
        </w:trPr>
        <w:tc>
          <w:tcPr>
            <w:tcBorders>
              <w:left w:val="single" w:color="auto" w:sz="4" w:space="0"/>
              <w:right w:val="single" w:color="auto" w:sz="4" w:space="0"/>
            </w:tcBorders>
            <w:tcW w:w="2536" w:type="dxa"/>
            <w:vAlign w:val="center"/>
            <w:textDirection w:val="lrTb"/>
            <w:noWrap w:val="false"/>
          </w:tcPr>
          <w:p>
            <w:pPr>
              <w:jc w:val="center"/>
              <w:spacing w:line="240" w:lineRule="auto"/>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辅道、公园、广场、小区</w:t>
            </w:r>
            <w:r/>
          </w:p>
        </w:tc>
        <w:tc>
          <w:tcPr>
            <w:tcBorders>
              <w:left w:val="single" w:color="auto" w:sz="4" w:space="0"/>
              <w:right w:val="single" w:color="auto" w:sz="4" w:space="0"/>
            </w:tcBorders>
            <w:tcW w:w="1211" w:type="dxa"/>
            <w:vAlign w:val="center"/>
            <w:textDirection w:val="lrTb"/>
            <w:noWrap w:val="false"/>
          </w:tcPr>
          <w:p>
            <w:pPr>
              <w:jc w:val="center"/>
              <w:spacing w:line="24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不低于</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小时</w:t>
            </w:r>
            <w:r/>
          </w:p>
        </w:tc>
        <w:tc>
          <w:tcPr>
            <w:tcBorders>
              <w:top w:val="single" w:color="auto" w:sz="4" w:space="0"/>
              <w:left w:val="single" w:color="auto" w:sz="4" w:space="0"/>
              <w:bottom w:val="single" w:color="auto" w:sz="4" w:space="0"/>
              <w:right w:val="single" w:color="auto" w:sz="4" w:space="0"/>
            </w:tcBorders>
            <w:tcW w:w="3901" w:type="dxa"/>
            <w:vAlign w:val="center"/>
            <w:textDirection w:val="lrTb"/>
            <w:noWrap w:val="false"/>
          </w:tcPr>
          <w:p>
            <w:pPr>
              <w:jc w:val="center"/>
              <w:spacing w:line="24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0—1</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:00</w:t>
            </w:r>
            <w:r/>
          </w:p>
          <w:p>
            <w:pPr>
              <w:jc w:val="center"/>
              <w:spacing w:line="240" w:lineRule="auto"/>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14:</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w:t>
            </w:r>
            <w:r>
              <w:rPr>
                <w:rFonts w:hint="eastAsia" w:ascii="宋体" w:hAnsi="宋体" w:eastAsia="宋体" w:cs="宋体"/>
                <w:bCs/>
                <w:color w:val="auto"/>
                <w:sz w:val="24"/>
                <w:szCs w:val="24"/>
                <w:highlight w:val="none"/>
                <w:lang w:val="en-US" w:eastAsia="zh-CN"/>
              </w:rPr>
              <w:t xml:space="preserve">18</w:t>
            </w:r>
            <w:r>
              <w:rPr>
                <w:rFonts w:hint="eastAsia" w:ascii="宋体" w:hAnsi="宋体" w:eastAsia="宋体" w:cs="宋体"/>
                <w:bCs/>
                <w:color w:val="auto"/>
                <w:sz w:val="24"/>
                <w:szCs w:val="24"/>
                <w:highlight w:val="none"/>
              </w:rPr>
              <w:t xml:space="preserve">:00</w:t>
            </w:r>
            <w:r/>
          </w:p>
        </w:tc>
        <w:tc>
          <w:tcPr>
            <w:tcBorders>
              <w:top w:val="single" w:color="auto" w:sz="4" w:space="0"/>
              <w:left w:val="single" w:color="auto" w:sz="4" w:space="0"/>
              <w:bottom w:val="single" w:color="auto" w:sz="4" w:space="0"/>
              <w:right w:val="single" w:color="auto" w:sz="4" w:space="0"/>
            </w:tcBorders>
            <w:tcW w:w="2029" w:type="dxa"/>
            <w:vAlign w:val="center"/>
            <w:textDirection w:val="lrTb"/>
            <w:noWrap w:val="false"/>
          </w:tcPr>
          <w:p>
            <w:pPr>
              <w:jc w:val="center"/>
              <w:spacing w:line="24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全面普扫</w:t>
            </w:r>
            <w:r/>
          </w:p>
          <w:p>
            <w:pPr>
              <w:pStyle w:val="1114"/>
              <w:ind w:left="0" w:firstLine="0"/>
              <w:jc w:val="center"/>
              <w:spacing w:line="240" w:lineRule="auto"/>
              <w:tabs>
                <w:tab w:val="left" w:pos="84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巡回保洁</w:t>
            </w:r>
            <w:r/>
          </w:p>
        </w:tc>
      </w:tr>
      <w:tr>
        <w:trPr>
          <w:cantSplit/>
          <w:jc w:val="center"/>
          <w:trHeight w:val="912"/>
        </w:trPr>
        <w:tc>
          <w:tcPr>
            <w:tcBorders>
              <w:left w:val="single" w:color="auto" w:sz="4" w:space="0"/>
              <w:right w:val="single" w:color="auto" w:sz="4" w:space="0"/>
            </w:tcBorders>
            <w:tcW w:w="2536" w:type="dxa"/>
            <w:vAlign w:val="center"/>
            <w:textDirection w:val="lrTb"/>
            <w:noWrap w:val="false"/>
          </w:tcPr>
          <w:p>
            <w:pPr>
              <w:jc w:val="center"/>
              <w:spacing w:line="24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绿化带、绿化隔离带、花坛</w:t>
            </w:r>
            <w:r>
              <w:rPr>
                <w:rFonts w:hint="eastAsia" w:ascii="宋体" w:hAnsi="宋体" w:eastAsia="宋体" w:cs="宋体"/>
                <w:bCs/>
                <w:color w:val="auto"/>
                <w:sz w:val="24"/>
                <w:szCs w:val="24"/>
                <w:highlight w:val="none"/>
              </w:rPr>
              <w:t xml:space="preserve">的生活垃圾清理保洁</w:t>
            </w:r>
            <w:r/>
          </w:p>
        </w:tc>
        <w:tc>
          <w:tcPr>
            <w:tcBorders>
              <w:left w:val="single" w:color="auto" w:sz="4" w:space="0"/>
              <w:right w:val="single" w:color="auto" w:sz="4" w:space="0"/>
            </w:tcBorders>
            <w:tcW w:w="1211" w:type="dxa"/>
            <w:vAlign w:val="center"/>
            <w:textDirection w:val="lrTb"/>
            <w:noWrap w:val="false"/>
          </w:tcPr>
          <w:p>
            <w:pPr>
              <w:jc w:val="center"/>
              <w:spacing w:line="24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3901" w:type="dxa"/>
            <w:vAlign w:val="center"/>
            <w:textDirection w:val="lrTb"/>
            <w:noWrap w:val="false"/>
          </w:tcPr>
          <w:p>
            <w:pPr>
              <w:jc w:val="center"/>
              <w:spacing w:line="24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和所在道路清扫保洁的时间一致</w:t>
            </w:r>
            <w:r/>
          </w:p>
        </w:tc>
        <w:tc>
          <w:tcPr>
            <w:tcBorders>
              <w:top w:val="single" w:color="auto" w:sz="4" w:space="0"/>
              <w:left w:val="single" w:color="auto" w:sz="4" w:space="0"/>
              <w:bottom w:val="single" w:color="auto" w:sz="4" w:space="0"/>
              <w:right w:val="single" w:color="auto" w:sz="4" w:space="0"/>
            </w:tcBorders>
            <w:tcW w:w="2029" w:type="dxa"/>
            <w:vAlign w:val="center"/>
            <w:textDirection w:val="lrTb"/>
            <w:noWrap w:val="false"/>
          </w:tcPr>
          <w:p>
            <w:pPr>
              <w:jc w:val="center"/>
              <w:spacing w:line="24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分段巡回保洁</w:t>
            </w:r>
            <w:r/>
          </w:p>
        </w:tc>
      </w:tr>
      <w:tr>
        <w:trPr>
          <w:jc w:val="center"/>
          <w:trHeight w:val="567"/>
        </w:trPr>
        <w:tc>
          <w:tcPr>
            <w:tcBorders>
              <w:left w:val="single" w:color="auto" w:sz="4" w:space="0"/>
              <w:right w:val="single" w:color="auto" w:sz="4" w:space="0"/>
            </w:tcBorders>
            <w:tcW w:w="2536" w:type="dxa"/>
            <w:vAlign w:val="center"/>
            <w:textDirection w:val="lrTb"/>
            <w:noWrap w:val="false"/>
          </w:tcPr>
          <w:p>
            <w:pPr>
              <w:jc w:val="center"/>
              <w:spacing w:line="24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乱张贴、乱涂画等清理</w:t>
            </w:r>
            <w:r/>
          </w:p>
        </w:tc>
        <w:tc>
          <w:tcPr>
            <w:tcBorders>
              <w:left w:val="single" w:color="auto" w:sz="4" w:space="0"/>
              <w:right w:val="single" w:color="auto" w:sz="4" w:space="0"/>
            </w:tcBorders>
            <w:tcW w:w="1211" w:type="dxa"/>
            <w:vAlign w:val="center"/>
            <w:textDirection w:val="lrTb"/>
            <w:noWrap w:val="false"/>
          </w:tcPr>
          <w:p>
            <w:pPr>
              <w:jc w:val="center"/>
              <w:spacing w:line="24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3901" w:type="dxa"/>
            <w:vAlign w:val="center"/>
            <w:textDirection w:val="lrTb"/>
            <w:noWrap w:val="false"/>
          </w:tcPr>
          <w:p>
            <w:pPr>
              <w:jc w:val="center"/>
              <w:spacing w:line="24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和所在道路清扫保洁的时间一致</w:t>
            </w:r>
            <w:r/>
          </w:p>
        </w:tc>
        <w:tc>
          <w:tcPr>
            <w:tcBorders>
              <w:top w:val="single" w:color="auto" w:sz="4" w:space="0"/>
              <w:left w:val="single" w:color="auto" w:sz="4" w:space="0"/>
              <w:bottom w:val="single" w:color="auto" w:sz="4" w:space="0"/>
              <w:right w:val="single" w:color="auto" w:sz="4" w:space="0"/>
            </w:tcBorders>
            <w:tcW w:w="2029" w:type="dxa"/>
            <w:vAlign w:val="center"/>
            <w:textDirection w:val="lrTb"/>
            <w:noWrap w:val="false"/>
          </w:tcPr>
          <w:p>
            <w:pPr>
              <w:jc w:val="center"/>
              <w:spacing w:line="24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分段巡回清理</w:t>
            </w:r>
            <w:r/>
          </w:p>
        </w:tc>
      </w:tr>
      <w:tr>
        <w:trPr>
          <w:jc w:val="center"/>
          <w:trHeight w:val="567"/>
        </w:trPr>
        <w:tc>
          <w:tcPr>
            <w:tcBorders>
              <w:left w:val="single" w:color="auto" w:sz="4" w:space="0"/>
              <w:right w:val="single" w:color="auto" w:sz="4" w:space="0"/>
            </w:tcBorders>
            <w:tcW w:w="2536" w:type="dxa"/>
            <w:vAlign w:val="center"/>
            <w:textDirection w:val="lrTb"/>
            <w:noWrap w:val="false"/>
          </w:tcPr>
          <w:p>
            <w:pPr>
              <w:jc w:val="center"/>
              <w:spacing w:line="240" w:lineRule="auto"/>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公交站台、果壳箱</w:t>
            </w:r>
            <w:r/>
          </w:p>
        </w:tc>
        <w:tc>
          <w:tcPr>
            <w:shd w:val="clear" w:color="auto" w:fill="auto"/>
            <w:tcBorders>
              <w:left w:val="single" w:color="auto" w:sz="4" w:space="0"/>
              <w:right w:val="single" w:color="auto" w:sz="4" w:space="0"/>
            </w:tcBorders>
            <w:tcW w:w="1211" w:type="dxa"/>
            <w:vAlign w:val="center"/>
            <w:textDirection w:val="lrTb"/>
            <w:noWrap w:val="false"/>
          </w:tcPr>
          <w:p>
            <w:pPr>
              <w:jc w:val="center"/>
              <w:spacing w:line="24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3901" w:type="dxa"/>
            <w:vAlign w:val="center"/>
            <w:textDirection w:val="lrTb"/>
            <w:noWrap w:val="false"/>
          </w:tcPr>
          <w:p>
            <w:pPr>
              <w:jc w:val="center"/>
              <w:spacing w:line="24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和所在道路清扫保洁的时间一致</w:t>
            </w:r>
            <w:r/>
          </w:p>
        </w:tc>
        <w:tc>
          <w:tcPr>
            <w:shd w:val="clear" w:color="auto" w:fill="auto"/>
            <w:tcBorders>
              <w:top w:val="single" w:color="auto" w:sz="4" w:space="0"/>
              <w:left w:val="single" w:color="auto" w:sz="4" w:space="0"/>
              <w:bottom w:val="single" w:color="auto" w:sz="4" w:space="0"/>
              <w:right w:val="single" w:color="auto" w:sz="4" w:space="0"/>
            </w:tcBorders>
            <w:tcW w:w="2029" w:type="dxa"/>
            <w:vAlign w:val="center"/>
            <w:textDirection w:val="lrTb"/>
            <w:noWrap w:val="false"/>
          </w:tcPr>
          <w:p>
            <w:pPr>
              <w:jc w:val="center"/>
              <w:spacing w:line="24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分段巡回清理</w:t>
            </w:r>
            <w:r/>
          </w:p>
        </w:tc>
      </w:tr>
    </w:tbl>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2.道路人工清扫、保洁的作业要求</w:t>
      </w:r>
      <w:r>
        <w:rPr>
          <w:rFonts w:hint="eastAsia" w:ascii="宋体" w:hAnsi="宋体" w:eastAsia="宋体" w:cs="宋体"/>
          <w:color w:val="auto"/>
          <w:sz w:val="24"/>
          <w:szCs w:val="24"/>
          <w:highlight w:val="none"/>
          <w:lang w:val="en-US" w:eastAsia="zh-CN"/>
        </w:rPr>
        <w:t xml:space="preserve">：</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清扫保洁全覆盖，保洁范围到边到墙，道路干净整洁，无垃圾、无卫生死角，路面见本色，可视范围内无“牛皮癣”小广告。</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（1）合理配置环卫清扫保洁作业人员和机械设备，对每个作业路段实行定人定岗。</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（2）上岗时，保洁人员衣着整齐，穿戴配有反光标志的安全作业服，佩戴工号牌（有条件可佩戴智能手环），电动保洁车作业人员佩戴安全头盔，不得闯红灯、逆行、违章停车。</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保洁时间内，确保每个作业班次的保洁人员在岗巡回保洁，不得缺员缺岗。上路后将机动车道、辅道、非机动车道、人行道、边沟、树穴等普扫之后沿路段巡回保洁，不得漏点漏段。清扫保洁时要控制扬尘，采用湿式作业，清扫保洁后的垃圾、尘土要倒入垃圾收集车（桶）内，并盖好车（桶）盖。不得将垃圾、尘土等扫入道路排水口、绿化带和果壳箱内。</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（4）清扫保洁时做到“六不准”：不准聚众闲谈、脱岗、坐岗、干私活、闲看手机；不准将车辆等工作工具擅作他用。</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（5）早餐实行轮流用餐制，用餐时间内道路上要求每个路段留人保洁。</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（6）作业时车辆干净整洁，张贴反光标识，不得影响交通，占用盲道。作业后一律就近停放指定地点。</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（7）雨天作业时穿戴配有反光标志的雨具，雨后及时清理路面积水和杂物。</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（8）落叶季节，及时清扫，严禁焚烧。</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（9）路面清扫的落叶及垃圾严禁扫到窨井或绿化带内，定期清理道路两侧的雨水篦子上的孔洞，确保雨季排水畅通。</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(10)遇到突发性污染情况时，设置醒目的路障和警示牌，人工配合机械及时清洗，恢复路面整洁。</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3.道路机械化洗扫、洒水、冲洗作业要求</w:t>
      </w:r>
      <w:r>
        <w:rPr>
          <w:rFonts w:hint="eastAsia" w:ascii="宋体" w:hAnsi="宋体" w:eastAsia="宋体" w:cs="宋体"/>
          <w:color w:val="auto"/>
          <w:sz w:val="24"/>
          <w:szCs w:val="24"/>
          <w:highlight w:val="none"/>
          <w:lang w:val="en-US" w:eastAsia="zh-CN"/>
        </w:rPr>
        <w:t xml:space="preserve">：</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（1）路面作业要全覆盖，严禁漏扫、无扫，于指定区域加水、卸载垃圾，主干道每日不低于2次机械化清扫，重大活动保障全天候巡回机械化清扫保洁。</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（2）车辆保持整洁，确保车身无破损、锈蚀，车身张贴反光标志，车牌及车身标志清晰可见。所有作业车辆牌证齐全，规范管理，展示环卫设备良好形象。</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（3）所有车辆均安装GPS和摄像头，配备前、后、左、右实时摄像头，无视线安全死角，确保行车安全。</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（4）自备雾炮车适时抑尘，自备重型洒水车，每日洒水降尘。自备（中型及以上/重型/新能源重型等型号）洗扫车、护栏清扫车，每日机械化清扫保洁。每日巡回保洁，干净整洁，无垃圾、无烟头、无飘浮物等。</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（5）随时清洗车道，要求道路见本色。</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（6）各类车辆行驶要求： </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①洗扫车洗扫作业时，作业时控制车速，严格按照放刷、喷水、调整箱体压力和刷盘转速、洗扫的顺序进行操作；非特殊气候情况下，避免“干扫”；作业时禁止扫刷、吸嘴不落地。</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②新能源深度保洁车洗扫作业时，作业时控制车速，高压冲洗水压符合要求‌，用于剥离路面缝隙深层污渍；调整吸盘离地间隙至‌3–5mm‌，确保清洁率≥99%，路面残留灰尘≤1g/m²。</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洒水车洒水、冲洗作业时，作业时控制车速，喷水口喷水有力，不得出现断续喷水的现象，洒水作业需覆盖道路的所有机动车道，不得漏洒，作业后，路面无干燥路段和片区。遇岔路口、红绿灯、斑马线处，前后10米范围内不进行洒水、冲洗作业。</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小型洗扫车非机动车道洗扫作业时，作业时控制车速，采用“机主人辅”模式，沿非机动车道右侧边缘进行清扫，清洁覆盖宽度约60厘米，并将垃圾冲刷至沟底由后续车辆跟进清扫。尽量避开高峰时段进行作业，作业时控制车速，作业时需开启车辆警示灯，确保匀速清扫和避让行人。</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⑤小型高压冲洗车冲洗作业时，根据路面实际情况，重点处理顽固油渍、果壳箱、公交站台、公园、广场、人行道等区域的应急清洁任务。作业过程中需注意周边行人和车辆动态，提前避让，确保通行安全。冲洗时严禁将水枪对准人员、动物和电器设备，操作人员需保持适当距离与合理角度，边移动边冲洗，确保清洗过程连续、均匀、全覆盖。</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⑥作业人员文明驾驶并按照规定的时间、线路、频次和作业模式作业；作业时需穿戴统一的、具有明显警示标识的工作服，并保持着装整洁。不得有滞留马路和加油。</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⑦如遇死角、深沟、道路两侧行道树过低过近、垃圾杂物体积过长过大、落叶季节、窨井眼不畅通、有杂物或被堵塞等工况无法满足环卫机械化作业条件时，需组织人工配合作业。</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⑧夜间作业时开启警示灯和示宽灯，夜间禁鸣；洒水作业日间播放提示音乐。</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（7）人行道</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①自备小型高压冲洗车，每月清洗一次人行道，重点路段每月清洗两次，路面见本色。</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②自备小型电动扫路车，每日巡回保洁，干净整洁，无垃圾、无烟头、无飘浮物、无杂草、无动物粪便等。</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（8）道路沿线绿化带（岛）保洁</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①每日巡回保洁，见脏扫脏</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每月定期清掏绿化带（岛），干净整洁，及时清理暴露垃圾和瓜皮、果壳、纸屑、烟头、树叶、碎砖石、塑料纸(袋)等杂物；路牙定期冲洗清洁无积尘，路面无积水；人行道清洁、无杂草，树穴净，电杆周围净，窨井盖干净无堵塞；果皮箱、垃圾桶周围地面及时冲洗，无污迹，绿化带内清洁无垃圾杂物，道路交界入清扫保洁延伸10米，禁止焚烧各类垃圾杂物。</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（9）洒水车的作业要求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每年的4月1日至10月30日，主干道每日不低于2次洒水降尘；11月1日至3月31日，主干道根据实际情况洒水降尘；重大活动保障全天候洒水降尘。</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在指定的消防笼头接水，用水需和采购人联系，办理取水证后方可进行。</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车辆干净整洁，展示环卫设备良好形象。</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低于零上5度不洒水，确保道路通行安全。</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洒水时开启高音喇叭，注意避让行人，文明作业。</w:t>
      </w:r>
      <w:r/>
    </w:p>
    <w:p>
      <w:pPr>
        <w:ind w:firstLine="420"/>
        <w:keepLines w:val="0"/>
        <w:keepNext w:val="0"/>
        <w:pageBreakBefore w:val="0"/>
        <w:spacing w:line="360" w:lineRule="auto"/>
        <w:widowControl w:val="off"/>
        <w:tabs>
          <w:tab w:val="left" w:pos="777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4.公园、广场清扫保洁的作业要求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（1）道路的清扫保洁标准参照四级道路的清扫保洁要求。</w:t>
      </w:r>
      <w:r/>
    </w:p>
    <w:tbl>
      <w:tblPr>
        <w:tblStyle w:val="843"/>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936"/>
        <w:gridCol w:w="6603"/>
      </w:tblGrid>
      <w:tr>
        <w:trPr>
          <w:jc w:val="center"/>
          <w:trHeight w:val="452"/>
        </w:trPr>
        <w:tc>
          <w:tcPr>
            <w:tcW w:w="2936" w:type="dxa"/>
            <w:vAlign w:val="center"/>
            <w:textDirection w:val="lrTb"/>
            <w:noWrap w:val="false"/>
          </w:tcPr>
          <w:p>
            <w:pPr>
              <w:jc w:val="center"/>
              <w:spacing w:after="0" w:line="240" w:lineRule="auto"/>
              <w:tabs>
                <w:tab w:val="left" w:pos="7770" w:leader="none"/>
              </w:tabs>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rPr>
              <w:t xml:space="preserve">作</w:t>
            </w:r>
            <w:r>
              <w:rPr>
                <w:rFonts w:hint="eastAsia" w:ascii="宋体" w:hAnsi="宋体" w:eastAsia="宋体" w:cs="宋体"/>
                <w:b/>
                <w:color w:val="auto"/>
                <w:sz w:val="24"/>
                <w:szCs w:val="24"/>
                <w:highlight w:val="none"/>
              </w:rPr>
              <w:t xml:space="preserve">业内容</w:t>
            </w:r>
            <w:r/>
          </w:p>
        </w:tc>
        <w:tc>
          <w:tcPr>
            <w:tcW w:w="6603" w:type="dxa"/>
            <w:vAlign w:val="center"/>
            <w:textDirection w:val="lrTb"/>
            <w:noWrap w:val="false"/>
          </w:tcPr>
          <w:p>
            <w:pPr>
              <w:jc w:val="center"/>
              <w:spacing w:after="0" w:line="240" w:lineRule="auto"/>
              <w:tabs>
                <w:tab w:val="left" w:pos="7770" w:leader="none"/>
              </w:tabs>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rPr>
              <w:t xml:space="preserve">具体作业时间</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时间暂定，具体作业时间可根据实际情况进行调整）</w:t>
            </w:r>
            <w:r/>
          </w:p>
        </w:tc>
      </w:tr>
      <w:tr>
        <w:trPr>
          <w:jc w:val="center"/>
          <w:trHeight w:val="894"/>
        </w:trPr>
        <w:tc>
          <w:tcPr>
            <w:tcW w:w="2936" w:type="dxa"/>
            <w:vAlign w:val="center"/>
            <w:textDirection w:val="lrTb"/>
            <w:noWrap w:val="false"/>
          </w:tcPr>
          <w:p>
            <w:pPr>
              <w:jc w:val="center"/>
              <w:spacing w:after="0" w:line="24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道路冲洗作业</w:t>
            </w:r>
            <w:r/>
          </w:p>
        </w:tc>
        <w:tc>
          <w:tcPr>
            <w:tcW w:w="6603" w:type="dxa"/>
            <w:vAlign w:val="center"/>
            <w:textDirection w:val="lrTb"/>
            <w:noWrap w:val="false"/>
          </w:tcPr>
          <w:p>
            <w:pPr>
              <w:jc w:val="center"/>
              <w:spacing w:after="0" w:line="24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高压冲水在6:00前完成（冲洗作业安排在清扫作业之前），其余时间使用洒水作业</w:t>
            </w:r>
            <w:r/>
          </w:p>
        </w:tc>
      </w:tr>
      <w:tr>
        <w:trPr>
          <w:jc w:val="center"/>
          <w:trHeight w:val="894"/>
        </w:trPr>
        <w:tc>
          <w:tcPr>
            <w:tcW w:w="2936" w:type="dxa"/>
            <w:vAlign w:val="center"/>
            <w:textDirection w:val="lrTb"/>
            <w:noWrap w:val="false"/>
          </w:tcPr>
          <w:p>
            <w:pPr>
              <w:jc w:val="center"/>
              <w:spacing w:after="0" w:line="24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道路洒水降尘作业</w:t>
            </w:r>
            <w:r/>
          </w:p>
        </w:tc>
        <w:tc>
          <w:tcPr>
            <w:tcW w:w="6603" w:type="dxa"/>
            <w:vAlign w:val="center"/>
            <w:textDirection w:val="lrTb"/>
            <w:noWrap w:val="false"/>
          </w:tcPr>
          <w:p>
            <w:pPr>
              <w:jc w:val="center"/>
              <w:spacing w:after="0" w:line="24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0-1</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0</w:t>
            </w:r>
            <w:r/>
          </w:p>
          <w:p>
            <w:pPr>
              <w:jc w:val="center"/>
              <w:spacing w:after="0" w:line="24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:00-1</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w:t>
            </w:r>
            <w:r/>
          </w:p>
        </w:tc>
      </w:tr>
      <w:tr>
        <w:trPr>
          <w:jc w:val="center"/>
          <w:trHeight w:val="894"/>
        </w:trPr>
        <w:tc>
          <w:tcPr>
            <w:tcW w:w="2936" w:type="dxa"/>
            <w:vAlign w:val="center"/>
            <w:textDirection w:val="lrTb"/>
            <w:noWrap w:val="false"/>
          </w:tcPr>
          <w:p>
            <w:pPr>
              <w:jc w:val="center"/>
              <w:spacing w:after="0" w:line="24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人行道清（冲）洗作业</w:t>
            </w:r>
            <w:r/>
          </w:p>
        </w:tc>
        <w:tc>
          <w:tcPr>
            <w:tcW w:w="6603" w:type="dxa"/>
            <w:vAlign w:val="center"/>
            <w:textDirection w:val="lrTb"/>
            <w:noWrap w:val="false"/>
          </w:tcPr>
          <w:p>
            <w:pPr>
              <w:jc w:val="center"/>
              <w:spacing w:after="0" w:line="24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4:30-7:00</w:t>
            </w:r>
            <w:r/>
          </w:p>
          <w:p>
            <w:pPr>
              <w:jc w:val="center"/>
              <w:spacing w:after="0" w:line="240" w:lineRule="auto"/>
              <w:tabs>
                <w:tab w:val="left" w:pos="777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0-1</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w:t>
            </w:r>
            <w:r/>
          </w:p>
        </w:tc>
      </w:tr>
      <w:tr>
        <w:trPr>
          <w:jc w:val="center"/>
          <w:trHeight w:val="452"/>
        </w:trPr>
        <w:tc>
          <w:tcPr>
            <w:tcW w:w="2936" w:type="dxa"/>
            <w:vAlign w:val="center"/>
            <w:textDirection w:val="lrTb"/>
            <w:noWrap w:val="false"/>
          </w:tcPr>
          <w:p>
            <w:pPr>
              <w:jc w:val="center"/>
              <w:spacing w:after="0" w:line="24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道路</w:t>
            </w:r>
            <w:r>
              <w:rPr>
                <w:rFonts w:hint="eastAsia" w:ascii="宋体" w:hAnsi="宋体" w:eastAsia="宋体" w:cs="宋体"/>
                <w:bCs/>
                <w:color w:val="auto"/>
                <w:sz w:val="24"/>
                <w:szCs w:val="24"/>
                <w:highlight w:val="none"/>
                <w:lang w:val="en-US" w:eastAsia="zh-CN"/>
              </w:rPr>
              <w:t xml:space="preserve">洗扫作业</w:t>
            </w:r>
            <w:r/>
          </w:p>
        </w:tc>
        <w:tc>
          <w:tcPr>
            <w:tcW w:w="6603" w:type="dxa"/>
            <w:vAlign w:val="center"/>
            <w:textDirection w:val="lrTb"/>
            <w:noWrap w:val="false"/>
          </w:tcPr>
          <w:p>
            <w:pPr>
              <w:jc w:val="center"/>
              <w:spacing w:after="0" w:line="24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:00</w:t>
            </w:r>
            <w:r/>
          </w:p>
          <w:p>
            <w:pPr>
              <w:jc w:val="center"/>
              <w:spacing w:after="0" w:line="24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:00-</w:t>
            </w:r>
            <w:r>
              <w:rPr>
                <w:rFonts w:hint="eastAsia" w:ascii="宋体" w:hAnsi="宋体" w:eastAsia="宋体" w:cs="宋体"/>
                <w:bCs/>
                <w:color w:val="auto"/>
                <w:sz w:val="24"/>
                <w:szCs w:val="24"/>
                <w:highlight w:val="none"/>
                <w:lang w:val="en-US" w:eastAsia="zh-CN"/>
              </w:rPr>
              <w:t xml:space="preserve">18</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w:t>
            </w:r>
            <w:r/>
          </w:p>
        </w:tc>
      </w:tr>
      <w:tr>
        <w:trPr>
          <w:jc w:val="center"/>
          <w:trHeight w:val="904"/>
        </w:trPr>
        <w:tc>
          <w:tcPr>
            <w:tcW w:w="2936" w:type="dxa"/>
            <w:vAlign w:val="center"/>
            <w:textDirection w:val="lrTb"/>
            <w:noWrap w:val="false"/>
          </w:tcPr>
          <w:p>
            <w:pPr>
              <w:jc w:val="center"/>
              <w:spacing w:after="0" w:line="24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大气防控作业</w:t>
            </w:r>
            <w:r/>
          </w:p>
        </w:tc>
        <w:tc>
          <w:tcPr>
            <w:tcW w:w="6603" w:type="dxa"/>
            <w:vAlign w:val="center"/>
            <w:textDirection w:val="lrTb"/>
            <w:noWrap w:val="false"/>
          </w:tcPr>
          <w:p>
            <w:pPr>
              <w:jc w:val="center"/>
              <w:spacing w:after="0" w:line="24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w:t>
            </w:r>
            <w:r>
              <w:rPr>
                <w:rFonts w:hint="eastAsia" w:ascii="宋体" w:hAnsi="宋体" w:eastAsia="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rPr>
              <w:t xml:space="preserve">:00</w:t>
            </w:r>
            <w:r/>
          </w:p>
          <w:p>
            <w:pPr>
              <w:jc w:val="center"/>
              <w:spacing w:after="0" w:line="24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:00-1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w:t>
            </w:r>
            <w:r/>
          </w:p>
        </w:tc>
      </w:tr>
    </w:tbl>
    <w:p>
      <w:pPr>
        <w:pStyle w:val="1030"/>
        <w:rPr>
          <w:rFonts w:hint="eastAsia"/>
          <w:lang w:val="en-US" w:eastAsia="zh-CN"/>
        </w:rPr>
      </w:pPr>
      <w:r>
        <w:rPr>
          <w:rFonts w:hint="eastAsia"/>
          <w:lang w:val="en-US" w:eastAsia="zh-CN"/>
        </w:rPr>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（2）清扫保洁员衣着整齐，穿着反光安全制服作业。</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（3）所有垃圾收集点每个点位根据实际需要配置垃圾桶，按生活垃圾分类要求摆放。所有公园、广场垃圾不能以任何理由拒收或不收。垃圾密闭收集运输，日产日清。</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（4）街巷路面干净，无果皮纸屑、无塑料袋、无积尘、无漂浮、无杂草等。</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5.果壳箱清掏抹洗时间及标准</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（1）作业时间：果壳箱每日两次以上清掏抹洗，确保早上9:00时前和16:00时前完成，节假日适当增加清掏次数，确保每天7:00-21:00时间内果壳箱垃圾不满溢（具体作业时间可根据实际情况进行调整）。</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（2）果壳箱作业标准</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1）保持道路果壳箱内外及地面的整洁，做到箱门关闭、摆放端正；及时清掏抹洗，确保无满溢现象，箱底无残留垃圾，箱体表面干净无污垢。</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2）保持果壳箱的整洁完好，确保每条道路果壳箱摆放统一，做到缺损后及时补缺、维修。</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3）合同生效起，原环卫垃圾拉臂箱不再提供使用，中标人自行提供各区域内足够数量垃圾桶，垃圾桶配置要求与镇保洁公司对接。</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每周定期清洗垃圾容器，确保垃圾容器保持干净整洁，无破损状况。如有破损的或者遇到特殊情况比如文明城市创建需要更换新垃圾桶的，服从采购人要求迅速到位。每周定期清洗垃圾容器，确保垃圾容器保持干净整洁，无破损状况，箱体至少一日一擦，三日一洗。</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5）每周消杀一次垃圾容器，无异味，夏季高温需要每天消杀。</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6）果皮箱、垃圾桶正常清洗，保持外表整洁干净，摆放整齐无缺失，出现破损，应及时汇报更换，并建立管理台帐。</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6.交通护栏清洗作业时间及标准</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（1）作业时间：非机动车道及人行道护栏清洗时间（白天10:30-15:30；20:00-23:00）作业（具体作业时间可根据实际情况进行调整）。</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（2）交通护栏清洗标准：作业时不影响交通，保证护栏干净整洁，无垃圾广告粘贴、无污渍。</w:t>
      </w:r>
      <w:r/>
    </w:p>
    <w:p>
      <w:pPr>
        <w:ind w:firstLine="420"/>
        <w:keepLines w:val="0"/>
        <w:keepNext w:val="0"/>
        <w:pageBreakBefore w:val="0"/>
        <w:spacing w:line="360" w:lineRule="auto"/>
        <w:widowControl w:val="off"/>
        <w:tabs>
          <w:tab w:val="left" w:pos="777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7.公园、广场的清扫保洁服务</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（1）服务内容</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1）垃圾及废弃物收集清运至垃圾中转站；</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2）垃圾广告的清理（包括城市家具）；</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3）果壳箱的清掏、抹洗与管理维护；</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4）公共区域的蚊蝇鼠消杀；</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5）公共区域的清扫保洁。</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（2）作业时间</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上述路面每天分时段清扫保洁，主干道从凌晨5：00起—下午6：00止（无缝隙清扫保洁）；起止时间随季节变化而调整，总保洁时间不低于8小时，一日两遍普扫，见脏扫脏，巡回保洁；次要道路从上午6：00起—下午5：00止（无缝隙清扫保洁）；起止时间随季节变化而调整，总保洁时间不低于6小时，一日两遍普扫见脏扫脏，巡回保洁；主次干道绿化带保洁从上午8：00起—下午5：00止；垃圾收集上午6：00—10：00，下午1：00—5：00。</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夏季高温期间的保洁时间则根据采购方的要求作相应调整。</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（具体作业时间可根据实际情况进行调整）。</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（3）作业要求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《保洁作业要求》</w:t>
      </w:r>
      <w:r/>
    </w:p>
    <w:tbl>
      <w:tblPr>
        <w:tblStyle w:val="819"/>
        <w:tblW w:w="100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8"/>
        <w:gridCol w:w="2099"/>
        <w:gridCol w:w="2099"/>
        <w:gridCol w:w="1773"/>
        <w:gridCol w:w="3229"/>
      </w:tblGrid>
      <w:tr>
        <w:trPr>
          <w:jc w:val="cente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清洁方式</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清洁频次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质量标准</w:t>
            </w:r>
            <w:r/>
          </w:p>
        </w:tc>
      </w:tr>
      <w:tr>
        <w:trPr>
          <w:jc w:val="center"/>
        </w:trPr>
        <w:tc>
          <w:tcPr>
            <w:tcBorders>
              <w:top w:val="single" w:color="auto" w:sz="4" w:space="0"/>
              <w:left w:val="single" w:color="auto" w:sz="4" w:space="0"/>
              <w:bottom w:val="single" w:color="auto" w:sz="4" w:space="0"/>
              <w:right w:val="single" w:color="auto" w:sz="4" w:space="0"/>
            </w:tcBorders>
            <w:tcW w:w="838" w:type="dxa"/>
            <w:vAlign w:val="center"/>
            <w:vMerge w:val="restart"/>
            <w:textDirection w:val="lrTb"/>
            <w:noWrap w:val="false"/>
          </w:tcPr>
          <w:p>
            <w:pPr>
              <w:ind w:left="176" w:firstLine="12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099" w:type="dxa"/>
            <w:vAlign w:val="center"/>
            <w:vMerge w:val="restart"/>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路面</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地面清扫</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每日2次</w:t>
            </w:r>
            <w:r/>
          </w:p>
        </w:tc>
        <w:tc>
          <w:tcPr>
            <w:tcBorders>
              <w:top w:val="single" w:color="auto" w:sz="4" w:space="0"/>
              <w:left w:val="single" w:color="auto" w:sz="4" w:space="0"/>
              <w:bottom w:val="single" w:color="auto" w:sz="4" w:space="0"/>
              <w:right w:val="single" w:color="auto" w:sz="4" w:space="0"/>
            </w:tcBorders>
            <w:tcW w:w="3229" w:type="dxa"/>
            <w:vAlign w:val="center"/>
            <w:vMerge w:val="restart"/>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无垃圾、无杂物、无死角</w:t>
            </w:r>
            <w:r/>
          </w:p>
        </w:tc>
      </w:tr>
      <w:tr>
        <w:trPr>
          <w:jc w:val="center"/>
        </w:trPr>
        <w:tc>
          <w:tcPr>
            <w:tcBorders>
              <w:top w:val="single" w:color="auto" w:sz="4" w:space="0"/>
              <w:left w:val="single" w:color="auto" w:sz="4" w:space="0"/>
              <w:bottom w:val="single" w:color="auto" w:sz="4" w:space="0"/>
              <w:right w:val="single" w:color="auto" w:sz="4" w:space="0"/>
            </w:tcBorders>
            <w:tcW w:w="838"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99"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地面冲洗</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每日1次</w:t>
            </w:r>
            <w:r/>
          </w:p>
        </w:tc>
        <w:tc>
          <w:tcPr>
            <w:tcBorders>
              <w:top w:val="single" w:color="auto" w:sz="4" w:space="0"/>
              <w:left w:val="single" w:color="auto" w:sz="4" w:space="0"/>
              <w:bottom w:val="single" w:color="auto" w:sz="4" w:space="0"/>
              <w:right w:val="single" w:color="auto" w:sz="4" w:space="0"/>
            </w:tcBorders>
            <w:tcW w:w="3229"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38" w:type="dxa"/>
            <w:vAlign w:val="center"/>
            <w:vMerge w:val="restart"/>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2099" w:type="dxa"/>
            <w:vAlign w:val="center"/>
            <w:vMerge w:val="restart"/>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花坛及绿化带</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杂物清理</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每日循环</w:t>
            </w:r>
            <w:r/>
          </w:p>
        </w:tc>
        <w:tc>
          <w:tcPr>
            <w:tcBorders>
              <w:top w:val="single" w:color="auto" w:sz="4" w:space="0"/>
              <w:left w:val="single" w:color="auto" w:sz="4" w:space="0"/>
              <w:bottom w:val="single" w:color="auto" w:sz="4" w:space="0"/>
              <w:right w:val="single" w:color="auto" w:sz="4" w:space="0"/>
            </w:tcBorders>
            <w:tcW w:w="3229" w:type="dxa"/>
            <w:vAlign w:val="center"/>
            <w:vMerge w:val="restart"/>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无垃圾、无杂物、表面干净</w:t>
            </w:r>
            <w:r/>
          </w:p>
        </w:tc>
      </w:tr>
      <w:tr>
        <w:trPr>
          <w:jc w:val="center"/>
        </w:trPr>
        <w:tc>
          <w:tcPr>
            <w:tcBorders>
              <w:top w:val="single" w:color="auto" w:sz="4" w:space="0"/>
              <w:left w:val="single" w:color="auto" w:sz="4" w:space="0"/>
              <w:bottom w:val="single" w:color="auto" w:sz="4" w:space="0"/>
              <w:right w:val="single" w:color="auto" w:sz="4" w:space="0"/>
            </w:tcBorders>
            <w:tcW w:w="838"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99"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灯具、警示牌</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每周1次</w:t>
            </w:r>
            <w:r/>
          </w:p>
        </w:tc>
        <w:tc>
          <w:tcPr>
            <w:tcBorders>
              <w:top w:val="single" w:color="auto" w:sz="4" w:space="0"/>
              <w:left w:val="single" w:color="auto" w:sz="4" w:space="0"/>
              <w:bottom w:val="single" w:color="auto" w:sz="4" w:space="0"/>
              <w:right w:val="single" w:color="auto" w:sz="4" w:space="0"/>
            </w:tcBorders>
            <w:tcW w:w="3229"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散水坡和阴沟</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清扫保洁</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每周1次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无垃圾、无杂物、无泥沙</w:t>
            </w:r>
            <w:r/>
          </w:p>
        </w:tc>
      </w:tr>
      <w:tr>
        <w:trPr>
          <w:jc w:val="cente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公共休息设施</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公共桌椅擦拭</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每日1次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干净、无灰尘、无杂物</w:t>
            </w:r>
            <w:r/>
          </w:p>
        </w:tc>
      </w:tr>
      <w:tr>
        <w:trPr>
          <w:jc w:val="cente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路灯、道闸系统</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掸尘、擦拭</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每月1次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洁净明亮、无污、无尘</w:t>
            </w:r>
            <w:r/>
          </w:p>
        </w:tc>
      </w:tr>
      <w:tr>
        <w:trPr>
          <w:jc w:val="cente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人行道</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地面清扫</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每日1次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无明显泥沙、污渍、垃圾</w:t>
            </w:r>
            <w:r/>
          </w:p>
        </w:tc>
      </w:tr>
      <w:tr>
        <w:trPr>
          <w:jc w:val="cente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信报箱、宣传栏</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掸尘、擦拭</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每日1次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洁净、无污渍、无灰尘</w:t>
            </w:r>
            <w:r/>
          </w:p>
        </w:tc>
      </w:tr>
      <w:tr>
        <w:trPr>
          <w:jc w:val="cente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观景台、围栏</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清扫保洁</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每日1次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无灰尘、无杂物、无纸屑</w:t>
            </w:r>
            <w:r/>
          </w:p>
        </w:tc>
      </w:tr>
      <w:tr>
        <w:trPr>
          <w:jc w:val="cente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公共卫生间</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全面清洁</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每日循环</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干净、无异味、无杂物</w:t>
            </w:r>
            <w:r/>
          </w:p>
        </w:tc>
      </w:tr>
      <w:tr>
        <w:trPr>
          <w:jc w:val="cente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垃圾桶、果皮箱</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清掏、擦拭、清洗</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每日2次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垃圾无外溢、地面无垃圾</w:t>
            </w:r>
            <w:r/>
          </w:p>
        </w:tc>
      </w:tr>
      <w:tr>
        <w:trPr>
          <w:jc w:val="cente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停车场</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地面清扫</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每日1次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无垃圾、无杂物、无死角</w:t>
            </w:r>
            <w:r/>
          </w:p>
        </w:tc>
      </w:tr>
      <w:tr>
        <w:trPr>
          <w:jc w:val="center"/>
        </w:trPr>
        <w:tc>
          <w:tcPr>
            <w:tcBorders>
              <w:top w:val="single" w:color="auto" w:sz="4" w:space="0"/>
              <w:left w:val="single" w:color="auto" w:sz="4" w:space="0"/>
              <w:bottom w:val="single" w:color="auto" w:sz="4" w:space="0"/>
              <w:right w:val="single" w:color="auto" w:sz="4" w:space="0"/>
            </w:tcBorders>
            <w:tcW w:w="838" w:type="dxa"/>
            <w:vAlign w:val="center"/>
            <w:vMerge w:val="restart"/>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Borders>
              <w:top w:val="single" w:color="auto" w:sz="4" w:space="0"/>
              <w:left w:val="single" w:color="auto" w:sz="4" w:space="0"/>
              <w:bottom w:val="single" w:color="auto" w:sz="4" w:space="0"/>
              <w:right w:val="single" w:color="auto" w:sz="4" w:space="0"/>
            </w:tcBorders>
            <w:tcW w:w="2099" w:type="dxa"/>
            <w:vAlign w:val="center"/>
            <w:vMerge w:val="restart"/>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景观池、人工湖</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漂浮物清掏</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每日循环</w:t>
            </w:r>
            <w:r/>
          </w:p>
        </w:tc>
        <w:tc>
          <w:tcPr>
            <w:tcBorders>
              <w:top w:val="single" w:color="auto" w:sz="4" w:space="0"/>
              <w:left w:val="single" w:color="auto" w:sz="4" w:space="0"/>
              <w:bottom w:val="single" w:color="auto" w:sz="4" w:space="0"/>
              <w:right w:val="single" w:color="auto" w:sz="4" w:space="0"/>
            </w:tcBorders>
            <w:tcW w:w="3229" w:type="dxa"/>
            <w:vAlign w:val="center"/>
            <w:vMerge w:val="restart"/>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无漂浮物，水质清净</w:t>
            </w:r>
            <w:r/>
          </w:p>
        </w:tc>
      </w:tr>
      <w:tr>
        <w:trPr>
          <w:jc w:val="center"/>
        </w:trPr>
        <w:tc>
          <w:tcPr>
            <w:tcBorders>
              <w:top w:val="single" w:color="auto" w:sz="4" w:space="0"/>
              <w:left w:val="single" w:color="auto" w:sz="4" w:space="0"/>
              <w:bottom w:val="single" w:color="auto" w:sz="4" w:space="0"/>
              <w:right w:val="single" w:color="auto" w:sz="4" w:space="0"/>
            </w:tcBorders>
            <w:tcW w:w="838"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99"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清洗</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每半月1次</w:t>
            </w:r>
            <w:r/>
          </w:p>
        </w:tc>
        <w:tc>
          <w:tcPr>
            <w:tcBorders>
              <w:top w:val="single" w:color="auto" w:sz="4" w:space="0"/>
              <w:left w:val="single" w:color="auto" w:sz="4" w:space="0"/>
              <w:bottom w:val="single" w:color="auto" w:sz="4" w:space="0"/>
              <w:right w:val="single" w:color="auto" w:sz="4" w:space="0"/>
            </w:tcBorders>
            <w:tcW w:w="3229"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管网、管井</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清洗</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每半年1次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无淤泥、无堵塞</w:t>
            </w:r>
            <w:r/>
          </w:p>
        </w:tc>
      </w:tr>
      <w:tr>
        <w:trPr>
          <w:jc w:val="cente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雨水井</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清理</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每月1次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116"/>
              <w:ind w:firstLine="0"/>
              <w:jc w:val="center"/>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无淤泥、无堵塞</w:t>
            </w:r>
            <w:r/>
          </w:p>
        </w:tc>
      </w:tr>
    </w:tbl>
    <w:p>
      <w:pPr>
        <w:ind w:firstLine="420"/>
        <w:keepLines w:val="0"/>
        <w:keepNext w:val="0"/>
        <w:pageBreakBefore w:val="0"/>
        <w:spacing w:line="360" w:lineRule="auto"/>
        <w:widowControl w:val="off"/>
        <w:tabs>
          <w:tab w:val="left" w:pos="777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8.公交站台保洁要求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公交站台保洁是保障公共环境整洁、提升乘客出行体验的重要工作，需遵循“全面覆盖、高频巡查、精细清洁、安全规范”原则，具体要求如下：</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（1）保洁范围与总体标准</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1）保洁范围</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包括站台地面（含人行道延伸区域）、候车亭（顶棚、立柱、座椅、挡风玻璃/面板）、公交站牌（信息牌、玻璃/亚克力罩）、垃圾桶（内外壁及周边）、站台周边1～2米范围内地面及绿化带（无散落垃圾）。</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2）总体质量标准</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达到“六无三净”：</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六无：无生活垃圾、无痰渍烟蒂、无积水积雪、无蛛网灰尘、无明显异味、无乱贴乱画（小广告）；</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三净：设施表面净（座椅、站牌、玻璃等）、地面净（无污渍、口香糖）、垃圾桶净（内外无残留、无异味）。</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3）作业流程与频率</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日常保洁（每日必做）</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高频巡查：人流密集站台（如商圈、学校、医院周边）每2小时巡查1次，高峰时段（7:00-9:00、17:00-19:00）加密至每小时1次；普通站台每日至少2次全面巡查。</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及时清理：发现散落垃圾（纸屑、塑料瓶等）15分钟内清除；垃圾桶满2/3时及时清空，避免溢出。</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设施擦拭：座椅、站牌玻璃/面板、候车亭立柱每日至少擦拭1次（人流密集站台每日2次），确保无手印、灰尘、污渍。</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定期深度保洁（每周/每月）</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周度清洁：候车亭顶棚（清理落叶、灰尘，疏通排水口）、地面冲洗（高压水枪或拖把清洁顽固污渍）、垃圾桶内外深度消毒（使用中性清洁剂+消毒剂）。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月度清洁：高处设施除尘（如顶棚蛛网、灯箱顶部灰尘）、站台缝隙垃圾清理（用小刷子或吸尘器清除地砖缝隙烟蒂、碎屑）。</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4）特殊天气作业</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雨天：及时清理地面积水（用推水刮或拖把），防止乘客滑倒；雨后冲洗地面泥渍。</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雪天：优先清除站台及上下车区域积雪，撒融雪剂（避免损伤设施），确保地面无冰雪残留。</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大风/落叶季：增加地面清扫频率，及时清理落叶、塑料袋等漂浮垃圾，防止堵塞排水口。</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5）重点设施清洁细则</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地面清洁</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用扫帚+垃圾夹清扫可见垃圾，顽固污渍（油渍、口香糖）用专用清洁剂（如除胶剂）配合钢丝球（非金属地面禁用）或百洁布擦拭，确保无残留痕迹；</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地砖缝隙用小毛刷清理烟蒂、毛发，避免滋生细菌。</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候车亭设施</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座椅：木质/金属座椅用中性清洁剂擦拭，去除汗渍、饮料渍，夏季每日消毒1次（尤其人流高峰后）；塑料座椅避免使用强酸强碱清洁剂，防止老化。</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玻璃/亚克力面板（站牌、挡风玻璃）：用玻璃水+无尘布擦拭，先喷清洁剂溶解污渍，再用干布擦净，确保无水印、手印，透光率≥90%。</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顶棚：每月清理落叶、灰尘，检查排水孔是否通畅，防止积水渗漏。</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垃圾桶</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每日清空垃圾，内外壁用清水冲洗，内壁喷洒中性消毒剂（如84消毒液，稀释比例1:100），去除异味；</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垃圾桶盖保持闭合，周边1米内无散落垃圾，分类标识清晰（可回收/其他垃圾等），破损时及时上报更换。</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“牛皮癣”小广告的清理要求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自备清理“牛皮癣”小广告的车辆和工具</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清理范围包括标段内可视范围内的墙面、地面、路灯杆、卷帘门、公交站台等</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每日上午8点前“牛皮癣”小广告全部清理结束，8点之后专人负责巡回检查并清理。“牛皮癣”清除：夜间产生的“牛皮癣”，早晨7：30分之前清除，白天产生的“牛皮癣”2小时内清除。及时处理道路上地面、墙面、公共设施上的“牛皮癣”，并不得在清除“牛皮癣”时损坏公共设施，在采用覆盖手段清除时，要注意覆盖颜色、形状、大小须与周边环境协调。</w:t>
      </w:r>
      <w:r/>
    </w:p>
    <w:p>
      <w:pPr>
        <w:ind w:firstLine="420"/>
        <w:keepLines w:val="0"/>
        <w:keepNext w:val="0"/>
        <w:pageBreakBefore w:val="0"/>
        <w:spacing w:line="360" w:lineRule="auto"/>
        <w:widowControl w:val="off"/>
        <w:tabs>
          <w:tab w:val="left" w:pos="777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9、信访案件办理、无主垃圾清理、渣土染污路面的要求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在信访案件规定的时间内处置完毕相应的案件；</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自备垃圾清运车辆，无条件及时清运道路保洁范围内的无主建筑垃圾、无主装修垃圾、杂物等，费用自行承担；</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无条件及时清理渣土污染路面，费用自行承担。</w:t>
      </w:r>
      <w:r/>
    </w:p>
    <w:p>
      <w:pPr>
        <w:ind w:firstLine="420"/>
        <w:keepLines w:val="0"/>
        <w:keepNext w:val="0"/>
        <w:pageBreakBefore w:val="0"/>
        <w:spacing w:line="360" w:lineRule="auto"/>
        <w:widowControl w:val="off"/>
        <w:tabs>
          <w:tab w:val="left" w:pos="777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二、作业范围</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说明：以下所列出的为主要的作业区域，表格中未列或表格中列出的数据与现状有偏差的以现状为准，均为中标后需实施的部位。</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集镇规划区范围内西至大运河、东至高铁广场、南至创业路、北至子婴干渠路。</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界首镇环卫综合作业市场管理服务项目作业区域一览表</w:t>
      </w:r>
      <w:r/>
    </w:p>
    <w:tbl>
      <w:tblPr>
        <w:tblStyle w:val="843"/>
        <w:tblW w:w="100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14"/>
        <w:gridCol w:w="2767"/>
        <w:gridCol w:w="1227"/>
        <w:gridCol w:w="1251"/>
        <w:gridCol w:w="1209"/>
        <w:gridCol w:w="1453"/>
      </w:tblGrid>
      <w:tr>
        <w:trPr>
          <w:jc w:val="center"/>
          <w:trHeight w:val="474"/>
        </w:trPr>
        <w:tc>
          <w:tcPr>
            <w:tcW w:w="2114" w:type="dxa"/>
            <w:vAlign w:val="center"/>
            <w:textDirection w:val="lrTb"/>
            <w:noWrap w:val="false"/>
          </w:tcPr>
          <w:p>
            <w:pPr>
              <w:ind w:firstLine="0"/>
              <w:jc w:val="center"/>
              <w:spacing w:after="0" w:line="240" w:lineRule="auto"/>
              <w:rPr>
                <w:rFonts w:hint="eastAsia" w:ascii="宋体" w:hAnsi="宋体" w:eastAsia="宋体" w:cs="宋体"/>
                <w:b/>
                <w:bCs/>
                <w:sz w:val="24"/>
                <w:szCs w:val="24"/>
                <w:lang w:val="en-US" w:eastAsia="zh-CN" w:bidi="ar-SA"/>
              </w:rPr>
            </w:pPr>
            <w:r>
              <w:rPr>
                <w:rFonts w:hint="eastAsia" w:ascii="宋体" w:hAnsi="宋体" w:eastAsia="宋体" w:cs="宋体"/>
                <w:b/>
                <w:bCs/>
                <w:color w:val="000000"/>
                <w:sz w:val="24"/>
                <w:szCs w:val="24"/>
              </w:rPr>
              <w:t xml:space="preserve">路段</w:t>
            </w:r>
            <w:r/>
          </w:p>
        </w:tc>
        <w:tc>
          <w:tcPr>
            <w:tcW w:w="2767" w:type="dxa"/>
            <w:vAlign w:val="center"/>
            <w:textDirection w:val="lrTb"/>
            <w:noWrap w:val="false"/>
          </w:tcPr>
          <w:p>
            <w:pPr>
              <w:jc w:val="center"/>
              <w:spacing w:after="0" w:line="240" w:lineRule="auto"/>
              <w:rPr>
                <w:rFonts w:hint="eastAsia" w:ascii="宋体" w:hAnsi="宋体" w:eastAsia="宋体" w:cs="宋体"/>
                <w:b/>
                <w:bCs/>
                <w:sz w:val="24"/>
                <w:szCs w:val="24"/>
                <w:lang w:val="en-US" w:eastAsia="zh-CN" w:bidi="ar-SA"/>
              </w:rPr>
            </w:pPr>
            <w:r>
              <w:rPr>
                <w:rFonts w:hint="eastAsia" w:ascii="宋体" w:hAnsi="宋体" w:eastAsia="宋体" w:cs="宋体"/>
                <w:b/>
                <w:bCs/>
                <w:color w:val="000000"/>
                <w:sz w:val="24"/>
                <w:szCs w:val="24"/>
              </w:rPr>
              <w:t xml:space="preserve">起止</w:t>
            </w:r>
            <w:r/>
          </w:p>
        </w:tc>
        <w:tc>
          <w:tcPr>
            <w:tcW w:w="1227" w:type="dxa"/>
            <w:vAlign w:val="center"/>
            <w:textDirection w:val="lrTb"/>
            <w:noWrap w:val="false"/>
          </w:tcPr>
          <w:p>
            <w:pPr>
              <w:ind w:left="80" w:firstLine="0"/>
              <w:jc w:val="center"/>
              <w:spacing w:after="0" w:line="240" w:lineRule="auto"/>
              <w:rPr>
                <w:rFonts w:hint="eastAsia" w:ascii="宋体" w:hAnsi="宋体" w:eastAsia="宋体" w:cs="宋体"/>
                <w:b/>
                <w:bCs/>
                <w:sz w:val="24"/>
                <w:szCs w:val="24"/>
                <w:lang w:val="en-US" w:eastAsia="zh-CN" w:bidi="ar-SA"/>
              </w:rPr>
            </w:pPr>
            <w:r>
              <w:rPr>
                <w:rFonts w:hint="eastAsia" w:ascii="宋体" w:hAnsi="宋体" w:eastAsia="宋体" w:cs="宋体"/>
                <w:b/>
                <w:bCs/>
                <w:color w:val="000000"/>
                <w:sz w:val="24"/>
                <w:szCs w:val="24"/>
              </w:rPr>
              <w:t xml:space="preserve">长（米）</w:t>
            </w:r>
            <w:r/>
          </w:p>
        </w:tc>
        <w:tc>
          <w:tcPr>
            <w:tcW w:w="1251" w:type="dxa"/>
            <w:vAlign w:val="center"/>
            <w:textDirection w:val="lrTb"/>
            <w:noWrap w:val="false"/>
          </w:tcPr>
          <w:p>
            <w:pPr>
              <w:ind w:left="120" w:firstLine="0"/>
              <w:jc w:val="center"/>
              <w:spacing w:after="0" w:line="240" w:lineRule="auto"/>
              <w:rPr>
                <w:rFonts w:hint="eastAsia" w:ascii="宋体" w:hAnsi="宋体" w:eastAsia="宋体" w:cs="宋体"/>
                <w:b/>
                <w:bCs/>
                <w:sz w:val="24"/>
                <w:szCs w:val="24"/>
                <w:lang w:val="en-US" w:eastAsia="zh-CN" w:bidi="ar-SA"/>
              </w:rPr>
            </w:pPr>
            <w:r>
              <w:rPr>
                <w:rFonts w:hint="eastAsia" w:ascii="宋体" w:hAnsi="宋体" w:eastAsia="宋体" w:cs="宋体"/>
                <w:b/>
                <w:bCs/>
                <w:color w:val="000000"/>
                <w:sz w:val="24"/>
                <w:szCs w:val="24"/>
              </w:rPr>
              <w:t xml:space="preserve">宽（米）</w:t>
            </w:r>
            <w:r/>
          </w:p>
        </w:tc>
        <w:tc>
          <w:tcPr>
            <w:tcW w:w="1209" w:type="dxa"/>
            <w:vAlign w:val="center"/>
            <w:textDirection w:val="lrTb"/>
            <w:noWrap w:val="false"/>
          </w:tcPr>
          <w:p>
            <w:pPr>
              <w:ind w:left="100" w:firstLine="0"/>
              <w:jc w:val="center"/>
              <w:spacing w:after="0" w:line="240" w:lineRule="auto"/>
              <w:rPr>
                <w:rFonts w:hint="eastAsia" w:ascii="宋体" w:hAnsi="宋体" w:eastAsia="宋体" w:cs="宋体"/>
                <w:b/>
                <w:bCs/>
                <w:sz w:val="24"/>
                <w:szCs w:val="24"/>
                <w:lang w:val="en-US" w:eastAsia="zh-CN" w:bidi="ar-SA"/>
              </w:rPr>
            </w:pPr>
            <w:r>
              <w:rPr>
                <w:rFonts w:hint="eastAsia" w:ascii="宋体" w:hAnsi="宋体" w:eastAsia="宋体" w:cs="宋体"/>
                <w:b/>
                <w:bCs/>
                <w:color w:val="000000"/>
                <w:sz w:val="24"/>
                <w:szCs w:val="24"/>
              </w:rPr>
              <w:t xml:space="preserve">平方米</w:t>
            </w:r>
            <w:r/>
          </w:p>
        </w:tc>
        <w:tc>
          <w:tcPr>
            <w:tcW w:w="1453" w:type="dxa"/>
            <w:vAlign w:val="center"/>
            <w:textDirection w:val="lrTb"/>
            <w:noWrap w:val="false"/>
          </w:tcPr>
          <w:p>
            <w:pPr>
              <w:jc w:val="center"/>
              <w:spacing w:after="0" w:line="240" w:lineRule="auto"/>
              <w:rPr>
                <w:rFonts w:hint="eastAsia" w:ascii="宋体" w:hAnsi="宋体" w:eastAsia="宋体" w:cs="宋体"/>
                <w:b/>
                <w:bCs/>
                <w:sz w:val="24"/>
                <w:szCs w:val="24"/>
                <w:lang w:val="en-US" w:eastAsia="zh-CN" w:bidi="ar-SA"/>
              </w:rPr>
            </w:pPr>
            <w:r>
              <w:rPr>
                <w:rFonts w:hint="eastAsia" w:ascii="宋体" w:hAnsi="宋体" w:eastAsia="宋体" w:cs="宋体"/>
                <w:b/>
                <w:bCs/>
                <w:color w:val="000000"/>
                <w:sz w:val="24"/>
                <w:szCs w:val="24"/>
              </w:rPr>
              <w:t xml:space="preserve">备注</w:t>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红旗路</w:t>
            </w:r>
            <w:r/>
          </w:p>
        </w:tc>
        <w:tc>
          <w:tcPr>
            <w:tcW w:w="276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东至京杭路，西至盂陵路</w:t>
            </w:r>
            <w:r/>
          </w:p>
        </w:tc>
        <w:tc>
          <w:tcPr>
            <w:tcW w:w="122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470</w:t>
            </w:r>
            <w:r/>
          </w:p>
        </w:tc>
        <w:tc>
          <w:tcPr>
            <w:tcW w:w="1251"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8</w:t>
            </w:r>
            <w:r/>
          </w:p>
        </w:tc>
        <w:tc>
          <w:tcPr>
            <w:tcW w:w="1209"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3760</w:t>
            </w:r>
            <w:r/>
          </w:p>
        </w:tc>
        <w:tc>
          <w:tcPr>
            <w:tcW w:w="1453"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rPr>
              <w:t xml:space="preserve">永祥</w:t>
            </w:r>
            <w:r>
              <w:rPr>
                <w:rFonts w:hint="eastAsia" w:ascii="宋体" w:hAnsi="宋体" w:eastAsia="宋体" w:cs="宋体"/>
                <w:color w:val="000000"/>
                <w:sz w:val="24"/>
                <w:szCs w:val="24"/>
              </w:rPr>
              <w:t xml:space="preserve">路</w:t>
            </w:r>
            <w:r/>
          </w:p>
        </w:tc>
        <w:tc>
          <w:tcPr>
            <w:tcW w:w="276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东至镇东路，西至居家桥</w:t>
            </w:r>
            <w:r/>
          </w:p>
        </w:tc>
        <w:tc>
          <w:tcPr>
            <w:tcW w:w="122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300</w:t>
            </w:r>
            <w:r/>
          </w:p>
        </w:tc>
        <w:tc>
          <w:tcPr>
            <w:tcW w:w="1251"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10</w:t>
            </w:r>
            <w:r/>
          </w:p>
        </w:tc>
        <w:tc>
          <w:tcPr>
            <w:tcW w:w="1209"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3000</w:t>
            </w:r>
            <w:r/>
          </w:p>
        </w:tc>
        <w:tc>
          <w:tcPr>
            <w:tcW w:w="1453"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国庆路东段</w:t>
            </w:r>
            <w:r>
              <w:rPr>
                <w:rFonts w:hint="eastAsia" w:ascii="宋体" w:hAnsi="宋体" w:eastAsia="宋体" w:cs="宋体"/>
                <w:color w:val="000000"/>
                <w:sz w:val="24"/>
                <w:szCs w:val="24"/>
                <w:lang w:val="en-US" w:eastAsia="zh-CN"/>
              </w:rPr>
              <w:t xml:space="preserve">辅</w:t>
            </w:r>
            <w:r>
              <w:rPr>
                <w:rFonts w:hint="eastAsia" w:ascii="宋体" w:hAnsi="宋体" w:eastAsia="宋体" w:cs="宋体"/>
                <w:color w:val="000000"/>
                <w:sz w:val="24"/>
                <w:szCs w:val="24"/>
              </w:rPr>
              <w:t xml:space="preserve">路</w:t>
            </w:r>
            <w:r/>
          </w:p>
        </w:tc>
        <w:tc>
          <w:tcPr>
            <w:tcW w:w="276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东至牌楼，西至农广中心出口</w:t>
            </w:r>
            <w:r/>
          </w:p>
        </w:tc>
        <w:tc>
          <w:tcPr>
            <w:tcW w:w="122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450</w:t>
            </w:r>
            <w:r/>
          </w:p>
        </w:tc>
        <w:tc>
          <w:tcPr>
            <w:tcW w:w="1251"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10</w:t>
            </w:r>
            <w:r/>
          </w:p>
        </w:tc>
        <w:tc>
          <w:tcPr>
            <w:tcW w:w="1209"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4500</w:t>
            </w:r>
            <w:r/>
          </w:p>
        </w:tc>
        <w:tc>
          <w:tcPr>
            <w:tcW w:w="1453"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板桥街</w:t>
            </w:r>
            <w:r/>
          </w:p>
        </w:tc>
        <w:tc>
          <w:tcPr>
            <w:tcW w:w="276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东至下河路，西至林家街</w:t>
            </w:r>
            <w:r/>
          </w:p>
        </w:tc>
        <w:tc>
          <w:tcPr>
            <w:tcW w:w="122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100</w:t>
            </w:r>
            <w:r/>
          </w:p>
        </w:tc>
        <w:tc>
          <w:tcPr>
            <w:tcW w:w="1251"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2</w:t>
            </w:r>
            <w:r/>
          </w:p>
        </w:tc>
        <w:tc>
          <w:tcPr>
            <w:tcW w:w="1209"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200</w:t>
            </w:r>
            <w:r/>
          </w:p>
        </w:tc>
        <w:tc>
          <w:tcPr>
            <w:tcW w:w="1453"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井巷口</w:t>
            </w:r>
            <w:r/>
          </w:p>
        </w:tc>
        <w:tc>
          <w:tcPr>
            <w:tcW w:w="276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南至下河路，北至甓湖路</w:t>
            </w:r>
            <w:r/>
          </w:p>
        </w:tc>
        <w:tc>
          <w:tcPr>
            <w:tcW w:w="122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100</w:t>
            </w:r>
            <w:r/>
          </w:p>
        </w:tc>
        <w:tc>
          <w:tcPr>
            <w:tcW w:w="1251"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2</w:t>
            </w:r>
            <w:r/>
          </w:p>
        </w:tc>
        <w:tc>
          <w:tcPr>
            <w:tcW w:w="1209"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200</w:t>
            </w:r>
            <w:r/>
          </w:p>
        </w:tc>
        <w:tc>
          <w:tcPr>
            <w:tcW w:w="1453"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菜市巷</w:t>
            </w:r>
            <w:r/>
          </w:p>
        </w:tc>
        <w:tc>
          <w:tcPr>
            <w:tcW w:w="276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北大街至林家街</w:t>
            </w:r>
            <w:r/>
          </w:p>
        </w:tc>
        <w:tc>
          <w:tcPr>
            <w:tcW w:w="122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100</w:t>
            </w:r>
            <w:r/>
          </w:p>
        </w:tc>
        <w:tc>
          <w:tcPr>
            <w:tcW w:w="1251"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2</w:t>
            </w:r>
            <w:r/>
          </w:p>
        </w:tc>
        <w:tc>
          <w:tcPr>
            <w:tcW w:w="1209"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200</w:t>
            </w:r>
            <w:r/>
          </w:p>
        </w:tc>
        <w:tc>
          <w:tcPr>
            <w:tcW w:w="1453"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运堤路</w:t>
            </w:r>
            <w:r>
              <w:rPr>
                <w:rFonts w:hint="eastAsia" w:ascii="宋体" w:hAnsi="宋体" w:eastAsia="宋体" w:cs="宋体"/>
                <w:color w:val="000000"/>
                <w:sz w:val="24"/>
                <w:szCs w:val="24"/>
                <w:lang w:eastAsia="zh-CN"/>
              </w:rPr>
              <w:t xml:space="preserve">两侧</w:t>
            </w:r>
            <w:r/>
          </w:p>
        </w:tc>
        <w:tc>
          <w:tcPr>
            <w:tcW w:w="276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南至小闸塘，北至生资路口</w:t>
            </w:r>
            <w:r/>
          </w:p>
        </w:tc>
        <w:tc>
          <w:tcPr>
            <w:tcW w:w="122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00</w:t>
            </w:r>
            <w:r/>
          </w:p>
        </w:tc>
        <w:tc>
          <w:tcPr>
            <w:tcW w:w="1251"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7</w:t>
            </w:r>
            <w:r/>
          </w:p>
        </w:tc>
        <w:tc>
          <w:tcPr>
            <w:tcW w:w="1209"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rPr>
              <w:t xml:space="preserve">70</w:t>
            </w:r>
            <w:r>
              <w:rPr>
                <w:rFonts w:hint="eastAsia" w:ascii="宋体" w:hAnsi="宋体" w:eastAsia="宋体" w:cs="宋体"/>
                <w:color w:val="000000"/>
                <w:sz w:val="24"/>
                <w:szCs w:val="24"/>
              </w:rPr>
              <w:t xml:space="preserve">00</w:t>
            </w:r>
            <w:r/>
          </w:p>
        </w:tc>
        <w:tc>
          <w:tcPr>
            <w:tcW w:w="1453"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南北大街</w:t>
            </w:r>
            <w:r/>
          </w:p>
        </w:tc>
        <w:tc>
          <w:tcPr>
            <w:tcW w:w="276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南至老粮站，北至建设路</w:t>
            </w:r>
            <w:r/>
          </w:p>
        </w:tc>
        <w:tc>
          <w:tcPr>
            <w:tcW w:w="122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408</w:t>
            </w:r>
            <w:r/>
          </w:p>
        </w:tc>
        <w:tc>
          <w:tcPr>
            <w:tcW w:w="1251"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09"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1180</w:t>
            </w:r>
            <w:r/>
          </w:p>
        </w:tc>
        <w:tc>
          <w:tcPr>
            <w:tcW w:w="1453"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林家街南巷</w:t>
            </w:r>
            <w:r/>
          </w:p>
        </w:tc>
        <w:tc>
          <w:tcPr>
            <w:tcW w:w="276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南至杨家街，北至甓湖路</w:t>
            </w:r>
            <w:r/>
          </w:p>
        </w:tc>
        <w:tc>
          <w:tcPr>
            <w:tcW w:w="122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118</w:t>
            </w:r>
            <w:r/>
          </w:p>
        </w:tc>
        <w:tc>
          <w:tcPr>
            <w:tcW w:w="1251"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2.5</w:t>
            </w:r>
            <w:r/>
          </w:p>
        </w:tc>
        <w:tc>
          <w:tcPr>
            <w:tcW w:w="1209"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295</w:t>
            </w:r>
            <w:r/>
          </w:p>
        </w:tc>
        <w:tc>
          <w:tcPr>
            <w:tcW w:w="1453"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林家街北巷</w:t>
            </w:r>
            <w:r/>
          </w:p>
        </w:tc>
        <w:tc>
          <w:tcPr>
            <w:tcW w:w="276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南至甓湖路，北至太平街</w:t>
            </w:r>
            <w:r/>
          </w:p>
        </w:tc>
        <w:tc>
          <w:tcPr>
            <w:tcW w:w="122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80</w:t>
            </w:r>
            <w:r/>
          </w:p>
        </w:tc>
        <w:tc>
          <w:tcPr>
            <w:tcW w:w="1251"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2</w:t>
            </w:r>
            <w:r/>
          </w:p>
        </w:tc>
        <w:tc>
          <w:tcPr>
            <w:tcW w:w="1209"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160</w:t>
            </w:r>
            <w:r/>
          </w:p>
        </w:tc>
        <w:tc>
          <w:tcPr>
            <w:tcW w:w="1453"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文化巷</w:t>
            </w:r>
            <w:r/>
          </w:p>
        </w:tc>
        <w:tc>
          <w:tcPr>
            <w:tcW w:w="276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2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80</w:t>
            </w:r>
            <w:r/>
          </w:p>
        </w:tc>
        <w:tc>
          <w:tcPr>
            <w:tcW w:w="1251"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1.5</w:t>
            </w:r>
            <w:r/>
          </w:p>
        </w:tc>
        <w:tc>
          <w:tcPr>
            <w:tcW w:w="1209"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120</w:t>
            </w:r>
            <w:r/>
          </w:p>
        </w:tc>
        <w:tc>
          <w:tcPr>
            <w:tcW w:w="1453"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竹厂街北巷</w:t>
            </w:r>
            <w:r/>
          </w:p>
        </w:tc>
        <w:tc>
          <w:tcPr>
            <w:tcW w:w="276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南至竹厂街，北至建设路</w:t>
            </w:r>
            <w:r/>
          </w:p>
        </w:tc>
        <w:tc>
          <w:tcPr>
            <w:tcW w:w="122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64.5</w:t>
            </w:r>
            <w:r/>
          </w:p>
        </w:tc>
        <w:tc>
          <w:tcPr>
            <w:tcW w:w="1251"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1.8</w:t>
            </w:r>
            <w:r/>
          </w:p>
        </w:tc>
        <w:tc>
          <w:tcPr>
            <w:tcW w:w="1209"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116</w:t>
            </w:r>
            <w:r/>
          </w:p>
        </w:tc>
        <w:tc>
          <w:tcPr>
            <w:tcW w:w="1453"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ind w:firstLine="0"/>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里仁巷</w:t>
            </w:r>
            <w:r/>
          </w:p>
        </w:tc>
        <w:tc>
          <w:tcPr>
            <w:tcW w:w="276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南至太平街，北至竹厂街</w:t>
            </w:r>
            <w:r/>
          </w:p>
        </w:tc>
        <w:tc>
          <w:tcPr>
            <w:tcW w:w="122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68</w:t>
            </w:r>
            <w:r/>
          </w:p>
        </w:tc>
        <w:tc>
          <w:tcPr>
            <w:tcW w:w="1251"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1.5</w:t>
            </w:r>
            <w:r/>
          </w:p>
        </w:tc>
        <w:tc>
          <w:tcPr>
            <w:tcW w:w="1209"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102</w:t>
            </w:r>
            <w:r/>
          </w:p>
        </w:tc>
        <w:tc>
          <w:tcPr>
            <w:tcW w:w="1453"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后园街至茶干厂</w:t>
            </w:r>
            <w:r/>
          </w:p>
        </w:tc>
        <w:tc>
          <w:tcPr>
            <w:tcW w:w="276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南至建设路，北至</w:t>
            </w:r>
            <w:r>
              <w:rPr>
                <w:rFonts w:hint="eastAsia" w:ascii="宋体" w:hAnsi="宋体" w:eastAsia="宋体" w:cs="宋体"/>
                <w:color w:val="000000"/>
                <w:sz w:val="24"/>
                <w:szCs w:val="24"/>
                <w:lang w:val="en-US" w:eastAsia="zh-CN"/>
              </w:rPr>
              <w:t xml:space="preserve">袁氏</w:t>
            </w:r>
            <w:r>
              <w:rPr>
                <w:rFonts w:hint="eastAsia" w:ascii="宋体" w:hAnsi="宋体" w:eastAsia="宋体" w:cs="宋体"/>
                <w:color w:val="000000"/>
                <w:sz w:val="24"/>
                <w:szCs w:val="24"/>
              </w:rPr>
              <w:t xml:space="preserve">茶干厂</w:t>
            </w:r>
            <w:r/>
          </w:p>
        </w:tc>
        <w:tc>
          <w:tcPr>
            <w:tcW w:w="122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240</w:t>
            </w:r>
            <w:r/>
          </w:p>
        </w:tc>
        <w:tc>
          <w:tcPr>
            <w:tcW w:w="1251"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4</w:t>
            </w:r>
            <w:r/>
          </w:p>
        </w:tc>
        <w:tc>
          <w:tcPr>
            <w:tcW w:w="1209"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960</w:t>
            </w:r>
            <w:r/>
          </w:p>
        </w:tc>
        <w:tc>
          <w:tcPr>
            <w:tcW w:w="1453"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ind w:firstLine="0"/>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下河路</w:t>
            </w:r>
            <w:r/>
          </w:p>
        </w:tc>
        <w:tc>
          <w:tcPr>
            <w:tcW w:w="276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南至界中院墙，北至建设路</w:t>
            </w:r>
            <w:r/>
          </w:p>
        </w:tc>
        <w:tc>
          <w:tcPr>
            <w:tcW w:w="122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443</w:t>
            </w:r>
            <w:r/>
          </w:p>
        </w:tc>
        <w:tc>
          <w:tcPr>
            <w:tcW w:w="1251"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9</w:t>
            </w:r>
            <w:r/>
          </w:p>
        </w:tc>
        <w:tc>
          <w:tcPr>
            <w:tcW w:w="1209"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3987</w:t>
            </w:r>
            <w:r/>
          </w:p>
        </w:tc>
        <w:tc>
          <w:tcPr>
            <w:tcW w:w="1453"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健康巷</w:t>
            </w:r>
            <w:r/>
          </w:p>
        </w:tc>
        <w:tc>
          <w:tcPr>
            <w:tcW w:w="276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南至界中院墙，北至甓湖路</w:t>
            </w:r>
            <w:r/>
          </w:p>
        </w:tc>
        <w:tc>
          <w:tcPr>
            <w:tcW w:w="122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160</w:t>
            </w:r>
            <w:r/>
          </w:p>
        </w:tc>
        <w:tc>
          <w:tcPr>
            <w:tcW w:w="1251"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2.5</w:t>
            </w:r>
            <w:r/>
          </w:p>
        </w:tc>
        <w:tc>
          <w:tcPr>
            <w:tcW w:w="1209"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400</w:t>
            </w:r>
            <w:r/>
          </w:p>
        </w:tc>
        <w:tc>
          <w:tcPr>
            <w:tcW w:w="1453"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界东河西巷</w:t>
            </w:r>
            <w:r/>
          </w:p>
        </w:tc>
        <w:tc>
          <w:tcPr>
            <w:tcW w:w="276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南至</w:t>
            </w:r>
            <w:r>
              <w:rPr>
                <w:rFonts w:hint="eastAsia" w:ascii="宋体" w:hAnsi="宋体" w:eastAsia="宋体" w:cs="宋体"/>
                <w:color w:val="000000"/>
                <w:sz w:val="24"/>
                <w:szCs w:val="24"/>
                <w:lang w:val="en-US" w:eastAsia="zh-CN"/>
              </w:rPr>
              <w:t xml:space="preserve">初</w:t>
            </w:r>
            <w:r>
              <w:rPr>
                <w:rFonts w:hint="eastAsia" w:ascii="宋体" w:hAnsi="宋体" w:eastAsia="宋体" w:cs="宋体"/>
                <w:color w:val="000000"/>
                <w:sz w:val="24"/>
                <w:szCs w:val="24"/>
              </w:rPr>
              <w:t xml:space="preserve">中院墙，北至甓湖路</w:t>
            </w:r>
            <w:r/>
          </w:p>
        </w:tc>
        <w:tc>
          <w:tcPr>
            <w:tcW w:w="122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152</w:t>
            </w:r>
            <w:r/>
          </w:p>
        </w:tc>
        <w:tc>
          <w:tcPr>
            <w:tcW w:w="1251"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2</w:t>
            </w:r>
            <w:r/>
          </w:p>
        </w:tc>
        <w:tc>
          <w:tcPr>
            <w:tcW w:w="1209"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304</w:t>
            </w:r>
            <w:r/>
          </w:p>
        </w:tc>
        <w:tc>
          <w:tcPr>
            <w:tcW w:w="1453"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商品街</w:t>
            </w:r>
            <w:r/>
          </w:p>
        </w:tc>
        <w:tc>
          <w:tcPr>
            <w:tcW w:w="276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南至界中院墙，北至镇北浴室</w:t>
            </w:r>
            <w:r/>
          </w:p>
        </w:tc>
        <w:tc>
          <w:tcPr>
            <w:tcW w:w="122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402</w:t>
            </w:r>
            <w:r/>
          </w:p>
        </w:tc>
        <w:tc>
          <w:tcPr>
            <w:tcW w:w="1251"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09"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2312</w:t>
            </w:r>
            <w:r/>
          </w:p>
        </w:tc>
        <w:tc>
          <w:tcPr>
            <w:tcW w:w="1453"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ind w:firstLine="0"/>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人民路</w:t>
            </w:r>
            <w:r/>
          </w:p>
        </w:tc>
        <w:tc>
          <w:tcPr>
            <w:tcW w:w="276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南至二里支，北至甓湖路</w:t>
            </w:r>
            <w:r/>
          </w:p>
        </w:tc>
        <w:tc>
          <w:tcPr>
            <w:tcW w:w="122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930</w:t>
            </w:r>
            <w:r/>
          </w:p>
        </w:tc>
        <w:tc>
          <w:tcPr>
            <w:tcW w:w="1251"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09"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7696</w:t>
            </w:r>
            <w:r/>
          </w:p>
        </w:tc>
        <w:tc>
          <w:tcPr>
            <w:tcW w:w="1453"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人民北路</w:t>
            </w:r>
            <w:r/>
          </w:p>
        </w:tc>
        <w:tc>
          <w:tcPr>
            <w:tcW w:w="276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南至甓湖路，北至护国寺街</w:t>
            </w:r>
            <w:r/>
          </w:p>
        </w:tc>
        <w:tc>
          <w:tcPr>
            <w:tcW w:w="122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107</w:t>
            </w:r>
            <w:r/>
          </w:p>
        </w:tc>
        <w:tc>
          <w:tcPr>
            <w:tcW w:w="1251"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5</w:t>
            </w:r>
            <w:r/>
          </w:p>
        </w:tc>
        <w:tc>
          <w:tcPr>
            <w:tcW w:w="1209"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535</w:t>
            </w:r>
            <w:r/>
          </w:p>
        </w:tc>
        <w:tc>
          <w:tcPr>
            <w:tcW w:w="1453"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ind w:firstLine="0"/>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兴驿巷</w:t>
            </w:r>
            <w:r/>
          </w:p>
        </w:tc>
        <w:tc>
          <w:tcPr>
            <w:tcW w:w="276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南至甓湖路，北至黎广宏户</w:t>
            </w:r>
            <w:r/>
          </w:p>
        </w:tc>
        <w:tc>
          <w:tcPr>
            <w:tcW w:w="122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180</w:t>
            </w:r>
            <w:r/>
          </w:p>
        </w:tc>
        <w:tc>
          <w:tcPr>
            <w:tcW w:w="1251"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4</w:t>
            </w:r>
            <w:r/>
          </w:p>
        </w:tc>
        <w:tc>
          <w:tcPr>
            <w:tcW w:w="1209"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720</w:t>
            </w:r>
            <w:r/>
          </w:p>
        </w:tc>
        <w:tc>
          <w:tcPr>
            <w:tcW w:w="1453"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安乐巷</w:t>
            </w:r>
            <w:r/>
          </w:p>
        </w:tc>
        <w:tc>
          <w:tcPr>
            <w:tcW w:w="276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南至凤凰河，北至甓湖路</w:t>
            </w:r>
            <w:r/>
          </w:p>
        </w:tc>
        <w:tc>
          <w:tcPr>
            <w:tcW w:w="122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340</w:t>
            </w:r>
            <w:r/>
          </w:p>
        </w:tc>
        <w:tc>
          <w:tcPr>
            <w:tcW w:w="1251"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4</w:t>
            </w:r>
            <w:r/>
          </w:p>
        </w:tc>
        <w:tc>
          <w:tcPr>
            <w:tcW w:w="1209"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1360</w:t>
            </w:r>
            <w:r/>
          </w:p>
        </w:tc>
        <w:tc>
          <w:tcPr>
            <w:tcW w:w="1453"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丹凤苑西边一条路</w:t>
            </w:r>
            <w:r/>
          </w:p>
        </w:tc>
        <w:tc>
          <w:tcPr>
            <w:tcW w:w="276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南至创业路，北至凤凰河</w:t>
            </w:r>
            <w:r/>
          </w:p>
        </w:tc>
        <w:tc>
          <w:tcPr>
            <w:tcW w:w="122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210</w:t>
            </w:r>
            <w:r/>
          </w:p>
        </w:tc>
        <w:tc>
          <w:tcPr>
            <w:tcW w:w="1251"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3</w:t>
            </w:r>
            <w:r/>
          </w:p>
        </w:tc>
        <w:tc>
          <w:tcPr>
            <w:tcW w:w="1209"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630</w:t>
            </w:r>
            <w:r/>
          </w:p>
        </w:tc>
        <w:tc>
          <w:tcPr>
            <w:tcW w:w="1453"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建设路</w:t>
            </w:r>
            <w:r/>
          </w:p>
        </w:tc>
        <w:tc>
          <w:tcPr>
            <w:tcW w:w="276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东至镇北浴室，西至运堤路</w:t>
            </w:r>
            <w:r/>
          </w:p>
        </w:tc>
        <w:tc>
          <w:tcPr>
            <w:tcW w:w="122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400</w:t>
            </w:r>
            <w:r/>
          </w:p>
        </w:tc>
        <w:tc>
          <w:tcPr>
            <w:tcW w:w="1251"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8</w:t>
            </w:r>
            <w:r/>
          </w:p>
        </w:tc>
        <w:tc>
          <w:tcPr>
            <w:tcW w:w="1209"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3200</w:t>
            </w:r>
            <w:r/>
          </w:p>
        </w:tc>
        <w:tc>
          <w:tcPr>
            <w:tcW w:w="1453"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竹厂街</w:t>
            </w:r>
            <w:r/>
          </w:p>
        </w:tc>
        <w:tc>
          <w:tcPr>
            <w:tcW w:w="276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东至里仁巷，西至北大街</w:t>
            </w:r>
            <w:r/>
          </w:p>
        </w:tc>
        <w:tc>
          <w:tcPr>
            <w:tcW w:w="122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130</w:t>
            </w:r>
            <w:r/>
          </w:p>
        </w:tc>
        <w:tc>
          <w:tcPr>
            <w:tcW w:w="1251"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2.5</w:t>
            </w:r>
            <w:r/>
          </w:p>
        </w:tc>
        <w:tc>
          <w:tcPr>
            <w:tcW w:w="1209"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325</w:t>
            </w:r>
            <w:r/>
          </w:p>
        </w:tc>
        <w:tc>
          <w:tcPr>
            <w:tcW w:w="1453"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太平街</w:t>
            </w:r>
            <w:r/>
          </w:p>
        </w:tc>
        <w:tc>
          <w:tcPr>
            <w:tcW w:w="276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东至护国寺，西至北大街</w:t>
            </w:r>
            <w:r/>
          </w:p>
        </w:tc>
        <w:tc>
          <w:tcPr>
            <w:tcW w:w="122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290</w:t>
            </w:r>
            <w:r/>
          </w:p>
        </w:tc>
        <w:tc>
          <w:tcPr>
            <w:tcW w:w="1251"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09"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995</w:t>
            </w:r>
            <w:r/>
          </w:p>
        </w:tc>
        <w:tc>
          <w:tcPr>
            <w:tcW w:w="1453"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甓湖路</w:t>
            </w:r>
            <w:r/>
          </w:p>
        </w:tc>
        <w:tc>
          <w:tcPr>
            <w:tcW w:w="276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东至盂陵路，西至运堤路</w:t>
            </w:r>
            <w:r/>
          </w:p>
        </w:tc>
        <w:tc>
          <w:tcPr>
            <w:tcW w:w="122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600</w:t>
            </w:r>
            <w:r/>
          </w:p>
        </w:tc>
        <w:tc>
          <w:tcPr>
            <w:tcW w:w="1251"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18</w:t>
            </w:r>
            <w:r/>
          </w:p>
        </w:tc>
        <w:tc>
          <w:tcPr>
            <w:tcW w:w="1209"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10800</w:t>
            </w:r>
            <w:r/>
          </w:p>
        </w:tc>
        <w:tc>
          <w:tcPr>
            <w:tcW w:w="1453"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镇区</w:t>
            </w:r>
            <w:r>
              <w:rPr>
                <w:rFonts w:hint="eastAsia" w:ascii="宋体" w:hAnsi="宋体" w:eastAsia="宋体" w:cs="宋体"/>
                <w:color w:val="000000"/>
                <w:sz w:val="24"/>
                <w:szCs w:val="24"/>
                <w:lang w:val="en-US" w:eastAsia="zh-CN"/>
              </w:rPr>
              <w:t xml:space="preserve">13座公厕、牛皮癣</w:t>
            </w:r>
            <w:r/>
          </w:p>
        </w:tc>
        <w:tc>
          <w:tcPr>
            <w:tcW w:w="2767" w:type="dxa"/>
            <w:vAlign w:val="center"/>
            <w:textDirection w:val="lrTb"/>
            <w:noWrap w:val="false"/>
          </w:tcPr>
          <w:p>
            <w:pPr>
              <w:ind w:left="32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2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51"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453"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杨家街</w:t>
            </w:r>
            <w:r/>
          </w:p>
        </w:tc>
        <w:tc>
          <w:tcPr>
            <w:tcW w:w="276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东至下河路，西至南大街</w:t>
            </w:r>
            <w:r/>
          </w:p>
        </w:tc>
        <w:tc>
          <w:tcPr>
            <w:tcW w:w="1227"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198</w:t>
            </w:r>
            <w:r/>
          </w:p>
        </w:tc>
        <w:tc>
          <w:tcPr>
            <w:tcW w:w="1251"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209"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594</w:t>
            </w:r>
            <w:r/>
          </w:p>
        </w:tc>
        <w:tc>
          <w:tcPr>
            <w:tcW w:w="1453"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永兴寺街</w:t>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东至界中西门、西至运堤路</w:t>
            </w:r>
            <w:r/>
          </w:p>
        </w:tc>
        <w:tc>
          <w:tcPr>
            <w:tcW w:w="122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155</w:t>
            </w:r>
            <w:r/>
          </w:p>
        </w:tc>
        <w:tc>
          <w:tcPr>
            <w:tcW w:w="1251"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rPr>
              <w:t xml:space="preserve">7</w:t>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1085</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界东河水泥河南堤</w:t>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东至盂陵路，西至界东河路</w:t>
            </w:r>
            <w:r/>
          </w:p>
        </w:tc>
        <w:tc>
          <w:tcPr>
            <w:tcW w:w="122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215</w:t>
            </w:r>
            <w:r/>
          </w:p>
        </w:tc>
        <w:tc>
          <w:tcPr>
            <w:tcW w:w="1251"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2</w:t>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430</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界东河水泥河北堤</w:t>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东至盂陵路，西至界东河路</w:t>
            </w:r>
            <w:r/>
          </w:p>
        </w:tc>
        <w:tc>
          <w:tcPr>
            <w:tcW w:w="122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200</w:t>
            </w:r>
            <w:r/>
          </w:p>
        </w:tc>
        <w:tc>
          <w:tcPr>
            <w:tcW w:w="1251"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2</w:t>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400</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护国寺街</w:t>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东至盂陵路，西至界东河路</w:t>
            </w:r>
            <w:r/>
          </w:p>
        </w:tc>
        <w:tc>
          <w:tcPr>
            <w:tcW w:w="122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225</w:t>
            </w:r>
            <w:r/>
          </w:p>
        </w:tc>
        <w:tc>
          <w:tcPr>
            <w:tcW w:w="1251"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4</w:t>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900</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茆家巷</w:t>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东至界东河路，西至下河路</w:t>
            </w:r>
            <w:r/>
          </w:p>
        </w:tc>
        <w:tc>
          <w:tcPr>
            <w:tcW w:w="122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130</w:t>
            </w:r>
            <w:r/>
          </w:p>
        </w:tc>
        <w:tc>
          <w:tcPr>
            <w:tcW w:w="1251"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3</w:t>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390</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国税</w:t>
            </w:r>
            <w:r>
              <w:rPr>
                <w:rFonts w:hint="eastAsia" w:ascii="宋体" w:hAnsi="宋体" w:eastAsia="宋体" w:cs="宋体"/>
                <w:color w:val="000000"/>
                <w:sz w:val="24"/>
                <w:szCs w:val="24"/>
              </w:rPr>
              <w:t xml:space="preserve">局南巷</w:t>
            </w:r>
            <w:r>
              <w:rPr>
                <w:rFonts w:hint="eastAsia" w:ascii="宋体" w:hAnsi="宋体" w:eastAsia="宋体" w:cs="宋体"/>
                <w:color w:val="000000"/>
                <w:sz w:val="24"/>
                <w:szCs w:val="24"/>
                <w:lang w:val="en-US" w:eastAsia="zh-CN"/>
              </w:rPr>
              <w:t xml:space="preserve">道</w:t>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东至安乐巷，西至人民路</w:t>
            </w:r>
            <w:r/>
          </w:p>
        </w:tc>
        <w:tc>
          <w:tcPr>
            <w:tcW w:w="122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50</w:t>
            </w:r>
            <w:r/>
          </w:p>
        </w:tc>
        <w:tc>
          <w:tcPr>
            <w:tcW w:w="1251"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2.5</w:t>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125</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三元街</w:t>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东至富民路，西至下河路</w:t>
            </w:r>
            <w:r/>
          </w:p>
        </w:tc>
        <w:tc>
          <w:tcPr>
            <w:tcW w:w="122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580</w:t>
            </w:r>
            <w:r/>
          </w:p>
        </w:tc>
        <w:tc>
          <w:tcPr>
            <w:tcW w:w="1251" w:type="dxa"/>
            <w:vAlign w:val="center"/>
            <w:textDirection w:val="lrTb"/>
            <w:noWrap w:val="false"/>
          </w:tcPr>
          <w:p>
            <w:pPr>
              <w:ind w:left="36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3950</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泰和</w:t>
            </w:r>
            <w:r>
              <w:rPr>
                <w:rFonts w:hint="eastAsia" w:ascii="宋体" w:hAnsi="宋体" w:eastAsia="宋体" w:cs="宋体"/>
                <w:color w:val="000000"/>
                <w:sz w:val="24"/>
                <w:szCs w:val="24"/>
                <w:lang w:val="en-US" w:eastAsia="zh-CN"/>
              </w:rPr>
              <w:t xml:space="preserve">巷</w:t>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东至盂陵路，西至人民路</w:t>
            </w:r>
            <w:r/>
          </w:p>
        </w:tc>
        <w:tc>
          <w:tcPr>
            <w:tcW w:w="122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200</w:t>
            </w:r>
            <w:r/>
          </w:p>
        </w:tc>
        <w:tc>
          <w:tcPr>
            <w:tcW w:w="1251"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3.5</w:t>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700</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凤凰河北堤</w:t>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东至富民路，西至下河</w:t>
            </w:r>
            <w:r>
              <w:rPr>
                <w:rFonts w:hint="eastAsia" w:ascii="宋体" w:hAnsi="宋体" w:eastAsia="宋体" w:cs="宋体"/>
                <w:color w:val="000000"/>
                <w:sz w:val="24"/>
                <w:szCs w:val="24"/>
                <w:lang w:val="en-US" w:eastAsia="zh-CN"/>
              </w:rPr>
              <w:t xml:space="preserve">南</w:t>
            </w:r>
            <w:r>
              <w:rPr>
                <w:rFonts w:hint="eastAsia" w:ascii="宋体" w:hAnsi="宋体" w:eastAsia="宋体" w:cs="宋体"/>
                <w:color w:val="000000"/>
                <w:sz w:val="24"/>
                <w:szCs w:val="24"/>
              </w:rPr>
              <w:t xml:space="preserve">路</w:t>
            </w:r>
            <w:r/>
          </w:p>
        </w:tc>
        <w:tc>
          <w:tcPr>
            <w:tcW w:w="122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560</w:t>
            </w:r>
            <w:r/>
          </w:p>
        </w:tc>
        <w:tc>
          <w:tcPr>
            <w:tcW w:w="1251" w:type="dxa"/>
            <w:vAlign w:val="center"/>
            <w:textDirection w:val="lrTb"/>
            <w:noWrap w:val="false"/>
          </w:tcPr>
          <w:p>
            <w:pPr>
              <w:ind w:left="36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1400</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凤凰河南堤</w:t>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东至京杭路，西至下河</w:t>
            </w:r>
            <w:r>
              <w:rPr>
                <w:rFonts w:hint="eastAsia" w:ascii="宋体" w:hAnsi="宋体" w:eastAsia="宋体" w:cs="宋体"/>
                <w:color w:val="000000"/>
                <w:sz w:val="24"/>
                <w:szCs w:val="24"/>
                <w:lang w:val="en-US" w:eastAsia="zh-CN"/>
              </w:rPr>
              <w:t xml:space="preserve">南</w:t>
            </w:r>
            <w:r>
              <w:rPr>
                <w:rFonts w:hint="eastAsia" w:ascii="宋体" w:hAnsi="宋体" w:eastAsia="宋体" w:cs="宋体"/>
                <w:color w:val="000000"/>
                <w:sz w:val="24"/>
                <w:szCs w:val="24"/>
              </w:rPr>
              <w:t xml:space="preserve">路</w:t>
            </w:r>
            <w:r/>
          </w:p>
        </w:tc>
        <w:tc>
          <w:tcPr>
            <w:tcW w:w="122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1000</w:t>
            </w:r>
            <w:r/>
          </w:p>
        </w:tc>
        <w:tc>
          <w:tcPr>
            <w:tcW w:w="1251" w:type="dxa"/>
            <w:vAlign w:val="center"/>
            <w:textDirection w:val="lrTb"/>
            <w:noWrap w:val="false"/>
          </w:tcPr>
          <w:p>
            <w:pPr>
              <w:ind w:left="36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3300</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宝塔松路</w:t>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东至盂陵路，西至人民路</w:t>
            </w:r>
            <w:r/>
          </w:p>
        </w:tc>
        <w:tc>
          <w:tcPr>
            <w:tcW w:w="122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200</w:t>
            </w:r>
            <w:r/>
          </w:p>
        </w:tc>
        <w:tc>
          <w:tcPr>
            <w:tcW w:w="1251"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6</w:t>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1200</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创业路</w:t>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东至G233，西至下河</w:t>
            </w:r>
            <w:r>
              <w:rPr>
                <w:rFonts w:hint="eastAsia" w:ascii="宋体" w:hAnsi="宋体" w:eastAsia="宋体" w:cs="宋体"/>
                <w:color w:val="000000"/>
                <w:sz w:val="24"/>
                <w:szCs w:val="24"/>
                <w:lang w:val="en-US" w:eastAsia="zh-CN"/>
              </w:rPr>
              <w:t xml:space="preserve">南</w:t>
            </w:r>
            <w:r>
              <w:rPr>
                <w:rFonts w:hint="eastAsia" w:ascii="宋体" w:hAnsi="宋体" w:eastAsia="宋体" w:cs="宋体"/>
                <w:color w:val="000000"/>
                <w:sz w:val="24"/>
                <w:szCs w:val="24"/>
              </w:rPr>
              <w:t xml:space="preserve">路</w:t>
            </w:r>
            <w:r/>
          </w:p>
        </w:tc>
        <w:tc>
          <w:tcPr>
            <w:tcW w:w="122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2500</w:t>
            </w:r>
            <w:r/>
          </w:p>
        </w:tc>
        <w:tc>
          <w:tcPr>
            <w:tcW w:w="1251" w:type="dxa"/>
            <w:vAlign w:val="center"/>
            <w:textDirection w:val="lrTb"/>
            <w:noWrap w:val="false"/>
          </w:tcPr>
          <w:p>
            <w:pPr>
              <w:ind w:left="36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32850</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富运小区南边</w:t>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东至盂陵路，西至人民路</w:t>
            </w:r>
            <w:r/>
          </w:p>
        </w:tc>
        <w:tc>
          <w:tcPr>
            <w:tcW w:w="122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200</w:t>
            </w:r>
            <w:r/>
          </w:p>
        </w:tc>
        <w:tc>
          <w:tcPr>
            <w:tcW w:w="1251"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7</w:t>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1400</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盛富朝屋后一条路</w:t>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东至富民路，西至盂陵路</w:t>
            </w:r>
            <w:r/>
          </w:p>
        </w:tc>
        <w:tc>
          <w:tcPr>
            <w:tcW w:w="122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140</w:t>
            </w:r>
            <w:r/>
          </w:p>
        </w:tc>
        <w:tc>
          <w:tcPr>
            <w:tcW w:w="1251"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2</w:t>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280</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国庆路</w:t>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东至G233，西至盂陵路</w:t>
            </w:r>
            <w:r/>
          </w:p>
        </w:tc>
        <w:tc>
          <w:tcPr>
            <w:tcW w:w="122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2030</w:t>
            </w:r>
            <w:r/>
          </w:p>
        </w:tc>
        <w:tc>
          <w:tcPr>
            <w:tcW w:w="1251" w:type="dxa"/>
            <w:vAlign w:val="center"/>
            <w:textDirection w:val="lrTb"/>
            <w:noWrap w:val="false"/>
          </w:tcPr>
          <w:p>
            <w:pPr>
              <w:ind w:left="36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31550</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红旗小区南横路</w:t>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东至富民路</w:t>
            </w:r>
            <w:r/>
          </w:p>
        </w:tc>
        <w:tc>
          <w:tcPr>
            <w:tcW w:w="122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104</w:t>
            </w:r>
            <w:r/>
          </w:p>
        </w:tc>
        <w:tc>
          <w:tcPr>
            <w:tcW w:w="1251"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3</w:t>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312</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红旗小区北横路</w:t>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东至富民路</w:t>
            </w:r>
            <w:r/>
          </w:p>
        </w:tc>
        <w:tc>
          <w:tcPr>
            <w:tcW w:w="122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104</w:t>
            </w:r>
            <w:r/>
          </w:p>
        </w:tc>
        <w:tc>
          <w:tcPr>
            <w:tcW w:w="1251"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5</w:t>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520</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富运小区南北干道</w:t>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南至景湖花园，北至创业路</w:t>
            </w:r>
            <w:r/>
          </w:p>
        </w:tc>
        <w:tc>
          <w:tcPr>
            <w:tcW w:w="122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120</w:t>
            </w:r>
            <w:r/>
          </w:p>
        </w:tc>
        <w:tc>
          <w:tcPr>
            <w:tcW w:w="1251"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6</w:t>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720</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盂陵路南段商</w:t>
            </w:r>
            <w:r>
              <w:rPr>
                <w:rFonts w:hint="eastAsia" w:ascii="宋体" w:hAnsi="宋体" w:eastAsia="宋体" w:cs="宋体"/>
                <w:color w:val="000000"/>
                <w:sz w:val="24"/>
                <w:szCs w:val="24"/>
                <w:lang w:val="en-US" w:eastAsia="zh-CN"/>
              </w:rPr>
              <w:t xml:space="preserve">店</w:t>
            </w:r>
            <w:r>
              <w:rPr>
                <w:rFonts w:hint="eastAsia" w:ascii="宋体" w:hAnsi="宋体" w:eastAsia="宋体" w:cs="宋体"/>
                <w:color w:val="000000"/>
                <w:sz w:val="24"/>
                <w:szCs w:val="24"/>
              </w:rPr>
              <w:t xml:space="preserve">后身</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红绿灯南侧</w:t>
            </w:r>
            <w:r>
              <w:rPr>
                <w:rFonts w:hint="eastAsia" w:ascii="宋体" w:hAnsi="宋体" w:eastAsia="宋体" w:cs="宋体"/>
                <w:color w:val="000000"/>
                <w:sz w:val="24"/>
                <w:szCs w:val="24"/>
                <w:lang w:eastAsia="zh-CN"/>
              </w:rPr>
              <w:t xml:space="preserve">）</w:t>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南至界首小学，北至二里支渠</w:t>
            </w:r>
            <w:r/>
          </w:p>
        </w:tc>
        <w:tc>
          <w:tcPr>
            <w:tcW w:w="122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120</w:t>
            </w:r>
            <w:r/>
          </w:p>
        </w:tc>
        <w:tc>
          <w:tcPr>
            <w:tcW w:w="1251"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3</w:t>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360</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盂陵路</w:t>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南至二里支，北至子婴干渠</w:t>
            </w:r>
            <w:r/>
          </w:p>
        </w:tc>
        <w:tc>
          <w:tcPr>
            <w:tcW w:w="122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1262</w:t>
            </w:r>
            <w:r/>
          </w:p>
        </w:tc>
        <w:tc>
          <w:tcPr>
            <w:tcW w:w="1251"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18.5</w:t>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23347</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红旗小区南北干道</w:t>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南至红旗路，北至三元路</w:t>
            </w:r>
            <w:r/>
          </w:p>
        </w:tc>
        <w:tc>
          <w:tcPr>
            <w:tcW w:w="122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118</w:t>
            </w:r>
            <w:r/>
          </w:p>
        </w:tc>
        <w:tc>
          <w:tcPr>
            <w:tcW w:w="1251"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5</w:t>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590</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富民路</w:t>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南至创业路，北至子婴干渠</w:t>
            </w:r>
            <w:r/>
          </w:p>
        </w:tc>
        <w:tc>
          <w:tcPr>
            <w:tcW w:w="122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847</w:t>
            </w:r>
            <w:r/>
          </w:p>
        </w:tc>
        <w:tc>
          <w:tcPr>
            <w:tcW w:w="1251"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8</w:t>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6776</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京杭路</w:t>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南至创业路，北至子婴干渠</w:t>
            </w:r>
            <w:r/>
          </w:p>
        </w:tc>
        <w:tc>
          <w:tcPr>
            <w:tcW w:w="122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840</w:t>
            </w:r>
            <w:r/>
          </w:p>
        </w:tc>
        <w:tc>
          <w:tcPr>
            <w:tcW w:w="1251" w:type="dxa"/>
            <w:vAlign w:val="center"/>
            <w:textDirection w:val="lrTb"/>
            <w:noWrap w:val="false"/>
          </w:tcPr>
          <w:p>
            <w:pPr>
              <w:ind w:left="36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11590</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镇东路</w:t>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南至二里支，北至高山支</w:t>
            </w:r>
            <w:r/>
          </w:p>
        </w:tc>
        <w:tc>
          <w:tcPr>
            <w:tcW w:w="122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1920</w:t>
            </w:r>
            <w:r/>
          </w:p>
        </w:tc>
        <w:tc>
          <w:tcPr>
            <w:tcW w:w="1251"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16</w:t>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30720</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政府西门路面</w:t>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南至三元路，北至国庆路</w:t>
            </w:r>
            <w:r/>
          </w:p>
        </w:tc>
        <w:tc>
          <w:tcPr>
            <w:tcW w:w="122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90</w:t>
            </w:r>
            <w:r/>
          </w:p>
        </w:tc>
        <w:tc>
          <w:tcPr>
            <w:tcW w:w="1251"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8</w:t>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720</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菜场四周（不含富民路）</w:t>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农贸市场外南、北、东、西通道及北侧广场</w:t>
            </w:r>
            <w:r/>
          </w:p>
        </w:tc>
        <w:tc>
          <w:tcPr>
            <w:tcW w:w="1227"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51"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6320</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菜场内</w:t>
            </w:r>
            <w:r>
              <w:rPr>
                <w:rFonts w:hint="eastAsia" w:ascii="宋体" w:hAnsi="宋体" w:eastAsia="宋体" w:cs="宋体"/>
                <w:color w:val="000000"/>
                <w:sz w:val="24"/>
                <w:szCs w:val="24"/>
                <w:lang w:val="en-US" w:eastAsia="zh-CN"/>
              </w:rPr>
              <w:t xml:space="preserve">部空白摊位和</w:t>
            </w:r>
            <w:r>
              <w:rPr>
                <w:rFonts w:hint="eastAsia" w:ascii="宋体" w:hAnsi="宋体" w:eastAsia="宋体" w:cs="宋体"/>
                <w:color w:val="000000"/>
                <w:sz w:val="24"/>
                <w:szCs w:val="24"/>
              </w:rPr>
              <w:t xml:space="preserve">人行道</w:t>
            </w:r>
            <w:r/>
          </w:p>
        </w:tc>
        <w:tc>
          <w:tcPr>
            <w:tcW w:w="2767"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27"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51"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1700</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京杭大</w:t>
            </w:r>
            <w:r>
              <w:rPr>
                <w:rFonts w:hint="eastAsia" w:ascii="宋体" w:hAnsi="宋体" w:eastAsia="宋体" w:cs="宋体"/>
                <w:color w:val="000000"/>
                <w:sz w:val="24"/>
                <w:szCs w:val="24"/>
              </w:rPr>
              <w:t xml:space="preserve">运河</w:t>
            </w:r>
            <w:r>
              <w:rPr>
                <w:rFonts w:hint="eastAsia" w:ascii="宋体" w:hAnsi="宋体" w:eastAsia="宋体" w:cs="宋体"/>
                <w:color w:val="000000"/>
                <w:sz w:val="24"/>
                <w:szCs w:val="24"/>
                <w:lang w:val="en-US" w:eastAsia="zh-CN"/>
              </w:rPr>
              <w:t xml:space="preserve">码头</w:t>
            </w:r>
            <w:r>
              <w:rPr>
                <w:rFonts w:hint="eastAsia" w:ascii="宋体" w:hAnsi="宋体" w:eastAsia="宋体" w:cs="宋体"/>
                <w:color w:val="000000"/>
                <w:sz w:val="24"/>
                <w:szCs w:val="24"/>
              </w:rPr>
              <w:t xml:space="preserve">遗址公园</w:t>
            </w:r>
            <w:r/>
          </w:p>
        </w:tc>
        <w:tc>
          <w:tcPr>
            <w:tcW w:w="2767"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27"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51"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3300</w:t>
            </w:r>
            <w:r/>
          </w:p>
        </w:tc>
        <w:tc>
          <w:tcPr>
            <w:tcW w:w="1453" w:type="dxa"/>
            <w:vAlign w:val="center"/>
            <w:textDirection w:val="lrTb"/>
            <w:noWrap w:val="false"/>
          </w:tcPr>
          <w:p>
            <w:pPr>
              <w:jc w:val="center"/>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另绿化5000平方</w:t>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政府广场</w:t>
            </w:r>
            <w:r/>
          </w:p>
        </w:tc>
        <w:tc>
          <w:tcPr>
            <w:tcW w:w="2767"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27"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51"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1830</w:t>
            </w:r>
            <w:r/>
          </w:p>
        </w:tc>
        <w:tc>
          <w:tcPr>
            <w:tcW w:w="1453" w:type="dxa"/>
            <w:vAlign w:val="center"/>
            <w:textDirection w:val="lrTb"/>
            <w:noWrap w:val="false"/>
          </w:tcPr>
          <w:p>
            <w:pPr>
              <w:jc w:val="center"/>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eastAsia="zh-CN"/>
              </w:rPr>
              <w:t xml:space="preserve">另</w:t>
            </w:r>
            <w:r>
              <w:rPr>
                <w:rFonts w:hint="eastAsia" w:ascii="宋体" w:hAnsi="宋体" w:eastAsia="宋体" w:cs="宋体"/>
                <w:color w:val="000000"/>
                <w:sz w:val="24"/>
                <w:szCs w:val="24"/>
              </w:rPr>
              <w:t xml:space="preserve">绿化3840平方</w:t>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雪枫广场</w:t>
            </w:r>
            <w:r/>
          </w:p>
        </w:tc>
        <w:tc>
          <w:tcPr>
            <w:tcW w:w="2767"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27"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51"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3850</w:t>
            </w:r>
            <w:r/>
          </w:p>
        </w:tc>
        <w:tc>
          <w:tcPr>
            <w:tcW w:w="1453" w:type="dxa"/>
            <w:vAlign w:val="center"/>
            <w:textDirection w:val="lrTb"/>
            <w:noWrap w:val="false"/>
          </w:tcPr>
          <w:p>
            <w:pPr>
              <w:jc w:val="center"/>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eastAsia="zh-CN"/>
              </w:rPr>
              <w:t xml:space="preserve">另</w:t>
            </w:r>
            <w:r>
              <w:rPr>
                <w:rFonts w:hint="eastAsia" w:ascii="宋体" w:hAnsi="宋体" w:eastAsia="宋体" w:cs="宋体"/>
                <w:color w:val="000000"/>
                <w:sz w:val="24"/>
                <w:szCs w:val="24"/>
              </w:rPr>
              <w:t xml:space="preserve">绿化水域8450平方</w:t>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牌楼公园（路南、路北）</w:t>
            </w:r>
            <w:r/>
          </w:p>
        </w:tc>
        <w:tc>
          <w:tcPr>
            <w:tcW w:w="2767"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27"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51"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1750</w:t>
            </w:r>
            <w:r/>
          </w:p>
        </w:tc>
        <w:tc>
          <w:tcPr>
            <w:tcW w:w="1453" w:type="dxa"/>
            <w:vAlign w:val="center"/>
            <w:textDirection w:val="lrTb"/>
            <w:noWrap w:val="false"/>
          </w:tcPr>
          <w:p>
            <w:pPr>
              <w:jc w:val="center"/>
              <w:spacing w:after="0"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eastAsia="zh-CN"/>
              </w:rPr>
              <w:t xml:space="preserve">另</w:t>
            </w:r>
            <w:r>
              <w:rPr>
                <w:rFonts w:hint="eastAsia" w:ascii="宋体" w:hAnsi="宋体" w:eastAsia="宋体" w:cs="宋体"/>
                <w:color w:val="000000"/>
                <w:sz w:val="24"/>
                <w:szCs w:val="24"/>
              </w:rPr>
              <w:t xml:space="preserve">绿化9650平</w:t>
            </w:r>
            <w:r>
              <w:rPr>
                <w:rFonts w:hint="eastAsia" w:ascii="宋体" w:hAnsi="宋体" w:eastAsia="宋体" w:cs="宋体"/>
                <w:color w:val="000000"/>
                <w:sz w:val="24"/>
                <w:szCs w:val="24"/>
                <w:lang w:val="en-US" w:eastAsia="zh-CN"/>
              </w:rPr>
              <w:t xml:space="preserve">方</w:t>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界东河水泥路</w:t>
            </w:r>
            <w:r/>
          </w:p>
        </w:tc>
        <w:tc>
          <w:tcPr>
            <w:tcW w:w="2767"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2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200</w:t>
            </w:r>
            <w:r/>
          </w:p>
        </w:tc>
        <w:tc>
          <w:tcPr>
            <w:tcW w:w="1251"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453" w:type="dxa"/>
            <w:vAlign w:val="center"/>
            <w:textDirection w:val="lrTb"/>
            <w:noWrap w:val="false"/>
          </w:tcPr>
          <w:p>
            <w:pPr>
              <w:jc w:val="center"/>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凤凰河（漂浮垃圾）</w:t>
            </w:r>
            <w:r/>
          </w:p>
        </w:tc>
        <w:tc>
          <w:tcPr>
            <w:tcW w:w="2767"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2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1000</w:t>
            </w:r>
            <w:r/>
          </w:p>
        </w:tc>
        <w:tc>
          <w:tcPr>
            <w:tcW w:w="1251"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453"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合计</w:t>
            </w:r>
            <w:r/>
          </w:p>
        </w:tc>
        <w:tc>
          <w:tcPr>
            <w:tcW w:w="2767"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27"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51"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229816</w:t>
            </w:r>
            <w:r/>
          </w:p>
        </w:tc>
        <w:tc>
          <w:tcPr>
            <w:tcW w:w="1453" w:type="dxa"/>
            <w:vAlign w:val="center"/>
            <w:textDirection w:val="lrTb"/>
            <w:noWrap w:val="false"/>
          </w:tcPr>
          <w:p>
            <w:pPr>
              <w:jc w:val="left"/>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474"/>
        </w:trPr>
        <w:tc>
          <w:tcPr>
            <w:tcW w:w="2114" w:type="dxa"/>
            <w:vAlign w:val="center"/>
            <w:textDirection w:val="lrTb"/>
            <w:noWrap w:val="false"/>
          </w:tcPr>
          <w:p>
            <w:pPr>
              <w:ind w:firstLine="0"/>
              <w:jc w:val="left"/>
              <w:spacing w:after="0" w:line="24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val="0"/>
                <w:bCs w:val="0"/>
                <w:color w:val="000000"/>
                <w:sz w:val="24"/>
                <w:szCs w:val="24"/>
                <w:lang w:val="en-US" w:eastAsia="zh-CN"/>
              </w:rPr>
              <w:t xml:space="preserve">东风小区内部路面</w:t>
            </w:r>
            <w:r/>
          </w:p>
        </w:tc>
        <w:tc>
          <w:tcPr>
            <w:tcW w:w="2767" w:type="dxa"/>
            <w:vAlign w:val="center"/>
            <w:textDirection w:val="lrTb"/>
            <w:noWrap w:val="false"/>
          </w:tcPr>
          <w:p>
            <w:pPr>
              <w:jc w:val="left"/>
              <w:spacing w:after="0" w:line="24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tc>
        <w:tc>
          <w:tcPr>
            <w:tcW w:w="1227" w:type="dxa"/>
            <w:vAlign w:val="center"/>
            <w:textDirection w:val="lrTb"/>
            <w:noWrap w:val="false"/>
          </w:tcPr>
          <w:p>
            <w:pPr>
              <w:ind w:left="80" w:firstLine="0"/>
              <w:jc w:val="left"/>
              <w:spacing w:after="0" w:line="24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tc>
        <w:tc>
          <w:tcPr>
            <w:tcW w:w="1251" w:type="dxa"/>
            <w:vAlign w:val="center"/>
            <w:textDirection w:val="lrTb"/>
            <w:noWrap w:val="false"/>
          </w:tcPr>
          <w:p>
            <w:pPr>
              <w:ind w:left="120" w:firstLine="0"/>
              <w:jc w:val="left"/>
              <w:spacing w:after="0" w:line="24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tc>
        <w:tc>
          <w:tcPr>
            <w:tcW w:w="1209" w:type="dxa"/>
            <w:vAlign w:val="center"/>
            <w:textDirection w:val="lrTb"/>
            <w:noWrap w:val="false"/>
          </w:tcPr>
          <w:p>
            <w:pPr>
              <w:ind w:left="100" w:firstLine="0"/>
              <w:jc w:val="left"/>
              <w:spacing w:after="0" w:line="24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rPr>
              <w:t xml:space="preserve">2400</w:t>
            </w:r>
            <w:r/>
          </w:p>
        </w:tc>
        <w:tc>
          <w:tcPr>
            <w:tcW w:w="1453" w:type="dxa"/>
            <w:vAlign w:val="center"/>
            <w:textDirection w:val="lrTb"/>
            <w:noWrap w:val="false"/>
          </w:tcPr>
          <w:p>
            <w:pPr>
              <w:ind w:firstLine="482"/>
              <w:jc w:val="left"/>
              <w:spacing w:after="0" w:line="24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国庆路东段</w:t>
            </w:r>
            <w:r/>
          </w:p>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至高铁站西沿线</w:t>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国道</w:t>
            </w:r>
            <w:r>
              <w:rPr>
                <w:rFonts w:hint="eastAsia" w:ascii="宋体" w:hAnsi="宋体" w:eastAsia="宋体" w:cs="宋体"/>
                <w:color w:val="000000"/>
                <w:sz w:val="24"/>
                <w:szCs w:val="24"/>
                <w:lang w:val="en-US" w:eastAsia="zh-CN"/>
              </w:rPr>
              <w:t xml:space="preserve">233至高铁站站前广场</w:t>
            </w:r>
            <w:r/>
          </w:p>
        </w:tc>
        <w:tc>
          <w:tcPr>
            <w:tcW w:w="1227" w:type="dxa"/>
            <w:vAlign w:val="center"/>
            <w:textDirection w:val="lrTb"/>
            <w:noWrap w:val="false"/>
          </w:tcPr>
          <w:p>
            <w:pPr>
              <w:ind w:left="36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51"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主干道15735</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474"/>
        </w:trPr>
        <w:tc>
          <w:tcPr>
            <w:tcW w:w="2114" w:type="dxa"/>
            <w:vAlign w:val="top"/>
            <w:textDirection w:val="lrTb"/>
            <w:noWrap w:val="false"/>
          </w:tcPr>
          <w:p>
            <w:pPr>
              <w:numPr>
                <w:ilvl w:val="0"/>
                <w:numId w:val="0"/>
              </w:numP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27" w:type="dxa"/>
            <w:vAlign w:val="center"/>
            <w:textDirection w:val="lrTb"/>
            <w:noWrap w:val="false"/>
          </w:tcPr>
          <w:p>
            <w:pPr>
              <w:ind w:left="36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51" w:type="dxa"/>
            <w:vAlign w:val="center"/>
            <w:textDirection w:val="lrTb"/>
            <w:noWrap w:val="false"/>
          </w:tcPr>
          <w:p>
            <w:pPr>
              <w:ind w:left="36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辅路8900</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474"/>
        </w:trPr>
        <w:tc>
          <w:tcPr>
            <w:tcW w:w="2114" w:type="dxa"/>
            <w:vAlign w:val="top"/>
            <w:textDirection w:val="lrTb"/>
            <w:noWrap w:val="false"/>
          </w:tcPr>
          <w:p>
            <w:pPr>
              <w:numPr>
                <w:ilvl w:val="0"/>
                <w:numId w:val="0"/>
              </w:numP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27" w:type="dxa"/>
            <w:vAlign w:val="center"/>
            <w:textDirection w:val="lrTb"/>
            <w:noWrap w:val="false"/>
          </w:tcPr>
          <w:p>
            <w:pPr>
              <w:ind w:left="36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51"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广场面积14280</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474"/>
        </w:trPr>
        <w:tc>
          <w:tcPr>
            <w:tcW w:w="2114" w:type="dxa"/>
            <w:vAlign w:val="top"/>
            <w:textDirection w:val="lrTb"/>
            <w:noWrap w:val="false"/>
          </w:tcPr>
          <w:p>
            <w:pPr>
              <w:numPr>
                <w:ilvl w:val="0"/>
                <w:numId w:val="0"/>
              </w:numP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27" w:type="dxa"/>
            <w:vAlign w:val="center"/>
            <w:textDirection w:val="lrTb"/>
            <w:noWrap w:val="false"/>
          </w:tcPr>
          <w:p>
            <w:pPr>
              <w:ind w:left="36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51" w:type="dxa"/>
            <w:vAlign w:val="center"/>
            <w:textDirection w:val="lrTb"/>
            <w:noWrap w:val="false"/>
          </w:tcPr>
          <w:p>
            <w:pPr>
              <w:ind w:left="36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道路绿化8350</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合计</w:t>
            </w:r>
            <w:r/>
          </w:p>
        </w:tc>
        <w:tc>
          <w:tcPr>
            <w:gridSpan w:val="5"/>
            <w:tcW w:w="7907" w:type="dxa"/>
            <w:vAlign w:val="center"/>
            <w:textDirection w:val="lrTb"/>
            <w:noWrap w:val="false"/>
          </w:tcPr>
          <w:p>
            <w:pPr>
              <w:numPr>
                <w:ilvl w:val="0"/>
                <w:numId w:val="0"/>
              </w:numP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color w:val="000000"/>
                <w:sz w:val="24"/>
                <w:szCs w:val="24"/>
                <w:lang w:val="en-US" w:eastAsia="zh-CN"/>
              </w:rPr>
              <w:t xml:space="preserve">道路广场66475m</w:t>
            </w:r>
            <w:r>
              <w:rPr>
                <w:rFonts w:hint="eastAsia" w:ascii="宋体" w:hAnsi="宋体" w:eastAsia="宋体" w:cs="宋体"/>
                <w:color w:val="000000"/>
                <w:sz w:val="24"/>
                <w:szCs w:val="24"/>
                <w:vertAlign w:val="superscript"/>
                <w:lang w:val="en-US" w:eastAsia="zh-CN"/>
              </w:rPr>
              <w:t xml:space="preserve">2</w:t>
            </w:r>
            <w:r>
              <w:rPr>
                <w:rFonts w:hint="eastAsia" w:ascii="宋体" w:hAnsi="宋体" w:eastAsia="宋体" w:cs="宋体"/>
                <w:color w:val="000000"/>
                <w:sz w:val="24"/>
                <w:szCs w:val="24"/>
                <w:lang w:val="en-US" w:eastAsia="zh-CN"/>
              </w:rPr>
              <w:t xml:space="preserve">、绿化总面积11532m</w:t>
            </w:r>
            <w:r>
              <w:rPr>
                <w:rFonts w:hint="eastAsia" w:ascii="宋体" w:hAnsi="宋体" w:eastAsia="宋体" w:cs="宋体"/>
                <w:color w:val="000000"/>
                <w:sz w:val="24"/>
                <w:szCs w:val="24"/>
                <w:vertAlign w:val="superscript"/>
                <w:lang w:val="en-US" w:eastAsia="zh-CN"/>
              </w:rPr>
              <w:t xml:space="preserve">2</w:t>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永兴街南段</w:t>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27" w:type="dxa"/>
            <w:vAlign w:val="center"/>
            <w:textDirection w:val="lrTb"/>
            <w:noWrap w:val="false"/>
          </w:tcPr>
          <w:p>
            <w:pPr>
              <w:ind w:left="36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400</w:t>
            </w:r>
            <w:r/>
          </w:p>
        </w:tc>
        <w:tc>
          <w:tcPr>
            <w:tcW w:w="1251"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3</w:t>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1200</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47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小闸塘公园</w:t>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27" w:type="dxa"/>
            <w:vAlign w:val="center"/>
            <w:textDirection w:val="lrTb"/>
            <w:noWrap w:val="false"/>
          </w:tcPr>
          <w:p>
            <w:pPr>
              <w:ind w:left="36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51"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600</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48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景湖花园</w:t>
            </w:r>
            <w:r>
              <w:rPr>
                <w:rFonts w:hint="eastAsia" w:ascii="宋体" w:hAnsi="宋体" w:eastAsia="宋体" w:cs="宋体"/>
                <w:color w:val="000000"/>
                <w:sz w:val="24"/>
                <w:szCs w:val="24"/>
                <w:lang w:val="en-US" w:eastAsia="zh-CN"/>
              </w:rPr>
              <w:t xml:space="preserve">内部</w:t>
            </w:r>
            <w:r>
              <w:rPr>
                <w:rFonts w:hint="eastAsia" w:ascii="宋体" w:hAnsi="宋体" w:eastAsia="宋体" w:cs="宋体"/>
                <w:color w:val="000000"/>
                <w:sz w:val="24"/>
                <w:szCs w:val="24"/>
                <w:lang w:eastAsia="zh-CN"/>
              </w:rPr>
              <w:t xml:space="preserve">道路路面</w:t>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27" w:type="dxa"/>
            <w:vAlign w:val="center"/>
            <w:textDirection w:val="lrTb"/>
            <w:noWrap w:val="false"/>
          </w:tcPr>
          <w:p>
            <w:pPr>
              <w:ind w:left="36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51" w:type="dxa"/>
            <w:vAlign w:val="center"/>
            <w:textDirection w:val="lrTb"/>
            <w:noWrap w:val="false"/>
          </w:tcPr>
          <w:p>
            <w:pPr>
              <w:ind w:left="36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09"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2400</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700"/>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盂陵路至界首村村部巷道</w:t>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0" w:type="auto"/>
            <w:vAlign w:val="center"/>
            <w:textDirection w:val="lrTb"/>
            <w:noWrap w:val="false"/>
          </w:tcPr>
          <w:p>
            <w:pPr>
              <w:ind w:left="36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200</w:t>
            </w:r>
            <w:r/>
          </w:p>
        </w:tc>
        <w:tc>
          <w:tcPr>
            <w:tcW w:w="0" w:type="auto"/>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w:t>
            </w:r>
            <w:r/>
          </w:p>
        </w:tc>
        <w:tc>
          <w:tcPr>
            <w:tcW w:w="0" w:type="auto"/>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600</w:t>
            </w:r>
            <w:r/>
          </w:p>
        </w:tc>
        <w:tc>
          <w:tcPr>
            <w:tcW w:w="1453"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jc w:val="center"/>
          <w:trHeight w:val="484"/>
        </w:trPr>
        <w:tc>
          <w:tcPr>
            <w:tcW w:w="2114"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767" w:type="dxa"/>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0" w:type="auto"/>
            <w:vAlign w:val="center"/>
            <w:textDirection w:val="lrTb"/>
            <w:noWrap w:val="false"/>
          </w:tcPr>
          <w:p>
            <w:pPr>
              <w:ind w:left="36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0" w:type="auto"/>
            <w:vAlign w:val="center"/>
            <w:textDirection w:val="lrTb"/>
            <w:noWrap w:val="false"/>
          </w:tcPr>
          <w:p>
            <w:pPr>
              <w:ind w:left="36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0" w:type="auto"/>
            <w:vAlign w:val="center"/>
            <w:textDirection w:val="lrTb"/>
            <w:noWrap w:val="false"/>
          </w:tcPr>
          <w:p>
            <w:p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453" w:type="dxa"/>
            <w:vAlign w:val="center"/>
            <w:textDirection w:val="lrTb"/>
            <w:noWrap w:val="false"/>
          </w:tcPr>
          <w:p>
            <w:pPr>
              <w:ind w:left="680" w:firstLine="0"/>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bl>
    <w:p>
      <w:pPr>
        <w:numPr>
          <w:ilvl w:val="0"/>
          <w:numId w:val="0"/>
        </w:numPr>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r>
      <w:r/>
    </w:p>
    <w:p>
      <w:pPr>
        <w:ind w:left="0" w:firstLine="0"/>
        <w:jc w:val="left"/>
        <w:spacing w:line="360" w:lineRule="auto"/>
        <w:tabs>
          <w:tab w:val="left" w:pos="26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20"/>
        <w:jc w:val="center"/>
        <w:spacing w:line="360" w:lineRule="auto"/>
        <w:tabs>
          <w:tab w:val="left" w:pos="26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第三节   河道保洁</w:t>
      </w:r>
      <w:r/>
    </w:p>
    <w:p>
      <w:pPr>
        <w:ind w:firstLine="420"/>
        <w:keepLines w:val="0"/>
        <w:keepNext w:val="0"/>
        <w:pageBreakBefore w:val="0"/>
        <w:spacing w:line="360" w:lineRule="auto"/>
        <w:widowControl w:val="off"/>
        <w:tabs>
          <w:tab w:val="left" w:pos="777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一、作业要求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1.目标任务</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围绕建设“水清、河畅、岸绿、景美”的城市河道，创建全国文明城市常态长效建设工作总体要求，针对城市河道管理存在问题与不足，全面落实城市河道长效管护，实现条条河流活水长流、水环境优质、水生态良好、水景观优美。</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2.管护要求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（1）河道保洁。水面无水生杂草（高秆杂草、水花生、水葫芦、水浮萍），两侧岸坡无各类垃圾，无杂物堆放，无毁堤种植。</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巡查管理。作业单位组织巡查管理，保证河岸两侧路牙以下设立的亮化、绿化、景观、道路、廊亭轩榭等公共设施完好，正常发挥效益；严禁各类违章建筑、违章种植；企业、单位、个体经营者违规接管排污、直接向河道超标排污、乱扔弃置垃圾的，及时向责任部门汇报处理，由相关部门依法查处。</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3.作业标准与要求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（1）河道水面没有成片漂浮物。岸线（河坡）无暴露垃圾，环境整洁。</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（2）打捞的垃圾、杂物应送到指定的垃圾中转站，做到垃圾、杂物日产日清。</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（3）作业人员应该穿着救生衣。</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（4）河坡、步道、边沟、公共绿地内无垃圾、渣土和其他废弃物。</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（5）花灌木和树木无飘挂杂物，花池、树坑内无其他废弃物。</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（6）河坡、步道杂草需做到每周2次铲除。</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（7）河道林带和绿地内无死树，树木修剪合理，树形美观。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（8）节假日照常上班并相应增加保洁人员，遇突击任务及重大活动时应无条件按采购方要求完成采购方布置的工作，同时要准备好一支突击保洁队伍，随时应对各种突击保洁工作。。</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（9）打捞上岸的垃圾、杂物应当日送至指定的垃圾中转站。。</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河道保洁范围包括河道水面及岸坡，要求水面无水生杂草（高秆杂草、水花生、水葫芦、浮萍）、无漂浮杂物，两岸岸坡无各类垃圾、无杂物堆放、无毁绿种植、无新增违章建筑，水工建筑物拦污栅无阻水障碍物；</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（11）及时清理河道内的渔网虾笼；</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二、作业范围</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说明：以下所列出的为主要的作业区域，表格中未列或表格中列出的数据与现状有偏差的以现状为准，均为中标后需实施的部位。</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管护范围：有硬质护岸挡墙的至挡墙内肩口，无硬质护岸挡墙的至堤坡内肩口。</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凤凰河：面积约8米*1200米。</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20"/>
        <w:jc w:val="center"/>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第四节  公共厕所保洁</w:t>
      </w:r>
      <w:r/>
    </w:p>
    <w:p>
      <w:pPr>
        <w:ind w:firstLine="420"/>
        <w:keepLines w:val="0"/>
        <w:keepNext w:val="0"/>
        <w:pageBreakBefore w:val="0"/>
        <w:spacing w:line="360" w:lineRule="auto"/>
        <w:widowControl w:val="off"/>
        <w:tabs>
          <w:tab w:val="left" w:pos="777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一、作业要求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实行专人负责，巡回保洁。对公厕进行日常清洁管理、含小广告清理及基础设施维护，化粪池按实际情况，每年清理不少于一次，保持通畅。专人清洁，自备保洁工具，保洁用品美观、整洁、干净、摆放有序，并摆放在相对隐蔽之处；地面无污渍、无积水；厕所内无异味；蹲位地面无散落卫生纸，蹲位无污渍，蹲位地面无积水；房顶无蜘蛛网；保洁标准达到七无七净标准：无烟头纸屑、无阻塞、无尿垢、无积灰网、无积水、无蛆蝇、无臭味，墙壁净、门窗净、隔断净、蹲位地面净、设施设备净、室外环境净、管理用房净。</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1.人员配置及保洁时间</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水冲式公厕采用专人专保模式，每座公厕均配保洁员。保洁时间：夏季5:00-22:00，冬季6:00-21:00。（具体作业时间可根据实际情况进行调整）</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2.作业标准及要求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按规定的作业时间实施作业，作业人员足够、无缺岗、无迟到、无早退现象，各时段人员准时到岗作业，保洁人员着装规范作业，相关作业人员的信息在公厕入口处进行公示。</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公厕配专人管理，保洁要达到“六无、五净、二通”质量标准，公厕管理人员要着环卫标志服、挂牌上岗。</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公厕厕内通风良好，摆放纸篓、无蝇、无蛆、无痰迹、无臭味、无乱贴乱画。窗台、墙壁、顶棚无灰尘、蜘蛛网。厕内外设施完好。</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厕内达到蹲位净、地面净、窗台净、墙壁净；厕外三米内地面干净。</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要确保用水设施及用电设施完整，性能良好，用水及用电设施出现故障，及时上报招标管理部门进行维修。</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保持公厕洗手盆、玻璃镜、坑位门、地面、内外墙体、天花板等完好，如果洗手盆、玻璃镜、坑位门、水龙头、灯具等出现破损，要上报招标管理部门进行维修更换。</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若发现地面、墙体、房顶等部位出现结构性损坏，应及时上报招标人。</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公厕内外工具、用品摆放整齐，严禁乱拉、乱挂、乱堆、乱放物品；内外墙体无乱张贴现象。</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3.作业内容</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公厕地面、厕具、洗手盆、门、隔板、墙身等的清洗、擦拭。</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公厕屋顶、室内天花、灯具及外墙、指示牌等固定设施的定期清洁。</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公厕内纸篓的清理、清洗，并定期消毒。</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公厕外围地面的清扫，周边附属绿化的养护。</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4.作业安排</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全面清洗：公厕内的各种设施设备，包括地面、瓷砖、墙壁、厕具等进行全面清洗，并用消毒水对相关设施进行消毒处理。</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巡回保洁：视具体情况对公厕进行巡回保洁，主要针对地面、厕具、洗手盆等做清洁，以确保公厕清洁，无明显异味。</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定期清洗：对公厕地面、内外墙壁、天花、灯具、标示牌等做定期清洗，具体次数按照招标文件要求的规定执行。</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每次完成上述各项工作后，必须认真填写相应的工作记录。</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5.公厕设施维护</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为保证公厕设施的完好，满足如厕者的需求，因此需要对公厕的设施、设备进行日常的维护和定期或不定期的维修。</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a.作业内容：</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公厕设施维护由中标人负责上报，由招标人负责维修。</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对公厕的下水道、粪管，安排每季巡回疏通一次。</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定期喷药防制蚊蝇，一般情况下每周施药两次，防止蝇、蛆滋生。</w:t>
      </w:r>
      <w:r/>
    </w:p>
    <w:p>
      <w:pPr>
        <w:ind w:firstLine="420"/>
        <w:keepLines w:val="0"/>
        <w:keepNext w:val="0"/>
        <w:pageBreakBefore w:val="0"/>
        <w:spacing w:line="360" w:lineRule="auto"/>
        <w:widowControl w:val="off"/>
        <w:tabs>
          <w:tab w:val="left" w:pos="777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二、作业范围</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说明：以下所列出的为主要的作业区域，表格中未列或表格中列出的数据与现状有偏差的以现状为准，均为中标后需实施的部位。目前数量共有13座。</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第五节  垃圾的收集和清运</w:t>
      </w:r>
      <w:r/>
    </w:p>
    <w:p>
      <w:pPr>
        <w:ind w:firstLine="420"/>
        <w:keepLines w:val="0"/>
        <w:keepNext w:val="0"/>
        <w:pageBreakBefore w:val="0"/>
        <w:spacing w:line="360" w:lineRule="auto"/>
        <w:widowControl w:val="off"/>
        <w:tabs>
          <w:tab w:val="left" w:pos="777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一、作业要求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（一）垃圾收运作业</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垃圾收运实行“统一收集、统一清运、集中处理、资源化利用”的模式，设立环卫作业中心，配备环卫专业设备和人员，全面负责垃圾清运。</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根据垃圾产量合理设置垃圾收集容器，合理配置垃圾收运车辆，配套转运车辆和设备，对生活垃圾统一清运、中转，实现生活垃圾“收集运输全封闭，日产日清不落地”的目标，确保集镇居民的环境保洁优质服务。</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bookmarkStart w:id="188" w:name="_Toc451691495"/>
      <w:r>
        <w:rPr>
          <w:rFonts w:hint="eastAsia" w:ascii="宋体" w:hAnsi="宋体" w:eastAsia="宋体" w:cs="宋体"/>
          <w:color w:val="auto"/>
          <w:sz w:val="24"/>
          <w:szCs w:val="24"/>
          <w:highlight w:val="none"/>
          <w:lang w:val="en-US" w:eastAsia="zh-CN"/>
        </w:rPr>
        <w:t xml:space="preserve">1.作业质量标准</w:t>
      </w:r>
      <w:bookmarkEnd w:id="188"/>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垃圾日产日清，无积压，确保无满溢现象。居民分配的垃圾容器出现残缺和破损后及时更换。垃圾收集过程应无遗漏、无撒漏、无渗滤液滴漏。垃圾收集车向桶站运送垃圾的过程应覆盖密闭，实行“密闭化收运”作业，避免造成二次污染。垃圾桶站应当实时保洁，做到随脏随保，车走站净，并及时清除地面垃圾和污水，保持站内地面应当保持干净整洁，无撒落垃圾和积留污水。</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垃圾桶（垃圾池、垃圾房、分类垃圾收集亭）、果壳箱的定期清洗、消毒和各类垃圾收集以及沿街垃圾杂物（含非日常生活垃圾）及果壳箱内垃圾的清理，清扫保洁产生的垃圾收集清运至指定中转站（点）；</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招标范围道路上范围沿街各类垃圾收集（含建筑垃圾、生产垃圾等垃圾）；</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服务小区、单位（企业）的各类垃圾收集清运；</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bookmarkStart w:id="189" w:name="_Toc451691496"/>
      <w:r>
        <w:rPr>
          <w:rFonts w:hint="eastAsia" w:ascii="宋体" w:hAnsi="宋体" w:eastAsia="宋体" w:cs="宋体"/>
          <w:color w:val="auto"/>
          <w:sz w:val="24"/>
          <w:szCs w:val="24"/>
          <w:highlight w:val="none"/>
          <w:lang w:val="en-US" w:eastAsia="zh-CN"/>
        </w:rPr>
        <w:t xml:space="preserve">2.垃圾收运模式</w:t>
      </w:r>
      <w:bookmarkEnd w:id="189"/>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bookmarkStart w:id="190" w:name="_Toc493775435"/>
      <w:r/>
      <w:bookmarkStart w:id="191" w:name="_Toc493608541"/>
      <w:r/>
      <w:bookmarkStart w:id="192" w:name="_Toc378514169"/>
      <w:r/>
      <w:bookmarkStart w:id="193" w:name="_Toc377723948"/>
      <w:r>
        <w:rPr>
          <w:rFonts w:hint="eastAsia" w:ascii="宋体" w:hAnsi="宋体" w:eastAsia="宋体" w:cs="宋体"/>
          <w:color w:val="auto"/>
          <w:sz w:val="24"/>
          <w:szCs w:val="24"/>
          <w:highlight w:val="none"/>
          <w:lang w:val="en-US" w:eastAsia="zh-CN"/>
        </w:rPr>
        <w:t xml:space="preserve">（1）统一清运，实现生活垃圾日产日清</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取缔非密闭运输车辆，根据垃圾量合理配置密闭式垃圾收运车辆，增投小型勾臂车、后装压缩式垃圾收运车辆，对生活垃圾实行“桶（箱）车对接”的封闭式收集至指定地点，垃圾收运作业完成后，做到车走地净、容器复位，地面有油污的，要及时用清洗设备进行冲洗，实现生活垃圾“收集运输全封闭，日产日清不落地”的目标。</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3.生活垃圾收运作业要求</w:t>
      </w:r>
      <w:bookmarkEnd w:id="190"/>
      <w:r/>
      <w:bookmarkEnd w:id="191"/>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保洁人员收集垃圾之前，应身着统一工作服，佩戴口罩和防护手套，做好劳保防护措施。采用电动或人力三、四轮车、垃圾箱的方式收集垃圾，使用配套的专业垃圾收集车进行对接清运、转运，并定时对收运车辆及垃圾箱进行清洗、消毒，保证收运过程无污染，做到“垃圾不落地”，全密闭收运，避免造成二次污染。</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垃圾收运车沿固定路线路收运，保洁人员必须相互配合及时收集和倾倒垃圾；在垃圾运输过程中无垃圾扬、撒、拖挂和污水滴漏，按要求直接运往指定的中转站或填埋场，不得中途随意乱倒、乱卸、乱抛垃圾。垃圾箱无残缺、破损，封闭性好，外体干净。</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（3）垃圾到压缩中转站后随即倒入压缩中转站，不应在站内堆积，避免造成二次污染，严禁在站内分拣垃圾。</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确保垃圾收运日产日清，保洁人员必须按时收集、清掏，不得长时间堆积、满溢，影响市容环境。每次垃圾收集作业完成以后，将垃圾箱地面清扫或清洗干净，做到车走地净，无散落垃圾和堆积杂物，无积留污水。</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（5）运输垃圾应尽量避开上下班高峰期。装卸垃圾符合作业要求，在居民住宅附近装运垃圾时，应尽量避开早晨、中午车辆高峰时间，作业时注意减少噪声。</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（6）装卸垃圾时，车辆不占道，不妨碍交通，注意避让行人、车辆，保持车辆、垃圾箱干净，无异味，并及时将垃圾箱放回原处，摆放应整齐有序。</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（7）停车装卸垃圾时，应设置醒目的安全警示标志，并做好防护措施。</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（8）遵守压缩中转站的管理制度，应听从工作人员的安排有秩序地倾倒，禁止乱倒乱放；定期配合使用消杀药剂，对压缩中转站内及垃圾箱周围数米内的地面进行杀菌消毒。</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（9）垃圾收集作业时应做到文明、安全和有序，最大限度地减少对环境的污染和对公众生活的影响。</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（10）垃圾收集车辆出车前应进行车辆检查，发现故障及时排除，确保车况良好；作业完毕后，应对车辆进行清洗，车体外表无污迹、灰垢，保持车容车貌整洁，并进行消毒和维护工作。</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在服务范围内所有的垃圾点位（包括前期建好的和后续添加的所有分类设施）的保洁、消毒和分类运输处理，需配置相应的分类收运车辆，不得混收混运。</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垃圾分类收集容器、垃圾桶由招标人提供。</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在服务过程中，中标单位要将垃圾桶颜色要对应垃圾亭标明的分类标识位置有序摆放。</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充分考虑居民生活习惯，科学合理配置功能完好的分类收集容器，采取定时定点收运等行之有效的措施。</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在建设分类收集站时，分类收集站需设置规范合理，具有分类收集，暂存功能，设施设备配置充足，标识规范清晰，规范作业、美观整洁。</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有公示垃圾分类处理去向，分类收运对接方式明确。分类处理方式合规。台账管理完善，分类管理人员，环卫作业人员熟知分类，收运处理去向及流程。</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bookmarkStart w:id="194" w:name="_Toc493775436"/>
      <w:r/>
      <w:bookmarkStart w:id="195" w:name="_Toc493608542"/>
      <w:r>
        <w:rPr>
          <w:rFonts w:hint="eastAsia" w:ascii="宋体" w:hAnsi="宋体" w:eastAsia="宋体" w:cs="宋体"/>
          <w:color w:val="auto"/>
          <w:sz w:val="24"/>
          <w:szCs w:val="24"/>
          <w:highlight w:val="none"/>
          <w:lang w:val="en-US" w:eastAsia="zh-CN"/>
        </w:rPr>
        <w:t xml:space="preserve">4.垃圾转运作业要求</w:t>
      </w:r>
      <w:bookmarkEnd w:id="194"/>
      <w:r/>
      <w:bookmarkEnd w:id="195"/>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（1）垃圾转运后，要将地面打扫干净，冲洗地面油污残渣，做到车走地净。</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（2）垃圾转运必须做到日产日清，不准积存。</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（3）垃圾转运车辆进填埋场倾倒时，做到按顺序进场，服从场内人员指挥。</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（4）垃圾倾倒后要下车进行检查、清理车厢内外垃圾，并将垃圾箱外垃圾清理干净。</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bookmarkStart w:id="196" w:name="_Toc493608543"/>
      <w:r/>
      <w:bookmarkStart w:id="197" w:name="_Toc493775437"/>
      <w:r>
        <w:rPr>
          <w:rFonts w:hint="eastAsia" w:ascii="宋体" w:hAnsi="宋体" w:eastAsia="宋体" w:cs="宋体"/>
          <w:color w:val="auto"/>
          <w:sz w:val="24"/>
          <w:szCs w:val="24"/>
          <w:highlight w:val="none"/>
          <w:lang w:val="en-US" w:eastAsia="zh-CN"/>
        </w:rPr>
        <w:t xml:space="preserve">5.注意事项</w:t>
      </w:r>
      <w:bookmarkEnd w:id="192"/>
      <w:r/>
      <w:bookmarkEnd w:id="193"/>
      <w:r/>
      <w:bookmarkEnd w:id="196"/>
      <w:r/>
      <w:bookmarkEnd w:id="197"/>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（1）垃圾清运统一管理、收集，密闭运输，严禁私拉乱倒；环卫工人沿固定路线收集、清掏垃圾，严禁违规操作。</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（2）合理安排作业时间，避免在上下班人员、车流高峰时段清运垃圾。</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（3）后装式压缩车沿路装运垃圾时，注意爱护沿路设施，严禁野蛮操作导致设施损坏。</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（4）作业过程中，操作人员不得大声喧哗，尽量降低工具撞击产生的噪声，避免压缩设备超负荷运转产生高分贝噪声。</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（5）垃圾收运过程中，作业车辆、作业人员要彼此配合，确保秩序良好，车辆不得随意占道行驶，造成交通堵塞，必要时在作业现场设置安全标志牌。</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（5）垃圾收运车的垃圾装运量，应以车辆的额定荷载和有效容积为限，不得超重、超高运输。</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（7）驾驶人员必须保持良好的精神状态，严禁酒后、疲劳作业，如出现可能影响驾驶安全的疾病等情况，不得安排上岗。</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6.有害垃圾需单独防护，设置单独的有害垃圾收集容器。</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（二）垃圾清运的作业要求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1.生活垃圾的收集和清运的作业要求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（1）生活垃圾全部实行容器收集，按照《生活垃圾分类标志》《城市生活垃圾分类及其评价标准》的要求，全面推广开展分类收集。</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（2）生活垃圾要及时清运，日产日清，不得发生堆积、焚烧现象，禁止造成垃圾二次污染。</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（3）收集容器周边少量的农作物，日产日清，不得发生堆积现象。</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（4）重点路段、人流量密集的点位每天垃圾巡回收运，不少于2次。</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（5）电动三四轮车上门收集垃圾过程中避免抛洒滴漏，易碎、有害垃圾需单独防护，防止污染扩散。禁止逆行、</w:t>
      </w:r>
      <w:r>
        <w:rPr>
          <w:rFonts w:hint="eastAsia" w:ascii="宋体" w:hAnsi="宋体" w:eastAsia="宋体" w:cs="宋体"/>
          <w:color w:val="auto"/>
          <w:sz w:val="24"/>
          <w:szCs w:val="24"/>
          <w:highlight w:val="none"/>
          <w:lang w:val="en-US" w:eastAsia="zh-CN"/>
        </w:rPr>
        <w:t xml:space="preserve">抢道、急转弯或双手离把驾驶，车辆需靠右顺行停放于辅道或人行道，不得妨碍交通，临时停放需关闭电源并拉紧手刹。按照规定的时间和路线收集区域内各个垃圾点位。提前通过广播、喇叭等方式提醒居民准备好垃圾；到达收集点后，礼貌地与居民沟通，引导居民正确分类投放垃圾。对于分类不准确的，耐心指导纠正；轻拿轻放垃圾容器，避免损坏，收集完成后将容器放回原位，并保持周边环境整洁。运输过程中控制车速，避免急刹车、急转弯，防止垃圾因颠簸而散落；根据垃圾量和运输距离，合理规划运输路线，及时将垃圾运送至中转站。倾倒完成后，对车辆进行清理。</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（6）垃圾收集车收集垃圾过程中无垃圾遗撒或渗漏，严禁混装混运，人工辅助或机械臂上料，轻放轻卸，防止垃圾桶破损，及时清理散落垃圾、污渍，避免安全隐患。</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拉臂运输车运输生活垃圾从各中转站运至高邮泰达环保有限公司处置，运输途中，要密闭运输，牌号清晰及车身整洁，做到无垃圾散落、吊挂，无垃圾污水洒漏。服从高邮泰达环保有限公司管理、称重、倾倒，在倾倒过程中驾驶员按平台安全要求规范操作。</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（8）电动三四轮车作业人员衣着整齐，穿戴配有反光标志的安全作业服，佩戴工号牌、安全头盔，不得闯红灯、逆行、违章停车。</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（9）所有车辆在清运作业时，严格遵守道路交通安全法规，保持安全车距，主动礼让行人及其他车辆，杜绝抢行、超速等违规行为。</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（10）电动三四轮车每日作业后对驾驶室仪表盘、方向盘、车身外立面、轮胎及底盘进行高压水枪冲洗和人工擦拭，确保无垃圾残留或污水滴漏。</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垃圾收集车每日作业后使用‌低压水枪‌冲洗车身外表面、轮胎及底盘，重点清除尘土、油污与垃圾残留，对车厢密封门、防撞护栏等易污染部位进行人工擦拭，确保无污渍或垃圾液渗漏，冲洗车厢内部残留物，使用专用洗车剂溶解顽固污渍，重点清理推板、液压缸等机械部件粘连物。</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拉臂运输车每日作业后使用‌低压水枪‌预冲洗车厢外壁、拉臂机构及底盘，重点清除泥沙、油污及垃圾残留，对拉臂铰接处、锁紧钩等易卡滞部位进行人工刷洗，清理缠绕物并涂抹润滑脂，冲洗箱体内部，使用中性清洗剂溶解黏附物，重点清洗、更换密封条、推板导轨及污水导流槽，检查箱体焊接缝及防渗层完整性，发现破损及时修补并重新喷涂防腐涂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2.生活垃圾运输服务作业要求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（1）范围内所有垃圾中转站和集中点的垃圾压缩和运输工作，做到日产日清，场内无积压，并使用和各中转站箱体配套的环卫专业拉臂车辆运输至龙虬泰达垃圾焚烧厂。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（2）投入本项目的车辆需符合国家标准，车况良好，保险齐全有效，数量和型号满足招标文件要求。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（3）新能源车辆标准、比例及更新符合国家、省市文件规定要求和招标人要求。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（4）车辆定人定岗管理，遵守交通规则，加强安全教育，杜绝安全事故发生。</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（5）确保车容车貌，车辆进出站需冲洗干净，车外无油迹、无积灰、无掉漆，车内无杂物、无垃圾、无与工作无关的物品；小型电动收集车按要求涂装。</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车辆及时保养，机械化大型机动作业车辆第三方责任险保额不低于300万/辆，小型（1吨及以下）机动车和非机动车辆第三方责任险保额不低于10-50万/辆，所有车辆均需按照招标人要求加装GPS和相关传感设备并接入招标人平台。</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（7）所有车辆设备更新需提前购置无缝衔接，即一旦车辆设备达到使用年限则立即予以更新。</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（8）车辆遵守垃圾倾倒场所的秩序，不得违规操作，野蛮操作。同时在吊装垃圾箱时需听从操作工的调度。</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（9）所有操作人员及车辆服从处置末端运营单位的相关管理规定。</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（10）生活垃圾外运台账完整，随时备查。</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（三）道路沿线垃圾及各企业工业垃圾清运的要求</w:t>
      </w:r>
      <w:r>
        <w:rPr>
          <w:rFonts w:hint="eastAsia" w:ascii="宋体" w:hAnsi="宋体" w:eastAsia="宋体" w:cs="宋体"/>
          <w:color w:val="auto"/>
          <w:sz w:val="24"/>
          <w:szCs w:val="24"/>
          <w:highlight w:val="none"/>
          <w:lang w:val="en-US" w:eastAsia="zh-CN"/>
        </w:rPr>
        <w:t xml:space="preserve">：</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1.自备电动液压挂桶式或密闭式垃圾清运车，垃圾送往指定的垃圾中转站，并分类投放。</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2.清运车干净整洁，密闭运输，不抛撒滴漏</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上午7点前、下午1点前，沿街垃圾全部清运结束，并巡回清运，确保垃圾桶（池、房）和果壳箱内垃圾不满溢、不积压。道路、企业、单位垃圾收集第一遍应在7:00前完成，第二遍在下午1:00前完成；全线作业时间内巡回收集，同时保证垃圾容器不满溢；垃圾收集日产日清。</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自备保洁车（电动、人力），含一定数量的四分类（有害、可回收、餐厨垃圾和其他垃圾）保洁车，巡回保洁。</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严禁将清扫垃圾倒至窨井或绿化带内。</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中标人不得私自收取服务费用，不得将工业垃圾、可回收垃圾、有害垃圾、厨余垃圾混入生活垃圾进入中转站，不得将辖区外的垃圾收运至中转站，一经发现，将终止合同。</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4.定期清洗垃圾桶（池、房）和果壳箱周边的地面，确保无垃圾、无异味、无油污，地面干净整洁。</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5.自备装载机及货车，及时清运路面偷倒的建筑垃圾和工业垃圾包。</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6.垃圾清运车辆遵守交通安全法规，办理第三者责任险等。</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（四）厨余垃圾清运要求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1、自备厨余垃圾清运车辆和泔水收集设置。</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要求餐饮单位的厨余垃圾，每天9点至11点、下午15：30至17:30、晚上21:00至23:00集中收集，采购人、中标人与商家对接，由商家将厨余垃圾送至指定地点，中标人负责将垃圾集中收运后，垃圾桶立即归还商家。其余时间遇特殊情况预留电话及时收集。</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3、所有垃圾桶保持清洁，具体收集次数由采购人根据实际情况决定，确保垃圾日产日清。</w:t>
      </w:r>
      <w:r/>
    </w:p>
    <w:p>
      <w:pPr>
        <w:ind w:firstLine="420"/>
        <w:keepLines w:val="0"/>
        <w:keepNext w:val="0"/>
        <w:pageBreakBefore w:val="0"/>
        <w:spacing w:line="360" w:lineRule="auto"/>
        <w:widowControl w:val="off"/>
        <w:tabs>
          <w:tab w:val="left" w:pos="777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（五）建筑装潢垃圾管理</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主动清除责任区范围内出现的少量零星建筑装潢垃圾，不乱堆乱倒，对正在装修中产生的建筑装潢垃圾或大件废弃物，应及时跟踪管理，同时主动上报镇综安办，并协助处置。</w:t>
      </w:r>
      <w:r/>
    </w:p>
    <w:p>
      <w:pPr>
        <w:ind w:firstLine="420"/>
        <w:keepLines w:val="0"/>
        <w:keepNext w:val="0"/>
        <w:pageBreakBefore w:val="0"/>
        <w:spacing w:line="360" w:lineRule="auto"/>
        <w:widowControl w:val="off"/>
        <w:tabs>
          <w:tab w:val="left" w:pos="777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（六）垃圾分类及有害垃圾处理</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遵循“全程管理、系统衔接、科学分类、适应处理”的分类系统建设原则，本着可行、实用、操作性强的原则，对垃圾分类投放、分类收集及分类运输各环节，及其所配套车辆设备、人员、信息化系统等进行设计。</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有害垃圾根据情况及时集中收运，设置单独的有害收集容器。</w:t>
      </w:r>
      <w:r/>
    </w:p>
    <w:p>
      <w:pPr>
        <w:ind w:firstLine="420"/>
        <w:keepLines w:val="0"/>
        <w:keepNext w:val="0"/>
        <w:pageBreakBefore w:val="0"/>
        <w:spacing w:line="360" w:lineRule="auto"/>
        <w:widowControl w:val="off"/>
        <w:tabs>
          <w:tab w:val="left" w:pos="777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二、作业范围</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说明：以下所列出的为主要的作业区域，表格中未列或表格中列出的数据与现状有偏差的以现状为准，均为中标后需实施的部位。</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集镇规划区范围内西至大运河、东至高铁广场、南至创业路、北至子婴干渠路范围内的招标范围。</w:t>
      </w:r>
      <w:r/>
    </w:p>
    <w:p>
      <w:pPr>
        <w:ind w:firstLine="420"/>
        <w:jc w:val="center"/>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第六节   人员配备</w:t>
      </w:r>
      <w:r/>
    </w:p>
    <w:p>
      <w:pPr>
        <w:ind w:firstLine="420"/>
        <w:keepLines w:val="0"/>
        <w:keepNext w:val="0"/>
        <w:pageBreakBefore w:val="0"/>
        <w:spacing w:line="360" w:lineRule="auto"/>
        <w:widowControl w:val="off"/>
        <w:tabs>
          <w:tab w:val="left" w:pos="777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一、人员配备基本要求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（一）人员配备的最低要求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理配备工作人员（包括人员数量、年龄、专业等符合项目要求）。投标人需制定详尽的人员配备方案，保障服务高效运行。人员不少于40人，含项目负责人、驾驶员、保洁员等（具体人员配比由中标人负责，但一线工作人员不少于35人），需配备一名常驻专职项目负责人，大专以上学历，其中一线作业人数平均年龄必须在60周岁以下并报甲方备案（含运行过程中人员调整变动情况）；人员配备不得低于招标文件要求的数量和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（二）作业人员的要求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1.本包人员岗位具体要求按前款“市场化最低配置人数”执行。</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（1）项目负责人（1人）：</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基本要求：熟悉环卫智能化管理，有较强的决策分析和解决问题能力，有较强的管理能力和组织协调能力，服务意识强，责任心强，身体健康，吃苦耐劳，遵纪守法，作风正派，品行端正，有较强的敬业精神；</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岗位职责：</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项目统筹管理：制定项目整体规划、目标及实施计划，统筹清扫保洁、垃圾分类、垃圾收运、处理处置、公厕管理等全链条环节协同运营，确保项目按标准落地。</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运营质量把控：建立作业质量标准体系（如清扫频次、垃圾收运时效、处理合规性等），通过日常巡查、智慧监控平台（如GPS定位、数据分析系统）监督作业执行，保障服务达标。</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团队与资源管理：组建并管理项目团队（含管理人员、一线作业人员），负责人员招聘、培训、绩效考核及激励；统筹设备（清扫车、转运车等）、物资（保洁工具、垃圾袋等）的采购、调度与维护，确保资源高效利用。</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成本与预算控制：编制项目年度预算，严格管控人力、设备、能耗等运营成本，通过优化作业流程（如路线规划、设备利用率提升）降低开支，确保项目经济指标达成。</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安全与合规管理：建立安全生产制度（如作业人员安全培训、车辆操作规程），防范作业安全事故（如交通事故、人员伤害）；确保垃圾处理符合环保法规（如渗滤液处理、尾气排放达标），规避环保风险；严格遵守项目合同及地方政策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外部关系协调：对接政府主管部门（住建、环保等）、社区、供应商及公众，处理服务投诉、需求反馈，维护合作关系；协调解决跨部门（如交通、城管）作业冲突，保障项目顺畅推进。</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应急与风险处置：制定应急预案（针对暴雨、暴雪、疫情、垃圾暴增等突发情况），组织应急演练，确保快速响应并妥善处置；识别项目风险（如资金短缺、政策变动），制定应对措施。</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创新与优化改进：推动技术创新应用（如新能源作业车辆、智能化垃圾分类设备），优化作业流程（如动态调整收运路线），提升运营效率；定期分析项目数据（如清扫覆盖率、居民满意度），复盘总结并持续改进服务。</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报告与履约管理：定期向公司或委托方提交项目进展报告（含作业量、成本、质量等核心指标），确保合同条款履行；处理合同变更、纠纷，保障项目合法合规运营。</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社会责任与宣传：组织环保公益活动（如垃圾分类宣传、社区环保讲座），提升公众环保意识；推动绿色运营（如节能降耗、再生资源回收），践行企业社会责任。</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（2）驾驶员：</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基本要求：具有相关作业机动车驾驶证，服务意识强，责任心强，身体健康，吃苦耐劳，遵纪守法，作风正派，品行端正，具有较强的敬业精神，驾驶人员取得与驾驶车辆相符的准驾车型驾驶证上岗，驾驶人员不得饮酒、疲劳驾驶，驾驶人员遵守交通法规，无重大交通违法行为，符合法律法规规定的健康条件及职业素质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岗位职责：</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按规定路线、时间驾驶环卫作业车辆（如清扫车、洒水车、垃圾清运车等），完成清扫、洒水、垃圾收集或运输等作业任务。</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严格遵守作业规范，确保作业质量（如清扫彻底、洒水均匀、垃圾无遗撒泄漏），保持作业区域整洁。</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负责车辆日常检查与保养，包括油、水、轮胎、制动系统等，发现故障或异常及时上报并协助处理，保障车辆正常运行。</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遵守交通法规及安全操作规程，规范使用警示标识，确保行车及作业安全，杜绝安全事故。</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按要求填写作业记录（如行驶里程、作业时长、垃圾清运量等），及时反馈作业中遇到的问题。</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配合调度中心及其他作业人员，协调作业安排，高效完成临时性或应急性环卫任务。</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遵守单位规章制度，保持车辆内外清洁，规范着装，维护岗位形象。</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（3）保洁员、操作工、辅助工：</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基本要求：服务意识强，责任心强，身体健康，吃苦耐劳，遵纪守法，作风正派，品行端正，具有较强的敬业精神。</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岗位职责：</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负责指定区域（道路、人行道、广场等）的日常清扫保洁，清除垃圾、落叶、杂物及其他废弃物。</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按规定收集、转运责任区内的生活垃圾至指定收集点或中转站，确保垃圾桶（箱）内外清洁。</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参与特殊天气（雨雪、大风等）或突发情况（垃圾堆积、污染等）下的应急清扫、清理工作。</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维护作业区域内果皮箱、垃圾桶等环卫设施的清洁与完好，发现损坏及时上报。</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严格遵守作业安全规范，正确使用清扫工具及设备，避免作业过程中的安全事故。</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配合垃圾分类宣传、督导工作，引导市民规范投放垃圾。</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完成上级交办的其他环卫相关任务。</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i/>
          <w:iCs/>
          <w:color w:val="auto"/>
          <w:sz w:val="24"/>
          <w:szCs w:val="24"/>
          <w:highlight w:val="none"/>
          <w:u w:val="single"/>
          <w:lang w:val="en-US" w:eastAsia="zh-CN"/>
        </w:rPr>
        <w:t xml:space="preserve">投标人须承诺本项目提供项目需求的人员数量为最低要求，投标人可高于但不可低于此数量，中标人在实际实施过程中，为保证提高劳动效率，如使用机械代替人工时，需得到招标人认可。（提供人员配备承诺函原件上传，格式自拟）</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中标人根据本项目的服务标准、要求及道路实际情况自行调配各岗位人员，登记造册后报招标人审查确认。中标服务单位在实施过程中必须提供服务范围内的人员花名册（包含但不限于花名册人员与该单位的劳动合同、保险等证明），各道路的配备明细，如：**路，配备人员**，负责范围**---**，以此类推。所有人员必须在岗，由招标人或服务区域的管理人员随时进行抽查，抽查结果与考核挂钩。</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4.为保证服务质量，中标人对所录用人员要严格审查，保证录用人员没有刑事犯罪记录，身体健康。录用人员不违反法律法规相关规定，工作责任心强。</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5.中标人需设有应急队伍，在不影响日常的服务内容及任务的前提下，当有特殊任务或应急事件发生时能立即处理，并无条件服从招标人安排。</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6.操作环卫机械设备设施的作业人员须经正规培训并有相应的资格证，并按标准操作规范进行安全作业，禁止无证作业。</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7.做好公司管理架构，管理人员安排，确保一级管一级，级级有人管，实名制登记并向招标人备案存档。</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中标人为本项目服务人员配置安全作业的工具和劳动保护用品，并落实好安全生产的措施。中标人聘请的员工在工作时间需穿着统一的工作服，配置工号牌，工作服上要印上公司名称；服务期间，中标人聘用的人员如出现违规违纪行为以及员工伤亡等安全事故一概由中标人承担，与招标人无关。 </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9.在服务期间，中标方出现人身伤亡事故，均由中标方自行承担，与招标人无关，招标人不承担任何赔偿等费用，须主动化解由此产生的信访事件等。</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10.中标人应执行《中华人民共和国劳动法》的相关规定。</w:t>
      </w:r>
      <w:r/>
    </w:p>
    <w:p>
      <w:pPr>
        <w:ind w:firstLine="420"/>
        <w:keepLines w:val="0"/>
        <w:keepNext w:val="0"/>
        <w:pageBreakBefore w:val="0"/>
        <w:spacing w:line="360" w:lineRule="auto"/>
        <w:widowControl w:val="off"/>
        <w:tabs>
          <w:tab w:val="left" w:pos="7770" w:leader="none"/>
        </w:tabs>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t xml:space="preserve">三、工资标准</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工人工资标准应符合以下规定：</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i/>
          <w:iCs/>
          <w:color w:val="auto"/>
          <w:sz w:val="24"/>
          <w:szCs w:val="24"/>
          <w:highlight w:val="none"/>
          <w:u w:val="single"/>
          <w:lang w:val="en-US" w:eastAsia="zh-CN"/>
        </w:rPr>
        <w:t xml:space="preserve">.中标人须依法签订用工合同并依法支付相应报酬，其中基本工资（不含加班工资）不能低于当年高邮市区最低工资标准和扬州市政府对一线环卫工人工资的相关规定（提供人工工资承诺函原件上传，格式自拟）</w:t>
      </w:r>
      <w:r>
        <w:rPr>
          <w:rFonts w:hint="eastAsia" w:ascii="宋体" w:hAnsi="宋体" w:eastAsia="宋体" w:cs="宋体"/>
          <w:color w:val="auto"/>
          <w:sz w:val="24"/>
          <w:szCs w:val="24"/>
          <w:highlight w:val="none"/>
          <w:lang w:val="en-US" w:eastAsia="zh-CN"/>
        </w:rPr>
        <w:t xml:space="preserve">，最低工资标准发生变化的，需相应作出调整：不得拖欠工人工资（含加班工资）。按规定为工人缴交各种社会保险，并购买人身意外伤害保险。具体的缴存比例和执行标准按国家有关部门和当地政府有关规定执行。中标人每月需统一发放工人工资和缴纳各种社会保险，并将发放登记表抄送招标人备案。</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2.中标人需按照规定发放岗位津贴。具体岗位划分和津贴标准按有关文件规定为准。</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3.中标人需依据《中华人民共和国劳动法》保障环卫工人正常休息时间，确需延长劳动时间的，需按规定发放加班工资、节假日加班工资。</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中标人需按照《关于做好高温津贴支付有关工作的通知》和扬州市、高邮市有关部门的要求，按规定向环卫工人发放高温津贴及相关节日慰问金。中标人与环卫工人解除劳动合同的，依据《中华人民共和国劳动法》规定向环卫工人支付经济补偿金。环卫工人工伤、工亡的，中标人根据有关规定支付相关费用。</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5.如遇到政策性规定的最低工资、环卫津贴、高温津贴等提高，由中标人负责调整发放，招标人不负责增资经费，请中标人充分考虑相关风险。</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6.中标人员工及属下所有雇佣人员不得在服务范围内向任何单位、企业、个人收取任何卫生费用及垃圾代运费，一经查实，中标人需承担一切经济和法律责任。</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7.中标人负责夏季和冬季各慰问本项目的人员一次，慰问金不得包含在夏季高温补贴和冬季防寒费用中。</w:t>
      </w:r>
      <w:r/>
    </w:p>
    <w:p>
      <w:pPr>
        <w:ind w:firstLine="420"/>
        <w:keepLines w:val="0"/>
        <w:keepNext w:val="0"/>
        <w:pageBreakBefore w:val="0"/>
        <w:spacing w:line="360" w:lineRule="auto"/>
        <w:widowControl w:val="off"/>
        <w:tabs>
          <w:tab w:val="left" w:pos="777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四、人员进场时间</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本项目的所有服务人员在接到甲方进场指令后3个工作日全部到位。</w:t>
      </w:r>
      <w:r/>
    </w:p>
    <w:p>
      <w:pPr>
        <w:ind w:firstLine="420"/>
        <w:keepLines w:val="0"/>
        <w:keepNext w:val="0"/>
        <w:pageBreakBefore w:val="0"/>
        <w:spacing w:line="360" w:lineRule="auto"/>
        <w:widowControl w:val="off"/>
        <w:tabs>
          <w:tab w:val="left" w:pos="777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五、专用账户的要求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环卫工人工资的要求按照《住房和城乡建设部等4部门关于建立城市环卫工人工资专用账户制度的通知》（建城〔2025〕39号），投标人必须为本项目在高邮当地银行建立环卫工人工资专用账户。（提供建立环卫工人工资专用账户承诺函原件上传，格式自拟）。</w:t>
      </w:r>
      <w:r/>
    </w:p>
    <w:p>
      <w:pPr>
        <w:ind w:firstLine="420"/>
        <w:keepLines w:val="0"/>
        <w:keepNext w:val="0"/>
        <w:pageBreakBefore w:val="0"/>
        <w:spacing w:line="360" w:lineRule="auto"/>
        <w:widowControl w:val="off"/>
        <w:tabs>
          <w:tab w:val="left" w:pos="777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六、一线环卫工工作纪律的要求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1、工作期间，工作服穿戴整齐，反光标识明显，不得穿拖鞋</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2、工作时间在岗在位，除必要的吃饭、休息、上厕所时间外，不得聚集闲聊、串岗</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3、人力三轮车遵守交通规则，不得驶入快车道</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 捡拾到财物要立即上交，并通知警方处理</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 各种环卫车辆工作期间如与其他车辆发生刮蹭，不得擅自逃逸，要及时报警处理</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6、作业包内环卫设施（果壳箱、垃圾桶（池）、分类收集站台、环卫取水等）等损坏，应在2小时内口头汇报，8小时内书面汇报。</w:t>
      </w:r>
      <w:r/>
    </w:p>
    <w:p>
      <w:pPr>
        <w:jc w:val="center"/>
        <w:keepLines w:val="0"/>
        <w:keepNext w:val="0"/>
        <w:pageBreakBefore w:val="0"/>
        <w:spacing w:line="360" w:lineRule="auto"/>
        <w:widowControl w:val="off"/>
        <w:tabs>
          <w:tab w:val="left" w:pos="777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jc w:val="center"/>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第七节  机械设备配备</w:t>
      </w:r>
      <w:r/>
    </w:p>
    <w:p>
      <w:pPr>
        <w:ind w:firstLine="420"/>
        <w:keepLines w:val="0"/>
        <w:keepNext w:val="0"/>
        <w:pageBreakBefore w:val="0"/>
        <w:spacing w:line="360" w:lineRule="auto"/>
        <w:widowControl w:val="off"/>
        <w:tabs>
          <w:tab w:val="left" w:pos="777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一、设备配备的要求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（一）车辆本身要求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车辆与驾驶员证照齐全，规范管理。需保持车牌及车身标志清晰、齐全，车体无破损、无锈蚀、无污物、无灰垢。车尾需有反光标志（或加贴反光膜），投入本项目的车辆必须符合国家标准，车况良好，保险齐全有效，数量型号满足招标文件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（2）车辆符合相关密封要求；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（3）车辆颜色、标识统一；</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（4）车辆加装卫星定位系统和摄像头；</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（5）车辆涂装：车辆涂装前应提供涂装效果图，待招标人确认后实施，涂装要求但不限于增加“高邮项目”“监督电话”等信息。</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（6）洒水车、洗扫车必须在界首镇内运行(作业时间：早5：00至晚5：00)（特殊季节天气再定）</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（7）车辆定人定岗管理，遵守交通规则，加强安全教育，杜绝安全事故发生。</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（8）确保车容车貌，车辆进出站必须冲洗干净，车外无油迹、无积灰、无掉漆，车内无杂物、无垃圾、无与工作无关的物品；每两个月涂装化一次。</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（9）车辆及时保养。</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（10）服务本项目的车辆，作业时间段不得离开作业范围。</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（11）所有车辆设备更新必须提前购置无缝衔接，即一旦车辆设备到使用年限则立即予以更新，衔接期不得超过10天。</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（11）小型车辆要求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中标人按采购人要求，对小型车辆实行统一编码，未编码登记车辆不得进入中转站。</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车辆遵守垃圾倾倒场所的秩序，不得违规操作，野蛮操作。同时在吊装垃圾箱时必须听从操作工的调度。</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车辆分类、涂装、标识符合相关文件规定标准，数量满足本包需求的作业定时收运要求。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小型车辆应建立安全管理、检测、保养和更新机制，实时排查隐患，并加强驾驶员安全教育工作。</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小型车辆配备的数量、功能应满足招标文件要求。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重大活动保障全天候巡回机械化清扫保洁。</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（二）环卫车辆作业要求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1.出车前</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①驾驶员必须按市规定统一穿戴好环卫工作服、反光衣等，并佩戴工号章，要求衣冠整洁。</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②出车作业前必须检查车辆的安全性能和有效性能，带齐相应的检修工具；车辆配备至少3个安全反光锥形筒，以备特殊情况时进行摆放。</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2.作业中</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①冲刷、清扫、冲洗作业时，必须遵守道路交通规则，礼让行车，注意行人及车辆的安全。</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②冲刷、清扫作业时必须注意交通安全，开启安全作业警示灯。</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③作业时，能进行机械清扫的地方尽量由扫地车清扫（包括导流带、转弯位等）。</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④作业行驶速度要匀速低速，洒水车控制在正常冲刷速度，扫地车控制在正常清扫速度，遇垃圾较密集处或排水口要降低作业速度，保证作业后路面干净。</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⑤机扫车行驶作业时要注意车身与路沿石或侧石的距离，不能太近也不能太远。一般要求扫刷丝末端正好抵触路缘石为标准。驾驶员应根据路面的实际情况开启扫刷的数量：正常情况下，扫左边时只开左边扫刷，扫右边时只开右边扫刷；遇面积较大的地方应同时开启全部扫刷作业。驾驶员在行车时要注意随时观察控制好扫刷的位置，留意扫刷角度是否合适，机扫车经过的地方必须干净，无垃圾。</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⑥驾驶员在作业行驶中应不定期检查吸嘴有无堵塞，发现吸嘴堵塞，应及时停车疏通，疏通后遗留在路面的垃圾必须清理干净。</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⑦作业时应根据路面的尘土大小来开启喷嘴的数量，遇下雨天作业时可不开扫地车水泵压尘，遇大雨或特大雨天时，可先不按照规定的清扫时间进行清扫，等雨停后再出路面进行清扫。</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⑧洒水车、扫地车、冲洗车必须按指定的路线作业，做到避免作业盲点，不漏，不重，不留卫生死角。</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3.作业后</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①每班洒水车冲刷作业完成后将车停放在指定的地方，并对车辆进行冲洗，确保下一班的作业需要。</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②每班扫地车清扫作业完成后必须及时将垃圾箱里的垃圾倾倒至指定的地方，并对车辆进行冲洗，确保下一班的作业需要。</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③每班清扫作业完成后将车停放到指定的地方，并对车辆进行冲洗，确保下一班的作业需要。</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④机扫车、高压冲洗车每天作业完成后，驾驶员必须检查车辆的各项性能，发现问题及时处理。</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⑤机扫车、高压冲洗车由专人负责日常的保养，并每周进行定期检查维修，确保车辆正常作业。</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4.运输要求   </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（1）包含但不限于招标人移交的各类垃圾清运的小区及点位。</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（2）各类垃圾运输作业做到车走地净。</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（3）各类垃圾收集运输途中做到密闭运输，不得随意抛洒、填埋，由此产生的一切后果由中标人承担。</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（4）各类垃圾运输装运中需听从现场工作人员指挥，谨慎操作小心驾驶，以防人身机械事故的发生。</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（5）在垃圾运输工作中发生的任何交通事故及涉及人员伤亡、财物损坏等安全事故，均由中标人负责。</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（6）严禁车辆超载运营，因超载等违规、违法行为受到的处罚均由中标人承担。</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（7）各类垃圾运输至招标人指定地点，若到达终端处置场所，需服从处置场工作人员的指挥调度。</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（三）作业工具与用品要求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基础工具：扫帚、垃圾夹、拖把（分干湿两用）、水桶、抹布（分区域专用，如座椅/玻璃/垃圾桶不混用）、铲刀、高压水枪（配可调喷头）。</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清洁剂：中性地面清洁剂（pH值6-8，避免腐蚀地砖）、玻璃水、除胶剂、消毒剂（含氯或季铵盐类，用于呕吐物、血迹等特殊污染物）。</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防护用品：橡胶手套、口罩、反光背心（夜间作业必备）、防滑鞋。</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二、设备的规格及最低配置（辆、台）数量要求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cyan"/>
          <w:lang w:val="en-US" w:eastAsia="zh-CN"/>
        </w:rPr>
      </w:pPr>
      <w:r>
        <w:rPr>
          <w:rFonts w:hint="eastAsia" w:ascii="宋体" w:hAnsi="宋体" w:eastAsia="宋体" w:cs="宋体"/>
          <w:color w:val="auto"/>
          <w:sz w:val="24"/>
          <w:szCs w:val="24"/>
          <w:highlight w:val="none"/>
          <w:lang w:val="en-US" w:eastAsia="zh-CN"/>
        </w:rPr>
        <w:t xml:space="preserve">投标人应编制所投包合理可行机械化作业方案、检查方案，作业方案应与自有或租赁机械设备车辆相吻合，设备清单如下：</w:t>
      </w:r>
      <w:r/>
    </w:p>
    <w:tbl>
      <w:tblPr>
        <w:tblStyle w:val="819"/>
        <w:tblW w:w="948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09"/>
        <w:gridCol w:w="4183"/>
        <w:gridCol w:w="766"/>
        <w:gridCol w:w="1267"/>
        <w:gridCol w:w="2460"/>
      </w:tblGrid>
      <w:tr>
        <w:trPr>
          <w:jc w:val="center"/>
          <w:trHeight w:val="700"/>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规格</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道路清扫车辆（湿扫）</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核定载重量5.0T</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冲洗车（含洒水功能）</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核定载重量5.0T</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雾炮车</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作业高度50米</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吸粪车</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核定载重量3.0T</w:t>
            </w:r>
            <w:r/>
          </w:p>
        </w:tc>
      </w:tr>
      <w:tr>
        <w:trPr>
          <w:jc w:val="center"/>
          <w:trHeight w:val="346"/>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洒水车</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核定载重量5.0T</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垃圾桶清洗车</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spacing w:line="240" w:lineRule="auto"/>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除雪装备（雪铲、雪滚，融雪剂布洒设施等）</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若干</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雪铲6、雪滚8，融雪剂布洒设施12</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其他垃圾收集车（要求可上牌照）</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若干，满足作业需求</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核定载重量0.5T</w:t>
            </w:r>
            <w:r/>
          </w:p>
        </w:tc>
      </w:tr>
      <w:tr>
        <w:trPr>
          <w:jc w:val="center"/>
          <w:trHeight w:val="999"/>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电动三轮保洁车（要求国标上牌）</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若干，满足作业需求</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r>
            <w:r/>
          </w:p>
        </w:tc>
      </w:tr>
      <w:tr>
        <w:trPr>
          <w:jc w:val="center"/>
          <w:trHeight w:val="553"/>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183" w:type="dxa"/>
            <w:vAlign w:val="center"/>
            <w:textDirection w:val="lrTb"/>
            <w:noWrap w:val="false"/>
          </w:tcPr>
          <w:p>
            <w:pPr>
              <w:jc w:val="both"/>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灭蚊灭蝇装置</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若干</w:t>
            </w:r>
            <w:r/>
          </w:p>
        </w:tc>
        <w:tc>
          <w:tcPr>
            <w:shd w:val="clear" w:color="auto" w:fill="auto"/>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spacing w:line="240" w:lineRule="auto"/>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r>
            <w:r/>
          </w:p>
        </w:tc>
      </w:tr>
    </w:tbl>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cyan"/>
          <w:lang w:val="en-US" w:eastAsia="zh-CN"/>
        </w:rPr>
      </w:pPr>
      <w:r>
        <w:rPr>
          <w:rFonts w:hint="eastAsia" w:ascii="宋体" w:hAnsi="宋体" w:eastAsia="宋体" w:cs="宋体"/>
          <w:color w:val="auto"/>
          <w:sz w:val="24"/>
          <w:szCs w:val="24"/>
          <w:highlight w:val="cyan"/>
          <w:lang w:val="en-US" w:eastAsia="zh-CN"/>
        </w:rPr>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bookmarkStart w:id="225" w:name="_GoBack"/>
      <w:r>
        <w:rPr>
          <w:rFonts w:hint="eastAsia" w:ascii="宋体" w:hAnsi="宋体" w:eastAsia="宋体" w:cs="宋体"/>
          <w:i/>
          <w:iCs/>
          <w:color w:val="auto"/>
          <w:sz w:val="24"/>
          <w:szCs w:val="24"/>
          <w:highlight w:val="none"/>
          <w:u w:val="single"/>
          <w:lang w:val="en-US" w:eastAsia="zh-CN"/>
        </w:rPr>
        <w:t xml:space="preserve">投标人承诺提供上述基本车辆及设备的数量及配置不低于招标文件规定的配置。（提供车辆配置承诺函原件上传，格式自拟）。</w:t>
      </w:r>
      <w:bookmarkEnd w:id="225"/>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三、车辆配置其他要求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1.本项目作业设备具体要求按前款“设备最低配置（辆、台）”执行。</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根据江苏省住房和城乡建设厅、江苏省发展和改革委员会、江苏省工业和信息化厅印发的《江苏省住房和城乡建设厅等部门关于环卫领域车辆（作业机具）绿色化智能化更新的通知》苏建城管〔2025〕3号文件：在新增或更新时鼓励采用新能源汽车（含纯电动汽车、插电式混合动力汽车或燃料电池汽车），每年新增或更新车辆中15%以上使用新能源车，其中新增或更新的轻型车中80%以上使用新能源车。根据扬州市人民政府办公室印发《扬州市推动公共领域车辆电动化水平提升工作方案（征求意见稿）》，环卫用车按照市级统筹、</w:t>
      </w:r>
      <w:r>
        <w:rPr>
          <w:rFonts w:hint="eastAsia" w:ascii="宋体" w:hAnsi="宋体" w:eastAsia="宋体" w:cs="宋体"/>
          <w:color w:val="auto"/>
          <w:sz w:val="24"/>
          <w:szCs w:val="24"/>
          <w:highlight w:val="none"/>
          <w:lang w:val="en-US" w:eastAsia="zh-CN"/>
        </w:rPr>
        <w:t xml:space="preserve">区县协同的原则，分批次、分区域、分时段进行市政环卫车辆电动化替代，重点提高洒水车、清扫车、垃圾运输车等车辆的电动化比例，新增和更换车辆的电动化比例不低于80%。，新能源车辆标准、比例及更新应符合国家、省市文件规定要求，鼓励建设一批新能源环卫车辆统一停放、充电、维修专用服务站点，降低企业运营成本。环卫作业新能源车配备需以“政策合规为前提、技术适配为核心、安全环保为底线、运营高效为目标”，车辆配置应符合国家关于新能源车配备的要求。综合车辆性能、作业场景、管理需求，确保替代传统燃油车后“不减效、更安全、低成本”。</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3.设备参数（以下车辆若采用新能源设备应满足以下要求）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（一）新能源深度保洁车</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（1）额定载质量：≥2600kg</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（2）电池总电量（kWh）：≥280kwh </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（二）新能源洒水车</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（1）额定载质量（kg）：≥9000kg</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（2）电池总电量（kWh）：≥210kwh </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（三）新能源洗扫车</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（1）额定载质量（kg）：≥5000kg</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（2）电池总电量（kWh）：≥280kWh。</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（四）新能源多功能抑尘车</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（1）额定载质量（kg）：≥6500kg；</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（2）电池总电量（kWh）：≥280kWh</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（五）洒水车（18T）</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（1）水罐容积：≥9m³</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（六）洗扫车（18T）</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（1）垃圾箱容积≥6m³</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（2）清水箱容积≥8mm³</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（七）雾炮车（25T）</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（1）水罐容积：≥12m³</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（2）风炮射程：≥120m</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（八）新能源小型洗扫车</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（1）持续工作时间：≥5h</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（2）续航里程：≥100km</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（3）垃圾箱容量：≥600L（高位自卸）</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（九）小型高压冲洗车</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（1）水箱容积≥900L</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人在承包服务期限内，投标人的扫路车、洒水车、垃圾运输车辆、电动保洁车等车辆达到使用年限的，投标人应承诺在上述车辆达到使用期前重新购置车辆并投入使用（投标人需提供承诺）。作业车辆电动保洁车、手推车及三轮保洁车需用统一密闭加盖车型及编码标色；</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2.投标人针对招标人的设备明细承诺在接到甲方进场指令后3个工作日全部到位（投标人需提供承诺）；</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3.投标人需对接收的设备进行喷涂翻新；</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4.用于本项目的设备不得用于以外的其他地区。</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5.投标人中标后，所采购设备的采购方案需取得招标人同意后购置。</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6.投标人所投车辆必须是国家工信部认可的车辆，具有国家强制性产品认证证书，技术参数须与国家工信部公告车辆参数吻合，能保证上牌。</w:t>
      </w:r>
      <w:r/>
    </w:p>
    <w:p>
      <w:pPr>
        <w:pStyle w:val="1030"/>
        <w:rPr>
          <w:rFonts w:hint="eastAsia"/>
          <w:lang w:val="en-US" w:eastAsia="zh-CN"/>
        </w:rPr>
      </w:pPr>
      <w:r>
        <w:rPr>
          <w:rFonts w:hint="eastAsia"/>
          <w:lang w:val="en-US" w:eastAsia="zh-CN"/>
        </w:rPr>
      </w:r>
      <w:r/>
    </w:p>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第九节   </w:t>
      </w:r>
      <w:r>
        <w:rPr>
          <w:rFonts w:hint="eastAsia" w:ascii="宋体" w:hAnsi="宋体" w:eastAsia="宋体" w:cs="宋体"/>
          <w:b/>
          <w:bCs/>
          <w:color w:val="auto"/>
          <w:sz w:val="24"/>
          <w:szCs w:val="24"/>
          <w:highlight w:val="none"/>
        </w:rPr>
        <w:t xml:space="preserve">扫雪铲冰作业方案</w:t>
      </w:r>
      <w:r/>
    </w:p>
    <w:p>
      <w:pPr>
        <w:ind w:firstLine="420"/>
        <w:spacing w:line="360" w:lineRule="auto"/>
        <w:tabs>
          <w:tab w:val="left" w:pos="26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一、作业基本要求</w:t>
      </w:r>
      <w:r/>
    </w:p>
    <w:p>
      <w:pPr>
        <w:ind w:firstLine="420"/>
        <w:spacing w:line="360" w:lineRule="auto"/>
        <w:tabs>
          <w:tab w:val="left" w:pos="26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1、作业原则</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理利用原有扫雪作业车辆和设备，遵循“机械作业为主、人工作业为辅”的原则按照“提前预警、分级准备、突出重点、把握全局”的扫雪作业思路，配备多种先进的除雪车辆和设备，应用城市应急指挥系统，实现城区除雪“即下即清，雪停路净”。</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除雪作业时按照“先重点、后一般”的顺序开展除雪作业，分为蓝色（小雪）、黄色（中雪）、橙色（大雪）、红色（暴雪）四级作业等级按照三种不同温度分别进行除雪作业。</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主要做到以下几点：</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（1）坚持绿色清冰雪原则。除定点坡路及重要交通节点在有关部门的统筹组织下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科学、适度撒布融雪剂外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坚决不使用融雪剂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确保实现绿色、环保的清冰雪目标。</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（2）坚持保交通、保环境原则。在坚持绿色清冰雪的基础上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重点围绕保证交通顺畅、保障市容</w:t>
      </w:r>
      <w:r>
        <w:rPr>
          <w:rFonts w:hint="eastAsia" w:ascii="宋体" w:hAnsi="宋体" w:eastAsia="宋体" w:cs="宋体"/>
          <w:color w:val="auto"/>
          <w:sz w:val="24"/>
          <w:szCs w:val="24"/>
          <w:highlight w:val="none"/>
          <w:lang w:eastAsia="zh-CN"/>
        </w:rPr>
        <w:t xml:space="preserve">城市管家，</w:t>
      </w:r>
      <w:r>
        <w:rPr>
          <w:rFonts w:hint="eastAsia" w:ascii="宋体" w:hAnsi="宋体" w:eastAsia="宋体" w:cs="宋体"/>
          <w:color w:val="auto"/>
          <w:sz w:val="24"/>
          <w:szCs w:val="24"/>
          <w:highlight w:val="none"/>
        </w:rPr>
        <w:t xml:space="preserve">积极落实各项清冰雪措施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最大限度减少降雪天气对交通运行和市容环境的影响。</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坚持机械为主、人工为辅原则。以清冰雪机械为主要作业手段</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积极改进作业方法、调整组合方式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充分发挥机械设备的功能作用和效率优势</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以人工作业弥补机械作业不足</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全面提高精细化作业水平。</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（4）坚持“即下、即推、即扫、即运”的工作模式，确保城区主干道“即下、即扫、即清”；城区次干道当天扫、当天清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城市主干道应做到“一夜雪无”</w:t>
      </w:r>
      <w:r>
        <w:rPr>
          <w:rFonts w:hint="eastAsia" w:ascii="宋体" w:hAnsi="宋体" w:eastAsia="宋体" w:cs="宋体"/>
          <w:color w:val="auto"/>
          <w:sz w:val="24"/>
          <w:szCs w:val="24"/>
          <w:highlight w:val="none"/>
        </w:rPr>
        <w:t xml:space="preserve">；背街巷道和居住小区、院落，当天清扫，两天清运完毕。</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（5）加强机械化清雪路段冰雪内杂物的清理工作，做到清垛前捡拾，清垛堆放后复查，严防砖块、塑料编织袋等杂物混入雪堆损坏清雪机械。</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（6）未及时清除的冰雪须按标准在指定地点堆放，统一清运。</w:t>
      </w:r>
      <w:r/>
    </w:p>
    <w:p>
      <w:pPr>
        <w:ind w:firstLine="420"/>
        <w:spacing w:line="360" w:lineRule="auto"/>
        <w:tabs>
          <w:tab w:val="left" w:pos="26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扫雪、除冰、除淤等作业要求</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冬季扫雪除冰的作业要求</w:t>
      </w:r>
      <w:r>
        <w:rPr>
          <w:rFonts w:hint="eastAsia" w:ascii="宋体" w:hAnsi="宋体" w:eastAsia="宋体" w:cs="宋体"/>
          <w:color w:val="auto"/>
          <w:sz w:val="24"/>
          <w:szCs w:val="24"/>
          <w:highlight w:val="none"/>
        </w:rPr>
        <w:t xml:space="preserve"> </w:t>
      </w:r>
      <w:r/>
    </w:p>
    <w:p>
      <w:pPr>
        <w:ind w:firstLine="420"/>
        <w:spacing w:line="360" w:lineRule="auto"/>
        <w:tabs>
          <w:tab w:val="left" w:pos="26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机械作业</w:t>
      </w:r>
      <w:r/>
    </w:p>
    <w:p>
      <w:pPr>
        <w:ind w:firstLine="420"/>
        <w:spacing w:line="360" w:lineRule="auto"/>
        <w:tabs>
          <w:tab w:val="left" w:pos="26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当雪量≤5cm时，‌使用扫雪车作业速度符合规定，后跟融雪剂撒布车进行防冰处理；当雪量≥5cm时：‌组合推雪车、扫雪车与融雪剂撒布车联合作业，采用“推雪→扫雪→撒布”三步流程；当路段结冰时，</w:t>
      </w:r>
      <w:r>
        <w:rPr>
          <w:rFonts w:hint="eastAsia" w:ascii="宋体" w:hAnsi="宋体" w:eastAsia="宋体" w:cs="宋体"/>
          <w:color w:val="auto"/>
          <w:sz w:val="24"/>
          <w:szCs w:val="24"/>
          <w:highlight w:val="none"/>
        </w:rPr>
        <w:t xml:space="preserve">增加破冰车破冰环节，执行“破冰→扫雪→撒布”流程</w:t>
      </w:r>
      <w:r>
        <w:rPr>
          <w:rFonts w:hint="eastAsia" w:ascii="宋体" w:hAnsi="宋体" w:eastAsia="宋体" w:cs="宋体"/>
          <w:color w:val="auto"/>
          <w:sz w:val="24"/>
          <w:szCs w:val="24"/>
          <w:highlight w:val="none"/>
          <w:lang w:eastAsia="zh-CN"/>
        </w:rPr>
        <w:t xml:space="preserve">。优先保障立交桥、主干道及公交车道，按“先打通一条路，再扩展两侧”顺序推进。暴雪时启动机械征用机制，延长作业时间并提升清运频次。</w:t>
      </w:r>
      <w:r/>
    </w:p>
    <w:p>
      <w:pPr>
        <w:ind w:firstLine="420"/>
        <w:spacing w:line="360" w:lineRule="auto"/>
        <w:tabs>
          <w:tab w:val="left" w:pos="26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人工作业</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人员穿戴反光服和防滑鞋，作业时设置安全桩隔离危险区域；人行道、地铁口、天桥等机械覆盖盲区由人工清扫，优先清出通行通道；住宅小区、公园景区等禁止使用氯盐类融雪剂区域。</w:t>
      </w:r>
      <w:r/>
    </w:p>
    <w:p>
      <w:pPr>
        <w:ind w:firstLine="420"/>
        <w:spacing w:line="360" w:lineRule="auto"/>
        <w:tabs>
          <w:tab w:val="left" w:pos="26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融雪剂使用</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气温≤-10℃时优先撒布防冻结冰，融雪剂用量根据温度动态调整（0℃用量下限，低温取上限）。采用撒布机精准控制剂量，确保均匀覆盖且单位面积用量≤规范限值。含融雪剂的积雪需集中转运至指定场所，严禁堆放于绿地或水源地周边。</w:t>
      </w:r>
      <w:r/>
    </w:p>
    <w:p>
      <w:pPr>
        <w:ind w:firstLine="420"/>
        <w:spacing w:line="360" w:lineRule="auto"/>
        <w:tabs>
          <w:tab w:val="left" w:pos="26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防滑垫</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根据天气预报提前布设防滑垫，应对突发降雪或冻雨，在易积雪结冰处加设防滑垫，并与警示标识配合使用。及时清理表面冰碴、积水，检查磨损情况并及时更换破损垫片。</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u w:val="none"/>
          <w:lang w:val="en-US" w:eastAsia="zh-CN"/>
        </w:rPr>
        <w:t xml:space="preserve">（2）夏季除淤的作业要求</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雨前准备</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按照防微杜渐、汛情命令、盯守巡查、责任追究的原则，认真落实夏季防汛工作，达到防汛工作整体安排科学周密。道路保洁工作需确保 汛前预防工作充分完备。巡查各岗位保洁员的工作，及时清扫道路上的垃圾杂物，及时清理道路上的建筑渣土，避免将其冲入地下排水管道。 </w:t>
      </w:r>
      <w:r/>
    </w:p>
    <w:p>
      <w:pPr>
        <w:ind w:firstLine="420"/>
        <w:spacing w:line="360" w:lineRule="auto"/>
        <w:tabs>
          <w:tab w:val="left" w:pos="26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雨后道路清淤</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及时清扫地面上的所有垃圾袋、纸屑、树叶、泥土、石子及其他杂物；发生塌陷或有大量泥土、泥沙冲至路面绿地时，协助绿化工人及时清运、打扫现场；查看雨水井、管道排水是否畅通，防止发生堵塞外溢。</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除淤要求</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达到“三净、二无、二不”的工作标准。“三净”标准：路面净、便道净、路牙净；“二无”标准：无遗漏、无堆积；“二不”标准：除淤不得损坏路面、淤泥不得倒入垃圾池（草坪、花池和树坑内）。</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二、作业范围</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说明：以下所列出的为主要的作业区域，均为中标后需实施的部位。集镇规划区范围内西至大运河、东至高铁广场、南至创业路、北至子婴干渠路。</w:t>
      </w:r>
      <w:r/>
    </w:p>
    <w:p>
      <w:pPr>
        <w:ind w:firstLine="420"/>
        <w:jc w:val="center"/>
        <w:spacing w:line="360" w:lineRule="auto"/>
        <w:tabs>
          <w:tab w:val="left" w:pos="26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20"/>
        <w:jc w:val="center"/>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第十节  </w:t>
      </w:r>
      <w:r>
        <w:rPr>
          <w:rFonts w:hint="eastAsia" w:ascii="宋体" w:hAnsi="宋体" w:eastAsia="宋体" w:cs="宋体"/>
          <w:b/>
          <w:bCs/>
          <w:color w:val="auto"/>
          <w:sz w:val="24"/>
          <w:szCs w:val="24"/>
          <w:highlight w:val="none"/>
        </w:rPr>
        <w:t xml:space="preserve">应急保障工作</w:t>
      </w:r>
      <w:r/>
    </w:p>
    <w:p>
      <w:pPr>
        <w:ind w:firstLine="420"/>
        <w:jc w:val="left"/>
        <w:spacing w:line="360" w:lineRule="auto"/>
        <w:tabs>
          <w:tab w:val="left" w:pos="26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一、基本要求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为做好各类突发事件的应急工作</w:t>
      </w:r>
      <w:r>
        <w:rPr>
          <w:rFonts w:hint="eastAsia" w:ascii="宋体" w:hAnsi="宋体" w:eastAsia="宋体" w:cs="宋体"/>
          <w:color w:val="auto"/>
          <w:sz w:val="24"/>
          <w:szCs w:val="24"/>
          <w:highlight w:val="none"/>
          <w:lang w:eastAsia="zh-CN"/>
        </w:rPr>
        <w:t xml:space="preserve">，以</w:t>
      </w:r>
      <w:r>
        <w:rPr>
          <w:rFonts w:hint="eastAsia" w:ascii="宋体" w:hAnsi="宋体" w:eastAsia="宋体" w:cs="宋体"/>
          <w:color w:val="auto"/>
          <w:sz w:val="24"/>
          <w:szCs w:val="24"/>
          <w:highlight w:val="none"/>
        </w:rPr>
        <w:t xml:space="preserve">最快速度恢复基础设施功能，保障人民群众的生活环境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遇有突发的</w:t>
      </w:r>
      <w:r>
        <w:rPr>
          <w:rFonts w:hint="eastAsia" w:ascii="宋体" w:hAnsi="宋体" w:eastAsia="宋体" w:cs="宋体"/>
          <w:color w:val="auto"/>
          <w:sz w:val="24"/>
          <w:szCs w:val="24"/>
          <w:highlight w:val="none"/>
          <w:lang w:val="en-US" w:eastAsia="zh-CN"/>
        </w:rPr>
        <w:t xml:space="preserve">本项目服务相关的</w:t>
      </w:r>
      <w:r>
        <w:rPr>
          <w:rFonts w:hint="eastAsia" w:ascii="宋体" w:hAnsi="宋体" w:eastAsia="宋体" w:cs="宋体"/>
          <w:color w:val="auto"/>
          <w:sz w:val="24"/>
          <w:szCs w:val="24"/>
          <w:highlight w:val="none"/>
        </w:rPr>
        <w:t xml:space="preserve">事件或作业事故时，按照上级主管部门工作指令，根据应急预案程序，提供优质、高效、快捷的环卫作业服务，保障城市和居民正常活动，减少事件或事故造成的损失和危害，提高应对环卫突发事故的处置能力；同时，积极协助政府做好各级检查工作，做好重大活动的环卫保障。制定应急管理综合预案，组建应急保障队伍，配备相应的人员和车辆，日常应急保障费用</w:t>
      </w:r>
      <w:r>
        <w:rPr>
          <w:rFonts w:hint="eastAsia" w:ascii="宋体" w:hAnsi="宋体" w:eastAsia="宋体" w:cs="宋体"/>
          <w:color w:val="auto"/>
          <w:sz w:val="24"/>
          <w:szCs w:val="24"/>
          <w:highlight w:val="none"/>
          <w:lang w:val="en-US" w:eastAsia="zh-CN"/>
        </w:rPr>
        <w:t xml:space="preserve">包含在投标报价中</w:t>
      </w:r>
      <w:r>
        <w:rPr>
          <w:rFonts w:hint="eastAsia" w:ascii="宋体" w:hAnsi="宋体" w:eastAsia="宋体" w:cs="宋体"/>
          <w:color w:val="auto"/>
          <w:sz w:val="24"/>
          <w:szCs w:val="24"/>
          <w:highlight w:val="none"/>
        </w:rPr>
        <w:t xml:space="preserve">。</w:t>
      </w:r>
      <w:r/>
    </w:p>
    <w:p>
      <w:pPr>
        <w:ind w:firstLine="420"/>
        <w:jc w:val="left"/>
        <w:spacing w:line="360" w:lineRule="auto"/>
        <w:tabs>
          <w:tab w:val="left" w:pos="26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二、作业范围</w:t>
      </w:r>
      <w:r/>
    </w:p>
    <w:p>
      <w:pPr>
        <w:ind w:firstLine="420"/>
        <w:jc w:val="left"/>
        <w:spacing w:line="360" w:lineRule="auto"/>
        <w:tabs>
          <w:tab w:val="left" w:pos="26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界首镇范围内的</w:t>
      </w:r>
      <w:r>
        <w:rPr>
          <w:rFonts w:hint="eastAsia" w:ascii="宋体" w:hAnsi="宋体" w:eastAsia="宋体" w:cs="宋体"/>
          <w:color w:val="auto"/>
          <w:sz w:val="24"/>
          <w:szCs w:val="24"/>
          <w:highlight w:val="none"/>
        </w:rPr>
        <w:t xml:space="preserve">突发事件</w:t>
      </w:r>
      <w:r>
        <w:rPr>
          <w:rFonts w:hint="eastAsia" w:ascii="宋体" w:hAnsi="宋体" w:eastAsia="宋体" w:cs="宋体"/>
          <w:color w:val="auto"/>
          <w:sz w:val="24"/>
          <w:szCs w:val="24"/>
          <w:highlight w:val="none"/>
          <w:lang w:eastAsia="zh-CN"/>
        </w:rPr>
        <w:t xml:space="preserve">，如</w:t>
      </w:r>
      <w:r>
        <w:rPr>
          <w:rFonts w:hint="eastAsia" w:ascii="宋体" w:hAnsi="宋体" w:eastAsia="宋体" w:cs="宋体"/>
          <w:color w:val="auto"/>
          <w:sz w:val="24"/>
          <w:szCs w:val="24"/>
          <w:highlight w:val="none"/>
        </w:rPr>
        <w:t xml:space="preserve">遇狂风、暴雨等恶劣天气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树木倒伏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突发性溢油污染</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应急抢险</w:t>
      </w:r>
      <w:r>
        <w:rPr>
          <w:rFonts w:hint="eastAsia" w:ascii="宋体" w:hAnsi="宋体" w:eastAsia="宋体" w:cs="宋体"/>
          <w:color w:val="auto"/>
          <w:sz w:val="24"/>
          <w:szCs w:val="24"/>
          <w:highlight w:val="none"/>
          <w:lang w:eastAsia="zh-CN"/>
        </w:rPr>
        <w:t xml:space="preserve">。</w:t>
      </w:r>
      <w:r/>
    </w:p>
    <w:p>
      <w:pPr>
        <w:numPr>
          <w:ilvl w:val="0"/>
          <w:numId w:val="0"/>
        </w:num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重大活动保障的要求</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无条件保障市、镇安排的重大节庆活动</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根据甲方的要求，取消分班，全员上岗，定人定路段，费用自行负责</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全面清洗中标路面的快车道、慢车道、人行道，费用自行负责</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清扫、洒水的次数结合防治雾霾、蓝天保卫战适当增加，遇特殊天气需服从采购人调配。</w:t>
      </w:r>
      <w:r/>
    </w:p>
    <w:p>
      <w:pPr>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2</w:t>
      </w:r>
      <w:r>
        <w:rPr>
          <w:rFonts w:hint="eastAsia" w:ascii="宋体" w:hAnsi="宋体" w:eastAsia="宋体" w:cs="宋体"/>
          <w:b/>
          <w:bCs/>
          <w:color w:val="000000"/>
          <w:sz w:val="24"/>
          <w:szCs w:val="24"/>
        </w:rPr>
        <w:t xml:space="preserve">、灾害性天气应急保障的要求</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自备铲雪车或机械化雪铲，或其他铲雪车辆，及相关融雪剂等用品用具，能及时铲除道路积雪、积冰，</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自备货车，能及时清运道路积雪、积冰</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暴雪天气停止后，主干道3日内可视范围内不见明显积雪和积冰；次干道5日内可视范围内不见明显积雪和积冰。费用自行承担</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暴雨天气后，及时清扫路面积水</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台风天气后，将路边倾倒的树木及时清理到不妨碍交通的场地。 </w:t>
      </w:r>
      <w:r/>
    </w:p>
    <w:p>
      <w:pPr>
        <w:ind w:firstLine="420"/>
        <w:jc w:val="center"/>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第十一节  企业管理</w:t>
      </w:r>
      <w:r/>
    </w:p>
    <w:p>
      <w:pPr>
        <w:ind w:firstLine="420"/>
        <w:spacing w:line="360" w:lineRule="auto"/>
        <w:tabs>
          <w:tab w:val="left" w:pos="26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一、安全管理基本要求</w:t>
      </w:r>
      <w:r/>
    </w:p>
    <w:p>
      <w:pPr>
        <w:ind w:firstLine="420"/>
        <w:spacing w:line="360" w:lineRule="auto"/>
        <w:tabs>
          <w:tab w:val="left" w:pos="26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中标人需做好</w:t>
      </w:r>
      <w:r>
        <w:rPr>
          <w:rFonts w:hint="eastAsia" w:ascii="宋体" w:hAnsi="宋体" w:eastAsia="宋体" w:cs="宋体"/>
          <w:color w:val="auto"/>
          <w:sz w:val="24"/>
          <w:szCs w:val="24"/>
          <w:highlight w:val="none"/>
        </w:rPr>
        <w:t xml:space="preserve">城市管家的安全管理</w:t>
      </w:r>
      <w:r>
        <w:rPr>
          <w:rFonts w:hint="eastAsia" w:ascii="宋体" w:hAnsi="宋体" w:eastAsia="宋体" w:cs="宋体"/>
          <w:color w:val="auto"/>
          <w:sz w:val="24"/>
          <w:szCs w:val="24"/>
          <w:highlight w:val="none"/>
          <w:lang w:val="en-US" w:eastAsia="zh-CN"/>
        </w:rPr>
        <w:t xml:space="preserve">工作，并常抓不懈。</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安全管理制度体系</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制度健全性：需提供完善的安全生产责任制（明确各岗位安全职责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并落到实处，哪些能做，哪些不能做</w:t>
      </w:r>
      <w:r>
        <w:rPr>
          <w:rFonts w:hint="eastAsia" w:ascii="宋体" w:hAnsi="宋体" w:eastAsia="宋体" w:cs="宋体"/>
          <w:color w:val="auto"/>
          <w:sz w:val="24"/>
          <w:szCs w:val="24"/>
          <w:highlight w:val="none"/>
        </w:rPr>
        <w:t xml:space="preserve">）、安全检查制度、隐患排查整改机制、安全培训制度、应急预案等文件。</w:t>
      </w:r>
      <w:r/>
    </w:p>
    <w:p>
      <w:pPr>
        <w:ind w:firstLine="420"/>
        <w:spacing w:line="360" w:lineRule="auto"/>
        <w:tabs>
          <w:tab w:val="left" w:pos="26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现场作业安全管理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个人防护：作业人员需配备合格的个人防护装备（PPE），包括安全帽、反光衣、防护手套、防滑鞋等，建立领用与检查记录。</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设备安全：作业车辆（如环卫车、工程车）、机械（如割草机、起重机）需定期维护并备案，提供近期检测合格报告；运输车辆需安装GPS定位及安全警示装置。</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作业区域管控：公共场所作业需设置标准化围挡、警示标志（含夜间照明），划分安全作业区与行人通道，避免交叉作业风险。</w:t>
      </w:r>
      <w:r/>
    </w:p>
    <w:p>
      <w:pPr>
        <w:ind w:firstLine="420"/>
        <w:spacing w:line="360" w:lineRule="auto"/>
        <w:tabs>
          <w:tab w:val="left" w:pos="26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培训与教育</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岗前培训：所有作业人员需经安全岗前培训（含法律法规、操作规程、风险案例等），考核合格后方可上岗，培训记录存档备查。</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定期复训：每季度组织安全复训，重点强化新风险、新规范及应急技能，培训覆盖率需达100%。</w:t>
      </w:r>
      <w:r/>
    </w:p>
    <w:p>
      <w:pPr>
        <w:ind w:firstLine="420"/>
        <w:spacing w:line="360" w:lineRule="auto"/>
        <w:tabs>
          <w:tab w:val="left" w:pos="26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安全投入与保障</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专项资金：设立安全生产专项资金，用于安全设施、防护用品、培训、应急物资等支出，提供预算明细。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保险要求：为作业人员购买工伤保险及安全生产责任险（保额不低于地方规定标准），覆盖项目全周期。</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设置专业场所：如设立专用充电场所，为项目中使用的电动作业车辆充电，电瓶车使用人员应在指定的充电地点充电，否则由此产生的一切后果均由中标人承担。</w:t>
      </w:r>
      <w:r/>
    </w:p>
    <w:p>
      <w:pPr>
        <w:ind w:left="0" w:firstLine="480"/>
        <w:spacing w:line="360" w:lineRule="auto"/>
        <w:rPr>
          <w:rFonts w:hint="eastAsia" w:ascii="宋体" w:hAnsi="宋体" w:eastAsia="宋体" w:cs="宋体"/>
          <w:b/>
          <w:bCs/>
          <w:sz w:val="24"/>
          <w:szCs w:val="24"/>
          <w:lang w:val="en-US" w:eastAsia="zh-CN"/>
        </w:rPr>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b/>
          <w:bCs/>
          <w:sz w:val="24"/>
          <w:szCs w:val="24"/>
          <w:lang w:val="en-US" w:eastAsia="zh-CN"/>
        </w:rPr>
        <w:t xml:space="preserve">服务管理要求</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1、项目分析、管理服务目标，服务设想</w:t>
      </w:r>
      <w:r/>
    </w:p>
    <w:p>
      <w:pPr>
        <w:ind w:left="0"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紧扣为采购人提供服务保障，营造整洁、安全、文明的城市道路环境。服务范围：采购人要求的道路清扫、绿地保洁、主干道沿路垃圾定时收运、分类设施投放点位垃圾分类收运等服务。</w:t>
      </w:r>
      <w:r/>
    </w:p>
    <w:p>
      <w:pPr>
        <w:numPr>
          <w:ilvl w:val="0"/>
          <w:numId w:val="0"/>
        </w:numPr>
        <w:ind w:left="0" w:firstLine="422"/>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2、人员配备方案</w:t>
      </w:r>
      <w:r>
        <w:rPr>
          <w:rFonts w:hint="eastAsia" w:ascii="宋体" w:hAnsi="宋体" w:eastAsia="宋体" w:cs="宋体"/>
          <w:color w:val="auto"/>
          <w:sz w:val="24"/>
          <w:szCs w:val="24"/>
          <w:highlight w:val="none"/>
          <w:lang w:val="en-US" w:eastAsia="zh-CN"/>
        </w:rPr>
        <w:t xml:space="preserve">：</w:t>
      </w:r>
      <w:r/>
    </w:p>
    <w:p>
      <w:pPr>
        <w:numPr>
          <w:ilvl w:val="0"/>
          <w:numId w:val="0"/>
        </w:numPr>
        <w:ind w:left="0"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满足人员人数及人员素质的要求。</w:t>
      </w:r>
      <w:r/>
    </w:p>
    <w:p>
      <w:pPr>
        <w:ind w:left="0" w:firstLine="422"/>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3、设备配置及保养方案</w:t>
      </w:r>
      <w:r>
        <w:rPr>
          <w:rFonts w:hint="eastAsia" w:ascii="宋体" w:hAnsi="宋体" w:eastAsia="宋体" w:cs="宋体"/>
          <w:color w:val="auto"/>
          <w:sz w:val="24"/>
          <w:szCs w:val="24"/>
          <w:highlight w:val="none"/>
          <w:lang w:val="en-US" w:eastAsia="zh-CN"/>
        </w:rPr>
        <w:t xml:space="preserve">：</w:t>
      </w:r>
      <w:r/>
    </w:p>
    <w:p>
      <w:pPr>
        <w:ind w:left="0"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满足招标文件中清扫要求的最低机械设备的配置要求及其他要求。</w:t>
      </w:r>
      <w:r/>
    </w:p>
    <w:p>
      <w:pPr>
        <w:ind w:left="0" w:firstLine="422"/>
        <w:spacing w:line="360" w:lineRule="auto"/>
        <w:tabs>
          <w:tab w:val="left" w:pos="26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4、保洁、道路隔离栏的清洗服务方案</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需制定详尽的服务方案，根据工作需要，保障服务高效运行，需包括按道路等级进行清扫保洁，路面清洁不漏扫；及时清理暴露垃圾和瓜皮、果壳、纸屑、烟头、树叶、碎砖石、塑料纸(袋)等杂物；路牙定期冲洗清洁无积尘，路面无积水；人行道清洁、无杂草，树穴净，电杆周围净，窨井盖干净无堵塞；果皮箱、垃圾桶周围地面及时冲洗，无污迹，绿化带内清洁无垃圾杂物，道路交界入清扫保洁延伸10米，禁止焚烧各类垃圾杂物。</w:t>
      </w:r>
      <w:r/>
    </w:p>
    <w:p>
      <w:pPr>
        <w:ind w:firstLine="420"/>
        <w:spacing w:line="360" w:lineRule="auto"/>
        <w:tabs>
          <w:tab w:val="left" w:pos="26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5、各类垃圾收集清运方案</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投标人需制定详尽的清运方案，根据工作需要，保障服务高效运行，服务内容需包</w:t>
      </w:r>
      <w:r>
        <w:rPr>
          <w:rFonts w:hint="eastAsia" w:ascii="宋体" w:hAnsi="宋体" w:eastAsia="宋体" w:cs="宋体"/>
          <w:color w:val="auto"/>
          <w:sz w:val="24"/>
          <w:szCs w:val="24"/>
          <w:highlight w:val="none"/>
          <w:lang w:val="en-US" w:eastAsia="zh-CN"/>
        </w:rPr>
        <w:t xml:space="preserve">括果皮箱、垃圾桶正常清洗，保持外表整洁干净，摆放整齐无缺失，出现破损，应及时汇报更换，并建立管理台帐；按规定时间到岗到位，保证垃圾日产日清，车容车貌整洁，垃圾中转运输规范卫生，无滴漏污水污渍，无散落垃圾，垃圾桶吊装收集后，及时放置原位，垃圾吊装收集过程中无散落垃圾，果皮箱、垃圾桶(箱)每日清理收集不少于两次，确保垃圾不满溢。建立日常垃圾收集运输台帐；主动清除责任区范围内出现的少量零星建筑装潢垃圾，不乱堆乱倒，对正在装修中产生的建筑装潢垃圾或大件废弃物，应及时跟踪管理，同时主动上报环卫处执法中队，并协助处置。</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zh-CN" w:eastAsia="zh-CN"/>
        </w:rPr>
        <w:t xml:space="preserve">节假日、迎接重大活动和检查评比的保障措施</w:t>
      </w:r>
      <w:r>
        <w:rPr>
          <w:rFonts w:hint="eastAsia" w:ascii="宋体" w:hAnsi="宋体" w:eastAsia="宋体" w:cs="宋体"/>
          <w:color w:val="auto"/>
          <w:sz w:val="24"/>
          <w:szCs w:val="24"/>
          <w:highlight w:val="none"/>
          <w:lang w:val="en-US" w:eastAsia="zh-CN"/>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为保障节假日、迎接重大活动和检查评比，主要内容至少应包括:人员准备、设备筹备、特殊时期工作开展、事后清理等各项创建、重要活动保障及突发情况应急保障及文明城市常态长效建设。</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val="zh-CN" w:eastAsia="zh-CN"/>
        </w:rPr>
        <w:t xml:space="preserve">、恶劣天气应急预案</w:t>
      </w:r>
      <w:r>
        <w:rPr>
          <w:rFonts w:hint="eastAsia" w:ascii="宋体" w:hAnsi="宋体" w:eastAsia="宋体" w:cs="宋体"/>
          <w:color w:val="auto"/>
          <w:sz w:val="24"/>
          <w:szCs w:val="24"/>
          <w:highlight w:val="none"/>
          <w:lang w:val="zh-CN" w:eastAsia="zh-CN"/>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恶劣天气主要是对道路交通的影响，道路交通作为城市生活中必不可少的一部分，其安全性和畅通度对于市民的生命财产和经济发展具有重要的意义。投标人需建立恶劣天气应急预案，方案全面、合理、科学、可行性强。并培训相关人员达到相关服务要求，按照预案实施。统一调度安排人力、物力，提高应急管理的效率和水平，服从采购人安排完成突击任务。</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lang w:val="zh-CN" w:eastAsia="zh-CN"/>
        </w:rPr>
        <w:t xml:space="preserve">、安全文明作业方案</w:t>
      </w:r>
      <w:r>
        <w:rPr>
          <w:rFonts w:hint="eastAsia" w:ascii="宋体" w:hAnsi="宋体" w:eastAsia="宋体" w:cs="宋体"/>
          <w:color w:val="auto"/>
          <w:sz w:val="24"/>
          <w:szCs w:val="24"/>
          <w:highlight w:val="none"/>
          <w:lang w:val="zh-CN" w:eastAsia="zh-CN"/>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需制定详尽的工作安全作业方案，保障服务高效运行，根据工作需要，结合采购人规章制度，服务项目部须具有各项安全制度、安全预案、安全管理人员、安全管理设施配备、各类日巡查表格、应急预案等制度内容。建立健全安全管理制度，清扫保洁人员统一着安全服，环卫专业车辆(含机动车、非机动车)，驾驶人员严格遵守交通法律法规，做到安全行车。定期召开安全例会，并建立安全管理台帐资料，出现重大安全责任事故应及时处置并报告城管部门。引导所属人员文明用语，注重服务态度和服务质量，打造企业品牌。</w:t>
      </w:r>
      <w:r/>
    </w:p>
    <w:p>
      <w:pPr>
        <w:numPr>
          <w:ilvl w:val="0"/>
          <w:numId w:val="6"/>
        </w:numPr>
        <w:ind w:firstLine="420"/>
        <w:spacing w:line="360" w:lineRule="auto"/>
        <w:tabs>
          <w:tab w:val="left" w:pos="26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进退场组织：</w:t>
      </w:r>
      <w:r/>
    </w:p>
    <w:p>
      <w:pPr>
        <w:numPr>
          <w:ilvl w:val="0"/>
          <w:numId w:val="0"/>
        </w:numPr>
        <w:ind w:left="0"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投标人中标与原项目公司和与下一轮中标单位进行无缝对接，确保平稳过渡。</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内容包含但不限于服务连续性保障、责任边界划分、资产与资料移交、人员妥善安置、应急与风险防控、三方沟通协调等，确保平稳过渡。</w:t>
      </w:r>
      <w:r/>
    </w:p>
    <w:p>
      <w:pPr>
        <w:pStyle w:val="1030"/>
        <w:rPr>
          <w:rFonts w:hint="eastAsia"/>
          <w:lang w:val="en-US" w:eastAsia="zh-CN"/>
        </w:rPr>
      </w:pPr>
      <w:r>
        <w:rPr>
          <w:rFonts w:hint="eastAsia"/>
          <w:lang w:val="en-US" w:eastAsia="zh-CN"/>
        </w:rPr>
      </w:r>
      <w:r/>
    </w:p>
    <w:p>
      <w:pPr>
        <w:jc w:val="cente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第十二节 本项目的招标最高限价及投标报价</w:t>
      </w:r>
      <w:r/>
    </w:p>
    <w:p>
      <w:pPr>
        <w:numPr>
          <w:ilvl w:val="0"/>
          <w:numId w:val="0"/>
        </w:numPr>
        <w:ind w:left="0" w:firstLine="422"/>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1、最高限价</w:t>
      </w:r>
      <w:r>
        <w:rPr>
          <w:rFonts w:hint="eastAsia" w:ascii="宋体" w:hAnsi="宋体" w:eastAsia="宋体" w:cs="宋体"/>
          <w:sz w:val="24"/>
          <w:szCs w:val="24"/>
          <w:highlight w:val="none"/>
          <w:lang w:val="en-US" w:eastAsia="zh-CN"/>
        </w:rPr>
        <w:t xml:space="preserve">：133.77</w:t>
      </w: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lang w:val="en-US" w:eastAsia="zh-CN"/>
        </w:rPr>
        <w:t xml:space="preserve">/年，三年最高限价401.31万元。</w:t>
      </w:r>
      <w:r/>
    </w:p>
    <w:p>
      <w:pPr>
        <w:numPr>
          <w:ilvl w:val="0"/>
          <w:numId w:val="0"/>
        </w:numPr>
        <w:ind w:left="0" w:firstLine="420"/>
        <w:spacing w:line="360" w:lineRule="auto"/>
        <w:tabs>
          <w:tab w:val="left" w:pos="266" w:leader="none"/>
        </w:tabs>
        <w:rPr>
          <w:rFonts w:hint="eastAsia" w:ascii="宋体" w:hAnsi="宋体" w:eastAsia="宋体" w:cs="宋体"/>
          <w:sz w:val="24"/>
          <w:szCs w:val="24"/>
          <w:highlight w:val="cyan"/>
          <w:lang w:val="en-US" w:eastAsia="zh-CN"/>
        </w:rPr>
      </w:pPr>
      <w:r>
        <w:rPr>
          <w:rFonts w:hint="eastAsia" w:ascii="宋体" w:hAnsi="宋体" w:eastAsia="宋体" w:cs="宋体"/>
          <w:sz w:val="24"/>
          <w:szCs w:val="24"/>
          <w:highlight w:val="none"/>
          <w:lang w:val="en-US" w:eastAsia="zh-CN"/>
        </w:rPr>
        <w:t xml:space="preserve">2、投标报价：投标人投标报价应包含为本项目服务的车辆、人员、各类使用的工具、使用的各类药品等本项目所涉及的一切费用。</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ind w:left="0" w:firstLine="549"/>
        <w:jc w:val="cente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第十三节  </w:t>
      </w:r>
      <w:r>
        <w:rPr>
          <w:rFonts w:hint="eastAsia" w:ascii="宋体" w:hAnsi="宋体" w:eastAsia="宋体" w:cs="宋体"/>
          <w:b/>
          <w:bCs/>
          <w:color w:val="auto"/>
          <w:sz w:val="24"/>
          <w:szCs w:val="24"/>
          <w:highlight w:val="none"/>
          <w:lang w:val="en-US" w:eastAsia="zh-CN"/>
        </w:rPr>
        <w:t xml:space="preserve">其他需求</w:t>
      </w:r>
      <w:r/>
    </w:p>
    <w:p>
      <w:pPr>
        <w:numPr>
          <w:ilvl w:val="0"/>
          <w:numId w:val="0"/>
        </w:numPr>
        <w:jc w:val="both"/>
        <w:spacing w:line="360" w:lineRule="auto"/>
        <w:rPr>
          <w:rFonts w:hint="eastAsia" w:ascii="宋体" w:hAnsi="宋体" w:eastAsia="宋体" w:cs="宋体"/>
          <w:i/>
          <w:iCs/>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服务期限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3年，本项目合同</w:t>
      </w:r>
      <w:r>
        <w:rPr>
          <w:rFonts w:hint="eastAsia" w:ascii="宋体" w:hAnsi="宋体" w:eastAsia="宋体" w:cs="宋体"/>
          <w:color w:val="auto"/>
          <w:sz w:val="24"/>
          <w:szCs w:val="24"/>
          <w:highlight w:val="none"/>
          <w:lang w:val="en-US" w:eastAsia="zh-CN"/>
        </w:rPr>
        <w:t xml:space="preserve">每年一签，综合评估＞70分</w:t>
      </w:r>
      <w:r>
        <w:rPr>
          <w:rFonts w:hint="eastAsia" w:ascii="宋体" w:hAnsi="宋体" w:eastAsia="宋体" w:cs="宋体"/>
          <w:color w:val="auto"/>
          <w:sz w:val="24"/>
          <w:szCs w:val="24"/>
          <w:highlight w:val="none"/>
        </w:rPr>
        <w:t xml:space="preserve">的情况下，</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与中标人</w:t>
      </w:r>
      <w:r>
        <w:rPr>
          <w:rFonts w:hint="eastAsia" w:ascii="宋体" w:hAnsi="宋体" w:eastAsia="宋体" w:cs="宋体"/>
          <w:color w:val="auto"/>
          <w:sz w:val="24"/>
          <w:szCs w:val="24"/>
          <w:highlight w:val="none"/>
          <w:lang w:val="en-US" w:eastAsia="zh-CN"/>
        </w:rPr>
        <w:t xml:space="preserve">双方可直接</w:t>
      </w:r>
      <w:r>
        <w:rPr>
          <w:rFonts w:hint="eastAsia" w:ascii="宋体" w:hAnsi="宋体" w:eastAsia="宋体" w:cs="宋体"/>
          <w:color w:val="auto"/>
          <w:sz w:val="24"/>
          <w:szCs w:val="24"/>
          <w:highlight w:val="none"/>
        </w:rPr>
        <w:t xml:space="preserve">签订下一年合同。</w:t>
      </w:r>
      <w:r/>
    </w:p>
    <w:p>
      <w:pPr>
        <w:ind w:firstLine="420"/>
        <w:spacing w:line="360" w:lineRule="auto"/>
        <w:tabs>
          <w:tab w:val="left" w:pos="266" w:leader="none"/>
        </w:tabs>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不提供</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作业人员的食宿</w:t>
      </w:r>
      <w:r>
        <w:rPr>
          <w:rFonts w:hint="eastAsia" w:ascii="宋体" w:hAnsi="宋体" w:eastAsia="宋体" w:cs="宋体"/>
          <w:color w:val="auto"/>
          <w:sz w:val="24"/>
          <w:szCs w:val="24"/>
          <w:highlight w:val="none"/>
          <w:lang w:val="en-US" w:eastAsia="zh-CN"/>
        </w:rPr>
        <w:t xml:space="preserve">等生活、工作所需的设施</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三、项目运营中所涉及的所有矛盾与中标人自行协调，</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的工作人员发生违法、违规行为的，所造成一切后果及损失，由</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承担一切责任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服务期间发生各种事故：包括治安、交通、消防和劳务纠纷等事件均由</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承担一切责任。</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在确保作业质量的情况下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rPr>
        <w:t xml:space="preserve">各类岗位的员工数量和车辆数量进行调整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经招标人同意</w:t>
      </w:r>
      <w:r>
        <w:rPr>
          <w:rFonts w:hint="eastAsia" w:ascii="宋体" w:hAnsi="宋体" w:eastAsia="宋体" w:cs="宋体"/>
          <w:color w:val="auto"/>
          <w:sz w:val="24"/>
          <w:szCs w:val="24"/>
          <w:highlight w:val="none"/>
        </w:rPr>
        <w:t xml:space="preserve">，每</w:t>
      </w:r>
      <w:r>
        <w:rPr>
          <w:rFonts w:hint="eastAsia" w:ascii="宋体" w:hAnsi="宋体" w:eastAsia="宋体" w:cs="宋体"/>
          <w:color w:val="auto"/>
          <w:sz w:val="24"/>
          <w:szCs w:val="24"/>
          <w:highlight w:val="none"/>
          <w:lang w:val="en-US" w:eastAsia="zh-CN"/>
        </w:rPr>
        <w:t xml:space="preserve">次</w:t>
      </w:r>
      <w:r>
        <w:rPr>
          <w:rFonts w:hint="eastAsia" w:ascii="宋体" w:hAnsi="宋体" w:eastAsia="宋体" w:cs="宋体"/>
          <w:color w:val="auto"/>
          <w:sz w:val="24"/>
          <w:szCs w:val="24"/>
          <w:highlight w:val="none"/>
        </w:rPr>
        <w:t xml:space="preserve">调整的比例不超过</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。中标人提供的设备需要淘汰的，自行补充购置新设备，购置的新设备使用性能及价值不低于原有设备标准。</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未经</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同意，</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不得对市政道路</w:t>
      </w:r>
      <w:r>
        <w:rPr>
          <w:rFonts w:hint="eastAsia" w:ascii="宋体" w:hAnsi="宋体" w:eastAsia="宋体" w:cs="宋体"/>
          <w:color w:val="auto"/>
          <w:sz w:val="24"/>
          <w:szCs w:val="24"/>
          <w:highlight w:val="none"/>
          <w:lang w:val="en-US" w:eastAsia="zh-CN"/>
        </w:rPr>
        <w:t xml:space="preserve">等部位</w:t>
      </w:r>
      <w:r>
        <w:rPr>
          <w:rFonts w:hint="eastAsia" w:ascii="宋体" w:hAnsi="宋体" w:eastAsia="宋体" w:cs="宋体"/>
          <w:color w:val="auto"/>
          <w:sz w:val="24"/>
          <w:szCs w:val="24"/>
          <w:highlight w:val="none"/>
        </w:rPr>
        <w:t xml:space="preserve">的设施及布置作变更。</w:t>
      </w:r>
      <w:r>
        <w:rPr>
          <w:rFonts w:hint="eastAsia" w:ascii="宋体" w:hAnsi="宋体" w:eastAsia="宋体" w:cs="宋体"/>
          <w:color w:val="auto"/>
          <w:sz w:val="24"/>
          <w:szCs w:val="24"/>
          <w:highlight w:val="none"/>
          <w:lang w:val="en-US" w:eastAsia="zh-CN"/>
        </w:rPr>
        <w:t xml:space="preserve">若上级部门有要求对主要路段有变更，如主要街道撤销垃圾桶，中标人应积极配合，实行定时定人巡回收集。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有权以会议形式召集</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研究工作和通报情况。</w:t>
      </w:r>
      <w:r>
        <w:rPr>
          <w:rFonts w:hint="eastAsia" w:ascii="宋体" w:hAnsi="宋体" w:eastAsia="宋体" w:cs="宋体"/>
          <w:color w:val="auto"/>
          <w:sz w:val="24"/>
          <w:szCs w:val="24"/>
          <w:highlight w:val="none"/>
          <w:lang w:eastAsia="zh-CN"/>
        </w:rPr>
        <w:t xml:space="preserve">中标人需</w:t>
      </w:r>
      <w:r>
        <w:rPr>
          <w:rFonts w:hint="eastAsia" w:ascii="宋体" w:hAnsi="宋体" w:eastAsia="宋体" w:cs="宋体"/>
          <w:color w:val="auto"/>
          <w:sz w:val="24"/>
          <w:szCs w:val="24"/>
          <w:highlight w:val="none"/>
        </w:rPr>
        <w:t xml:space="preserve">按通知要求出席会议。</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负责做好</w:t>
      </w:r>
      <w:r>
        <w:rPr>
          <w:rFonts w:hint="eastAsia" w:ascii="宋体" w:hAnsi="宋体" w:eastAsia="宋体" w:cs="宋体"/>
          <w:color w:val="auto"/>
          <w:sz w:val="24"/>
          <w:szCs w:val="24"/>
          <w:highlight w:val="none"/>
          <w:lang w:val="en-US" w:eastAsia="zh-CN"/>
        </w:rPr>
        <w:t xml:space="preserve">镇区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布置的临时性</w:t>
      </w:r>
      <w:r>
        <w:rPr>
          <w:rFonts w:hint="eastAsia" w:ascii="宋体" w:hAnsi="宋体" w:eastAsia="宋体" w:cs="宋体"/>
          <w:color w:val="auto"/>
          <w:sz w:val="24"/>
          <w:szCs w:val="24"/>
          <w:highlight w:val="none"/>
          <w:lang w:eastAsia="zh-CN"/>
        </w:rPr>
        <w:t xml:space="preserve">城市管家</w:t>
      </w:r>
      <w:r>
        <w:rPr>
          <w:rFonts w:hint="eastAsia" w:ascii="宋体" w:hAnsi="宋体" w:eastAsia="宋体" w:cs="宋体"/>
          <w:color w:val="auto"/>
          <w:sz w:val="24"/>
          <w:szCs w:val="24"/>
          <w:highlight w:val="none"/>
        </w:rPr>
        <w:t xml:space="preserve">保障任务（含各类创建、迎检、重大活动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自然灾害</w:t>
      </w:r>
      <w:r>
        <w:rPr>
          <w:rFonts w:hint="eastAsia" w:ascii="宋体" w:hAnsi="宋体" w:eastAsia="宋体" w:cs="宋体"/>
          <w:color w:val="auto"/>
          <w:sz w:val="24"/>
          <w:szCs w:val="24"/>
          <w:highlight w:val="none"/>
        </w:rPr>
        <w:t xml:space="preserve">等），有特殊任务需要紧急临时增加人员投入时，</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及其员工</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无条件服从</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的调遣和指挥并参与应急或加班工作。因</w:t>
      </w:r>
      <w:r>
        <w:rPr>
          <w:rFonts w:hint="eastAsia" w:ascii="宋体" w:hAnsi="宋体" w:eastAsia="宋体" w:cs="宋体"/>
          <w:color w:val="auto"/>
          <w:sz w:val="24"/>
          <w:szCs w:val="24"/>
          <w:highlight w:val="none"/>
          <w:lang w:val="en-US" w:eastAsia="zh-CN"/>
        </w:rPr>
        <w:t xml:space="preserve">其他因</w:t>
      </w:r>
      <w:r>
        <w:rPr>
          <w:rFonts w:hint="eastAsia" w:ascii="宋体" w:hAnsi="宋体" w:eastAsia="宋体" w:cs="宋体"/>
          <w:color w:val="auto"/>
          <w:sz w:val="24"/>
          <w:szCs w:val="24"/>
          <w:highlight w:val="none"/>
        </w:rPr>
        <w:t xml:space="preserve">素导致作业量增加的，不论这些因素是可预测或不可预测的，均已包含在投标报价中。</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八、本项目采用固定总价，价格中包含了所有为完成本项目在内的设备、人员、管理费、矛盾协调费、利润及税金等可能涉及的一切费用，服务期三年内，合同履行期间因集镇发展需要，新、改建的道路、小区和单位需环卫介入，按照区域就近的原则纳入市场化管理范围，所增新作业量在3%范围以内或含3%的不加以计算；如超过3%的，按扣除3%后超出的实际量参照中标价协商结算，投标总价将不作调整（投标人应在报价时考虑）。</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九、</w:t>
      </w:r>
      <w:r>
        <w:rPr>
          <w:rFonts w:hint="eastAsia" w:ascii="宋体" w:hAnsi="宋体" w:eastAsia="宋体" w:cs="宋体"/>
          <w:sz w:val="24"/>
          <w:szCs w:val="24"/>
          <w:highlight w:val="none"/>
          <w:lang w:val="en-US" w:eastAsia="zh-CN"/>
        </w:rPr>
        <w:t xml:space="preserve">本项目进退场交接过渡需遵循合规透明、无缝服务原则，严格按政府采购相关法规及合同约定执行。中标人需配合移交方完整移交项目资料、设施设备、财务台账及物资，接收方需保障过渡期核心服务不中断，采购人全程监督。</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内容包含但不限于服务连续性保障、责任边界划分、资产与资料移交、人员妥善安置、应急与风险防控、三方沟通协调等，确保平稳过渡。</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十、捡到的钱物及贵重物品的处理：本项目的服务人员（如保洁人员）在工作中捡到的钱物及贵重物品要及时上交主管部门或公安部门，不得私自截留。</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十一、</w:t>
      </w:r>
      <w:r>
        <w:rPr>
          <w:rFonts w:hint="eastAsia" w:ascii="宋体" w:hAnsi="宋体" w:eastAsia="宋体" w:cs="宋体"/>
          <w:color w:val="auto"/>
          <w:sz w:val="24"/>
          <w:szCs w:val="24"/>
          <w:highlight w:val="none"/>
        </w:rPr>
        <w:t xml:space="preserve">违约责任</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不得将</w:t>
      </w:r>
      <w:r>
        <w:rPr>
          <w:rFonts w:hint="eastAsia" w:ascii="宋体" w:hAnsi="宋体" w:eastAsia="宋体" w:cs="宋体"/>
          <w:color w:val="auto"/>
          <w:sz w:val="24"/>
          <w:szCs w:val="24"/>
          <w:highlight w:val="none"/>
          <w:lang w:eastAsia="zh-CN"/>
        </w:rPr>
        <w:t xml:space="preserve">高邮市</w:t>
      </w:r>
      <w:r>
        <w:rPr>
          <w:rFonts w:hint="eastAsia" w:ascii="宋体" w:hAnsi="宋体" w:eastAsia="宋体" w:cs="宋体"/>
          <w:color w:val="auto"/>
          <w:sz w:val="24"/>
          <w:szCs w:val="24"/>
          <w:highlight w:val="none"/>
          <w:lang w:val="en-US" w:eastAsia="zh-CN"/>
        </w:rPr>
        <w:t xml:space="preserve">界首镇集镇环境服务社会化管理服务项目</w:t>
      </w:r>
      <w:r>
        <w:rPr>
          <w:rFonts w:hint="eastAsia" w:ascii="宋体" w:hAnsi="宋体" w:eastAsia="宋体" w:cs="宋体"/>
          <w:color w:val="auto"/>
          <w:sz w:val="24"/>
          <w:szCs w:val="24"/>
          <w:highlight w:val="none"/>
        </w:rPr>
        <w:t xml:space="preserve">转包，也不得以任何形式将</w:t>
      </w:r>
      <w:r>
        <w:rPr>
          <w:rFonts w:hint="eastAsia" w:ascii="宋体" w:hAnsi="宋体" w:eastAsia="宋体" w:cs="宋体"/>
          <w:color w:val="auto"/>
          <w:sz w:val="24"/>
          <w:szCs w:val="24"/>
          <w:highlight w:val="none"/>
          <w:lang w:eastAsia="zh-CN"/>
        </w:rPr>
        <w:t xml:space="preserve">高邮市</w:t>
      </w:r>
      <w:r>
        <w:rPr>
          <w:rFonts w:hint="eastAsia" w:ascii="宋体" w:hAnsi="宋体" w:eastAsia="宋体" w:cs="宋体"/>
          <w:color w:val="auto"/>
          <w:sz w:val="24"/>
          <w:szCs w:val="24"/>
          <w:highlight w:val="none"/>
          <w:lang w:val="en-US" w:eastAsia="zh-CN"/>
        </w:rPr>
        <w:t xml:space="preserve">界首镇集镇环境服务社会化管理服务项目</w:t>
      </w:r>
      <w:r>
        <w:rPr>
          <w:rFonts w:hint="eastAsia" w:ascii="宋体" w:hAnsi="宋体" w:eastAsia="宋体" w:cs="宋体"/>
          <w:color w:val="auto"/>
          <w:sz w:val="24"/>
          <w:szCs w:val="24"/>
          <w:highlight w:val="none"/>
        </w:rPr>
        <w:t xml:space="preserve">分包，否则，将视为</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严重违约，</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有权</w:t>
      </w:r>
      <w:r>
        <w:rPr>
          <w:rFonts w:hint="eastAsia" w:ascii="宋体" w:hAnsi="宋体" w:eastAsia="宋体" w:cs="宋体"/>
          <w:color w:val="auto"/>
          <w:sz w:val="24"/>
          <w:szCs w:val="24"/>
          <w:highlight w:val="none"/>
          <w:lang w:eastAsia="zh-CN"/>
        </w:rPr>
        <w:t xml:space="preserve">上报财政监管部门</w:t>
      </w:r>
      <w:r>
        <w:rPr>
          <w:rFonts w:hint="eastAsia" w:ascii="宋体" w:hAnsi="宋体" w:eastAsia="宋体" w:cs="宋体"/>
          <w:color w:val="auto"/>
          <w:sz w:val="24"/>
          <w:szCs w:val="24"/>
          <w:highlight w:val="none"/>
        </w:rPr>
        <w:t xml:space="preserve">，不予退还全部履约保证金并有权追偿由此给</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造成的经济损失。</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在执行临时性、阶段性特殊任务（含国家、省、市检查，突击整治，重大活动等）期间，</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的作业质量未能达到</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要求，</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可扣减</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当月的服务经费。</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服务期间，如因</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在本服务项目范围内违反</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及国家有关政策而受到政府有关部门的处分、处罚，而无法继续履行合同的，</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有权</w:t>
      </w:r>
      <w:r>
        <w:rPr>
          <w:rFonts w:hint="eastAsia" w:ascii="宋体" w:hAnsi="宋体" w:eastAsia="宋体" w:cs="宋体"/>
          <w:color w:val="auto"/>
          <w:sz w:val="24"/>
          <w:szCs w:val="24"/>
          <w:highlight w:val="none"/>
          <w:lang w:val="en-US" w:eastAsia="zh-CN"/>
        </w:rPr>
        <w:t xml:space="preserve">上报财政监管部门</w:t>
      </w:r>
      <w:r>
        <w:rPr>
          <w:rFonts w:hint="eastAsia" w:ascii="宋体" w:hAnsi="宋体" w:eastAsia="宋体" w:cs="宋体"/>
          <w:color w:val="auto"/>
          <w:sz w:val="24"/>
          <w:szCs w:val="24"/>
          <w:highlight w:val="none"/>
        </w:rPr>
        <w:t xml:space="preserve">，不承担任何法律责任及经济补偿。</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服务期间，如因</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引起的严重劳务纠纷问题，影响正常工作的，一年内累计出现两次这类事件，</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有权</w:t>
      </w:r>
      <w:r>
        <w:rPr>
          <w:rFonts w:hint="eastAsia" w:ascii="宋体" w:hAnsi="宋体" w:eastAsia="宋体" w:cs="宋体"/>
          <w:color w:val="auto"/>
          <w:sz w:val="24"/>
          <w:szCs w:val="24"/>
          <w:highlight w:val="none"/>
          <w:lang w:val="en-US" w:eastAsia="zh-CN"/>
        </w:rPr>
        <w:t xml:space="preserve">上报财政监管部门</w:t>
      </w:r>
      <w:r>
        <w:rPr>
          <w:rFonts w:hint="eastAsia" w:ascii="宋体" w:hAnsi="宋体" w:eastAsia="宋体" w:cs="宋体"/>
          <w:color w:val="auto"/>
          <w:sz w:val="24"/>
          <w:szCs w:val="24"/>
          <w:highlight w:val="none"/>
        </w:rPr>
        <w:t xml:space="preserve">，不予退还履约保证金。</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服务期间，双方</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严格履行合同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在执行过程中，如遇未尽事宜，双方可协商解决，</w:t>
      </w:r>
      <w:r>
        <w:rPr>
          <w:rFonts w:hint="eastAsia" w:ascii="宋体" w:hAnsi="宋体" w:eastAsia="宋体" w:cs="宋体"/>
          <w:color w:val="auto"/>
          <w:sz w:val="24"/>
          <w:szCs w:val="24"/>
          <w:highlight w:val="none"/>
          <w:lang w:val="en-US" w:eastAsia="zh-CN"/>
        </w:rPr>
        <w:t xml:space="preserve">经协商达成一致的签订书面协议作为主合同的补充</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在签订合同前，中标人需按投标承诺及招标文件的有关要求把设备及人员安排到位，按合同要求且经招标人验收确认后投入正常运行。若中标人未能按时按要求配置设备及人员，逾期20天的，招标人有权扣留其未履约部分相应数额的履约保证金作为违约金，中标人整改完成后需补齐履约保证金继续履行合同；逾期30天的，招标人有权扣留其未履约部分相应数额双倍的履约保证金作为违约金；由此引起的一切责任由中标人承担。</w:t>
      </w:r>
      <w:r/>
    </w:p>
    <w:p>
      <w:pPr>
        <w:ind w:firstLine="420"/>
        <w:jc w:val="center"/>
        <w:spacing w:line="360" w:lineRule="auto"/>
        <w:tabs>
          <w:tab w:val="left" w:pos="26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20"/>
        <w:jc w:val="center"/>
        <w:spacing w:line="360" w:lineRule="auto"/>
        <w:tabs>
          <w:tab w:val="left" w:pos="26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第十四节 服务期限及付款方式</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一、服务期限3年，一年一签，中标价格不变。在服务合同中质量考评优良的情况下合同续签下一年度合同，首次合同从2027年1月1日至2029年12月31日止。</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合同签订后，中标人向采购人开具发票，采购人自收到发票后的15日内支付合同总价10%的预付款；服务开始后，剩余每年合同总价的90%，双方按每个月平摊服务费用，每月考核一次，每月度统计考核结果，核准当月经费，每三个月结束后，双方按考核结果确定实际支付费用，中标人向采购人开具发票，采购人自收到发票之日起15日内支付。</w:t>
      </w:r>
      <w:r/>
    </w:p>
    <w:p>
      <w:pPr>
        <w:numPr>
          <w:ilvl w:val="0"/>
          <w:numId w:val="0"/>
        </w:numPr>
        <w:ind w:left="420"/>
        <w:jc w:val="center"/>
        <w:spacing w:line="360" w:lineRule="auto"/>
        <w:tabs>
          <w:tab w:val="left" w:pos="26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numPr>
          <w:ilvl w:val="0"/>
          <w:numId w:val="0"/>
        </w:numPr>
        <w:ind w:left="420"/>
        <w:jc w:val="center"/>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第十五节 台账</w:t>
      </w:r>
      <w:r/>
    </w:p>
    <w:p>
      <w:pPr>
        <w:numPr>
          <w:ilvl w:val="0"/>
          <w:numId w:val="0"/>
        </w:numPr>
        <w:ind w:left="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运行台帐完整，随时备查。</w:t>
      </w:r>
      <w:r/>
    </w:p>
    <w:p>
      <w:pPr>
        <w:numPr>
          <w:ilvl w:val="0"/>
          <w:numId w:val="0"/>
        </w:numPr>
        <w:ind w:left="420"/>
        <w:jc w:val="center"/>
        <w:spacing w:line="360" w:lineRule="auto"/>
        <w:tabs>
          <w:tab w:val="left" w:pos="26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第十六节 高邮市界首镇集镇环境服务社会化管理服务项目作业质量考核办法（暂行）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为进一步规范</w:t>
      </w:r>
      <w:r>
        <w:rPr>
          <w:rFonts w:hint="eastAsia" w:ascii="宋体" w:hAnsi="宋体" w:eastAsia="宋体" w:cs="宋体"/>
          <w:sz w:val="24"/>
          <w:szCs w:val="24"/>
          <w:highlight w:val="none"/>
          <w:lang w:eastAsia="zh-CN"/>
        </w:rPr>
        <w:t xml:space="preserve">高邮市界首镇集镇环境服务社会化管理服务项目</w:t>
      </w:r>
      <w:r>
        <w:rPr>
          <w:rFonts w:hint="eastAsia" w:ascii="宋体" w:hAnsi="宋体" w:eastAsia="宋体" w:cs="宋体"/>
          <w:sz w:val="24"/>
          <w:szCs w:val="24"/>
          <w:highlight w:val="none"/>
        </w:rPr>
        <w:t xml:space="preserve">（即：主次干道保洁、绿化带保洁、“牛皮癣”清理、垃圾收集与运输、环卫设施管理和维护）作业，切实加强区域范围内环境卫生的长效管理，不断提高城市环境卫生作业质量，适应日益提升的城市形象和百姓需求，特制定</w:t>
      </w:r>
      <w:r>
        <w:rPr>
          <w:rFonts w:hint="eastAsia" w:ascii="宋体" w:hAnsi="宋体" w:eastAsia="宋体" w:cs="宋体"/>
          <w:sz w:val="24"/>
          <w:szCs w:val="24"/>
          <w:highlight w:val="none"/>
          <w:lang w:eastAsia="zh-CN"/>
        </w:rPr>
        <w:t xml:space="preserve">高邮市界首镇集镇环境服务社会化管理服务项目</w:t>
      </w:r>
      <w:r>
        <w:rPr>
          <w:rFonts w:hint="eastAsia" w:ascii="宋体" w:hAnsi="宋体" w:eastAsia="宋体" w:cs="宋体"/>
          <w:sz w:val="24"/>
          <w:szCs w:val="24"/>
          <w:highlight w:val="none"/>
        </w:rPr>
        <w:t xml:space="preserve">作业质量考核办法（暂行）：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主干道（一、二级道路）实</w:t>
      </w:r>
      <w:r>
        <w:rPr>
          <w:rFonts w:hint="eastAsia" w:ascii="宋体" w:hAnsi="宋体" w:eastAsia="宋体" w:cs="宋体"/>
          <w:sz w:val="24"/>
          <w:szCs w:val="24"/>
          <w:highlight w:val="none"/>
        </w:rPr>
        <w:t xml:space="preserve">行三班16小时制；次要道路（三级道路）实行两班12小时制；垃圾收集8小时工作制。实现路面清爽干净，绿化带和树圈干净，路牙干净，窨井和过水沟畅通干净，道路两侧无乱张贴、乱涂写，果皮箱、垃圾桶等环卫设施、沿街建筑物、路灯杆和交通信号杆（2.2米以下部分）干净；绿化带无杂物、飘浮物；各类垃圾容器定时收集、清洗，无满溢，果皮箱、垃圾桶无缺失无人为损坏，区域内（道路两侧、小区、服务单位等）各类垃圾日产日清，并运送至环卫管理部门指定的垃圾中转站；创建检查、重要活动、恶劣天气应急等，保障及时到位；数字化城管结案率达标等。</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（三）考核项目：</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作业时间落实情况；作业质量情况；人员及工资福利执行情况；环卫设施管理情况；作业规范执行情况；安全管理落实情况；重大事项管理落实情况；数字化城管办理结案率情况。</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（四）考核方针：</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1、条块分工。基层各所每天开展巡查考核，督查科平常考核，环卫处主任室不定期组织明查、暗查考核，会同城管局综合督察部门结合重大活动等进行考核督查，建立切实有效的条块结合、分工明确的多层次考核机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2、明暗结合。在日常巡查督查的基础上，采取随机抽查、定期或不定期突击检查、交叉检查、早晚间检查等多元化考核手段实施质量督查，并针对实名制、合同中明确人员工资福利落实情况等实施专项检查。</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3、数据确实。督查考核中取得的问题数据必须有据可循、实事求是要求。考核问题应取得作业单位的签字认可或者通过照片、摄像、微信、多人证明等方式进行取证确认。</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4、公平公正。必须按照考核标准和考核办法中明确的扣罚标准进行扣罚，并及时相互沟通避免重复计算或者同样的问题扣罚尺度不一等情况，确保考核结果的公平公正。</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5、奖优罚劣。运用考核排名、合同期评定和末位淘汰等方法，在质量考核中将考核标准要求落到实处的同时，积极指导、探索创新适合我市环卫作业特点的新思路、新方法，将质量考核与经济挂钩、与市场挂钩、与群众满意度挂钩，努力达到“奖优罚劣、优胜劣汰”的目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四、考核方式及方法</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考核遵循“质量标准为准绳、考核要求为依据”原则，对市场化作业的所有中标标段实行全面考核，执行《高邮市环境卫生综合作业质量考评标准（暂行）》进行量化评分。由环卫处督查科负责组织日常督查考核，基层所落实每日巡查。每个月（季）召开一次通报会，通报该月（季）度的考核情况。</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考核采用“明查”、“暗查”和“巡查”相结合的方式，分别记载入“日常考核”、“抽查考核”和“专项考核”工作台账。考核中采用影像资料等手段对发现的问题进行扣分记录，并下发考核整改告知书。城管督查部门和环卫处管理人员当日查出的如为同一处、同一时间段、同一个问题，不作重复扣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1、日常考核</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日常巡查考核由</w:t>
      </w:r>
      <w:r>
        <w:rPr>
          <w:rFonts w:hint="eastAsia" w:ascii="宋体" w:hAnsi="宋体" w:eastAsia="宋体" w:cs="宋体"/>
          <w:sz w:val="24"/>
          <w:szCs w:val="24"/>
          <w:highlight w:val="none"/>
          <w:lang w:eastAsia="zh-CN"/>
        </w:rPr>
        <w:t xml:space="preserve">镇</w:t>
      </w:r>
      <w:r>
        <w:rPr>
          <w:rFonts w:hint="eastAsia" w:ascii="宋体" w:hAnsi="宋体" w:eastAsia="宋体" w:cs="宋体"/>
          <w:sz w:val="24"/>
          <w:szCs w:val="24"/>
          <w:highlight w:val="none"/>
          <w:lang w:val="en-US" w:eastAsia="zh-CN"/>
        </w:rPr>
        <w:t xml:space="preserve">综安办、镇纪委</w:t>
      </w:r>
      <w:r>
        <w:rPr>
          <w:rFonts w:hint="eastAsia" w:ascii="宋体" w:hAnsi="宋体" w:eastAsia="宋体" w:cs="宋体"/>
          <w:sz w:val="24"/>
          <w:szCs w:val="24"/>
          <w:highlight w:val="none"/>
        </w:rPr>
        <w:t xml:space="preserve">负责实施，考核结果由</w:t>
      </w:r>
      <w:r>
        <w:rPr>
          <w:rFonts w:hint="eastAsia" w:ascii="宋体" w:hAnsi="宋体" w:eastAsia="宋体" w:cs="宋体"/>
          <w:sz w:val="24"/>
          <w:szCs w:val="24"/>
          <w:highlight w:val="none"/>
          <w:lang w:eastAsia="zh-CN"/>
        </w:rPr>
        <w:t xml:space="preserve">镇长效办</w:t>
      </w:r>
      <w:r>
        <w:rPr>
          <w:rFonts w:hint="eastAsia" w:ascii="宋体" w:hAnsi="宋体" w:eastAsia="宋体" w:cs="宋体"/>
          <w:sz w:val="24"/>
          <w:szCs w:val="24"/>
          <w:highlight w:val="none"/>
        </w:rPr>
        <w:t xml:space="preserve">逐级核实上报。</w:t>
      </w:r>
      <w:r>
        <w:rPr>
          <w:rFonts w:hint="eastAsia" w:ascii="宋体" w:hAnsi="宋体" w:eastAsia="宋体" w:cs="宋体"/>
          <w:sz w:val="24"/>
          <w:szCs w:val="24"/>
          <w:highlight w:val="none"/>
          <w:lang w:eastAsia="zh-CN"/>
        </w:rPr>
        <w:t xml:space="preserve">镇</w:t>
      </w:r>
      <w:r>
        <w:rPr>
          <w:rFonts w:hint="eastAsia" w:ascii="宋体" w:hAnsi="宋体" w:eastAsia="宋体" w:cs="宋体"/>
          <w:sz w:val="24"/>
          <w:szCs w:val="24"/>
          <w:highlight w:val="none"/>
          <w:lang w:val="en-US" w:eastAsia="zh-CN"/>
        </w:rPr>
        <w:t xml:space="preserve">综安办、镇纪委</w:t>
      </w:r>
      <w:r>
        <w:rPr>
          <w:rFonts w:hint="eastAsia" w:ascii="宋体" w:hAnsi="宋体" w:eastAsia="宋体" w:cs="宋体"/>
          <w:sz w:val="24"/>
          <w:szCs w:val="24"/>
          <w:highlight w:val="none"/>
        </w:rPr>
        <w:t xml:space="preserve">随时对考核资料和实名制档案进行检查，如发现考核不实或档案不齐等情况，将视情节对相关责任人进行教育、诫勉、停岗、调岗等处理。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2、抽查考核</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镇</w:t>
      </w:r>
      <w:r>
        <w:rPr>
          <w:rFonts w:hint="eastAsia" w:ascii="宋体" w:hAnsi="宋体" w:eastAsia="宋体" w:cs="宋体"/>
          <w:sz w:val="24"/>
          <w:szCs w:val="24"/>
          <w:highlight w:val="none"/>
          <w:lang w:val="en-US" w:eastAsia="zh-CN"/>
        </w:rPr>
        <w:t xml:space="preserve">综安办、镇纪委</w:t>
      </w:r>
      <w:r>
        <w:rPr>
          <w:rFonts w:hint="eastAsia" w:ascii="宋体" w:hAnsi="宋体" w:eastAsia="宋体" w:cs="宋体"/>
          <w:sz w:val="24"/>
          <w:szCs w:val="24"/>
          <w:highlight w:val="none"/>
        </w:rPr>
        <w:t xml:space="preserve">对市场化作业标段，组织每周不少于一次上的质量抽查考核；</w:t>
      </w:r>
      <w:r>
        <w:rPr>
          <w:rFonts w:hint="eastAsia" w:ascii="宋体" w:hAnsi="宋体" w:eastAsia="宋体" w:cs="宋体"/>
          <w:color w:val="00b0f0"/>
          <w:sz w:val="24"/>
          <w:szCs w:val="24"/>
          <w:highlight w:val="none"/>
          <w:lang w:eastAsia="zh-CN"/>
        </w:rPr>
        <w:t xml:space="preserve">（</w:t>
      </w:r>
      <w:r>
        <w:rPr>
          <w:rFonts w:hint="eastAsia" w:ascii="宋体" w:hAnsi="宋体" w:eastAsia="宋体" w:cs="宋体"/>
          <w:sz w:val="24"/>
          <w:szCs w:val="24"/>
          <w:highlight w:val="none"/>
        </w:rPr>
        <w:t xml:space="preserve">每月组织不少于二次的抽查，必要时要求相关物业公司人员陪同考核；遇重大活动期间，主动联系</w:t>
      </w:r>
      <w:r>
        <w:rPr>
          <w:rFonts w:hint="eastAsia" w:ascii="宋体" w:hAnsi="宋体" w:eastAsia="宋体" w:cs="宋体"/>
          <w:sz w:val="24"/>
          <w:szCs w:val="24"/>
          <w:highlight w:val="none"/>
          <w:lang w:eastAsia="zh-CN"/>
        </w:rPr>
        <w:t xml:space="preserve">市</w:t>
      </w:r>
      <w:r>
        <w:rPr>
          <w:rFonts w:hint="eastAsia" w:ascii="宋体" w:hAnsi="宋体" w:eastAsia="宋体" w:cs="宋体"/>
          <w:sz w:val="24"/>
          <w:szCs w:val="24"/>
          <w:highlight w:val="none"/>
        </w:rPr>
        <w:t xml:space="preserve">城管局综合督查部门共同检查考核。</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3、城管检查、群众投诉</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（1）由城管案件派遣以及处置情况考核督查；</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（2）群众投诉、反映等问题处理结果由各</w:t>
      </w:r>
      <w:r>
        <w:rPr>
          <w:rFonts w:hint="eastAsia" w:ascii="宋体" w:hAnsi="宋体" w:eastAsia="宋体" w:cs="宋体"/>
          <w:sz w:val="24"/>
          <w:szCs w:val="24"/>
          <w:highlight w:val="none"/>
          <w:lang w:val="en-US" w:eastAsia="zh-CN"/>
        </w:rPr>
        <w:t xml:space="preserve">综安办、镇纪委</w:t>
      </w:r>
      <w:r>
        <w:rPr>
          <w:rFonts w:hint="eastAsia" w:ascii="宋体" w:hAnsi="宋体" w:eastAsia="宋体" w:cs="宋体"/>
          <w:sz w:val="24"/>
          <w:szCs w:val="24"/>
          <w:highlight w:val="none"/>
        </w:rPr>
        <w:t xml:space="preserve">收集，并作为考核依据。</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4、重大事项考核</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因工作不到位被新闻媒体曝光、市领导点名或通报批评、重大活动保障不力、市级以上检查失责等问题，直接从当月度考评总分中一次性扣除相应分值。</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5、“实名制”专项考核</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“实名制”考核贯穿于上述巡查、抽查等各类检查考核中，采取以下方式实施常态化的考核管理。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建立实名制档案。各物业公司建立完善的实名制档案。档案中包括：一是制式的实名制工作卡，卡片中登记单位名称、员工姓名、年龄、工作岗位、责任路段及配备人员定额等明细信息并张贴照片，卡片一式三份，环卫处基层所、市场化企业、环卫员工各持一卡，环卫员工必须随身携带，以备检查。各家物业公司作业人员一旦发生变动必须立即向环卫处基层所报送人员变更表，每月10日前环卫处基层所要将上月人员变更情况进行集中登记、归档，上报处督查科备案。</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（2）在巡查、抽查、集中检查时，实名制检查作为必查项。一是核对员工实名制卡片以检查作业人数真实情况；二是按照各路段的作业方式检查人员配备合理性与具体在岗情况；</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检查落实标书中明确的人员工资和劳动保障方面条款，采取两种方式进行：一是在巡查、抽查、集中检查时，就物业公司是否落实标书中明确的职工工资福利和社会保险等进行检查。二是要求各家物业公司定期提供员工的工资发放表和劳动保险缴纳凭据作为检查的备案。</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五、考核的依据</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（一）国家相关法律法规，省、市相关法规、条例、规定等；</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（二）招标书中的要求和投标书中的承诺；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（三）双方签订的承包合同中的相关条款；</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（四）市人民政府和城管局的相关文件以及市环卫处的相关作业标准；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六、考核成绩的计算及评价</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（一）每月考核成绩以</w:t>
      </w:r>
      <w:r>
        <w:rPr>
          <w:rFonts w:hint="eastAsia" w:ascii="宋体" w:hAnsi="宋体" w:eastAsia="宋体" w:cs="宋体"/>
          <w:sz w:val="24"/>
          <w:szCs w:val="24"/>
          <w:highlight w:val="none"/>
          <w:lang w:val="en-US" w:eastAsia="zh-CN"/>
        </w:rPr>
        <w:t xml:space="preserve">综安办、镇纪委</w:t>
      </w:r>
      <w:r>
        <w:rPr>
          <w:rFonts w:hint="eastAsia" w:ascii="宋体" w:hAnsi="宋体" w:eastAsia="宋体" w:cs="宋体"/>
          <w:sz w:val="24"/>
          <w:szCs w:val="24"/>
          <w:highlight w:val="none"/>
        </w:rPr>
        <w:t xml:space="preserve">考核领导小组明、暗检查和</w:t>
      </w:r>
      <w:r>
        <w:rPr>
          <w:rFonts w:hint="eastAsia" w:ascii="宋体" w:hAnsi="宋体" w:eastAsia="宋体" w:cs="宋体"/>
          <w:sz w:val="24"/>
          <w:szCs w:val="24"/>
          <w:highlight w:val="none"/>
          <w:lang w:val="en-US" w:eastAsia="zh-CN"/>
        </w:rPr>
        <w:t xml:space="preserve">镇分管领导</w:t>
      </w:r>
      <w:r>
        <w:rPr>
          <w:rFonts w:hint="eastAsia" w:ascii="宋体" w:hAnsi="宋体" w:eastAsia="宋体" w:cs="宋体"/>
          <w:sz w:val="24"/>
          <w:szCs w:val="24"/>
          <w:highlight w:val="none"/>
        </w:rPr>
        <w:t xml:space="preserve">不定期检查，以及每天督查和基层各所日常巡查结果为考核得分依据。</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（二）社会评定成绩：随机抽查15户以上，面向个体经营户、居民代表户、老干部、人大代表、政协委员等进行问卷调查，进行评分。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（三）考核成绩的汇总：次月5日前，</w:t>
      </w:r>
      <w:r>
        <w:rPr>
          <w:rFonts w:hint="eastAsia" w:ascii="宋体" w:hAnsi="宋体" w:eastAsia="宋体" w:cs="宋体"/>
          <w:sz w:val="24"/>
          <w:szCs w:val="24"/>
          <w:highlight w:val="none"/>
          <w:lang w:val="en-US" w:eastAsia="zh-CN"/>
        </w:rPr>
        <w:t xml:space="preserve">综安办工作人员</w:t>
      </w:r>
      <w:r>
        <w:rPr>
          <w:rFonts w:hint="eastAsia" w:ascii="宋体" w:hAnsi="宋体" w:eastAsia="宋体" w:cs="宋体"/>
          <w:sz w:val="24"/>
          <w:szCs w:val="24"/>
          <w:highlight w:val="none"/>
        </w:rPr>
        <w:t xml:space="preserve">将日常巡查情况汇总后报</w:t>
      </w:r>
      <w:r>
        <w:rPr>
          <w:rFonts w:hint="eastAsia" w:ascii="宋体" w:hAnsi="宋体" w:eastAsia="宋体" w:cs="宋体"/>
          <w:sz w:val="24"/>
          <w:szCs w:val="24"/>
          <w:highlight w:val="none"/>
          <w:lang w:val="en-US" w:eastAsia="zh-CN"/>
        </w:rPr>
        <w:t xml:space="preserve">镇综安办、镇纪委</w:t>
      </w:r>
      <w:r>
        <w:rPr>
          <w:rFonts w:hint="eastAsia" w:ascii="宋体" w:hAnsi="宋体" w:eastAsia="宋体" w:cs="宋体"/>
          <w:sz w:val="24"/>
          <w:szCs w:val="24"/>
          <w:highlight w:val="none"/>
        </w:rPr>
        <w:t xml:space="preserve">。考核分值比例为：基本各所日常巡查得分占总考核分值45%，</w:t>
      </w:r>
      <w:r>
        <w:rPr>
          <w:rFonts w:hint="eastAsia" w:ascii="宋体" w:hAnsi="宋体" w:eastAsia="宋体" w:cs="宋体"/>
          <w:sz w:val="24"/>
          <w:szCs w:val="24"/>
          <w:highlight w:val="none"/>
          <w:lang w:val="en-US" w:eastAsia="zh-CN"/>
        </w:rPr>
        <w:t xml:space="preserve">明查暗访</w:t>
      </w:r>
      <w:r>
        <w:rPr>
          <w:rFonts w:hint="eastAsia" w:ascii="宋体" w:hAnsi="宋体" w:eastAsia="宋体" w:cs="宋体"/>
          <w:sz w:val="24"/>
          <w:szCs w:val="24"/>
          <w:highlight w:val="none"/>
        </w:rPr>
        <w:t xml:space="preserve">考核占总考核分值的45%,社会综合评价占总考核分值的10%。</w:t>
      </w:r>
      <w:r>
        <w:rPr>
          <w:rFonts w:hint="eastAsia" w:ascii="宋体" w:hAnsi="宋体" w:eastAsia="宋体" w:cs="宋体"/>
          <w:sz w:val="24"/>
          <w:szCs w:val="24"/>
          <w:highlight w:val="none"/>
          <w:lang w:val="en-US" w:eastAsia="zh-CN"/>
        </w:rPr>
        <w:t xml:space="preserve">最后</w:t>
      </w:r>
      <w:r>
        <w:rPr>
          <w:rFonts w:hint="eastAsia" w:ascii="宋体" w:hAnsi="宋体" w:eastAsia="宋体" w:cs="宋体"/>
          <w:sz w:val="24"/>
          <w:szCs w:val="24"/>
          <w:highlight w:val="none"/>
        </w:rPr>
        <w:t xml:space="preserve">将考核分值汇总报考核领导小组，经确认后，于次月10前由</w:t>
      </w:r>
      <w:r>
        <w:rPr>
          <w:rFonts w:hint="eastAsia" w:ascii="宋体" w:hAnsi="宋体" w:eastAsia="宋体" w:cs="宋体"/>
          <w:sz w:val="24"/>
          <w:szCs w:val="24"/>
          <w:highlight w:val="none"/>
          <w:lang w:val="en-US" w:eastAsia="zh-CN"/>
        </w:rPr>
        <w:t xml:space="preserve">综安办、镇纪委</w:t>
      </w:r>
      <w:r>
        <w:rPr>
          <w:rFonts w:hint="eastAsia" w:ascii="宋体" w:hAnsi="宋体" w:eastAsia="宋体" w:cs="宋体"/>
          <w:sz w:val="24"/>
          <w:szCs w:val="24"/>
          <w:highlight w:val="none"/>
        </w:rPr>
        <w:t xml:space="preserve">将前月的考核情况汇总上报</w:t>
      </w:r>
      <w:r>
        <w:rPr>
          <w:rFonts w:hint="eastAsia" w:ascii="宋体" w:hAnsi="宋体" w:eastAsia="宋体" w:cs="宋体"/>
          <w:sz w:val="24"/>
          <w:szCs w:val="24"/>
          <w:highlight w:val="none"/>
          <w:lang w:val="en-US" w:eastAsia="zh-CN"/>
        </w:rPr>
        <w:t xml:space="preserve">镇</w:t>
      </w:r>
      <w:r>
        <w:rPr>
          <w:rFonts w:hint="eastAsia" w:ascii="宋体" w:hAnsi="宋体" w:eastAsia="宋体" w:cs="宋体"/>
          <w:sz w:val="24"/>
          <w:szCs w:val="24"/>
          <w:highlight w:val="none"/>
        </w:rPr>
        <w:t xml:space="preserve">主要负责人和分管负责人。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七、评分标准（详见附表）《高邮市环境卫生综合作业质量考评标准》（暂行）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八、奖惩措施</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根据月考评总分，按照以下档次扣除后拨付环卫市场化作业经费：月度考评分在90（含）以上的，不扣减当月经费；考评分在90以下的，当月经费作不同程度扣减处罚。</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1.月度考评分≥90分的，不核减；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2.90分＞月度考评分≥85分，每扣1分，核减当月服务经费的1%；</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3.85分＞月度考评分≥80分，每扣1分，核减当月服务经费的1.5%；</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4.80分＞月度考评分≥75分，每扣1分，核减当月服务经费的2%。</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5.月度考评分＜75分，每扣1分，核减当月服务经费的3%。</w:t>
      </w:r>
      <w:r/>
    </w:p>
    <w:p>
      <w:pPr>
        <w:ind w:firstLine="480"/>
        <w:spacing w:line="360" w:lineRule="auto"/>
        <w:rPr>
          <w:rFonts w:hint="eastAsia" w:ascii="宋体" w:hAnsi="宋体" w:eastAsia="宋体" w:cs="宋体"/>
          <w:szCs w:val="21"/>
          <w:highlight w:val="cyan"/>
        </w:rPr>
      </w:pPr>
      <w:r>
        <w:rPr>
          <w:rFonts w:hint="eastAsia" w:ascii="宋体" w:hAnsi="宋体" w:eastAsia="宋体" w:cs="宋体"/>
          <w:sz w:val="24"/>
          <w:szCs w:val="24"/>
          <w:highlight w:val="none"/>
          <w:lang w:val="en-US" w:eastAsia="zh-CN"/>
        </w:rPr>
        <w:t xml:space="preserve">月度考评分低于75分</w:t>
      </w:r>
      <w:r>
        <w:rPr>
          <w:rFonts w:hint="eastAsia" w:ascii="宋体" w:hAnsi="宋体" w:eastAsia="宋体" w:cs="宋体"/>
          <w:sz w:val="24"/>
          <w:szCs w:val="24"/>
          <w:highlight w:val="none"/>
        </w:rPr>
        <w:t xml:space="preserve">，财政将暂停拨付中标服务单位的服务经费，由考评办责令其进行整改，整改须经考评办组织的联合验收达标后，方可支付。</w:t>
      </w:r>
      <w:r/>
    </w:p>
    <w:p>
      <w:pPr>
        <w:jc w:val="center"/>
        <w:spacing w:line="360" w:lineRule="auto"/>
        <w:rPr>
          <w:rFonts w:hint="eastAsia" w:ascii="宋体" w:hAnsi="宋体" w:eastAsia="宋体" w:cs="宋体"/>
          <w:szCs w:val="21"/>
        </w:rPr>
      </w:pPr>
      <w:r>
        <w:rPr>
          <w:rFonts w:hint="eastAsia" w:ascii="宋体" w:hAnsi="宋体" w:eastAsia="宋体" w:cs="宋体"/>
          <w:b/>
          <w:sz w:val="24"/>
          <w:szCs w:val="24"/>
        </w:rPr>
        <w:t xml:space="preserve">高邮市</w:t>
      </w:r>
      <w:r>
        <w:rPr>
          <w:rFonts w:hint="eastAsia" w:ascii="宋体" w:hAnsi="宋体" w:eastAsia="宋体" w:cs="宋体"/>
          <w:b/>
          <w:sz w:val="24"/>
          <w:szCs w:val="24"/>
          <w:lang w:eastAsia="zh-CN"/>
        </w:rPr>
        <w:t xml:space="preserve">界首</w:t>
      </w:r>
      <w:r>
        <w:rPr>
          <w:rFonts w:hint="eastAsia" w:ascii="宋体" w:hAnsi="宋体" w:eastAsia="宋体" w:cs="宋体"/>
          <w:b/>
          <w:sz w:val="24"/>
          <w:szCs w:val="24"/>
        </w:rPr>
        <w:t xml:space="preserve">镇集镇环境服务社会化管理服务项目市场化质量考评标准</w:t>
      </w:r>
      <w:r/>
    </w:p>
    <w:tbl>
      <w:tblPr>
        <w:tblStyle w:val="819"/>
        <w:tblW w:w="10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425"/>
        <w:gridCol w:w="550"/>
        <w:gridCol w:w="675"/>
        <w:gridCol w:w="3350"/>
        <w:gridCol w:w="4233"/>
        <w:gridCol w:w="642"/>
      </w:tblGrid>
      <w:tr>
        <w:trPr>
          <w:jc w:val="center"/>
          <w:trHeight w:val="352"/>
          <w:tblHeader/>
        </w:trPr>
        <w:tc>
          <w:tcPr>
            <w:tcW w:w="704"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gridSpan w:val="2"/>
            <w:tcW w:w="97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考核内容</w:t>
            </w:r>
            <w:r/>
          </w:p>
        </w:tc>
        <w:tc>
          <w:tcPr>
            <w:tcW w:w="67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分值</w:t>
            </w:r>
            <w:r/>
          </w:p>
        </w:tc>
        <w:tc>
          <w:tcPr>
            <w:tcW w:w="3350"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要  求</w:t>
            </w:r>
            <w:r/>
          </w:p>
        </w:tc>
        <w:tc>
          <w:tcPr>
            <w:tcW w:w="4233"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扣分标准</w:t>
            </w:r>
            <w:r/>
          </w:p>
        </w:tc>
        <w:tc>
          <w:tcPr>
            <w:tcW w:w="642"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得分</w:t>
            </w:r>
            <w:r/>
          </w:p>
        </w:tc>
      </w:tr>
      <w:tr>
        <w:trPr>
          <w:jc w:val="center"/>
          <w:trHeight w:val="2558"/>
        </w:trPr>
        <w:tc>
          <w:tcPr>
            <w:tcW w:w="704"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gridSpan w:val="2"/>
            <w:tcW w:w="97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作息</w:t>
            </w:r>
            <w:r/>
          </w:p>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时间</w:t>
            </w:r>
            <w:r/>
          </w:p>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及</w:t>
            </w:r>
            <w:r/>
          </w:p>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人员</w:t>
            </w:r>
            <w:r/>
          </w:p>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管理</w:t>
            </w:r>
            <w:r/>
          </w:p>
        </w:tc>
        <w:tc>
          <w:tcPr>
            <w:tcW w:w="67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10</w:t>
            </w:r>
            <w:r/>
          </w:p>
        </w:tc>
        <w:tc>
          <w:tcPr>
            <w:tcW w:w="3350"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清扫保洁人员按规定时间到岗作业，无迟到、早退 现象，中途不歇岗，人员按定额配齐配足，在规定时间内完成一日两遍普扫(第一遍：上午7:30前完成；第二遍：下午3:30前完成)，同时建立人员信息管理台账。</w:t>
            </w:r>
            <w:r/>
          </w:p>
        </w:tc>
        <w:tc>
          <w:tcPr>
            <w:tcW w:w="4233"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清扫保洁人员有迟到、早退现象，每人每次扣1分；中途歇岗、聊天或做无岗位无关的事情，每人每次扣1分；作业人员配置达不到规定要求的，每缺1人扣2分；缺额补充不及时的，每人扣1分；缺额超过15天的直接扣罚实际缺额人员的全部工资福利；未按规定时间完成两遍普扫，整条路扣2分；未建立人员信息管理台账，1次扣月度总考核分2分。</w:t>
            </w:r>
            <w:r/>
          </w:p>
        </w:tc>
        <w:tc>
          <w:tcPr>
            <w:tcW w:w="642"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630"/>
        </w:trPr>
        <w:tc>
          <w:tcPr>
            <w:tcW w:w="704"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gridSpan w:val="2"/>
            <w:tcW w:w="97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道路</w:t>
            </w:r>
            <w:r/>
          </w:p>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清扫</w:t>
            </w:r>
            <w:r/>
          </w:p>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保洁</w:t>
            </w:r>
            <w:r/>
          </w:p>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绿化带清理</w:t>
            </w:r>
            <w:r/>
          </w:p>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保洁</w:t>
            </w:r>
            <w:r/>
          </w:p>
        </w:tc>
        <w:tc>
          <w:tcPr>
            <w:tcW w:w="67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10</w:t>
            </w:r>
            <w:r/>
          </w:p>
        </w:tc>
        <w:tc>
          <w:tcPr>
            <w:tcW w:w="3350"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按道路等级进行清扫保洁，路面清洁不漏扫；及时清理暴露垃圾和瓜皮、果壳、纸屑、烟头、树叶、碎砖石、塑料纸(袋)等杂物；路牙定期冲洗清洁无积尘，路面无积水；人行道清洁、无杂草，树穴净，电杆周围净，窨井盖干净无堵塞；果皮箱、垃圾桶周围地面及时冲洗，无污迹，绿化带内清洁无垃圾杂物，道路交界入清扫保洁延伸10米，禁止焚烧各类垃圾杂物，建立特殊恶劣天气(台风、雨雪等)工作预案。</w:t>
            </w:r>
            <w:r/>
          </w:p>
        </w:tc>
        <w:tc>
          <w:tcPr>
            <w:tcW w:w="4233"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未按道路等级进行清扫保洁，1处扣2分；路面漏扫1处扣1分；100m2以上扣2分；路面不清洁，暴露垃圾、飘浮物清理不及时，1处扣0.5分；路牙有积尘扣1分；路面有积水，1次扣1分；人行道路牙、硬化路面缝处有杂草，1处扣0.5分；树根、电杆有杂草、杂物，1处扣0.5分；窨井下水口有堵塞，1处扣0.5分；道路交界处清扫保洁未延伸10米，1处扣0.5分；焚烧垃圾杂物一例扣5分；雨雪天气未及时组织人员清除路面积雪，一次扣2分；如遇其他特殊恶劣天气，处置不力，1次扣3分。</w:t>
            </w:r>
            <w:r/>
          </w:p>
        </w:tc>
        <w:tc>
          <w:tcPr>
            <w:tcW w:w="642"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1717"/>
        </w:trPr>
        <w:tc>
          <w:tcPr>
            <w:tcW w:w="704"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gridSpan w:val="2"/>
            <w:tcW w:w="97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果皮箱、垃圾桶、收集亭维护管理</w:t>
            </w:r>
            <w:r/>
          </w:p>
        </w:tc>
        <w:tc>
          <w:tcPr>
            <w:tcW w:w="67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3350"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果皮箱、垃圾桶正常清洗，保持外表整洁干净，摆放整齐无缺失，出现破损，应及时汇报更换，并建立管理台帐。</w:t>
            </w:r>
            <w:r/>
          </w:p>
        </w:tc>
        <w:tc>
          <w:tcPr>
            <w:tcW w:w="4233"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果皮箱、垃圾桶、收集亭清洗不及时，外表有污迹，1处扣0.5分；未按要求摆放整齐，1处扣0.5分，破损未及时汇报更换，1处扣0.5分;缺失或烧毁，1处扣2分；未建立管理台帐，扣除月度总分1.5分。</w:t>
            </w:r>
            <w:r/>
          </w:p>
        </w:tc>
        <w:tc>
          <w:tcPr>
            <w:tcW w:w="642"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7"/>
        </w:trPr>
        <w:tc>
          <w:tcPr>
            <w:tcW w:w="704"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gridSpan w:val="2"/>
            <w:tcW w:w="97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垃圾收集清运</w:t>
            </w:r>
            <w:r/>
          </w:p>
        </w:tc>
        <w:tc>
          <w:tcPr>
            <w:tcW w:w="67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10</w:t>
            </w:r>
            <w:r/>
          </w:p>
        </w:tc>
        <w:tc>
          <w:tcPr>
            <w:tcW w:w="3350"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按规定时间到岗到位，保证垃圾日产日清，车容车貌整洁，垃圾中转运输规范卫生，无滴漏污水污渍，无散落垃圾，垃圾桶吊装收集后，及时放置原位，垃圾吊装收集过程中无散落垃圾，果皮箱、垃圾桶(箱)每日清理收集不少于两次，确保垃圾不满溢。建立日常垃圾收集运输台帐</w:t>
            </w:r>
            <w:r/>
          </w:p>
        </w:tc>
        <w:tc>
          <w:tcPr>
            <w:tcW w:w="4233"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未按规定时间清运垃圾，未能达到日产日清要求，1次扣2分；作业车辆不整洁，清洗不及时，一次扣1分；垃圾中转运输过程中有抛、洒、滴、漏现象，1次扣1分，垃圾桶吊装后未及时放置原位，1处扣0.5分，垃圾吊装收集过程中有污水污渍，散落垃圾的，有1例扣1分；果皮箱、垃圾桶未按规定要求清理收集，出现满溢现象，1例扣1分；未建立日常垃圾收集运输台帐，扣除月度总考核分1.5分。</w:t>
            </w:r>
            <w:r/>
          </w:p>
        </w:tc>
        <w:tc>
          <w:tcPr>
            <w:tcW w:w="642"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726"/>
        </w:trPr>
        <w:tc>
          <w:tcPr>
            <w:tcW w:w="704"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5</w:t>
            </w:r>
            <w:r/>
          </w:p>
        </w:tc>
        <w:tc>
          <w:tcPr>
            <w:gridSpan w:val="2"/>
            <w:tcW w:w="97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野广告清理</w:t>
            </w:r>
            <w:r/>
          </w:p>
        </w:tc>
        <w:tc>
          <w:tcPr>
            <w:tcW w:w="67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3350"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主次干道两侧及地面乱张贴、乱涂写清除及时。</w:t>
            </w:r>
            <w:r/>
          </w:p>
        </w:tc>
        <w:tc>
          <w:tcPr>
            <w:tcW w:w="4233"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道路两侧及地面有乱张贴、乱涂写，未及时清理，有1例扣1分。</w:t>
            </w:r>
            <w:r/>
          </w:p>
        </w:tc>
        <w:tc>
          <w:tcPr>
            <w:tcW w:w="642"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1721"/>
        </w:trPr>
        <w:tc>
          <w:tcPr>
            <w:tcW w:w="704"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6</w:t>
            </w:r>
            <w:r/>
          </w:p>
        </w:tc>
        <w:tc>
          <w:tcPr>
            <w:gridSpan w:val="2"/>
            <w:tcW w:w="975" w:type="dxa"/>
            <w:vAlign w:val="center"/>
            <w:textDirection w:val="lrTb"/>
            <w:noWrap w:val="false"/>
          </w:tcPr>
          <w:p>
            <w:pPr>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建筑装潢垃圾管理</w:t>
            </w:r>
            <w:r/>
          </w:p>
        </w:tc>
        <w:tc>
          <w:tcPr>
            <w:tcW w:w="67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3350"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主动清除责任区范围内出现的少量零星建筑装潢垃圾，不乱堆乱倒，对正在装修中产生的建筑装潢垃圾或大件废弃物，应及时跟踪管理，同时主动上报</w:t>
            </w:r>
            <w:r>
              <w:rPr>
                <w:rFonts w:hint="eastAsia" w:ascii="宋体" w:hAnsi="宋体" w:eastAsia="宋体" w:cs="宋体"/>
                <w:sz w:val="21"/>
                <w:szCs w:val="21"/>
                <w:lang w:val="en-US" w:eastAsia="zh-CN"/>
              </w:rPr>
              <w:t xml:space="preserve">综安办</w:t>
            </w:r>
            <w:r>
              <w:rPr>
                <w:rFonts w:hint="eastAsia" w:ascii="宋体" w:hAnsi="宋体" w:eastAsia="宋体" w:cs="宋体"/>
                <w:sz w:val="21"/>
                <w:szCs w:val="21"/>
              </w:rPr>
              <w:t xml:space="preserve">，并协助处置。</w:t>
            </w:r>
            <w:r/>
          </w:p>
        </w:tc>
        <w:tc>
          <w:tcPr>
            <w:tcW w:w="4233"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少量零星建筑装潢垃圾清理不及时，有1例扣2分；对正在装修中产生的建筑装潢垃圾或大件废弃物跟踪管理不到位，未及时汇报的，有1例扣2分；未按部门指定的地点倾倒建筑垃圾，有1例扣2分。</w:t>
            </w:r>
            <w:r/>
          </w:p>
        </w:tc>
        <w:tc>
          <w:tcPr>
            <w:tcW w:w="642"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251"/>
        </w:trPr>
        <w:tc>
          <w:tcPr>
            <w:tcW w:w="704"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7</w:t>
            </w:r>
            <w:r/>
          </w:p>
        </w:tc>
        <w:tc>
          <w:tcPr>
            <w:gridSpan w:val="2"/>
            <w:tcW w:w="97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安全</w:t>
            </w:r>
            <w:r/>
          </w:p>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管理</w:t>
            </w:r>
            <w:r/>
          </w:p>
        </w:tc>
        <w:tc>
          <w:tcPr>
            <w:tcW w:w="67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10</w:t>
            </w:r>
            <w:r/>
          </w:p>
        </w:tc>
        <w:tc>
          <w:tcPr>
            <w:tcW w:w="3350"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建立健全安全管理制度，清扫保洁人员统一着安全服，环卫专业车辆(含机动车、非机动车)，驾驶人员严格遵守交通法律法规，做到安全行车。定期召开安全例会，并建立安全管理台帐资料，出现重大安全责任事故应及时处置并报告</w:t>
            </w:r>
            <w:r>
              <w:rPr>
                <w:rFonts w:hint="eastAsia" w:ascii="宋体" w:hAnsi="宋体" w:eastAsia="宋体" w:cs="宋体"/>
                <w:sz w:val="21"/>
                <w:szCs w:val="21"/>
                <w:lang w:val="en-US" w:eastAsia="zh-CN"/>
              </w:rPr>
              <w:t xml:space="preserve">镇镇政府和镇综安办</w:t>
            </w:r>
            <w:r>
              <w:rPr>
                <w:rFonts w:hint="eastAsia" w:ascii="宋体" w:hAnsi="宋体" w:eastAsia="宋体" w:cs="宋体"/>
                <w:sz w:val="21"/>
                <w:szCs w:val="21"/>
              </w:rPr>
              <w:t xml:space="preserve">。</w:t>
            </w:r>
            <w:r/>
          </w:p>
        </w:tc>
        <w:tc>
          <w:tcPr>
            <w:tcW w:w="4233"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安全管理制度不健全扣4分；环卫专业车辆驾驶人员违章驾车(除交警处罚外)扣3分；道路清扫保洁人员未穿戴安全服(帽)，有1人扣1分；未定期召开安全例会，台帐资料不健全，扣3分；出现重大安全责任事故，处置不及时，扣月度总考核分5-10分；未汇报</w:t>
            </w:r>
            <w:r>
              <w:rPr>
                <w:rFonts w:hint="eastAsia" w:ascii="宋体" w:hAnsi="宋体" w:eastAsia="宋体" w:cs="宋体"/>
                <w:sz w:val="21"/>
                <w:szCs w:val="21"/>
                <w:lang w:val="en-US" w:eastAsia="zh-CN"/>
              </w:rPr>
              <w:t xml:space="preserve">镇政府和镇综安办</w:t>
            </w:r>
            <w:r>
              <w:rPr>
                <w:rFonts w:hint="eastAsia" w:ascii="宋体" w:hAnsi="宋体" w:eastAsia="宋体" w:cs="宋体"/>
                <w:sz w:val="21"/>
                <w:szCs w:val="21"/>
              </w:rPr>
              <w:t xml:space="preserve">的一次扣月度总考核分5分。</w:t>
            </w:r>
            <w:r/>
          </w:p>
        </w:tc>
        <w:tc>
          <w:tcPr>
            <w:tcW w:w="642"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975"/>
        </w:trPr>
        <w:tc>
          <w:tcPr>
            <w:tcW w:w="704"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8</w:t>
            </w:r>
            <w:r/>
          </w:p>
        </w:tc>
        <w:tc>
          <w:tcPr>
            <w:gridSpan w:val="2"/>
            <w:tcW w:w="97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数字化城管</w:t>
            </w:r>
            <w:r/>
          </w:p>
        </w:tc>
        <w:tc>
          <w:tcPr>
            <w:tcW w:w="67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8</w:t>
            </w:r>
            <w:r/>
          </w:p>
        </w:tc>
        <w:tc>
          <w:tcPr>
            <w:tcW w:w="3350"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根据</w:t>
            </w:r>
            <w:r>
              <w:rPr>
                <w:rFonts w:hint="eastAsia" w:ascii="宋体" w:hAnsi="宋体" w:eastAsia="宋体" w:cs="宋体"/>
                <w:sz w:val="21"/>
                <w:szCs w:val="21"/>
                <w:lang w:val="en-US" w:eastAsia="zh-CN"/>
              </w:rPr>
              <w:t xml:space="preserve">镇综安办</w:t>
            </w:r>
            <w:r>
              <w:rPr>
                <w:rFonts w:hint="eastAsia" w:ascii="宋体" w:hAnsi="宋体" w:eastAsia="宋体" w:cs="宋体"/>
                <w:sz w:val="21"/>
                <w:szCs w:val="21"/>
              </w:rPr>
              <w:t xml:space="preserve">指令，迅速完成工作任务，数字化城管工作达标。</w:t>
            </w:r>
            <w:r/>
          </w:p>
        </w:tc>
        <w:tc>
          <w:tcPr>
            <w:tcW w:w="4233"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下达的指令落实不到位，结案率达不到要求，数字化城管工作被扣分的，有1例扣月度总考核分2-8分。</w:t>
            </w:r>
            <w:r/>
          </w:p>
        </w:tc>
        <w:tc>
          <w:tcPr>
            <w:tcW w:w="642"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085"/>
        </w:trPr>
        <w:tc>
          <w:tcPr>
            <w:tcW w:w="704"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9</w:t>
            </w:r>
            <w:r/>
          </w:p>
        </w:tc>
        <w:tc>
          <w:tcPr>
            <w:gridSpan w:val="2"/>
            <w:tcW w:w="97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各项创建、重要活动保障及突发情况应急保障</w:t>
            </w:r>
            <w:r/>
          </w:p>
        </w:tc>
        <w:tc>
          <w:tcPr>
            <w:tcW w:w="67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10</w:t>
            </w:r>
            <w:r/>
          </w:p>
        </w:tc>
        <w:tc>
          <w:tcPr>
            <w:tcW w:w="3350"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遇有创建等各类重要活动保障，应按城管和社区的通知要求，组织好人员做好保障，对恶劣天气、季节落叶等突发情况，快速反应，处置到位。按时参加</w:t>
            </w:r>
            <w:r>
              <w:rPr>
                <w:rFonts w:hint="eastAsia" w:ascii="宋体" w:hAnsi="宋体" w:eastAsia="宋体" w:cs="宋体"/>
                <w:sz w:val="21"/>
                <w:szCs w:val="21"/>
                <w:lang w:val="en-US" w:eastAsia="zh-CN"/>
              </w:rPr>
              <w:t xml:space="preserve">镇政府</w:t>
            </w:r>
            <w:r>
              <w:rPr>
                <w:rFonts w:hint="eastAsia" w:ascii="宋体" w:hAnsi="宋体" w:eastAsia="宋体" w:cs="宋体"/>
                <w:sz w:val="21"/>
                <w:szCs w:val="21"/>
              </w:rPr>
              <w:t xml:space="preserve">和</w:t>
            </w:r>
            <w:r>
              <w:rPr>
                <w:rFonts w:hint="eastAsia" w:ascii="宋体" w:hAnsi="宋体" w:eastAsia="宋体" w:cs="宋体"/>
                <w:sz w:val="21"/>
                <w:szCs w:val="21"/>
                <w:lang w:val="en-US" w:eastAsia="zh-CN"/>
              </w:rPr>
              <w:t xml:space="preserve">综安办</w:t>
            </w:r>
            <w:r>
              <w:rPr>
                <w:rFonts w:hint="eastAsia" w:ascii="宋体" w:hAnsi="宋体" w:eastAsia="宋体" w:cs="宋体"/>
                <w:sz w:val="21"/>
                <w:szCs w:val="21"/>
              </w:rPr>
              <w:t xml:space="preserve">召集的工作例会。</w:t>
            </w:r>
            <w:r/>
          </w:p>
        </w:tc>
        <w:tc>
          <w:tcPr>
            <w:tcW w:w="4233"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遇有创建、各类重要活动保障及恶劣天气、季节落叶等突发情况，组织不力，环境卫生不到位，在检查时被扣分，或受到上级领导批评，视情节一次扣月度总考核分2-10分；不准时参加</w:t>
            </w:r>
            <w:r>
              <w:rPr>
                <w:rFonts w:hint="eastAsia" w:ascii="宋体" w:hAnsi="宋体" w:eastAsia="宋体" w:cs="宋体"/>
                <w:sz w:val="21"/>
                <w:szCs w:val="21"/>
                <w:lang w:val="en-US" w:eastAsia="zh-CN"/>
              </w:rPr>
              <w:t xml:space="preserve">镇政府</w:t>
            </w:r>
            <w:r>
              <w:rPr>
                <w:rFonts w:hint="eastAsia" w:ascii="宋体" w:hAnsi="宋体" w:eastAsia="宋体" w:cs="宋体"/>
                <w:sz w:val="21"/>
                <w:szCs w:val="21"/>
              </w:rPr>
              <w:t xml:space="preserve">和</w:t>
            </w:r>
            <w:r>
              <w:rPr>
                <w:rFonts w:hint="eastAsia" w:ascii="宋体" w:hAnsi="宋体" w:eastAsia="宋体" w:cs="宋体"/>
                <w:sz w:val="21"/>
                <w:szCs w:val="21"/>
                <w:lang w:val="en-US" w:eastAsia="zh-CN"/>
              </w:rPr>
              <w:t xml:space="preserve">综安办</w:t>
            </w:r>
            <w:r>
              <w:rPr>
                <w:rFonts w:hint="eastAsia" w:ascii="宋体" w:hAnsi="宋体" w:eastAsia="宋体" w:cs="宋体"/>
                <w:sz w:val="21"/>
                <w:szCs w:val="21"/>
              </w:rPr>
              <w:t xml:space="preserve">召集的工作例会，1次扣月度总考核分1分；无故缺席的，1次扣月度总考核分3分。</w:t>
            </w:r>
            <w:r/>
          </w:p>
        </w:tc>
        <w:tc>
          <w:tcPr>
            <w:tcW w:w="642"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998"/>
        </w:trPr>
        <w:tc>
          <w:tcPr>
            <w:tcW w:w="704"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10</w:t>
            </w:r>
            <w:r/>
          </w:p>
        </w:tc>
        <w:tc>
          <w:tcPr>
            <w:gridSpan w:val="2"/>
            <w:tcW w:w="97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文明城市常态长效建设</w:t>
            </w:r>
            <w:r/>
          </w:p>
        </w:tc>
        <w:tc>
          <w:tcPr>
            <w:tcW w:w="67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10</w:t>
            </w:r>
            <w:r/>
          </w:p>
        </w:tc>
        <w:tc>
          <w:tcPr>
            <w:tcW w:w="3350"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配合县市区及乡镇文明城市常态长效建设，配合完成各项检查、整改任务</w:t>
            </w:r>
            <w:r/>
          </w:p>
        </w:tc>
        <w:tc>
          <w:tcPr>
            <w:tcW w:w="4233"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文明城市建设及复核过程中，未及时处置各种脏乱差现象或未在限期内整改完成的有一次扣3分，扣完为止。</w:t>
            </w:r>
            <w:r/>
          </w:p>
        </w:tc>
        <w:tc>
          <w:tcPr>
            <w:tcW w:w="642"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1807"/>
        </w:trPr>
        <w:tc>
          <w:tcPr>
            <w:tcW w:w="704"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11</w:t>
            </w:r>
            <w:r/>
          </w:p>
        </w:tc>
        <w:tc>
          <w:tcPr>
            <w:gridSpan w:val="2"/>
            <w:tcW w:w="97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lang w:eastAsia="zh-CN"/>
              </w:rPr>
              <w:t xml:space="preserve">卫生</w:t>
            </w:r>
            <w:r>
              <w:rPr>
                <w:rFonts w:hint="eastAsia" w:ascii="宋体" w:hAnsi="宋体" w:eastAsia="宋体" w:cs="宋体"/>
                <w:sz w:val="21"/>
                <w:szCs w:val="21"/>
              </w:rPr>
              <w:t xml:space="preserve">防</w:t>
            </w:r>
            <w:r>
              <w:rPr>
                <w:rFonts w:hint="eastAsia" w:ascii="宋体" w:hAnsi="宋体" w:eastAsia="宋体" w:cs="宋体"/>
                <w:sz w:val="21"/>
                <w:szCs w:val="21"/>
                <w:lang w:eastAsia="zh-CN"/>
              </w:rPr>
              <w:t xml:space="preserve">疫</w:t>
            </w:r>
            <w:r>
              <w:rPr>
                <w:rFonts w:hint="eastAsia" w:ascii="宋体" w:hAnsi="宋体" w:eastAsia="宋体" w:cs="宋体"/>
                <w:sz w:val="21"/>
                <w:szCs w:val="21"/>
              </w:rPr>
              <w:t xml:space="preserve">措施</w:t>
            </w:r>
            <w:r/>
          </w:p>
        </w:tc>
        <w:tc>
          <w:tcPr>
            <w:tcW w:w="675"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10</w:t>
            </w:r>
            <w:r/>
          </w:p>
        </w:tc>
        <w:tc>
          <w:tcPr>
            <w:tcW w:w="3350"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配合县市区及乡镇落实</w:t>
            </w:r>
            <w:r>
              <w:rPr>
                <w:rFonts w:hint="eastAsia" w:ascii="宋体" w:hAnsi="宋体" w:eastAsia="宋体" w:cs="宋体"/>
                <w:sz w:val="21"/>
                <w:szCs w:val="21"/>
                <w:lang w:eastAsia="zh-CN"/>
              </w:rPr>
              <w:t xml:space="preserve">卫生</w:t>
            </w:r>
            <w:r>
              <w:rPr>
                <w:rFonts w:hint="eastAsia" w:ascii="宋体" w:hAnsi="宋体" w:eastAsia="宋体" w:cs="宋体"/>
                <w:sz w:val="21"/>
                <w:szCs w:val="21"/>
              </w:rPr>
              <w:t xml:space="preserve">防</w:t>
            </w:r>
            <w:r>
              <w:rPr>
                <w:rFonts w:hint="eastAsia" w:ascii="宋体" w:hAnsi="宋体" w:eastAsia="宋体" w:cs="宋体"/>
                <w:sz w:val="21"/>
                <w:szCs w:val="21"/>
                <w:lang w:eastAsia="zh-CN"/>
              </w:rPr>
              <w:t xml:space="preserve">疫</w:t>
            </w:r>
            <w:r>
              <w:rPr>
                <w:rFonts w:hint="eastAsia" w:ascii="宋体" w:hAnsi="宋体" w:eastAsia="宋体" w:cs="宋体"/>
                <w:sz w:val="21"/>
                <w:szCs w:val="21"/>
              </w:rPr>
              <w:t xml:space="preserve">措施，使乡镇防控达标合规</w:t>
            </w:r>
            <w:r/>
          </w:p>
        </w:tc>
        <w:tc>
          <w:tcPr>
            <w:tcW w:w="4233"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公共密集场所所属人员自身未佩戴口罩或未提供他人佩戴口罩的有一次扣1分；公共场所未配合乡镇工作人员做到人员分流的有一次扣1分；公共区域未每日定时消杀的有一次扣1分，情节严重拒不整改的直接扣除当月得分。</w:t>
            </w:r>
            <w:r/>
          </w:p>
        </w:tc>
        <w:tc>
          <w:tcPr>
            <w:tcW w:w="642"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1112"/>
        </w:trPr>
        <w:tc>
          <w:tcPr>
            <w:tcW w:w="704"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12</w:t>
            </w:r>
            <w:r/>
          </w:p>
        </w:tc>
        <w:tc>
          <w:tcPr>
            <w:tcW w:w="425"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其他</w:t>
            </w:r>
            <w:r/>
          </w:p>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事项</w:t>
            </w:r>
            <w:r/>
          </w:p>
        </w:tc>
        <w:tc>
          <w:tcPr>
            <w:tcW w:w="550"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文明</w:t>
            </w:r>
            <w:r/>
          </w:p>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作业</w:t>
            </w:r>
            <w:r/>
          </w:p>
        </w:tc>
        <w:tc>
          <w:tcPr>
            <w:tcW w:w="675" w:type="dxa"/>
            <w:vAlign w:val="center"/>
            <w:vMerge w:val="restart"/>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10</w:t>
            </w:r>
            <w:r/>
          </w:p>
        </w:tc>
        <w:tc>
          <w:tcPr>
            <w:tcW w:w="3350"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引导所属人员文明用语，注重服务态度和服务质量，打造企业品牌。</w:t>
            </w:r>
            <w:r/>
          </w:p>
        </w:tc>
        <w:tc>
          <w:tcPr>
            <w:tcW w:w="4233"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所属人员在工作中与居民或服务单位发生矛盾，出现吵架和打驾斗殴行为，有1例扣月度总考核分2分；情节恶劣的扣月度总考核分5分。</w:t>
            </w:r>
            <w:r/>
          </w:p>
        </w:tc>
        <w:tc>
          <w:tcPr>
            <w:tcW w:w="642"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373"/>
        </w:trPr>
        <w:tc>
          <w:tcPr>
            <w:tcW w:w="704"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425"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550" w:type="dxa"/>
            <w:vAlign w:val="center"/>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社会</w:t>
            </w:r>
            <w:r/>
          </w:p>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综合</w:t>
            </w:r>
            <w:r/>
          </w:p>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评定</w:t>
            </w:r>
            <w:r/>
          </w:p>
        </w:tc>
        <w:tc>
          <w:tcPr>
            <w:tcW w:w="675" w:type="dxa"/>
            <w:vAlign w:val="center"/>
            <w:vMerge w:val="continue"/>
            <w:textDirection w:val="lrTb"/>
            <w:noWrap w:val="false"/>
          </w:tcPr>
          <w:p>
            <w:pPr>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W w:w="3350"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根据服务质量承诺，不断提高环境卫生服务质量，获得各界认可。</w:t>
            </w:r>
            <w:r/>
          </w:p>
        </w:tc>
        <w:tc>
          <w:tcPr>
            <w:tcW w:w="4233"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因环境卫生工作不到位，受到新闻媒体报道，或群众来电、来信举报，经查属实，有1例扣月度总考核分1-5分。受到上级领导直接批评的扣月度总考核分2-5分。城管和社区不定期组织民意测评，满意率低于80﹪的扣月度总考核分1分，满意率低于70﹪的扣月度总考核分2分，满意率低于60﹪的扣月度总考核分5分。</w:t>
            </w:r>
            <w:r/>
          </w:p>
        </w:tc>
        <w:tc>
          <w:tcPr>
            <w:tcW w:w="642"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eastAsia="宋体" w:cs="宋体"/>
                <w:sz w:val="21"/>
                <w:szCs w:val="21"/>
              </w:rPr>
            </w:r>
            <w:r/>
          </w:p>
        </w:tc>
      </w:tr>
    </w:tbl>
    <w:p>
      <w:pPr>
        <w:ind w:firstLine="420"/>
        <w:spacing w:line="360" w:lineRule="auto"/>
        <w:rPr>
          <w:rFonts w:hint="eastAsia" w:ascii="宋体" w:hAnsi="宋体" w:eastAsia="宋体" w:cs="宋体"/>
          <w:szCs w:val="21"/>
          <w:lang w:val="en-US" w:eastAsia="zh-CN"/>
        </w:rPr>
      </w:pPr>
      <w:r>
        <w:rPr>
          <w:rFonts w:hint="eastAsia" w:ascii="宋体" w:hAnsi="宋体" w:eastAsia="宋体" w:cs="宋体"/>
        </w:rPr>
        <w:br w:type="page" w:clear="all"/>
      </w:r>
      <w:r>
        <w:rPr>
          <w:rFonts w:hint="eastAsia" w:ascii="宋体" w:hAnsi="宋体" w:eastAsia="宋体" w:cs="宋体"/>
          <w:sz w:val="24"/>
          <w:szCs w:val="24"/>
          <w:lang w:eastAsia="zh-CN"/>
        </w:rPr>
        <w:t xml:space="preserve">附件二：</w:t>
      </w:r>
      <w:r>
        <w:rPr>
          <w:rFonts w:hint="eastAsia" w:ascii="宋体" w:hAnsi="宋体" w:eastAsia="宋体" w:cs="宋体"/>
          <w:sz w:val="24"/>
          <w:szCs w:val="24"/>
          <w:lang w:val="en-US" w:eastAsia="zh-CN"/>
        </w:rPr>
        <w:t xml:space="preserve">界首镇环卫综合作业市场管理服务项目作业区域一览表</w:t>
      </w:r>
      <w:r/>
    </w:p>
    <w:tbl>
      <w:tblPr>
        <w:tblStyle w:val="819"/>
        <w:tblW w:w="104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2600"/>
        <w:gridCol w:w="3300"/>
        <w:gridCol w:w="1160"/>
        <w:gridCol w:w="1160"/>
        <w:gridCol w:w="1160"/>
        <w:gridCol w:w="1081"/>
      </w:tblGrid>
      <w:tr>
        <w:trPr>
          <w:jc w:val="center"/>
          <w:trHeight w:val="442"/>
        </w:trPr>
        <w:tc>
          <w:tcPr>
            <w:tcW w:w="2600" w:type="dxa"/>
            <w:vAlign w:val="center"/>
            <w:textDirection w:val="lrTb"/>
            <w:noWrap w:val="false"/>
          </w:tcPr>
          <w:p>
            <w:pPr>
              <w:ind w:firstLine="0"/>
              <w:jc w:val="center"/>
              <w:spacing w:line="240" w:lineRule="auto"/>
              <w:rPr>
                <w:rFonts w:hint="eastAsia" w:ascii="宋体" w:hAnsi="宋体" w:eastAsia="宋体" w:cs="宋体"/>
                <w:b/>
                <w:bCs/>
                <w:sz w:val="24"/>
                <w:szCs w:val="24"/>
              </w:rPr>
            </w:pPr>
            <w:r>
              <w:rPr>
                <w:rFonts w:hint="eastAsia" w:ascii="宋体" w:hAnsi="宋体" w:eastAsia="宋体" w:cs="宋体"/>
                <w:b/>
                <w:bCs/>
                <w:color w:val="000000"/>
                <w:sz w:val="24"/>
                <w:szCs w:val="24"/>
              </w:rPr>
              <w:t xml:space="preserve">路段</w:t>
            </w:r>
            <w:r/>
          </w:p>
        </w:tc>
        <w:tc>
          <w:tcPr>
            <w:tcW w:w="3300" w:type="dxa"/>
            <w:vAlign w:val="center"/>
            <w:textDirection w:val="lrTb"/>
            <w:noWrap w:val="false"/>
          </w:tcPr>
          <w:p>
            <w:pPr>
              <w:jc w:val="center"/>
              <w:spacing w:line="240" w:lineRule="auto"/>
              <w:rPr>
                <w:rFonts w:hint="eastAsia" w:ascii="宋体" w:hAnsi="宋体" w:eastAsia="宋体" w:cs="宋体"/>
                <w:b/>
                <w:bCs/>
                <w:sz w:val="24"/>
                <w:szCs w:val="24"/>
              </w:rPr>
            </w:pPr>
            <w:r>
              <w:rPr>
                <w:rFonts w:hint="eastAsia" w:ascii="宋体" w:hAnsi="宋体" w:eastAsia="宋体" w:cs="宋体"/>
                <w:b/>
                <w:bCs/>
                <w:color w:val="000000"/>
                <w:sz w:val="24"/>
                <w:szCs w:val="24"/>
              </w:rPr>
              <w:t xml:space="preserve">起止</w:t>
            </w:r>
            <w:r/>
          </w:p>
        </w:tc>
        <w:tc>
          <w:tcPr>
            <w:tcW w:w="1160" w:type="dxa"/>
            <w:vAlign w:val="center"/>
            <w:textDirection w:val="lrTb"/>
            <w:noWrap w:val="false"/>
          </w:tcPr>
          <w:p>
            <w:pPr>
              <w:ind w:left="80" w:firstLine="0"/>
              <w:jc w:val="center"/>
              <w:spacing w:line="240" w:lineRule="auto"/>
              <w:rPr>
                <w:rFonts w:hint="eastAsia" w:ascii="宋体" w:hAnsi="宋体" w:eastAsia="宋体" w:cs="宋体"/>
                <w:b/>
                <w:bCs/>
                <w:sz w:val="24"/>
                <w:szCs w:val="24"/>
              </w:rPr>
            </w:pPr>
            <w:r>
              <w:rPr>
                <w:rFonts w:hint="eastAsia" w:ascii="宋体" w:hAnsi="宋体" w:eastAsia="宋体" w:cs="宋体"/>
                <w:b/>
                <w:bCs/>
                <w:color w:val="000000"/>
                <w:sz w:val="24"/>
                <w:szCs w:val="24"/>
              </w:rPr>
              <w:t xml:space="preserve">长（米）</w:t>
            </w:r>
            <w:r/>
          </w:p>
        </w:tc>
        <w:tc>
          <w:tcPr>
            <w:tcW w:w="1160" w:type="dxa"/>
            <w:vAlign w:val="center"/>
            <w:textDirection w:val="lrTb"/>
            <w:noWrap w:val="false"/>
          </w:tcPr>
          <w:p>
            <w:pPr>
              <w:ind w:left="120" w:firstLine="0"/>
              <w:jc w:val="center"/>
              <w:spacing w:line="240" w:lineRule="auto"/>
              <w:rPr>
                <w:rFonts w:hint="eastAsia" w:ascii="宋体" w:hAnsi="宋体" w:eastAsia="宋体" w:cs="宋体"/>
                <w:b/>
                <w:bCs/>
                <w:sz w:val="24"/>
                <w:szCs w:val="24"/>
              </w:rPr>
            </w:pPr>
            <w:r>
              <w:rPr>
                <w:rFonts w:hint="eastAsia" w:ascii="宋体" w:hAnsi="宋体" w:eastAsia="宋体" w:cs="宋体"/>
                <w:b/>
                <w:bCs/>
                <w:color w:val="000000"/>
                <w:sz w:val="24"/>
                <w:szCs w:val="24"/>
              </w:rPr>
              <w:t xml:space="preserve">宽（米）</w:t>
            </w:r>
            <w:r/>
          </w:p>
        </w:tc>
        <w:tc>
          <w:tcPr>
            <w:tcW w:w="1160" w:type="dxa"/>
            <w:vAlign w:val="center"/>
            <w:textDirection w:val="lrTb"/>
            <w:noWrap w:val="false"/>
          </w:tcPr>
          <w:p>
            <w:pPr>
              <w:ind w:left="100" w:firstLine="0"/>
              <w:jc w:val="center"/>
              <w:spacing w:line="240" w:lineRule="auto"/>
              <w:rPr>
                <w:rFonts w:hint="eastAsia" w:ascii="宋体" w:hAnsi="宋体" w:eastAsia="宋体" w:cs="宋体"/>
                <w:b/>
                <w:bCs/>
                <w:sz w:val="24"/>
                <w:szCs w:val="24"/>
              </w:rPr>
            </w:pPr>
            <w:r>
              <w:rPr>
                <w:rFonts w:hint="eastAsia" w:ascii="宋体" w:hAnsi="宋体" w:eastAsia="宋体" w:cs="宋体"/>
                <w:b/>
                <w:bCs/>
                <w:color w:val="000000"/>
                <w:sz w:val="24"/>
                <w:szCs w:val="24"/>
              </w:rPr>
              <w:t xml:space="preserve">平方米</w:t>
            </w:r>
            <w:r/>
          </w:p>
        </w:tc>
        <w:tc>
          <w:tcPr>
            <w:tcW w:w="1081" w:type="dxa"/>
            <w:vAlign w:val="center"/>
            <w:textDirection w:val="lrTb"/>
            <w:noWrap w:val="false"/>
          </w:tcPr>
          <w:p>
            <w:pPr>
              <w:jc w:val="center"/>
              <w:spacing w:line="240" w:lineRule="auto"/>
              <w:rPr>
                <w:rFonts w:hint="eastAsia" w:ascii="宋体" w:hAnsi="宋体" w:eastAsia="宋体" w:cs="宋体"/>
                <w:b/>
                <w:bCs/>
                <w:sz w:val="24"/>
                <w:szCs w:val="24"/>
              </w:rPr>
            </w:pPr>
            <w:r>
              <w:rPr>
                <w:rFonts w:hint="eastAsia" w:ascii="宋体" w:hAnsi="宋体" w:eastAsia="宋体" w:cs="宋体"/>
                <w:b/>
                <w:bCs/>
                <w:color w:val="000000"/>
                <w:sz w:val="24"/>
                <w:szCs w:val="24"/>
              </w:rPr>
              <w:t xml:space="preserve">备注</w:t>
            </w:r>
            <w:r/>
          </w:p>
        </w:tc>
      </w:tr>
      <w:tr>
        <w:trPr>
          <w:jc w:val="center"/>
          <w:trHeight w:val="442"/>
        </w:trPr>
        <w:tc>
          <w:tcPr>
            <w:tcW w:w="2600" w:type="dxa"/>
            <w:vAlign w:val="center"/>
            <w:textDirection w:val="lrTb"/>
            <w:noWrap w:val="false"/>
          </w:tcPr>
          <w:p>
            <w:pPr>
              <w:ind w:left="86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红旗路</w:t>
            </w:r>
            <w:r/>
          </w:p>
        </w:tc>
        <w:tc>
          <w:tcPr>
            <w:tcW w:w="3300" w:type="dxa"/>
            <w:vAlign w:val="center"/>
            <w:textDirection w:val="lrTb"/>
            <w:noWrap w:val="false"/>
          </w:tcPr>
          <w:p>
            <w:pPr>
              <w:ind w:left="30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东至京杭路，西至盂陵路</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470</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8</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3760</w:t>
            </w:r>
            <w:r/>
          </w:p>
        </w:tc>
        <w:tc>
          <w:tcPr>
            <w:tcW w:w="1081" w:type="dxa"/>
            <w:vAlign w:val="center"/>
            <w:textDirection w:val="lrTb"/>
            <w:noWrap w:val="false"/>
          </w:tcPr>
          <w:p>
            <w:pPr>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ind w:left="76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居家东路</w:t>
            </w:r>
            <w:r/>
          </w:p>
        </w:tc>
        <w:tc>
          <w:tcPr>
            <w:tcW w:w="3300" w:type="dxa"/>
            <w:vAlign w:val="center"/>
            <w:textDirection w:val="lrTb"/>
            <w:noWrap w:val="false"/>
          </w:tcPr>
          <w:p>
            <w:pPr>
              <w:ind w:left="32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东至镇东路，西至居家桥</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300</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10</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3000</w:t>
            </w:r>
            <w:r/>
          </w:p>
        </w:tc>
        <w:tc>
          <w:tcPr>
            <w:tcW w:w="1081" w:type="dxa"/>
            <w:vAlign w:val="center"/>
            <w:textDirection w:val="lrTb"/>
            <w:noWrap w:val="false"/>
          </w:tcPr>
          <w:p>
            <w:pPr>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ind w:left="400" w:firstLine="0"/>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国庆路东段</w:t>
            </w:r>
            <w:r>
              <w:rPr>
                <w:rFonts w:hint="eastAsia" w:ascii="宋体" w:hAnsi="宋体" w:eastAsia="宋体" w:cs="宋体"/>
                <w:color w:val="000000"/>
                <w:sz w:val="24"/>
                <w:szCs w:val="24"/>
                <w:lang w:val="en-US" w:eastAsia="zh-CN"/>
              </w:rPr>
              <w:t xml:space="preserve">辅</w:t>
            </w:r>
            <w:r>
              <w:rPr>
                <w:rFonts w:hint="eastAsia" w:ascii="宋体" w:hAnsi="宋体" w:eastAsia="宋体" w:cs="宋体"/>
                <w:color w:val="000000"/>
                <w:sz w:val="24"/>
                <w:szCs w:val="24"/>
              </w:rPr>
              <w:t xml:space="preserve">路</w:t>
            </w:r>
            <w:r/>
          </w:p>
        </w:tc>
        <w:tc>
          <w:tcPr>
            <w:tcW w:w="3300" w:type="dxa"/>
            <w:vAlign w:val="center"/>
            <w:textDirection w:val="lrTb"/>
            <w:noWrap w:val="false"/>
          </w:tcPr>
          <w:p>
            <w:pPr>
              <w:ind w:left="10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东至牌楼，西至农广中心出口</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450</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10</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4500</w:t>
            </w:r>
            <w:r/>
          </w:p>
        </w:tc>
        <w:tc>
          <w:tcPr>
            <w:tcW w:w="1081" w:type="dxa"/>
            <w:vAlign w:val="center"/>
            <w:textDirection w:val="lrTb"/>
            <w:noWrap w:val="false"/>
          </w:tcPr>
          <w:p>
            <w:pPr>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ind w:left="88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板桥街</w:t>
            </w:r>
            <w:r/>
          </w:p>
        </w:tc>
        <w:tc>
          <w:tcPr>
            <w:shd w:val="clear" w:color="auto" w:fill="auto"/>
            <w:tcW w:w="3300" w:type="dxa"/>
            <w:vAlign w:val="center"/>
            <w:textDirection w:val="lrTb"/>
            <w:noWrap w:val="false"/>
          </w:tcPr>
          <w:p>
            <w:pPr>
              <w:jc w:val="center"/>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东至下河路，西至林家街</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100</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2</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200</w:t>
            </w:r>
            <w:r/>
          </w:p>
        </w:tc>
        <w:tc>
          <w:tcPr>
            <w:tcW w:w="1081" w:type="dxa"/>
            <w:vAlign w:val="center"/>
            <w:textDirection w:val="lrTb"/>
            <w:noWrap w:val="false"/>
          </w:tcPr>
          <w:p>
            <w:pPr>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ind w:left="88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井巷口</w:t>
            </w:r>
            <w:r/>
          </w:p>
        </w:tc>
        <w:tc>
          <w:tcPr>
            <w:shd w:val="clear" w:color="auto" w:fill="auto"/>
            <w:tcW w:w="3300" w:type="dxa"/>
            <w:vAlign w:val="center"/>
            <w:textDirection w:val="lrTb"/>
            <w:noWrap w:val="false"/>
          </w:tcPr>
          <w:p>
            <w:pPr>
              <w:jc w:val="center"/>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南至下河路，北至甓湖路</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100</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2</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200</w:t>
            </w:r>
            <w:r/>
          </w:p>
        </w:tc>
        <w:tc>
          <w:tcPr>
            <w:tcW w:w="1081" w:type="dxa"/>
            <w:vAlign w:val="center"/>
            <w:textDirection w:val="lrTb"/>
            <w:noWrap w:val="false"/>
          </w:tcPr>
          <w:p>
            <w:pPr>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ind w:left="880" w:firstLine="0"/>
              <w:jc w:val="both"/>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菜市巷</w:t>
            </w:r>
            <w:r/>
          </w:p>
        </w:tc>
        <w:tc>
          <w:tcPr>
            <w:shd w:val="clear" w:color="auto" w:fill="auto"/>
            <w:tcW w:w="3300" w:type="dxa"/>
            <w:vAlign w:val="center"/>
            <w:textDirection w:val="lrTb"/>
            <w:noWrap w:val="false"/>
          </w:tcPr>
          <w:p>
            <w:pPr>
              <w:jc w:val="center"/>
              <w:spacing w:after="0"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北大街至林家街</w:t>
            </w:r>
            <w:r/>
          </w:p>
        </w:tc>
        <w:tc>
          <w:tcPr>
            <w:tcW w:w="1160" w:type="dxa"/>
            <w:vAlign w:val="center"/>
            <w:textDirection w:val="lrTb"/>
            <w:noWrap w:val="false"/>
          </w:tcPr>
          <w:p>
            <w:pPr>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100</w:t>
            </w:r>
            <w:r/>
          </w:p>
        </w:tc>
        <w:tc>
          <w:tcPr>
            <w:tcW w:w="1160" w:type="dxa"/>
            <w:vAlign w:val="center"/>
            <w:textDirection w:val="lrTb"/>
            <w:noWrap w:val="false"/>
          </w:tcPr>
          <w:p>
            <w:pPr>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2</w:t>
            </w:r>
            <w:r/>
          </w:p>
        </w:tc>
        <w:tc>
          <w:tcPr>
            <w:tcW w:w="1160" w:type="dxa"/>
            <w:vAlign w:val="center"/>
            <w:textDirection w:val="lrTb"/>
            <w:noWrap w:val="false"/>
          </w:tcPr>
          <w:p>
            <w:pPr>
              <w:jc w:val="center"/>
              <w:spacing w:line="240" w:lineRule="auto"/>
              <w:rPr>
                <w:rFonts w:hint="eastAsia" w:ascii="宋体" w:hAnsi="宋体" w:eastAsia="宋体" w:cs="宋体"/>
                <w:sz w:val="24"/>
                <w:szCs w:val="24"/>
                <w:lang w:val="en-US" w:eastAsia="zh-CN" w:bidi="ar-SA"/>
              </w:rPr>
            </w:pPr>
            <w:r>
              <w:rPr>
                <w:rFonts w:hint="eastAsia" w:ascii="宋体" w:hAnsi="宋体" w:eastAsia="宋体" w:cs="宋体"/>
                <w:color w:val="000000"/>
                <w:sz w:val="24"/>
                <w:szCs w:val="24"/>
              </w:rPr>
              <w:t xml:space="preserve">200</w:t>
            </w:r>
            <w:r/>
          </w:p>
        </w:tc>
        <w:tc>
          <w:tcPr>
            <w:tcW w:w="1081" w:type="dxa"/>
            <w:vAlign w:val="center"/>
            <w:textDirection w:val="lrTb"/>
            <w:noWrap w:val="false"/>
          </w:tcPr>
          <w:p>
            <w:pPr>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ind w:left="860" w:firstLine="0"/>
              <w:jc w:val="both"/>
              <w:spacing w:line="240" w:lineRule="auto"/>
              <w:rPr>
                <w:rFonts w:hint="eastAsia" w:ascii="宋体" w:hAnsi="宋体" w:eastAsia="宋体" w:cs="宋体"/>
                <w:sz w:val="24"/>
                <w:szCs w:val="24"/>
                <w:lang w:eastAsia="zh-CN"/>
              </w:rPr>
            </w:pPr>
            <w:r>
              <w:rPr>
                <w:rFonts w:hint="eastAsia" w:ascii="宋体" w:hAnsi="宋体" w:eastAsia="宋体" w:cs="宋体"/>
                <w:color w:val="000000"/>
                <w:sz w:val="24"/>
                <w:szCs w:val="24"/>
              </w:rPr>
              <w:t xml:space="preserve">运堤路</w:t>
            </w:r>
            <w:r>
              <w:rPr>
                <w:rFonts w:hint="eastAsia" w:ascii="宋体" w:hAnsi="宋体" w:eastAsia="宋体" w:cs="宋体"/>
                <w:color w:val="000000"/>
                <w:sz w:val="24"/>
                <w:szCs w:val="24"/>
                <w:lang w:eastAsia="zh-CN"/>
              </w:rPr>
              <w:t xml:space="preserve">两侧</w:t>
            </w:r>
            <w:r/>
          </w:p>
        </w:tc>
        <w:tc>
          <w:tcPr>
            <w:tcW w:w="3300" w:type="dxa"/>
            <w:vAlign w:val="center"/>
            <w:textDirection w:val="lrTb"/>
            <w:noWrap w:val="false"/>
          </w:tcPr>
          <w:p>
            <w:pPr>
              <w:ind w:left="18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南至小闸塘，北至生资路口</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00</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7</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70</w:t>
            </w:r>
            <w:r>
              <w:rPr>
                <w:rFonts w:hint="eastAsia" w:ascii="宋体" w:hAnsi="宋体" w:eastAsia="宋体" w:cs="宋体"/>
                <w:color w:val="000000"/>
                <w:sz w:val="24"/>
                <w:szCs w:val="24"/>
              </w:rPr>
              <w:t xml:space="preserve">00</w:t>
            </w:r>
            <w:r/>
          </w:p>
        </w:tc>
        <w:tc>
          <w:tcPr>
            <w:tcW w:w="1081" w:type="dxa"/>
            <w:vAlign w:val="center"/>
            <w:textDirection w:val="lrTb"/>
            <w:noWrap w:val="false"/>
          </w:tcPr>
          <w:p>
            <w:pPr>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ind w:left="76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南北大街</w:t>
            </w:r>
            <w:r/>
          </w:p>
        </w:tc>
        <w:tc>
          <w:tcPr>
            <w:tcW w:w="3300" w:type="dxa"/>
            <w:vAlign w:val="center"/>
            <w:textDirection w:val="lrTb"/>
            <w:noWrap w:val="false"/>
          </w:tcPr>
          <w:p>
            <w:pPr>
              <w:ind w:left="32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南至老粮站，北至建设路</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408</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1180</w:t>
            </w:r>
            <w:r/>
          </w:p>
        </w:tc>
        <w:tc>
          <w:tcPr>
            <w:tcW w:w="1081" w:type="dxa"/>
            <w:vAlign w:val="center"/>
            <w:textDirection w:val="lrTb"/>
            <w:noWrap w:val="false"/>
          </w:tcPr>
          <w:p>
            <w:pPr>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ind w:left="66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林家街南巷</w:t>
            </w:r>
            <w:r/>
          </w:p>
        </w:tc>
        <w:tc>
          <w:tcPr>
            <w:tcW w:w="3300" w:type="dxa"/>
            <w:vAlign w:val="center"/>
            <w:textDirection w:val="lrTb"/>
            <w:noWrap w:val="false"/>
          </w:tcPr>
          <w:p>
            <w:pPr>
              <w:ind w:left="30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南至杨家街，北至甓湖路</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118</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2.5</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295</w:t>
            </w:r>
            <w:r/>
          </w:p>
        </w:tc>
        <w:tc>
          <w:tcPr>
            <w:tcW w:w="1081" w:type="dxa"/>
            <w:vAlign w:val="center"/>
            <w:textDirection w:val="lrTb"/>
            <w:noWrap w:val="false"/>
          </w:tcPr>
          <w:p>
            <w:pPr>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ind w:left="68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林家街北巷</w:t>
            </w:r>
            <w:r/>
          </w:p>
        </w:tc>
        <w:tc>
          <w:tcPr>
            <w:tcW w:w="3300" w:type="dxa"/>
            <w:vAlign w:val="center"/>
            <w:textDirection w:val="lrTb"/>
            <w:noWrap w:val="false"/>
          </w:tcPr>
          <w:p>
            <w:pPr>
              <w:ind w:left="32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南至甓湖路，北至太平街</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80</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2</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160</w:t>
            </w:r>
            <w:r/>
          </w:p>
        </w:tc>
        <w:tc>
          <w:tcPr>
            <w:tcW w:w="1081" w:type="dxa"/>
            <w:vAlign w:val="center"/>
            <w:textDirection w:val="lrTb"/>
            <w:noWrap w:val="false"/>
          </w:tcPr>
          <w:p>
            <w:pPr>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ind w:left="90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文化巷</w:t>
            </w:r>
            <w:r/>
          </w:p>
        </w:tc>
        <w:tc>
          <w:tcPr>
            <w:tcW w:w="3300" w:type="dxa"/>
            <w:vAlign w:val="center"/>
            <w:textDirection w:val="lrTb"/>
            <w:noWrap w:val="false"/>
          </w:tcPr>
          <w:p>
            <w:pPr>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80</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1.5</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120</w:t>
            </w:r>
            <w:r/>
          </w:p>
        </w:tc>
        <w:tc>
          <w:tcPr>
            <w:tcW w:w="1081" w:type="dxa"/>
            <w:vAlign w:val="center"/>
            <w:textDirection w:val="lrTb"/>
            <w:noWrap w:val="false"/>
          </w:tcPr>
          <w:p>
            <w:pPr>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ind w:left="68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竹厂街北巷</w:t>
            </w:r>
            <w:r/>
          </w:p>
        </w:tc>
        <w:tc>
          <w:tcPr>
            <w:tcW w:w="3300" w:type="dxa"/>
            <w:vAlign w:val="center"/>
            <w:textDirection w:val="lrTb"/>
            <w:noWrap w:val="false"/>
          </w:tcPr>
          <w:p>
            <w:pPr>
              <w:ind w:left="30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南至竹厂街，北至建设路</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64.5</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1.8</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116</w:t>
            </w:r>
            <w:r/>
          </w:p>
        </w:tc>
        <w:tc>
          <w:tcPr>
            <w:tcW w:w="1081" w:type="dxa"/>
            <w:vAlign w:val="center"/>
            <w:textDirection w:val="lrTb"/>
            <w:noWrap w:val="false"/>
          </w:tcPr>
          <w:p>
            <w:pPr>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ind w:firstLine="0"/>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里仁巷</w:t>
            </w:r>
            <w:r/>
          </w:p>
        </w:tc>
        <w:tc>
          <w:tcPr>
            <w:tcW w:w="330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南至太平街，北至竹厂街</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68</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1.5</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102</w:t>
            </w:r>
            <w:r/>
          </w:p>
        </w:tc>
        <w:tc>
          <w:tcPr>
            <w:tcW w:w="1081" w:type="dxa"/>
            <w:vAlign w:val="center"/>
            <w:textDirection w:val="lrTb"/>
            <w:noWrap w:val="false"/>
          </w:tcPr>
          <w:p>
            <w:pPr>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ind w:left="44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后园街至茶干厂</w:t>
            </w:r>
            <w:r/>
          </w:p>
        </w:tc>
        <w:tc>
          <w:tcPr>
            <w:tcW w:w="3300" w:type="dxa"/>
            <w:vAlign w:val="center"/>
            <w:textDirection w:val="lrTb"/>
            <w:noWrap w:val="false"/>
          </w:tcPr>
          <w:p>
            <w:pPr>
              <w:ind w:left="32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南至建设路，北至茶干厂</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240</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4</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960</w:t>
            </w:r>
            <w:r/>
          </w:p>
        </w:tc>
        <w:tc>
          <w:tcPr>
            <w:tcW w:w="1081" w:type="dxa"/>
            <w:vAlign w:val="center"/>
            <w:textDirection w:val="lrTb"/>
            <w:noWrap w:val="false"/>
          </w:tcPr>
          <w:p>
            <w:pPr>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ind w:firstLine="0"/>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下河路</w:t>
            </w:r>
            <w:r/>
          </w:p>
        </w:tc>
        <w:tc>
          <w:tcPr>
            <w:tcW w:w="3300" w:type="dxa"/>
            <w:vAlign w:val="center"/>
            <w:textDirection w:val="lrTb"/>
            <w:noWrap w:val="false"/>
          </w:tcPr>
          <w:p>
            <w:pPr>
              <w:ind w:left="22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南至界中院墙，北至建设路</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443</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9</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3987</w:t>
            </w:r>
            <w:r/>
          </w:p>
        </w:tc>
        <w:tc>
          <w:tcPr>
            <w:tcW w:w="1081" w:type="dxa"/>
            <w:vAlign w:val="center"/>
            <w:textDirection w:val="lrTb"/>
            <w:noWrap w:val="false"/>
          </w:tcPr>
          <w:p>
            <w:pPr>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ind w:left="92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健康巷</w:t>
            </w:r>
            <w:r/>
          </w:p>
        </w:tc>
        <w:tc>
          <w:tcPr>
            <w:tcW w:w="3300" w:type="dxa"/>
            <w:vAlign w:val="center"/>
            <w:textDirection w:val="lrTb"/>
            <w:noWrap w:val="false"/>
          </w:tcPr>
          <w:p>
            <w:pPr>
              <w:ind w:left="22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南至界中院墙，北至甓湖路</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160</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2.5</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400</w:t>
            </w:r>
            <w:r/>
          </w:p>
        </w:tc>
        <w:tc>
          <w:tcPr>
            <w:tcW w:w="1081" w:type="dxa"/>
            <w:vAlign w:val="center"/>
            <w:textDirection w:val="lrTb"/>
            <w:noWrap w:val="false"/>
          </w:tcPr>
          <w:p>
            <w:pPr>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ind w:left="70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界东河西巷</w:t>
            </w:r>
            <w:r/>
          </w:p>
        </w:tc>
        <w:tc>
          <w:tcPr>
            <w:tcW w:w="3300" w:type="dxa"/>
            <w:vAlign w:val="center"/>
            <w:textDirection w:val="lrTb"/>
            <w:noWrap w:val="false"/>
          </w:tcPr>
          <w:p>
            <w:pPr>
              <w:ind w:left="20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南至界中院墙，北至甓湖路</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152</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2</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304</w:t>
            </w:r>
            <w:r/>
          </w:p>
        </w:tc>
        <w:tc>
          <w:tcPr>
            <w:tcW w:w="1081" w:type="dxa"/>
            <w:vAlign w:val="center"/>
            <w:textDirection w:val="lrTb"/>
            <w:noWrap w:val="false"/>
          </w:tcPr>
          <w:p>
            <w:pPr>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ind w:left="90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商品街</w:t>
            </w:r>
            <w:r/>
          </w:p>
        </w:tc>
        <w:tc>
          <w:tcPr>
            <w:tcW w:w="3300" w:type="dxa"/>
            <w:vAlign w:val="center"/>
            <w:textDirection w:val="lrTb"/>
            <w:noWrap w:val="false"/>
          </w:tcPr>
          <w:p>
            <w:pPr>
              <w:ind w:left="10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南至界中院墙，北至镇北浴室</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402</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2312</w:t>
            </w:r>
            <w:r/>
          </w:p>
        </w:tc>
        <w:tc>
          <w:tcPr>
            <w:tcW w:w="1081" w:type="dxa"/>
            <w:vAlign w:val="center"/>
            <w:textDirection w:val="lrTb"/>
            <w:noWrap w:val="false"/>
          </w:tcPr>
          <w:p>
            <w:pPr>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ind w:firstLine="0"/>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人民路</w:t>
            </w:r>
            <w:r/>
          </w:p>
        </w:tc>
        <w:tc>
          <w:tcPr>
            <w:tcW w:w="3300" w:type="dxa"/>
            <w:vAlign w:val="center"/>
            <w:textDirection w:val="lrTb"/>
            <w:noWrap w:val="false"/>
          </w:tcPr>
          <w:p>
            <w:pPr>
              <w:ind w:left="32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南至二里支，北至甓湖路</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930</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7696</w:t>
            </w:r>
            <w:r/>
          </w:p>
        </w:tc>
        <w:tc>
          <w:tcPr>
            <w:tcW w:w="1081" w:type="dxa"/>
            <w:vAlign w:val="center"/>
            <w:textDirection w:val="lrTb"/>
            <w:noWrap w:val="false"/>
          </w:tcPr>
          <w:p>
            <w:pPr>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ind w:left="82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人民北路</w:t>
            </w:r>
            <w:r/>
          </w:p>
        </w:tc>
        <w:tc>
          <w:tcPr>
            <w:tcW w:w="3300" w:type="dxa"/>
            <w:vAlign w:val="center"/>
            <w:textDirection w:val="lrTb"/>
            <w:noWrap w:val="false"/>
          </w:tcPr>
          <w:p>
            <w:pPr>
              <w:ind w:left="18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南至甓湖路，北至护国寺街</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107</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5</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535</w:t>
            </w:r>
            <w:r/>
          </w:p>
        </w:tc>
        <w:tc>
          <w:tcPr>
            <w:tcW w:w="1081" w:type="dxa"/>
            <w:vAlign w:val="center"/>
            <w:textDirection w:val="lrTb"/>
            <w:noWrap w:val="false"/>
          </w:tcPr>
          <w:p>
            <w:pPr>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ind w:firstLine="0"/>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兴驿巷</w:t>
            </w:r>
            <w:r/>
          </w:p>
        </w:tc>
        <w:tc>
          <w:tcPr>
            <w:tcW w:w="3300" w:type="dxa"/>
            <w:vAlign w:val="center"/>
            <w:textDirection w:val="lrTb"/>
            <w:noWrap w:val="false"/>
          </w:tcPr>
          <w:p>
            <w:pPr>
              <w:ind w:left="20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南至甓湖路，北至黎广宏户</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180</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4</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720</w:t>
            </w:r>
            <w:r/>
          </w:p>
        </w:tc>
        <w:tc>
          <w:tcPr>
            <w:tcW w:w="1081" w:type="dxa"/>
            <w:vAlign w:val="center"/>
            <w:textDirection w:val="lrTb"/>
            <w:noWrap w:val="false"/>
          </w:tcPr>
          <w:p>
            <w:pPr>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ind w:left="90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安乐巷</w:t>
            </w:r>
            <w:r/>
          </w:p>
        </w:tc>
        <w:tc>
          <w:tcPr>
            <w:tcW w:w="3300" w:type="dxa"/>
            <w:vAlign w:val="center"/>
            <w:textDirection w:val="lrTb"/>
            <w:noWrap w:val="false"/>
          </w:tcPr>
          <w:p>
            <w:pPr>
              <w:ind w:left="30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南至凤凰河，北至甓湖路</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340</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4</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1360</w:t>
            </w:r>
            <w:r/>
          </w:p>
        </w:tc>
        <w:tc>
          <w:tcPr>
            <w:tcW w:w="1081" w:type="dxa"/>
            <w:vAlign w:val="center"/>
            <w:textDirection w:val="lrTb"/>
            <w:noWrap w:val="false"/>
          </w:tcPr>
          <w:p>
            <w:pPr>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ind w:left="320" w:firstLine="0"/>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丹凤苑西边一条路</w:t>
            </w:r>
            <w:r/>
          </w:p>
        </w:tc>
        <w:tc>
          <w:tcPr>
            <w:tcW w:w="3300" w:type="dxa"/>
            <w:vAlign w:val="center"/>
            <w:textDirection w:val="lrTb"/>
            <w:noWrap w:val="false"/>
          </w:tcPr>
          <w:p>
            <w:pPr>
              <w:ind w:left="30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南至创业路，北至凤凰河</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210</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3</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630</w:t>
            </w:r>
            <w:r/>
          </w:p>
        </w:tc>
        <w:tc>
          <w:tcPr>
            <w:tcW w:w="1081" w:type="dxa"/>
            <w:vAlign w:val="center"/>
            <w:textDirection w:val="lrTb"/>
            <w:noWrap w:val="false"/>
          </w:tcPr>
          <w:p>
            <w:pPr>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ind w:left="90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建设路</w:t>
            </w:r>
            <w:r/>
          </w:p>
        </w:tc>
        <w:tc>
          <w:tcPr>
            <w:tcW w:w="3300" w:type="dxa"/>
            <w:vAlign w:val="center"/>
            <w:textDirection w:val="lrTb"/>
            <w:noWrap w:val="false"/>
          </w:tcPr>
          <w:p>
            <w:pPr>
              <w:ind w:left="20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东至镇北浴室，西至运堤路</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400</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8</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3200</w:t>
            </w:r>
            <w:r/>
          </w:p>
        </w:tc>
        <w:tc>
          <w:tcPr>
            <w:tcW w:w="1081" w:type="dxa"/>
            <w:vAlign w:val="center"/>
            <w:textDirection w:val="lrTb"/>
            <w:noWrap w:val="false"/>
          </w:tcPr>
          <w:p>
            <w:pPr>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ind w:left="90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竹厂街</w:t>
            </w:r>
            <w:r/>
          </w:p>
        </w:tc>
        <w:tc>
          <w:tcPr>
            <w:tcW w:w="330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东至里仁巷，西至北大街</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130</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2.5</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325</w:t>
            </w:r>
            <w:r/>
          </w:p>
        </w:tc>
        <w:tc>
          <w:tcPr>
            <w:tcW w:w="1081" w:type="dxa"/>
            <w:vAlign w:val="center"/>
            <w:textDirection w:val="lrTb"/>
            <w:noWrap w:val="false"/>
          </w:tcPr>
          <w:p>
            <w:pPr>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ind w:left="90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太平街</w:t>
            </w:r>
            <w:r/>
          </w:p>
        </w:tc>
        <w:tc>
          <w:tcPr>
            <w:tcW w:w="3300" w:type="dxa"/>
            <w:vAlign w:val="center"/>
            <w:textDirection w:val="lrTb"/>
            <w:noWrap w:val="false"/>
          </w:tcPr>
          <w:p>
            <w:pPr>
              <w:ind w:left="32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东至护国寺，西至北大街</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290</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995</w:t>
            </w:r>
            <w:r/>
          </w:p>
        </w:tc>
        <w:tc>
          <w:tcPr>
            <w:tcW w:w="1081" w:type="dxa"/>
            <w:vAlign w:val="center"/>
            <w:textDirection w:val="lrTb"/>
            <w:noWrap w:val="false"/>
          </w:tcPr>
          <w:p>
            <w:pPr>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ind w:left="86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甓湖路</w:t>
            </w:r>
            <w:r/>
          </w:p>
        </w:tc>
        <w:tc>
          <w:tcPr>
            <w:tcW w:w="3300" w:type="dxa"/>
            <w:vAlign w:val="center"/>
            <w:textDirection w:val="lrTb"/>
            <w:noWrap w:val="false"/>
          </w:tcPr>
          <w:p>
            <w:pPr>
              <w:ind w:left="32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东至盂陵路，西至运堤路</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600</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18</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10800</w:t>
            </w:r>
            <w:r/>
          </w:p>
        </w:tc>
        <w:tc>
          <w:tcPr>
            <w:tcW w:w="1081" w:type="dxa"/>
            <w:vAlign w:val="center"/>
            <w:textDirection w:val="lrTb"/>
            <w:noWrap w:val="false"/>
          </w:tcPr>
          <w:p>
            <w:pPr>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jc w:val="both"/>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镇区</w:t>
            </w:r>
            <w:r>
              <w:rPr>
                <w:rFonts w:hint="eastAsia" w:ascii="宋体" w:hAnsi="宋体" w:eastAsia="宋体" w:cs="宋体"/>
                <w:color w:val="000000"/>
                <w:sz w:val="24"/>
                <w:szCs w:val="24"/>
                <w:lang w:val="en-US" w:eastAsia="zh-CN"/>
              </w:rPr>
              <w:t xml:space="preserve">13座公厕、牛皮癣</w:t>
            </w:r>
            <w:r/>
          </w:p>
        </w:tc>
        <w:tc>
          <w:tcPr>
            <w:tcW w:w="3300" w:type="dxa"/>
            <w:vAlign w:val="center"/>
            <w:textDirection w:val="lrTb"/>
            <w:noWrap w:val="false"/>
          </w:tcPr>
          <w:p>
            <w:pPr>
              <w:ind w:left="320" w:firstLine="0"/>
              <w:jc w:val="both"/>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81" w:type="dxa"/>
            <w:vAlign w:val="center"/>
            <w:textDirection w:val="lrTb"/>
            <w:noWrap w:val="false"/>
          </w:tcPr>
          <w:p>
            <w:pPr>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ind w:left="88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杨家街</w:t>
            </w:r>
            <w:r/>
          </w:p>
        </w:tc>
        <w:tc>
          <w:tcPr>
            <w:tcW w:w="3300" w:type="dxa"/>
            <w:vAlign w:val="center"/>
            <w:textDirection w:val="lrTb"/>
            <w:noWrap w:val="false"/>
          </w:tcPr>
          <w:p>
            <w:pPr>
              <w:ind w:left="300" w:firstLine="0"/>
              <w:jc w:val="both"/>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东至下河路，西至南大街</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198</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rPr>
              <w:t xml:space="preserve">594</w:t>
            </w:r>
            <w:r/>
          </w:p>
        </w:tc>
        <w:tc>
          <w:tcPr>
            <w:tcW w:w="1081" w:type="dxa"/>
            <w:vAlign w:val="center"/>
            <w:textDirection w:val="lrTb"/>
            <w:noWrap w:val="false"/>
          </w:tcPr>
          <w:p>
            <w:pPr>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ind w:left="880" w:firstLine="0"/>
              <w:jc w:val="both"/>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300" w:type="dxa"/>
            <w:vAlign w:val="center"/>
            <w:textDirection w:val="lrTb"/>
            <w:noWrap w:val="false"/>
          </w:tcPr>
          <w:p>
            <w:pPr>
              <w:ind w:left="300" w:firstLine="0"/>
              <w:jc w:val="both"/>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81" w:type="dxa"/>
            <w:vAlign w:val="center"/>
            <w:textDirection w:val="lrTb"/>
            <w:noWrap w:val="false"/>
          </w:tcPr>
          <w:p>
            <w:pPr>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永兴寺庙路</w:t>
            </w:r>
            <w:r/>
          </w:p>
        </w:tc>
        <w:tc>
          <w:tcPr>
            <w:tcW w:w="3300"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东至界中西门、西至运堤路</w:t>
            </w:r>
            <w:r/>
          </w:p>
        </w:tc>
        <w:tc>
          <w:tcPr>
            <w:tcW w:w="1160" w:type="dxa"/>
            <w:vAlign w:val="center"/>
            <w:textDirection w:val="lrTb"/>
            <w:noWrap w:val="false"/>
          </w:tcPr>
          <w:p>
            <w:pPr>
              <w:ind w:left="360" w:firstLine="0"/>
              <w:jc w:val="both"/>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155</w:t>
            </w:r>
            <w:r/>
          </w:p>
        </w:tc>
        <w:tc>
          <w:tcPr>
            <w:tcW w:w="1160"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7</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1085</w:t>
            </w:r>
            <w:r/>
          </w:p>
        </w:tc>
        <w:tc>
          <w:tcPr>
            <w:tcW w:w="1081" w:type="dxa"/>
            <w:vAlign w:val="center"/>
            <w:textDirection w:val="lrTb"/>
            <w:noWrap w:val="false"/>
          </w:tcPr>
          <w:p>
            <w:pPr>
              <w:ind w:left="68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界东河水泥河南堤</w:t>
            </w:r>
            <w:r/>
          </w:p>
        </w:tc>
        <w:tc>
          <w:tcPr>
            <w:tcW w:w="33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东至盂陵路，西至界东河路</w:t>
            </w:r>
            <w:r/>
          </w:p>
        </w:tc>
        <w:tc>
          <w:tcPr>
            <w:tcW w:w="1160" w:type="dxa"/>
            <w:vAlign w:val="center"/>
            <w:textDirection w:val="lrTb"/>
            <w:noWrap w:val="false"/>
          </w:tcPr>
          <w:p>
            <w:pPr>
              <w:ind w:left="360" w:firstLine="0"/>
              <w:jc w:val="both"/>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215</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2</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430</w:t>
            </w:r>
            <w:r/>
          </w:p>
        </w:tc>
        <w:tc>
          <w:tcPr>
            <w:tcW w:w="1081" w:type="dxa"/>
            <w:vAlign w:val="center"/>
            <w:textDirection w:val="lrTb"/>
            <w:noWrap w:val="false"/>
          </w:tcPr>
          <w:p>
            <w:pPr>
              <w:ind w:left="68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界东河水泥河北堤</w:t>
            </w:r>
            <w:r/>
          </w:p>
        </w:tc>
        <w:tc>
          <w:tcPr>
            <w:tcW w:w="33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东至盂陵路，西至界东河路</w:t>
            </w:r>
            <w:r/>
          </w:p>
        </w:tc>
        <w:tc>
          <w:tcPr>
            <w:tcW w:w="1160" w:type="dxa"/>
            <w:vAlign w:val="center"/>
            <w:textDirection w:val="lrTb"/>
            <w:noWrap w:val="false"/>
          </w:tcPr>
          <w:p>
            <w:pPr>
              <w:ind w:left="360" w:firstLine="0"/>
              <w:jc w:val="both"/>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200</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2</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400</w:t>
            </w:r>
            <w:r/>
          </w:p>
        </w:tc>
        <w:tc>
          <w:tcPr>
            <w:tcW w:w="1081" w:type="dxa"/>
            <w:vAlign w:val="center"/>
            <w:textDirection w:val="lrTb"/>
            <w:noWrap w:val="false"/>
          </w:tcPr>
          <w:p>
            <w:pPr>
              <w:ind w:left="68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护国寺街</w:t>
            </w:r>
            <w:r/>
          </w:p>
        </w:tc>
        <w:tc>
          <w:tcPr>
            <w:tcW w:w="33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东至盂陵路，西至界东河路</w:t>
            </w:r>
            <w:r/>
          </w:p>
        </w:tc>
        <w:tc>
          <w:tcPr>
            <w:tcW w:w="1160" w:type="dxa"/>
            <w:vAlign w:val="center"/>
            <w:textDirection w:val="lrTb"/>
            <w:noWrap w:val="false"/>
          </w:tcPr>
          <w:p>
            <w:pPr>
              <w:ind w:left="360" w:firstLine="0"/>
              <w:jc w:val="both"/>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225</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4</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900</w:t>
            </w:r>
            <w:r/>
          </w:p>
        </w:tc>
        <w:tc>
          <w:tcPr>
            <w:tcW w:w="1081" w:type="dxa"/>
            <w:vAlign w:val="center"/>
            <w:textDirection w:val="lrTb"/>
            <w:noWrap w:val="false"/>
          </w:tcPr>
          <w:p>
            <w:pPr>
              <w:ind w:left="68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茆家巷</w:t>
            </w:r>
            <w:r/>
          </w:p>
        </w:tc>
        <w:tc>
          <w:tcPr>
            <w:tcW w:w="33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东至界东河路，西至下河路</w:t>
            </w:r>
            <w:r/>
          </w:p>
        </w:tc>
        <w:tc>
          <w:tcPr>
            <w:tcW w:w="1160" w:type="dxa"/>
            <w:vAlign w:val="center"/>
            <w:textDirection w:val="lrTb"/>
            <w:noWrap w:val="false"/>
          </w:tcPr>
          <w:p>
            <w:pPr>
              <w:ind w:left="360" w:firstLine="0"/>
              <w:jc w:val="both"/>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130</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3</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390</w:t>
            </w:r>
            <w:r/>
          </w:p>
        </w:tc>
        <w:tc>
          <w:tcPr>
            <w:tcW w:w="1081" w:type="dxa"/>
            <w:vAlign w:val="center"/>
            <w:textDirection w:val="lrTb"/>
            <w:noWrap w:val="false"/>
          </w:tcPr>
          <w:p>
            <w:pPr>
              <w:ind w:left="68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税务局南巷</w:t>
            </w:r>
            <w:r/>
          </w:p>
        </w:tc>
        <w:tc>
          <w:tcPr>
            <w:tcW w:w="33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SA"/>
              </w:rPr>
              <w:t xml:space="preserve">东至安乐巷，西至人民路</w:t>
            </w:r>
            <w:r/>
          </w:p>
        </w:tc>
        <w:tc>
          <w:tcPr>
            <w:tcW w:w="1160" w:type="dxa"/>
            <w:vAlign w:val="center"/>
            <w:textDirection w:val="lrTb"/>
            <w:noWrap w:val="false"/>
          </w:tcPr>
          <w:p>
            <w:pPr>
              <w:ind w:left="360" w:firstLine="0"/>
              <w:jc w:val="both"/>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50</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2.5</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125</w:t>
            </w:r>
            <w:r/>
          </w:p>
        </w:tc>
        <w:tc>
          <w:tcPr>
            <w:tcW w:w="1081" w:type="dxa"/>
            <w:vAlign w:val="center"/>
            <w:textDirection w:val="lrTb"/>
            <w:noWrap w:val="false"/>
          </w:tcPr>
          <w:p>
            <w:pPr>
              <w:ind w:left="68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三元街</w:t>
            </w:r>
            <w:r/>
          </w:p>
        </w:tc>
        <w:tc>
          <w:tcPr>
            <w:tcW w:w="33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东至富民路，西至下河路</w:t>
            </w:r>
            <w:r/>
          </w:p>
        </w:tc>
        <w:tc>
          <w:tcPr>
            <w:tcW w:w="1160" w:type="dxa"/>
            <w:vAlign w:val="center"/>
            <w:textDirection w:val="lrTb"/>
            <w:noWrap w:val="false"/>
          </w:tcPr>
          <w:p>
            <w:pPr>
              <w:ind w:left="360" w:firstLine="0"/>
              <w:jc w:val="both"/>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580</w:t>
            </w:r>
            <w:r/>
          </w:p>
        </w:tc>
        <w:tc>
          <w:tcPr>
            <w:tcW w:w="1160" w:type="dxa"/>
            <w:vAlign w:val="center"/>
            <w:textDirection w:val="lrTb"/>
            <w:noWrap w:val="false"/>
          </w:tcPr>
          <w:p>
            <w:pPr>
              <w:ind w:left="36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3950</w:t>
            </w:r>
            <w:r/>
          </w:p>
        </w:tc>
        <w:tc>
          <w:tcPr>
            <w:tcW w:w="1081" w:type="dxa"/>
            <w:vAlign w:val="center"/>
            <w:textDirection w:val="lrTb"/>
            <w:noWrap w:val="false"/>
          </w:tcPr>
          <w:p>
            <w:pPr>
              <w:ind w:left="68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泰和</w:t>
            </w:r>
            <w:r>
              <w:rPr>
                <w:rFonts w:hint="eastAsia" w:ascii="宋体" w:hAnsi="宋体" w:eastAsia="宋体" w:cs="宋体"/>
                <w:color w:val="000000"/>
                <w:sz w:val="24"/>
                <w:szCs w:val="24"/>
                <w:lang w:val="en-US" w:eastAsia="zh-CN"/>
              </w:rPr>
              <w:t xml:space="preserve">巷</w:t>
            </w:r>
            <w:r/>
          </w:p>
        </w:tc>
        <w:tc>
          <w:tcPr>
            <w:tcW w:w="33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东至盂陵路，西至人民路</w:t>
            </w:r>
            <w:r/>
          </w:p>
        </w:tc>
        <w:tc>
          <w:tcPr>
            <w:tcW w:w="1160" w:type="dxa"/>
            <w:vAlign w:val="center"/>
            <w:textDirection w:val="lrTb"/>
            <w:noWrap w:val="false"/>
          </w:tcPr>
          <w:p>
            <w:pPr>
              <w:ind w:left="360" w:firstLine="0"/>
              <w:jc w:val="both"/>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200</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3.5</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700</w:t>
            </w:r>
            <w:r/>
          </w:p>
        </w:tc>
        <w:tc>
          <w:tcPr>
            <w:tcW w:w="1081" w:type="dxa"/>
            <w:vAlign w:val="center"/>
            <w:textDirection w:val="lrTb"/>
            <w:noWrap w:val="false"/>
          </w:tcPr>
          <w:p>
            <w:pPr>
              <w:ind w:left="68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凤凰河北堤</w:t>
            </w:r>
            <w:r/>
          </w:p>
        </w:tc>
        <w:tc>
          <w:tcPr>
            <w:tcW w:w="33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东至富民路，西至下河路</w:t>
            </w:r>
            <w:r/>
          </w:p>
        </w:tc>
        <w:tc>
          <w:tcPr>
            <w:tcW w:w="1160" w:type="dxa"/>
            <w:vAlign w:val="center"/>
            <w:textDirection w:val="lrTb"/>
            <w:noWrap w:val="false"/>
          </w:tcPr>
          <w:p>
            <w:pPr>
              <w:ind w:left="360" w:firstLine="0"/>
              <w:jc w:val="both"/>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560</w:t>
            </w:r>
            <w:r/>
          </w:p>
        </w:tc>
        <w:tc>
          <w:tcPr>
            <w:tcW w:w="1160" w:type="dxa"/>
            <w:vAlign w:val="center"/>
            <w:textDirection w:val="lrTb"/>
            <w:noWrap w:val="false"/>
          </w:tcPr>
          <w:p>
            <w:pPr>
              <w:ind w:left="36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1400</w:t>
            </w:r>
            <w:r/>
          </w:p>
        </w:tc>
        <w:tc>
          <w:tcPr>
            <w:tcW w:w="1081" w:type="dxa"/>
            <w:vAlign w:val="center"/>
            <w:textDirection w:val="lrTb"/>
            <w:noWrap w:val="false"/>
          </w:tcPr>
          <w:p>
            <w:pPr>
              <w:ind w:left="68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凤凰河南堤</w:t>
            </w:r>
            <w:r/>
          </w:p>
        </w:tc>
        <w:tc>
          <w:tcPr>
            <w:tcW w:w="33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东至京杭路，西至下河路</w:t>
            </w:r>
            <w:r/>
          </w:p>
        </w:tc>
        <w:tc>
          <w:tcPr>
            <w:tcW w:w="1160" w:type="dxa"/>
            <w:vAlign w:val="center"/>
            <w:textDirection w:val="lrTb"/>
            <w:noWrap w:val="false"/>
          </w:tcPr>
          <w:p>
            <w:pPr>
              <w:ind w:left="360" w:firstLine="0"/>
              <w:jc w:val="both"/>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1000</w:t>
            </w:r>
            <w:r/>
          </w:p>
        </w:tc>
        <w:tc>
          <w:tcPr>
            <w:tcW w:w="1160" w:type="dxa"/>
            <w:vAlign w:val="center"/>
            <w:textDirection w:val="lrTb"/>
            <w:noWrap w:val="false"/>
          </w:tcPr>
          <w:p>
            <w:pPr>
              <w:ind w:left="36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3300</w:t>
            </w:r>
            <w:r/>
          </w:p>
        </w:tc>
        <w:tc>
          <w:tcPr>
            <w:tcW w:w="1081" w:type="dxa"/>
            <w:vAlign w:val="center"/>
            <w:textDirection w:val="lrTb"/>
            <w:noWrap w:val="false"/>
          </w:tcPr>
          <w:p>
            <w:pPr>
              <w:ind w:left="68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宝塔松路</w:t>
            </w:r>
            <w:r/>
          </w:p>
        </w:tc>
        <w:tc>
          <w:tcPr>
            <w:tcW w:w="33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东至盂陵路，西至人民路</w:t>
            </w:r>
            <w:r/>
          </w:p>
        </w:tc>
        <w:tc>
          <w:tcPr>
            <w:tcW w:w="1160" w:type="dxa"/>
            <w:vAlign w:val="center"/>
            <w:textDirection w:val="lrTb"/>
            <w:noWrap w:val="false"/>
          </w:tcPr>
          <w:p>
            <w:pPr>
              <w:ind w:left="360" w:firstLine="0"/>
              <w:jc w:val="both"/>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200</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6</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1200</w:t>
            </w:r>
            <w:r/>
          </w:p>
        </w:tc>
        <w:tc>
          <w:tcPr>
            <w:tcW w:w="1081" w:type="dxa"/>
            <w:vAlign w:val="center"/>
            <w:textDirection w:val="lrTb"/>
            <w:noWrap w:val="false"/>
          </w:tcPr>
          <w:p>
            <w:pPr>
              <w:ind w:left="68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创业路</w:t>
            </w:r>
            <w:r/>
          </w:p>
        </w:tc>
        <w:tc>
          <w:tcPr>
            <w:tcW w:w="33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东至G233，西至下河路</w:t>
            </w:r>
            <w:r/>
          </w:p>
        </w:tc>
        <w:tc>
          <w:tcPr>
            <w:tcW w:w="1160" w:type="dxa"/>
            <w:vAlign w:val="center"/>
            <w:textDirection w:val="lrTb"/>
            <w:noWrap w:val="false"/>
          </w:tcPr>
          <w:p>
            <w:pPr>
              <w:ind w:left="360" w:firstLine="0"/>
              <w:jc w:val="both"/>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2500</w:t>
            </w:r>
            <w:r/>
          </w:p>
        </w:tc>
        <w:tc>
          <w:tcPr>
            <w:tcW w:w="1160" w:type="dxa"/>
            <w:vAlign w:val="center"/>
            <w:textDirection w:val="lrTb"/>
            <w:noWrap w:val="false"/>
          </w:tcPr>
          <w:p>
            <w:pPr>
              <w:ind w:left="36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32850</w:t>
            </w:r>
            <w:r/>
          </w:p>
        </w:tc>
        <w:tc>
          <w:tcPr>
            <w:tcW w:w="1081" w:type="dxa"/>
            <w:vAlign w:val="center"/>
            <w:textDirection w:val="lrTb"/>
            <w:noWrap w:val="false"/>
          </w:tcPr>
          <w:p>
            <w:pPr>
              <w:ind w:left="68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富运小区南边</w:t>
            </w:r>
            <w:r/>
          </w:p>
        </w:tc>
        <w:tc>
          <w:tcPr>
            <w:tcW w:w="33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东至盂陵路，西至人民路</w:t>
            </w:r>
            <w:r/>
          </w:p>
        </w:tc>
        <w:tc>
          <w:tcPr>
            <w:tcW w:w="1160" w:type="dxa"/>
            <w:vAlign w:val="center"/>
            <w:textDirection w:val="lrTb"/>
            <w:noWrap w:val="false"/>
          </w:tcPr>
          <w:p>
            <w:pPr>
              <w:ind w:left="360" w:firstLine="0"/>
              <w:jc w:val="both"/>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200</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7</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1400</w:t>
            </w:r>
            <w:r/>
          </w:p>
        </w:tc>
        <w:tc>
          <w:tcPr>
            <w:tcW w:w="1081" w:type="dxa"/>
            <w:vAlign w:val="center"/>
            <w:textDirection w:val="lrTb"/>
            <w:noWrap w:val="false"/>
          </w:tcPr>
          <w:p>
            <w:pPr>
              <w:ind w:left="68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盛富朝屋后一条路</w:t>
            </w:r>
            <w:r/>
          </w:p>
        </w:tc>
        <w:tc>
          <w:tcPr>
            <w:tcW w:w="33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东至富民路，西至盂陵路</w:t>
            </w:r>
            <w:r/>
          </w:p>
        </w:tc>
        <w:tc>
          <w:tcPr>
            <w:tcW w:w="1160" w:type="dxa"/>
            <w:vAlign w:val="center"/>
            <w:textDirection w:val="lrTb"/>
            <w:noWrap w:val="false"/>
          </w:tcPr>
          <w:p>
            <w:pPr>
              <w:ind w:left="360" w:firstLine="0"/>
              <w:jc w:val="both"/>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140</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2</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280</w:t>
            </w:r>
            <w:r/>
          </w:p>
        </w:tc>
        <w:tc>
          <w:tcPr>
            <w:tcW w:w="1081" w:type="dxa"/>
            <w:vAlign w:val="center"/>
            <w:textDirection w:val="lrTb"/>
            <w:noWrap w:val="false"/>
          </w:tcPr>
          <w:p>
            <w:pPr>
              <w:ind w:left="68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国庆路</w:t>
            </w:r>
            <w:r/>
          </w:p>
        </w:tc>
        <w:tc>
          <w:tcPr>
            <w:tcW w:w="33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东至G233，西至盂陵路</w:t>
            </w:r>
            <w:r/>
          </w:p>
        </w:tc>
        <w:tc>
          <w:tcPr>
            <w:tcW w:w="1160" w:type="dxa"/>
            <w:vAlign w:val="center"/>
            <w:textDirection w:val="lrTb"/>
            <w:noWrap w:val="false"/>
          </w:tcPr>
          <w:p>
            <w:pPr>
              <w:ind w:left="360" w:firstLine="0"/>
              <w:jc w:val="both"/>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2030</w:t>
            </w:r>
            <w:r/>
          </w:p>
        </w:tc>
        <w:tc>
          <w:tcPr>
            <w:tcW w:w="1160" w:type="dxa"/>
            <w:vAlign w:val="center"/>
            <w:textDirection w:val="lrTb"/>
            <w:noWrap w:val="false"/>
          </w:tcPr>
          <w:p>
            <w:pPr>
              <w:ind w:left="36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31550</w:t>
            </w:r>
            <w:r/>
          </w:p>
        </w:tc>
        <w:tc>
          <w:tcPr>
            <w:tcW w:w="1081" w:type="dxa"/>
            <w:vAlign w:val="center"/>
            <w:textDirection w:val="lrTb"/>
            <w:noWrap w:val="false"/>
          </w:tcPr>
          <w:p>
            <w:pPr>
              <w:ind w:left="68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红旗小区南横路</w:t>
            </w:r>
            <w:r/>
          </w:p>
        </w:tc>
        <w:tc>
          <w:tcPr>
            <w:tcW w:w="33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东至富民路</w:t>
            </w:r>
            <w:r/>
          </w:p>
        </w:tc>
        <w:tc>
          <w:tcPr>
            <w:tcW w:w="1160" w:type="dxa"/>
            <w:vAlign w:val="center"/>
            <w:textDirection w:val="lrTb"/>
            <w:noWrap w:val="false"/>
          </w:tcPr>
          <w:p>
            <w:pPr>
              <w:ind w:left="360" w:firstLine="0"/>
              <w:jc w:val="both"/>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104</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3</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312</w:t>
            </w:r>
            <w:r/>
          </w:p>
        </w:tc>
        <w:tc>
          <w:tcPr>
            <w:tcW w:w="1081" w:type="dxa"/>
            <w:vAlign w:val="center"/>
            <w:textDirection w:val="lrTb"/>
            <w:noWrap w:val="false"/>
          </w:tcPr>
          <w:p>
            <w:pPr>
              <w:ind w:left="68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红旗小区北横路</w:t>
            </w:r>
            <w:r/>
          </w:p>
        </w:tc>
        <w:tc>
          <w:tcPr>
            <w:tcW w:w="33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东至富民路</w:t>
            </w:r>
            <w:r/>
          </w:p>
        </w:tc>
        <w:tc>
          <w:tcPr>
            <w:tcW w:w="1160" w:type="dxa"/>
            <w:vAlign w:val="center"/>
            <w:textDirection w:val="lrTb"/>
            <w:noWrap w:val="false"/>
          </w:tcPr>
          <w:p>
            <w:pPr>
              <w:ind w:left="360" w:firstLine="0"/>
              <w:jc w:val="both"/>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104</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5</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520</w:t>
            </w:r>
            <w:r/>
          </w:p>
        </w:tc>
        <w:tc>
          <w:tcPr>
            <w:tcW w:w="1081" w:type="dxa"/>
            <w:vAlign w:val="center"/>
            <w:textDirection w:val="lrTb"/>
            <w:noWrap w:val="false"/>
          </w:tcPr>
          <w:p>
            <w:pPr>
              <w:ind w:left="68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富运小区南北干道</w:t>
            </w:r>
            <w:r/>
          </w:p>
        </w:tc>
        <w:tc>
          <w:tcPr>
            <w:tcW w:w="33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南至景湖花园，北至创业路</w:t>
            </w:r>
            <w:r/>
          </w:p>
        </w:tc>
        <w:tc>
          <w:tcPr>
            <w:tcW w:w="1160" w:type="dxa"/>
            <w:vAlign w:val="center"/>
            <w:textDirection w:val="lrTb"/>
            <w:noWrap w:val="false"/>
          </w:tcPr>
          <w:p>
            <w:pPr>
              <w:ind w:left="360" w:firstLine="0"/>
              <w:jc w:val="both"/>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120</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6</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720</w:t>
            </w:r>
            <w:r/>
          </w:p>
        </w:tc>
        <w:tc>
          <w:tcPr>
            <w:tcW w:w="1081" w:type="dxa"/>
            <w:vAlign w:val="center"/>
            <w:textDirection w:val="lrTb"/>
            <w:noWrap w:val="false"/>
          </w:tcPr>
          <w:p>
            <w:pPr>
              <w:ind w:left="68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jc w:val="center"/>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盂陵路南段商</w:t>
            </w:r>
            <w:r>
              <w:rPr>
                <w:rFonts w:hint="eastAsia" w:ascii="宋体" w:hAnsi="宋体" w:eastAsia="宋体" w:cs="宋体"/>
                <w:color w:val="000000"/>
                <w:sz w:val="24"/>
                <w:szCs w:val="24"/>
                <w:lang w:val="en-US" w:eastAsia="zh-CN"/>
              </w:rPr>
              <w:t xml:space="preserve">店</w:t>
            </w:r>
            <w:r>
              <w:rPr>
                <w:rFonts w:hint="eastAsia" w:ascii="宋体" w:hAnsi="宋体" w:eastAsia="宋体" w:cs="宋体"/>
                <w:color w:val="000000"/>
                <w:sz w:val="24"/>
                <w:szCs w:val="24"/>
              </w:rPr>
              <w:t xml:space="preserve">后身</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红绿灯南侧</w:t>
            </w:r>
            <w:r>
              <w:rPr>
                <w:rFonts w:hint="eastAsia" w:ascii="宋体" w:hAnsi="宋体" w:eastAsia="宋体" w:cs="宋体"/>
                <w:color w:val="000000"/>
                <w:sz w:val="24"/>
                <w:szCs w:val="24"/>
                <w:lang w:eastAsia="zh-CN"/>
              </w:rPr>
              <w:t xml:space="preserve">）</w:t>
            </w:r>
            <w:r/>
          </w:p>
        </w:tc>
        <w:tc>
          <w:tcPr>
            <w:tcW w:w="3300" w:type="dxa"/>
            <w:vAlign w:val="center"/>
            <w:textDirection w:val="lrTb"/>
            <w:noWrap w:val="false"/>
          </w:tcPr>
          <w:p>
            <w:pPr>
              <w:jc w:val="center"/>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SA"/>
              </w:rPr>
              <w:t xml:space="preserve">南至界首小学，北至二里支渠</w:t>
            </w:r>
            <w:r/>
          </w:p>
        </w:tc>
        <w:tc>
          <w:tcPr>
            <w:tcW w:w="1160" w:type="dxa"/>
            <w:vAlign w:val="center"/>
            <w:textDirection w:val="lrTb"/>
            <w:noWrap w:val="false"/>
          </w:tcPr>
          <w:p>
            <w:pPr>
              <w:ind w:left="360" w:firstLine="0"/>
              <w:jc w:val="both"/>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120</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3</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360</w:t>
            </w:r>
            <w:r/>
          </w:p>
        </w:tc>
        <w:tc>
          <w:tcPr>
            <w:tcW w:w="1081" w:type="dxa"/>
            <w:vAlign w:val="center"/>
            <w:textDirection w:val="lrTb"/>
            <w:noWrap w:val="false"/>
          </w:tcPr>
          <w:p>
            <w:pPr>
              <w:ind w:left="68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盂陵路</w:t>
            </w:r>
            <w:r/>
          </w:p>
        </w:tc>
        <w:tc>
          <w:tcPr>
            <w:tcW w:w="33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南至二里支，北至子婴干渠</w:t>
            </w:r>
            <w:r/>
          </w:p>
        </w:tc>
        <w:tc>
          <w:tcPr>
            <w:tcW w:w="1160" w:type="dxa"/>
            <w:vAlign w:val="center"/>
            <w:textDirection w:val="lrTb"/>
            <w:noWrap w:val="false"/>
          </w:tcPr>
          <w:p>
            <w:pPr>
              <w:ind w:left="360" w:firstLine="0"/>
              <w:jc w:val="both"/>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1262</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18.5</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23347</w:t>
            </w:r>
            <w:r/>
          </w:p>
        </w:tc>
        <w:tc>
          <w:tcPr>
            <w:tcW w:w="1081" w:type="dxa"/>
            <w:vAlign w:val="center"/>
            <w:textDirection w:val="lrTb"/>
            <w:noWrap w:val="false"/>
          </w:tcPr>
          <w:p>
            <w:pPr>
              <w:ind w:left="68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红旗小区南北干道</w:t>
            </w:r>
            <w:r/>
          </w:p>
        </w:tc>
        <w:tc>
          <w:tcPr>
            <w:tcW w:w="33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南至红旗路，北至三元路</w:t>
            </w:r>
            <w:r/>
          </w:p>
        </w:tc>
        <w:tc>
          <w:tcPr>
            <w:tcW w:w="1160" w:type="dxa"/>
            <w:vAlign w:val="center"/>
            <w:textDirection w:val="lrTb"/>
            <w:noWrap w:val="false"/>
          </w:tcPr>
          <w:p>
            <w:pPr>
              <w:ind w:left="360" w:firstLine="0"/>
              <w:jc w:val="both"/>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118</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5</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590</w:t>
            </w:r>
            <w:r/>
          </w:p>
        </w:tc>
        <w:tc>
          <w:tcPr>
            <w:tcW w:w="1081" w:type="dxa"/>
            <w:vAlign w:val="center"/>
            <w:textDirection w:val="lrTb"/>
            <w:noWrap w:val="false"/>
          </w:tcPr>
          <w:p>
            <w:pPr>
              <w:ind w:left="68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富民路</w:t>
            </w:r>
            <w:r/>
          </w:p>
        </w:tc>
        <w:tc>
          <w:tcPr>
            <w:tcW w:w="33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南至创业路，北至子婴干渠</w:t>
            </w:r>
            <w:r/>
          </w:p>
        </w:tc>
        <w:tc>
          <w:tcPr>
            <w:tcW w:w="1160" w:type="dxa"/>
            <w:vAlign w:val="center"/>
            <w:textDirection w:val="lrTb"/>
            <w:noWrap w:val="false"/>
          </w:tcPr>
          <w:p>
            <w:pPr>
              <w:ind w:left="360" w:firstLine="0"/>
              <w:jc w:val="both"/>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847</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8</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6776</w:t>
            </w:r>
            <w:r/>
          </w:p>
        </w:tc>
        <w:tc>
          <w:tcPr>
            <w:tcW w:w="1081" w:type="dxa"/>
            <w:vAlign w:val="center"/>
            <w:textDirection w:val="lrTb"/>
            <w:noWrap w:val="false"/>
          </w:tcPr>
          <w:p>
            <w:pPr>
              <w:ind w:left="68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京杭路</w:t>
            </w:r>
            <w:r/>
          </w:p>
        </w:tc>
        <w:tc>
          <w:tcPr>
            <w:tcW w:w="33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南至创业路，北至子婴干渠</w:t>
            </w:r>
            <w:r/>
          </w:p>
        </w:tc>
        <w:tc>
          <w:tcPr>
            <w:tcW w:w="1160" w:type="dxa"/>
            <w:vAlign w:val="center"/>
            <w:textDirection w:val="lrTb"/>
            <w:noWrap w:val="false"/>
          </w:tcPr>
          <w:p>
            <w:pPr>
              <w:ind w:left="360" w:firstLine="0"/>
              <w:jc w:val="both"/>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840</w:t>
            </w:r>
            <w:r/>
          </w:p>
        </w:tc>
        <w:tc>
          <w:tcPr>
            <w:tcW w:w="1160" w:type="dxa"/>
            <w:vAlign w:val="center"/>
            <w:textDirection w:val="lrTb"/>
            <w:noWrap w:val="false"/>
          </w:tcPr>
          <w:p>
            <w:pPr>
              <w:ind w:left="36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11590</w:t>
            </w:r>
            <w:r/>
          </w:p>
        </w:tc>
        <w:tc>
          <w:tcPr>
            <w:tcW w:w="1081" w:type="dxa"/>
            <w:vAlign w:val="center"/>
            <w:textDirection w:val="lrTb"/>
            <w:noWrap w:val="false"/>
          </w:tcPr>
          <w:p>
            <w:pPr>
              <w:ind w:left="68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镇东路</w:t>
            </w:r>
            <w:r/>
          </w:p>
        </w:tc>
        <w:tc>
          <w:tcPr>
            <w:tcW w:w="33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南至二里支，北至高山支</w:t>
            </w:r>
            <w:r/>
          </w:p>
        </w:tc>
        <w:tc>
          <w:tcPr>
            <w:tcW w:w="1160" w:type="dxa"/>
            <w:vAlign w:val="center"/>
            <w:textDirection w:val="lrTb"/>
            <w:noWrap w:val="false"/>
          </w:tcPr>
          <w:p>
            <w:pPr>
              <w:ind w:left="360" w:firstLine="0"/>
              <w:jc w:val="both"/>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1920</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16</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30720</w:t>
            </w:r>
            <w:r/>
          </w:p>
        </w:tc>
        <w:tc>
          <w:tcPr>
            <w:tcW w:w="1081" w:type="dxa"/>
            <w:vAlign w:val="center"/>
            <w:textDirection w:val="lrTb"/>
            <w:noWrap w:val="false"/>
          </w:tcPr>
          <w:p>
            <w:pPr>
              <w:ind w:left="68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政府西门路面</w:t>
            </w:r>
            <w:r/>
          </w:p>
        </w:tc>
        <w:tc>
          <w:tcPr>
            <w:tcW w:w="33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南至三元路，北至国庆路</w:t>
            </w:r>
            <w:r/>
          </w:p>
        </w:tc>
        <w:tc>
          <w:tcPr>
            <w:tcW w:w="1160" w:type="dxa"/>
            <w:vAlign w:val="center"/>
            <w:textDirection w:val="lrTb"/>
            <w:noWrap w:val="false"/>
          </w:tcPr>
          <w:p>
            <w:pPr>
              <w:ind w:left="360" w:firstLine="0"/>
              <w:jc w:val="both"/>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90</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8</w:t>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720</w:t>
            </w:r>
            <w:r/>
          </w:p>
        </w:tc>
        <w:tc>
          <w:tcPr>
            <w:tcW w:w="1081" w:type="dxa"/>
            <w:vAlign w:val="center"/>
            <w:textDirection w:val="lrTb"/>
            <w:noWrap w:val="false"/>
          </w:tcPr>
          <w:p>
            <w:pPr>
              <w:ind w:left="68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菜场四周（不含富民路）</w:t>
            </w:r>
            <w:r/>
          </w:p>
        </w:tc>
        <w:tc>
          <w:tcPr>
            <w:tcW w:w="330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6320</w:t>
            </w:r>
            <w:r/>
          </w:p>
        </w:tc>
        <w:tc>
          <w:tcPr>
            <w:tcW w:w="1081" w:type="dxa"/>
            <w:vAlign w:val="center"/>
            <w:textDirection w:val="lrTb"/>
            <w:noWrap w:val="false"/>
          </w:tcPr>
          <w:p>
            <w:pPr>
              <w:ind w:left="68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菜场内</w:t>
            </w:r>
            <w:r>
              <w:rPr>
                <w:rFonts w:hint="eastAsia" w:ascii="宋体" w:hAnsi="宋体" w:eastAsia="宋体" w:cs="宋体"/>
                <w:color w:val="000000"/>
                <w:sz w:val="24"/>
                <w:szCs w:val="24"/>
                <w:lang w:val="en-US" w:eastAsia="zh-CN"/>
              </w:rPr>
              <w:t xml:space="preserve">部空白摊位和</w:t>
            </w:r>
            <w:r>
              <w:rPr>
                <w:rFonts w:hint="eastAsia" w:ascii="宋体" w:hAnsi="宋体" w:eastAsia="宋体" w:cs="宋体"/>
                <w:color w:val="000000"/>
                <w:sz w:val="24"/>
                <w:szCs w:val="24"/>
              </w:rPr>
              <w:t xml:space="preserve">人行道</w:t>
            </w:r>
            <w:r/>
          </w:p>
        </w:tc>
        <w:tc>
          <w:tcPr>
            <w:tcW w:w="330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1700</w:t>
            </w:r>
            <w:r/>
          </w:p>
        </w:tc>
        <w:tc>
          <w:tcPr>
            <w:tcW w:w="1081" w:type="dxa"/>
            <w:vAlign w:val="center"/>
            <w:textDirection w:val="lrTb"/>
            <w:noWrap w:val="false"/>
          </w:tcPr>
          <w:p>
            <w:pPr>
              <w:ind w:left="68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京杭大</w:t>
            </w:r>
            <w:r>
              <w:rPr>
                <w:rFonts w:hint="eastAsia" w:ascii="宋体" w:hAnsi="宋体" w:eastAsia="宋体" w:cs="宋体"/>
                <w:color w:val="000000"/>
                <w:sz w:val="24"/>
                <w:szCs w:val="24"/>
              </w:rPr>
              <w:t xml:space="preserve">运河</w:t>
            </w:r>
            <w:r>
              <w:rPr>
                <w:rFonts w:hint="eastAsia" w:ascii="宋体" w:hAnsi="宋体" w:eastAsia="宋体" w:cs="宋体"/>
                <w:color w:val="000000"/>
                <w:sz w:val="24"/>
                <w:szCs w:val="24"/>
                <w:lang w:val="en-US" w:eastAsia="zh-CN"/>
              </w:rPr>
              <w:t xml:space="preserve">码头</w:t>
            </w:r>
            <w:r>
              <w:rPr>
                <w:rFonts w:hint="eastAsia" w:ascii="宋体" w:hAnsi="宋体" w:eastAsia="宋体" w:cs="宋体"/>
                <w:color w:val="000000"/>
                <w:sz w:val="24"/>
                <w:szCs w:val="24"/>
              </w:rPr>
              <w:t xml:space="preserve">遗址公园</w:t>
            </w:r>
            <w:r/>
          </w:p>
        </w:tc>
        <w:tc>
          <w:tcPr>
            <w:tcW w:w="330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3300</w:t>
            </w:r>
            <w:r/>
          </w:p>
        </w:tc>
        <w:tc>
          <w:tcPr>
            <w:tcW w:w="1081"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lang w:eastAsia="zh-CN"/>
              </w:rPr>
              <w:t xml:space="preserve">另</w:t>
            </w:r>
            <w:r>
              <w:rPr>
                <w:rFonts w:hint="eastAsia" w:ascii="宋体" w:hAnsi="宋体" w:eastAsia="宋体" w:cs="宋体"/>
                <w:color w:val="000000"/>
                <w:sz w:val="24"/>
                <w:szCs w:val="24"/>
              </w:rPr>
              <w:t xml:space="preserve">绿化5000平方</w:t>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政府广场</w:t>
            </w:r>
            <w:r/>
          </w:p>
        </w:tc>
        <w:tc>
          <w:tcPr>
            <w:tcW w:w="330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1830</w:t>
            </w:r>
            <w:r/>
          </w:p>
        </w:tc>
        <w:tc>
          <w:tcPr>
            <w:tcW w:w="1081"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lang w:eastAsia="zh-CN"/>
              </w:rPr>
              <w:t xml:space="preserve">另</w:t>
            </w:r>
            <w:r>
              <w:rPr>
                <w:rFonts w:hint="eastAsia" w:ascii="宋体" w:hAnsi="宋体" w:eastAsia="宋体" w:cs="宋体"/>
                <w:color w:val="000000"/>
                <w:sz w:val="24"/>
                <w:szCs w:val="24"/>
              </w:rPr>
              <w:t xml:space="preserve">绿化3840平方</w:t>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雪枫广场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含人工湖</w:t>
            </w:r>
            <w:r>
              <w:rPr>
                <w:rFonts w:hint="eastAsia" w:ascii="宋体" w:hAnsi="宋体" w:eastAsia="宋体" w:cs="宋体"/>
                <w:color w:val="000000"/>
                <w:sz w:val="24"/>
                <w:szCs w:val="24"/>
                <w:lang w:eastAsia="zh-CN"/>
              </w:rPr>
              <w:t xml:space="preserve">）</w:t>
            </w:r>
            <w:r/>
          </w:p>
        </w:tc>
        <w:tc>
          <w:tcPr>
            <w:tcW w:w="330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3850</w:t>
            </w:r>
            <w:r/>
          </w:p>
        </w:tc>
        <w:tc>
          <w:tcPr>
            <w:tcW w:w="1081"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lang w:eastAsia="zh-CN"/>
              </w:rPr>
              <w:t xml:space="preserve">另</w:t>
            </w:r>
            <w:r>
              <w:rPr>
                <w:rFonts w:hint="eastAsia" w:ascii="宋体" w:hAnsi="宋体" w:eastAsia="宋体" w:cs="宋体"/>
                <w:color w:val="000000"/>
                <w:sz w:val="24"/>
                <w:szCs w:val="24"/>
              </w:rPr>
              <w:t xml:space="preserve">绿化水域8450平方</w:t>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牌楼公园（路南、路北）</w:t>
            </w:r>
            <w:r/>
          </w:p>
        </w:tc>
        <w:tc>
          <w:tcPr>
            <w:tcW w:w="330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1750</w:t>
            </w:r>
            <w:r/>
          </w:p>
        </w:tc>
        <w:tc>
          <w:tcPr>
            <w:tcW w:w="1081"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color w:val="000000"/>
                <w:sz w:val="24"/>
                <w:szCs w:val="24"/>
                <w:lang w:eastAsia="zh-CN"/>
              </w:rPr>
              <w:t xml:space="preserve">另</w:t>
            </w:r>
            <w:r>
              <w:rPr>
                <w:rFonts w:hint="eastAsia" w:ascii="宋体" w:hAnsi="宋体" w:eastAsia="宋体" w:cs="宋体"/>
                <w:color w:val="000000"/>
                <w:sz w:val="24"/>
                <w:szCs w:val="24"/>
              </w:rPr>
              <w:t xml:space="preserve">绿化9650平</w:t>
            </w:r>
            <w:r>
              <w:rPr>
                <w:rFonts w:hint="eastAsia" w:ascii="宋体" w:hAnsi="宋体" w:eastAsia="宋体" w:cs="宋体"/>
                <w:color w:val="000000"/>
                <w:sz w:val="24"/>
                <w:szCs w:val="24"/>
                <w:lang w:val="en-US" w:eastAsia="zh-CN"/>
              </w:rPr>
              <w:t xml:space="preserve">方</w:t>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界东河水泥路</w:t>
            </w:r>
            <w:r/>
          </w:p>
        </w:tc>
        <w:tc>
          <w:tcPr>
            <w:tcW w:w="330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0" w:type="dxa"/>
            <w:vAlign w:val="center"/>
            <w:textDirection w:val="lrTb"/>
            <w:noWrap w:val="false"/>
          </w:tcPr>
          <w:p>
            <w:pPr>
              <w:ind w:left="360" w:firstLine="0"/>
              <w:jc w:val="both"/>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200</w:t>
            </w:r>
            <w:r/>
          </w:p>
        </w:tc>
        <w:tc>
          <w:tcPr>
            <w:tcW w:w="116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081"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凤凰河（漂浮垃圾）</w:t>
            </w:r>
            <w:r/>
          </w:p>
        </w:tc>
        <w:tc>
          <w:tcPr>
            <w:tcW w:w="330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0" w:type="dxa"/>
            <w:vAlign w:val="center"/>
            <w:textDirection w:val="lrTb"/>
            <w:noWrap w:val="false"/>
          </w:tcPr>
          <w:p>
            <w:pPr>
              <w:ind w:left="360" w:firstLine="0"/>
              <w:jc w:val="both"/>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1000</w:t>
            </w:r>
            <w:r/>
          </w:p>
        </w:tc>
        <w:tc>
          <w:tcPr>
            <w:tcW w:w="116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081"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42"/>
        </w:trPr>
        <w:tc>
          <w:tcPr>
            <w:tcW w:w="260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合计</w:t>
            </w:r>
            <w:r/>
          </w:p>
        </w:tc>
        <w:tc>
          <w:tcPr>
            <w:tcW w:w="330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229816</w:t>
            </w:r>
            <w:r/>
          </w:p>
        </w:tc>
        <w:tc>
          <w:tcPr>
            <w:tcW w:w="1081" w:type="dxa"/>
            <w:vAlign w:val="center"/>
            <w:textDirection w:val="lrTb"/>
            <w:noWrap w:val="false"/>
          </w:tcPr>
          <w:p>
            <w:pPr>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r>
    </w:tbl>
    <w:p>
      <w:pPr>
        <w:ind w:firstLine="42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界首镇环卫综合作业市场管理服务项目作业段、面新增</w:t>
      </w:r>
      <w:r/>
    </w:p>
    <w:tbl>
      <w:tblPr>
        <w:tblStyle w:val="819"/>
        <w:tblW w:w="104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2008"/>
        <w:gridCol w:w="1815"/>
        <w:gridCol w:w="1410"/>
        <w:gridCol w:w="1290"/>
        <w:gridCol w:w="2460"/>
        <w:gridCol w:w="1490"/>
      </w:tblGrid>
      <w:tr>
        <w:trPr>
          <w:jc w:val="center"/>
          <w:trHeight w:val="420"/>
        </w:trPr>
        <w:tc>
          <w:tcPr>
            <w:tcW w:w="2008" w:type="dxa"/>
            <w:vAlign w:val="center"/>
            <w:textDirection w:val="lrTb"/>
            <w:noWrap w:val="false"/>
          </w:tcPr>
          <w:p>
            <w:pPr>
              <w:ind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rPr>
              <w:t xml:space="preserve">路段</w:t>
            </w:r>
            <w:r/>
          </w:p>
        </w:tc>
        <w:tc>
          <w:tcPr>
            <w:tcW w:w="1815"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起止</w:t>
            </w:r>
            <w:r/>
          </w:p>
        </w:tc>
        <w:tc>
          <w:tcPr>
            <w:tcW w:w="1410" w:type="dxa"/>
            <w:vAlign w:val="center"/>
            <w:textDirection w:val="lrTb"/>
            <w:noWrap w:val="false"/>
          </w:tcPr>
          <w:p>
            <w:pPr>
              <w:ind w:left="80" w:firstLine="0"/>
              <w:jc w:val="center"/>
              <w:spacing w:line="24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长（米）</w:t>
            </w:r>
            <w:r/>
          </w:p>
        </w:tc>
        <w:tc>
          <w:tcPr>
            <w:tcW w:w="1290" w:type="dxa"/>
            <w:vAlign w:val="center"/>
            <w:textDirection w:val="lrTb"/>
            <w:noWrap w:val="false"/>
          </w:tcPr>
          <w:p>
            <w:pPr>
              <w:ind w:left="120" w:firstLine="0"/>
              <w:jc w:val="center"/>
              <w:spacing w:line="24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宽（米）</w:t>
            </w:r>
            <w:r/>
          </w:p>
        </w:tc>
        <w:tc>
          <w:tcPr>
            <w:tcW w:w="2460" w:type="dxa"/>
            <w:vAlign w:val="center"/>
            <w:textDirection w:val="lrTb"/>
            <w:noWrap w:val="false"/>
          </w:tcPr>
          <w:p>
            <w:pPr>
              <w:ind w:left="100" w:firstLine="0"/>
              <w:jc w:val="center"/>
              <w:spacing w:line="24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平方米</w:t>
            </w:r>
            <w:r/>
          </w:p>
        </w:tc>
        <w:tc>
          <w:tcPr>
            <w:tcW w:w="1490" w:type="dxa"/>
            <w:vAlign w:val="center"/>
            <w:textDirection w:val="lrTb"/>
            <w:noWrap w:val="false"/>
          </w:tcPr>
          <w:p>
            <w:pPr>
              <w:ind w:firstLine="482"/>
              <w:jc w:val="both"/>
              <w:spacing w:line="24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备注</w:t>
            </w:r>
            <w:r/>
          </w:p>
        </w:tc>
      </w:tr>
      <w:tr>
        <w:trPr>
          <w:jc w:val="center"/>
          <w:trHeight w:val="420"/>
        </w:trPr>
        <w:tc>
          <w:tcPr>
            <w:tcW w:w="2008" w:type="dxa"/>
            <w:vAlign w:val="center"/>
            <w:textDirection w:val="lrTb"/>
            <w:noWrap w:val="false"/>
          </w:tcPr>
          <w:p>
            <w:pPr>
              <w:ind w:firstLine="0"/>
              <w:jc w:val="center"/>
              <w:spacing w:line="240" w:lineRule="auto"/>
              <w:rPr>
                <w:rFonts w:hint="eastAsia" w:ascii="宋体" w:hAnsi="宋体" w:eastAsia="宋体" w:cs="宋体"/>
                <w:b/>
                <w:bCs/>
                <w:color w:val="000000"/>
                <w:sz w:val="24"/>
                <w:szCs w:val="24"/>
                <w:lang w:val="en-US" w:eastAsia="zh-CN"/>
              </w:rPr>
            </w:pPr>
            <w:r>
              <w:rPr>
                <w:rFonts w:hint="eastAsia" w:ascii="宋体" w:hAnsi="宋体" w:eastAsia="宋体" w:cs="宋体"/>
                <w:b w:val="0"/>
                <w:bCs w:val="0"/>
                <w:color w:val="000000"/>
                <w:sz w:val="24"/>
                <w:szCs w:val="24"/>
                <w:lang w:val="en-US" w:eastAsia="zh-CN"/>
              </w:rPr>
              <w:t xml:space="preserve">东风小区内部路面</w:t>
            </w:r>
            <w:r/>
          </w:p>
        </w:tc>
        <w:tc>
          <w:tcPr>
            <w:tcW w:w="1815" w:type="dxa"/>
            <w:vAlign w:val="center"/>
            <w:textDirection w:val="lrTb"/>
            <w:noWrap w:val="false"/>
          </w:tcPr>
          <w:p>
            <w:pPr>
              <w:jc w:val="center"/>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410" w:type="dxa"/>
            <w:vAlign w:val="center"/>
            <w:textDirection w:val="lrTb"/>
            <w:noWrap w:val="false"/>
          </w:tcPr>
          <w:p>
            <w:pPr>
              <w:ind w:left="80" w:firstLine="0"/>
              <w:jc w:val="center"/>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290" w:type="dxa"/>
            <w:vAlign w:val="center"/>
            <w:textDirection w:val="lrTb"/>
            <w:noWrap w:val="false"/>
          </w:tcPr>
          <w:p>
            <w:pPr>
              <w:ind w:left="120" w:firstLine="0"/>
              <w:jc w:val="center"/>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2460" w:type="dxa"/>
            <w:vAlign w:val="center"/>
            <w:textDirection w:val="lrTb"/>
            <w:noWrap w:val="false"/>
          </w:tcPr>
          <w:p>
            <w:pPr>
              <w:ind w:left="100" w:firstLine="0"/>
              <w:jc w:val="center"/>
              <w:spacing w:line="24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2400</w:t>
            </w:r>
            <w:r/>
          </w:p>
        </w:tc>
        <w:tc>
          <w:tcPr>
            <w:tcW w:w="1490" w:type="dxa"/>
            <w:vAlign w:val="center"/>
            <w:textDirection w:val="lrTb"/>
            <w:noWrap w:val="false"/>
          </w:tcPr>
          <w:p>
            <w:pPr>
              <w:ind w:firstLine="482"/>
              <w:jc w:val="both"/>
              <w:spacing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jc w:val="center"/>
          <w:trHeight w:val="420"/>
        </w:trPr>
        <w:tc>
          <w:tcPr>
            <w:tcW w:w="2008" w:type="dxa"/>
            <w:vAlign w:val="center"/>
            <w:vMerge w:val="restart"/>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815"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0" w:type="dxa"/>
            <w:vAlign w:val="center"/>
            <w:textDirection w:val="lrTb"/>
            <w:noWrap w:val="false"/>
          </w:tcPr>
          <w:p>
            <w:pPr>
              <w:ind w:left="360" w:firstLine="0"/>
              <w:jc w:val="both"/>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0"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49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20"/>
        </w:trPr>
        <w:tc>
          <w:tcPr>
            <w:tcW w:w="2008" w:type="dxa"/>
            <w:vAlign w:val="center"/>
            <w:vMerge w:val="continue"/>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15"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0" w:type="dxa"/>
            <w:vAlign w:val="center"/>
            <w:textDirection w:val="lrTb"/>
            <w:noWrap w:val="false"/>
          </w:tcPr>
          <w:p>
            <w:pPr>
              <w:ind w:left="360" w:firstLine="0"/>
              <w:jc w:val="both"/>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0"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49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20"/>
        </w:trPr>
        <w:tc>
          <w:tcPr>
            <w:tcW w:w="2008" w:type="dxa"/>
            <w:vAlign w:val="center"/>
            <w:vMerge w:val="restart"/>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国庆路东段</w:t>
            </w:r>
            <w:r/>
          </w:p>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至高铁西沿线</w:t>
            </w:r>
            <w:r/>
          </w:p>
        </w:tc>
        <w:tc>
          <w:tcPr>
            <w:tcW w:w="1815" w:type="dxa"/>
            <w:vAlign w:val="center"/>
            <w:textDirection w:val="lrTb"/>
            <w:noWrap w:val="false"/>
          </w:tcPr>
          <w:p>
            <w:pPr>
              <w:jc w:val="both"/>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国道</w:t>
            </w:r>
            <w:r>
              <w:rPr>
                <w:rFonts w:hint="eastAsia" w:ascii="宋体" w:hAnsi="宋体" w:eastAsia="宋体" w:cs="宋体"/>
                <w:color w:val="000000"/>
                <w:sz w:val="24"/>
                <w:szCs w:val="24"/>
                <w:lang w:val="en-US" w:eastAsia="zh-CN"/>
              </w:rPr>
              <w:t xml:space="preserve">233至高铁站站前广场（含广场）</w:t>
            </w:r>
            <w:r/>
          </w:p>
        </w:tc>
        <w:tc>
          <w:tcPr>
            <w:tcW w:w="1410" w:type="dxa"/>
            <w:vAlign w:val="center"/>
            <w:textDirection w:val="lrTb"/>
            <w:noWrap w:val="false"/>
          </w:tcPr>
          <w:p>
            <w:pPr>
              <w:ind w:left="360" w:firstLine="0"/>
              <w:jc w:val="both"/>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0"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主干道15735</w:t>
            </w:r>
            <w:r/>
          </w:p>
        </w:tc>
        <w:tc>
          <w:tcPr>
            <w:tcW w:w="149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20"/>
        </w:trPr>
        <w:tc>
          <w:tcPr>
            <w:tcW w:w="2008" w:type="dxa"/>
            <w:vAlign w:val="center"/>
            <w:vMerge w:val="continue"/>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15"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0" w:type="dxa"/>
            <w:vAlign w:val="center"/>
            <w:textDirection w:val="lrTb"/>
            <w:noWrap w:val="false"/>
          </w:tcPr>
          <w:p>
            <w:pPr>
              <w:ind w:left="360" w:firstLine="0"/>
              <w:jc w:val="both"/>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0" w:type="dxa"/>
            <w:vAlign w:val="center"/>
            <w:textDirection w:val="lrTb"/>
            <w:noWrap w:val="false"/>
          </w:tcPr>
          <w:p>
            <w:pPr>
              <w:ind w:left="36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辅路8900</w:t>
            </w:r>
            <w:r/>
          </w:p>
        </w:tc>
        <w:tc>
          <w:tcPr>
            <w:tcW w:w="149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20"/>
        </w:trPr>
        <w:tc>
          <w:tcPr>
            <w:tcW w:w="2008" w:type="dxa"/>
            <w:vAlign w:val="center"/>
            <w:vMerge w:val="continue"/>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15"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0" w:type="dxa"/>
            <w:vAlign w:val="center"/>
            <w:textDirection w:val="lrTb"/>
            <w:noWrap w:val="false"/>
          </w:tcPr>
          <w:p>
            <w:pPr>
              <w:ind w:left="360" w:firstLine="0"/>
              <w:jc w:val="both"/>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0"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广场面积14280</w:t>
            </w:r>
            <w:r/>
          </w:p>
        </w:tc>
        <w:tc>
          <w:tcPr>
            <w:tcW w:w="149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20"/>
        </w:trPr>
        <w:tc>
          <w:tcPr>
            <w:tcW w:w="2008" w:type="dxa"/>
            <w:vAlign w:val="center"/>
            <w:vMerge w:val="continue"/>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15"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0" w:type="dxa"/>
            <w:vAlign w:val="center"/>
            <w:textDirection w:val="lrTb"/>
            <w:noWrap w:val="false"/>
          </w:tcPr>
          <w:p>
            <w:pPr>
              <w:ind w:left="360" w:firstLine="0"/>
              <w:jc w:val="both"/>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0" w:type="dxa"/>
            <w:vAlign w:val="center"/>
            <w:textDirection w:val="lrTb"/>
            <w:noWrap w:val="false"/>
          </w:tcPr>
          <w:p>
            <w:pPr>
              <w:ind w:left="36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道路绿化8350</w:t>
            </w:r>
            <w:r/>
          </w:p>
        </w:tc>
        <w:tc>
          <w:tcPr>
            <w:tcW w:w="149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20"/>
        </w:trPr>
        <w:tc>
          <w:tcPr>
            <w:tcW w:w="2008"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合计</w:t>
            </w:r>
            <w:r/>
          </w:p>
        </w:tc>
        <w:tc>
          <w:tcPr>
            <w:gridSpan w:val="5"/>
            <w:tcW w:w="8465"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道路广场66475m</w:t>
            </w:r>
            <w:r>
              <w:rPr>
                <w:rFonts w:hint="eastAsia" w:ascii="宋体" w:hAnsi="宋体" w:eastAsia="宋体" w:cs="宋体"/>
                <w:color w:val="000000"/>
                <w:sz w:val="24"/>
                <w:szCs w:val="24"/>
                <w:vertAlign w:val="superscript"/>
                <w:lang w:val="en-US" w:eastAsia="zh-CN"/>
              </w:rPr>
              <w:t xml:space="preserve">2</w:t>
            </w:r>
            <w:r>
              <w:rPr>
                <w:rFonts w:hint="eastAsia" w:ascii="宋体" w:hAnsi="宋体" w:eastAsia="宋体" w:cs="宋体"/>
                <w:color w:val="000000"/>
                <w:sz w:val="24"/>
                <w:szCs w:val="24"/>
                <w:lang w:val="en-US" w:eastAsia="zh-CN"/>
              </w:rPr>
              <w:t xml:space="preserve">、绿化总面积11532m</w:t>
            </w:r>
            <w:r>
              <w:rPr>
                <w:rFonts w:hint="eastAsia" w:ascii="宋体" w:hAnsi="宋体" w:eastAsia="宋体" w:cs="宋体"/>
                <w:color w:val="000000"/>
                <w:sz w:val="24"/>
                <w:szCs w:val="24"/>
                <w:vertAlign w:val="superscript"/>
                <w:lang w:val="en-US" w:eastAsia="zh-CN"/>
              </w:rPr>
              <w:t xml:space="preserve">2</w:t>
            </w:r>
            <w:r/>
          </w:p>
        </w:tc>
      </w:tr>
      <w:tr>
        <w:trPr>
          <w:jc w:val="center"/>
          <w:trHeight w:val="420"/>
        </w:trPr>
        <w:tc>
          <w:tcPr>
            <w:tcW w:w="2008"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永兴街南段</w:t>
            </w:r>
            <w:r/>
          </w:p>
        </w:tc>
        <w:tc>
          <w:tcPr>
            <w:tcW w:w="1815"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410" w:type="dxa"/>
            <w:vAlign w:val="center"/>
            <w:textDirection w:val="lrTb"/>
            <w:noWrap w:val="false"/>
          </w:tcPr>
          <w:p>
            <w:pPr>
              <w:ind w:left="360" w:firstLine="0"/>
              <w:jc w:val="both"/>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400</w:t>
            </w:r>
            <w:r/>
          </w:p>
        </w:tc>
        <w:tc>
          <w:tcPr>
            <w:tcW w:w="129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3</w:t>
            </w:r>
            <w:r/>
          </w:p>
        </w:tc>
        <w:tc>
          <w:tcPr>
            <w:tcW w:w="24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1200</w:t>
            </w:r>
            <w:r/>
          </w:p>
        </w:tc>
        <w:tc>
          <w:tcPr>
            <w:tcW w:w="149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20"/>
        </w:trPr>
        <w:tc>
          <w:tcPr>
            <w:tcW w:w="2008"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小闸塘公园</w:t>
            </w:r>
            <w:r/>
          </w:p>
        </w:tc>
        <w:tc>
          <w:tcPr>
            <w:tcW w:w="1815"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410" w:type="dxa"/>
            <w:vAlign w:val="center"/>
            <w:textDirection w:val="lrTb"/>
            <w:noWrap w:val="false"/>
          </w:tcPr>
          <w:p>
            <w:pPr>
              <w:ind w:left="360" w:firstLine="0"/>
              <w:jc w:val="both"/>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9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4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600</w:t>
            </w:r>
            <w:r/>
          </w:p>
        </w:tc>
        <w:tc>
          <w:tcPr>
            <w:tcW w:w="149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20"/>
        </w:trPr>
        <w:tc>
          <w:tcPr>
            <w:tcW w:w="2008"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景湖花园</w:t>
            </w:r>
            <w:r>
              <w:rPr>
                <w:rFonts w:hint="eastAsia" w:ascii="宋体" w:hAnsi="宋体" w:eastAsia="宋体" w:cs="宋体"/>
                <w:color w:val="000000"/>
                <w:sz w:val="24"/>
                <w:szCs w:val="24"/>
                <w:lang w:val="en-US" w:eastAsia="zh-CN"/>
              </w:rPr>
              <w:t xml:space="preserve">内部</w:t>
            </w:r>
            <w:r>
              <w:rPr>
                <w:rFonts w:hint="eastAsia" w:ascii="宋体" w:hAnsi="宋体" w:eastAsia="宋体" w:cs="宋体"/>
                <w:color w:val="000000"/>
                <w:sz w:val="24"/>
                <w:szCs w:val="24"/>
                <w:lang w:eastAsia="zh-CN"/>
              </w:rPr>
              <w:t xml:space="preserve">道路路面</w:t>
            </w:r>
            <w:r/>
          </w:p>
        </w:tc>
        <w:tc>
          <w:tcPr>
            <w:tcW w:w="1815"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410" w:type="dxa"/>
            <w:vAlign w:val="center"/>
            <w:textDirection w:val="lrTb"/>
            <w:noWrap w:val="false"/>
          </w:tcPr>
          <w:p>
            <w:pPr>
              <w:ind w:left="360" w:firstLine="0"/>
              <w:jc w:val="both"/>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90" w:type="dxa"/>
            <w:vAlign w:val="center"/>
            <w:textDirection w:val="lrTb"/>
            <w:noWrap w:val="false"/>
          </w:tcPr>
          <w:p>
            <w:pPr>
              <w:ind w:left="360" w:firstLine="0"/>
              <w:jc w:val="center"/>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4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2400</w:t>
            </w:r>
            <w:r/>
          </w:p>
        </w:tc>
        <w:tc>
          <w:tcPr>
            <w:tcW w:w="149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20"/>
        </w:trPr>
        <w:tc>
          <w:tcPr>
            <w:tcW w:w="2008" w:type="dxa"/>
            <w:vAlign w:val="center"/>
            <w:textDirection w:val="lrTb"/>
            <w:noWrap w:val="false"/>
          </w:tcPr>
          <w:p>
            <w:pPr>
              <w:jc w:val="left"/>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界首村村部至盂陵路巷道</w:t>
            </w:r>
            <w:r/>
          </w:p>
        </w:tc>
        <w:tc>
          <w:tcPr>
            <w:tcW w:w="1815" w:type="dxa"/>
            <w:vAlign w:val="center"/>
            <w:textDirection w:val="lrTb"/>
            <w:noWrap w:val="false"/>
          </w:tcPr>
          <w:p>
            <w:pPr>
              <w:jc w:val="left"/>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410" w:type="dxa"/>
            <w:vAlign w:val="center"/>
            <w:textDirection w:val="lrTb"/>
            <w:noWrap w:val="false"/>
          </w:tcPr>
          <w:p>
            <w:pPr>
              <w:ind w:left="360" w:firstLine="0"/>
              <w:jc w:val="left"/>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200</w:t>
            </w:r>
            <w:r/>
          </w:p>
        </w:tc>
        <w:tc>
          <w:tcPr>
            <w:tcW w:w="1290" w:type="dxa"/>
            <w:vAlign w:val="center"/>
            <w:textDirection w:val="lrTb"/>
            <w:noWrap w:val="false"/>
          </w:tcPr>
          <w:p>
            <w:pPr>
              <w:ind w:left="360" w:firstLine="0"/>
              <w:jc w:val="center"/>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w:t>
            </w:r>
            <w:r/>
          </w:p>
        </w:tc>
        <w:tc>
          <w:tcPr>
            <w:tcW w:w="24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600</w:t>
            </w:r>
            <w:r/>
          </w:p>
        </w:tc>
        <w:tc>
          <w:tcPr>
            <w:tcW w:w="149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20"/>
        </w:trPr>
        <w:tc>
          <w:tcPr>
            <w:tcW w:w="2008" w:type="dxa"/>
            <w:vAlign w:val="center"/>
            <w:textDirection w:val="lrTb"/>
            <w:noWrap w:val="false"/>
          </w:tcPr>
          <w:p>
            <w:pPr>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W w:w="1815"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0" w:type="dxa"/>
            <w:vAlign w:val="center"/>
            <w:textDirection w:val="lrTb"/>
            <w:noWrap w:val="false"/>
          </w:tcPr>
          <w:p>
            <w:pPr>
              <w:ind w:left="360" w:firstLine="0"/>
              <w:jc w:val="both"/>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0" w:type="dxa"/>
            <w:vAlign w:val="center"/>
            <w:textDirection w:val="lrTb"/>
            <w:noWrap w:val="false"/>
          </w:tcPr>
          <w:p>
            <w:pPr>
              <w:ind w:left="36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60"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49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420"/>
        </w:trPr>
        <w:tc>
          <w:tcPr>
            <w:tcW w:w="2008"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15"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0" w:type="dxa"/>
            <w:vAlign w:val="center"/>
            <w:textDirection w:val="lrTb"/>
            <w:noWrap w:val="false"/>
          </w:tcPr>
          <w:p>
            <w:pPr>
              <w:ind w:left="360" w:firstLine="0"/>
              <w:jc w:val="both"/>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0"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60"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9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360"/>
        </w:trPr>
        <w:tc>
          <w:tcPr>
            <w:tcW w:w="2008" w:type="dxa"/>
            <w:vAlign w:val="center"/>
            <w:textDirection w:val="lrTb"/>
            <w:noWrap w:val="false"/>
          </w:tcPr>
          <w:p>
            <w:pPr>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815"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0" w:type="dxa"/>
            <w:vAlign w:val="center"/>
            <w:textDirection w:val="lrTb"/>
            <w:noWrap w:val="false"/>
          </w:tcPr>
          <w:p>
            <w:pPr>
              <w:ind w:left="360" w:firstLine="0"/>
              <w:jc w:val="both"/>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290" w:type="dxa"/>
            <w:vAlign w:val="center"/>
            <w:textDirection w:val="lrTb"/>
            <w:noWrap w:val="false"/>
          </w:tcPr>
          <w:p>
            <w:pPr>
              <w:ind w:left="68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460"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90" w:type="dxa"/>
            <w:vAlign w:val="center"/>
            <w:textDirection w:val="lrTb"/>
            <w:noWrap w:val="false"/>
          </w:tcPr>
          <w:p>
            <w:pPr>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ind w:firstLine="42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jc w:val="left"/>
        <w:spacing w:line="360" w:lineRule="auto"/>
        <w:rPr>
          <w:rFonts w:hint="eastAsia" w:ascii="宋体" w:hAnsi="宋体" w:eastAsia="宋体" w:cs="宋体"/>
          <w:b/>
          <w:szCs w:val="21"/>
        </w:rPr>
      </w:pPr>
      <w:r>
        <w:rPr>
          <w:rFonts w:hint="eastAsia" w:ascii="宋体" w:hAnsi="宋体" w:eastAsia="宋体" w:cs="宋体"/>
          <w:b/>
          <w:bCs/>
          <w:szCs w:val="21"/>
        </w:rPr>
        <mc:AlternateContent>
          <mc:Choice Requires="wpg">
            <w:drawing>
              <wp:inline xmlns:wp="http://schemas.openxmlformats.org/drawingml/2006/wordprocessingDrawing" distT="0" distB="0" distL="0" distR="0">
                <wp:extent cx="5219700" cy="3690620"/>
                <wp:effectExtent l="0" t="0" r="0" b="5080"/>
                <wp:docPr id="4" name="图片 2" descr="30远景建设规划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30远景建设规划图"/>
                        <pic:cNvPicPr>
                          <a:picLocks noChangeAspect="1"/>
                        </pic:cNvPicPr>
                        <pic:nvPr/>
                      </pic:nvPicPr>
                      <pic:blipFill>
                        <a:blip r:embed="rId20"/>
                        <a:stretch/>
                      </pic:blipFill>
                      <pic:spPr bwMode="auto">
                        <a:xfrm>
                          <a:off x="0" y="0"/>
                          <a:ext cx="5219700" cy="3690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1.0pt;height:290.6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b/>
          <w:bCs/>
          <w:szCs w:val="21"/>
        </w:rPr>
        <w:br w:type="page" w:clear="all"/>
      </w:r>
      <w:r>
        <w:rPr>
          <w:rFonts w:hint="eastAsia" w:ascii="宋体" w:hAnsi="宋体" w:eastAsia="宋体" w:cs="宋体"/>
          <w:b/>
          <w:bCs/>
          <w:sz w:val="24"/>
          <w:szCs w:val="24"/>
        </w:rPr>
        <w:t xml:space="preserve">附件三：</w:t>
      </w:r>
      <w:r/>
    </w:p>
    <w:p>
      <w:pPr>
        <w:ind w:firstLine="482"/>
        <w:jc w:val="center"/>
        <w:spacing w:line="360" w:lineRule="auto"/>
        <w:rPr>
          <w:rFonts w:hint="eastAsia" w:ascii="宋体" w:hAnsi="宋体" w:eastAsia="宋体" w:cs="宋体"/>
          <w:b/>
          <w:szCs w:val="21"/>
        </w:rPr>
      </w:pPr>
      <w:r>
        <w:rPr>
          <w:rFonts w:hint="eastAsia" w:ascii="宋体" w:hAnsi="宋体" w:eastAsia="宋体" w:cs="宋体"/>
          <w:b/>
          <w:sz w:val="24"/>
          <w:szCs w:val="24"/>
        </w:rPr>
        <w:t xml:space="preserve">环境卫生工单处置时限表</w:t>
      </w:r>
      <w:r/>
    </w:p>
    <w:tbl>
      <w:tblPr>
        <w:tblStyle w:val="819"/>
        <w:tblW w:w="92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1"/>
        <w:gridCol w:w="6756"/>
        <w:gridCol w:w="1304"/>
      </w:tblGrid>
      <w:tr>
        <w:trPr>
          <w:jc w:val="center"/>
          <w:trHeight w:val="372"/>
        </w:trPr>
        <w:tc>
          <w:tcPr>
            <w:tcW w:w="118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类   别</w:t>
            </w:r>
            <w:r/>
          </w:p>
        </w:tc>
        <w:tc>
          <w:tcPr>
            <w:tcW w:w="6756"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内      容</w:t>
            </w:r>
            <w:r/>
          </w:p>
        </w:tc>
        <w:tc>
          <w:tcPr>
            <w:tcW w:w="1304"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处置时限</w:t>
            </w:r>
            <w:r/>
          </w:p>
        </w:tc>
      </w:tr>
      <w:tr>
        <w:trPr>
          <w:jc w:val="center"/>
          <w:trHeight w:val="372"/>
        </w:trPr>
        <w:tc>
          <w:tcPr>
            <w:tcW w:w="1181" w:type="dxa"/>
            <w:vAlign w:val="center"/>
            <w:vMerge w:val="restart"/>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暴露生活垃圾堆</w:t>
            </w:r>
            <w:r/>
          </w:p>
        </w:tc>
        <w:tc>
          <w:tcPr>
            <w:tcW w:w="6756"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主次干道两侧、繁华商业区等重点区域</w:t>
            </w:r>
            <w:r/>
          </w:p>
        </w:tc>
        <w:tc>
          <w:tcPr>
            <w:tcW w:w="1304"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0.5小时</w:t>
            </w:r>
            <w:r/>
          </w:p>
        </w:tc>
      </w:tr>
      <w:tr>
        <w:trPr>
          <w:jc w:val="center"/>
          <w:trHeight w:val="372"/>
        </w:trPr>
        <w:tc>
          <w:tcPr>
            <w:tcW w:w="1181" w:type="dxa"/>
            <w:vAlign w:val="center"/>
            <w:vMerge w:val="continue"/>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756"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村、社区道路、绿他、楼道等</w:t>
            </w:r>
            <w:r/>
          </w:p>
        </w:tc>
        <w:tc>
          <w:tcPr>
            <w:tcW w:w="1304"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1小时</w:t>
            </w:r>
            <w:r/>
          </w:p>
        </w:tc>
      </w:tr>
      <w:tr>
        <w:trPr>
          <w:jc w:val="center"/>
          <w:trHeight w:val="372"/>
        </w:trPr>
        <w:tc>
          <w:tcPr>
            <w:tcW w:w="1181" w:type="dxa"/>
            <w:vAlign w:val="center"/>
            <w:vMerge w:val="restart"/>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保洁消杀不到位</w:t>
            </w:r>
            <w:r/>
          </w:p>
        </w:tc>
        <w:tc>
          <w:tcPr>
            <w:tcW w:w="6756"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主次干道、繁华商业区等重点区域保洁不到位</w:t>
            </w:r>
            <w:r/>
          </w:p>
        </w:tc>
        <w:tc>
          <w:tcPr>
            <w:tcW w:w="1304"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0.5小时</w:t>
            </w:r>
            <w:r/>
          </w:p>
        </w:tc>
      </w:tr>
      <w:tr>
        <w:trPr>
          <w:jc w:val="center"/>
          <w:trHeight w:val="372"/>
        </w:trPr>
        <w:tc>
          <w:tcPr>
            <w:tcW w:w="1181" w:type="dxa"/>
            <w:vAlign w:val="center"/>
            <w:vMerge w:val="continue"/>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756"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村、社区道路、绿他、楼道等保洁不到位</w:t>
            </w:r>
            <w:r/>
          </w:p>
        </w:tc>
        <w:tc>
          <w:tcPr>
            <w:tcW w:w="1304"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1小时</w:t>
            </w:r>
            <w:r/>
          </w:p>
        </w:tc>
      </w:tr>
      <w:tr>
        <w:trPr>
          <w:jc w:val="center"/>
          <w:trHeight w:val="372"/>
        </w:trPr>
        <w:tc>
          <w:tcPr>
            <w:tcW w:w="1181" w:type="dxa"/>
            <w:vAlign w:val="center"/>
            <w:vMerge w:val="continue"/>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756"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公厕保洁消杀不到位</w:t>
            </w:r>
            <w:r/>
          </w:p>
        </w:tc>
        <w:tc>
          <w:tcPr>
            <w:tcW w:w="1304"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1小时</w:t>
            </w:r>
            <w:r/>
          </w:p>
        </w:tc>
      </w:tr>
      <w:tr>
        <w:trPr>
          <w:jc w:val="center"/>
          <w:trHeight w:val="372"/>
        </w:trPr>
        <w:tc>
          <w:tcPr>
            <w:tcW w:w="1181" w:type="dxa"/>
            <w:vAlign w:val="center"/>
            <w:vMerge w:val="continue"/>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756"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垃圾容器和中转站点不洁，消杀不到位等</w:t>
            </w:r>
            <w:r/>
          </w:p>
        </w:tc>
        <w:tc>
          <w:tcPr>
            <w:tcW w:w="1304"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2小时</w:t>
            </w:r>
            <w:r/>
          </w:p>
        </w:tc>
      </w:tr>
      <w:tr>
        <w:trPr>
          <w:jc w:val="center"/>
          <w:trHeight w:val="372"/>
        </w:trPr>
        <w:tc>
          <w:tcPr>
            <w:tcW w:w="1181"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路面抛洒滴漏</w:t>
            </w:r>
            <w:r/>
          </w:p>
        </w:tc>
        <w:tc>
          <w:tcPr>
            <w:tcW w:w="6756"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车辆运输或装卸过程中发生遗撤污染路面</w:t>
            </w:r>
            <w:r/>
          </w:p>
        </w:tc>
        <w:tc>
          <w:tcPr>
            <w:tcW w:w="1304"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1小时</w:t>
            </w:r>
            <w:r/>
          </w:p>
        </w:tc>
      </w:tr>
      <w:tr>
        <w:trPr>
          <w:jc w:val="center"/>
          <w:trHeight w:val="372"/>
        </w:trPr>
        <w:tc>
          <w:tcPr>
            <w:tcW w:w="1181" w:type="dxa"/>
            <w:vAlign w:val="center"/>
            <w:vMerge w:val="restart"/>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垃圾容器满溢</w:t>
            </w:r>
            <w:r/>
          </w:p>
        </w:tc>
        <w:tc>
          <w:tcPr>
            <w:tcW w:w="6756"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主次干道两侧、繁华商业区等重点区域垃圾容器满溢</w:t>
            </w:r>
            <w:r/>
          </w:p>
        </w:tc>
        <w:tc>
          <w:tcPr>
            <w:tcW w:w="1304"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1小时</w:t>
            </w:r>
            <w:r/>
          </w:p>
        </w:tc>
      </w:tr>
      <w:tr>
        <w:trPr>
          <w:jc w:val="center"/>
          <w:trHeight w:val="372"/>
        </w:trPr>
        <w:tc>
          <w:tcPr>
            <w:tcW w:w="1181" w:type="dxa"/>
            <w:vAlign w:val="center"/>
            <w:vMerge w:val="continue"/>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756"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村、社区垃圾容器满溢</w:t>
            </w:r>
            <w:r/>
          </w:p>
        </w:tc>
        <w:tc>
          <w:tcPr>
            <w:tcW w:w="1304"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2小时</w:t>
            </w:r>
            <w:r/>
          </w:p>
        </w:tc>
      </w:tr>
      <w:tr>
        <w:trPr>
          <w:jc w:val="center"/>
          <w:trHeight w:val="372"/>
        </w:trPr>
        <w:tc>
          <w:tcPr>
            <w:tcW w:w="1181" w:type="dxa"/>
            <w:vAlign w:val="center"/>
            <w:vMerge w:val="restart"/>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环卫设施缺损</w:t>
            </w:r>
            <w:r/>
          </w:p>
        </w:tc>
        <w:tc>
          <w:tcPr>
            <w:tcW w:w="6756"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公厕水箱、龙头漏水。 </w:t>
            </w:r>
            <w:r/>
          </w:p>
        </w:tc>
        <w:tc>
          <w:tcPr>
            <w:tcW w:w="1304"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2小时</w:t>
            </w:r>
            <w:r/>
          </w:p>
        </w:tc>
      </w:tr>
      <w:tr>
        <w:trPr>
          <w:jc w:val="center"/>
          <w:trHeight w:val="372"/>
        </w:trPr>
        <w:tc>
          <w:tcPr>
            <w:tcW w:w="1181" w:type="dxa"/>
            <w:vAlign w:val="center"/>
            <w:vMerge w:val="continue"/>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756"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公厕管道堵塞、粪便满溢，破旧垃圾桶更换</w:t>
            </w:r>
            <w:r/>
          </w:p>
        </w:tc>
        <w:tc>
          <w:tcPr>
            <w:tcW w:w="1304"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3小时</w:t>
            </w:r>
            <w:r/>
          </w:p>
        </w:tc>
      </w:tr>
      <w:tr>
        <w:trPr>
          <w:jc w:val="center"/>
          <w:trHeight w:val="372"/>
        </w:trPr>
        <w:tc>
          <w:tcPr>
            <w:tcW w:w="1181" w:type="dxa"/>
            <w:vAlign w:val="center"/>
            <w:vMerge w:val="continue"/>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756"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照明设施维修、标识牌更换、公厕节水装置、水箱维修更换等</w:t>
            </w:r>
            <w:r/>
          </w:p>
        </w:tc>
        <w:tc>
          <w:tcPr>
            <w:tcW w:w="1304"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3小时</w:t>
            </w:r>
            <w:r/>
          </w:p>
        </w:tc>
      </w:tr>
      <w:tr>
        <w:trPr>
          <w:jc w:val="center"/>
          <w:trHeight w:val="372"/>
        </w:trPr>
        <w:tc>
          <w:tcPr>
            <w:tcW w:w="1181" w:type="dxa"/>
            <w:vAlign w:val="center"/>
            <w:vMerge w:val="continue"/>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756"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公厕、垃圾箱房瓷砖修补、地面小修、下水管道修理</w:t>
            </w:r>
            <w:r/>
          </w:p>
        </w:tc>
        <w:tc>
          <w:tcPr>
            <w:tcW w:w="1304"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24小时</w:t>
            </w:r>
            <w:r/>
          </w:p>
        </w:tc>
      </w:tr>
      <w:tr>
        <w:trPr>
          <w:jc w:val="center"/>
          <w:trHeight w:val="372"/>
        </w:trPr>
        <w:tc>
          <w:tcPr>
            <w:tcW w:w="1181" w:type="dxa"/>
            <w:vAlign w:val="center"/>
            <w:vMerge w:val="continue"/>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756"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公厕、垃圾箱房、中转站、作息点较大范围的整修</w:t>
            </w:r>
            <w:r/>
          </w:p>
        </w:tc>
        <w:tc>
          <w:tcPr>
            <w:tcW w:w="1304"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1周</w:t>
            </w:r>
            <w:r/>
          </w:p>
        </w:tc>
      </w:tr>
      <w:tr>
        <w:trPr>
          <w:jc w:val="center"/>
          <w:trHeight w:val="372"/>
        </w:trPr>
        <w:tc>
          <w:tcPr>
            <w:tcW w:w="1181" w:type="dxa"/>
            <w:vAlign w:val="center"/>
            <w:vMerge w:val="restart"/>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无主建筑装修垃圾及渣土</w:t>
            </w:r>
            <w:r/>
          </w:p>
        </w:tc>
        <w:tc>
          <w:tcPr>
            <w:tcW w:w="6756"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少量（保洁员可处理）</w:t>
            </w:r>
            <w:r/>
          </w:p>
        </w:tc>
        <w:tc>
          <w:tcPr>
            <w:tcW w:w="1304"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0.5小时</w:t>
            </w:r>
            <w:r/>
          </w:p>
        </w:tc>
      </w:tr>
      <w:tr>
        <w:trPr>
          <w:jc w:val="center"/>
          <w:trHeight w:val="372"/>
        </w:trPr>
        <w:tc>
          <w:tcPr>
            <w:tcW w:w="1181" w:type="dxa"/>
            <w:vAlign w:val="center"/>
            <w:vMerge w:val="continue"/>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756"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较大量（0.5吨机动垃圾收集车可处理）</w:t>
            </w:r>
            <w:r/>
          </w:p>
        </w:tc>
        <w:tc>
          <w:tcPr>
            <w:tcW w:w="1304"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3小时</w:t>
            </w:r>
            <w:r/>
          </w:p>
        </w:tc>
      </w:tr>
      <w:tr>
        <w:trPr>
          <w:jc w:val="center"/>
          <w:trHeight w:val="372"/>
        </w:trPr>
        <w:tc>
          <w:tcPr>
            <w:tcW w:w="1181" w:type="dxa"/>
            <w:vAlign w:val="center"/>
            <w:vMerge w:val="continue"/>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756"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大量（需大型机械设备）</w:t>
            </w:r>
            <w:r/>
          </w:p>
        </w:tc>
        <w:tc>
          <w:tcPr>
            <w:tcW w:w="1304"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8小时</w:t>
            </w:r>
            <w:r/>
          </w:p>
        </w:tc>
      </w:tr>
      <w:tr>
        <w:trPr>
          <w:jc w:val="center"/>
          <w:trHeight w:val="372"/>
        </w:trPr>
        <w:tc>
          <w:tcPr>
            <w:tcW w:w="1181"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废弃家具设施</w:t>
            </w:r>
            <w:r/>
          </w:p>
        </w:tc>
        <w:tc>
          <w:tcPr>
            <w:tcW w:w="6756"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长期占道摆放无主家具设备</w:t>
            </w:r>
            <w:r/>
          </w:p>
        </w:tc>
        <w:tc>
          <w:tcPr>
            <w:tcW w:w="1304"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3小时</w:t>
            </w:r>
            <w:r/>
          </w:p>
        </w:tc>
      </w:tr>
      <w:tr>
        <w:trPr>
          <w:jc w:val="center"/>
          <w:trHeight w:val="372"/>
        </w:trPr>
        <w:tc>
          <w:tcPr>
            <w:tcW w:w="1181"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作业车辆不整洁</w:t>
            </w:r>
            <w:r/>
          </w:p>
        </w:tc>
        <w:tc>
          <w:tcPr>
            <w:tcW w:w="6756"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垃圾收集运输车辆、保洁车辆等外观破损、不洁。</w:t>
            </w:r>
            <w:r/>
          </w:p>
        </w:tc>
        <w:tc>
          <w:tcPr>
            <w:tcW w:w="1304"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3小时</w:t>
            </w:r>
            <w:r/>
          </w:p>
        </w:tc>
      </w:tr>
      <w:tr>
        <w:trPr>
          <w:jc w:val="center"/>
          <w:trHeight w:val="372"/>
        </w:trPr>
        <w:tc>
          <w:tcPr>
            <w:tcW w:w="1181" w:type="dxa"/>
            <w:vAlign w:val="center"/>
            <w:vMerge w:val="restart"/>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动物尸体</w:t>
            </w:r>
            <w:r/>
          </w:p>
        </w:tc>
        <w:tc>
          <w:tcPr>
            <w:tcW w:w="6756"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主次干道两侧、繁华商业区等重点区域</w:t>
            </w:r>
            <w:r/>
          </w:p>
        </w:tc>
        <w:tc>
          <w:tcPr>
            <w:tcW w:w="1304"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0.5小时</w:t>
            </w:r>
            <w:r/>
          </w:p>
        </w:tc>
      </w:tr>
      <w:tr>
        <w:trPr>
          <w:jc w:val="center"/>
          <w:trHeight w:val="372"/>
        </w:trPr>
        <w:tc>
          <w:tcPr>
            <w:tcW w:w="1181" w:type="dxa"/>
            <w:vAlign w:val="center"/>
            <w:vMerge w:val="continue"/>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6756"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村、社区等区域</w:t>
            </w:r>
            <w:r/>
          </w:p>
        </w:tc>
        <w:tc>
          <w:tcPr>
            <w:tcW w:w="1304"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1小时</w:t>
            </w:r>
            <w:r/>
          </w:p>
        </w:tc>
      </w:tr>
      <w:tr>
        <w:trPr>
          <w:jc w:val="center"/>
          <w:trHeight w:val="975"/>
        </w:trPr>
        <w:tc>
          <w:tcPr>
            <w:gridSpan w:val="3"/>
            <w:tcW w:w="9240"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备注：工单下派时间在责任单位工作时间之外的（主要为夜间时段，不含节假日），根据环卫事（部）件的重要性和紧急程度另行确定处置时限。</w:t>
            </w:r>
            <w:r/>
          </w:p>
        </w:tc>
      </w:tr>
    </w:tbl>
    <w:p>
      <w:pPr>
        <w:rPr>
          <w:rFonts w:hint="eastAsia" w:ascii="宋体" w:hAnsi="宋体" w:eastAsia="宋体" w:cs="宋体"/>
          <w:szCs w:val="21"/>
        </w:rPr>
      </w:pPr>
      <w:r>
        <w:rPr>
          <w:rFonts w:hint="eastAsia" w:ascii="宋体" w:hAnsi="宋体" w:eastAsia="宋体" w:cs="宋体"/>
          <w:szCs w:val="21"/>
        </w:rPr>
      </w:r>
      <w:r/>
    </w:p>
    <w:p>
      <w:pPr>
        <w:pStyle w:val="996"/>
        <w:jc w:val="left"/>
        <w:rPr>
          <w:rFonts w:hint="eastAsia" w:ascii="宋体" w:hAnsi="宋体" w:eastAsia="宋体" w:cs="宋体"/>
          <w:b/>
          <w:bCs/>
          <w:color w:val="000000"/>
          <w:sz w:val="24"/>
          <w:szCs w:val="24"/>
        </w:rPr>
      </w:pPr>
      <w:r>
        <w:rPr>
          <w:rFonts w:hint="eastAsia" w:ascii="宋体" w:hAnsi="宋体" w:eastAsia="宋体" w:cs="宋体"/>
          <w:color w:val="000000"/>
          <w:sz w:val="36"/>
        </w:rPr>
        <w:br w:type="page" w:clear="all"/>
      </w:r>
      <w:r/>
    </w:p>
    <w:p>
      <w:pPr>
        <w:jc w:val="center"/>
        <w:rPr>
          <w:rFonts w:hint="eastAsia" w:ascii="宋体" w:hAnsi="宋体" w:eastAsia="宋体" w:cs="宋体"/>
          <w:bCs/>
          <w:color w:val="000000"/>
          <w:sz w:val="44"/>
        </w:rPr>
      </w:pPr>
      <w:r>
        <w:rPr>
          <w:rFonts w:hint="eastAsia" w:ascii="宋体" w:hAnsi="宋体" w:eastAsia="宋体" w:cs="宋体"/>
          <w:b/>
          <w:bCs w:val="0"/>
          <w:color w:val="000000"/>
          <w:sz w:val="32"/>
          <w:szCs w:val="32"/>
        </w:rPr>
        <w:t xml:space="preserve">第五章  评标方法与评标标准</w:t>
      </w:r>
      <w:r/>
    </w:p>
    <w:p>
      <w:pPr>
        <w:rPr>
          <w:rFonts w:hint="eastAsia" w:ascii="宋体" w:hAnsi="宋体" w:eastAsia="宋体" w:cs="宋体"/>
          <w:color w:val="000000"/>
        </w:rPr>
      </w:pPr>
      <w:r>
        <w:rPr>
          <w:rFonts w:hint="eastAsia" w:ascii="宋体" w:hAnsi="宋体" w:eastAsia="宋体" w:cs="宋体"/>
          <w:color w:val="000000"/>
        </w:rPr>
      </w:r>
      <w:r/>
    </w:p>
    <w:p>
      <w:pPr>
        <w:ind w:firstLine="439"/>
        <w:jc w:val="left"/>
        <w:spacing w:before="120" w:after="120"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一、评标方法</w:t>
      </w:r>
      <w:r/>
    </w:p>
    <w:p>
      <w:pPr>
        <w:ind w:firstLine="439"/>
        <w:jc w:val="left"/>
        <w:spacing w:before="120" w:after="120"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本项目采用综合评分法的，评标结果按评审后得分由高到低顺序排列。得分相同的，按投标报价由低到高顺序排列。得分且投标报价相同的并列。选取中标候选人的原则为满足招标文件全部实质性要求，且按照评审因素的量化指标评审得分最高的投标人为中标候选人，选取中标候选人数量为前三名。</w:t>
      </w:r>
      <w:r/>
    </w:p>
    <w:p>
      <w:pPr>
        <w:ind w:firstLine="439"/>
        <w:jc w:val="left"/>
        <w:spacing w:before="120" w:after="120" w:line="360" w:lineRule="auto"/>
        <w:rPr>
          <w:rFonts w:hint="eastAsia" w:ascii="宋体" w:hAnsi="宋体" w:eastAsia="宋体" w:cs="宋体"/>
          <w:b w:val="0"/>
          <w:bCs w:val="0"/>
          <w:color w:val="auto"/>
          <w:sz w:val="24"/>
          <w:szCs w:val="24"/>
          <w:highlight w:val="none"/>
          <w:lang w:val="en-US" w:eastAsia="zh-CN"/>
        </w:rPr>
      </w:pPr>
      <w:r/>
      <w:bookmarkStart w:id="198" w:name="_Toc449016388"/>
      <w:r/>
      <w:bookmarkStart w:id="199" w:name="_Toc449017024"/>
      <w:r>
        <w:rPr>
          <w:rFonts w:hint="eastAsia" w:ascii="宋体" w:hAnsi="宋体" w:eastAsia="宋体" w:cs="宋体"/>
          <w:b w:val="0"/>
          <w:bCs w:val="0"/>
          <w:color w:val="auto"/>
          <w:sz w:val="24"/>
          <w:szCs w:val="24"/>
          <w:highlight w:val="none"/>
          <w:lang w:val="en-US" w:eastAsia="zh-CN"/>
        </w:rPr>
        <w:t xml:space="preserve">二、政府采购政策功能落实</w:t>
      </w:r>
      <w:bookmarkEnd w:id="198"/>
      <w:r/>
      <w:bookmarkEnd w:id="199"/>
      <w:r/>
      <w:r/>
    </w:p>
    <w:p>
      <w:pPr>
        <w:ind w:firstLine="439"/>
        <w:jc w:val="left"/>
        <w:spacing w:before="120" w:after="120"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本项目专门面向中小企业采购。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firstLine="439"/>
        <w:jc w:val="left"/>
        <w:spacing w:before="120" w:after="120"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1.小微型企业价格扣除</w:t>
      </w:r>
      <w:r/>
    </w:p>
    <w:p>
      <w:pPr>
        <w:ind w:firstLine="439"/>
        <w:jc w:val="left"/>
        <w:spacing w:before="120" w:after="120"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（1）需对小型和微型企业产品给予20%的扣除价格，用扣除后的价格参与评审。</w:t>
      </w:r>
      <w:r/>
    </w:p>
    <w:p>
      <w:pPr>
        <w:ind w:firstLine="439"/>
        <w:jc w:val="left"/>
        <w:spacing w:before="120" w:after="120"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（2）投标人需按照采购文件的要求提供相应的《中小企业声明函》。</w:t>
      </w:r>
      <w:r/>
    </w:p>
    <w:p>
      <w:pPr>
        <w:ind w:firstLine="439"/>
        <w:jc w:val="left"/>
        <w:spacing w:before="120" w:after="120"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（3）企业标准请参照《关于印发中小企业划型标准规定的通知》（工信部联企业〔209〕300号）文件规定自行填写。</w:t>
      </w:r>
      <w:r/>
    </w:p>
    <w:p>
      <w:pPr>
        <w:ind w:firstLine="439"/>
        <w:jc w:val="left"/>
        <w:spacing w:before="120" w:after="120"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2.残疾人福利单位价格扣除</w:t>
      </w:r>
      <w:r/>
    </w:p>
    <w:p>
      <w:pPr>
        <w:ind w:firstLine="439"/>
        <w:jc w:val="left"/>
        <w:spacing w:before="120" w:after="120"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（1）本项目对残疾人福利性单位视同小型、微型企业，给予20%的价格扣除，用扣除后的价格参与评审。</w:t>
      </w:r>
      <w:r/>
    </w:p>
    <w:p>
      <w:pPr>
        <w:ind w:firstLine="439"/>
        <w:jc w:val="left"/>
        <w:spacing w:before="120" w:after="120"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（2）残疾人福利单位需按照采购文件的要求提供《残疾人福利单位声明函》。</w:t>
      </w:r>
      <w:r/>
    </w:p>
    <w:p>
      <w:pPr>
        <w:ind w:firstLine="439"/>
        <w:jc w:val="left"/>
        <w:spacing w:before="120" w:after="120"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（3）残疾人福利单位标准请参照《关于促进残疾人就业政府采购政策的通知》（财库〔2017〕141号）。</w:t>
      </w:r>
      <w:r/>
    </w:p>
    <w:p>
      <w:pPr>
        <w:ind w:firstLine="439"/>
        <w:jc w:val="left"/>
        <w:spacing w:before="120" w:after="120"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3.监狱和戒毒企业价格扣除</w:t>
      </w:r>
      <w:r/>
    </w:p>
    <w:p>
      <w:pPr>
        <w:ind w:firstLine="439"/>
        <w:jc w:val="left"/>
        <w:spacing w:before="120" w:after="120"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（1）本项目对监狱和戒毒企业（简称监狱企业）视同小型、微型企业，给予20%的价格扣除，用扣除后的价格参与评审。</w:t>
      </w:r>
      <w:r/>
    </w:p>
    <w:p>
      <w:pPr>
        <w:ind w:firstLine="439"/>
        <w:jc w:val="left"/>
        <w:spacing w:before="120" w:after="120"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39"/>
        <w:jc w:val="left"/>
        <w:spacing w:before="120" w:after="120"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（3）监狱企业标准请参照《关于政府采购支持监狱企业发展有关问题的通知》（财库〔2014〕68号）。</w:t>
      </w:r>
      <w:r/>
    </w:p>
    <w:p>
      <w:pPr>
        <w:ind w:firstLine="439"/>
        <w:jc w:val="left"/>
        <w:spacing w:before="120" w:after="120"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4.残疾人福利单位、监狱企业属于小型、微型企业的，不重复享受政策。</w:t>
      </w:r>
      <w:r/>
    </w:p>
    <w:p>
      <w:pPr>
        <w:ind w:firstLine="439"/>
        <w:jc w:val="left"/>
        <w:spacing w:before="120" w:after="120"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39"/>
        <w:jc w:val="left"/>
        <w:spacing w:before="120" w:after="120"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6.联合体各方均为小型、微型企业（残疾人福利单位、监狱企业）的，联合体享受20%价格扣除，用扣除后的价格参与评审。</w:t>
      </w:r>
      <w:r/>
    </w:p>
    <w:p>
      <w:pPr>
        <w:ind w:firstLine="439"/>
        <w:jc w:val="left"/>
        <w:spacing w:before="120" w:after="120" w:line="360" w:lineRule="auto"/>
        <w:rPr>
          <w:rFonts w:hint="eastAsia" w:ascii="宋体" w:hAnsi="宋体" w:eastAsia="宋体" w:cs="宋体"/>
          <w:color w:val="000000"/>
        </w:rPr>
      </w:pPr>
      <w:r>
        <w:rPr>
          <w:rFonts w:hint="eastAsia" w:ascii="宋体" w:hAnsi="宋体" w:eastAsia="宋体" w:cs="宋体"/>
          <w:b w:val="0"/>
          <w:bCs w:val="0"/>
          <w:color w:val="auto"/>
          <w:sz w:val="24"/>
          <w:szCs w:val="24"/>
          <w:highlight w:val="none"/>
          <w:lang w:val="en-US" w:eastAsia="zh-CN"/>
        </w:rPr>
        <w:t xml:space="preserve">三、评标方法与评标标准：</w:t>
      </w:r>
      <w:r>
        <w:rPr>
          <w:rFonts w:hint="eastAsia" w:ascii="宋体" w:hAnsi="宋体" w:eastAsia="宋体" w:cs="宋体"/>
          <w:color w:val="000000"/>
        </w:rPr>
        <w:t xml:space="preserve"> </w:t>
      </w:r>
      <w:r/>
    </w:p>
    <w:tbl>
      <w:tblPr>
        <w:tblStyle w:val="819"/>
        <w:tblW w:w="95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6"/>
        <w:gridCol w:w="8175"/>
      </w:tblGrid>
      <w:tr>
        <w:trPr>
          <w:jc w:val="center"/>
        </w:trPr>
        <w:tc>
          <w:tcPr>
            <w:tcW w:w="1346"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评审因素</w:t>
            </w:r>
            <w:r/>
          </w:p>
        </w:tc>
        <w:tc>
          <w:tcPr>
            <w:tcW w:w="8175"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评审标准</w:t>
            </w:r>
            <w:r/>
          </w:p>
        </w:tc>
      </w:tr>
      <w:tr>
        <w:trPr>
          <w:jc w:val="center"/>
          <w:trHeight w:val="855"/>
        </w:trPr>
        <w:tc>
          <w:tcPr>
            <w:tcW w:w="1346" w:type="dxa"/>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价格分</w:t>
            </w:r>
            <w:r/>
          </w:p>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tc>
        <w:tc>
          <w:tcPr>
            <w:tcW w:w="8175" w:type="dxa"/>
            <w:vAlign w:val="center"/>
            <w:textDirection w:val="lrTb"/>
            <w:noWrap w:val="false"/>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以满足</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文件要求的最低投标报价为评标基准价，得满分</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分，其他投标报价得分=（评标基准价/其他投标报价）×</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×100%。</w:t>
            </w:r>
            <w:r/>
          </w:p>
        </w:tc>
      </w:tr>
      <w:tr>
        <w:trPr>
          <w:jc w:val="center"/>
        </w:trPr>
        <w:tc>
          <w:tcPr>
            <w:tcW w:w="1346"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服务方案（</w:t>
            </w: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w:t>
            </w:r>
            <w:r/>
          </w:p>
        </w:tc>
        <w:tc>
          <w:tcPr>
            <w:tcW w:w="8175" w:type="dxa"/>
            <w:vAlign w:val="center"/>
            <w:textDirection w:val="lrTb"/>
            <w:noWrap w:val="false"/>
          </w:tcPr>
          <w:p>
            <w:pPr>
              <w:pStyle w:val="1029"/>
              <w:numPr>
                <w:ilvl w:val="0"/>
                <w:numId w:val="0"/>
              </w:numPr>
              <w:ind w:firstLine="440"/>
              <w:jc w:val="left"/>
              <w:spacing w:line="240" w:lineRule="auto"/>
              <w:rPr>
                <w:rFonts w:hint="eastAsia" w:ascii="宋体" w:hAnsi="宋体" w:eastAsia="宋体" w:cs="宋体"/>
                <w:color w:val="000000"/>
                <w:spacing w:val="-10"/>
                <w:sz w:val="24"/>
                <w:szCs w:val="24"/>
                <w:highlight w:val="none"/>
                <w:lang w:val="en-US" w:eastAsia="zh-CN" w:bidi="ar-SA"/>
              </w:rPr>
            </w:pPr>
            <w:r>
              <w:rPr>
                <w:rFonts w:hint="eastAsia" w:ascii="宋体" w:hAnsi="宋体" w:eastAsia="宋体" w:cs="宋体"/>
                <w:color w:val="000000"/>
                <w:spacing w:val="-10"/>
                <w:sz w:val="24"/>
                <w:szCs w:val="24"/>
                <w:highlight w:val="none"/>
                <w:lang w:val="en-US" w:eastAsia="zh-CN" w:bidi="ar-SA"/>
              </w:rPr>
              <w:t xml:space="preserve">1.本项目所涉及区域相关业务现状、重难点分析：涵盖本项目所涉及的</w:t>
            </w:r>
            <w:r>
              <w:rPr>
                <w:rFonts w:hint="eastAsia" w:ascii="宋体" w:hAnsi="宋体" w:eastAsia="宋体" w:cs="宋体"/>
                <w:color w:val="auto"/>
                <w:sz w:val="24"/>
                <w:szCs w:val="24"/>
                <w:highlight w:val="none"/>
                <w:lang w:val="en-US" w:eastAsia="zh-CN"/>
              </w:rPr>
              <w:t xml:space="preserve">道路及广场保洁、河道保洁、垃圾收集、公厕保洁等</w:t>
            </w:r>
            <w:r>
              <w:rPr>
                <w:rFonts w:hint="eastAsia" w:ascii="宋体" w:hAnsi="宋体" w:eastAsia="宋体" w:cs="宋体"/>
                <w:color w:val="000000"/>
                <w:spacing w:val="-10"/>
                <w:sz w:val="24"/>
                <w:szCs w:val="24"/>
                <w:highlight w:val="none"/>
                <w:lang w:val="en-US" w:eastAsia="zh-CN" w:bidi="ar-SA"/>
              </w:rPr>
              <w:t xml:space="preserve">相关业务现状分析，且基于现状总结归纳各项业务运营重难点并进行分析，制定质量目标和管理措施。</w:t>
            </w:r>
            <w:r/>
          </w:p>
          <w:p>
            <w:pPr>
              <w:pStyle w:val="1029"/>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highlight w:val="none"/>
                <w:lang w:val="en-US" w:eastAsia="zh-CN" w:bidi="ar-SA"/>
              </w:rPr>
              <w:t xml:space="preserve">质量目标和管理措施</w:t>
            </w:r>
            <w:r>
              <w:rPr>
                <w:rFonts w:hint="eastAsia" w:ascii="宋体" w:hAnsi="宋体" w:eastAsia="宋体" w:cs="宋体"/>
                <w:color w:val="000000"/>
                <w:spacing w:val="-10"/>
                <w:sz w:val="24"/>
                <w:szCs w:val="24"/>
                <w:lang w:val="en-US" w:eastAsia="zh-CN" w:bidi="ar-SA"/>
              </w:rPr>
              <w:t xml:space="preserve">措施科学、严密、合理，描述详细且具有针对性的且没有缺项得7分； </w:t>
            </w:r>
            <w:r/>
          </w:p>
          <w:p>
            <w:pPr>
              <w:pStyle w:val="1029"/>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highlight w:val="none"/>
                <w:lang w:val="en-US" w:eastAsia="zh-CN" w:bidi="ar-SA"/>
              </w:rPr>
              <w:t xml:space="preserve">质量目标和管理措施</w:t>
            </w:r>
            <w:r>
              <w:rPr>
                <w:rFonts w:hint="eastAsia" w:ascii="宋体" w:hAnsi="宋体" w:eastAsia="宋体" w:cs="宋体"/>
                <w:color w:val="000000"/>
                <w:spacing w:val="-10"/>
                <w:sz w:val="24"/>
                <w:szCs w:val="24"/>
                <w:lang w:val="en-US" w:eastAsia="zh-CN" w:bidi="ar-SA"/>
              </w:rPr>
              <w:t xml:space="preserve">措施较合理、严密、描述较为详细，不存在实施难度，或漏缺1项，得5分； </w:t>
            </w:r>
            <w:r/>
          </w:p>
          <w:p>
            <w:pPr>
              <w:pStyle w:val="1029"/>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highlight w:val="none"/>
                <w:lang w:val="en-US" w:eastAsia="zh-CN" w:bidi="ar-SA"/>
              </w:rPr>
              <w:t xml:space="preserve">质量目标和管理措施</w:t>
            </w:r>
            <w:r>
              <w:rPr>
                <w:rFonts w:hint="eastAsia" w:ascii="宋体" w:hAnsi="宋体" w:eastAsia="宋体" w:cs="宋体"/>
                <w:color w:val="000000"/>
                <w:spacing w:val="-10"/>
                <w:sz w:val="24"/>
                <w:szCs w:val="24"/>
                <w:lang w:val="en-US" w:eastAsia="zh-CN" w:bidi="ar-SA"/>
              </w:rPr>
              <w:t xml:space="preserve">措施基本合理、描述一般、存在可操作性的，或漏缺2项，得3分； </w:t>
            </w:r>
            <w:r/>
          </w:p>
          <w:p>
            <w:pPr>
              <w:pStyle w:val="1029"/>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highlight w:val="none"/>
                <w:lang w:val="en-US" w:eastAsia="zh-CN" w:bidi="ar-SA"/>
              </w:rPr>
              <w:t xml:space="preserve">质量目标和管理措施</w:t>
            </w:r>
            <w:r>
              <w:rPr>
                <w:rFonts w:hint="eastAsia" w:ascii="宋体" w:hAnsi="宋体" w:eastAsia="宋体" w:cs="宋体"/>
                <w:color w:val="000000"/>
                <w:spacing w:val="-10"/>
                <w:sz w:val="24"/>
                <w:szCs w:val="24"/>
                <w:lang w:val="en-US" w:eastAsia="zh-CN" w:bidi="ar-SA"/>
              </w:rPr>
              <w:t xml:space="preserve">措施具有不合理项、描述欠缺、存在一定的实施难度的，或漏缺3项及以上的，得1分； </w:t>
            </w:r>
            <w:r/>
          </w:p>
          <w:p>
            <w:pPr>
              <w:pStyle w:val="1029"/>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措施存在实施难度或未提供的不得分。</w:t>
            </w:r>
            <w:r/>
          </w:p>
          <w:p>
            <w:pPr>
              <w:pStyle w:val="1029"/>
              <w:numPr>
                <w:ilvl w:val="0"/>
                <w:numId w:val="0"/>
              </w:numPr>
              <w:ind w:firstLine="440"/>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2.清扫、保洁方案：部位包含道路、公园、广场、河道等招标文件要求的部位，内容包含清扫、保洁的人员配备</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培训</w:t>
            </w:r>
            <w:r>
              <w:rPr>
                <w:rFonts w:hint="eastAsia" w:ascii="宋体" w:hAnsi="宋体" w:eastAsia="宋体" w:cs="宋体"/>
                <w:sz w:val="24"/>
                <w:szCs w:val="24"/>
              </w:rPr>
              <w:t xml:space="preserve">方案</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合理配备</w:t>
            </w:r>
            <w:r>
              <w:rPr>
                <w:rFonts w:hint="eastAsia" w:ascii="宋体" w:hAnsi="宋体" w:eastAsia="宋体" w:cs="宋体"/>
                <w:sz w:val="24"/>
                <w:szCs w:val="24"/>
                <w:lang w:val="en-US" w:eastAsia="zh-CN"/>
              </w:rPr>
              <w:t xml:space="preserve">该</w:t>
            </w:r>
            <w:r>
              <w:rPr>
                <w:rFonts w:hint="eastAsia" w:ascii="宋体" w:hAnsi="宋体" w:eastAsia="宋体" w:cs="宋体"/>
                <w:sz w:val="24"/>
                <w:szCs w:val="24"/>
              </w:rPr>
              <w:t xml:space="preserve">工种工作人员</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保洁覆盖的范围、作业模式、作业</w:t>
            </w:r>
            <w:r>
              <w:rPr>
                <w:rFonts w:hint="eastAsia" w:ascii="宋体" w:hAnsi="宋体" w:eastAsia="宋体" w:cs="宋体"/>
                <w:color w:val="000000"/>
                <w:spacing w:val="-10"/>
                <w:sz w:val="24"/>
                <w:szCs w:val="24"/>
                <w:lang w:val="en-US" w:eastAsia="zh-CN" w:bidi="ar-SA"/>
              </w:rPr>
              <w:t xml:space="preserve">机械配置方案</w:t>
            </w:r>
            <w:r>
              <w:rPr>
                <w:rFonts w:hint="eastAsia" w:ascii="宋体" w:hAnsi="宋体" w:eastAsia="宋体" w:cs="宋体"/>
                <w:color w:val="000000"/>
                <w:spacing w:val="-10"/>
                <w:sz w:val="24"/>
                <w:szCs w:val="24"/>
                <w:highlight w:val="none"/>
                <w:lang w:val="en-US" w:eastAsia="zh-CN" w:bidi="ar-SA"/>
              </w:rPr>
              <w:t xml:space="preserve">、车辆设施设备管理制度、设施设备作业、维修管护措施，</w:t>
            </w:r>
            <w:r>
              <w:rPr>
                <w:rFonts w:hint="eastAsia" w:ascii="宋体" w:hAnsi="宋体" w:eastAsia="宋体" w:cs="宋体"/>
                <w:color w:val="000000"/>
                <w:spacing w:val="-10"/>
                <w:sz w:val="24"/>
                <w:szCs w:val="24"/>
                <w:lang w:val="en-US" w:eastAsia="zh-CN" w:bidi="ar-SA"/>
              </w:rPr>
              <w:t xml:space="preserve">针对本项目本专业的重点、难点，结合本专业实际情况和特点，制定的重点区域的</w:t>
            </w:r>
            <w:r>
              <w:rPr>
                <w:rFonts w:hint="eastAsia" w:ascii="宋体" w:hAnsi="宋体" w:eastAsia="宋体" w:cs="宋体"/>
                <w:color w:val="000000"/>
                <w:spacing w:val="-10"/>
                <w:sz w:val="24"/>
                <w:szCs w:val="24"/>
                <w:highlight w:val="none"/>
                <w:lang w:val="en-US" w:eastAsia="zh-CN" w:bidi="ar-SA"/>
              </w:rPr>
              <w:t xml:space="preserve">作业</w:t>
            </w:r>
            <w:r>
              <w:rPr>
                <w:rFonts w:hint="eastAsia" w:ascii="宋体" w:hAnsi="宋体" w:eastAsia="宋体" w:cs="宋体"/>
                <w:color w:val="000000"/>
                <w:spacing w:val="-10"/>
                <w:sz w:val="24"/>
                <w:szCs w:val="24"/>
                <w:lang w:val="en-US" w:eastAsia="zh-CN" w:bidi="ar-SA"/>
              </w:rPr>
              <w:t xml:space="preserve">方案内容。</w:t>
            </w:r>
            <w:r/>
          </w:p>
          <w:p>
            <w:pPr>
              <w:pStyle w:val="1029"/>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方案科学、严密、合理，描述详细且具有针对性的且没有缺项得7分； </w:t>
            </w:r>
            <w:r/>
          </w:p>
          <w:p>
            <w:pPr>
              <w:pStyle w:val="1029"/>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方案较合理、严密、描述较为详细，不存在实施难度，或漏缺1项，得5分； </w:t>
            </w:r>
            <w:r/>
          </w:p>
          <w:p>
            <w:pPr>
              <w:pStyle w:val="1029"/>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方案基本合理、描述一般、存在可操作性的，或漏缺2项，得3分； </w:t>
            </w:r>
            <w:r/>
          </w:p>
          <w:p>
            <w:pPr>
              <w:pStyle w:val="1029"/>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方案具有不合理项、描述欠缺、存在一定的实施难度的，或漏缺3项及以上的，得1分； </w:t>
            </w:r>
            <w:r/>
          </w:p>
          <w:p>
            <w:pPr>
              <w:pStyle w:val="1029"/>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方案存在实施难度或未提供的不得分。</w:t>
            </w:r>
            <w:r/>
          </w:p>
          <w:p>
            <w:pPr>
              <w:pStyle w:val="1029"/>
              <w:numPr>
                <w:ilvl w:val="0"/>
                <w:numId w:val="0"/>
              </w:numPr>
              <w:ind w:firstLine="440"/>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3.垃圾收集、垃圾运输方案：包含结合项目现状，对现有垃圾收集点、果壳箱、垃圾桶点</w:t>
            </w:r>
            <w:r>
              <w:rPr>
                <w:rFonts w:hint="eastAsia" w:ascii="宋体" w:hAnsi="宋体" w:eastAsia="宋体" w:cs="宋体"/>
                <w:sz w:val="24"/>
                <w:szCs w:val="24"/>
              </w:rPr>
              <w:t xml:space="preserve">位摸排，合理规划收集点位布局；垃圾清运组织、人员配置、排班调度</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垃圾运输车辆配置、运维管理</w:t>
            </w:r>
            <w:r>
              <w:rPr>
                <w:rFonts w:hint="eastAsia" w:ascii="宋体" w:hAnsi="宋体" w:eastAsia="宋体" w:cs="宋体"/>
                <w:color w:val="000000"/>
                <w:spacing w:val="-10"/>
                <w:sz w:val="24"/>
                <w:szCs w:val="24"/>
                <w:highlight w:val="none"/>
                <w:lang w:val="en-US" w:eastAsia="zh-CN" w:bidi="ar-SA"/>
              </w:rPr>
              <w:t xml:space="preserve">，</w:t>
            </w:r>
            <w:r>
              <w:rPr>
                <w:rFonts w:hint="eastAsia" w:ascii="宋体" w:hAnsi="宋体" w:eastAsia="宋体" w:cs="宋体"/>
                <w:sz w:val="24"/>
                <w:szCs w:val="24"/>
              </w:rPr>
              <w:t xml:space="preserve">垃圾桶（收集容器）日常管护方案</w:t>
            </w:r>
            <w:r>
              <w:rPr>
                <w:rFonts w:hint="eastAsia" w:ascii="宋体" w:hAnsi="宋体" w:eastAsia="宋体" w:cs="宋体"/>
                <w:color w:val="000000"/>
                <w:spacing w:val="-10"/>
                <w:sz w:val="24"/>
                <w:szCs w:val="24"/>
                <w:highlight w:val="none"/>
                <w:lang w:val="en-US" w:eastAsia="zh-CN" w:bidi="ar-SA"/>
              </w:rPr>
              <w:t xml:space="preserve">，</w:t>
            </w:r>
            <w:r>
              <w:rPr>
                <w:rFonts w:hint="eastAsia" w:ascii="宋体" w:hAnsi="宋体" w:eastAsia="宋体" w:cs="宋体"/>
                <w:sz w:val="24"/>
                <w:szCs w:val="24"/>
              </w:rPr>
              <w:t xml:space="preserve">清运作业频次、作业时序</w:t>
            </w:r>
            <w:r>
              <w:rPr>
                <w:rFonts w:hint="eastAsia" w:ascii="宋体" w:hAnsi="宋体" w:eastAsia="宋体" w:cs="宋体"/>
                <w:color w:val="000000"/>
                <w:spacing w:val="-10"/>
                <w:sz w:val="24"/>
                <w:szCs w:val="24"/>
                <w:highlight w:val="none"/>
                <w:lang w:val="en-US" w:eastAsia="zh-CN" w:bidi="ar-SA"/>
              </w:rPr>
              <w:t xml:space="preserve">，</w:t>
            </w:r>
            <w:r>
              <w:rPr>
                <w:rFonts w:hint="eastAsia" w:ascii="宋体" w:hAnsi="宋体" w:eastAsia="宋体" w:cs="宋体"/>
                <w:color w:val="000000"/>
                <w:spacing w:val="-10"/>
                <w:sz w:val="24"/>
                <w:szCs w:val="24"/>
                <w:lang w:val="en-US" w:eastAsia="zh-CN" w:bidi="ar-SA"/>
              </w:rPr>
              <w:t xml:space="preserve">针对本项目本专业的重点、难点，结合</w:t>
            </w:r>
            <w:r>
              <w:rPr>
                <w:rFonts w:hint="eastAsia" w:ascii="宋体" w:hAnsi="宋体" w:eastAsia="宋体" w:cs="宋体"/>
                <w:sz w:val="24"/>
                <w:szCs w:val="24"/>
              </w:rPr>
              <w:t xml:space="preserve">特殊场景及应急清运保障</w:t>
            </w:r>
            <w:r>
              <w:rPr>
                <w:rFonts w:hint="eastAsia" w:ascii="宋体" w:hAnsi="宋体" w:eastAsia="宋体" w:cs="宋体"/>
                <w:color w:val="000000"/>
                <w:spacing w:val="-10"/>
                <w:sz w:val="24"/>
                <w:szCs w:val="24"/>
                <w:lang w:val="en-US" w:eastAsia="zh-CN" w:bidi="ar-SA"/>
              </w:rPr>
              <w:t xml:space="preserve">，制定的重点区域</w:t>
            </w:r>
            <w:r>
              <w:rPr>
                <w:rFonts w:hint="eastAsia" w:ascii="宋体" w:hAnsi="宋体" w:eastAsia="宋体" w:cs="宋体"/>
                <w:color w:val="000000"/>
                <w:spacing w:val="-10"/>
                <w:sz w:val="24"/>
                <w:szCs w:val="24"/>
                <w:highlight w:val="none"/>
                <w:lang w:val="en-US" w:eastAsia="zh-CN" w:bidi="ar-SA"/>
              </w:rPr>
              <w:t xml:space="preserve">作业</w:t>
            </w:r>
            <w:r>
              <w:rPr>
                <w:rFonts w:hint="eastAsia" w:ascii="宋体" w:hAnsi="宋体" w:eastAsia="宋体" w:cs="宋体"/>
                <w:color w:val="000000"/>
                <w:spacing w:val="-10"/>
                <w:sz w:val="24"/>
                <w:szCs w:val="24"/>
                <w:lang w:val="en-US" w:eastAsia="zh-CN" w:bidi="ar-SA"/>
              </w:rPr>
              <w:t xml:space="preserve">方案内容。</w:t>
            </w:r>
            <w:r/>
          </w:p>
          <w:p>
            <w:pPr>
              <w:pStyle w:val="1029"/>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方案科学、严密、合理，描述详细且具有针对性的且没有缺项得7分； </w:t>
            </w:r>
            <w:r/>
          </w:p>
          <w:p>
            <w:pPr>
              <w:pStyle w:val="1029"/>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方案较合理、严密、描述较为详细，不存在实施难度，或漏缺1项，得5分； </w:t>
            </w:r>
            <w:r/>
          </w:p>
          <w:p>
            <w:pPr>
              <w:pStyle w:val="1029"/>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方案基本合理、描述一般、存在可操作性的，或漏缺2项，得3分； </w:t>
            </w:r>
            <w:r/>
          </w:p>
          <w:p>
            <w:pPr>
              <w:pStyle w:val="1029"/>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方案具有不合理项、描述欠缺、存在一定的实施难度的，或漏缺3项及以上的，得1分； </w:t>
            </w:r>
            <w:r/>
          </w:p>
          <w:p>
            <w:pPr>
              <w:pStyle w:val="1029"/>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方案存在实施难度或未提供的不得分。</w:t>
            </w:r>
            <w:r/>
          </w:p>
          <w:p>
            <w:pPr>
              <w:pStyle w:val="1029"/>
              <w:numPr>
                <w:ilvl w:val="0"/>
                <w:numId w:val="0"/>
              </w:numPr>
              <w:ind w:firstLine="440"/>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4.公共厕所管护方案：包含</w:t>
            </w:r>
            <w:r>
              <w:rPr>
                <w:rFonts w:hint="eastAsia" w:ascii="宋体" w:hAnsi="宋体" w:eastAsia="宋体" w:cs="宋体"/>
                <w:sz w:val="24"/>
                <w:szCs w:val="24"/>
              </w:rPr>
              <w:t xml:space="preserve">现场摸排、公厕基础情况分析</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管护组织、岗位人员配置与排班</w:t>
            </w:r>
            <w:r>
              <w:rPr>
                <w:rFonts w:hint="eastAsia" w:ascii="宋体" w:hAnsi="宋体" w:eastAsia="宋体" w:cs="宋体"/>
                <w:color w:val="000000"/>
                <w:spacing w:val="-10"/>
                <w:sz w:val="24"/>
                <w:szCs w:val="24"/>
                <w:highlight w:val="none"/>
                <w:lang w:val="en-US" w:eastAsia="zh-CN" w:bidi="ar-SA"/>
              </w:rPr>
              <w:t xml:space="preserve">，</w:t>
            </w:r>
            <w:r>
              <w:rPr>
                <w:rFonts w:hint="eastAsia" w:ascii="宋体" w:hAnsi="宋体" w:eastAsia="宋体" w:cs="宋体"/>
                <w:sz w:val="24"/>
                <w:szCs w:val="24"/>
              </w:rPr>
              <w:t xml:space="preserve">公厕日常保洁作业标准与作业频次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消杀、除臭、病媒生物防控</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公厕设施设备</w:t>
            </w:r>
            <w:r>
              <w:rPr>
                <w:rFonts w:hint="eastAsia" w:ascii="宋体" w:hAnsi="宋体" w:eastAsia="宋体" w:cs="宋体"/>
                <w:sz w:val="24"/>
                <w:szCs w:val="24"/>
                <w:lang w:val="en-US" w:eastAsia="zh-CN"/>
              </w:rPr>
              <w:t xml:space="preserve">维修的报告方案、</w:t>
            </w:r>
            <w:r>
              <w:rPr>
                <w:rFonts w:hint="eastAsia" w:ascii="宋体" w:hAnsi="宋体" w:eastAsia="宋体" w:cs="宋体"/>
                <w:sz w:val="24"/>
                <w:szCs w:val="24"/>
              </w:rPr>
              <w:t xml:space="preserve">粪污清运、处置管理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文明服务、便民设施管护</w:t>
            </w:r>
            <w:r>
              <w:rPr>
                <w:rFonts w:hint="eastAsia" w:ascii="宋体" w:hAnsi="宋体" w:eastAsia="宋体" w:cs="宋体"/>
                <w:sz w:val="24"/>
                <w:szCs w:val="24"/>
                <w:lang w:eastAsia="zh-CN"/>
              </w:rPr>
              <w:t xml:space="preserve">，</w:t>
            </w:r>
            <w:r>
              <w:rPr>
                <w:rFonts w:hint="eastAsia" w:ascii="宋体" w:hAnsi="宋体" w:eastAsia="宋体" w:cs="宋体"/>
                <w:color w:val="000000"/>
                <w:spacing w:val="-10"/>
                <w:sz w:val="24"/>
                <w:szCs w:val="24"/>
                <w:lang w:val="en-US" w:eastAsia="zh-CN" w:bidi="ar-SA"/>
              </w:rPr>
              <w:t xml:space="preserve">针对本项目本专业的重点、难点，结合本专业的实际情况和特点制定</w:t>
            </w:r>
            <w:r>
              <w:rPr>
                <w:rFonts w:hint="eastAsia" w:ascii="宋体" w:hAnsi="宋体" w:eastAsia="宋体" w:cs="宋体"/>
                <w:color w:val="000000"/>
                <w:spacing w:val="-10"/>
                <w:sz w:val="24"/>
                <w:szCs w:val="24"/>
                <w:highlight w:val="none"/>
                <w:lang w:val="en-US" w:eastAsia="zh-CN" w:bidi="ar-SA"/>
              </w:rPr>
              <w:t xml:space="preserve">作业</w:t>
            </w:r>
            <w:r>
              <w:rPr>
                <w:rFonts w:hint="eastAsia" w:ascii="宋体" w:hAnsi="宋体" w:eastAsia="宋体" w:cs="宋体"/>
                <w:color w:val="000000"/>
                <w:spacing w:val="-10"/>
                <w:sz w:val="24"/>
                <w:szCs w:val="24"/>
                <w:lang w:val="en-US" w:eastAsia="zh-CN" w:bidi="ar-SA"/>
              </w:rPr>
              <w:t xml:space="preserve">方案内容。</w:t>
            </w:r>
            <w:r/>
          </w:p>
          <w:p>
            <w:pPr>
              <w:pStyle w:val="1029"/>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方案科学、严密、合理，描述详细且具有针对性的且没有缺项得7分； </w:t>
            </w:r>
            <w:r/>
          </w:p>
          <w:p>
            <w:pPr>
              <w:pStyle w:val="1029"/>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方案较合理、严密、描述较为详细，不存在实施难度，或漏缺1项，得5分； </w:t>
            </w:r>
            <w:r/>
          </w:p>
          <w:p>
            <w:pPr>
              <w:pStyle w:val="1029"/>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方案基本合理、描述一般、存在可操作性的，或漏缺2项，得3分； </w:t>
            </w:r>
            <w:r/>
          </w:p>
          <w:p>
            <w:pPr>
              <w:pStyle w:val="1029"/>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方案具有不合理项、描述欠缺、存在一定的实施难度的，或漏缺3项及以上的，得1分； </w:t>
            </w:r>
            <w:r/>
          </w:p>
          <w:p>
            <w:pPr>
              <w:pStyle w:val="1029"/>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方案存在实施难度或未提供的不得分。</w:t>
            </w:r>
            <w:r/>
          </w:p>
          <w:p>
            <w:pPr>
              <w:pStyle w:val="1029"/>
              <w:numPr>
                <w:ilvl w:val="0"/>
                <w:numId w:val="0"/>
              </w:numPr>
              <w:ind w:firstLine="440"/>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5.河道管护：包含</w:t>
            </w:r>
            <w:r>
              <w:rPr>
                <w:rFonts w:hint="eastAsia" w:ascii="宋体" w:hAnsi="宋体" w:eastAsia="宋体" w:cs="宋体"/>
                <w:sz w:val="24"/>
                <w:szCs w:val="24"/>
              </w:rPr>
              <w:t xml:space="preserve">河道现状踏勘摸排与管护范围、责任分区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管护组织架构、人员配置与排班替岗</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作业</w:t>
            </w:r>
            <w:r>
              <w:rPr>
                <w:rFonts w:hint="eastAsia" w:ascii="宋体" w:hAnsi="宋体" w:eastAsia="宋体" w:cs="宋体"/>
                <w:color w:val="000000"/>
                <w:spacing w:val="-10"/>
                <w:sz w:val="24"/>
                <w:szCs w:val="24"/>
                <w:lang w:val="en-US" w:eastAsia="zh-CN" w:bidi="ar-SA"/>
              </w:rPr>
              <w:t xml:space="preserve">设备配置方案</w:t>
            </w:r>
            <w:r>
              <w:rPr>
                <w:rFonts w:hint="eastAsia" w:ascii="宋体" w:hAnsi="宋体" w:eastAsia="宋体" w:cs="宋体"/>
                <w:color w:val="000000"/>
                <w:spacing w:val="-10"/>
                <w:sz w:val="24"/>
                <w:szCs w:val="24"/>
                <w:highlight w:val="none"/>
                <w:lang w:val="en-US" w:eastAsia="zh-CN" w:bidi="ar-SA"/>
              </w:rPr>
              <w:t xml:space="preserve">、设施设备管理制度、设施设备作业、维修管护措施，</w:t>
            </w:r>
            <w:r>
              <w:rPr>
                <w:rFonts w:hint="eastAsia" w:ascii="宋体" w:hAnsi="宋体" w:eastAsia="宋体" w:cs="宋体"/>
                <w:sz w:val="24"/>
                <w:szCs w:val="24"/>
              </w:rPr>
              <w:t xml:space="preserve">作业内容、管护标准与作业频次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巡查机制、问题排查及上报处置</w:t>
            </w:r>
            <w:r>
              <w:rPr>
                <w:rFonts w:hint="eastAsia" w:ascii="宋体" w:hAnsi="宋体" w:eastAsia="宋体" w:cs="宋体"/>
                <w:sz w:val="24"/>
                <w:szCs w:val="24"/>
                <w:lang w:eastAsia="zh-CN"/>
              </w:rPr>
              <w:t xml:space="preserve">，</w:t>
            </w:r>
            <w:r>
              <w:rPr>
                <w:rFonts w:hint="eastAsia" w:ascii="宋体" w:hAnsi="宋体" w:eastAsia="宋体" w:cs="宋体"/>
                <w:color w:val="000000"/>
                <w:spacing w:val="-10"/>
                <w:sz w:val="24"/>
                <w:szCs w:val="24"/>
                <w:lang w:val="en-US" w:eastAsia="zh-CN" w:bidi="ar-SA"/>
              </w:rPr>
              <w:t xml:space="preserve">针对本项目本专业的重点、难点，结合本专业的实际情况和特点制定</w:t>
            </w:r>
            <w:r>
              <w:rPr>
                <w:rFonts w:hint="eastAsia" w:ascii="宋体" w:hAnsi="宋体" w:eastAsia="宋体" w:cs="宋体"/>
                <w:color w:val="000000"/>
                <w:spacing w:val="-10"/>
                <w:sz w:val="24"/>
                <w:szCs w:val="24"/>
                <w:highlight w:val="none"/>
                <w:lang w:val="en-US" w:eastAsia="zh-CN" w:bidi="ar-SA"/>
              </w:rPr>
              <w:t xml:space="preserve">作业</w:t>
            </w:r>
            <w:r>
              <w:rPr>
                <w:rFonts w:hint="eastAsia" w:ascii="宋体" w:hAnsi="宋体" w:eastAsia="宋体" w:cs="宋体"/>
                <w:color w:val="000000"/>
                <w:spacing w:val="-10"/>
                <w:sz w:val="24"/>
                <w:szCs w:val="24"/>
                <w:lang w:val="en-US" w:eastAsia="zh-CN" w:bidi="ar-SA"/>
              </w:rPr>
              <w:t xml:space="preserve">方案内容。</w:t>
            </w:r>
            <w:r/>
          </w:p>
          <w:p>
            <w:pPr>
              <w:pStyle w:val="1029"/>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方案科学、严密、合理，描述详细且具有针对性的且没有缺项得7分； </w:t>
            </w:r>
            <w:r/>
          </w:p>
          <w:p>
            <w:pPr>
              <w:pStyle w:val="1029"/>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方案较合理、严密、描述较为详细，不存在实施难度，或漏缺1项，得5分； </w:t>
            </w:r>
            <w:r/>
          </w:p>
          <w:p>
            <w:pPr>
              <w:pStyle w:val="1029"/>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方案基本合理、描述一般、存在可操作性的，或漏缺2项，得3分； </w:t>
            </w:r>
            <w:r/>
          </w:p>
          <w:p>
            <w:pPr>
              <w:pStyle w:val="1029"/>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方案具有不合理项、描述欠缺、存在一定的实施难度的，或漏缺3项及以上的，得1分； </w:t>
            </w:r>
            <w:r/>
          </w:p>
          <w:p>
            <w:pPr>
              <w:pStyle w:val="1029"/>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方案存在实施难度或未提供的不得分。</w:t>
            </w:r>
            <w:r/>
          </w:p>
          <w:p>
            <w:pPr>
              <w:pStyle w:val="1029"/>
              <w:numPr>
                <w:ilvl w:val="0"/>
                <w:numId w:val="0"/>
              </w:numPr>
              <w:ind w:firstLine="440"/>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6.节假日、迎接重大活动的保障措施：包含总体保障体系与分级响应机制，专项人员增配、值守与备勤机制，节假日专项保障方案，重大活动专项保障方案，机械设备、物资专项强化保障的内容。</w:t>
            </w:r>
            <w:r/>
          </w:p>
          <w:p>
            <w:pPr>
              <w:pStyle w:val="1029"/>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方案科学、严密、合理，描述详细且具有针对性的且没有缺项得7分； </w:t>
            </w:r>
            <w:r/>
          </w:p>
          <w:p>
            <w:pPr>
              <w:pStyle w:val="1029"/>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方案较合理、严密、描述较为详细，不存在实施难度，或漏缺1项，得5分； </w:t>
            </w:r>
            <w:r/>
          </w:p>
          <w:p>
            <w:pPr>
              <w:pStyle w:val="1029"/>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方案基本合理、描述一般、存在可操作性的，或漏缺2项，得3分； </w:t>
            </w:r>
            <w:r/>
          </w:p>
          <w:p>
            <w:pPr>
              <w:pStyle w:val="1029"/>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方案具有不合理项、描述欠缺、存在一定的实施难度的，或漏缺3项及以上的，得1分； </w:t>
            </w:r>
            <w:r/>
          </w:p>
          <w:p>
            <w:pPr>
              <w:pStyle w:val="1029"/>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方案存在实施难度或未提供的不得分。</w:t>
            </w:r>
            <w:r/>
          </w:p>
          <w:p>
            <w:pPr>
              <w:pStyle w:val="1029"/>
              <w:numPr>
                <w:ilvl w:val="0"/>
                <w:numId w:val="0"/>
              </w:numPr>
              <w:ind w:firstLine="440"/>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7.恶劣天气（强台风、暴雨、暴雪等）应急保障方案</w:t>
            </w:r>
            <w:r>
              <w:rPr>
                <w:rFonts w:hint="eastAsia" w:hAnsi="宋体" w:eastAsia="宋体" w:cs="宋体"/>
                <w:color w:val="000000"/>
                <w:spacing w:val="-10"/>
                <w:sz w:val="24"/>
                <w:szCs w:val="24"/>
                <w:lang w:val="en-US" w:eastAsia="zh-CN" w:bidi="ar-SA"/>
              </w:rPr>
              <w:t xml:space="preserve">：</w:t>
            </w:r>
            <w:r>
              <w:rPr>
                <w:rFonts w:hint="eastAsia" w:ascii="宋体" w:hAnsi="宋体" w:eastAsia="宋体" w:cs="宋体"/>
                <w:color w:val="000000"/>
                <w:spacing w:val="-10"/>
                <w:sz w:val="24"/>
                <w:szCs w:val="24"/>
                <w:lang w:val="en-US" w:eastAsia="zh-CN" w:bidi="ar-SA"/>
              </w:rPr>
              <w:t xml:space="preserve">包含总体应急组织体系与分级响应机制，应急人员值守、备勤与集结机制，暴雨、台风、大风天气专项处置措施，暴雪、霜冻、寒潮专项应急保障，应急设备、物资储备保障，灾后恢复、全域复盘整治机制的内容。</w:t>
            </w:r>
            <w:r/>
          </w:p>
          <w:p>
            <w:pPr>
              <w:pStyle w:val="1029"/>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方案科学、严密、合理，描述详细且具有针对性的且没有缺项得7分； </w:t>
            </w:r>
            <w:r/>
          </w:p>
          <w:p>
            <w:pPr>
              <w:pStyle w:val="1029"/>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方案较合理、严密、描述较为详细，不存在实施难度，或漏缺1项，得5分； </w:t>
            </w:r>
            <w:r/>
          </w:p>
          <w:p>
            <w:pPr>
              <w:pStyle w:val="1029"/>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方案基本合理、描述一般、存在可操作性的，或漏缺2项，得3分； </w:t>
            </w:r>
            <w:r/>
          </w:p>
          <w:p>
            <w:pPr>
              <w:pStyle w:val="1029"/>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方案具有不合理项、描述欠缺、存在一定的实施难度的，或漏缺3项及以上的，得1分； </w:t>
            </w:r>
            <w:r/>
          </w:p>
          <w:p>
            <w:pPr>
              <w:pStyle w:val="1029"/>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方案存在实施难度或未提供的不得分。</w:t>
            </w:r>
            <w:r/>
          </w:p>
          <w:p>
            <w:pPr>
              <w:pStyle w:val="1029"/>
              <w:ind w:left="0" w:firstLine="440"/>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8.安全文明作业方案：内容包含</w:t>
            </w:r>
            <w:r>
              <w:rPr>
                <w:rFonts w:hint="eastAsia" w:ascii="宋体" w:hAnsi="宋体" w:eastAsia="宋体" w:cs="宋体"/>
                <w:sz w:val="24"/>
                <w:szCs w:val="24"/>
              </w:rPr>
              <w:t xml:space="preserve">安全管理组织体系、责任制度</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从业人员安全教育、培训与交底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各类作业安全管控措施</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作业人员劳保防护管理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车辆、设备、工具安全管理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文明作业管理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隐患排查、风险辨识与整改闭环</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事故应急处置、上报机制</w:t>
            </w:r>
            <w:r>
              <w:rPr>
                <w:rFonts w:hint="eastAsia" w:ascii="宋体" w:hAnsi="宋体" w:eastAsia="宋体" w:cs="宋体"/>
                <w:sz w:val="24"/>
                <w:szCs w:val="24"/>
                <w:lang w:val="en-US" w:eastAsia="zh-CN"/>
              </w:rPr>
              <w:t xml:space="preserve">的内容</w:t>
            </w:r>
            <w:r>
              <w:rPr>
                <w:rFonts w:hint="eastAsia" w:ascii="宋体" w:hAnsi="宋体" w:eastAsia="宋体" w:cs="宋体"/>
                <w:color w:val="000000"/>
                <w:spacing w:val="-10"/>
                <w:sz w:val="24"/>
                <w:szCs w:val="24"/>
                <w:lang w:val="en-US" w:eastAsia="zh-CN" w:bidi="ar-SA"/>
              </w:rPr>
              <w:t xml:space="preserve">：</w:t>
            </w:r>
            <w:r/>
          </w:p>
          <w:p>
            <w:pPr>
              <w:pStyle w:val="1029"/>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方案科学、严密、合理，描述详细且具有针对性的且没有缺项得6分； </w:t>
            </w:r>
            <w:r/>
          </w:p>
          <w:p>
            <w:pPr>
              <w:pStyle w:val="1029"/>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方案较合理、严密、描述较为详细，不存在实施难度，或漏缺1项，得4分； </w:t>
            </w:r>
            <w:r/>
          </w:p>
          <w:p>
            <w:pPr>
              <w:pStyle w:val="1029"/>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方案基本合理、描述一般、存在可操作性的，或漏缺2项，得2分； </w:t>
            </w:r>
            <w:r/>
          </w:p>
          <w:p>
            <w:pPr>
              <w:pStyle w:val="1029"/>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方案具有不合理项、描述欠缺、存在一定的实施难度的，或漏缺3项及以上的，得1分； </w:t>
            </w:r>
            <w:r/>
          </w:p>
          <w:p>
            <w:pPr>
              <w:pStyle w:val="1029"/>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方案存在实施难度或未提供的不得分。</w:t>
            </w:r>
            <w:r/>
          </w:p>
          <w:p>
            <w:pPr>
              <w:pStyle w:val="1029"/>
              <w:ind w:left="0" w:firstLine="440"/>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9.</w:t>
            </w:r>
            <w:r>
              <w:rPr>
                <w:rFonts w:hint="eastAsia" w:ascii="宋体" w:hAnsi="宋体" w:eastAsia="宋体" w:cs="宋体"/>
                <w:sz w:val="24"/>
                <w:szCs w:val="24"/>
              </w:rPr>
              <w:t xml:space="preserve">台账资料管理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内容包含</w:t>
            </w:r>
            <w:r>
              <w:rPr>
                <w:rFonts w:hint="eastAsia" w:ascii="宋体" w:hAnsi="宋体" w:eastAsia="宋体" w:cs="宋体"/>
                <w:sz w:val="24"/>
                <w:szCs w:val="24"/>
              </w:rPr>
              <w:t xml:space="preserve">台账管理组织、岗位职责与管理制度</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台账分类、清单与内容体系</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台账填报、收集、审核与动态更新机制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档案归档、存放保管管理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台账报送、查阅及配合检查机制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台账质量管控、自查机制</w:t>
            </w:r>
            <w:r>
              <w:rPr>
                <w:rFonts w:hint="eastAsia" w:ascii="宋体" w:hAnsi="宋体" w:eastAsia="宋体" w:cs="宋体"/>
                <w:sz w:val="24"/>
                <w:szCs w:val="24"/>
                <w:lang w:val="en-US" w:eastAsia="zh-CN"/>
              </w:rPr>
              <w:t xml:space="preserve">的内容，要求</w:t>
            </w:r>
            <w:r>
              <w:rPr>
                <w:rFonts w:hint="eastAsia" w:ascii="宋体" w:hAnsi="宋体" w:eastAsia="宋体" w:cs="宋体"/>
                <w:sz w:val="24"/>
                <w:szCs w:val="24"/>
              </w:rPr>
              <w:t xml:space="preserve">台账分类体系完整，覆盖人员、作业、设备物资、问题整改、应急保障、影像资料等全部业务板块，匹配本项目道路、公厕、河道等服务内容。</w:t>
            </w:r>
            <w:r/>
          </w:p>
          <w:p>
            <w:pPr>
              <w:pStyle w:val="1029"/>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方案科学、严密、合理，描述详细且具有针对性的且没有缺项得</w:t>
            </w:r>
            <w:r>
              <w:rPr>
                <w:rFonts w:hint="eastAsia" w:hAnsi="宋体" w:eastAsia="宋体" w:cs="宋体"/>
                <w:color w:val="000000"/>
                <w:spacing w:val="-10"/>
                <w:sz w:val="24"/>
                <w:szCs w:val="24"/>
                <w:lang w:val="en-US" w:eastAsia="zh-CN" w:bidi="ar-SA"/>
              </w:rPr>
              <w:t xml:space="preserve">6</w:t>
            </w:r>
            <w:r>
              <w:rPr>
                <w:rFonts w:hint="eastAsia" w:ascii="宋体" w:hAnsi="宋体" w:eastAsia="宋体" w:cs="宋体"/>
                <w:color w:val="000000"/>
                <w:spacing w:val="-10"/>
                <w:sz w:val="24"/>
                <w:szCs w:val="24"/>
                <w:lang w:val="en-US" w:eastAsia="zh-CN" w:bidi="ar-SA"/>
              </w:rPr>
              <w:t xml:space="preserve">分； </w:t>
            </w:r>
            <w:r/>
          </w:p>
          <w:p>
            <w:pPr>
              <w:pStyle w:val="1029"/>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方案较合理、严密、描述较为详细，不存在实施难度，或漏缺1项，得</w:t>
            </w:r>
            <w:r>
              <w:rPr>
                <w:rFonts w:hint="eastAsia" w:hAnsi="宋体" w:eastAsia="宋体" w:cs="宋体"/>
                <w:color w:val="000000"/>
                <w:spacing w:val="-10"/>
                <w:sz w:val="24"/>
                <w:szCs w:val="24"/>
                <w:lang w:val="en-US" w:eastAsia="zh-CN" w:bidi="ar-SA"/>
              </w:rPr>
              <w:t xml:space="preserve">4</w:t>
            </w:r>
            <w:r>
              <w:rPr>
                <w:rFonts w:hint="eastAsia" w:ascii="宋体" w:hAnsi="宋体" w:eastAsia="宋体" w:cs="宋体"/>
                <w:color w:val="000000"/>
                <w:spacing w:val="-10"/>
                <w:sz w:val="24"/>
                <w:szCs w:val="24"/>
                <w:lang w:val="en-US" w:eastAsia="zh-CN" w:bidi="ar-SA"/>
              </w:rPr>
              <w:t xml:space="preserve">分； </w:t>
            </w:r>
            <w:r/>
          </w:p>
          <w:p>
            <w:pPr>
              <w:pStyle w:val="1029"/>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方案基本合理、描述一般、存在可操作性的，或漏缺2项，得2分； </w:t>
            </w:r>
            <w:r/>
          </w:p>
          <w:p>
            <w:pPr>
              <w:pStyle w:val="1029"/>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方案具有不合理项、描述欠缺、存在一定的实施难度的，或漏缺3项及以上的，得1分； </w:t>
            </w:r>
            <w:r/>
          </w:p>
          <w:p>
            <w:pPr>
              <w:pStyle w:val="1029"/>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方案存在实施难度或未提供的不得分。</w:t>
            </w:r>
            <w:r/>
          </w:p>
          <w:p>
            <w:pPr>
              <w:pStyle w:val="1029"/>
              <w:numPr>
                <w:ilvl w:val="0"/>
                <w:numId w:val="0"/>
              </w:numPr>
              <w:ind w:firstLine="440"/>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10.根据投标人提供的进退场交接过渡方案</w:t>
            </w:r>
            <w:r>
              <w:rPr>
                <w:rFonts w:hint="eastAsia" w:hAnsi="宋体" w:eastAsia="宋体" w:cs="宋体"/>
                <w:color w:val="000000"/>
                <w:spacing w:val="-10"/>
                <w:sz w:val="24"/>
                <w:szCs w:val="24"/>
                <w:lang w:val="en-US" w:eastAsia="zh-CN" w:bidi="ar-SA"/>
              </w:rPr>
              <w:t xml:space="preserve">：</w:t>
            </w:r>
            <w:r>
              <w:rPr>
                <w:rFonts w:hint="eastAsia" w:ascii="宋体" w:hAnsi="宋体" w:eastAsia="宋体" w:cs="宋体"/>
                <w:color w:val="000000"/>
                <w:spacing w:val="-10"/>
                <w:sz w:val="24"/>
                <w:szCs w:val="24"/>
                <w:lang w:val="en-US" w:eastAsia="zh-CN" w:bidi="ar-SA"/>
              </w:rPr>
              <w:t xml:space="preserve">进退场方案投标人有针对投标项目专门的进退场交接方案，方案清晰可行，体现交接内容的全面性和可行性，包含财务、档案、人事、</w:t>
            </w:r>
            <w:r>
              <w:rPr>
                <w:rFonts w:hint="eastAsia" w:ascii="宋体" w:hAnsi="宋体" w:eastAsia="宋体" w:cs="宋体"/>
                <w:color w:val="000000"/>
                <w:spacing w:val="-10"/>
                <w:sz w:val="24"/>
                <w:szCs w:val="24"/>
                <w:highlight w:val="none"/>
                <w:lang w:val="en-US" w:eastAsia="zh-CN" w:bidi="ar-SA"/>
              </w:rPr>
              <w:t xml:space="preserve">上一轮中标单位未报废机械的设备、上一轮作业人员安排情况以及与下一轮中标单位的交接情况，推进平稳过渡）的内容</w:t>
            </w:r>
            <w:r>
              <w:rPr>
                <w:rFonts w:hint="eastAsia" w:ascii="宋体" w:hAnsi="宋体" w:eastAsia="宋体" w:cs="宋体"/>
                <w:color w:val="000000"/>
                <w:spacing w:val="-10"/>
                <w:sz w:val="24"/>
                <w:szCs w:val="24"/>
                <w:lang w:val="en-US" w:eastAsia="zh-CN" w:bidi="ar-SA"/>
              </w:rPr>
              <w:t xml:space="preserve">。 </w:t>
            </w:r>
            <w:r/>
          </w:p>
          <w:p>
            <w:pPr>
              <w:pStyle w:val="1029"/>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方案科学、严密、合理，描述详细且具有针对性的且没有缺项得</w:t>
            </w:r>
            <w:r>
              <w:rPr>
                <w:rFonts w:hint="eastAsia" w:hAnsi="宋体" w:eastAsia="宋体" w:cs="宋体"/>
                <w:color w:val="000000"/>
                <w:spacing w:val="-10"/>
                <w:sz w:val="24"/>
                <w:szCs w:val="24"/>
                <w:lang w:val="en-US" w:eastAsia="zh-CN" w:bidi="ar-SA"/>
              </w:rPr>
              <w:t xml:space="preserve">6</w:t>
            </w:r>
            <w:r>
              <w:rPr>
                <w:rFonts w:hint="eastAsia" w:ascii="宋体" w:hAnsi="宋体" w:eastAsia="宋体" w:cs="宋体"/>
                <w:color w:val="000000"/>
                <w:spacing w:val="-10"/>
                <w:sz w:val="24"/>
                <w:szCs w:val="24"/>
                <w:lang w:val="en-US" w:eastAsia="zh-CN" w:bidi="ar-SA"/>
              </w:rPr>
              <w:t xml:space="preserve">分； </w:t>
            </w:r>
            <w:r/>
          </w:p>
          <w:p>
            <w:pPr>
              <w:pStyle w:val="1029"/>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方案较合理、严密、描述较为详细，不存在实施难度，或漏缺1项，得</w:t>
            </w:r>
            <w:r>
              <w:rPr>
                <w:rFonts w:hint="eastAsia" w:hAnsi="宋体" w:eastAsia="宋体" w:cs="宋体"/>
                <w:color w:val="000000"/>
                <w:spacing w:val="-10"/>
                <w:sz w:val="24"/>
                <w:szCs w:val="24"/>
                <w:lang w:val="en-US" w:eastAsia="zh-CN" w:bidi="ar-SA"/>
              </w:rPr>
              <w:t xml:space="preserve">4</w:t>
            </w:r>
            <w:r>
              <w:rPr>
                <w:rFonts w:hint="eastAsia" w:ascii="宋体" w:hAnsi="宋体" w:eastAsia="宋体" w:cs="宋体"/>
                <w:color w:val="000000"/>
                <w:spacing w:val="-10"/>
                <w:sz w:val="24"/>
                <w:szCs w:val="24"/>
                <w:lang w:val="en-US" w:eastAsia="zh-CN" w:bidi="ar-SA"/>
              </w:rPr>
              <w:t xml:space="preserve">分； </w:t>
            </w:r>
            <w:r/>
          </w:p>
          <w:p>
            <w:pPr>
              <w:pStyle w:val="1029"/>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方案基本合理、描述一般、存在可操作性的，或漏缺2项，得2分； </w:t>
            </w:r>
            <w:r/>
          </w:p>
          <w:p>
            <w:pPr>
              <w:pStyle w:val="1029"/>
              <w:numPr>
                <w:ilvl w:val="0"/>
                <w:numId w:val="0"/>
              </w:numPr>
              <w:jc w:val="left"/>
              <w:spacing w:line="240" w:lineRule="auto"/>
              <w:rPr>
                <w:rFonts w:hint="eastAsia" w:ascii="宋体" w:hAnsi="宋体" w:eastAsia="宋体" w:cs="宋体"/>
                <w:color w:val="000000"/>
                <w:spacing w:val="-10"/>
                <w:sz w:val="24"/>
                <w:szCs w:val="24"/>
                <w:lang w:val="en-US" w:eastAsia="zh-CN" w:bidi="ar-SA"/>
              </w:rPr>
            </w:pPr>
            <w:r>
              <w:rPr>
                <w:rFonts w:hint="eastAsia" w:ascii="宋体" w:hAnsi="宋体" w:eastAsia="宋体" w:cs="宋体"/>
                <w:color w:val="000000"/>
                <w:spacing w:val="-10"/>
                <w:sz w:val="24"/>
                <w:szCs w:val="24"/>
                <w:lang w:val="en-US" w:eastAsia="zh-CN" w:bidi="ar-SA"/>
              </w:rPr>
              <w:t xml:space="preserve">方案具有不合理项、描述欠缺、存在一定的实施难度的，或漏缺3项及以上的，得1分； </w:t>
            </w:r>
            <w:r/>
          </w:p>
          <w:p>
            <w:pPr>
              <w:spacing w:line="240" w:lineRule="auto"/>
              <w:rPr>
                <w:rFonts w:hint="eastAsia" w:ascii="宋体" w:hAnsi="宋体" w:eastAsia="宋体" w:cs="宋体"/>
                <w:sz w:val="24"/>
                <w:szCs w:val="24"/>
                <w:lang w:val="en-US" w:eastAsia="zh-CN"/>
              </w:rPr>
            </w:pPr>
            <w:r>
              <w:rPr>
                <w:rFonts w:hint="eastAsia" w:ascii="宋体" w:hAnsi="宋体" w:eastAsia="宋体" w:cs="宋体"/>
                <w:color w:val="000000"/>
                <w:spacing w:val="-10"/>
                <w:sz w:val="24"/>
                <w:szCs w:val="24"/>
                <w:lang w:val="en-US" w:eastAsia="zh-CN" w:bidi="ar-SA"/>
              </w:rPr>
              <w:t xml:space="preserve">方案存在实施难度或未提供的不得分。</w:t>
            </w:r>
            <w:r/>
          </w:p>
        </w:tc>
      </w:tr>
      <w:tr>
        <w:trPr>
          <w:jc w:val="center"/>
          <w:trHeight w:val="2302"/>
        </w:trPr>
        <w:tc>
          <w:tcPr>
            <w:shd w:val="clear" w:color="auto" w:fill="auto"/>
            <w:tcW w:w="1346" w:type="dxa"/>
            <w:vAlign w:val="center"/>
            <w:textDirection w:val="lrTb"/>
            <w:noWrap w:val="false"/>
          </w:tcPr>
          <w:p>
            <w:pPr>
              <w:jc w:val="cente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业绩</w:t>
            </w:r>
            <w:r/>
          </w:p>
          <w:p>
            <w:pPr>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12分</w:t>
            </w:r>
            <w:r>
              <w:rPr>
                <w:rFonts w:hint="eastAsia" w:ascii="宋体" w:hAnsi="宋体" w:eastAsia="宋体" w:cs="宋体"/>
                <w:color w:val="auto"/>
                <w:sz w:val="24"/>
                <w:szCs w:val="24"/>
                <w:highlight w:val="none"/>
                <w:lang w:eastAsia="zh-CN"/>
              </w:rPr>
              <w:t xml:space="preserve">）</w:t>
            </w:r>
            <w:r/>
          </w:p>
        </w:tc>
        <w:tc>
          <w:tcPr>
            <w:shd w:val="clear" w:color="auto" w:fill="auto"/>
            <w:tcW w:w="8175" w:type="dxa"/>
            <w:vAlign w:val="center"/>
            <w:textDirection w:val="lrTb"/>
            <w:noWrap w:val="false"/>
          </w:tcPr>
          <w:p>
            <w:pPr>
              <w:numPr>
                <w:ilvl w:val="0"/>
                <w:numId w:val="0"/>
              </w:numPr>
              <w:ind w:firstLine="480"/>
              <w:jc w:val="left"/>
              <w:spacing w:line="24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投标人2023年1月1日以来具有环境卫生管理服务类似项目业绩的</w:t>
            </w:r>
            <w:r>
              <w:rPr>
                <w:rFonts w:hint="eastAsia" w:ascii="宋体" w:hAnsi="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项目业绩服务内容包含（清扫保洁类、垃圾收运（或清运）类、公共厕所保洁、河道保洁类）四个服务品类，仅对投标人提供2个类似业绩合同进行评审，每个业绩合同中同时包含4个上述服务品类的得6分，同时包含3个上述服务品类的得3分，仅包含2个上述服务品类的得1分，本项最高得12分。（同一项目不累计得分，以合同签订日期为准，提供中标通知书原件、合同原件及发票原件扫描上传）。</w:t>
            </w:r>
            <w:r/>
          </w:p>
        </w:tc>
      </w:tr>
      <w:tr>
        <w:trPr>
          <w:jc w:val="center"/>
        </w:trPr>
        <w:tc>
          <w:tcPr>
            <w:tcW w:w="1346"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项目负责人</w:t>
            </w:r>
            <w:r/>
          </w:p>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tc>
        <w:tc>
          <w:tcPr>
            <w:tcW w:w="8175" w:type="dxa"/>
            <w:vAlign w:val="center"/>
            <w:textDirection w:val="lrTb"/>
            <w:noWrap w:val="false"/>
          </w:tcPr>
          <w:p>
            <w:pPr>
              <w:numPr>
                <w:ilvl w:val="0"/>
                <w:numId w:val="0"/>
              </w:numPr>
              <w:ind w:firstLine="480"/>
              <w:jc w:val="left"/>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拟派的项目负责人自2023年1月1日以来具有环境卫生管理服务类似项目业绩的，项目业绩服务内容包含（清扫保洁类、垃圾收运（或清运）类、公共厕所保洁、河道保洁类）四个服务品类，仅对投标人提供1个类似业绩合同进行评审，每个业绩合同中同时包含4个上述服务品类的得6分，同时包含3个上述服务品类的得3分，仅包含2个上述服务品类的得1分，本项最高得6分。。</w:t>
            </w:r>
            <w:r/>
          </w:p>
          <w:p>
            <w:pPr>
              <w:numPr>
                <w:ilvl w:val="0"/>
                <w:numId w:val="0"/>
              </w:numPr>
              <w:ind w:firstLine="480"/>
              <w:jc w:val="left"/>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注：业绩部分同一项目不累计得分，以合同签订日期为准，提供中标通知书原件及合同原件扫描上传，业绩材料中要能够证明业绩为项目负责人业绩。项目负责人业绩与企业的业绩不重复计分，与企业业绩重复的仅计算一次。</w:t>
            </w:r>
            <w:r/>
          </w:p>
        </w:tc>
      </w:tr>
    </w:tbl>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bCs/>
          <w:color w:val="000000"/>
          <w:sz w:val="44"/>
        </w:rPr>
      </w:pPr>
      <w:r>
        <w:rPr>
          <w:rFonts w:hint="eastAsia" w:ascii="宋体" w:hAnsi="宋体" w:eastAsia="宋体" w:cs="宋体"/>
          <w:bCs/>
          <w:color w:val="000000"/>
          <w:sz w:val="44"/>
        </w:rPr>
        <w:br w:type="page" w:clear="all"/>
      </w:r>
      <w:r/>
    </w:p>
    <w:p>
      <w:pPr>
        <w:pStyle w:val="996"/>
        <w:rPr>
          <w:rFonts w:hint="eastAsia" w:ascii="宋体" w:hAnsi="宋体" w:eastAsia="宋体" w:cs="宋体"/>
          <w:bCs/>
          <w:color w:val="000000"/>
          <w:sz w:val="44"/>
        </w:rPr>
      </w:pPr>
      <w:r>
        <w:rPr>
          <w:rFonts w:hint="eastAsia" w:ascii="宋体" w:hAnsi="宋体" w:eastAsia="宋体" w:cs="宋体"/>
          <w:bCs/>
          <w:color w:val="000000"/>
          <w:sz w:val="44"/>
        </w:rPr>
      </w:r>
      <w:r/>
    </w:p>
    <w:p>
      <w:pPr>
        <w:pStyle w:val="996"/>
        <w:rPr>
          <w:rFonts w:hint="eastAsia" w:ascii="宋体" w:hAnsi="宋体" w:eastAsia="宋体" w:cs="宋体"/>
          <w:bCs/>
          <w:color w:val="000000"/>
          <w:sz w:val="44"/>
        </w:rPr>
      </w:pPr>
      <w:r>
        <w:rPr>
          <w:rFonts w:hint="eastAsia" w:ascii="宋体" w:hAnsi="宋体" w:eastAsia="宋体" w:cs="宋体"/>
          <w:bCs/>
          <w:color w:val="000000"/>
          <w:sz w:val="44"/>
        </w:rPr>
      </w:r>
      <w:r/>
    </w:p>
    <w:p>
      <w:pPr>
        <w:pStyle w:val="996"/>
        <w:rPr>
          <w:rFonts w:hint="eastAsia" w:ascii="宋体" w:hAnsi="宋体" w:eastAsia="宋体" w:cs="宋体"/>
          <w:bCs/>
          <w:color w:val="000000"/>
          <w:sz w:val="44"/>
        </w:rPr>
      </w:pPr>
      <w:r>
        <w:rPr>
          <w:rFonts w:hint="eastAsia" w:ascii="宋体" w:hAnsi="宋体" w:eastAsia="宋体" w:cs="宋体"/>
          <w:bCs/>
          <w:color w:val="000000"/>
          <w:sz w:val="44"/>
        </w:rPr>
      </w:r>
      <w:r/>
    </w:p>
    <w:p>
      <w:pPr>
        <w:pStyle w:val="996"/>
        <w:rPr>
          <w:rFonts w:hint="eastAsia" w:ascii="宋体" w:hAnsi="宋体" w:eastAsia="宋体" w:cs="宋体"/>
          <w:bCs/>
          <w:color w:val="000000"/>
          <w:sz w:val="44"/>
        </w:rPr>
      </w:pPr>
      <w:r>
        <w:rPr>
          <w:rFonts w:hint="eastAsia" w:ascii="宋体" w:hAnsi="宋体" w:eastAsia="宋体" w:cs="宋体"/>
          <w:bCs/>
          <w:color w:val="000000"/>
          <w:sz w:val="44"/>
        </w:rPr>
      </w:r>
      <w:r/>
    </w:p>
    <w:p>
      <w:pPr>
        <w:pStyle w:val="996"/>
        <w:rPr>
          <w:rFonts w:hint="eastAsia" w:ascii="宋体" w:hAnsi="宋体" w:eastAsia="宋体" w:cs="宋体"/>
          <w:bCs/>
          <w:color w:val="000000"/>
          <w:sz w:val="44"/>
        </w:rPr>
      </w:pPr>
      <w:r>
        <w:rPr>
          <w:rFonts w:hint="eastAsia" w:ascii="宋体" w:hAnsi="宋体" w:eastAsia="宋体" w:cs="宋体"/>
          <w:bCs/>
          <w:color w:val="000000"/>
          <w:sz w:val="44"/>
        </w:rPr>
      </w:r>
      <w:r/>
    </w:p>
    <w:p>
      <w:pPr>
        <w:pStyle w:val="996"/>
        <w:jc w:val="center"/>
        <w:rPr>
          <w:rFonts w:hint="eastAsia" w:ascii="宋体" w:hAnsi="宋体" w:eastAsia="宋体" w:cs="宋体"/>
          <w:bCs/>
          <w:color w:val="000000"/>
          <w:sz w:val="44"/>
        </w:rPr>
      </w:pPr>
      <w:r>
        <w:rPr>
          <w:rFonts w:hint="eastAsia" w:ascii="宋体" w:hAnsi="宋体" w:eastAsia="宋体" w:cs="宋体"/>
          <w:bCs/>
          <w:color w:val="000000"/>
          <w:sz w:val="44"/>
        </w:rPr>
        <w:t xml:space="preserve">第六章  投标</w:t>
      </w:r>
      <w:bookmarkEnd w:id="182"/>
      <w:r/>
      <w:bookmarkEnd w:id="183"/>
      <w:r/>
      <w:bookmarkEnd w:id="184"/>
      <w:r>
        <w:rPr>
          <w:rFonts w:hint="eastAsia" w:ascii="宋体" w:hAnsi="宋体" w:eastAsia="宋体" w:cs="宋体"/>
          <w:bCs/>
          <w:color w:val="000000"/>
          <w:sz w:val="44"/>
        </w:rPr>
        <w:t xml:space="preserve">文件格式</w:t>
      </w:r>
      <w:r/>
    </w:p>
    <w:p>
      <w:pPr>
        <w:jc w:val="center"/>
        <w:rPr>
          <w:rFonts w:hint="eastAsia" w:ascii="宋体" w:hAnsi="宋体" w:eastAsia="宋体" w:cs="宋体"/>
          <w:b/>
          <w:color w:val="000000"/>
          <w:sz w:val="72"/>
        </w:rPr>
      </w:pPr>
      <w:r/>
      <w:bookmarkStart w:id="200" w:name="_Hlt26955039"/>
      <w:r/>
      <w:bookmarkEnd w:id="200"/>
      <w:r/>
      <w:bookmarkStart w:id="201" w:name="_Hlt26671244"/>
      <w:r/>
      <w:bookmarkEnd w:id="201"/>
      <w:r/>
      <w:bookmarkStart w:id="202" w:name="_Toc120614282"/>
      <w:r/>
      <w:bookmarkStart w:id="203" w:name="_Toc49090576"/>
      <w:r/>
      <w:bookmarkStart w:id="204" w:name="_Toc26554094"/>
      <w:r/>
      <w:r/>
    </w:p>
    <w:p>
      <w:pPr>
        <w:jc w:val="center"/>
        <w:rPr>
          <w:rFonts w:hint="eastAsia" w:ascii="宋体" w:hAnsi="宋体" w:eastAsia="宋体" w:cs="宋体"/>
          <w:b/>
          <w:color w:val="000000"/>
          <w:sz w:val="72"/>
        </w:rPr>
      </w:pPr>
      <w:r>
        <w:rPr>
          <w:rFonts w:hint="eastAsia" w:ascii="宋体" w:hAnsi="宋体" w:eastAsia="宋体" w:cs="宋体"/>
          <w:b/>
          <w:color w:val="000000"/>
          <w:sz w:val="72"/>
        </w:rPr>
      </w:r>
      <w:r/>
    </w:p>
    <w:p>
      <w:pPr>
        <w:jc w:val="center"/>
        <w:rPr>
          <w:rFonts w:hint="eastAsia" w:ascii="宋体" w:hAnsi="宋体" w:eastAsia="宋体" w:cs="宋体"/>
          <w:b/>
          <w:color w:val="000000"/>
          <w:sz w:val="72"/>
        </w:rPr>
      </w:pPr>
      <w:r>
        <w:rPr>
          <w:rFonts w:hint="eastAsia" w:ascii="宋体" w:hAnsi="宋体" w:eastAsia="宋体" w:cs="宋体"/>
          <w:b/>
          <w:color w:val="000000"/>
          <w:sz w:val="72"/>
        </w:rPr>
      </w:r>
      <w:r/>
    </w:p>
    <w:p>
      <w:pPr>
        <w:jc w:val="center"/>
        <w:rPr>
          <w:rFonts w:hint="eastAsia" w:ascii="宋体" w:hAnsi="宋体" w:eastAsia="宋体" w:cs="宋体"/>
          <w:b/>
          <w:color w:val="000000"/>
          <w:sz w:val="72"/>
        </w:rPr>
      </w:pPr>
      <w:r>
        <w:rPr>
          <w:rFonts w:hint="eastAsia" w:ascii="宋体" w:hAnsi="宋体" w:eastAsia="宋体" w:cs="宋体"/>
          <w:b/>
          <w:color w:val="000000"/>
          <w:sz w:val="72"/>
        </w:rPr>
        <w:t xml:space="preserve">投  标  文  件</w:t>
      </w:r>
      <w:r/>
    </w:p>
    <w:p>
      <w:pPr>
        <w:jc w:val="center"/>
        <w:rPr>
          <w:rFonts w:hint="eastAsia" w:ascii="宋体" w:hAnsi="宋体" w:eastAsia="宋体" w:cs="宋体"/>
          <w:b/>
          <w:color w:val="000000"/>
          <w:sz w:val="72"/>
        </w:rPr>
      </w:pPr>
      <w:r>
        <w:rPr>
          <w:rFonts w:hint="eastAsia" w:ascii="宋体" w:hAnsi="宋体" w:eastAsia="宋体" w:cs="宋体"/>
          <w:b/>
          <w:color w:val="000000"/>
          <w:sz w:val="72"/>
        </w:rPr>
      </w:r>
      <w:r/>
    </w:p>
    <w:p>
      <w:pPr>
        <w:jc w:val="center"/>
        <w:rPr>
          <w:rFonts w:hint="eastAsia" w:ascii="宋体" w:hAnsi="宋体" w:eastAsia="宋体" w:cs="宋体"/>
          <w:b/>
          <w:color w:val="000000"/>
          <w:sz w:val="72"/>
        </w:rPr>
      </w:pPr>
      <w:r>
        <w:rPr>
          <w:rFonts w:hint="eastAsia" w:ascii="宋体" w:hAnsi="宋体" w:eastAsia="宋体" w:cs="宋体"/>
          <w:b/>
          <w:color w:val="000000"/>
          <w:sz w:val="72"/>
        </w:rPr>
      </w:r>
      <w:r/>
    </w:p>
    <w:p>
      <w:pPr>
        <w:jc w:val="center"/>
        <w:rPr>
          <w:rFonts w:hint="eastAsia" w:ascii="宋体" w:hAnsi="宋体" w:eastAsia="宋体" w:cs="宋体"/>
          <w:b/>
          <w:color w:val="000000"/>
          <w:sz w:val="36"/>
        </w:rPr>
      </w:pPr>
      <w:r>
        <w:rPr>
          <w:rFonts w:hint="eastAsia" w:ascii="宋体" w:hAnsi="宋体" w:eastAsia="宋体" w:cs="宋体"/>
          <w:b/>
          <w:color w:val="000000"/>
          <w:sz w:val="36"/>
        </w:rPr>
      </w:r>
      <w:r/>
    </w:p>
    <w:p>
      <w:pPr>
        <w:jc w:val="center"/>
        <w:rPr>
          <w:rFonts w:hint="eastAsia" w:ascii="宋体" w:hAnsi="宋体" w:eastAsia="宋体" w:cs="宋体"/>
          <w:b/>
          <w:color w:val="000000"/>
          <w:sz w:val="36"/>
        </w:rPr>
      </w:pPr>
      <w:r>
        <w:rPr>
          <w:rFonts w:hint="eastAsia" w:ascii="宋体" w:hAnsi="宋体" w:eastAsia="宋体" w:cs="宋体"/>
          <w:b/>
          <w:color w:val="000000"/>
          <w:sz w:val="36"/>
        </w:rPr>
      </w:r>
      <w:r/>
    </w:p>
    <w:p>
      <w:pPr>
        <w:jc w:val="center"/>
        <w:rPr>
          <w:rFonts w:hint="eastAsia" w:ascii="宋体" w:hAnsi="宋体" w:eastAsia="宋体" w:cs="宋体"/>
          <w:b/>
          <w:color w:val="000000"/>
          <w:sz w:val="36"/>
        </w:rPr>
      </w:pPr>
      <w:r>
        <w:rPr>
          <w:rFonts w:hint="eastAsia" w:ascii="宋体" w:hAnsi="宋体" w:eastAsia="宋体" w:cs="宋体"/>
          <w:b/>
          <w:color w:val="000000"/>
          <w:sz w:val="36"/>
        </w:rPr>
      </w:r>
      <w:r/>
    </w:p>
    <w:p>
      <w:pPr>
        <w:ind w:firstLine="1600"/>
        <w:jc w:val="both"/>
        <w:spacing w:line="360" w:lineRule="auto"/>
        <w:rPr>
          <w:rFonts w:hint="eastAsia" w:ascii="宋体" w:hAnsi="宋体" w:eastAsia="宋体" w:cs="宋体"/>
          <w:b w:val="0"/>
          <w:bCs/>
          <w:color w:val="000000"/>
          <w:sz w:val="32"/>
          <w:szCs w:val="32"/>
        </w:rPr>
      </w:pPr>
      <w:r>
        <w:rPr>
          <w:rFonts w:hint="eastAsia" w:ascii="宋体" w:hAnsi="宋体" w:eastAsia="宋体" w:cs="宋体"/>
          <w:b w:val="0"/>
          <w:bCs/>
          <w:color w:val="000000"/>
          <w:sz w:val="32"/>
          <w:szCs w:val="32"/>
        </w:rPr>
        <w:t xml:space="preserve">项 目 名 称：</w:t>
      </w:r>
      <w:r/>
    </w:p>
    <w:p>
      <w:pPr>
        <w:ind w:firstLine="1600"/>
        <w:jc w:val="both"/>
        <w:spacing w:line="360" w:lineRule="auto"/>
        <w:rPr>
          <w:rFonts w:hint="eastAsia" w:ascii="宋体" w:hAnsi="宋体" w:eastAsia="宋体" w:cs="宋体"/>
          <w:b w:val="0"/>
          <w:bCs/>
          <w:color w:val="000000"/>
          <w:sz w:val="32"/>
          <w:szCs w:val="32"/>
          <w:u w:val="single"/>
        </w:rPr>
      </w:pPr>
      <w:r>
        <w:rPr>
          <w:rFonts w:hint="eastAsia" w:ascii="宋体" w:hAnsi="宋体" w:eastAsia="宋体" w:cs="宋体"/>
          <w:b w:val="0"/>
          <w:bCs/>
          <w:color w:val="000000"/>
          <w:sz w:val="32"/>
          <w:szCs w:val="32"/>
        </w:rPr>
        <w:t xml:space="preserve">项 目 编 号：</w:t>
      </w:r>
      <w:r/>
    </w:p>
    <w:p>
      <w:pPr>
        <w:ind w:firstLine="1600"/>
        <w:jc w:val="both"/>
        <w:spacing w:line="360" w:lineRule="auto"/>
        <w:rPr>
          <w:rFonts w:hint="eastAsia" w:ascii="宋体" w:hAnsi="宋体" w:eastAsia="宋体" w:cs="宋体"/>
          <w:b w:val="0"/>
          <w:bCs/>
          <w:color w:val="000000"/>
          <w:sz w:val="32"/>
          <w:szCs w:val="32"/>
          <w:u w:val="single"/>
        </w:rPr>
      </w:pPr>
      <w:r>
        <w:rPr>
          <w:rFonts w:hint="eastAsia" w:ascii="宋体" w:hAnsi="宋体" w:eastAsia="宋体" w:cs="宋体"/>
          <w:b w:val="0"/>
          <w:bCs/>
          <w:color w:val="000000"/>
          <w:sz w:val="32"/>
          <w:szCs w:val="32"/>
        </w:rPr>
        <w:t xml:space="preserve">投标人名称 ：</w:t>
      </w:r>
      <w:r>
        <w:rPr>
          <w:rFonts w:hint="eastAsia" w:ascii="宋体" w:hAnsi="宋体" w:eastAsia="宋体" w:cs="宋体"/>
          <w:b w:val="0"/>
          <w:bCs/>
          <w:color w:val="000000"/>
          <w:sz w:val="32"/>
          <w:szCs w:val="32"/>
          <w:u w:val="single"/>
        </w:rPr>
        <w:t xml:space="preserve">（加盖CA电子公章）</w:t>
      </w:r>
      <w:r/>
    </w:p>
    <w:p>
      <w:pPr>
        <w:ind w:firstLine="1600"/>
        <w:jc w:val="both"/>
        <w:spacing w:line="360" w:lineRule="auto"/>
        <w:rPr>
          <w:rFonts w:hint="eastAsia" w:ascii="宋体" w:hAnsi="宋体" w:eastAsia="宋体" w:cs="宋体"/>
          <w:b w:val="0"/>
          <w:bCs/>
          <w:color w:val="000000"/>
          <w:sz w:val="32"/>
          <w:szCs w:val="32"/>
          <w:u w:val="single"/>
        </w:rPr>
      </w:pPr>
      <w:r>
        <w:rPr>
          <w:rFonts w:hint="eastAsia" w:ascii="宋体" w:hAnsi="宋体" w:eastAsia="宋体" w:cs="宋体"/>
          <w:b w:val="0"/>
          <w:bCs/>
          <w:color w:val="000000"/>
          <w:sz w:val="32"/>
          <w:szCs w:val="32"/>
        </w:rPr>
        <w:t xml:space="preserve">日      期 ：</w:t>
      </w:r>
      <w:r/>
    </w:p>
    <w:p>
      <w:pPr>
        <w:jc w:val="center"/>
        <w:spacing w:line="440" w:lineRule="exact"/>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spacing w:line="440" w:lineRule="exact"/>
        <w:rPr>
          <w:rFonts w:hint="eastAsia" w:ascii="宋体" w:hAnsi="宋体" w:eastAsia="宋体" w:cs="宋体"/>
          <w:color w:val="000000"/>
        </w:rPr>
      </w:pPr>
      <w:r>
        <w:rPr>
          <w:rFonts w:hint="eastAsia" w:ascii="宋体" w:hAnsi="宋体" w:eastAsia="宋体" w:cs="宋体"/>
          <w:color w:val="000000"/>
        </w:rPr>
      </w:r>
      <w:r/>
    </w:p>
    <w:p>
      <w:pPr>
        <w:ind w:firstLine="1084"/>
        <w:rPr>
          <w:rFonts w:hint="eastAsia" w:ascii="宋体" w:hAnsi="宋体" w:eastAsia="宋体" w:cs="宋体"/>
          <w:b/>
          <w:bCs/>
          <w:color w:val="000000"/>
          <w:sz w:val="32"/>
          <w:szCs w:val="32"/>
        </w:rPr>
      </w:pPr>
      <w:r>
        <w:rPr>
          <w:rFonts w:hint="eastAsia" w:ascii="宋体" w:hAnsi="宋体" w:eastAsia="宋体" w:cs="宋体"/>
          <w:b/>
          <w:color w:val="000000"/>
          <w:sz w:val="36"/>
          <w:u w:val="single"/>
        </w:rPr>
        <w:br w:type="page" w:clear="all"/>
      </w:r>
      <w:r/>
    </w:p>
    <w:p>
      <w:pPr>
        <w:jc w:val="center"/>
        <w:spacing w:line="360" w:lineRule="auto"/>
        <w:rPr>
          <w:rFonts w:hint="eastAsia" w:ascii="宋体" w:hAnsi="宋体" w:eastAsia="宋体" w:cs="宋体"/>
          <w:b/>
          <w:bCs/>
          <w:color w:val="000000"/>
          <w:sz w:val="32"/>
          <w:szCs w:val="32"/>
        </w:rPr>
        <w:sectPr>
          <w:footnotePr/>
          <w:endnotePr/>
          <w:type w:val="nextPage"/>
          <w:pgSz w:w="11905" w:h="16838" w:orient="portrait"/>
          <w:pgMar w:top="1134" w:right="1134" w:bottom="1134" w:left="1134" w:header="0" w:footer="1020" w:gutter="0"/>
          <w:cols w:num="1" w:sep="0" w:space="0" w:equalWidth="1"/>
          <w:docGrid w:linePitch="360"/>
        </w:sectPr>
      </w:pPr>
      <w:r>
        <w:rPr>
          <w:rFonts w:hint="eastAsia" w:ascii="宋体" w:hAnsi="宋体" w:eastAsia="宋体" w:cs="宋体"/>
          <w:b/>
          <w:bCs/>
          <w:color w:val="000000"/>
          <w:sz w:val="32"/>
          <w:szCs w:val="32"/>
        </w:rPr>
      </w:r>
      <w:r/>
    </w:p>
    <w:p>
      <w:pPr>
        <w:jc w:val="center"/>
        <w:spacing w:line="360" w:lineRule="auto"/>
        <w:rPr>
          <w:rFonts w:hint="eastAsia" w:ascii="宋体" w:hAnsi="宋体" w:eastAsia="宋体" w:cs="宋体"/>
          <w:b/>
          <w:bCs/>
          <w:sz w:val="32"/>
          <w:szCs w:val="32"/>
        </w:rPr>
      </w:pPr>
      <w:r>
        <w:rPr>
          <w:rFonts w:hint="eastAsia" w:ascii="仿宋" w:hAnsi="仿宋" w:eastAsia="仿宋" w:cs="仿宋"/>
          <w:b/>
          <w:bCs/>
          <w:sz w:val="32"/>
          <w:szCs w:val="32"/>
        </w:rPr>
        <w:t xml:space="preserve">投</w:t>
      </w:r>
      <w:r>
        <w:rPr>
          <w:rFonts w:hint="eastAsia" w:ascii="宋体" w:hAnsi="宋体" w:eastAsia="宋体" w:cs="宋体"/>
          <w:b/>
          <w:bCs/>
          <w:sz w:val="32"/>
          <w:szCs w:val="32"/>
        </w:rPr>
        <w:t xml:space="preserve">标主要文件目录</w:t>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一、资格审查响应对照表</w:t>
      </w:r>
      <w:r/>
    </w:p>
    <w:p>
      <w:pPr>
        <w:ind w:left="480"/>
        <w:spacing w:line="360" w:lineRule="auto"/>
        <w:rPr>
          <w:rFonts w:hint="eastAsia" w:ascii="宋体" w:hAnsi="宋体" w:eastAsia="宋体" w:cs="宋体"/>
          <w:sz w:val="24"/>
        </w:rPr>
      </w:pPr>
      <w:r>
        <w:rPr>
          <w:rFonts w:hint="eastAsia" w:ascii="宋体" w:hAnsi="宋体" w:eastAsia="宋体" w:cs="宋体"/>
          <w:sz w:val="24"/>
        </w:rPr>
        <w:t xml:space="preserve">二、符合性审查响应对照表</w:t>
      </w:r>
      <w:r/>
    </w:p>
    <w:p>
      <w:pPr>
        <w:ind w:left="480"/>
        <w:spacing w:line="360" w:lineRule="auto"/>
        <w:rPr>
          <w:rFonts w:hint="eastAsia" w:ascii="宋体" w:hAnsi="宋体" w:eastAsia="宋体" w:cs="宋体"/>
          <w:sz w:val="24"/>
        </w:rPr>
      </w:pPr>
      <w:r>
        <w:rPr>
          <w:rFonts w:hint="eastAsia" w:ascii="宋体" w:hAnsi="宋体" w:eastAsia="宋体" w:cs="宋体"/>
          <w:sz w:val="24"/>
        </w:rPr>
        <w:t xml:space="preserve">三、非实质性响应对照表</w:t>
      </w:r>
      <w:r/>
    </w:p>
    <w:p>
      <w:pPr>
        <w:ind w:firstLine="480"/>
        <w:spacing w:line="360" w:lineRule="auto"/>
        <w:rPr>
          <w:rFonts w:hint="eastAsia" w:ascii="宋体" w:hAnsi="宋体" w:eastAsia="宋体" w:cs="宋体"/>
          <w:b/>
          <w:bCs/>
          <w:sz w:val="24"/>
        </w:rPr>
      </w:pPr>
      <w:r>
        <w:rPr>
          <w:rFonts w:hint="eastAsia" w:ascii="宋体" w:hAnsi="宋体" w:eastAsia="宋体" w:cs="宋体"/>
          <w:sz w:val="24"/>
        </w:rPr>
        <w:t xml:space="preserve">四</w:t>
      </w:r>
      <w:r>
        <w:rPr>
          <w:rFonts w:hint="eastAsia" w:ascii="宋体" w:hAnsi="宋体" w:eastAsia="宋体" w:cs="宋体"/>
          <w:b/>
          <w:bCs/>
          <w:sz w:val="24"/>
        </w:rPr>
        <w:t xml:space="preserve">、</w:t>
      </w:r>
      <w:r>
        <w:rPr>
          <w:rFonts w:hint="eastAsia" w:ascii="宋体" w:hAnsi="宋体" w:eastAsia="宋体" w:cs="宋体"/>
          <w:i/>
          <w:sz w:val="24"/>
          <w:u w:val="single"/>
        </w:rPr>
        <w:t xml:space="preserve">开标一览表</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五、投标配置与分项报价表</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六</w:t>
      </w:r>
      <w:r>
        <w:rPr>
          <w:rFonts w:hint="eastAsia" w:ascii="宋体" w:hAnsi="宋体" w:eastAsia="宋体" w:cs="宋体"/>
          <w:sz w:val="24"/>
          <w:szCs w:val="24"/>
        </w:rPr>
        <w:t xml:space="preserve">、技术参数响应及偏离表</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七、商务条款响应及偏离表</w:t>
      </w:r>
      <w:r/>
    </w:p>
    <w:p>
      <w:pPr>
        <w:ind w:firstLine="480"/>
        <w:spacing w:line="360" w:lineRule="auto"/>
        <w:rPr>
          <w:rFonts w:ascii="仿宋" w:hAnsi="仿宋" w:eastAsia="仿宋" w:cs="仿宋"/>
          <w:sz w:val="36"/>
          <w:szCs w:val="36"/>
        </w:rPr>
      </w:pPr>
      <w:r>
        <w:rPr>
          <w:rFonts w:hint="eastAsia" w:ascii="宋体" w:hAnsi="宋体" w:eastAsia="宋体" w:cs="宋体"/>
          <w:sz w:val="24"/>
        </w:rPr>
        <w:t xml:space="preserve">八、其他 （投标人认为有必要提供的声明和文件，如有自拟并自行添加）</w:t>
      </w:r>
      <w:r/>
    </w:p>
    <w:p>
      <w:pPr>
        <w:contextualSpacing/>
        <w:jc w:val="center"/>
        <w:spacing w:line="360" w:lineRule="auto"/>
        <w:rPr>
          <w:rFonts w:ascii="仿宋" w:hAnsi="仿宋" w:eastAsia="仿宋" w:cs="仿宋"/>
          <w:b/>
          <w:color w:val="000000"/>
          <w:sz w:val="72"/>
        </w:rPr>
      </w:pPr>
      <w:r>
        <w:rPr>
          <w:rFonts w:ascii="仿宋" w:hAnsi="仿宋" w:eastAsia="仿宋" w:cs="仿宋"/>
          <w:b/>
          <w:color w:val="000000"/>
          <w:sz w:val="72"/>
        </w:rPr>
      </w:r>
      <w:r/>
    </w:p>
    <w:p>
      <w:pPr>
        <w:contextualSpacing/>
        <w:jc w:val="center"/>
        <w:spacing w:line="360" w:lineRule="auto"/>
        <w:rPr>
          <w:rFonts w:ascii="仿宋" w:hAnsi="仿宋" w:eastAsia="仿宋" w:cs="仿宋"/>
          <w:b/>
          <w:color w:val="000000"/>
          <w:sz w:val="72"/>
        </w:rPr>
      </w:pPr>
      <w:r>
        <w:rPr>
          <w:rFonts w:ascii="仿宋" w:hAnsi="仿宋" w:eastAsia="仿宋" w:cs="仿宋"/>
          <w:b/>
          <w:color w:val="000000"/>
          <w:sz w:val="72"/>
        </w:rPr>
      </w:r>
      <w:r/>
    </w:p>
    <w:p>
      <w:pPr>
        <w:contextualSpacing/>
        <w:jc w:val="center"/>
        <w:spacing w:line="360" w:lineRule="auto"/>
        <w:rPr>
          <w:rFonts w:ascii="仿宋" w:hAnsi="仿宋" w:eastAsia="仿宋" w:cs="仿宋"/>
          <w:b/>
          <w:color w:val="000000"/>
          <w:sz w:val="72"/>
        </w:rPr>
      </w:pPr>
      <w:r>
        <w:rPr>
          <w:rFonts w:ascii="仿宋" w:hAnsi="仿宋" w:eastAsia="仿宋" w:cs="仿宋"/>
          <w:b/>
          <w:color w:val="000000"/>
          <w:sz w:val="72"/>
        </w:rPr>
      </w:r>
      <w:r/>
    </w:p>
    <w:p>
      <w:pPr>
        <w:contextualSpacing/>
        <w:spacing w:line="360" w:lineRule="auto"/>
        <w:rPr>
          <w:rFonts w:ascii="仿宋" w:hAnsi="仿宋" w:eastAsia="仿宋" w:cs="仿宋"/>
          <w:b/>
          <w:color w:val="000000"/>
          <w:sz w:val="36"/>
        </w:rPr>
      </w:pPr>
      <w:r>
        <w:rPr>
          <w:rFonts w:ascii="仿宋" w:hAnsi="仿宋" w:eastAsia="仿宋" w:cs="仿宋"/>
          <w:b/>
          <w:color w:val="000000"/>
          <w:sz w:val="36"/>
        </w:rPr>
      </w:r>
      <w:r/>
    </w:p>
    <w:p>
      <w:pPr>
        <w:contextualSpacing/>
        <w:spacing w:line="360" w:lineRule="auto"/>
        <w:rPr>
          <w:rFonts w:ascii="仿宋" w:hAnsi="仿宋" w:eastAsia="仿宋" w:cs="仿宋"/>
          <w:b/>
          <w:color w:val="000000"/>
          <w:sz w:val="36"/>
        </w:rPr>
      </w:pPr>
      <w:r>
        <w:rPr>
          <w:rFonts w:ascii="仿宋" w:hAnsi="仿宋" w:eastAsia="仿宋" w:cs="仿宋"/>
          <w:b/>
          <w:color w:val="000000"/>
          <w:sz w:val="36"/>
        </w:rPr>
      </w:r>
      <w:r/>
    </w:p>
    <w:p>
      <w:pPr>
        <w:contextualSpacing/>
        <w:spacing w:line="360" w:lineRule="auto"/>
        <w:rPr>
          <w:rFonts w:ascii="仿宋" w:hAnsi="仿宋" w:eastAsia="仿宋" w:cs="仿宋"/>
          <w:b/>
          <w:color w:val="000000"/>
          <w:sz w:val="36"/>
        </w:rPr>
      </w:pPr>
      <w:r>
        <w:rPr>
          <w:rFonts w:ascii="仿宋" w:hAnsi="仿宋" w:eastAsia="仿宋" w:cs="仿宋"/>
          <w:b/>
          <w:color w:val="000000"/>
          <w:sz w:val="36"/>
        </w:rPr>
      </w:r>
      <w:r/>
    </w:p>
    <w:p>
      <w:pPr>
        <w:contextualSpacing/>
        <w:spacing w:line="360" w:lineRule="auto"/>
        <w:rPr>
          <w:rFonts w:ascii="仿宋" w:hAnsi="仿宋" w:eastAsia="仿宋" w:cs="仿宋"/>
          <w:b/>
          <w:color w:val="000000"/>
          <w:sz w:val="36"/>
        </w:rPr>
      </w:pPr>
      <w:r>
        <w:rPr>
          <w:rFonts w:ascii="仿宋" w:hAnsi="仿宋" w:eastAsia="仿宋" w:cs="仿宋"/>
          <w:b/>
          <w:color w:val="000000"/>
          <w:sz w:val="36"/>
        </w:rPr>
      </w:r>
      <w:r/>
    </w:p>
    <w:p>
      <w:pPr>
        <w:contextualSpacing/>
        <w:spacing w:line="360" w:lineRule="auto"/>
        <w:rPr>
          <w:rFonts w:ascii="仿宋" w:hAnsi="仿宋" w:eastAsia="仿宋" w:cs="仿宋"/>
          <w:b/>
          <w:color w:val="000000"/>
          <w:sz w:val="36"/>
        </w:rPr>
      </w:pPr>
      <w:r>
        <w:rPr>
          <w:rFonts w:ascii="仿宋" w:hAnsi="仿宋" w:eastAsia="仿宋" w:cs="仿宋"/>
          <w:b/>
          <w:color w:val="000000"/>
          <w:sz w:val="36"/>
        </w:rPr>
      </w:r>
      <w:r/>
    </w:p>
    <w:p>
      <w:pPr>
        <w:contextualSpacing/>
        <w:spacing w:line="360" w:lineRule="auto"/>
        <w:rPr>
          <w:rFonts w:ascii="仿宋" w:hAnsi="仿宋" w:eastAsia="仿宋" w:cs="仿宋"/>
          <w:b/>
          <w:color w:val="000000"/>
          <w:sz w:val="36"/>
        </w:rPr>
      </w:pPr>
      <w:r>
        <w:rPr>
          <w:rFonts w:ascii="仿宋" w:hAnsi="仿宋" w:eastAsia="仿宋" w:cs="仿宋"/>
          <w:b/>
          <w:color w:val="000000"/>
          <w:sz w:val="36"/>
        </w:rPr>
      </w:r>
      <w:r/>
    </w:p>
    <w:p>
      <w:pPr>
        <w:contextualSpacing/>
        <w:spacing w:line="360" w:lineRule="auto"/>
        <w:rPr>
          <w:rFonts w:ascii="仿宋" w:hAnsi="仿宋" w:eastAsia="仿宋" w:cs="仿宋"/>
          <w:b/>
          <w:color w:val="000000"/>
          <w:sz w:val="36"/>
        </w:rPr>
      </w:pPr>
      <w:r>
        <w:rPr>
          <w:rFonts w:ascii="仿宋" w:hAnsi="仿宋" w:eastAsia="仿宋" w:cs="仿宋"/>
          <w:b/>
          <w:color w:val="000000"/>
          <w:sz w:val="36"/>
        </w:rPr>
      </w:r>
      <w:r/>
    </w:p>
    <w:p>
      <w:pPr>
        <w:spacing w:line="360" w:lineRule="auto"/>
        <w:rPr>
          <w:rFonts w:ascii="仿宋" w:hAnsi="仿宋" w:eastAsia="仿宋" w:cs="仿宋"/>
          <w:b/>
          <w:sz w:val="32"/>
          <w:szCs w:val="32"/>
        </w:rPr>
      </w:pPr>
      <w:r>
        <w:rPr>
          <w:rFonts w:ascii="仿宋" w:hAnsi="仿宋" w:eastAsia="仿宋" w:cs="仿宋"/>
          <w:b/>
          <w:sz w:val="32"/>
          <w:szCs w:val="32"/>
        </w:rPr>
      </w:r>
      <w:r/>
    </w:p>
    <w:p>
      <w:pPr>
        <w:pStyle w:val="810"/>
        <w:jc w:val="center"/>
        <w:spacing w:line="360" w:lineRule="auto"/>
        <w:rPr>
          <w:rFonts w:ascii="仿宋" w:hAnsi="仿宋" w:eastAsia="仿宋" w:cs="仿宋"/>
          <w:b w:val="0"/>
          <w:sz w:val="32"/>
          <w:szCs w:val="32"/>
        </w:rPr>
      </w:pPr>
      <w:r>
        <w:rPr>
          <w:rFonts w:hint="eastAsia" w:ascii="仿宋" w:hAnsi="仿宋" w:eastAsia="仿宋" w:cs="仿宋"/>
          <w:sz w:val="32"/>
          <w:szCs w:val="32"/>
        </w:rPr>
        <w:br w:type="page" w:clear="all"/>
      </w:r>
      <w:bookmarkStart w:id="205" w:name="_Toc362"/>
      <w:r>
        <w:rPr>
          <w:rFonts w:hint="eastAsia" w:ascii="宋体" w:hAnsi="宋体" w:eastAsia="宋体" w:cs="宋体"/>
          <w:sz w:val="32"/>
        </w:rPr>
        <w:t xml:space="preserve">一、资格审查响应对照表</w:t>
      </w:r>
      <w:bookmarkEnd w:id="205"/>
      <w:r/>
      <w:r/>
    </w:p>
    <w:tbl>
      <w:tblPr>
        <w:tblStyle w:val="819"/>
        <w:tblW w:w="91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6207"/>
        <w:gridCol w:w="2216"/>
      </w:tblGrid>
      <w:tr>
        <w:trPr>
          <w:jc w:val="center"/>
          <w:trHeight w:val="805"/>
        </w:trPr>
        <w:tc>
          <w:tcPr>
            <w:tcW w:w="715" w:type="dxa"/>
            <w:vAlign w:val="center"/>
            <w:textDirection w:val="lrTb"/>
            <w:noWrap w:val="false"/>
          </w:tcPr>
          <w:p>
            <w:pPr>
              <w:jc w:val="center"/>
              <w:spacing w:line="240" w:lineRule="atLeast"/>
              <w:rPr>
                <w:rFonts w:hint="eastAsia" w:ascii="宋体" w:hAnsi="宋体" w:eastAsia="宋体" w:cs="宋体"/>
                <w:b/>
                <w:szCs w:val="21"/>
              </w:rPr>
            </w:pPr>
            <w:r>
              <w:rPr>
                <w:rFonts w:hint="eastAsia" w:ascii="宋体" w:hAnsi="宋体" w:eastAsia="宋体" w:cs="宋体"/>
                <w:b/>
                <w:szCs w:val="21"/>
              </w:rPr>
              <w:t xml:space="preserve">序号</w:t>
            </w:r>
            <w:r/>
          </w:p>
        </w:tc>
        <w:tc>
          <w:tcPr>
            <w:tcW w:w="6207" w:type="dxa"/>
            <w:vAlign w:val="center"/>
            <w:textDirection w:val="lrTb"/>
            <w:noWrap w:val="false"/>
          </w:tcPr>
          <w:p>
            <w:pPr>
              <w:jc w:val="center"/>
              <w:spacing w:line="240" w:lineRule="atLeast"/>
              <w:rPr>
                <w:rFonts w:hint="eastAsia" w:ascii="宋体" w:hAnsi="宋体" w:eastAsia="宋体" w:cs="宋体"/>
                <w:b/>
                <w:szCs w:val="21"/>
              </w:rPr>
            </w:pPr>
            <w:r>
              <w:rPr>
                <w:rFonts w:hint="eastAsia" w:ascii="宋体" w:hAnsi="宋体" w:eastAsia="宋体" w:cs="宋体"/>
                <w:b/>
                <w:szCs w:val="21"/>
              </w:rPr>
              <w:t xml:space="preserve">资格审查响应内容</w:t>
            </w:r>
            <w:r/>
          </w:p>
        </w:tc>
        <w:tc>
          <w:tcPr>
            <w:tcW w:w="2216" w:type="dxa"/>
            <w:vAlign w:val="center"/>
            <w:textDirection w:val="lrTb"/>
            <w:noWrap w:val="false"/>
          </w:tcPr>
          <w:p>
            <w:pPr>
              <w:jc w:val="center"/>
              <w:spacing w:line="240" w:lineRule="atLeast"/>
              <w:rPr>
                <w:rFonts w:hint="eastAsia" w:ascii="宋体" w:hAnsi="宋体" w:eastAsia="宋体" w:cs="宋体"/>
                <w:b/>
                <w:szCs w:val="21"/>
              </w:rPr>
            </w:pPr>
            <w:r>
              <w:rPr>
                <w:rFonts w:hint="eastAsia" w:ascii="宋体" w:hAnsi="宋体" w:eastAsia="宋体" w:cs="宋体"/>
                <w:b/>
                <w:szCs w:val="21"/>
              </w:rPr>
              <w:t xml:space="preserve">是否响应</w:t>
            </w:r>
            <w:r/>
          </w:p>
          <w:p>
            <w:pPr>
              <w:jc w:val="center"/>
              <w:spacing w:line="240" w:lineRule="atLeast"/>
              <w:rPr>
                <w:rFonts w:hint="eastAsia" w:ascii="宋体" w:hAnsi="宋体" w:eastAsia="宋体" w:cs="宋体"/>
                <w:b/>
                <w:szCs w:val="21"/>
              </w:rPr>
            </w:pPr>
            <w:r>
              <w:rPr>
                <w:rFonts w:hint="eastAsia" w:ascii="宋体" w:hAnsi="宋体" w:eastAsia="宋体" w:cs="宋体"/>
                <w:b/>
                <w:szCs w:val="21"/>
              </w:rPr>
              <w:t xml:space="preserve">（填是或者否）</w:t>
            </w:r>
            <w:r/>
          </w:p>
        </w:tc>
      </w:tr>
      <w:tr>
        <w:trPr>
          <w:jc w:val="center"/>
          <w:trHeight w:val="542"/>
        </w:trPr>
        <w:tc>
          <w:tcPr>
            <w:gridSpan w:val="3"/>
            <w:tcW w:w="9138"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rPr>
              <w:t xml:space="preserve">通用资格条件</w:t>
            </w:r>
            <w:r/>
          </w:p>
        </w:tc>
      </w:tr>
      <w:tr>
        <w:trPr>
          <w:jc w:val="center"/>
          <w:trHeight w:val="755"/>
        </w:trPr>
        <w:tc>
          <w:tcPr>
            <w:tcW w:w="715"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szCs w:val="21"/>
              </w:rPr>
              <w:t xml:space="preserve">1</w:t>
            </w:r>
            <w:r/>
          </w:p>
        </w:tc>
        <w:tc>
          <w:tcPr>
            <w:tcW w:w="6207" w:type="dxa"/>
            <w:vAlign w:val="center"/>
            <w:textDirection w:val="lrTb"/>
            <w:noWrap w:val="false"/>
          </w:tcPr>
          <w:p>
            <w:pPr>
              <w:spacing w:line="240" w:lineRule="auto"/>
              <w:rPr>
                <w:rFonts w:hint="eastAsia" w:ascii="宋体" w:hAnsi="宋体" w:eastAsia="宋体" w:cs="宋体"/>
                <w:iCs/>
                <w:szCs w:val="21"/>
              </w:rPr>
            </w:pPr>
            <w:r>
              <w:rPr>
                <w:rFonts w:hint="eastAsia" w:ascii="宋体" w:hAnsi="宋体" w:eastAsia="宋体" w:cs="宋体"/>
                <w:szCs w:val="21"/>
              </w:rPr>
              <w:t xml:space="preserve">法人或者其他组织的营业执照等证明文件，自然人的身份证明（身份证为正、反面）</w:t>
            </w:r>
            <w:r/>
          </w:p>
        </w:tc>
        <w:tc>
          <w:tcPr>
            <w:tcW w:w="2216" w:type="dxa"/>
            <w:vAlign w:val="center"/>
            <w:textDirection w:val="lrTb"/>
            <w:noWrap w:val="false"/>
          </w:tcPr>
          <w:p>
            <w:pPr>
              <w:spacing w:line="240" w:lineRule="auto"/>
              <w:rPr>
                <w:rFonts w:hint="eastAsia" w:ascii="宋体" w:hAnsi="宋体" w:eastAsia="宋体" w:cs="宋体"/>
                <w:b/>
                <w:szCs w:val="21"/>
              </w:rPr>
            </w:pPr>
            <w:r>
              <w:rPr>
                <w:rFonts w:hint="eastAsia" w:ascii="宋体" w:hAnsi="宋体" w:eastAsia="宋体" w:cs="宋体"/>
                <w:b/>
                <w:szCs w:val="21"/>
              </w:rPr>
            </w:r>
            <w:r/>
          </w:p>
        </w:tc>
      </w:tr>
      <w:tr>
        <w:trPr>
          <w:jc w:val="center"/>
          <w:trHeight w:val="937"/>
        </w:trPr>
        <w:tc>
          <w:tcPr>
            <w:tcW w:w="71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2</w:t>
            </w:r>
            <w:r/>
          </w:p>
        </w:tc>
        <w:tc>
          <w:tcPr>
            <w:tcW w:w="6207" w:type="dxa"/>
            <w:vAlign w:val="center"/>
            <w:textDirection w:val="lrTb"/>
            <w:noWrap w:val="false"/>
          </w:tcPr>
          <w:p>
            <w:pPr>
              <w:spacing w:line="240" w:lineRule="auto"/>
              <w:rPr>
                <w:rFonts w:hint="eastAsia" w:ascii="宋体" w:hAnsi="宋体" w:eastAsia="宋体" w:cs="宋体"/>
                <w:iCs/>
                <w:szCs w:val="21"/>
              </w:rPr>
            </w:pPr>
            <w:r>
              <w:rPr>
                <w:rFonts w:hint="eastAsia" w:ascii="宋体" w:hAnsi="宋体" w:eastAsia="宋体" w:cs="宋体"/>
                <w:szCs w:val="21"/>
              </w:rPr>
              <w:t xml:space="preserve">依法缴纳职工社会保障资金的证明材料(税务、银行或社会保险基金管理部门出具的近三个月内任意一个月缴纳职工社会保障资金的缴款凭证或缴款证明)</w:t>
            </w:r>
            <w:r/>
          </w:p>
        </w:tc>
        <w:tc>
          <w:tcPr>
            <w:tcW w:w="2216" w:type="dxa"/>
            <w:vAlign w:val="center"/>
            <w:textDirection w:val="lrTb"/>
            <w:noWrap w:val="false"/>
          </w:tcPr>
          <w:p>
            <w:pPr>
              <w:spacing w:line="240" w:lineRule="auto"/>
              <w:rPr>
                <w:rFonts w:hint="eastAsia" w:ascii="宋体" w:hAnsi="宋体" w:eastAsia="宋体" w:cs="宋体"/>
                <w:szCs w:val="21"/>
              </w:rPr>
            </w:pPr>
            <w:r>
              <w:rPr>
                <w:rFonts w:hint="eastAsia" w:ascii="宋体" w:hAnsi="宋体" w:eastAsia="宋体" w:cs="宋体"/>
                <w:szCs w:val="21"/>
              </w:rPr>
            </w:r>
            <w:r/>
          </w:p>
        </w:tc>
      </w:tr>
      <w:tr>
        <w:trPr>
          <w:jc w:val="center"/>
          <w:trHeight w:val="557"/>
        </w:trPr>
        <w:tc>
          <w:tcPr>
            <w:tcW w:w="71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3</w:t>
            </w:r>
            <w:r/>
          </w:p>
        </w:tc>
        <w:tc>
          <w:tcPr>
            <w:tcW w:w="6207" w:type="dxa"/>
            <w:vAlign w:val="center"/>
            <w:textDirection w:val="lrTb"/>
            <w:noWrap w:val="false"/>
          </w:tcPr>
          <w:p>
            <w:pPr>
              <w:spacing w:line="240" w:lineRule="auto"/>
              <w:rPr>
                <w:rFonts w:hint="eastAsia" w:ascii="宋体" w:hAnsi="宋体" w:eastAsia="宋体" w:cs="宋体"/>
                <w:iCs/>
                <w:szCs w:val="21"/>
              </w:rPr>
            </w:pPr>
            <w:r>
              <w:rPr>
                <w:rFonts w:hint="eastAsia" w:ascii="宋体" w:hAnsi="宋体" w:eastAsia="宋体" w:cs="宋体"/>
                <w:szCs w:val="21"/>
              </w:rPr>
              <w:t xml:space="preserve">供应商近三个月内任意一份依法纳税的缴款凭证</w:t>
            </w:r>
            <w:r/>
          </w:p>
        </w:tc>
        <w:tc>
          <w:tcPr>
            <w:tcW w:w="2216" w:type="dxa"/>
            <w:vAlign w:val="center"/>
            <w:textDirection w:val="lrTb"/>
            <w:noWrap w:val="false"/>
          </w:tcPr>
          <w:p>
            <w:pPr>
              <w:spacing w:line="240" w:lineRule="auto"/>
              <w:rPr>
                <w:rFonts w:hint="eastAsia" w:ascii="宋体" w:hAnsi="宋体" w:eastAsia="宋体" w:cs="宋体"/>
                <w:szCs w:val="21"/>
              </w:rPr>
            </w:pPr>
            <w:r>
              <w:rPr>
                <w:rFonts w:hint="eastAsia" w:ascii="宋体" w:hAnsi="宋体" w:eastAsia="宋体" w:cs="宋体"/>
                <w:szCs w:val="21"/>
              </w:rPr>
            </w:r>
            <w:r/>
          </w:p>
        </w:tc>
      </w:tr>
      <w:tr>
        <w:trPr>
          <w:jc w:val="center"/>
          <w:trHeight w:val="464"/>
        </w:trPr>
        <w:tc>
          <w:tcPr>
            <w:tcW w:w="71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4</w:t>
            </w:r>
            <w:r/>
          </w:p>
        </w:tc>
        <w:tc>
          <w:tcPr>
            <w:tcW w:w="6207" w:type="dxa"/>
            <w:vAlign w:val="center"/>
            <w:textDirection w:val="lrTb"/>
            <w:noWrap w:val="false"/>
          </w:tcPr>
          <w:p>
            <w:pPr>
              <w:spacing w:line="240" w:lineRule="auto"/>
              <w:rPr>
                <w:rFonts w:hint="eastAsia" w:ascii="宋体" w:hAnsi="宋体" w:eastAsia="宋体" w:cs="宋体"/>
                <w:iCs/>
                <w:szCs w:val="21"/>
              </w:rPr>
            </w:pPr>
            <w:r>
              <w:rPr>
                <w:rFonts w:hint="eastAsia" w:ascii="宋体" w:hAnsi="宋体" w:eastAsia="宋体" w:cs="宋体"/>
                <w:szCs w:val="21"/>
              </w:rPr>
              <w:t xml:space="preserve">上一年度的财务状况情况（成立不满一年不需提供）</w:t>
            </w:r>
            <w:r/>
          </w:p>
        </w:tc>
        <w:tc>
          <w:tcPr>
            <w:tcW w:w="2216" w:type="dxa"/>
            <w:vAlign w:val="center"/>
            <w:textDirection w:val="lrTb"/>
            <w:noWrap w:val="false"/>
          </w:tcPr>
          <w:p>
            <w:pPr>
              <w:spacing w:line="240" w:lineRule="auto"/>
              <w:rPr>
                <w:rFonts w:hint="eastAsia" w:ascii="宋体" w:hAnsi="宋体" w:eastAsia="宋体" w:cs="宋体"/>
                <w:szCs w:val="21"/>
              </w:rPr>
            </w:pPr>
            <w:r>
              <w:rPr>
                <w:rFonts w:hint="eastAsia" w:ascii="宋体" w:hAnsi="宋体" w:eastAsia="宋体" w:cs="宋体"/>
                <w:szCs w:val="21"/>
              </w:rPr>
            </w:r>
            <w:r/>
          </w:p>
        </w:tc>
      </w:tr>
      <w:tr>
        <w:trPr>
          <w:jc w:val="center"/>
          <w:trHeight w:val="468"/>
        </w:trPr>
        <w:tc>
          <w:tcPr>
            <w:tcW w:w="71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5</w:t>
            </w:r>
            <w:r/>
          </w:p>
        </w:tc>
        <w:tc>
          <w:tcPr>
            <w:tcW w:w="6207" w:type="dxa"/>
            <w:vAlign w:val="center"/>
            <w:textDirection w:val="lrTb"/>
            <w:noWrap w:val="false"/>
          </w:tcPr>
          <w:p>
            <w:pPr>
              <w:spacing w:line="240" w:lineRule="auto"/>
              <w:rPr>
                <w:rFonts w:hint="eastAsia" w:ascii="宋体" w:hAnsi="宋体" w:eastAsia="宋体" w:cs="宋体"/>
                <w:iCs/>
                <w:szCs w:val="21"/>
              </w:rPr>
            </w:pPr>
            <w:r>
              <w:rPr>
                <w:rFonts w:hint="eastAsia" w:ascii="宋体" w:hAnsi="宋体" w:eastAsia="宋体" w:cs="宋体"/>
                <w:szCs w:val="21"/>
              </w:rPr>
              <w:t xml:space="preserve">具备履行合同所必需的设备和专业技术能力的书面声明</w:t>
            </w:r>
            <w:r/>
          </w:p>
        </w:tc>
        <w:tc>
          <w:tcPr>
            <w:tcW w:w="2216" w:type="dxa"/>
            <w:vAlign w:val="center"/>
            <w:textDirection w:val="lrTb"/>
            <w:noWrap w:val="false"/>
          </w:tcPr>
          <w:p>
            <w:pPr>
              <w:spacing w:line="240" w:lineRule="auto"/>
              <w:rPr>
                <w:rFonts w:hint="eastAsia" w:ascii="宋体" w:hAnsi="宋体" w:eastAsia="宋体" w:cs="宋体"/>
                <w:szCs w:val="21"/>
              </w:rPr>
            </w:pPr>
            <w:r>
              <w:rPr>
                <w:rFonts w:hint="eastAsia" w:ascii="宋体" w:hAnsi="宋体" w:eastAsia="宋体" w:cs="宋体"/>
                <w:szCs w:val="21"/>
              </w:rPr>
            </w:r>
            <w:r/>
          </w:p>
        </w:tc>
      </w:tr>
      <w:tr>
        <w:trPr>
          <w:jc w:val="center"/>
          <w:trHeight w:val="681"/>
        </w:trPr>
        <w:tc>
          <w:tcPr>
            <w:tcW w:w="71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6</w:t>
            </w:r>
            <w:r/>
          </w:p>
        </w:tc>
        <w:tc>
          <w:tcPr>
            <w:tcW w:w="6207" w:type="dxa"/>
            <w:vAlign w:val="center"/>
            <w:textDirection w:val="lrTb"/>
            <w:noWrap w:val="false"/>
          </w:tcPr>
          <w:p>
            <w:pPr>
              <w:spacing w:line="240" w:lineRule="auto"/>
              <w:rPr>
                <w:rFonts w:hint="eastAsia" w:ascii="宋体" w:hAnsi="宋体" w:eastAsia="宋体" w:cs="宋体"/>
                <w:iCs/>
                <w:szCs w:val="21"/>
              </w:rPr>
            </w:pPr>
            <w:r>
              <w:rPr>
                <w:rFonts w:hint="eastAsia" w:ascii="宋体" w:hAnsi="宋体" w:eastAsia="宋体" w:cs="宋体"/>
                <w:szCs w:val="21"/>
              </w:rPr>
              <w:t xml:space="preserve">参加本次政府采购活动前3年内在经营活动中没有重大违法记录的书面声明</w:t>
            </w:r>
            <w:r/>
          </w:p>
        </w:tc>
        <w:tc>
          <w:tcPr>
            <w:tcW w:w="2216" w:type="dxa"/>
            <w:vAlign w:val="center"/>
            <w:textDirection w:val="lrTb"/>
            <w:noWrap w:val="false"/>
          </w:tcPr>
          <w:p>
            <w:pPr>
              <w:spacing w:line="240" w:lineRule="auto"/>
              <w:rPr>
                <w:rFonts w:hint="eastAsia" w:ascii="宋体" w:hAnsi="宋体" w:eastAsia="宋体" w:cs="宋体"/>
                <w:szCs w:val="21"/>
              </w:rPr>
            </w:pPr>
            <w:r>
              <w:rPr>
                <w:rFonts w:hint="eastAsia" w:ascii="宋体" w:hAnsi="宋体" w:eastAsia="宋体" w:cs="宋体"/>
                <w:szCs w:val="21"/>
              </w:rPr>
            </w:r>
            <w:r/>
          </w:p>
        </w:tc>
      </w:tr>
      <w:tr>
        <w:trPr>
          <w:jc w:val="center"/>
          <w:trHeight w:val="1007"/>
        </w:trPr>
        <w:tc>
          <w:tcPr>
            <w:tcW w:w="71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7</w:t>
            </w:r>
            <w:r/>
          </w:p>
        </w:tc>
        <w:tc>
          <w:tcPr>
            <w:tcW w:w="6207" w:type="dxa"/>
            <w:vAlign w:val="center"/>
            <w:textDirection w:val="lrTb"/>
            <w:noWrap w:val="false"/>
          </w:tcPr>
          <w:p>
            <w:pPr>
              <w:spacing w:line="240" w:lineRule="auto"/>
              <w:rPr>
                <w:rFonts w:hint="eastAsia" w:ascii="宋体" w:hAnsi="宋体" w:eastAsia="宋体" w:cs="宋体"/>
                <w:szCs w:val="21"/>
              </w:rPr>
            </w:pPr>
            <w:r>
              <w:rPr>
                <w:rFonts w:hint="eastAsia" w:ascii="宋体" w:hAnsi="宋体" w:eastAsia="宋体" w:cs="宋体"/>
                <w:szCs w:val="21"/>
              </w:rPr>
              <w:t xml:space="preserve">未被“信用中国”网站（www.creditchina.gov.cn）、“中国政府采购网"(www.ccgp.gov.cn)列入失信被执行人、重大税收违法案件当事人名单、政府采购严重违法失信行为记录名单</w:t>
            </w:r>
            <w:r/>
          </w:p>
        </w:tc>
        <w:tc>
          <w:tcPr>
            <w:tcW w:w="2216" w:type="dxa"/>
            <w:vAlign w:val="center"/>
            <w:textDirection w:val="lrTb"/>
            <w:noWrap w:val="false"/>
          </w:tcPr>
          <w:p>
            <w:pPr>
              <w:spacing w:line="240" w:lineRule="auto"/>
              <w:rPr>
                <w:rFonts w:hint="eastAsia" w:ascii="宋体" w:hAnsi="宋体" w:eastAsia="宋体" w:cs="宋体"/>
                <w:szCs w:val="21"/>
              </w:rPr>
            </w:pPr>
            <w:r>
              <w:rPr>
                <w:rFonts w:hint="eastAsia" w:ascii="宋体" w:hAnsi="宋体" w:eastAsia="宋体" w:cs="宋体"/>
                <w:szCs w:val="21"/>
              </w:rPr>
            </w:r>
            <w:r/>
          </w:p>
        </w:tc>
      </w:tr>
      <w:tr>
        <w:trPr>
          <w:jc w:val="center"/>
          <w:trHeight w:val="593"/>
        </w:trPr>
        <w:tc>
          <w:tcPr>
            <w:tcW w:w="71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8</w:t>
            </w:r>
            <w:r/>
          </w:p>
        </w:tc>
        <w:tc>
          <w:tcPr>
            <w:tcW w:w="6207" w:type="dxa"/>
            <w:vAlign w:val="center"/>
            <w:textDirection w:val="lrTb"/>
            <w:noWrap w:val="false"/>
          </w:tcPr>
          <w:p>
            <w:pPr>
              <w:spacing w:line="240" w:lineRule="auto"/>
              <w:rPr>
                <w:rFonts w:hint="eastAsia" w:ascii="宋体" w:hAnsi="宋体" w:eastAsia="宋体" w:cs="宋体"/>
                <w:szCs w:val="21"/>
              </w:rPr>
            </w:pPr>
            <w:r>
              <w:rPr>
                <w:rFonts w:hint="eastAsia" w:ascii="宋体" w:hAnsi="宋体" w:eastAsia="宋体" w:cs="宋体"/>
                <w:szCs w:val="21"/>
              </w:rPr>
              <w:t xml:space="preserve">供应商信用承诺函</w:t>
            </w:r>
            <w:r/>
          </w:p>
        </w:tc>
        <w:tc>
          <w:tcPr>
            <w:tcW w:w="2216" w:type="dxa"/>
            <w:vAlign w:val="center"/>
            <w:textDirection w:val="lrTb"/>
            <w:noWrap w:val="false"/>
          </w:tcPr>
          <w:p>
            <w:pPr>
              <w:spacing w:line="240" w:lineRule="auto"/>
              <w:rPr>
                <w:rFonts w:hint="eastAsia" w:ascii="宋体" w:hAnsi="宋体" w:eastAsia="宋体" w:cs="宋体"/>
                <w:szCs w:val="21"/>
              </w:rPr>
            </w:pPr>
            <w:r>
              <w:rPr>
                <w:rFonts w:hint="eastAsia" w:ascii="宋体" w:hAnsi="宋体" w:eastAsia="宋体" w:cs="宋体"/>
                <w:szCs w:val="21"/>
              </w:rPr>
            </w:r>
            <w:r/>
          </w:p>
        </w:tc>
      </w:tr>
      <w:tr>
        <w:trPr>
          <w:jc w:val="center"/>
          <w:trHeight w:val="687"/>
        </w:trPr>
        <w:tc>
          <w:tcPr>
            <w:gridSpan w:val="3"/>
            <w:tcW w:w="9138" w:type="dxa"/>
            <w:vAlign w:val="center"/>
            <w:textDirection w:val="lrTb"/>
            <w:noWrap w:val="false"/>
          </w:tcPr>
          <w:p>
            <w:pPr>
              <w:spacing w:line="240" w:lineRule="auto"/>
              <w:rPr>
                <w:rFonts w:hint="eastAsia" w:ascii="宋体" w:hAnsi="宋体" w:eastAsia="宋体" w:cs="宋体"/>
                <w:szCs w:val="21"/>
              </w:rPr>
            </w:pPr>
            <w:r>
              <w:rPr>
                <w:rFonts w:hint="eastAsia" w:ascii="宋体" w:hAnsi="宋体" w:eastAsia="宋体" w:cs="宋体"/>
                <w:b/>
                <w:bCs/>
                <w:szCs w:val="21"/>
              </w:rPr>
              <w:t xml:space="preserve">落实政府采购政策需满足的资格要求</w:t>
            </w:r>
            <w:r/>
          </w:p>
        </w:tc>
      </w:tr>
      <w:tr>
        <w:trPr>
          <w:jc w:val="center"/>
          <w:trHeight w:val="1567"/>
        </w:trPr>
        <w:tc>
          <w:tcPr>
            <w:tcW w:w="715"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9</w:t>
            </w:r>
            <w:r/>
          </w:p>
        </w:tc>
        <w:tc>
          <w:tcPr>
            <w:tcW w:w="6207" w:type="dxa"/>
            <w:vAlign w:val="center"/>
            <w:textDirection w:val="lrTb"/>
            <w:noWrap w:val="false"/>
          </w:tcPr>
          <w:p>
            <w:pPr>
              <w:spacing w:line="240" w:lineRule="auto"/>
              <w:rPr>
                <w:rFonts w:hint="eastAsia" w:ascii="宋体" w:hAnsi="宋体" w:eastAsia="宋体" w:cs="宋体"/>
                <w:szCs w:val="21"/>
              </w:rPr>
            </w:pPr>
            <w:r>
              <w:rPr>
                <w:rFonts w:hint="eastAsia" w:ascii="宋体" w:hAnsi="宋体" w:eastAsia="宋体" w:cs="宋体"/>
                <w:szCs w:val="21"/>
              </w:rPr>
              <w:t xml:space="preserve">根据《政府采购促进中小企业发展管理办法》规定，本项目面向中小企业采购，投标人投标时须提供《中小企业声明函》，《中小企业声明函》不符合要求或未提供的，投标文件无效</w:t>
            </w: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本项目采购标的按《中小企业划型标准规定》标准所属行业区分为其他未列明行业。</w:t>
            </w:r>
            <w:r/>
          </w:p>
        </w:tc>
        <w:tc>
          <w:tcPr>
            <w:tcW w:w="2216" w:type="dxa"/>
            <w:vAlign w:val="center"/>
            <w:textDirection w:val="lrTb"/>
            <w:noWrap w:val="false"/>
          </w:tcPr>
          <w:p>
            <w:pPr>
              <w:spacing w:line="240" w:lineRule="auto"/>
              <w:rPr>
                <w:rFonts w:hint="eastAsia" w:ascii="宋体" w:hAnsi="宋体" w:eastAsia="宋体" w:cs="宋体"/>
                <w:szCs w:val="21"/>
              </w:rPr>
            </w:pPr>
            <w:r>
              <w:rPr>
                <w:rFonts w:hint="eastAsia" w:ascii="宋体" w:hAnsi="宋体" w:eastAsia="宋体" w:cs="宋体"/>
                <w:szCs w:val="21"/>
              </w:rPr>
            </w:r>
            <w:r/>
          </w:p>
        </w:tc>
      </w:tr>
      <w:tr>
        <w:trPr>
          <w:jc w:val="center"/>
          <w:trHeight w:val="464"/>
        </w:trPr>
        <w:tc>
          <w:tcPr>
            <w:gridSpan w:val="3"/>
            <w:tcW w:w="9138" w:type="dxa"/>
            <w:vAlign w:val="center"/>
            <w:textDirection w:val="lrTb"/>
            <w:noWrap w:val="false"/>
          </w:tcPr>
          <w:p>
            <w:pPr>
              <w:jc w:val="center"/>
              <w:spacing w:line="240" w:lineRule="auto"/>
              <w:rPr>
                <w:rFonts w:hint="eastAsia" w:ascii="宋体" w:hAnsi="宋体" w:eastAsia="宋体" w:cs="宋体"/>
                <w:szCs w:val="21"/>
              </w:rPr>
            </w:pPr>
            <w:r>
              <w:rPr>
                <w:rFonts w:hint="eastAsia" w:ascii="宋体" w:hAnsi="宋体" w:eastAsia="宋体" w:cs="宋体"/>
                <w:b/>
                <w:szCs w:val="21"/>
              </w:rPr>
              <w:t xml:space="preserve">特定资格条件</w:t>
            </w:r>
            <w:r/>
          </w:p>
        </w:tc>
      </w:tr>
      <w:tr>
        <w:trPr>
          <w:jc w:val="center"/>
          <w:trHeight w:val="619"/>
        </w:trPr>
        <w:tc>
          <w:tcPr>
            <w:tcW w:w="71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10</w:t>
            </w:r>
            <w:r/>
          </w:p>
        </w:tc>
        <w:tc>
          <w:tcPr>
            <w:tcW w:w="6207" w:type="dxa"/>
            <w:vAlign w:val="center"/>
            <w:textDirection w:val="lrTb"/>
            <w:noWrap w:val="false"/>
          </w:tcPr>
          <w:p>
            <w:pPr>
              <w:spacing w:line="240" w:lineRule="auto"/>
              <w:rPr>
                <w:rFonts w:hint="eastAsia" w:ascii="宋体" w:hAnsi="宋体" w:eastAsia="宋体" w:cs="宋体"/>
                <w:iCs/>
                <w:szCs w:val="21"/>
              </w:rPr>
            </w:pPr>
            <w:r>
              <w:rPr>
                <w:rFonts w:hint="eastAsia" w:ascii="宋体" w:hAnsi="宋体" w:eastAsia="宋体" w:cs="宋体"/>
                <w:iCs/>
                <w:szCs w:val="21"/>
                <w:lang w:val="en-US" w:eastAsia="zh-CN"/>
              </w:rPr>
              <w:t xml:space="preserve">无</w:t>
            </w:r>
            <w:r/>
          </w:p>
        </w:tc>
        <w:tc>
          <w:tcPr>
            <w:tcW w:w="2216" w:type="dxa"/>
            <w:vAlign w:val="center"/>
            <w:textDirection w:val="lrTb"/>
            <w:noWrap w:val="false"/>
          </w:tcPr>
          <w:p>
            <w:pPr>
              <w:spacing w:line="240" w:lineRule="auto"/>
              <w:rPr>
                <w:rFonts w:hint="eastAsia" w:ascii="宋体" w:hAnsi="宋体" w:eastAsia="宋体" w:cs="宋体"/>
                <w:szCs w:val="21"/>
              </w:rPr>
            </w:pPr>
            <w:r>
              <w:rPr>
                <w:rFonts w:hint="eastAsia" w:ascii="宋体" w:hAnsi="宋体" w:eastAsia="宋体" w:cs="宋体"/>
                <w:szCs w:val="21"/>
              </w:rPr>
            </w:r>
            <w:r/>
          </w:p>
        </w:tc>
      </w:tr>
      <w:tr>
        <w:trPr>
          <w:jc w:val="center"/>
          <w:trHeight w:val="491"/>
        </w:trPr>
        <w:tc>
          <w:tcPr>
            <w:gridSpan w:val="3"/>
            <w:tcW w:w="9138" w:type="dxa"/>
            <w:vAlign w:val="center"/>
            <w:textDirection w:val="lrTb"/>
            <w:noWrap w:val="false"/>
          </w:tcPr>
          <w:p>
            <w:pPr>
              <w:spacing w:line="240" w:lineRule="auto"/>
              <w:rPr>
                <w:rFonts w:hint="eastAsia" w:ascii="宋体" w:hAnsi="宋体" w:eastAsia="宋体" w:cs="宋体"/>
                <w:szCs w:val="21"/>
              </w:rPr>
            </w:pPr>
            <w:r>
              <w:rPr>
                <w:rFonts w:hint="eastAsia" w:ascii="宋体" w:hAnsi="宋体" w:eastAsia="宋体" w:cs="宋体"/>
                <w:b/>
                <w:szCs w:val="21"/>
              </w:rPr>
              <w:t xml:space="preserve">其他资格条件</w:t>
            </w:r>
            <w:r/>
          </w:p>
        </w:tc>
      </w:tr>
      <w:tr>
        <w:trPr>
          <w:jc w:val="center"/>
          <w:trHeight w:val="497"/>
        </w:trPr>
        <w:tc>
          <w:tcPr>
            <w:tcW w:w="71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11</w:t>
            </w:r>
            <w:r/>
          </w:p>
        </w:tc>
        <w:tc>
          <w:tcPr>
            <w:tcW w:w="6207" w:type="dxa"/>
            <w:vAlign w:val="center"/>
            <w:textDirection w:val="lrTb"/>
            <w:noWrap w:val="false"/>
          </w:tcPr>
          <w:p>
            <w:pPr>
              <w:jc w:val="left"/>
              <w:spacing w:line="240" w:lineRule="auto"/>
              <w:rPr>
                <w:rFonts w:hint="eastAsia" w:ascii="宋体" w:hAnsi="宋体" w:eastAsia="宋体" w:cs="宋体"/>
                <w:iCs/>
                <w:szCs w:val="21"/>
              </w:rPr>
            </w:pPr>
            <w:r>
              <w:rPr>
                <w:rFonts w:hint="eastAsia" w:ascii="宋体" w:hAnsi="宋体" w:eastAsia="宋体" w:cs="宋体"/>
                <w:iCs/>
                <w:szCs w:val="21"/>
              </w:rPr>
              <w:t xml:space="preserve">投标函</w:t>
            </w:r>
            <w:r/>
          </w:p>
        </w:tc>
        <w:tc>
          <w:tcPr>
            <w:tcW w:w="2216" w:type="dxa"/>
            <w:vAlign w:val="center"/>
            <w:textDirection w:val="lrTb"/>
            <w:noWrap w:val="false"/>
          </w:tcPr>
          <w:p>
            <w:pPr>
              <w:spacing w:line="240" w:lineRule="auto"/>
              <w:rPr>
                <w:rFonts w:hint="eastAsia" w:ascii="宋体" w:hAnsi="宋体" w:eastAsia="宋体" w:cs="宋体"/>
                <w:szCs w:val="21"/>
              </w:rPr>
            </w:pPr>
            <w:r>
              <w:rPr>
                <w:rFonts w:hint="eastAsia" w:ascii="宋体" w:hAnsi="宋体" w:eastAsia="宋体" w:cs="宋体"/>
                <w:szCs w:val="21"/>
              </w:rPr>
            </w:r>
            <w:r/>
          </w:p>
        </w:tc>
      </w:tr>
      <w:tr>
        <w:trPr>
          <w:jc w:val="center"/>
          <w:trHeight w:val="693"/>
        </w:trPr>
        <w:tc>
          <w:tcPr>
            <w:tcW w:w="71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12</w:t>
            </w:r>
            <w:r/>
          </w:p>
        </w:tc>
        <w:tc>
          <w:tcPr>
            <w:tcW w:w="6207" w:type="dxa"/>
            <w:vAlign w:val="center"/>
            <w:textDirection w:val="lrTb"/>
            <w:noWrap w:val="false"/>
          </w:tcPr>
          <w:p>
            <w:pPr>
              <w:jc w:val="left"/>
              <w:spacing w:line="240" w:lineRule="auto"/>
              <w:rPr>
                <w:rFonts w:hint="eastAsia" w:ascii="宋体" w:hAnsi="宋体" w:eastAsia="宋体" w:cs="宋体"/>
                <w:iCs/>
                <w:szCs w:val="21"/>
              </w:rPr>
            </w:pPr>
            <w:r>
              <w:rPr>
                <w:rFonts w:hint="eastAsia" w:ascii="宋体" w:hAnsi="宋体" w:eastAsia="宋体" w:cs="宋体"/>
                <w:iCs/>
                <w:szCs w:val="21"/>
              </w:rPr>
              <w:t xml:space="preserve">法人授权书</w:t>
            </w:r>
            <w:r/>
          </w:p>
        </w:tc>
        <w:tc>
          <w:tcPr>
            <w:tcW w:w="2216" w:type="dxa"/>
            <w:vAlign w:val="center"/>
            <w:textDirection w:val="lrTb"/>
            <w:noWrap w:val="false"/>
          </w:tcPr>
          <w:p>
            <w:pPr>
              <w:spacing w:line="240" w:lineRule="auto"/>
              <w:rPr>
                <w:rFonts w:hint="eastAsia" w:ascii="宋体" w:hAnsi="宋体" w:eastAsia="宋体" w:cs="宋体"/>
                <w:szCs w:val="21"/>
              </w:rPr>
            </w:pPr>
            <w:r>
              <w:rPr>
                <w:rFonts w:hint="eastAsia" w:ascii="宋体" w:hAnsi="宋体" w:eastAsia="宋体" w:cs="宋体"/>
                <w:szCs w:val="21"/>
              </w:rPr>
            </w:r>
            <w:r/>
          </w:p>
        </w:tc>
      </w:tr>
    </w:tbl>
    <w:p>
      <w:pPr>
        <w:ind w:firstLine="492"/>
        <w:spacing w:line="360" w:lineRule="auto"/>
        <w:rPr>
          <w:rFonts w:hint="eastAsia" w:ascii="仿宋" w:hAnsi="仿宋" w:eastAsia="仿宋" w:cs="仿宋"/>
          <w:bCs/>
          <w:szCs w:val="21"/>
        </w:rPr>
        <w:sectPr>
          <w:headerReference w:type="default" r:id="rId11"/>
          <w:footerReference w:type="default" r:id="rId17"/>
          <w:footnotePr/>
          <w:endnotePr/>
          <w:type w:val="nextPage"/>
          <w:pgSz w:w="11906" w:h="16838" w:orient="portrait"/>
          <w:pgMar w:top="1134" w:right="1134" w:bottom="1134" w:left="1134" w:header="851" w:footer="992" w:gutter="0"/>
          <w:pgNumType w:start="1"/>
          <w:cols w:num="1" w:sep="0" w:space="0" w:equalWidth="1"/>
          <w:docGrid w:linePitch="360"/>
        </w:sectPr>
      </w:pPr>
      <w:r>
        <w:rPr>
          <w:rFonts w:hint="eastAsia" w:ascii="仿宋" w:hAnsi="仿宋" w:eastAsia="仿宋" w:cs="仿宋"/>
          <w:bCs/>
          <w:szCs w:val="21"/>
        </w:rPr>
      </w:r>
      <w:r/>
    </w:p>
    <w:p>
      <w:pPr>
        <w:jc w:val="center"/>
        <w:spacing w:before="158" w:after="158" w:line="360" w:lineRule="auto"/>
        <w:rPr>
          <w:rFonts w:hint="eastAsia" w:ascii="宋体" w:hAnsi="宋体" w:eastAsia="宋体" w:cs="宋体"/>
          <w:b/>
          <w:bCs/>
        </w:rPr>
      </w:pPr>
      <w:r>
        <w:rPr>
          <w:rFonts w:hint="eastAsia" w:ascii="宋体" w:hAnsi="宋体" w:eastAsia="宋体" w:cs="宋体"/>
          <w:b/>
          <w:bCs/>
        </w:rPr>
        <w:t xml:space="preserve">具备履行合同所必需的设备和专业技术能力的书面声明</w:t>
      </w:r>
      <w:r/>
    </w:p>
    <w:p>
      <w:pPr>
        <w:ind w:firstLine="492"/>
        <w:spacing w:line="360" w:lineRule="auto"/>
        <w:rPr>
          <w:rFonts w:hint="eastAsia" w:ascii="宋体" w:hAnsi="宋体" w:eastAsia="宋体" w:cs="宋体"/>
          <w:bCs/>
          <w:szCs w:val="21"/>
        </w:rPr>
      </w:pPr>
      <w:r>
        <w:rPr>
          <w:rFonts w:hint="eastAsia" w:ascii="宋体" w:hAnsi="宋体" w:eastAsia="宋体" w:cs="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eastAsia="宋体" w:cs="宋体"/>
          <w:bCs/>
          <w:szCs w:val="21"/>
        </w:rPr>
      </w:pPr>
      <w:r>
        <w:rPr>
          <w:rFonts w:hint="eastAsia" w:ascii="宋体" w:hAnsi="宋体" w:eastAsia="宋体" w:cs="宋体"/>
          <w:bCs/>
          <w:szCs w:val="21"/>
        </w:rPr>
        <w:t xml:space="preserve">主要设备有：</w:t>
      </w:r>
      <w:r>
        <w:rPr>
          <w:rFonts w:hint="eastAsia" w:ascii="宋体" w:hAnsi="宋体" w:eastAsia="宋体" w:cs="宋体"/>
          <w:bCs/>
          <w:szCs w:val="21"/>
          <w:u w:val="single"/>
        </w:rPr>
        <w:t xml:space="preserve">                      </w:t>
      </w:r>
      <w:r>
        <w:rPr>
          <w:rFonts w:hint="eastAsia" w:ascii="宋体" w:hAnsi="宋体" w:eastAsia="宋体" w:cs="宋体"/>
          <w:bCs/>
          <w:szCs w:val="21"/>
        </w:rPr>
        <w:t xml:space="preserve">。</w:t>
      </w:r>
      <w:r/>
    </w:p>
    <w:p>
      <w:pPr>
        <w:ind w:firstLine="492"/>
        <w:spacing w:line="360" w:lineRule="auto"/>
        <w:rPr>
          <w:rFonts w:hint="eastAsia" w:ascii="宋体" w:hAnsi="宋体" w:eastAsia="宋体" w:cs="宋体"/>
          <w:bCs/>
          <w:szCs w:val="21"/>
        </w:rPr>
      </w:pPr>
      <w:r>
        <w:rPr>
          <w:rFonts w:hint="eastAsia" w:ascii="宋体" w:hAnsi="宋体" w:eastAsia="宋体" w:cs="宋体"/>
          <w:bCs/>
          <w:szCs w:val="21"/>
        </w:rPr>
        <w:t xml:space="preserve">主要专业技术能力有：</w:t>
      </w:r>
      <w:r>
        <w:rPr>
          <w:rFonts w:hint="eastAsia" w:ascii="宋体" w:hAnsi="宋体" w:eastAsia="宋体" w:cs="宋体"/>
          <w:bCs/>
          <w:szCs w:val="21"/>
          <w:u w:val="single"/>
        </w:rPr>
        <w:t xml:space="preserve">              </w:t>
      </w:r>
      <w:r>
        <w:rPr>
          <w:rFonts w:hint="eastAsia" w:ascii="宋体" w:hAnsi="宋体" w:eastAsia="宋体" w:cs="宋体"/>
          <w:bCs/>
          <w:szCs w:val="21"/>
        </w:rPr>
        <w:t xml:space="preserve">。</w:t>
      </w:r>
      <w:r/>
    </w:p>
    <w:p>
      <w:pPr>
        <w:ind w:firstLine="3158"/>
        <w:spacing w:line="360" w:lineRule="auto"/>
        <w:rPr>
          <w:rFonts w:hint="eastAsia" w:ascii="宋体" w:hAnsi="宋体" w:eastAsia="宋体" w:cs="宋体"/>
          <w:bCs/>
        </w:rPr>
      </w:pPr>
      <w:r>
        <w:rPr>
          <w:rFonts w:hint="eastAsia" w:ascii="宋体" w:hAnsi="宋体" w:eastAsia="宋体" w:cs="宋体"/>
          <w:bCs/>
        </w:rPr>
        <w:t xml:space="preserve">供应商名称（公章）：</w:t>
      </w:r>
      <w:r/>
    </w:p>
    <w:p>
      <w:pPr>
        <w:spacing w:line="360" w:lineRule="auto"/>
        <w:rPr>
          <w:rFonts w:hint="eastAsia" w:ascii="宋体" w:hAnsi="宋体" w:eastAsia="宋体" w:cs="宋体"/>
          <w:bCs/>
        </w:rPr>
      </w:pPr>
      <w:r>
        <w:rPr>
          <w:rFonts w:hint="eastAsia" w:ascii="宋体" w:hAnsi="宋体" w:eastAsia="宋体" w:cs="宋体"/>
          <w:bCs/>
        </w:rPr>
        <w:t xml:space="preserve">                               法定代表人签章：</w:t>
      </w:r>
      <w:r>
        <w:rPr>
          <w:rFonts w:hint="eastAsia" w:ascii="宋体" w:hAnsi="宋体" w:eastAsia="宋体" w:cs="宋体"/>
          <w:bCs/>
          <w:u w:val="single"/>
        </w:rPr>
        <w:t xml:space="preserve">_______________________</w:t>
      </w:r>
      <w:r/>
    </w:p>
    <w:p>
      <w:pPr>
        <w:pStyle w:val="820"/>
        <w:numPr>
          <w:ilvl w:val="0"/>
          <w:numId w:val="0"/>
        </w:numPr>
        <w:spacing w:line="360" w:lineRule="auto"/>
        <w:sectPr>
          <w:footnotePr/>
          <w:endnotePr/>
          <w:type w:val="nextPage"/>
          <w:pgSz w:w="11906" w:h="16838" w:orient="portrait"/>
          <w:pgMar w:top="1134" w:right="1134" w:bottom="1134" w:left="1134" w:header="851" w:footer="992" w:gutter="0"/>
          <w:pgNumType w:start="1"/>
          <w:cols w:num="1" w:sep="0" w:space="0" w:equalWidth="1"/>
          <w:docGrid w:linePitch="360"/>
        </w:sectPr>
      </w:pPr>
      <w:r>
        <w:rPr>
          <w:rFonts w:hint="eastAsia" w:ascii="宋体" w:hAnsi="宋体" w:eastAsia="宋体" w:cs="宋体"/>
          <w:bCs/>
        </w:rPr>
        <w:t xml:space="preserve">                               日期： </w:t>
      </w:r>
      <w:r>
        <w:rPr>
          <w:rFonts w:hint="eastAsia" w:ascii="宋体" w:hAnsi="宋体" w:eastAsia="宋体" w:cs="宋体"/>
          <w:bCs/>
          <w:u w:val="single"/>
        </w:rPr>
        <w:t xml:space="preserve">            </w:t>
      </w:r>
      <w:r>
        <w:rPr>
          <w:rFonts w:hint="eastAsia" w:ascii="宋体" w:hAnsi="宋体" w:eastAsia="宋体" w:cs="宋体"/>
          <w:bCs/>
        </w:rPr>
        <w:t xml:space="preserve">年</w:t>
      </w:r>
      <w:r>
        <w:rPr>
          <w:rFonts w:hint="eastAsia" w:ascii="宋体" w:hAnsi="宋体" w:eastAsia="宋体" w:cs="宋体"/>
          <w:bCs/>
          <w:u w:val="single"/>
        </w:rPr>
        <w:t xml:space="preserve">    </w:t>
      </w:r>
      <w:r>
        <w:rPr>
          <w:rFonts w:hint="eastAsia" w:ascii="宋体" w:hAnsi="宋体" w:eastAsia="宋体" w:cs="宋体"/>
          <w:bCs/>
        </w:rPr>
        <w:t xml:space="preserve">月</w:t>
      </w:r>
      <w:r>
        <w:rPr>
          <w:rFonts w:hint="eastAsia" w:ascii="宋体" w:hAnsi="宋体" w:eastAsia="宋体" w:cs="宋体"/>
          <w:bCs/>
          <w:u w:val="single"/>
        </w:rPr>
        <w:t xml:space="preserve">    </w:t>
      </w:r>
      <w:r>
        <w:rPr>
          <w:rFonts w:hint="eastAsia" w:ascii="宋体" w:hAnsi="宋体" w:eastAsia="宋体" w:cs="宋体"/>
          <w:bCs/>
        </w:rPr>
        <w:t xml:space="preserve">日</w:t>
      </w:r>
      <w:r/>
    </w:p>
    <w:p>
      <w:pPr>
        <w:jc w:val="center"/>
        <w:spacing w:line="360" w:lineRule="auto"/>
        <w:rPr>
          <w:rFonts w:hint="eastAsia" w:ascii="宋体" w:hAnsi="宋体" w:eastAsia="宋体" w:cs="宋体"/>
          <w:b/>
          <w:bCs/>
        </w:rPr>
      </w:pPr>
      <w:r>
        <w:rPr>
          <w:rFonts w:hint="eastAsia" w:ascii="宋体" w:hAnsi="宋体" w:eastAsia="宋体" w:cs="宋体"/>
          <w:b/>
          <w:bCs/>
        </w:rPr>
        <w:t xml:space="preserve">参加本次政府采购活动前 3 年内在经营活动中没有重大违法记录的书面声明</w:t>
      </w:r>
      <w:r/>
    </w:p>
    <w:p>
      <w:pPr>
        <w:spacing w:line="360" w:lineRule="auto"/>
        <w:rPr>
          <w:rFonts w:hint="eastAsia" w:ascii="宋体" w:hAnsi="宋体" w:eastAsia="宋体" w:cs="宋体"/>
        </w:rPr>
      </w:pPr>
      <w:r>
        <w:rPr>
          <w:rFonts w:hint="eastAsia" w:ascii="宋体" w:hAnsi="宋体" w:eastAsia="宋体" w:cs="宋体"/>
        </w:rPr>
      </w:r>
      <w:r/>
    </w:p>
    <w:p>
      <w:pPr>
        <w:jc w:val="center"/>
        <w:spacing w:after="317" w:line="360" w:lineRule="auto"/>
        <w:rPr>
          <w:rFonts w:hint="eastAsia" w:ascii="宋体" w:hAnsi="宋体" w:eastAsia="宋体" w:cs="宋体"/>
          <w:b/>
          <w:bCs/>
        </w:rPr>
      </w:pPr>
      <w:r>
        <w:rPr>
          <w:rFonts w:hint="eastAsia" w:ascii="宋体" w:hAnsi="宋体" w:eastAsia="宋体" w:cs="宋体"/>
          <w:b/>
          <w:bCs/>
        </w:rPr>
        <w:t xml:space="preserve">声  明</w:t>
      </w:r>
      <w:r/>
    </w:p>
    <w:p>
      <w:pPr>
        <w:spacing w:line="360" w:lineRule="auto"/>
        <w:rPr>
          <w:rFonts w:hint="eastAsia" w:ascii="宋体" w:hAnsi="宋体" w:eastAsia="宋体" w:cs="宋体"/>
          <w:bCs/>
        </w:rPr>
      </w:pPr>
      <w:r>
        <w:rPr>
          <w:rFonts w:hint="eastAsia" w:ascii="宋体" w:hAnsi="宋体" w:eastAsia="宋体" w:cs="宋体"/>
          <w:b/>
          <w:bCs/>
        </w:rPr>
        <w:t xml:space="preserve">    </w:t>
      </w:r>
      <w:r>
        <w:rPr>
          <w:rFonts w:hint="eastAsia" w:ascii="宋体" w:hAnsi="宋体" w:eastAsia="宋体" w:cs="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eastAsia="宋体" w:cs="宋体"/>
          <w:bCs/>
        </w:rPr>
      </w:pPr>
      <w:r>
        <w:rPr>
          <w:rFonts w:hint="eastAsia" w:ascii="宋体" w:hAnsi="宋体" w:eastAsia="宋体" w:cs="宋体"/>
          <w:bCs/>
        </w:rPr>
        <w:t xml:space="preserve">                               供应商名称（公章）：</w:t>
      </w:r>
      <w:r/>
    </w:p>
    <w:p>
      <w:pPr>
        <w:spacing w:line="360" w:lineRule="auto"/>
        <w:rPr>
          <w:rFonts w:hint="eastAsia" w:ascii="宋体" w:hAnsi="宋体" w:eastAsia="宋体" w:cs="宋体"/>
          <w:bCs/>
        </w:rPr>
      </w:pPr>
      <w:r>
        <w:rPr>
          <w:rFonts w:hint="eastAsia" w:ascii="宋体" w:hAnsi="宋体" w:eastAsia="宋体" w:cs="宋体"/>
          <w:bCs/>
        </w:rPr>
        <w:t xml:space="preserve">                               法定代表人签章：</w:t>
      </w:r>
      <w:r>
        <w:rPr>
          <w:rFonts w:hint="eastAsia" w:ascii="宋体" w:hAnsi="宋体" w:eastAsia="宋体" w:cs="宋体"/>
          <w:bCs/>
          <w:u w:val="single"/>
        </w:rPr>
        <w:t xml:space="preserve">_______________________</w:t>
      </w:r>
      <w:r/>
    </w:p>
    <w:p>
      <w:pPr>
        <w:spacing w:line="360" w:lineRule="auto"/>
        <w:rPr>
          <w:rFonts w:ascii="仿宋" w:hAnsi="仿宋" w:eastAsia="仿宋" w:cs="仿宋"/>
          <w:bCs/>
        </w:rPr>
      </w:pPr>
      <w:r>
        <w:rPr>
          <w:rFonts w:hint="eastAsia" w:ascii="宋体" w:hAnsi="宋体" w:eastAsia="宋体" w:cs="宋体"/>
          <w:bCs/>
        </w:rPr>
        <w:t xml:space="preserve">                               日期： </w:t>
      </w:r>
      <w:r>
        <w:rPr>
          <w:rFonts w:hint="eastAsia" w:ascii="宋体" w:hAnsi="宋体" w:eastAsia="宋体" w:cs="宋体"/>
          <w:bCs/>
          <w:u w:val="single"/>
        </w:rPr>
        <w:t xml:space="preserve">            </w:t>
      </w:r>
      <w:r>
        <w:rPr>
          <w:rFonts w:hint="eastAsia" w:ascii="宋体" w:hAnsi="宋体" w:eastAsia="宋体" w:cs="宋体"/>
          <w:bCs/>
        </w:rPr>
        <w:t xml:space="preserve">年</w:t>
      </w:r>
      <w:r>
        <w:rPr>
          <w:rFonts w:hint="eastAsia" w:ascii="宋体" w:hAnsi="宋体" w:eastAsia="宋体" w:cs="宋体"/>
          <w:bCs/>
          <w:u w:val="single"/>
        </w:rPr>
        <w:t xml:space="preserve">    </w:t>
      </w:r>
      <w:r>
        <w:rPr>
          <w:rFonts w:hint="eastAsia" w:ascii="宋体" w:hAnsi="宋体" w:eastAsia="宋体" w:cs="宋体"/>
          <w:bCs/>
        </w:rPr>
        <w:t xml:space="preserve">月</w:t>
      </w:r>
      <w:r>
        <w:rPr>
          <w:rFonts w:hint="eastAsia" w:ascii="宋体" w:hAnsi="宋体" w:eastAsia="宋体" w:cs="宋体"/>
          <w:bCs/>
          <w:u w:val="single"/>
        </w:rPr>
        <w:t xml:space="preserve">    </w:t>
      </w:r>
      <w:r>
        <w:rPr>
          <w:rFonts w:hint="eastAsia" w:ascii="宋体" w:hAnsi="宋体" w:eastAsia="宋体" w:cs="宋体"/>
          <w:bCs/>
        </w:rPr>
        <w:t xml:space="preserve">日</w:t>
      </w:r>
      <w:r/>
    </w:p>
    <w:p>
      <w:pPr>
        <w:jc w:val="center"/>
        <w:spacing w:line="360" w:lineRule="auto"/>
        <w:rPr>
          <w:rFonts w:ascii="仿宋" w:hAnsi="仿宋" w:eastAsia="仿宋" w:cs="仿宋"/>
          <w:b/>
          <w:bCs/>
        </w:rPr>
      </w:pPr>
      <w:r>
        <w:rPr>
          <w:rFonts w:ascii="仿宋" w:hAnsi="仿宋" w:eastAsia="仿宋" w:cs="仿宋"/>
          <w:b/>
          <w:bCs/>
        </w:rPr>
      </w:r>
      <w:r/>
    </w:p>
    <w:p>
      <w:pPr>
        <w:jc w:val="center"/>
        <w:spacing w:line="360" w:lineRule="auto"/>
        <w:rPr>
          <w:rFonts w:ascii="仿宋" w:hAnsi="仿宋" w:eastAsia="仿宋" w:cs="仿宋"/>
          <w:b/>
          <w:bCs/>
        </w:rPr>
      </w:pPr>
      <w:r>
        <w:rPr>
          <w:rFonts w:ascii="仿宋" w:hAnsi="仿宋" w:eastAsia="仿宋" w:cs="仿宋"/>
          <w:b/>
          <w:bCs/>
        </w:rPr>
      </w:r>
      <w:r/>
    </w:p>
    <w:p>
      <w:pPr>
        <w:jc w:val="center"/>
        <w:spacing w:line="360" w:lineRule="auto"/>
        <w:rPr>
          <w:rFonts w:ascii="仿宋" w:hAnsi="仿宋" w:eastAsia="仿宋" w:cs="仿宋"/>
          <w:b/>
          <w:bCs/>
        </w:rPr>
      </w:pPr>
      <w:r>
        <w:rPr>
          <w:rFonts w:ascii="仿宋" w:hAnsi="仿宋" w:eastAsia="仿宋" w:cs="仿宋"/>
          <w:b/>
          <w:bCs/>
        </w:rPr>
      </w:r>
      <w:r/>
    </w:p>
    <w:p>
      <w:pPr>
        <w:jc w:val="center"/>
        <w:spacing w:line="360" w:lineRule="auto"/>
        <w:rPr>
          <w:rFonts w:ascii="仿宋" w:hAnsi="仿宋" w:eastAsia="仿宋" w:cs="仿宋"/>
          <w:b/>
          <w:bCs/>
        </w:rPr>
      </w:pPr>
      <w:r>
        <w:rPr>
          <w:rFonts w:ascii="仿宋" w:hAnsi="仿宋" w:eastAsia="仿宋" w:cs="仿宋"/>
          <w:b/>
          <w:bCs/>
        </w:rPr>
      </w:r>
      <w:r/>
    </w:p>
    <w:p>
      <w:pPr>
        <w:jc w:val="center"/>
        <w:spacing w:line="360" w:lineRule="auto"/>
        <w:rPr>
          <w:rFonts w:ascii="仿宋" w:hAnsi="仿宋" w:eastAsia="仿宋" w:cs="仿宋"/>
          <w:b/>
          <w:bCs/>
        </w:rPr>
      </w:pPr>
      <w:r>
        <w:rPr>
          <w:rFonts w:ascii="仿宋" w:hAnsi="仿宋" w:eastAsia="仿宋" w:cs="仿宋"/>
          <w:b/>
          <w:bCs/>
        </w:rPr>
      </w:r>
      <w:r/>
    </w:p>
    <w:p>
      <w:pPr>
        <w:jc w:val="center"/>
        <w:spacing w:line="360" w:lineRule="auto"/>
        <w:rPr>
          <w:rFonts w:ascii="仿宋" w:hAnsi="仿宋" w:eastAsia="仿宋" w:cs="仿宋"/>
          <w:b/>
          <w:bCs/>
        </w:rPr>
      </w:pPr>
      <w:r>
        <w:rPr>
          <w:rFonts w:ascii="仿宋" w:hAnsi="仿宋" w:eastAsia="仿宋" w:cs="仿宋"/>
          <w:b/>
          <w:bCs/>
        </w:rPr>
      </w:r>
      <w:r/>
    </w:p>
    <w:p>
      <w:pPr>
        <w:jc w:val="center"/>
        <w:spacing w:line="360" w:lineRule="auto"/>
        <w:rPr>
          <w:rFonts w:hint="eastAsia" w:ascii="宋体" w:hAnsi="宋体" w:eastAsia="宋体" w:cs="宋体"/>
          <w:b/>
          <w:szCs w:val="21"/>
          <w:lang w:eastAsia="zh-CN"/>
        </w:rPr>
      </w:pPr>
      <w:r>
        <w:rPr>
          <w:rFonts w:hint="eastAsia" w:ascii="仿宋" w:hAnsi="仿宋" w:eastAsia="仿宋" w:cs="仿宋"/>
          <w:b/>
          <w:bCs/>
        </w:rPr>
        <w:br w:type="page" w:clear="all"/>
      </w:r>
      <w:r>
        <w:rPr>
          <w:rFonts w:hint="eastAsia" w:ascii="宋体" w:hAnsi="宋体" w:eastAsia="宋体" w:cs="宋体"/>
          <w:b/>
          <w:szCs w:val="21"/>
        </w:rPr>
        <w:t xml:space="preserve">供应商信用承诺</w:t>
      </w:r>
      <w:r>
        <w:rPr>
          <w:rFonts w:hint="eastAsia" w:ascii="宋体" w:hAnsi="宋体" w:eastAsia="宋体" w:cs="宋体"/>
          <w:b/>
          <w:szCs w:val="21"/>
          <w:lang w:val="en-US" w:eastAsia="zh-CN"/>
        </w:rPr>
        <w:t xml:space="preserve">函</w:t>
      </w:r>
      <w:r/>
    </w:p>
    <w:p>
      <w:pPr>
        <w:spacing w:line="360" w:lineRule="auto"/>
        <w:rPr>
          <w:rFonts w:hint="eastAsia" w:ascii="宋体" w:hAnsi="宋体" w:eastAsia="宋体" w:cs="宋体"/>
          <w:szCs w:val="21"/>
        </w:rPr>
      </w:pPr>
      <w:r>
        <w:rPr>
          <w:rFonts w:hint="eastAsia" w:ascii="宋体" w:hAnsi="宋体" w:eastAsia="宋体" w:cs="宋体"/>
          <w:szCs w:val="21"/>
        </w:rPr>
        <w:t xml:space="preserve">承诺主体名称：</w:t>
      </w:r>
      <w:r/>
    </w:p>
    <w:p>
      <w:pPr>
        <w:spacing w:line="360" w:lineRule="auto"/>
        <w:rPr>
          <w:rFonts w:hint="eastAsia" w:ascii="宋体" w:hAnsi="宋体" w:eastAsia="宋体" w:cs="宋体"/>
          <w:szCs w:val="21"/>
        </w:rPr>
      </w:pPr>
      <w:r>
        <w:rPr>
          <w:rFonts w:hint="eastAsia" w:ascii="宋体" w:hAnsi="宋体" w:eastAsia="宋体" w:cs="宋体"/>
          <w:szCs w:val="21"/>
        </w:rPr>
        <w:t xml:space="preserve">统一社会信用代码：</w:t>
      </w:r>
      <w:r/>
    </w:p>
    <w:p>
      <w:pPr>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四、自觉接受行政管理部门、行业组织、社会公众、新闻舆论的监督；</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七、严格遵守信用信息公示相关规定，向社会公示信用信息；</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八、在“信用中国”和“中国政府采购网”网站中无违法违规、较重或严重失信记录；</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十、本承诺书自签订之日起生效。</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 （注：法定代表人或负责人、主体名称发生变更的应当重新做出承诺。）</w:t>
      </w:r>
      <w:r/>
    </w:p>
    <w:p>
      <w:pPr>
        <w:spacing w:line="360" w:lineRule="auto"/>
        <w:rPr>
          <w:rFonts w:hint="eastAsia" w:ascii="宋体" w:hAnsi="宋体" w:eastAsia="宋体" w:cs="宋体"/>
          <w:szCs w:val="21"/>
        </w:rPr>
      </w:pPr>
      <w:r>
        <w:rPr>
          <w:rFonts w:hint="eastAsia" w:ascii="宋体" w:hAnsi="宋体" w:eastAsia="宋体" w:cs="宋体"/>
          <w:szCs w:val="21"/>
        </w:rPr>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　　　　　　　　　　        承诺单位（签章）：           </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　　　　　　　　　   　  法定代表人（负责人）：</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　　　　　　　　　      　年    月    日</w:t>
      </w:r>
      <w:r/>
    </w:p>
    <w:p>
      <w:pPr>
        <w:jc w:val="center"/>
        <w:spacing w:line="360" w:lineRule="auto"/>
        <w:rPr>
          <w:rFonts w:ascii="仿宋" w:hAnsi="仿宋" w:eastAsia="仿宋" w:cs="仿宋"/>
          <w:szCs w:val="21"/>
        </w:rPr>
      </w:pPr>
      <w:r>
        <w:rPr>
          <w:rFonts w:ascii="仿宋" w:hAnsi="仿宋" w:eastAsia="仿宋" w:cs="仿宋"/>
          <w:szCs w:val="21"/>
        </w:rPr>
      </w:r>
      <w:r/>
    </w:p>
    <w:p>
      <w:pPr>
        <w:spacing w:line="360" w:lineRule="auto"/>
        <w:rPr>
          <w:rFonts w:ascii="仿宋" w:hAnsi="仿宋" w:eastAsia="仿宋" w:cs="仿宋"/>
          <w:szCs w:val="21"/>
        </w:rPr>
      </w:pPr>
      <w:r>
        <w:rPr>
          <w:rFonts w:ascii="仿宋" w:hAnsi="仿宋" w:eastAsia="仿宋" w:cs="仿宋"/>
          <w:szCs w:val="21"/>
        </w:rPr>
      </w:r>
      <w:r/>
    </w:p>
    <w:p>
      <w:pPr>
        <w:jc w:val="center"/>
        <w:spacing w:line="360" w:lineRule="auto"/>
        <w:rPr>
          <w:rFonts w:ascii="仿宋" w:hAnsi="仿宋" w:eastAsia="仿宋" w:cs="仿宋"/>
          <w:b/>
          <w:bCs/>
        </w:rPr>
      </w:pPr>
      <w:r>
        <w:rPr>
          <w:rFonts w:hint="eastAsia" w:ascii="仿宋" w:hAnsi="仿宋" w:eastAsia="仿宋" w:cs="仿宋"/>
          <w:b/>
          <w:bCs/>
        </w:rPr>
        <w:br w:type="page" w:clear="all"/>
      </w:r>
      <w:r/>
    </w:p>
    <w:p>
      <w:pPr>
        <w:jc w:val="center"/>
        <w:spacing w:line="360" w:lineRule="auto"/>
        <w:rPr>
          <w:rFonts w:hint="eastAsia" w:ascii="宋体" w:hAnsi="宋体" w:eastAsia="宋体" w:cs="宋体"/>
          <w:b/>
          <w:bCs/>
        </w:rPr>
      </w:pPr>
      <w:r>
        <w:rPr>
          <w:rFonts w:hint="eastAsia" w:ascii="宋体" w:hAnsi="宋体" w:eastAsia="宋体" w:cs="宋体"/>
          <w:b/>
          <w:bCs/>
        </w:rPr>
        <w:t xml:space="preserve">投标函格式</w:t>
      </w:r>
      <w:r/>
    </w:p>
    <w:p>
      <w:pPr>
        <w:pStyle w:val="1085"/>
        <w:ind w:firstLine="0"/>
        <w:spacing w:before="0" w:after="0"/>
        <w:rPr>
          <w:rFonts w:hint="eastAsia" w:ascii="宋体" w:hAnsi="宋体" w:eastAsia="宋体" w:cs="宋体"/>
          <w:sz w:val="21"/>
          <w:szCs w:val="21"/>
        </w:rPr>
      </w:pPr>
      <w:r>
        <w:rPr>
          <w:rFonts w:hint="eastAsia" w:ascii="宋体" w:hAnsi="宋体" w:eastAsia="宋体" w:cs="宋体"/>
          <w:sz w:val="21"/>
          <w:szCs w:val="21"/>
        </w:rPr>
        <w:t xml:space="preserve">致：</w:t>
      </w:r>
      <w:r>
        <w:rPr>
          <w:rFonts w:hint="eastAsia" w:ascii="宋体" w:hAnsi="宋体" w:eastAsia="宋体" w:cs="宋体"/>
          <w:sz w:val="21"/>
        </w:rPr>
        <w:t xml:space="preserve">（代理机构名称）</w:t>
      </w:r>
      <w:r/>
    </w:p>
    <w:p>
      <w:pPr>
        <w:pStyle w:val="1085"/>
        <w:ind w:firstLine="420"/>
        <w:spacing w:before="0" w:after="0"/>
        <w:rPr>
          <w:rFonts w:hint="eastAsia" w:ascii="宋体" w:hAnsi="宋体" w:eastAsia="宋体" w:cs="宋体"/>
          <w:sz w:val="21"/>
          <w:szCs w:val="21"/>
        </w:rPr>
      </w:pPr>
      <w:r>
        <w:rPr>
          <w:rFonts w:hint="eastAsia" w:ascii="宋体" w:hAnsi="宋体" w:eastAsia="宋体" w:cs="宋体"/>
          <w:sz w:val="21"/>
          <w:szCs w:val="21"/>
        </w:rPr>
        <w:t xml:space="preserve">根据贵方的（）</w:t>
      </w:r>
      <w:r>
        <w:rPr>
          <w:rFonts w:hint="eastAsia" w:ascii="宋体" w:hAnsi="宋体" w:eastAsia="宋体" w:cs="宋体"/>
          <w:color w:val="000000"/>
          <w:sz w:val="21"/>
          <w:szCs w:val="21"/>
        </w:rPr>
        <w:t xml:space="preserve">号</w:t>
      </w:r>
      <w:r>
        <w:rPr>
          <w:rFonts w:hint="eastAsia" w:ascii="宋体" w:hAnsi="宋体" w:eastAsia="宋体" w:cs="宋体"/>
          <w:sz w:val="21"/>
          <w:szCs w:val="21"/>
        </w:rPr>
        <w:t xml:space="preserve">招标文件，正式授权下述签字人_________________(姓名)代表我方______________（投标人的名称），全权处理本次项目投标的有关事宜。</w:t>
      </w:r>
      <w:r/>
    </w:p>
    <w:p>
      <w:pPr>
        <w:pStyle w:val="1085"/>
        <w:ind w:firstLine="420"/>
        <w:spacing w:before="0" w:after="0"/>
        <w:rPr>
          <w:rFonts w:hint="eastAsia" w:ascii="宋体" w:hAnsi="宋体" w:eastAsia="宋体" w:cs="宋体"/>
          <w:sz w:val="21"/>
          <w:szCs w:val="21"/>
        </w:rPr>
      </w:pPr>
      <w:r>
        <w:rPr>
          <w:rFonts w:hint="eastAsia" w:ascii="宋体" w:hAnsi="宋体" w:eastAsia="宋体" w:cs="宋体"/>
          <w:sz w:val="21"/>
          <w:szCs w:val="21"/>
        </w:rPr>
        <w:t xml:space="preserve">据此函，__________签字人（姓名）兹宣布同意如下：</w:t>
      </w:r>
      <w:r/>
    </w:p>
    <w:p>
      <w:pPr>
        <w:pStyle w:val="1085"/>
        <w:ind w:firstLine="420"/>
        <w:spacing w:before="0" w:after="0"/>
        <w:rPr>
          <w:rFonts w:hint="eastAsia" w:ascii="宋体" w:hAnsi="宋体" w:eastAsia="宋体" w:cs="宋体"/>
          <w:sz w:val="21"/>
          <w:szCs w:val="21"/>
        </w:rPr>
      </w:pPr>
      <w:r>
        <w:rPr>
          <w:rFonts w:hint="eastAsia" w:ascii="宋体" w:hAnsi="宋体" w:eastAsia="宋体" w:cs="宋体"/>
          <w:sz w:val="21"/>
          <w:szCs w:val="21"/>
        </w:rPr>
        <w:t xml:space="preserve">1.按招标文件规定的各项要求，向买方提供所需货物与服务。</w:t>
      </w:r>
      <w:r/>
    </w:p>
    <w:p>
      <w:pPr>
        <w:pStyle w:val="1085"/>
        <w:ind w:firstLine="420"/>
        <w:spacing w:before="0" w:after="0"/>
        <w:rPr>
          <w:rFonts w:hint="eastAsia" w:ascii="宋体" w:hAnsi="宋体" w:eastAsia="宋体" w:cs="宋体"/>
          <w:sz w:val="21"/>
          <w:szCs w:val="21"/>
        </w:rPr>
      </w:pPr>
      <w:r>
        <w:rPr>
          <w:rFonts w:hint="eastAsia" w:ascii="宋体" w:hAnsi="宋体" w:eastAsia="宋体" w:cs="宋体"/>
          <w:sz w:val="21"/>
          <w:szCs w:val="21"/>
        </w:rPr>
        <w:t xml:space="preserve">2.我们完全理解贵方不一定将合同授予最低报价的投标人。</w:t>
      </w:r>
      <w:r/>
    </w:p>
    <w:p>
      <w:pPr>
        <w:pStyle w:val="1085"/>
        <w:ind w:firstLine="420"/>
        <w:spacing w:before="0" w:after="0"/>
        <w:rPr>
          <w:rFonts w:hint="eastAsia" w:ascii="宋体" w:hAnsi="宋体" w:eastAsia="宋体" w:cs="宋体"/>
          <w:sz w:val="21"/>
          <w:szCs w:val="21"/>
        </w:rPr>
      </w:pPr>
      <w:r>
        <w:rPr>
          <w:rFonts w:hint="eastAsia" w:ascii="宋体" w:hAnsi="宋体" w:eastAsia="宋体" w:cs="宋体"/>
          <w:sz w:val="21"/>
          <w:szCs w:val="21"/>
        </w:rPr>
        <w:t xml:space="preserve">3.我们已详细审核全部招标文件及其有效补充文件，我们知道必须放弃提出含糊不清或误解问题的权利。</w:t>
      </w:r>
      <w:r/>
    </w:p>
    <w:p>
      <w:pPr>
        <w:pStyle w:val="1085"/>
        <w:spacing w:before="0" w:after="0"/>
        <w:rPr>
          <w:rFonts w:hint="eastAsia" w:ascii="宋体" w:hAnsi="宋体" w:eastAsia="宋体" w:cs="宋体"/>
          <w:sz w:val="21"/>
          <w:szCs w:val="21"/>
        </w:rPr>
      </w:pPr>
      <w:r>
        <w:rPr>
          <w:rFonts w:hint="eastAsia" w:ascii="宋体" w:hAnsi="宋体" w:eastAsia="宋体" w:cs="宋体"/>
          <w:sz w:val="21"/>
          <w:szCs w:val="21"/>
        </w:rPr>
        <w:t xml:space="preserve">4.我们同意从规定的开标日期起遵循本投标文件，并在规定的投标有效期期满之前均具有约束力。</w:t>
      </w:r>
      <w:r/>
    </w:p>
    <w:p>
      <w:pPr>
        <w:pStyle w:val="1085"/>
        <w:spacing w:before="0" w:after="0"/>
        <w:rPr>
          <w:rFonts w:hint="eastAsia" w:ascii="宋体" w:hAnsi="宋体" w:eastAsia="宋体" w:cs="宋体"/>
          <w:sz w:val="21"/>
          <w:szCs w:val="21"/>
        </w:rPr>
      </w:pPr>
      <w:r>
        <w:rPr>
          <w:rFonts w:hint="eastAsia" w:ascii="宋体" w:hAnsi="宋体" w:eastAsia="宋体" w:cs="宋体"/>
          <w:sz w:val="21"/>
          <w:szCs w:val="21"/>
        </w:rPr>
        <w:t xml:space="preserve">5.同意向贵方提供贵方可能另外要求的与投标有关的任何证据或资料，并保证我方已提供和将要提供的文件是真实的、准确的。</w:t>
      </w:r>
      <w:r/>
    </w:p>
    <w:p>
      <w:pPr>
        <w:pStyle w:val="1085"/>
        <w:spacing w:before="0" w:after="0"/>
        <w:rPr>
          <w:rFonts w:hint="eastAsia" w:ascii="宋体" w:hAnsi="宋体" w:eastAsia="宋体" w:cs="宋体"/>
          <w:sz w:val="21"/>
          <w:szCs w:val="21"/>
        </w:rPr>
      </w:pPr>
      <w:r>
        <w:rPr>
          <w:rFonts w:hint="eastAsia" w:ascii="宋体" w:hAnsi="宋体" w:eastAsia="宋体" w:cs="宋体"/>
          <w:sz w:val="21"/>
          <w:szCs w:val="21"/>
        </w:rPr>
        <w:t xml:space="preserve">6.一旦我方中标,我方将根据招标文件的规定，严格履行合同的责任和义务,并保证在招标文件规定的时间完成项目，交付买方验收、使用。</w:t>
      </w:r>
      <w:r/>
    </w:p>
    <w:p>
      <w:pPr>
        <w:pStyle w:val="1085"/>
        <w:ind w:left="425" w:firstLine="105"/>
        <w:spacing w:before="0" w:after="0"/>
        <w:rPr>
          <w:rFonts w:hint="eastAsia" w:ascii="宋体" w:hAnsi="宋体" w:eastAsia="宋体" w:cs="宋体"/>
          <w:sz w:val="21"/>
          <w:szCs w:val="21"/>
        </w:rPr>
      </w:pPr>
      <w:r>
        <w:rPr>
          <w:rFonts w:hint="eastAsia" w:ascii="宋体" w:hAnsi="宋体" w:eastAsia="宋体" w:cs="宋体"/>
          <w:sz w:val="21"/>
          <w:szCs w:val="21"/>
        </w:rPr>
        <w:t xml:space="preserve">7.与本投标有关的正式通讯地址为：</w:t>
      </w:r>
      <w:r/>
    </w:p>
    <w:p>
      <w:pPr>
        <w:pStyle w:val="1085"/>
        <w:ind w:firstLine="478"/>
        <w:spacing w:before="0" w:after="0"/>
        <w:rPr>
          <w:rFonts w:hint="eastAsia" w:ascii="宋体" w:hAnsi="宋体" w:eastAsia="宋体" w:cs="宋体"/>
          <w:sz w:val="21"/>
          <w:szCs w:val="21"/>
        </w:rPr>
      </w:pPr>
      <w:r>
        <w:rPr>
          <w:rFonts w:hint="eastAsia" w:ascii="宋体" w:hAnsi="宋体" w:eastAsia="宋体" w:cs="宋体"/>
          <w:sz w:val="21"/>
          <w:szCs w:val="21"/>
        </w:rPr>
        <w:t xml:space="preserve">地 址：</w:t>
      </w:r>
      <w:r/>
    </w:p>
    <w:p>
      <w:pPr>
        <w:pStyle w:val="1085"/>
        <w:ind w:firstLine="478"/>
        <w:spacing w:before="0" w:after="0"/>
        <w:rPr>
          <w:rFonts w:hint="eastAsia" w:ascii="宋体" w:hAnsi="宋体" w:eastAsia="宋体" w:cs="宋体"/>
          <w:sz w:val="21"/>
          <w:szCs w:val="21"/>
        </w:rPr>
      </w:pPr>
      <w:r>
        <w:rPr>
          <w:rFonts w:hint="eastAsia" w:ascii="宋体" w:hAnsi="宋体" w:eastAsia="宋体" w:cs="宋体"/>
          <w:sz w:val="21"/>
          <w:szCs w:val="21"/>
        </w:rPr>
        <w:t xml:space="preserve">邮 编：</w:t>
      </w:r>
      <w:r/>
    </w:p>
    <w:p>
      <w:pPr>
        <w:pStyle w:val="1085"/>
        <w:ind w:firstLine="478"/>
        <w:spacing w:before="0" w:after="0"/>
        <w:rPr>
          <w:rFonts w:hint="eastAsia" w:ascii="宋体" w:hAnsi="宋体" w:eastAsia="宋体" w:cs="宋体"/>
          <w:sz w:val="21"/>
          <w:szCs w:val="21"/>
        </w:rPr>
      </w:pPr>
      <w:r>
        <w:rPr>
          <w:rFonts w:hint="eastAsia" w:ascii="宋体" w:hAnsi="宋体" w:eastAsia="宋体" w:cs="宋体"/>
          <w:sz w:val="21"/>
          <w:szCs w:val="21"/>
        </w:rPr>
        <w:t xml:space="preserve">电 话： </w:t>
      </w:r>
      <w:r/>
    </w:p>
    <w:p>
      <w:pPr>
        <w:pStyle w:val="1085"/>
        <w:ind w:firstLine="478"/>
        <w:spacing w:before="0" w:after="0"/>
        <w:rPr>
          <w:rFonts w:hint="eastAsia" w:ascii="宋体" w:hAnsi="宋体" w:eastAsia="宋体" w:cs="宋体"/>
          <w:sz w:val="21"/>
          <w:szCs w:val="21"/>
        </w:rPr>
      </w:pPr>
      <w:r>
        <w:rPr>
          <w:rFonts w:hint="eastAsia" w:ascii="宋体" w:hAnsi="宋体" w:eastAsia="宋体" w:cs="宋体"/>
          <w:sz w:val="21"/>
          <w:szCs w:val="21"/>
        </w:rPr>
        <w:t xml:space="preserve">传 真： </w:t>
      </w:r>
      <w:r/>
    </w:p>
    <w:p>
      <w:pPr>
        <w:pStyle w:val="1085"/>
        <w:ind w:firstLine="478"/>
        <w:spacing w:before="0" w:after="0"/>
        <w:rPr>
          <w:rFonts w:hint="eastAsia" w:ascii="宋体" w:hAnsi="宋体" w:eastAsia="宋体" w:cs="宋体"/>
          <w:sz w:val="21"/>
          <w:szCs w:val="21"/>
        </w:rPr>
      </w:pPr>
      <w:r>
        <w:rPr>
          <w:rFonts w:hint="eastAsia" w:ascii="宋体" w:hAnsi="宋体" w:eastAsia="宋体" w:cs="宋体"/>
          <w:sz w:val="21"/>
          <w:szCs w:val="21"/>
        </w:rPr>
        <w:t xml:space="preserve">投标人开户行：</w:t>
      </w:r>
      <w:r/>
    </w:p>
    <w:p>
      <w:pPr>
        <w:pStyle w:val="1085"/>
        <w:ind w:firstLine="478"/>
        <w:spacing w:before="0" w:after="0"/>
        <w:rPr>
          <w:rFonts w:hint="eastAsia" w:ascii="宋体" w:hAnsi="宋体" w:eastAsia="宋体" w:cs="宋体"/>
          <w:sz w:val="21"/>
          <w:szCs w:val="21"/>
        </w:rPr>
      </w:pPr>
      <w:r>
        <w:rPr>
          <w:rFonts w:hint="eastAsia" w:ascii="宋体" w:hAnsi="宋体" w:eastAsia="宋体" w:cs="宋体"/>
          <w:sz w:val="21"/>
          <w:szCs w:val="21"/>
        </w:rPr>
        <w:t xml:space="preserve">账 户： </w:t>
      </w:r>
      <w:r/>
    </w:p>
    <w:p>
      <w:pPr>
        <w:pStyle w:val="1085"/>
        <w:ind w:firstLine="478"/>
        <w:spacing w:before="0" w:after="0"/>
        <w:rPr>
          <w:rFonts w:hint="eastAsia" w:ascii="宋体" w:hAnsi="宋体" w:eastAsia="宋体" w:cs="宋体"/>
          <w:sz w:val="21"/>
          <w:szCs w:val="21"/>
        </w:rPr>
      </w:pPr>
      <w:r>
        <w:rPr>
          <w:rFonts w:hint="eastAsia" w:ascii="宋体" w:hAnsi="宋体" w:eastAsia="宋体" w:cs="宋体"/>
          <w:sz w:val="21"/>
          <w:szCs w:val="21"/>
        </w:rPr>
        <w:t xml:space="preserve">行 号：</w:t>
      </w:r>
      <w:r/>
    </w:p>
    <w:p>
      <w:pPr>
        <w:pStyle w:val="1085"/>
        <w:ind w:firstLine="478"/>
        <w:spacing w:before="0" w:after="0"/>
        <w:rPr>
          <w:rFonts w:ascii="仿宋" w:hAnsi="仿宋" w:eastAsia="仿宋" w:cs="仿宋"/>
          <w:sz w:val="21"/>
          <w:szCs w:val="21"/>
        </w:rPr>
      </w:pPr>
      <w:r>
        <w:rPr>
          <w:rFonts w:hint="eastAsia" w:ascii="宋体" w:hAnsi="宋体" w:eastAsia="宋体" w:cs="宋体"/>
          <w:sz w:val="21"/>
          <w:szCs w:val="21"/>
        </w:rPr>
        <w:t xml:space="preserve">日 期：________年____月____日</w:t>
      </w:r>
      <w:r/>
    </w:p>
    <w:p>
      <w:pPr>
        <w:contextualSpacing/>
        <w:spacing w:line="360" w:lineRule="auto"/>
        <w:rPr>
          <w:rFonts w:ascii="仿宋" w:hAnsi="仿宋" w:eastAsia="仿宋" w:cs="仿宋"/>
          <w:b/>
          <w:bCs/>
          <w:color w:val="000000"/>
          <w:sz w:val="32"/>
          <w:szCs w:val="32"/>
        </w:rPr>
      </w:pPr>
      <w:r>
        <w:rPr>
          <w:rFonts w:ascii="仿宋" w:hAnsi="仿宋" w:eastAsia="仿宋" w:cs="仿宋"/>
          <w:b/>
          <w:bCs/>
          <w:color w:val="000000"/>
          <w:sz w:val="32"/>
          <w:szCs w:val="32"/>
        </w:rPr>
      </w:r>
      <w:r/>
    </w:p>
    <w:p>
      <w:pPr>
        <w:spacing w:line="360" w:lineRule="auto"/>
        <w:rPr>
          <w:rFonts w:ascii="仿宋" w:hAnsi="仿宋" w:eastAsia="仿宋" w:cs="仿宋"/>
          <w:b/>
          <w:sz w:val="32"/>
          <w:szCs w:val="32"/>
        </w:rPr>
      </w:pPr>
      <w:r>
        <w:rPr>
          <w:rFonts w:hint="eastAsia" w:ascii="仿宋" w:hAnsi="仿宋" w:eastAsia="仿宋" w:cs="仿宋"/>
          <w:b/>
          <w:sz w:val="32"/>
          <w:szCs w:val="32"/>
        </w:rPr>
        <w:br w:type="page" w:clear="all"/>
      </w:r>
      <w:r/>
    </w:p>
    <w:p>
      <w:pPr>
        <w:pStyle w:val="1083"/>
        <w:ind w:firstLine="422"/>
        <w:jc w:val="center"/>
        <w:spacing w:after="317" w:line="360" w:lineRule="auto"/>
        <w:rPr>
          <w:rFonts w:hint="eastAsia" w:ascii="宋体" w:hAnsi="宋体" w:eastAsia="宋体" w:cs="宋体"/>
          <w:b/>
          <w:sz w:val="21"/>
          <w:szCs w:val="21"/>
        </w:rPr>
      </w:pPr>
      <w:r>
        <w:rPr>
          <w:rFonts w:hint="eastAsia" w:ascii="宋体" w:hAnsi="宋体" w:eastAsia="宋体" w:cs="宋体"/>
          <w:b/>
          <w:sz w:val="21"/>
          <w:szCs w:val="21"/>
        </w:rPr>
        <w:t xml:space="preserve">法人授权书</w:t>
      </w:r>
      <w:r/>
    </w:p>
    <w:p>
      <w:pPr>
        <w:pStyle w:val="1083"/>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本授权书声明：________________（投标人名称）授权________________（被授权人的姓名）为我方就</w:t>
      </w:r>
      <w:r>
        <w:rPr>
          <w:rFonts w:hint="eastAsia" w:ascii="宋体" w:hAnsi="宋体" w:eastAsia="宋体" w:cs="宋体"/>
          <w:color w:val="000000"/>
          <w:sz w:val="21"/>
          <w:szCs w:val="21"/>
        </w:rPr>
        <w:t xml:space="preserve">（项目编号）</w:t>
      </w:r>
      <w:r>
        <w:rPr>
          <w:rFonts w:hint="eastAsia" w:ascii="宋体" w:hAnsi="宋体" w:eastAsia="宋体" w:cs="宋体"/>
          <w:sz w:val="21"/>
          <w:szCs w:val="21"/>
        </w:rPr>
        <w:t xml:space="preserve">号（项目名称）项目采购活动的合法代理人，以本公司名义全权处理一切与该项目采购有关的事务。</w:t>
      </w:r>
      <w:r/>
    </w:p>
    <w:p>
      <w:pPr>
        <w:pStyle w:val="1083"/>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本授权书于______年____月____日起生效，特此声明。</w:t>
      </w:r>
      <w:r/>
    </w:p>
    <w:p>
      <w:pPr>
        <w:pStyle w:val="1083"/>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    </w:t>
      </w:r>
      <w:r/>
    </w:p>
    <w:p>
      <w:pPr>
        <w:pStyle w:val="1083"/>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被授权人姓名：_______________________     </w:t>
      </w:r>
      <w:r/>
    </w:p>
    <w:p>
      <w:pPr>
        <w:pStyle w:val="1083"/>
        <w:ind w:firstLine="42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联系电话（手机）：</w:t>
      </w:r>
      <w:r>
        <w:rPr>
          <w:rFonts w:hint="eastAsia" w:ascii="宋体" w:hAnsi="宋体" w:eastAsia="宋体" w:cs="宋体"/>
          <w:sz w:val="21"/>
          <w:szCs w:val="21"/>
          <w:u w:val="single"/>
        </w:rPr>
        <w:t xml:space="preserve">                             </w:t>
      </w:r>
      <w:r/>
    </w:p>
    <w:p>
      <w:pPr>
        <w:pStyle w:val="1083"/>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    单位名称：____________________________________</w:t>
      </w:r>
      <w:r/>
    </w:p>
    <w:p>
      <w:pPr>
        <w:pStyle w:val="1083"/>
        <w:ind w:firstLine="42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单位地址：</w:t>
      </w:r>
      <w:r>
        <w:rPr>
          <w:rFonts w:hint="eastAsia" w:ascii="宋体" w:hAnsi="宋体" w:eastAsia="宋体" w:cs="宋体"/>
          <w:sz w:val="21"/>
          <w:szCs w:val="21"/>
          <w:u w:val="single"/>
        </w:rPr>
        <w:t xml:space="preserve">                                         </w:t>
      </w:r>
      <w:r/>
    </w:p>
    <w:p>
      <w:pPr>
        <w:pStyle w:val="1083"/>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p>
    <w:p>
      <w:pPr>
        <w:spacing w:line="360" w:lineRule="auto"/>
        <w:rPr>
          <w:rFonts w:hint="eastAsia" w:ascii="宋体" w:hAnsi="宋体" w:eastAsia="宋体" w:cs="宋体"/>
          <w:bCs/>
        </w:rPr>
      </w:pPr>
      <w:r>
        <w:rPr>
          <w:rFonts w:hint="eastAsia" w:ascii="宋体" w:hAnsi="宋体" w:eastAsia="宋体" w:cs="宋体"/>
          <w:bCs/>
        </w:rPr>
      </w:r>
      <w:r/>
    </w:p>
    <w:p>
      <w:pPr>
        <w:spacing w:line="360" w:lineRule="auto"/>
        <w:rPr>
          <w:rFonts w:hint="eastAsia" w:ascii="宋体" w:hAnsi="宋体" w:eastAsia="宋体" w:cs="宋体"/>
          <w:bCs/>
          <w:sz w:val="24"/>
        </w:rPr>
      </w:pPr>
      <w:r>
        <w:rPr>
          <w:rFonts w:hint="eastAsia" w:ascii="宋体" w:hAnsi="宋体" w:eastAsia="宋体" w:cs="宋体"/>
          <w:bCs/>
          <w:sz w:val="24"/>
        </w:rPr>
      </w:r>
      <w:r/>
    </w:p>
    <w:p>
      <w:pPr>
        <w:ind w:firstLine="420"/>
        <w:spacing w:line="360" w:lineRule="auto"/>
        <w:rPr>
          <w:rFonts w:ascii="仿宋" w:hAnsi="仿宋" w:eastAsia="仿宋" w:cs="仿宋"/>
          <w:bCs/>
        </w:rPr>
        <w:sectPr>
          <w:footnotePr/>
          <w:endnotePr/>
          <w:type w:val="nextPage"/>
          <w:pgSz w:w="11906" w:h="16838" w:orient="portrait"/>
          <w:pgMar w:top="1134" w:right="1134" w:bottom="1134" w:left="1134" w:header="851" w:footer="992" w:gutter="0"/>
          <w:pgNumType w:start="1"/>
          <w:cols w:num="1" w:sep="0" w:space="0" w:equalWidth="1"/>
          <w:docGrid w:linePitch="360"/>
        </w:sectPr>
      </w:pPr>
      <w:r>
        <w:rPr>
          <w:rFonts w:hint="eastAsia" w:ascii="宋体" w:hAnsi="宋体" w:eastAsia="宋体" w:cs="宋体"/>
          <w:bCs/>
        </w:rPr>
        <w:t xml:space="preserve">被授权人身份证复印件</w:t>
      </w:r>
      <w:r/>
    </w:p>
    <w:p>
      <w:pPr>
        <w:pStyle w:val="810"/>
        <w:jc w:val="center"/>
        <w:spacing w:line="360" w:lineRule="auto"/>
        <w:rPr>
          <w:rFonts w:hint="eastAsia" w:ascii="宋体" w:hAnsi="宋体" w:eastAsia="宋体" w:cs="宋体"/>
          <w:sz w:val="32"/>
        </w:rPr>
      </w:pPr>
      <w:r/>
      <w:bookmarkStart w:id="206" w:name="_Toc23740"/>
      <w:r>
        <w:rPr>
          <w:rFonts w:hint="eastAsia" w:ascii="宋体" w:hAnsi="宋体" w:eastAsia="宋体" w:cs="宋体"/>
          <w:sz w:val="32"/>
        </w:rPr>
        <w:t xml:space="preserve">二、符合性审查响应对照表</w:t>
      </w:r>
      <w:bookmarkEnd w:id="206"/>
      <w:r/>
      <w:r/>
    </w:p>
    <w:tbl>
      <w:tblPr>
        <w:tblStyle w:val="819"/>
        <w:tblW w:w="101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6070"/>
        <w:gridCol w:w="1872"/>
        <w:gridCol w:w="1457"/>
      </w:tblGrid>
      <w:tr>
        <w:trPr>
          <w:jc w:val="center"/>
          <w:trHeight w:val="769"/>
        </w:trPr>
        <w:tc>
          <w:tcPr>
            <w:tcW w:w="719"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序号</w:t>
            </w:r>
            <w:r/>
          </w:p>
        </w:tc>
        <w:tc>
          <w:tcPr>
            <w:tcW w:w="6070"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符合性审查响应内容</w:t>
            </w:r>
            <w:r/>
          </w:p>
        </w:tc>
        <w:tc>
          <w:tcPr>
            <w:tcW w:w="1872"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是否响应</w:t>
            </w:r>
            <w:r/>
          </w:p>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（填是或者否）</w:t>
            </w:r>
            <w:r/>
          </w:p>
        </w:tc>
        <w:tc>
          <w:tcPr>
            <w:tcW w:w="1457"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响应情况</w:t>
            </w:r>
            <w:r/>
          </w:p>
        </w:tc>
      </w:tr>
      <w:tr>
        <w:trPr>
          <w:jc w:val="center"/>
          <w:trHeight w:val="949"/>
        </w:trPr>
        <w:tc>
          <w:tcPr>
            <w:tcW w:w="719"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1</w:t>
            </w:r>
            <w:r/>
          </w:p>
        </w:tc>
        <w:tc>
          <w:tcPr>
            <w:tcW w:w="6070" w:type="dxa"/>
            <w:vAlign w:val="center"/>
            <w:textDirection w:val="lrTb"/>
            <w:noWrap w:val="false"/>
          </w:tcPr>
          <w:p>
            <w:pPr>
              <w:spacing w:line="360" w:lineRule="auto"/>
              <w:rPr>
                <w:rFonts w:hint="eastAsia" w:ascii="宋体" w:hAnsi="宋体" w:eastAsia="宋体" w:cs="宋体"/>
                <w:iCs/>
                <w:szCs w:val="21"/>
              </w:rPr>
            </w:pPr>
            <w:r>
              <w:rPr>
                <w:rFonts w:hint="eastAsia" w:ascii="宋体" w:hAnsi="宋体" w:eastAsia="宋体" w:cs="宋体"/>
                <w:iCs/>
                <w:szCs w:val="21"/>
                <w:lang w:val="en-US" w:eastAsia="zh-CN"/>
              </w:rPr>
              <w:t xml:space="preserve">第四章</w:t>
            </w:r>
            <w:r>
              <w:rPr>
                <w:rFonts w:hint="eastAsia" w:ascii="宋体" w:hAnsi="宋体" w:eastAsia="宋体" w:cs="宋体"/>
                <w:iCs/>
                <w:szCs w:val="21"/>
              </w:rPr>
              <w:t xml:space="preserve">采购需求中必须满足的实质性要求（即加斜体下划线内容，每条详细列出）</w:t>
            </w:r>
            <w:r/>
          </w:p>
        </w:tc>
        <w:tc>
          <w:tcPr>
            <w:tcW w:w="1872" w:type="dxa"/>
            <w:vAlign w:val="center"/>
            <w:textDirection w:val="lrTb"/>
            <w:noWrap w:val="false"/>
          </w:tcPr>
          <w:p>
            <w:pPr>
              <w:spacing w:line="360" w:lineRule="auto"/>
              <w:rPr>
                <w:rFonts w:hint="eastAsia" w:ascii="宋体" w:hAnsi="宋体" w:eastAsia="宋体" w:cs="宋体"/>
                <w:b/>
                <w:szCs w:val="21"/>
              </w:rPr>
            </w:pPr>
            <w:r>
              <w:rPr>
                <w:rFonts w:hint="eastAsia" w:ascii="宋体" w:hAnsi="宋体" w:eastAsia="宋体" w:cs="宋体"/>
                <w:b/>
                <w:szCs w:val="21"/>
              </w:rPr>
            </w:r>
            <w:r/>
          </w:p>
        </w:tc>
        <w:tc>
          <w:tcPr>
            <w:tcW w:w="1457" w:type="dxa"/>
            <w:vAlign w:val="center"/>
            <w:textDirection w:val="lrTb"/>
            <w:noWrap w:val="false"/>
          </w:tcPr>
          <w:p>
            <w:pPr>
              <w:spacing w:line="360" w:lineRule="auto"/>
              <w:rPr>
                <w:rFonts w:hint="eastAsia" w:ascii="宋体" w:hAnsi="宋体" w:eastAsia="宋体" w:cs="宋体"/>
                <w:b/>
                <w:szCs w:val="21"/>
              </w:rPr>
            </w:pPr>
            <w:r>
              <w:rPr>
                <w:rFonts w:hint="eastAsia" w:ascii="宋体" w:hAnsi="宋体" w:eastAsia="宋体" w:cs="宋体"/>
                <w:b/>
                <w:szCs w:val="21"/>
              </w:rPr>
            </w:r>
            <w:r/>
          </w:p>
        </w:tc>
      </w:tr>
      <w:tr>
        <w:trPr>
          <w:jc w:val="center"/>
          <w:trHeight w:val="597"/>
        </w:trPr>
        <w:tc>
          <w:tcPr>
            <w:tcW w:w="719"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2</w:t>
            </w:r>
            <w:r/>
          </w:p>
        </w:tc>
        <w:tc>
          <w:tcPr>
            <w:tcW w:w="6070" w:type="dxa"/>
            <w:vAlign w:val="center"/>
            <w:textDirection w:val="lrTb"/>
            <w:noWrap w:val="false"/>
          </w:tcPr>
          <w:p>
            <w:pPr>
              <w:spacing w:line="360" w:lineRule="auto"/>
              <w:rPr>
                <w:rFonts w:hint="eastAsia" w:ascii="宋体" w:hAnsi="宋体" w:eastAsia="宋体" w:cs="宋体"/>
                <w:iCs/>
                <w:szCs w:val="21"/>
                <w:lang w:val="en-US" w:eastAsia="zh-CN"/>
              </w:rPr>
            </w:pPr>
            <w:r>
              <w:rPr>
                <w:rFonts w:hint="eastAsia" w:ascii="宋体" w:hAnsi="宋体" w:eastAsia="宋体" w:cs="宋体"/>
                <w:iCs/>
                <w:szCs w:val="21"/>
                <w:lang w:val="en-US" w:eastAsia="zh-CN"/>
              </w:rPr>
              <w:t xml:space="preserve">报价不得超过最高限价</w:t>
            </w:r>
            <w:r/>
          </w:p>
        </w:tc>
        <w:tc>
          <w:tcPr>
            <w:tcW w:w="1872"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457"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597"/>
        </w:trPr>
        <w:tc>
          <w:tcPr>
            <w:tcW w:w="719"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3</w:t>
            </w:r>
            <w:r/>
          </w:p>
        </w:tc>
        <w:tc>
          <w:tcPr>
            <w:tcW w:w="6070" w:type="dxa"/>
            <w:vAlign w:val="center"/>
            <w:textDirection w:val="lrTb"/>
            <w:noWrap w:val="false"/>
          </w:tcPr>
          <w:p>
            <w:pPr>
              <w:spacing w:line="360" w:lineRule="auto"/>
              <w:rPr>
                <w:rFonts w:hint="eastAsia" w:ascii="宋体" w:hAnsi="宋体" w:eastAsia="宋体" w:cs="宋体"/>
                <w:iCs/>
                <w:szCs w:val="21"/>
              </w:rPr>
            </w:pPr>
            <w:r>
              <w:rPr>
                <w:rFonts w:hint="eastAsia" w:ascii="宋体" w:hAnsi="宋体" w:eastAsia="宋体" w:cs="宋体"/>
                <w:iCs/>
                <w:szCs w:val="21"/>
              </w:rPr>
            </w:r>
            <w:r/>
          </w:p>
        </w:tc>
        <w:tc>
          <w:tcPr>
            <w:tcW w:w="1872"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457"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479"/>
        </w:trPr>
        <w:tc>
          <w:tcPr>
            <w:tcW w:w="719"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4</w:t>
            </w:r>
            <w:r/>
          </w:p>
        </w:tc>
        <w:tc>
          <w:tcPr>
            <w:tcW w:w="6070" w:type="dxa"/>
            <w:vAlign w:val="center"/>
            <w:textDirection w:val="lrTb"/>
            <w:noWrap w:val="false"/>
          </w:tcPr>
          <w:p>
            <w:pPr>
              <w:spacing w:line="360" w:lineRule="auto"/>
              <w:rPr>
                <w:rFonts w:hint="eastAsia" w:ascii="宋体" w:hAnsi="宋体" w:eastAsia="宋体" w:cs="宋体"/>
                <w:iCs/>
                <w:szCs w:val="21"/>
              </w:rPr>
            </w:pPr>
            <w:r>
              <w:rPr>
                <w:rFonts w:hint="eastAsia" w:ascii="宋体" w:hAnsi="宋体" w:eastAsia="宋体" w:cs="宋体"/>
                <w:iCs/>
                <w:szCs w:val="21"/>
              </w:rPr>
            </w:r>
            <w:r/>
          </w:p>
        </w:tc>
        <w:tc>
          <w:tcPr>
            <w:tcW w:w="1872"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457"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803"/>
        </w:trPr>
        <w:tc>
          <w:tcPr>
            <w:tcW w:w="719"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5</w:t>
            </w:r>
            <w:r/>
          </w:p>
        </w:tc>
        <w:tc>
          <w:tcPr>
            <w:tcW w:w="6070" w:type="dxa"/>
            <w:vAlign w:val="center"/>
            <w:textDirection w:val="lrTb"/>
            <w:noWrap w:val="false"/>
          </w:tcPr>
          <w:p>
            <w:pPr>
              <w:spacing w:line="360" w:lineRule="auto"/>
              <w:rPr>
                <w:rFonts w:hint="eastAsia" w:ascii="宋体" w:hAnsi="宋体" w:eastAsia="宋体" w:cs="宋体"/>
                <w:iCs/>
                <w:szCs w:val="21"/>
              </w:rPr>
            </w:pPr>
            <w:r>
              <w:rPr>
                <w:rFonts w:hint="eastAsia" w:ascii="宋体" w:hAnsi="宋体" w:eastAsia="宋体" w:cs="宋体"/>
                <w:iCs/>
                <w:szCs w:val="21"/>
              </w:rPr>
              <w:t xml:space="preserve">……</w:t>
            </w:r>
            <w:r/>
          </w:p>
        </w:tc>
        <w:tc>
          <w:tcPr>
            <w:tcW w:w="1872"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457"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r>
    </w:tbl>
    <w:p>
      <w:pPr>
        <w:contextualSpacing/>
        <w:jc w:val="center"/>
        <w:spacing w:line="360" w:lineRule="auto"/>
        <w:rPr>
          <w:rFonts w:ascii="仿宋" w:hAnsi="仿宋" w:eastAsia="仿宋" w:cs="仿宋"/>
          <w:b/>
          <w:bCs/>
          <w:color w:val="000000"/>
          <w:sz w:val="32"/>
          <w:szCs w:val="32"/>
        </w:rPr>
      </w:pPr>
      <w:r>
        <w:rPr>
          <w:rFonts w:ascii="仿宋" w:hAnsi="仿宋" w:eastAsia="仿宋" w:cs="仿宋"/>
          <w:b/>
          <w:bCs/>
          <w:color w:val="000000"/>
          <w:sz w:val="32"/>
          <w:szCs w:val="32"/>
        </w:rPr>
      </w:r>
      <w:r/>
    </w:p>
    <w:p>
      <w:pPr>
        <w:contextualSpacing/>
        <w:jc w:val="center"/>
        <w:spacing w:line="360" w:lineRule="auto"/>
        <w:rPr>
          <w:rFonts w:ascii="仿宋" w:hAnsi="仿宋" w:eastAsia="仿宋" w:cs="仿宋"/>
          <w:b/>
          <w:bCs/>
          <w:color w:val="000000"/>
          <w:sz w:val="32"/>
          <w:szCs w:val="32"/>
        </w:rPr>
      </w:pPr>
      <w:r>
        <w:rPr>
          <w:rFonts w:ascii="仿宋" w:hAnsi="仿宋" w:eastAsia="仿宋" w:cs="仿宋"/>
          <w:b/>
          <w:bCs/>
          <w:color w:val="000000"/>
          <w:sz w:val="32"/>
          <w:szCs w:val="32"/>
        </w:rPr>
      </w:r>
      <w:r/>
    </w:p>
    <w:p>
      <w:pPr>
        <w:contextualSpacing/>
        <w:jc w:val="center"/>
        <w:spacing w:line="360" w:lineRule="auto"/>
        <w:rPr>
          <w:rFonts w:ascii="仿宋" w:hAnsi="仿宋" w:eastAsia="仿宋" w:cs="仿宋"/>
          <w:b/>
          <w:bCs/>
          <w:color w:val="000000"/>
          <w:sz w:val="32"/>
          <w:szCs w:val="32"/>
        </w:rPr>
      </w:pPr>
      <w:r>
        <w:rPr>
          <w:rFonts w:ascii="仿宋" w:hAnsi="仿宋" w:eastAsia="仿宋" w:cs="仿宋"/>
          <w:b/>
          <w:bCs/>
          <w:color w:val="000000"/>
          <w:sz w:val="32"/>
          <w:szCs w:val="32"/>
        </w:rPr>
      </w:r>
      <w:r/>
    </w:p>
    <w:p>
      <w:pPr>
        <w:contextualSpacing/>
        <w:jc w:val="center"/>
        <w:spacing w:line="360" w:lineRule="auto"/>
        <w:rPr>
          <w:rFonts w:ascii="仿宋" w:hAnsi="仿宋" w:eastAsia="仿宋" w:cs="仿宋"/>
          <w:b/>
          <w:bCs/>
          <w:color w:val="000000"/>
          <w:sz w:val="32"/>
          <w:szCs w:val="32"/>
        </w:rPr>
      </w:pPr>
      <w:r>
        <w:rPr>
          <w:rFonts w:ascii="仿宋" w:hAnsi="仿宋" w:eastAsia="仿宋" w:cs="仿宋"/>
          <w:b/>
          <w:bCs/>
          <w:color w:val="000000"/>
          <w:sz w:val="32"/>
          <w:szCs w:val="32"/>
        </w:rPr>
      </w:r>
      <w:r/>
    </w:p>
    <w:p>
      <w:pPr>
        <w:contextualSpacing/>
        <w:jc w:val="center"/>
        <w:spacing w:line="360" w:lineRule="auto"/>
        <w:rPr>
          <w:rFonts w:ascii="仿宋" w:hAnsi="仿宋" w:eastAsia="仿宋" w:cs="仿宋"/>
          <w:b/>
          <w:bCs/>
          <w:color w:val="000000"/>
          <w:sz w:val="32"/>
          <w:szCs w:val="32"/>
        </w:rPr>
      </w:pPr>
      <w:r>
        <w:rPr>
          <w:rFonts w:ascii="仿宋" w:hAnsi="仿宋" w:eastAsia="仿宋" w:cs="仿宋"/>
          <w:b/>
          <w:bCs/>
          <w:color w:val="000000"/>
          <w:sz w:val="32"/>
          <w:szCs w:val="32"/>
        </w:rPr>
      </w:r>
      <w:r/>
    </w:p>
    <w:p>
      <w:pPr>
        <w:contextualSpacing/>
        <w:jc w:val="center"/>
        <w:spacing w:line="360" w:lineRule="auto"/>
        <w:rPr>
          <w:rFonts w:ascii="仿宋" w:hAnsi="仿宋" w:eastAsia="仿宋" w:cs="仿宋"/>
          <w:b/>
          <w:bCs/>
          <w:color w:val="000000"/>
          <w:sz w:val="32"/>
          <w:szCs w:val="32"/>
        </w:rPr>
      </w:pPr>
      <w:r>
        <w:rPr>
          <w:rFonts w:ascii="仿宋" w:hAnsi="仿宋" w:eastAsia="仿宋" w:cs="仿宋"/>
          <w:b/>
          <w:bCs/>
          <w:color w:val="000000"/>
          <w:sz w:val="32"/>
          <w:szCs w:val="32"/>
        </w:rPr>
      </w:r>
      <w:r/>
    </w:p>
    <w:p>
      <w:pPr>
        <w:contextualSpacing/>
        <w:jc w:val="center"/>
        <w:spacing w:line="360" w:lineRule="auto"/>
        <w:rPr>
          <w:rFonts w:ascii="仿宋" w:hAnsi="仿宋" w:eastAsia="仿宋" w:cs="仿宋"/>
          <w:b/>
          <w:bCs/>
          <w:color w:val="000000"/>
          <w:sz w:val="32"/>
          <w:szCs w:val="32"/>
        </w:rPr>
      </w:pPr>
      <w:r>
        <w:rPr>
          <w:rFonts w:ascii="仿宋" w:hAnsi="仿宋" w:eastAsia="仿宋" w:cs="仿宋"/>
          <w:b/>
          <w:bCs/>
          <w:color w:val="000000"/>
          <w:sz w:val="32"/>
          <w:szCs w:val="32"/>
        </w:rPr>
      </w:r>
      <w:r/>
    </w:p>
    <w:p>
      <w:pPr>
        <w:contextualSpacing/>
        <w:jc w:val="center"/>
        <w:spacing w:line="360" w:lineRule="auto"/>
        <w:rPr>
          <w:rFonts w:ascii="仿宋" w:hAnsi="仿宋" w:eastAsia="仿宋" w:cs="仿宋"/>
          <w:b/>
          <w:bCs/>
          <w:color w:val="000000"/>
          <w:sz w:val="32"/>
          <w:szCs w:val="32"/>
        </w:rPr>
      </w:pPr>
      <w:r>
        <w:rPr>
          <w:rFonts w:ascii="仿宋" w:hAnsi="仿宋" w:eastAsia="仿宋" w:cs="仿宋"/>
          <w:b/>
          <w:bCs/>
          <w:color w:val="000000"/>
          <w:sz w:val="32"/>
          <w:szCs w:val="32"/>
        </w:rPr>
      </w:r>
      <w:r/>
    </w:p>
    <w:p>
      <w:pPr>
        <w:contextualSpacing/>
        <w:jc w:val="center"/>
        <w:spacing w:line="360" w:lineRule="auto"/>
        <w:rPr>
          <w:rFonts w:ascii="仿宋" w:hAnsi="仿宋" w:eastAsia="仿宋" w:cs="仿宋"/>
          <w:b/>
          <w:bCs/>
          <w:color w:val="000000"/>
          <w:sz w:val="32"/>
          <w:szCs w:val="32"/>
        </w:rPr>
      </w:pPr>
      <w:r>
        <w:rPr>
          <w:rFonts w:ascii="仿宋" w:hAnsi="仿宋" w:eastAsia="仿宋" w:cs="仿宋"/>
          <w:b/>
          <w:bCs/>
          <w:color w:val="000000"/>
          <w:sz w:val="32"/>
          <w:szCs w:val="32"/>
        </w:rPr>
      </w:r>
      <w:r/>
    </w:p>
    <w:p>
      <w:pPr>
        <w:contextualSpacing/>
        <w:jc w:val="center"/>
        <w:spacing w:line="360" w:lineRule="auto"/>
        <w:rPr>
          <w:rFonts w:ascii="仿宋" w:hAnsi="仿宋" w:eastAsia="仿宋" w:cs="仿宋"/>
          <w:b/>
          <w:bCs/>
          <w:color w:val="000000"/>
          <w:sz w:val="32"/>
          <w:szCs w:val="32"/>
        </w:rPr>
      </w:pPr>
      <w:r>
        <w:rPr>
          <w:rFonts w:ascii="仿宋" w:hAnsi="仿宋" w:eastAsia="仿宋" w:cs="仿宋"/>
          <w:b/>
          <w:bCs/>
          <w:color w:val="000000"/>
          <w:sz w:val="32"/>
          <w:szCs w:val="32"/>
        </w:rPr>
      </w:r>
      <w:r/>
    </w:p>
    <w:p>
      <w:pPr>
        <w:contextualSpacing/>
        <w:jc w:val="center"/>
        <w:spacing w:line="360" w:lineRule="auto"/>
        <w:rPr>
          <w:rFonts w:ascii="仿宋" w:hAnsi="仿宋" w:eastAsia="仿宋" w:cs="仿宋"/>
          <w:b/>
          <w:bCs/>
          <w:color w:val="000000"/>
          <w:sz w:val="32"/>
          <w:szCs w:val="32"/>
        </w:rPr>
      </w:pPr>
      <w:r>
        <w:rPr>
          <w:rFonts w:ascii="仿宋" w:hAnsi="仿宋" w:eastAsia="仿宋" w:cs="仿宋"/>
          <w:b/>
          <w:bCs/>
          <w:color w:val="000000"/>
          <w:sz w:val="32"/>
          <w:szCs w:val="32"/>
        </w:rPr>
      </w:r>
      <w:r/>
    </w:p>
    <w:p>
      <w:pPr>
        <w:contextualSpacing/>
        <w:jc w:val="center"/>
        <w:spacing w:line="360" w:lineRule="auto"/>
        <w:rPr>
          <w:rFonts w:ascii="仿宋" w:hAnsi="仿宋" w:eastAsia="仿宋" w:cs="仿宋"/>
          <w:b/>
          <w:bCs/>
          <w:color w:val="000000"/>
          <w:sz w:val="32"/>
          <w:szCs w:val="32"/>
        </w:rPr>
      </w:pPr>
      <w:r>
        <w:rPr>
          <w:rFonts w:ascii="仿宋" w:hAnsi="仿宋" w:eastAsia="仿宋" w:cs="仿宋"/>
          <w:b/>
          <w:bCs/>
          <w:color w:val="000000"/>
          <w:sz w:val="32"/>
          <w:szCs w:val="32"/>
        </w:rPr>
      </w:r>
      <w:r/>
    </w:p>
    <w:p>
      <w:pPr>
        <w:contextualSpacing/>
        <w:jc w:val="center"/>
        <w:spacing w:line="360" w:lineRule="auto"/>
        <w:rPr>
          <w:rFonts w:ascii="仿宋" w:hAnsi="仿宋" w:eastAsia="仿宋" w:cs="仿宋"/>
          <w:b/>
          <w:bCs/>
          <w:color w:val="000000"/>
          <w:sz w:val="32"/>
          <w:szCs w:val="32"/>
        </w:rPr>
      </w:pPr>
      <w:r>
        <w:rPr>
          <w:rFonts w:ascii="仿宋" w:hAnsi="仿宋" w:eastAsia="仿宋" w:cs="仿宋"/>
          <w:b/>
          <w:bCs/>
          <w:color w:val="000000"/>
          <w:sz w:val="32"/>
          <w:szCs w:val="32"/>
        </w:rPr>
      </w:r>
      <w:r/>
    </w:p>
    <w:p>
      <w:pPr>
        <w:pStyle w:val="810"/>
        <w:jc w:val="center"/>
        <w:spacing w:line="360" w:lineRule="auto"/>
        <w:rPr>
          <w:rFonts w:hint="eastAsia" w:ascii="宋体" w:hAnsi="宋体" w:eastAsia="宋体" w:cs="宋体"/>
          <w:sz w:val="32"/>
        </w:rPr>
      </w:pPr>
      <w:r/>
      <w:bookmarkStart w:id="207" w:name="_Toc453"/>
      <w:r>
        <w:rPr>
          <w:rFonts w:hint="eastAsia" w:ascii="宋体" w:hAnsi="宋体" w:eastAsia="宋体" w:cs="宋体"/>
          <w:sz w:val="32"/>
        </w:rPr>
        <w:t xml:space="preserve">三、非实质性响应对照表</w:t>
      </w:r>
      <w:bookmarkEnd w:id="207"/>
      <w:r/>
      <w:r/>
    </w:p>
    <w:tbl>
      <w:tblPr>
        <w:tblStyle w:val="819"/>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序号</w:t>
            </w:r>
            <w:r/>
          </w:p>
        </w:tc>
        <w:tc>
          <w:tcPr>
            <w:tcW w:w="5447"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非实质性响应内容</w:t>
            </w:r>
            <w:r/>
          </w:p>
        </w:tc>
        <w:tc>
          <w:tcPr>
            <w:tcW w:w="1680"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是否响应</w:t>
            </w:r>
            <w:r/>
          </w:p>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（填是或者否）</w:t>
            </w:r>
            <w:r/>
          </w:p>
        </w:tc>
        <w:tc>
          <w:tcPr>
            <w:tcW w:w="1308"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响应情况</w:t>
            </w:r>
            <w:r/>
          </w:p>
        </w:tc>
      </w:tr>
      <w:tr>
        <w:trPr>
          <w:jc w:val="center"/>
          <w:trHeight w:val="585"/>
        </w:trPr>
        <w:tc>
          <w:tcPr>
            <w:tcW w:w="646"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1</w:t>
            </w:r>
            <w:r/>
          </w:p>
        </w:tc>
        <w:tc>
          <w:tcPr>
            <w:tcW w:w="5447" w:type="dxa"/>
            <w:vAlign w:val="center"/>
            <w:textDirection w:val="lrTb"/>
            <w:noWrap w:val="false"/>
          </w:tcPr>
          <w:p>
            <w:pPr>
              <w:spacing w:line="360" w:lineRule="auto"/>
              <w:rPr>
                <w:rFonts w:hint="eastAsia" w:ascii="宋体" w:hAnsi="宋体" w:eastAsia="宋体" w:cs="宋体"/>
                <w:iCs/>
                <w:szCs w:val="21"/>
              </w:rPr>
            </w:pPr>
            <w:r>
              <w:rPr>
                <w:rFonts w:hint="eastAsia" w:ascii="宋体" w:hAnsi="宋体" w:eastAsia="宋体" w:cs="宋体"/>
                <w:szCs w:val="21"/>
              </w:rPr>
              <w:t xml:space="preserve">《企业声明函》</w:t>
            </w:r>
            <w:r/>
          </w:p>
        </w:tc>
        <w:tc>
          <w:tcPr>
            <w:tcW w:w="1680" w:type="dxa"/>
            <w:vAlign w:val="center"/>
            <w:textDirection w:val="lrTb"/>
            <w:noWrap w:val="false"/>
          </w:tcPr>
          <w:p>
            <w:pPr>
              <w:spacing w:line="360" w:lineRule="auto"/>
              <w:rPr>
                <w:rFonts w:hint="eastAsia" w:ascii="宋体" w:hAnsi="宋体" w:eastAsia="宋体" w:cs="宋体"/>
                <w:b/>
                <w:szCs w:val="21"/>
              </w:rPr>
            </w:pPr>
            <w:r>
              <w:rPr>
                <w:rFonts w:hint="eastAsia" w:ascii="宋体" w:hAnsi="宋体" w:eastAsia="宋体" w:cs="宋体"/>
                <w:b/>
                <w:szCs w:val="21"/>
              </w:rPr>
            </w:r>
            <w:r/>
          </w:p>
        </w:tc>
        <w:tc>
          <w:tcPr>
            <w:tcW w:w="1308" w:type="dxa"/>
            <w:vAlign w:val="center"/>
            <w:textDirection w:val="lrTb"/>
            <w:noWrap w:val="false"/>
          </w:tcPr>
          <w:p>
            <w:pPr>
              <w:spacing w:line="360" w:lineRule="auto"/>
              <w:rPr>
                <w:rFonts w:hint="eastAsia" w:ascii="宋体" w:hAnsi="宋体" w:eastAsia="宋体" w:cs="宋体"/>
                <w:b/>
                <w:szCs w:val="21"/>
              </w:rPr>
            </w:pPr>
            <w:r>
              <w:rPr>
                <w:rFonts w:hint="eastAsia" w:ascii="宋体" w:hAnsi="宋体" w:eastAsia="宋体" w:cs="宋体"/>
                <w:b/>
                <w:szCs w:val="21"/>
              </w:rPr>
            </w:r>
            <w:r/>
          </w:p>
        </w:tc>
      </w:tr>
      <w:tr>
        <w:trPr>
          <w:jc w:val="center"/>
          <w:trHeight w:val="585"/>
        </w:trPr>
        <w:tc>
          <w:tcPr>
            <w:tcW w:w="646"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2</w:t>
            </w:r>
            <w:r/>
          </w:p>
        </w:tc>
        <w:tc>
          <w:tcPr>
            <w:tcW w:w="5447" w:type="dxa"/>
            <w:vAlign w:val="center"/>
            <w:textDirection w:val="lrTb"/>
            <w:noWrap w:val="false"/>
          </w:tcPr>
          <w:p>
            <w:pPr>
              <w:spacing w:line="360" w:lineRule="auto"/>
              <w:rPr>
                <w:rFonts w:hint="eastAsia" w:ascii="宋体" w:hAnsi="宋体" w:eastAsia="宋体" w:cs="宋体"/>
                <w:iCs/>
                <w:szCs w:val="21"/>
              </w:rPr>
            </w:pPr>
            <w:r>
              <w:rPr>
                <w:rFonts w:hint="eastAsia" w:ascii="宋体" w:hAnsi="宋体" w:eastAsia="宋体" w:cs="宋体"/>
                <w:szCs w:val="21"/>
              </w:rPr>
              <w:t xml:space="preserve">《残疾人福利性单位声明函》</w:t>
            </w:r>
            <w:r/>
          </w:p>
        </w:tc>
        <w:tc>
          <w:tcPr>
            <w:tcW w:w="1680"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3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780"/>
        </w:trPr>
        <w:tc>
          <w:tcPr>
            <w:tcW w:w="646"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3</w:t>
            </w:r>
            <w:r/>
          </w:p>
        </w:tc>
        <w:tc>
          <w:tcPr>
            <w:tcW w:w="5447" w:type="dxa"/>
            <w:vAlign w:val="center"/>
            <w:textDirection w:val="lrTb"/>
            <w:noWrap w:val="false"/>
          </w:tcPr>
          <w:p>
            <w:pPr>
              <w:spacing w:line="360" w:lineRule="auto"/>
              <w:rPr>
                <w:rFonts w:hint="eastAsia" w:ascii="宋体" w:hAnsi="宋体" w:eastAsia="宋体" w:cs="宋体"/>
                <w:iCs/>
                <w:szCs w:val="21"/>
              </w:rPr>
            </w:pPr>
            <w:r>
              <w:rPr>
                <w:rFonts w:hint="eastAsia" w:ascii="宋体" w:hAnsi="宋体" w:eastAsia="宋体" w:cs="宋体"/>
                <w:iCs/>
                <w:szCs w:val="21"/>
              </w:rPr>
              <w:t xml:space="preserve">……</w:t>
            </w:r>
            <w:r/>
          </w:p>
        </w:tc>
        <w:tc>
          <w:tcPr>
            <w:tcW w:w="1680"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3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r>
            <w:r/>
          </w:p>
        </w:tc>
      </w:tr>
    </w:tbl>
    <w:p>
      <w:pPr>
        <w:contextualSpacing/>
        <w:jc w:val="center"/>
        <w:spacing w:line="360" w:lineRule="auto"/>
        <w:rPr>
          <w:rFonts w:ascii="仿宋" w:hAnsi="仿宋" w:eastAsia="仿宋" w:cs="仿宋"/>
          <w:b/>
          <w:bCs/>
          <w:color w:val="000000"/>
          <w:sz w:val="32"/>
          <w:szCs w:val="32"/>
        </w:rPr>
      </w:pPr>
      <w:r>
        <w:rPr>
          <w:rFonts w:ascii="仿宋" w:hAnsi="仿宋" w:eastAsia="仿宋" w:cs="仿宋"/>
          <w:b/>
          <w:bCs/>
          <w:color w:val="000000"/>
          <w:sz w:val="32"/>
          <w:szCs w:val="32"/>
        </w:rPr>
      </w:r>
      <w:r/>
    </w:p>
    <w:p>
      <w:pPr>
        <w:contextualSpacing/>
        <w:jc w:val="center"/>
        <w:spacing w:line="360" w:lineRule="auto"/>
        <w:rPr>
          <w:rFonts w:ascii="仿宋" w:hAnsi="仿宋" w:eastAsia="仿宋" w:cs="仿宋"/>
          <w:b/>
          <w:bCs/>
          <w:color w:val="000000"/>
          <w:sz w:val="32"/>
          <w:szCs w:val="32"/>
        </w:rPr>
      </w:pPr>
      <w:r>
        <w:rPr>
          <w:rFonts w:ascii="仿宋" w:hAnsi="仿宋" w:eastAsia="仿宋" w:cs="仿宋"/>
          <w:b/>
          <w:bCs/>
          <w:color w:val="000000"/>
          <w:sz w:val="32"/>
          <w:szCs w:val="32"/>
        </w:rPr>
      </w:r>
      <w:r/>
    </w:p>
    <w:p>
      <w:pPr>
        <w:spacing w:line="360" w:lineRule="auto"/>
        <w:rPr>
          <w:rFonts w:ascii="仿宋" w:hAnsi="仿宋" w:eastAsia="仿宋" w:cs="仿宋"/>
        </w:rPr>
      </w:pPr>
      <w:r>
        <w:rPr>
          <w:rFonts w:ascii="仿宋" w:hAnsi="仿宋" w:eastAsia="仿宋" w:cs="仿宋"/>
        </w:rPr>
      </w:r>
      <w:r/>
    </w:p>
    <w:p>
      <w:pPr>
        <w:jc w:val="left"/>
        <w:spacing w:line="360" w:lineRule="auto"/>
        <w:widowControl/>
        <w:rPr>
          <w:rFonts w:ascii="仿宋" w:hAnsi="仿宋" w:eastAsia="仿宋" w:cs="仿宋"/>
          <w:b/>
          <w:bCs/>
          <w:color w:val="000000"/>
        </w:rPr>
      </w:pPr>
      <w:r>
        <w:rPr>
          <w:rFonts w:ascii="仿宋" w:hAnsi="仿宋" w:eastAsia="仿宋" w:cs="仿宋"/>
          <w:b/>
          <w:bCs/>
          <w:color w:val="000000"/>
        </w:rPr>
      </w:r>
      <w:r/>
    </w:p>
    <w:p>
      <w:pPr>
        <w:jc w:val="left"/>
        <w:spacing w:line="360" w:lineRule="auto"/>
        <w:widowControl/>
        <w:rPr>
          <w:rFonts w:ascii="仿宋" w:hAnsi="仿宋" w:eastAsia="仿宋" w:cs="仿宋"/>
          <w:b/>
          <w:bCs/>
          <w:color w:val="000000"/>
        </w:rPr>
      </w:pPr>
      <w:r>
        <w:rPr>
          <w:rFonts w:ascii="仿宋" w:hAnsi="仿宋" w:eastAsia="仿宋" w:cs="仿宋"/>
          <w:b/>
          <w:bCs/>
          <w:color w:val="000000"/>
        </w:rPr>
      </w:r>
      <w:r/>
    </w:p>
    <w:p>
      <w:pPr>
        <w:jc w:val="left"/>
        <w:spacing w:line="360" w:lineRule="auto"/>
        <w:widowControl/>
        <w:rPr>
          <w:rFonts w:ascii="仿宋" w:hAnsi="仿宋" w:eastAsia="仿宋" w:cs="仿宋"/>
          <w:b/>
          <w:bCs/>
          <w:color w:val="000000"/>
        </w:rPr>
      </w:pPr>
      <w:r>
        <w:rPr>
          <w:rFonts w:ascii="仿宋" w:hAnsi="仿宋" w:eastAsia="仿宋" w:cs="仿宋"/>
          <w:b/>
          <w:bCs/>
          <w:color w:val="000000"/>
        </w:rPr>
      </w:r>
      <w:r/>
    </w:p>
    <w:p>
      <w:pPr>
        <w:jc w:val="left"/>
        <w:spacing w:line="360" w:lineRule="auto"/>
        <w:widowControl/>
        <w:rPr>
          <w:rFonts w:ascii="仿宋" w:hAnsi="仿宋" w:eastAsia="仿宋" w:cs="仿宋"/>
          <w:b/>
          <w:bCs/>
          <w:color w:val="000000"/>
        </w:rPr>
      </w:pPr>
      <w:r>
        <w:rPr>
          <w:rFonts w:ascii="仿宋" w:hAnsi="仿宋" w:eastAsia="仿宋" w:cs="仿宋"/>
          <w:b/>
          <w:bCs/>
          <w:color w:val="000000"/>
        </w:rPr>
      </w:r>
      <w:r/>
    </w:p>
    <w:p>
      <w:pPr>
        <w:jc w:val="left"/>
        <w:spacing w:line="360" w:lineRule="auto"/>
        <w:widowControl/>
        <w:rPr>
          <w:rFonts w:ascii="仿宋" w:hAnsi="仿宋" w:eastAsia="仿宋" w:cs="仿宋"/>
          <w:b/>
          <w:bCs/>
          <w:color w:val="000000"/>
        </w:rPr>
      </w:pPr>
      <w:r>
        <w:rPr>
          <w:rFonts w:ascii="仿宋" w:hAnsi="仿宋" w:eastAsia="仿宋" w:cs="仿宋"/>
          <w:b/>
          <w:bCs/>
          <w:color w:val="000000"/>
        </w:rPr>
      </w:r>
      <w:r/>
    </w:p>
    <w:p>
      <w:pPr>
        <w:jc w:val="left"/>
        <w:spacing w:line="360" w:lineRule="auto"/>
        <w:widowControl/>
        <w:rPr>
          <w:rFonts w:ascii="仿宋" w:hAnsi="仿宋" w:eastAsia="仿宋" w:cs="仿宋"/>
          <w:b/>
          <w:bCs/>
          <w:color w:val="000000"/>
        </w:rPr>
      </w:pPr>
      <w:r>
        <w:rPr>
          <w:rFonts w:ascii="仿宋" w:hAnsi="仿宋" w:eastAsia="仿宋" w:cs="仿宋"/>
          <w:b/>
          <w:bCs/>
          <w:color w:val="000000"/>
        </w:rPr>
      </w:r>
      <w:r/>
    </w:p>
    <w:p>
      <w:pPr>
        <w:jc w:val="left"/>
        <w:spacing w:line="360" w:lineRule="auto"/>
        <w:widowControl/>
        <w:rPr>
          <w:rFonts w:ascii="仿宋" w:hAnsi="仿宋" w:eastAsia="仿宋" w:cs="仿宋"/>
          <w:b/>
          <w:bCs/>
          <w:color w:val="000000"/>
        </w:rPr>
      </w:pPr>
      <w:r>
        <w:rPr>
          <w:rFonts w:ascii="仿宋" w:hAnsi="仿宋" w:eastAsia="仿宋" w:cs="仿宋"/>
          <w:b/>
          <w:bCs/>
          <w:color w:val="000000"/>
        </w:rPr>
      </w:r>
      <w:r/>
    </w:p>
    <w:p>
      <w:pPr>
        <w:jc w:val="left"/>
        <w:spacing w:line="360" w:lineRule="auto"/>
        <w:widowControl/>
        <w:rPr>
          <w:rFonts w:ascii="仿宋" w:hAnsi="仿宋" w:eastAsia="仿宋" w:cs="仿宋"/>
          <w:b/>
          <w:bCs/>
          <w:color w:val="000000"/>
        </w:rPr>
      </w:pPr>
      <w:r>
        <w:rPr>
          <w:rFonts w:ascii="仿宋" w:hAnsi="仿宋" w:eastAsia="仿宋" w:cs="仿宋"/>
          <w:b/>
          <w:bCs/>
          <w:color w:val="000000"/>
        </w:rPr>
      </w:r>
      <w:r/>
    </w:p>
    <w:p>
      <w:pPr>
        <w:jc w:val="left"/>
        <w:spacing w:line="360" w:lineRule="auto"/>
        <w:widowControl/>
        <w:rPr>
          <w:rFonts w:ascii="仿宋" w:hAnsi="仿宋" w:eastAsia="仿宋" w:cs="仿宋"/>
          <w:b/>
          <w:bCs/>
          <w:color w:val="000000"/>
        </w:rPr>
      </w:pPr>
      <w:r>
        <w:rPr>
          <w:rFonts w:ascii="仿宋" w:hAnsi="仿宋" w:eastAsia="仿宋" w:cs="仿宋"/>
          <w:b/>
          <w:bCs/>
          <w:color w:val="000000"/>
        </w:rPr>
      </w:r>
      <w:r/>
    </w:p>
    <w:p>
      <w:pPr>
        <w:jc w:val="left"/>
        <w:spacing w:line="360" w:lineRule="auto"/>
        <w:widowControl/>
        <w:rPr>
          <w:rFonts w:ascii="仿宋" w:hAnsi="仿宋" w:eastAsia="仿宋" w:cs="仿宋"/>
          <w:b/>
          <w:bCs/>
          <w:color w:val="000000"/>
        </w:rPr>
      </w:pPr>
      <w:r>
        <w:rPr>
          <w:rFonts w:ascii="仿宋" w:hAnsi="仿宋" w:eastAsia="仿宋" w:cs="仿宋"/>
          <w:b/>
          <w:bCs/>
          <w:color w:val="000000"/>
        </w:rPr>
      </w:r>
      <w:r/>
    </w:p>
    <w:p>
      <w:pPr>
        <w:jc w:val="left"/>
        <w:spacing w:line="360" w:lineRule="auto"/>
        <w:widowControl/>
        <w:rPr>
          <w:rFonts w:ascii="仿宋" w:hAnsi="仿宋" w:eastAsia="仿宋" w:cs="仿宋"/>
          <w:b/>
          <w:bCs/>
          <w:color w:val="000000"/>
        </w:rPr>
      </w:pPr>
      <w:r>
        <w:rPr>
          <w:rFonts w:ascii="仿宋" w:hAnsi="仿宋" w:eastAsia="仿宋" w:cs="仿宋"/>
          <w:b/>
          <w:bCs/>
          <w:color w:val="000000"/>
        </w:rPr>
      </w:r>
      <w:r/>
    </w:p>
    <w:p>
      <w:pPr>
        <w:jc w:val="left"/>
        <w:spacing w:line="360" w:lineRule="auto"/>
        <w:widowControl/>
        <w:rPr>
          <w:rFonts w:ascii="仿宋" w:hAnsi="仿宋" w:eastAsia="仿宋" w:cs="仿宋"/>
          <w:b/>
          <w:bCs/>
          <w:color w:val="000000"/>
        </w:rPr>
      </w:pPr>
      <w:r>
        <w:rPr>
          <w:rFonts w:ascii="仿宋" w:hAnsi="仿宋" w:eastAsia="仿宋" w:cs="仿宋"/>
          <w:b/>
          <w:bCs/>
          <w:color w:val="000000"/>
        </w:rPr>
      </w:r>
      <w:r/>
    </w:p>
    <w:p>
      <w:pPr>
        <w:jc w:val="left"/>
        <w:spacing w:line="360" w:lineRule="auto"/>
        <w:widowControl/>
        <w:rPr>
          <w:rFonts w:ascii="仿宋" w:hAnsi="仿宋" w:eastAsia="仿宋" w:cs="仿宋"/>
          <w:b/>
          <w:bCs/>
          <w:color w:val="000000"/>
        </w:rPr>
      </w:pPr>
      <w:r>
        <w:rPr>
          <w:rFonts w:ascii="仿宋" w:hAnsi="仿宋" w:eastAsia="仿宋" w:cs="仿宋"/>
          <w:b/>
          <w:bCs/>
          <w:color w:val="000000"/>
        </w:rPr>
      </w:r>
      <w:r/>
    </w:p>
    <w:p>
      <w:pPr>
        <w:jc w:val="left"/>
        <w:spacing w:line="360" w:lineRule="auto"/>
        <w:widowControl/>
        <w:rPr>
          <w:rFonts w:ascii="仿宋" w:hAnsi="仿宋" w:eastAsia="仿宋" w:cs="仿宋"/>
          <w:b/>
          <w:bCs/>
          <w:color w:val="000000"/>
        </w:rPr>
      </w:pPr>
      <w:r>
        <w:rPr>
          <w:rFonts w:ascii="仿宋" w:hAnsi="仿宋" w:eastAsia="仿宋" w:cs="仿宋"/>
          <w:b/>
          <w:bCs/>
          <w:color w:val="000000"/>
        </w:rPr>
      </w:r>
      <w:r/>
    </w:p>
    <w:p>
      <w:pPr>
        <w:jc w:val="left"/>
        <w:spacing w:line="360" w:lineRule="auto"/>
        <w:widowControl/>
        <w:rPr>
          <w:rFonts w:ascii="仿宋" w:hAnsi="仿宋" w:eastAsia="仿宋" w:cs="仿宋"/>
          <w:b/>
          <w:bCs/>
          <w:color w:val="000000"/>
        </w:rPr>
      </w:pPr>
      <w:r>
        <w:rPr>
          <w:rFonts w:ascii="仿宋" w:hAnsi="仿宋" w:eastAsia="仿宋" w:cs="仿宋"/>
          <w:b/>
          <w:bCs/>
          <w:color w:val="000000"/>
        </w:rPr>
      </w:r>
      <w:r/>
    </w:p>
    <w:p>
      <w:pPr>
        <w:jc w:val="left"/>
        <w:spacing w:line="360" w:lineRule="auto"/>
        <w:widowControl/>
        <w:rPr>
          <w:rFonts w:ascii="仿宋" w:hAnsi="仿宋" w:eastAsia="仿宋" w:cs="仿宋"/>
          <w:b/>
          <w:bCs/>
          <w:color w:val="000000"/>
        </w:rPr>
      </w:pPr>
      <w:r>
        <w:rPr>
          <w:rFonts w:ascii="仿宋" w:hAnsi="仿宋" w:eastAsia="仿宋" w:cs="仿宋"/>
          <w:b/>
          <w:bCs/>
          <w:color w:val="000000"/>
        </w:rPr>
      </w:r>
      <w:r/>
    </w:p>
    <w:p>
      <w:pPr>
        <w:jc w:val="left"/>
        <w:spacing w:line="360" w:lineRule="auto"/>
        <w:widowControl/>
        <w:rPr>
          <w:rFonts w:ascii="仿宋" w:hAnsi="仿宋" w:eastAsia="仿宋" w:cs="仿宋"/>
          <w:b/>
          <w:bCs/>
          <w:color w:val="000000"/>
        </w:rPr>
      </w:pPr>
      <w:r>
        <w:rPr>
          <w:rFonts w:ascii="仿宋" w:hAnsi="仿宋" w:eastAsia="仿宋" w:cs="仿宋"/>
          <w:b/>
          <w:bCs/>
          <w:color w:val="000000"/>
        </w:rPr>
      </w:r>
      <w:r/>
    </w:p>
    <w:p>
      <w:pPr>
        <w:jc w:val="center"/>
        <w:spacing w:before="317" w:after="317" w:line="360" w:lineRule="auto"/>
        <w:rPr>
          <w:rFonts w:hint="eastAsia" w:ascii="宋体" w:hAnsi="宋体" w:eastAsia="宋体" w:cs="宋体"/>
          <w:b/>
          <w:bCs/>
        </w:rPr>
      </w:pPr>
      <w:r>
        <w:rPr>
          <w:rFonts w:hint="eastAsia" w:ascii="宋体" w:hAnsi="宋体" w:eastAsia="宋体" w:cs="宋体"/>
          <w:b/>
          <w:bCs/>
        </w:rPr>
        <w:t xml:space="preserve">中小企业声明函（服务）</w:t>
      </w:r>
      <w:r/>
    </w:p>
    <w:p>
      <w:pPr>
        <w:ind w:firstLine="420"/>
        <w:jc w:val="left"/>
        <w:spacing w:line="360" w:lineRule="auto"/>
        <w:rPr>
          <w:rFonts w:hint="eastAsia" w:ascii="宋体" w:hAnsi="宋体" w:eastAsia="宋体" w:cs="宋体"/>
        </w:rPr>
      </w:pPr>
      <w:r>
        <w:rPr>
          <w:rFonts w:hint="eastAsia" w:ascii="宋体" w:hAnsi="宋体" w:eastAsia="宋体" w:cs="宋体"/>
        </w:rPr>
        <w:t xml:space="preserve">本公司（联合体）郑重声明，根据《政府采购促进中小企业发展管理办法》（财库﹝2020﹞46号）的规定，本公司（联合体）参加</w:t>
      </w:r>
      <w:r>
        <w:rPr>
          <w:rFonts w:hint="eastAsia" w:ascii="宋体" w:hAnsi="宋体" w:eastAsia="宋体" w:cs="宋体"/>
          <w:u w:val="single"/>
        </w:rPr>
        <w:t xml:space="preserve">（单位名称）</w:t>
      </w:r>
      <w:r>
        <w:rPr>
          <w:rFonts w:hint="eastAsia" w:ascii="宋体" w:hAnsi="宋体" w:eastAsia="宋体" w:cs="宋体"/>
        </w:rPr>
        <w:t xml:space="preserve">的</w:t>
      </w:r>
      <w:r>
        <w:rPr>
          <w:rFonts w:hint="eastAsia" w:ascii="宋体" w:hAnsi="宋体" w:eastAsia="宋体" w:cs="宋体"/>
          <w:u w:val="single"/>
        </w:rPr>
        <w:t xml:space="preserve">（项目名称）</w:t>
      </w:r>
      <w:r>
        <w:rPr>
          <w:rFonts w:hint="eastAsia" w:ascii="宋体" w:hAnsi="宋体" w:eastAsia="宋体" w:cs="宋体"/>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hint="eastAsia" w:ascii="宋体" w:hAnsi="宋体" w:eastAsia="宋体" w:cs="宋体"/>
          <w:highlight w:val="none"/>
          <w:u w:val="single"/>
        </w:rPr>
      </w:pPr>
      <w:r>
        <w:rPr>
          <w:rFonts w:hint="eastAsia" w:ascii="宋体" w:hAnsi="宋体" w:eastAsia="宋体" w:cs="宋体"/>
        </w:rPr>
        <w:t xml:space="preserve">1.</w:t>
      </w:r>
      <w:r>
        <w:rPr>
          <w:rFonts w:hint="eastAsia" w:ascii="宋体" w:hAnsi="宋体" w:eastAsia="宋体" w:cs="宋体"/>
          <w:u w:val="single"/>
        </w:rPr>
        <w:t xml:space="preserve">（标的名称）</w:t>
      </w:r>
      <w:r>
        <w:rPr>
          <w:rFonts w:hint="eastAsia" w:ascii="宋体" w:hAnsi="宋体" w:eastAsia="宋体" w:cs="宋体"/>
        </w:rPr>
        <w:t xml:space="preserve">，属于</w:t>
      </w:r>
      <w:r>
        <w:rPr>
          <w:rFonts w:hint="eastAsia" w:ascii="宋体" w:hAnsi="宋体" w:eastAsia="宋体" w:cs="宋体"/>
          <w:u w:val="single"/>
        </w:rPr>
        <w:t xml:space="preserve">（</w:t>
      </w:r>
      <w:r>
        <w:rPr>
          <w:rFonts w:hint="eastAsia" w:ascii="宋体" w:hAnsi="宋体" w:eastAsia="宋体" w:cs="宋体"/>
          <w:i/>
          <w:iCs/>
          <w:color w:val="000000"/>
          <w:szCs w:val="21"/>
          <w:u w:val="single"/>
          <w:shd w:val="clear" w:color="auto" w:fill="ffffff"/>
        </w:rPr>
        <w:t xml:space="preserve">其他未列明行业</w:t>
      </w:r>
      <w:r>
        <w:rPr>
          <w:rFonts w:hint="eastAsia" w:ascii="宋体" w:hAnsi="宋体" w:eastAsia="宋体" w:cs="宋体"/>
          <w:highlight w:val="none"/>
          <w:u w:val="single"/>
        </w:rPr>
        <w:t xml:space="preserve">）（该行业类别不可修改）</w:t>
      </w:r>
      <w:r>
        <w:rPr>
          <w:rFonts w:hint="eastAsia" w:ascii="宋体" w:hAnsi="宋体" w:eastAsia="宋体" w:cs="宋体"/>
          <w:highlight w:val="none"/>
        </w:rPr>
        <w:t xml:space="preserve">；承建（承接）企业为</w:t>
      </w:r>
      <w:r>
        <w:rPr>
          <w:rFonts w:hint="eastAsia" w:ascii="宋体" w:hAnsi="宋体" w:eastAsia="宋体" w:cs="宋体"/>
          <w:highlight w:val="none"/>
          <w:u w:val="single"/>
        </w:rPr>
        <w:t xml:space="preserve">（企业名称）</w:t>
      </w:r>
      <w:r>
        <w:rPr>
          <w:rFonts w:hint="eastAsia" w:ascii="宋体" w:hAnsi="宋体" w:eastAsia="宋体" w:cs="宋体"/>
          <w:highlight w:val="none"/>
        </w:rPr>
        <w:t xml:space="preserve">，从业人员人，营业收入为万元，资产总额为万元</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"br1" </w:instrText>
      </w:r>
      <w:r>
        <w:rPr>
          <w:rFonts w:hint="eastAsia" w:ascii="宋体" w:hAnsi="宋体" w:eastAsia="宋体" w:cs="宋体"/>
          <w:highlight w:val="none"/>
        </w:rPr>
        <w:fldChar w:fldCharType="separate"/>
      </w:r>
      <w:r>
        <w:rPr>
          <w:rFonts w:hint="eastAsia" w:ascii="宋体" w:hAnsi="宋体" w:eastAsia="宋体" w:cs="宋体"/>
          <w:color w:val="000000"/>
          <w:spacing w:val="-1"/>
          <w:highlight w:val="none"/>
          <w:vertAlign w:val="superscript"/>
        </w:rPr>
        <w:t xml:space="preserve">1</w:t>
      </w:r>
      <w:r>
        <w:rPr>
          <w:rFonts w:hint="eastAsia" w:ascii="宋体" w:hAnsi="宋体" w:eastAsia="宋体" w:cs="宋体"/>
          <w:color w:val="000000"/>
          <w:spacing w:val="-1"/>
          <w:highlight w:val="none"/>
          <w:vertAlign w:val="superscript"/>
        </w:rPr>
        <w:fldChar w:fldCharType="end"/>
      </w:r>
      <w:r>
        <w:rPr>
          <w:rFonts w:hint="eastAsia" w:ascii="宋体" w:hAnsi="宋体" w:eastAsia="宋体" w:cs="宋体"/>
          <w:highlight w:val="none"/>
        </w:rPr>
        <w:t xml:space="preserve">，属于</w:t>
      </w:r>
      <w:r>
        <w:rPr>
          <w:rFonts w:hint="eastAsia" w:ascii="宋体" w:hAnsi="宋体" w:eastAsia="宋体" w:cs="宋体"/>
          <w:highlight w:val="none"/>
          <w:u w:val="single"/>
        </w:rPr>
        <w:t xml:space="preserve">（中型企业、小型企业、微型企业）；</w:t>
      </w:r>
      <w:r/>
    </w:p>
    <w:p>
      <w:pPr>
        <w:ind w:firstLine="420"/>
        <w:jc w:val="left"/>
        <w:spacing w:line="360" w:lineRule="auto"/>
        <w:rPr>
          <w:rFonts w:hint="eastAsia" w:ascii="宋体" w:hAnsi="宋体" w:eastAsia="宋体" w:cs="宋体"/>
          <w:u w:val="single"/>
        </w:rPr>
      </w:pPr>
      <w:r>
        <w:rPr>
          <w:rFonts w:hint="eastAsia" w:ascii="宋体" w:hAnsi="宋体" w:eastAsia="宋体" w:cs="宋体"/>
          <w:highlight w:val="none"/>
        </w:rPr>
        <w:t xml:space="preserve">2.</w:t>
      </w:r>
      <w:r>
        <w:rPr>
          <w:rFonts w:hint="eastAsia" w:ascii="宋体" w:hAnsi="宋体" w:eastAsia="宋体" w:cs="宋体"/>
          <w:highlight w:val="none"/>
          <w:u w:val="single"/>
        </w:rPr>
        <w:t xml:space="preserve">（标的名称）</w:t>
      </w:r>
      <w:r>
        <w:rPr>
          <w:rFonts w:hint="eastAsia" w:ascii="宋体" w:hAnsi="宋体" w:eastAsia="宋体" w:cs="宋体"/>
          <w:highlight w:val="none"/>
        </w:rPr>
        <w:t xml:space="preserve">，属于</w:t>
      </w:r>
      <w:r>
        <w:rPr>
          <w:rFonts w:hint="eastAsia" w:ascii="宋体" w:hAnsi="宋体" w:eastAsia="宋体" w:cs="宋体"/>
          <w:highlight w:val="none"/>
          <w:u w:val="single"/>
        </w:rPr>
        <w:t xml:space="preserve">（</w:t>
      </w:r>
      <w:r>
        <w:rPr>
          <w:rFonts w:hint="eastAsia" w:ascii="宋体" w:hAnsi="宋体" w:eastAsia="宋体" w:cs="宋体"/>
          <w:i/>
          <w:iCs/>
          <w:color w:val="000000"/>
          <w:szCs w:val="21"/>
          <w:highlight w:val="none"/>
          <w:u w:val="single"/>
          <w:shd w:val="clear" w:color="auto" w:fill="ffffff"/>
        </w:rPr>
        <w:t xml:space="preserve">其他未列明行业</w:t>
      </w:r>
      <w:r>
        <w:rPr>
          <w:rFonts w:hint="eastAsia" w:ascii="宋体" w:hAnsi="宋体" w:eastAsia="宋体" w:cs="宋体"/>
          <w:highlight w:val="none"/>
          <w:u w:val="single"/>
        </w:rPr>
        <w:t xml:space="preserve">）（该行业类别不可修改）</w:t>
      </w:r>
      <w:r>
        <w:rPr>
          <w:rFonts w:hint="eastAsia" w:ascii="宋体" w:hAnsi="宋体" w:eastAsia="宋体" w:cs="宋体"/>
          <w:highlight w:val="none"/>
        </w:rPr>
        <w:t xml:space="preserve">；承建（承接）企业为</w:t>
      </w:r>
      <w:r>
        <w:rPr>
          <w:rFonts w:hint="eastAsia" w:ascii="宋体" w:hAnsi="宋体" w:eastAsia="宋体" w:cs="宋体"/>
          <w:highlight w:val="none"/>
          <w:u w:val="single"/>
        </w:rPr>
        <w:t xml:space="preserve">（企业名称）</w:t>
      </w:r>
      <w:r>
        <w:rPr>
          <w:rFonts w:hint="eastAsia" w:ascii="宋体" w:hAnsi="宋体" w:eastAsia="宋体" w:cs="宋体"/>
          <w:highlight w:val="none"/>
        </w:rPr>
        <w:t xml:space="preserve">，从业人员人，营业收入为万元，资产总额为万元，属于</w:t>
      </w:r>
      <w:r>
        <w:rPr>
          <w:rFonts w:hint="eastAsia" w:ascii="宋体" w:hAnsi="宋体" w:eastAsia="宋体" w:cs="宋体"/>
          <w:highlight w:val="none"/>
          <w:u w:val="single"/>
        </w:rPr>
        <w:t xml:space="preserve">（中型企</w:t>
      </w:r>
      <w:r>
        <w:rPr>
          <w:rFonts w:hint="eastAsia" w:ascii="宋体" w:hAnsi="宋体" w:eastAsia="宋体" w:cs="宋体"/>
          <w:u w:val="single"/>
        </w:rPr>
        <w:t xml:space="preserve">业、小型企业、微型企业）；</w:t>
      </w:r>
      <w:r/>
    </w:p>
    <w:p>
      <w:pPr>
        <w:ind w:firstLine="420"/>
        <w:jc w:val="left"/>
        <w:spacing w:line="360" w:lineRule="auto"/>
        <w:rPr>
          <w:rFonts w:hint="eastAsia" w:ascii="宋体" w:hAnsi="宋体" w:eastAsia="宋体" w:cs="宋体"/>
        </w:rPr>
      </w:pPr>
      <w:r>
        <w:rPr>
          <w:rFonts w:hint="eastAsia" w:ascii="宋体" w:hAnsi="宋体" w:eastAsia="宋体" w:cs="宋体"/>
        </w:rPr>
        <w:t xml:space="preserve">……</w:t>
      </w:r>
      <w:r/>
    </w:p>
    <w:p>
      <w:pPr>
        <w:ind w:firstLine="420"/>
        <w:jc w:val="left"/>
        <w:spacing w:line="360" w:lineRule="auto"/>
        <w:rPr>
          <w:rFonts w:hint="eastAsia" w:ascii="宋体" w:hAnsi="宋体" w:eastAsia="宋体" w:cs="宋体"/>
        </w:rPr>
      </w:pPr>
      <w:r>
        <w:rPr>
          <w:rFonts w:hint="eastAsia" w:ascii="宋体" w:hAnsi="宋体" w:eastAsia="宋体" w:cs="宋体"/>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eastAsia="宋体" w:cs="宋体"/>
        </w:rPr>
      </w:pPr>
      <w:r>
        <w:rPr>
          <w:rFonts w:hint="eastAsia" w:ascii="宋体" w:hAnsi="宋体" w:eastAsia="宋体" w:cs="宋体"/>
        </w:rPr>
        <w:t xml:space="preserve">本企业对上述声明内容的真实性负责。如有虚假，将依法承担相应责任。</w:t>
      </w:r>
      <w:r/>
    </w:p>
    <w:p>
      <w:pPr>
        <w:spacing w:line="360" w:lineRule="auto"/>
        <w:rPr>
          <w:rFonts w:hint="eastAsia" w:ascii="宋体" w:hAnsi="宋体" w:eastAsia="宋体" w:cs="宋体"/>
        </w:rPr>
      </w:pPr>
      <w:r>
        <w:rPr>
          <w:rFonts w:hint="eastAsia" w:ascii="宋体" w:hAnsi="宋体" w:eastAsia="宋体" w:cs="宋体"/>
          <w:b/>
          <w:bCs/>
        </w:rPr>
        <w:t xml:space="preserve">注</w:t>
      </w:r>
      <w:r>
        <w:rPr>
          <w:rFonts w:hint="eastAsia" w:ascii="宋体" w:hAnsi="宋体" w:eastAsia="宋体" w:cs="宋体"/>
        </w:rPr>
        <w:t xml:space="preserve">：1、从业人员（不仅指在职职工）、营业收入、资产总额填报上一年度数据，无上一年度数据的新成立企业可不填报。</w:t>
      </w:r>
      <w:r/>
    </w:p>
    <w:p>
      <w:pPr>
        <w:ind w:firstLine="420"/>
        <w:spacing w:line="360" w:lineRule="auto"/>
        <w:rPr>
          <w:rFonts w:hint="eastAsia" w:ascii="宋体" w:hAnsi="宋体" w:eastAsia="宋体" w:cs="宋体"/>
        </w:rPr>
      </w:pPr>
      <w:r>
        <w:rPr>
          <w:rFonts w:hint="eastAsia" w:ascii="宋体" w:hAnsi="宋体" w:eastAsia="宋体" w:cs="宋体"/>
        </w:rPr>
        <w:t xml:space="preserve">2、供应商如不提供此声明函，价格将不做相应扣除。</w:t>
      </w:r>
      <w:r/>
    </w:p>
    <w:p>
      <w:pPr>
        <w:ind w:firstLine="420"/>
        <w:spacing w:line="360" w:lineRule="auto"/>
        <w:rPr>
          <w:rFonts w:hint="eastAsia" w:ascii="宋体" w:hAnsi="宋体" w:eastAsia="宋体" w:cs="宋体"/>
        </w:rPr>
      </w:pPr>
      <w:r>
        <w:rPr>
          <w:rFonts w:hint="eastAsia" w:ascii="宋体" w:hAnsi="宋体" w:eastAsia="宋体" w:cs="宋体"/>
        </w:rPr>
        <w:t xml:space="preserve">3、企业声明函请完整填写，中标后将公示。</w:t>
      </w:r>
      <w:r/>
    </w:p>
    <w:p>
      <w:pPr>
        <w:ind w:firstLine="420"/>
        <w:jc w:val="left"/>
        <w:spacing w:line="360" w:lineRule="auto"/>
        <w:rPr>
          <w:rFonts w:hint="eastAsia" w:ascii="宋体" w:hAnsi="宋体" w:eastAsia="宋体" w:cs="宋体"/>
        </w:rPr>
      </w:pPr>
      <w:r>
        <w:rPr>
          <w:rFonts w:hint="eastAsia" w:ascii="宋体" w:hAnsi="宋体" w:eastAsia="宋体" w:cs="宋体"/>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ascii="宋体" w:hAnsi="宋体" w:eastAsia="宋体" w:cs="宋体"/>
        </w:rPr>
      </w:pPr>
      <w:r>
        <w:rPr>
          <w:rFonts w:hint="eastAsia" w:ascii="宋体" w:hAnsi="宋体" w:eastAsia="宋体" w:cs="宋体"/>
        </w:rPr>
        <w:t xml:space="preserve">5、中小企业不得属于大企业的分支机构，不得存在控股股东为大企业的情形，不得存在与大企业的负责人为同一人的情形。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eastAsia="宋体" w:cs="宋体"/>
          <w:szCs w:val="21"/>
        </w:rPr>
      </w:pPr>
      <w:r>
        <w:rPr>
          <w:rFonts w:hint="eastAsia" w:ascii="宋体" w:hAnsi="宋体" w:eastAsia="宋体" w:cs="宋体"/>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eastAsia="宋体" w:cs="宋体"/>
          <w:bCs/>
          <w:szCs w:val="21"/>
          <w:shd w:val="clear" w:color="auto" w:fill="ffffff"/>
        </w:rPr>
        <w:t xml:space="preserve">。</w:t>
      </w:r>
      <w:r/>
    </w:p>
    <w:p>
      <w:pPr>
        <w:ind w:firstLine="5250"/>
        <w:spacing w:line="360" w:lineRule="auto"/>
        <w:rPr>
          <w:rFonts w:hint="eastAsia" w:ascii="宋体" w:hAnsi="宋体" w:eastAsia="宋体" w:cs="宋体"/>
        </w:rPr>
      </w:pPr>
      <w:r>
        <w:rPr>
          <w:rFonts w:hint="eastAsia" w:ascii="宋体" w:hAnsi="宋体" w:eastAsia="宋体" w:cs="宋体"/>
        </w:rPr>
        <w:t xml:space="preserve">企业名称（盖章）：</w:t>
      </w:r>
      <w:r/>
    </w:p>
    <w:p>
      <w:pPr>
        <w:jc w:val="center"/>
        <w:spacing w:line="360" w:lineRule="auto"/>
        <w:rPr>
          <w:rFonts w:ascii="仿宋" w:hAnsi="仿宋" w:eastAsia="仿宋" w:cs="仿宋"/>
        </w:rPr>
      </w:pPr>
      <w:r>
        <w:rPr>
          <w:rFonts w:hint="eastAsia" w:ascii="宋体" w:hAnsi="宋体" w:eastAsia="宋体" w:cs="宋体"/>
        </w:rPr>
        <w:t xml:space="preserve">                             日 期：</w:t>
      </w:r>
      <w:r/>
    </w:p>
    <w:p>
      <w:pPr>
        <w:jc w:val="center"/>
        <w:spacing w:line="360" w:lineRule="auto"/>
        <w:rPr>
          <w:rStyle w:val="844"/>
          <w:rFonts w:ascii="仿宋" w:hAnsi="仿宋" w:eastAsia="仿宋" w:cs="仿宋"/>
          <w:color w:val="666666"/>
          <w:szCs w:val="21"/>
        </w:rPr>
      </w:pPr>
      <w:r>
        <w:rPr>
          <w:rFonts w:ascii="仿宋" w:hAnsi="仿宋" w:eastAsia="仿宋" w:cs="仿宋"/>
          <w:color w:val="666666"/>
          <w:szCs w:val="21"/>
        </w:rPr>
      </w:r>
      <w:r/>
    </w:p>
    <w:p>
      <w:pPr>
        <w:jc w:val="center"/>
        <w:spacing w:line="360" w:lineRule="auto"/>
        <w:rPr>
          <w:rStyle w:val="844"/>
          <w:rFonts w:ascii="仿宋" w:hAnsi="仿宋" w:eastAsia="仿宋" w:cs="仿宋"/>
          <w:color w:val="666666"/>
          <w:szCs w:val="21"/>
        </w:rPr>
      </w:pPr>
      <w:r>
        <w:rPr>
          <w:rFonts w:ascii="仿宋" w:hAnsi="仿宋" w:eastAsia="仿宋" w:cs="仿宋"/>
          <w:color w:val="666666"/>
          <w:szCs w:val="21"/>
        </w:rPr>
      </w:r>
      <w:r/>
    </w:p>
    <w:p>
      <w:pPr>
        <w:jc w:val="center"/>
        <w:spacing w:line="360" w:lineRule="auto"/>
        <w:rPr>
          <w:rStyle w:val="844"/>
          <w:rFonts w:hint="eastAsia" w:ascii="宋体" w:hAnsi="宋体" w:eastAsia="宋体" w:cs="宋体"/>
          <w:szCs w:val="21"/>
        </w:rPr>
      </w:pPr>
      <w:r>
        <w:rPr>
          <w:rStyle w:val="844"/>
          <w:rFonts w:hint="eastAsia" w:ascii="宋体" w:hAnsi="宋体" w:eastAsia="宋体" w:cs="宋体"/>
          <w:color w:val="666666"/>
          <w:szCs w:val="21"/>
        </w:rPr>
        <w:t xml:space="preserve">中小微企业划型标准</w:t>
      </w:r>
      <w:r/>
    </w:p>
    <w:p>
      <w:pPr>
        <w:pStyle w:val="840"/>
        <w:ind w:firstLine="420"/>
        <w:spacing w:before="300" w:after="452" w:line="360" w:lineRule="auto"/>
        <w:widowControl/>
        <w:rPr>
          <w:rFonts w:hint="eastAsia" w:ascii="宋体" w:hAnsi="宋体" w:eastAsia="宋体" w:cs="宋体"/>
          <w:color w:val="666666"/>
          <w:sz w:val="21"/>
          <w:szCs w:val="21"/>
        </w:rPr>
      </w:pPr>
      <w:r>
        <w:rPr>
          <w:rFonts w:hint="eastAsia" w:ascii="宋体" w:hAnsi="宋体" w:eastAsia="宋体" w:cs="宋体"/>
          <w:color w:val="666666"/>
          <w:sz w:val="21"/>
          <w:szCs w:val="21"/>
        </w:rPr>
        <w:t xml:space="preserve">    </w:t>
      </w:r>
      <w:r>
        <w:rPr>
          <w:rStyle w:val="844"/>
          <w:rFonts w:hint="eastAsia" w:ascii="宋体" w:hAnsi="宋体" w:eastAsia="宋体" w:cs="宋体"/>
          <w:color w:val="666666"/>
          <w:sz w:val="21"/>
          <w:szCs w:val="21"/>
        </w:rPr>
        <w:t xml:space="preserve">中小微企业划型标准如下：</w:t>
      </w:r>
      <w:r/>
    </w:p>
    <w:tbl>
      <w:tblPr>
        <w:tblStyle w:val="819"/>
        <w:tblW w:w="0" w:type="auto"/>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83"/>
        <w:gridCol w:w="1903"/>
        <w:gridCol w:w="1297"/>
        <w:gridCol w:w="2050"/>
        <w:gridCol w:w="1750"/>
        <w:gridCol w:w="1255"/>
      </w:tblGrid>
      <w:tr>
        <w:trPr>
          <w:jc w:val="center"/>
          <w:tblCellSpacing w:w="15" w:type="dxa"/>
          <w:trHeight w:val="1107"/>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538"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73"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267" w:type="dxa"/>
            <w:vAlign w:val="center"/>
            <w:textDirection w:val="lrTb"/>
            <w:noWrap w:val="false"/>
          </w:tcPr>
          <w:p>
            <w:pPr>
              <w:pStyle w:val="840"/>
              <w:ind w:firstLine="42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2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2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210" w:type="dxa"/>
            <w:vAlign w:val="center"/>
            <w:textDirection w:val="lrTb"/>
            <w:noWrap w:val="false"/>
          </w:tcPr>
          <w:p>
            <w:pPr>
              <w:pStyle w:val="840"/>
              <w:ind w:firstLine="42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微型</w:t>
            </w:r>
            <w:r/>
          </w:p>
        </w:tc>
      </w:tr>
      <w:tr>
        <w:trPr>
          <w:jc w:val="center"/>
          <w:tblCellSpacing w:w="15" w:type="dxa"/>
          <w:trHeight w:val="549"/>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38"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3"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67"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2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1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Y＜50</w:t>
            </w:r>
            <w:r/>
          </w:p>
        </w:tc>
      </w:tr>
      <w:tr>
        <w:trPr>
          <w:jc w:val="center"/>
          <w:tblCellSpacing w:w="15" w:type="dxa"/>
          <w:trHeight w:val="327"/>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38" w:type="dxa"/>
            <w:vAlign w:val="center"/>
            <w:vMerge w:val="restart"/>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3"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67"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2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1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X＜20</w:t>
            </w:r>
            <w:r/>
          </w:p>
        </w:tc>
      </w:tr>
      <w:tr>
        <w:trPr>
          <w:jc w:val="center"/>
          <w:tblCellSpacing w:w="15" w:type="dxa"/>
          <w:trHeight w:val="549"/>
        </w:trPr>
        <w:tc>
          <w:tcPr>
            <w:tcBorders>
              <w:top w:val="none" w:color="000000" w:sz="4" w:space="0"/>
              <w:left w:val="single" w:color="auto" w:sz="6" w:space="0"/>
              <w:bottom w:val="single" w:color="999999" w:sz="6" w:space="0"/>
              <w:right w:val="single" w:color="999999" w:sz="6" w:space="0"/>
            </w:tcBorders>
            <w:tcW w:w="1538" w:type="dxa"/>
            <w:vAlign w:val="center"/>
            <w:vMerge w:val="continue"/>
            <w:textDirection w:val="lrTb"/>
            <w:noWrap w:val="false"/>
          </w:tcPr>
          <w:p>
            <w:pPr>
              <w:jc w:val="center"/>
              <w:widowControl/>
              <w:rPr>
                <w:rFonts w:hint="eastAsia" w:ascii="宋体" w:hAnsi="宋体" w:eastAsia="宋体" w:cs="宋体"/>
                <w:color w:val="666666"/>
                <w:szCs w:val="21"/>
              </w:rPr>
            </w:pPr>
            <w:r>
              <w:rPr>
                <w:rFonts w:hint="eastAsia"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3"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67"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2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1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Y＜300</w:t>
            </w:r>
            <w:r/>
          </w:p>
        </w:tc>
      </w:tr>
      <w:tr>
        <w:trPr>
          <w:jc w:val="center"/>
          <w:tblCellSpacing w:w="15" w:type="dxa"/>
          <w:trHeight w:val="549"/>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38" w:type="dxa"/>
            <w:vAlign w:val="center"/>
            <w:vMerge w:val="restart"/>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3"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67"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2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1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Y＜300</w:t>
            </w:r>
            <w:r/>
          </w:p>
        </w:tc>
      </w:tr>
      <w:tr>
        <w:trPr>
          <w:jc w:val="center"/>
          <w:tblCellSpacing w:w="15" w:type="dxa"/>
          <w:trHeight w:val="549"/>
        </w:trPr>
        <w:tc>
          <w:tcPr>
            <w:tcBorders>
              <w:top w:val="none" w:color="000000" w:sz="4" w:space="0"/>
              <w:left w:val="single" w:color="auto" w:sz="6" w:space="0"/>
              <w:bottom w:val="single" w:color="999999" w:sz="6" w:space="0"/>
              <w:right w:val="single" w:color="999999" w:sz="6" w:space="0"/>
            </w:tcBorders>
            <w:tcW w:w="1538" w:type="dxa"/>
            <w:vAlign w:val="center"/>
            <w:vMerge w:val="continue"/>
            <w:textDirection w:val="lrTb"/>
            <w:noWrap w:val="false"/>
          </w:tcPr>
          <w:p>
            <w:pPr>
              <w:jc w:val="center"/>
              <w:widowControl/>
              <w:rPr>
                <w:rFonts w:hint="eastAsia" w:ascii="宋体" w:hAnsi="宋体" w:eastAsia="宋体" w:cs="宋体"/>
                <w:color w:val="666666"/>
                <w:szCs w:val="21"/>
              </w:rPr>
            </w:pPr>
            <w:r>
              <w:rPr>
                <w:rFonts w:hint="eastAsia"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3"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67"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2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1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Z＜300</w:t>
            </w:r>
            <w:r/>
          </w:p>
        </w:tc>
      </w:tr>
      <w:tr>
        <w:trPr>
          <w:jc w:val="center"/>
          <w:tblCellSpacing w:w="15" w:type="dxa"/>
          <w:trHeight w:val="327"/>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38" w:type="dxa"/>
            <w:vAlign w:val="center"/>
            <w:vMerge w:val="restart"/>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3"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67"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2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1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X＜5</w:t>
            </w:r>
            <w:r/>
          </w:p>
        </w:tc>
      </w:tr>
      <w:tr>
        <w:trPr>
          <w:jc w:val="center"/>
          <w:tblCellSpacing w:w="15" w:type="dxa"/>
          <w:trHeight w:val="549"/>
        </w:trPr>
        <w:tc>
          <w:tcPr>
            <w:tcBorders>
              <w:top w:val="none" w:color="000000" w:sz="4" w:space="0"/>
              <w:left w:val="single" w:color="auto" w:sz="6" w:space="0"/>
              <w:bottom w:val="single" w:color="999999" w:sz="6" w:space="0"/>
              <w:right w:val="single" w:color="999999" w:sz="6" w:space="0"/>
            </w:tcBorders>
            <w:tcW w:w="1538" w:type="dxa"/>
            <w:vAlign w:val="center"/>
            <w:vMerge w:val="continue"/>
            <w:textDirection w:val="lrTb"/>
            <w:noWrap w:val="false"/>
          </w:tcPr>
          <w:p>
            <w:pPr>
              <w:jc w:val="center"/>
              <w:widowControl/>
              <w:rPr>
                <w:rFonts w:hint="eastAsia" w:ascii="宋体" w:hAnsi="宋体" w:eastAsia="宋体" w:cs="宋体"/>
                <w:color w:val="666666"/>
                <w:szCs w:val="21"/>
              </w:rPr>
            </w:pPr>
            <w:r>
              <w:rPr>
                <w:rFonts w:hint="eastAsia"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3"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67"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2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1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Y＜1000</w:t>
            </w:r>
            <w:r/>
          </w:p>
        </w:tc>
      </w:tr>
      <w:tr>
        <w:trPr>
          <w:jc w:val="center"/>
          <w:tblCellSpacing w:w="15" w:type="dxa"/>
          <w:trHeight w:val="327"/>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38" w:type="dxa"/>
            <w:vAlign w:val="center"/>
            <w:vMerge w:val="restart"/>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3"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67"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2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1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X＜10</w:t>
            </w:r>
            <w:r/>
          </w:p>
        </w:tc>
      </w:tr>
      <w:tr>
        <w:trPr>
          <w:jc w:val="center"/>
          <w:tblCellSpacing w:w="15" w:type="dxa"/>
          <w:trHeight w:val="549"/>
        </w:trPr>
        <w:tc>
          <w:tcPr>
            <w:tcBorders>
              <w:top w:val="none" w:color="000000" w:sz="4" w:space="0"/>
              <w:left w:val="single" w:color="auto" w:sz="6" w:space="0"/>
              <w:bottom w:val="single" w:color="999999" w:sz="6" w:space="0"/>
              <w:right w:val="single" w:color="999999" w:sz="6" w:space="0"/>
            </w:tcBorders>
            <w:tcW w:w="1538" w:type="dxa"/>
            <w:vAlign w:val="center"/>
            <w:vMerge w:val="continue"/>
            <w:textDirection w:val="lrTb"/>
            <w:noWrap w:val="false"/>
          </w:tcPr>
          <w:p>
            <w:pPr>
              <w:jc w:val="center"/>
              <w:widowControl/>
              <w:rPr>
                <w:rFonts w:hint="eastAsia" w:ascii="宋体" w:hAnsi="宋体" w:eastAsia="宋体" w:cs="宋体"/>
                <w:color w:val="666666"/>
                <w:szCs w:val="21"/>
              </w:rPr>
            </w:pPr>
            <w:r>
              <w:rPr>
                <w:rFonts w:hint="eastAsia"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3"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67"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2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1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Y＜100</w:t>
            </w:r>
            <w:r/>
          </w:p>
        </w:tc>
      </w:tr>
      <w:tr>
        <w:trPr>
          <w:jc w:val="center"/>
          <w:tblCellSpacing w:w="15" w:type="dxa"/>
          <w:trHeight w:val="327"/>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38" w:type="dxa"/>
            <w:vAlign w:val="center"/>
            <w:vMerge w:val="restart"/>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3"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67"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2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1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X＜20</w:t>
            </w:r>
            <w:r/>
          </w:p>
        </w:tc>
      </w:tr>
      <w:tr>
        <w:trPr>
          <w:jc w:val="center"/>
          <w:tblCellSpacing w:w="15" w:type="dxa"/>
          <w:trHeight w:val="549"/>
        </w:trPr>
        <w:tc>
          <w:tcPr>
            <w:tcBorders>
              <w:top w:val="none" w:color="000000" w:sz="4" w:space="0"/>
              <w:left w:val="single" w:color="auto" w:sz="6" w:space="0"/>
              <w:bottom w:val="single" w:color="999999" w:sz="6" w:space="0"/>
              <w:right w:val="single" w:color="999999" w:sz="6" w:space="0"/>
            </w:tcBorders>
            <w:tcW w:w="1538" w:type="dxa"/>
            <w:vAlign w:val="center"/>
            <w:vMerge w:val="continue"/>
            <w:textDirection w:val="lrTb"/>
            <w:noWrap w:val="false"/>
          </w:tcPr>
          <w:p>
            <w:pPr>
              <w:jc w:val="center"/>
              <w:widowControl/>
              <w:rPr>
                <w:rFonts w:hint="eastAsia" w:ascii="宋体" w:hAnsi="宋体" w:eastAsia="宋体" w:cs="宋体"/>
                <w:color w:val="666666"/>
                <w:szCs w:val="21"/>
              </w:rPr>
            </w:pPr>
            <w:r>
              <w:rPr>
                <w:rFonts w:hint="eastAsia"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3"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67"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2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1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Y＜200</w:t>
            </w:r>
            <w:r/>
          </w:p>
        </w:tc>
      </w:tr>
      <w:tr>
        <w:trPr>
          <w:jc w:val="center"/>
          <w:tblCellSpacing w:w="15" w:type="dxa"/>
          <w:trHeight w:val="327"/>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38" w:type="dxa"/>
            <w:vAlign w:val="center"/>
            <w:vMerge w:val="restart"/>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3"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67"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2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1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X＜20</w:t>
            </w:r>
            <w:r/>
          </w:p>
        </w:tc>
      </w:tr>
      <w:tr>
        <w:trPr>
          <w:jc w:val="center"/>
          <w:tblCellSpacing w:w="15" w:type="dxa"/>
          <w:trHeight w:val="549"/>
        </w:trPr>
        <w:tc>
          <w:tcPr>
            <w:tcBorders>
              <w:top w:val="none" w:color="000000" w:sz="4" w:space="0"/>
              <w:left w:val="single" w:color="auto" w:sz="6" w:space="0"/>
              <w:bottom w:val="single" w:color="999999" w:sz="6" w:space="0"/>
              <w:right w:val="single" w:color="999999" w:sz="6" w:space="0"/>
            </w:tcBorders>
            <w:tcW w:w="1538" w:type="dxa"/>
            <w:vAlign w:val="center"/>
            <w:vMerge w:val="continue"/>
            <w:textDirection w:val="lrTb"/>
            <w:noWrap w:val="false"/>
          </w:tcPr>
          <w:p>
            <w:pPr>
              <w:jc w:val="center"/>
              <w:widowControl/>
              <w:rPr>
                <w:rFonts w:hint="eastAsia" w:ascii="宋体" w:hAnsi="宋体" w:eastAsia="宋体" w:cs="宋体"/>
                <w:color w:val="666666"/>
                <w:szCs w:val="21"/>
              </w:rPr>
            </w:pPr>
            <w:r>
              <w:rPr>
                <w:rFonts w:hint="eastAsia"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3"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67"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2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1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Y＜100</w:t>
            </w:r>
            <w:r/>
          </w:p>
        </w:tc>
      </w:tr>
      <w:tr>
        <w:trPr>
          <w:jc w:val="center"/>
          <w:tblCellSpacing w:w="15" w:type="dxa"/>
          <w:trHeight w:val="33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38" w:type="dxa"/>
            <w:vAlign w:val="center"/>
            <w:vMerge w:val="restart"/>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3"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67"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2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1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X＜20</w:t>
            </w:r>
            <w:r/>
          </w:p>
        </w:tc>
      </w:tr>
      <w:tr>
        <w:trPr>
          <w:jc w:val="center"/>
          <w:tblCellSpacing w:w="15" w:type="dxa"/>
          <w:trHeight w:val="549"/>
        </w:trPr>
        <w:tc>
          <w:tcPr>
            <w:tcBorders>
              <w:top w:val="none" w:color="000000" w:sz="4" w:space="0"/>
              <w:left w:val="single" w:color="auto" w:sz="6" w:space="0"/>
              <w:bottom w:val="single" w:color="999999" w:sz="6" w:space="0"/>
              <w:right w:val="single" w:color="999999" w:sz="6" w:space="0"/>
            </w:tcBorders>
            <w:tcW w:w="1538" w:type="dxa"/>
            <w:vAlign w:val="center"/>
            <w:vMerge w:val="continue"/>
            <w:textDirection w:val="lrTb"/>
            <w:noWrap w:val="false"/>
          </w:tcPr>
          <w:p>
            <w:pPr>
              <w:jc w:val="center"/>
              <w:widowControl/>
              <w:rPr>
                <w:rFonts w:hint="eastAsia" w:ascii="宋体" w:hAnsi="宋体" w:eastAsia="宋体" w:cs="宋体"/>
                <w:color w:val="666666"/>
                <w:szCs w:val="21"/>
              </w:rPr>
            </w:pPr>
            <w:r>
              <w:rPr>
                <w:rFonts w:hint="eastAsia"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3"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67"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2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1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Y＜100</w:t>
            </w:r>
            <w:r/>
          </w:p>
        </w:tc>
      </w:tr>
      <w:tr>
        <w:trPr>
          <w:jc w:val="center"/>
          <w:tblCellSpacing w:w="15" w:type="dxa"/>
          <w:trHeight w:val="327"/>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38" w:type="dxa"/>
            <w:vAlign w:val="center"/>
            <w:vMerge w:val="restart"/>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3"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67"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2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1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X＜10</w:t>
            </w:r>
            <w:r/>
          </w:p>
        </w:tc>
      </w:tr>
      <w:tr>
        <w:trPr>
          <w:jc w:val="center"/>
          <w:tblCellSpacing w:w="15" w:type="dxa"/>
          <w:trHeight w:val="549"/>
        </w:trPr>
        <w:tc>
          <w:tcPr>
            <w:tcBorders>
              <w:top w:val="none" w:color="000000" w:sz="4" w:space="0"/>
              <w:left w:val="single" w:color="auto" w:sz="6" w:space="0"/>
              <w:bottom w:val="single" w:color="999999" w:sz="6" w:space="0"/>
              <w:right w:val="single" w:color="999999" w:sz="6" w:space="0"/>
            </w:tcBorders>
            <w:tcW w:w="1538" w:type="dxa"/>
            <w:vAlign w:val="center"/>
            <w:vMerge w:val="continue"/>
            <w:textDirection w:val="lrTb"/>
            <w:noWrap w:val="false"/>
          </w:tcPr>
          <w:p>
            <w:pPr>
              <w:jc w:val="center"/>
              <w:widowControl/>
              <w:rPr>
                <w:rFonts w:hint="eastAsia" w:ascii="宋体" w:hAnsi="宋体" w:eastAsia="宋体" w:cs="宋体"/>
                <w:color w:val="666666"/>
                <w:szCs w:val="21"/>
              </w:rPr>
            </w:pPr>
            <w:r>
              <w:rPr>
                <w:rFonts w:hint="eastAsia"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3"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67"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2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1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Y＜100</w:t>
            </w:r>
            <w:r/>
          </w:p>
        </w:tc>
      </w:tr>
      <w:tr>
        <w:trPr>
          <w:jc w:val="center"/>
          <w:tblCellSpacing w:w="15" w:type="dxa"/>
          <w:trHeight w:val="327"/>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38" w:type="dxa"/>
            <w:vAlign w:val="center"/>
            <w:vMerge w:val="restart"/>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3"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67"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2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1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X＜10</w:t>
            </w:r>
            <w:r/>
          </w:p>
        </w:tc>
      </w:tr>
      <w:tr>
        <w:trPr>
          <w:jc w:val="center"/>
          <w:tblCellSpacing w:w="15" w:type="dxa"/>
          <w:trHeight w:val="549"/>
        </w:trPr>
        <w:tc>
          <w:tcPr>
            <w:tcBorders>
              <w:top w:val="none" w:color="000000" w:sz="4" w:space="0"/>
              <w:left w:val="single" w:color="auto" w:sz="6" w:space="0"/>
              <w:bottom w:val="single" w:color="999999" w:sz="6" w:space="0"/>
              <w:right w:val="single" w:color="999999" w:sz="6" w:space="0"/>
            </w:tcBorders>
            <w:tcW w:w="1538" w:type="dxa"/>
            <w:vAlign w:val="center"/>
            <w:vMerge w:val="continue"/>
            <w:textDirection w:val="lrTb"/>
            <w:noWrap w:val="false"/>
          </w:tcPr>
          <w:p>
            <w:pPr>
              <w:jc w:val="center"/>
              <w:widowControl/>
              <w:rPr>
                <w:rFonts w:hint="eastAsia" w:ascii="宋体" w:hAnsi="宋体" w:eastAsia="宋体" w:cs="宋体"/>
                <w:color w:val="666666"/>
                <w:szCs w:val="21"/>
              </w:rPr>
            </w:pPr>
            <w:r>
              <w:rPr>
                <w:rFonts w:hint="eastAsia"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3"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67"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2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1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Y＜100</w:t>
            </w:r>
            <w:r/>
          </w:p>
        </w:tc>
      </w:tr>
      <w:tr>
        <w:trPr>
          <w:jc w:val="center"/>
          <w:tblCellSpacing w:w="15" w:type="dxa"/>
          <w:trHeight w:val="327"/>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38" w:type="dxa"/>
            <w:vAlign w:val="center"/>
            <w:vMerge w:val="restart"/>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3"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67"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2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1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X＜10</w:t>
            </w:r>
            <w:r/>
          </w:p>
        </w:tc>
      </w:tr>
      <w:tr>
        <w:trPr>
          <w:jc w:val="center"/>
          <w:tblCellSpacing w:w="15" w:type="dxa"/>
          <w:trHeight w:val="549"/>
        </w:trPr>
        <w:tc>
          <w:tcPr>
            <w:tcBorders>
              <w:top w:val="none" w:color="000000" w:sz="4" w:space="0"/>
              <w:left w:val="single" w:color="auto" w:sz="6" w:space="0"/>
              <w:bottom w:val="single" w:color="999999" w:sz="6" w:space="0"/>
              <w:right w:val="single" w:color="999999" w:sz="6" w:space="0"/>
            </w:tcBorders>
            <w:tcW w:w="1538" w:type="dxa"/>
            <w:vAlign w:val="center"/>
            <w:vMerge w:val="continue"/>
            <w:textDirection w:val="lrTb"/>
            <w:noWrap w:val="false"/>
          </w:tcPr>
          <w:p>
            <w:pPr>
              <w:jc w:val="center"/>
              <w:widowControl/>
              <w:rPr>
                <w:rFonts w:hint="eastAsia" w:ascii="宋体" w:hAnsi="宋体" w:eastAsia="宋体" w:cs="宋体"/>
                <w:color w:val="666666"/>
                <w:szCs w:val="21"/>
              </w:rPr>
            </w:pPr>
            <w:r>
              <w:rPr>
                <w:rFonts w:hint="eastAsia"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3"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67"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2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1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Y＜100</w:t>
            </w:r>
            <w:r/>
          </w:p>
        </w:tc>
      </w:tr>
      <w:tr>
        <w:trPr>
          <w:jc w:val="center"/>
          <w:tblCellSpacing w:w="15" w:type="dxa"/>
          <w:trHeight w:val="327"/>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38" w:type="dxa"/>
            <w:vAlign w:val="center"/>
            <w:vMerge w:val="restart"/>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3"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67"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2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1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X＜10</w:t>
            </w:r>
            <w:r/>
          </w:p>
        </w:tc>
      </w:tr>
      <w:tr>
        <w:trPr>
          <w:jc w:val="center"/>
          <w:tblCellSpacing w:w="15" w:type="dxa"/>
          <w:trHeight w:val="549"/>
        </w:trPr>
        <w:tc>
          <w:tcPr>
            <w:tcBorders>
              <w:top w:val="none" w:color="000000" w:sz="4" w:space="0"/>
              <w:left w:val="single" w:color="auto" w:sz="6" w:space="0"/>
              <w:bottom w:val="single" w:color="999999" w:sz="6" w:space="0"/>
              <w:right w:val="single" w:color="999999" w:sz="6" w:space="0"/>
            </w:tcBorders>
            <w:tcW w:w="1538" w:type="dxa"/>
            <w:vAlign w:val="center"/>
            <w:vMerge w:val="continue"/>
            <w:textDirection w:val="lrTb"/>
            <w:noWrap w:val="false"/>
          </w:tcPr>
          <w:p>
            <w:pPr>
              <w:jc w:val="center"/>
              <w:widowControl/>
              <w:rPr>
                <w:rFonts w:hint="eastAsia" w:ascii="宋体" w:hAnsi="宋体" w:eastAsia="宋体" w:cs="宋体"/>
                <w:color w:val="666666"/>
                <w:szCs w:val="21"/>
              </w:rPr>
            </w:pPr>
            <w:r>
              <w:rPr>
                <w:rFonts w:hint="eastAsia"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3"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67"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2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1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Y＜50</w:t>
            </w:r>
            <w:r/>
          </w:p>
        </w:tc>
      </w:tr>
      <w:tr>
        <w:trPr>
          <w:jc w:val="center"/>
          <w:tblCellSpacing w:w="15" w:type="dxa"/>
          <w:trHeight w:val="549"/>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38" w:type="dxa"/>
            <w:vAlign w:val="center"/>
            <w:vMerge w:val="restart"/>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3"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67"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2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1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X＜100</w:t>
            </w:r>
            <w:r/>
          </w:p>
        </w:tc>
      </w:tr>
      <w:tr>
        <w:trPr>
          <w:jc w:val="center"/>
          <w:tblCellSpacing w:w="15" w:type="dxa"/>
          <w:trHeight w:val="549"/>
        </w:trPr>
        <w:tc>
          <w:tcPr>
            <w:tcBorders>
              <w:top w:val="none" w:color="000000" w:sz="4" w:space="0"/>
              <w:left w:val="single" w:color="auto" w:sz="6" w:space="0"/>
              <w:bottom w:val="single" w:color="999999" w:sz="6" w:space="0"/>
              <w:right w:val="single" w:color="999999" w:sz="6" w:space="0"/>
            </w:tcBorders>
            <w:tcW w:w="1538" w:type="dxa"/>
            <w:vAlign w:val="center"/>
            <w:vMerge w:val="continue"/>
            <w:textDirection w:val="lrTb"/>
            <w:noWrap w:val="false"/>
          </w:tcPr>
          <w:p>
            <w:pPr>
              <w:jc w:val="center"/>
              <w:widowControl/>
              <w:rPr>
                <w:rFonts w:hint="eastAsia" w:ascii="宋体" w:hAnsi="宋体" w:eastAsia="宋体" w:cs="宋体"/>
                <w:color w:val="666666"/>
                <w:szCs w:val="21"/>
              </w:rPr>
            </w:pPr>
            <w:r>
              <w:rPr>
                <w:rFonts w:hint="eastAsia"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3"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67"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2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1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Y＜2000</w:t>
            </w:r>
            <w:r/>
          </w:p>
        </w:tc>
      </w:tr>
      <w:tr>
        <w:trPr>
          <w:jc w:val="center"/>
          <w:tblCellSpacing w:w="15" w:type="dxa"/>
          <w:trHeight w:val="327"/>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38" w:type="dxa"/>
            <w:vAlign w:val="center"/>
            <w:vMerge w:val="restart"/>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3"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67"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2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1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X＜100</w:t>
            </w:r>
            <w:r/>
          </w:p>
        </w:tc>
      </w:tr>
      <w:tr>
        <w:trPr>
          <w:jc w:val="center"/>
          <w:tblCellSpacing w:w="15" w:type="dxa"/>
          <w:trHeight w:val="549"/>
        </w:trPr>
        <w:tc>
          <w:tcPr>
            <w:tcBorders>
              <w:top w:val="none" w:color="000000" w:sz="4" w:space="0"/>
              <w:left w:val="single" w:color="auto" w:sz="6" w:space="0"/>
              <w:bottom w:val="single" w:color="999999" w:sz="6" w:space="0"/>
              <w:right w:val="single" w:color="999999" w:sz="6" w:space="0"/>
            </w:tcBorders>
            <w:tcW w:w="1538" w:type="dxa"/>
            <w:vAlign w:val="center"/>
            <w:vMerge w:val="continue"/>
            <w:textDirection w:val="lrTb"/>
            <w:noWrap w:val="false"/>
          </w:tcPr>
          <w:p>
            <w:pPr>
              <w:jc w:val="center"/>
              <w:widowControl/>
              <w:rPr>
                <w:rFonts w:hint="eastAsia" w:ascii="宋体" w:hAnsi="宋体" w:eastAsia="宋体" w:cs="宋体"/>
                <w:color w:val="666666"/>
                <w:szCs w:val="21"/>
              </w:rPr>
            </w:pPr>
            <w:r>
              <w:rPr>
                <w:rFonts w:hint="eastAsia"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3"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67"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2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1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Y＜500</w:t>
            </w:r>
            <w:r/>
          </w:p>
        </w:tc>
      </w:tr>
      <w:tr>
        <w:trPr>
          <w:jc w:val="center"/>
          <w:tblCellSpacing w:w="15" w:type="dxa"/>
          <w:trHeight w:val="327"/>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38" w:type="dxa"/>
            <w:vAlign w:val="center"/>
            <w:vMerge w:val="restart"/>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3"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67"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2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1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X＜10</w:t>
            </w:r>
            <w:r/>
          </w:p>
        </w:tc>
      </w:tr>
      <w:tr>
        <w:trPr>
          <w:jc w:val="center"/>
          <w:tblCellSpacing w:w="15" w:type="dxa"/>
          <w:trHeight w:val="549"/>
        </w:trPr>
        <w:tc>
          <w:tcPr>
            <w:tcBorders>
              <w:top w:val="none" w:color="000000" w:sz="4" w:space="0"/>
              <w:left w:val="single" w:color="auto" w:sz="6" w:space="0"/>
              <w:bottom w:val="single" w:color="999999" w:sz="6" w:space="0"/>
              <w:right w:val="single" w:color="999999" w:sz="6" w:space="0"/>
            </w:tcBorders>
            <w:tcW w:w="1538" w:type="dxa"/>
            <w:vAlign w:val="center"/>
            <w:vMerge w:val="continue"/>
            <w:textDirection w:val="lrTb"/>
            <w:noWrap w:val="false"/>
          </w:tcPr>
          <w:p>
            <w:pPr>
              <w:jc w:val="center"/>
              <w:widowControl/>
              <w:rPr>
                <w:rFonts w:hint="eastAsia" w:ascii="宋体" w:hAnsi="宋体" w:eastAsia="宋体" w:cs="宋体"/>
                <w:color w:val="666666"/>
                <w:szCs w:val="21"/>
              </w:rPr>
            </w:pPr>
            <w:r>
              <w:rPr>
                <w:rFonts w:hint="eastAsia"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3"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67"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2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1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Y＜100</w:t>
            </w:r>
            <w:r/>
          </w:p>
        </w:tc>
      </w:tr>
      <w:tr>
        <w:trPr>
          <w:jc w:val="center"/>
          <w:tblCellSpacing w:w="15" w:type="dxa"/>
          <w:trHeight w:val="617"/>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38"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3"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67"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2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2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10" w:type="dxa"/>
            <w:vAlign w:val="center"/>
            <w:textDirection w:val="lrTb"/>
            <w:noWrap w:val="false"/>
          </w:tcPr>
          <w:p>
            <w:pPr>
              <w:pStyle w:val="840"/>
              <w:jc w:val="center"/>
              <w:spacing w:after="150" w:line="360" w:lineRule="auto"/>
              <w:widowControl/>
              <w:rPr>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X＜10</w:t>
            </w:r>
            <w:r/>
          </w:p>
        </w:tc>
      </w:tr>
    </w:tbl>
    <w:p>
      <w:pPr>
        <w:pStyle w:val="840"/>
        <w:spacing w:before="300" w:after="452" w:line="360" w:lineRule="auto"/>
        <w:widowControl/>
        <w:rPr>
          <w:rStyle w:val="844"/>
          <w:rFonts w:hint="eastAsia" w:ascii="宋体" w:hAnsi="宋体" w:eastAsia="宋体" w:cs="宋体"/>
          <w:color w:val="666666"/>
          <w:sz w:val="21"/>
          <w:szCs w:val="21"/>
        </w:rPr>
      </w:pPr>
      <w:r>
        <w:rPr>
          <w:rStyle w:val="844"/>
          <w:rFonts w:hint="eastAsia" w:ascii="宋体" w:hAnsi="宋体" w:eastAsia="宋体" w:cs="宋体"/>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811"/>
        <w:spacing w:line="360" w:lineRule="auto"/>
        <w:rPr>
          <w:rStyle w:val="844"/>
          <w:rFonts w:hint="eastAsia" w:ascii="宋体" w:hAnsi="宋体" w:eastAsia="宋体" w:cs="宋体"/>
          <w:b w:val="0"/>
          <w:color w:val="666666"/>
          <w:sz w:val="21"/>
          <w:szCs w:val="21"/>
        </w:rPr>
      </w:pPr>
      <w:r>
        <w:rPr>
          <w:rStyle w:val="844"/>
          <w:rFonts w:hint="eastAsia" w:ascii="宋体" w:hAnsi="宋体" w:eastAsia="宋体" w:cs="宋体"/>
          <w:b w:val="0"/>
          <w:color w:val="666666"/>
          <w:sz w:val="21"/>
          <w:szCs w:val="21"/>
        </w:rPr>
        <w:br w:type="page" w:clear="all"/>
      </w:r>
      <w:r/>
    </w:p>
    <w:p>
      <w:pPr>
        <w:jc w:val="center"/>
        <w:spacing w:line="360" w:lineRule="auto"/>
        <w:rPr>
          <w:rFonts w:hint="eastAsia" w:ascii="宋体" w:hAnsi="宋体" w:eastAsia="宋体" w:cs="宋体"/>
          <w:b/>
          <w:bCs/>
        </w:rPr>
      </w:pPr>
      <w:r>
        <w:rPr>
          <w:rFonts w:hint="eastAsia" w:ascii="宋体" w:hAnsi="宋体" w:eastAsia="宋体" w:cs="宋体"/>
          <w:b/>
          <w:bCs/>
        </w:rPr>
        <w:t xml:space="preserve">残疾人福利性单位声明函</w:t>
      </w:r>
      <w:r/>
    </w:p>
    <w:p>
      <w:pPr>
        <w:ind w:firstLine="624"/>
        <w:spacing w:line="360" w:lineRule="auto"/>
        <w:rPr>
          <w:rFonts w:hint="eastAsia" w:ascii="宋体" w:hAnsi="宋体" w:eastAsia="宋体" w:cs="宋体"/>
          <w:spacing w:val="6"/>
          <w:sz w:val="30"/>
          <w:szCs w:val="30"/>
        </w:rPr>
      </w:pPr>
      <w:r>
        <w:rPr>
          <w:rFonts w:hint="eastAsia" w:ascii="宋体" w:hAnsi="宋体" w:eastAsia="宋体" w:cs="宋体"/>
          <w:spacing w:val="6"/>
          <w:sz w:val="30"/>
          <w:szCs w:val="30"/>
        </w:rPr>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szCs w:val="21"/>
          <w:u w:val="single"/>
        </w:rPr>
        <w:t xml:space="preserve">       </w:t>
      </w:r>
      <w:r>
        <w:rPr>
          <w:rFonts w:hint="eastAsia" w:ascii="宋体" w:hAnsi="宋体" w:eastAsia="宋体" w:cs="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本单位在本次政府采购活动中提供的残疾人福利单位产品报价合计为人民币（大写）</w:t>
      </w:r>
      <w:r>
        <w:rPr>
          <w:rFonts w:hint="eastAsia" w:ascii="宋体" w:hAnsi="宋体" w:eastAsia="宋体" w:cs="宋体"/>
          <w:szCs w:val="21"/>
          <w:u w:val="single"/>
        </w:rPr>
        <w:t xml:space="preserve">      </w:t>
      </w:r>
      <w:r>
        <w:rPr>
          <w:rFonts w:hint="eastAsia" w:ascii="宋体" w:hAnsi="宋体" w:eastAsia="宋体" w:cs="宋体"/>
          <w:szCs w:val="21"/>
        </w:rPr>
        <w:t xml:space="preserve">圆整（￥：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本单位对上述声明的真实性负责。如有虚假，将依法承担相应责任。</w:t>
      </w:r>
      <w:r/>
    </w:p>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（备注：1、供应商如不提供此声明函，价格将不做相应扣除。2、中标供应商为残疾人福利单位的，此声明函将随中标结果同时公告，接受社会监督）</w:t>
      </w:r>
      <w:r/>
    </w:p>
    <w:p>
      <w:pPr>
        <w:ind w:firstLine="444"/>
        <w:spacing w:line="360" w:lineRule="auto"/>
        <w:rPr>
          <w:rFonts w:hint="eastAsia" w:ascii="宋体" w:hAnsi="宋体" w:eastAsia="宋体" w:cs="宋体"/>
          <w:spacing w:val="6"/>
          <w:szCs w:val="21"/>
        </w:rPr>
      </w:pPr>
      <w:r>
        <w:rPr>
          <w:rFonts w:hint="eastAsia" w:ascii="宋体" w:hAnsi="宋体" w:eastAsia="宋体" w:cs="宋体"/>
          <w:spacing w:val="6"/>
          <w:szCs w:val="21"/>
        </w:rPr>
      </w:r>
      <w:r/>
    </w:p>
    <w:p>
      <w:pPr>
        <w:ind w:right="1560" w:firstLine="444"/>
        <w:jc w:val="center"/>
        <w:spacing w:line="360" w:lineRule="auto"/>
        <w:tabs>
          <w:tab w:val="left" w:pos="4860" w:leader="none"/>
        </w:tabs>
        <w:rPr>
          <w:rFonts w:hint="eastAsia" w:ascii="宋体" w:hAnsi="宋体" w:eastAsia="宋体" w:cs="宋体"/>
          <w:szCs w:val="21"/>
        </w:rPr>
      </w:pPr>
      <w:r>
        <w:rPr>
          <w:rFonts w:hint="eastAsia" w:ascii="宋体" w:hAnsi="宋体" w:eastAsia="宋体" w:cs="宋体"/>
          <w:spacing w:val="6"/>
          <w:szCs w:val="21"/>
        </w:rPr>
        <w:t xml:space="preserve">             </w:t>
      </w:r>
      <w:r>
        <w:rPr>
          <w:rFonts w:hint="eastAsia" w:ascii="宋体" w:hAnsi="宋体" w:eastAsia="宋体" w:cs="宋体"/>
          <w:szCs w:val="21"/>
        </w:rPr>
        <w:t xml:space="preserve">               供应商全称（盖章）：</w:t>
      </w:r>
      <w:r/>
    </w:p>
    <w:p>
      <w:pPr>
        <w:ind w:right="1560" w:firstLine="420"/>
        <w:jc w:val="center"/>
        <w:spacing w:line="360" w:lineRule="auto"/>
        <w:tabs>
          <w:tab w:val="left" w:pos="4860" w:leader="none"/>
        </w:tabs>
        <w:rPr>
          <w:rFonts w:ascii="仿宋" w:hAnsi="仿宋" w:eastAsia="仿宋" w:cs="仿宋"/>
          <w:szCs w:val="21"/>
        </w:rPr>
      </w:pPr>
      <w:r>
        <w:rPr>
          <w:rFonts w:hint="eastAsia" w:ascii="宋体" w:hAnsi="宋体" w:eastAsia="宋体" w:cs="宋体"/>
          <w:szCs w:val="21"/>
        </w:rPr>
        <w:t xml:space="preserve">                              日  期：</w:t>
      </w:r>
      <w:r/>
    </w:p>
    <w:p>
      <w:pPr>
        <w:jc w:val="left"/>
        <w:spacing w:line="360" w:lineRule="auto"/>
        <w:widowControl/>
        <w:rPr>
          <w:rFonts w:ascii="仿宋" w:hAnsi="仿宋" w:eastAsia="仿宋" w:cs="仿宋"/>
          <w:b/>
          <w:bCs/>
          <w:color w:val="000000"/>
        </w:rPr>
      </w:pPr>
      <w:r>
        <w:rPr>
          <w:rFonts w:ascii="仿宋" w:hAnsi="仿宋" w:eastAsia="仿宋" w:cs="仿宋"/>
          <w:b/>
          <w:bCs/>
          <w:color w:val="000000"/>
        </w:rPr>
      </w:r>
      <w:r/>
    </w:p>
    <w:p>
      <w:pPr>
        <w:jc w:val="left"/>
        <w:spacing w:line="360" w:lineRule="auto"/>
        <w:widowControl/>
        <w:rPr>
          <w:rFonts w:ascii="仿宋" w:hAnsi="仿宋" w:eastAsia="仿宋" w:cs="仿宋"/>
          <w:b/>
          <w:bCs/>
          <w:color w:val="000000"/>
        </w:rPr>
      </w:pPr>
      <w:r>
        <w:rPr>
          <w:rFonts w:ascii="仿宋" w:hAnsi="仿宋" w:eastAsia="仿宋" w:cs="仿宋"/>
          <w:b/>
          <w:bCs/>
          <w:color w:val="000000"/>
        </w:rPr>
      </w:r>
      <w:r/>
    </w:p>
    <w:p>
      <w:pPr>
        <w:jc w:val="left"/>
        <w:spacing w:line="360" w:lineRule="auto"/>
        <w:widowControl/>
        <w:rPr>
          <w:rFonts w:ascii="仿宋" w:hAnsi="仿宋" w:eastAsia="仿宋" w:cs="仿宋"/>
          <w:b/>
          <w:bCs/>
          <w:color w:val="000000"/>
        </w:rPr>
      </w:pPr>
      <w:r>
        <w:rPr>
          <w:rFonts w:ascii="仿宋" w:hAnsi="仿宋" w:eastAsia="仿宋" w:cs="仿宋"/>
          <w:b/>
          <w:bCs/>
          <w:color w:val="000000"/>
        </w:rPr>
      </w:r>
      <w:r/>
    </w:p>
    <w:p>
      <w:pPr>
        <w:jc w:val="left"/>
        <w:spacing w:line="360" w:lineRule="auto"/>
        <w:widowControl/>
        <w:rPr>
          <w:rFonts w:ascii="仿宋" w:hAnsi="仿宋" w:eastAsia="仿宋" w:cs="仿宋"/>
          <w:b/>
          <w:bCs/>
          <w:color w:val="000000"/>
        </w:rPr>
      </w:pPr>
      <w:r>
        <w:rPr>
          <w:rFonts w:ascii="仿宋" w:hAnsi="仿宋" w:eastAsia="仿宋" w:cs="仿宋"/>
          <w:b/>
          <w:bCs/>
          <w:color w:val="000000"/>
        </w:rPr>
      </w:r>
      <w:r/>
    </w:p>
    <w:p>
      <w:pPr>
        <w:jc w:val="left"/>
        <w:spacing w:line="360" w:lineRule="auto"/>
        <w:widowControl/>
        <w:rPr>
          <w:rFonts w:ascii="仿宋" w:hAnsi="仿宋" w:eastAsia="仿宋" w:cs="仿宋"/>
          <w:b/>
          <w:bCs/>
          <w:color w:val="000000"/>
        </w:rPr>
      </w:pPr>
      <w:r>
        <w:rPr>
          <w:rFonts w:ascii="仿宋" w:hAnsi="仿宋" w:eastAsia="仿宋" w:cs="仿宋"/>
          <w:b/>
          <w:bCs/>
          <w:color w:val="000000"/>
        </w:rPr>
      </w:r>
      <w:r/>
    </w:p>
    <w:p>
      <w:pPr>
        <w:jc w:val="left"/>
        <w:spacing w:line="360" w:lineRule="auto"/>
        <w:widowControl/>
        <w:rPr>
          <w:rFonts w:ascii="仿宋" w:hAnsi="仿宋" w:eastAsia="仿宋" w:cs="仿宋"/>
          <w:b/>
          <w:bCs/>
          <w:color w:val="000000"/>
        </w:rPr>
      </w:pPr>
      <w:r>
        <w:rPr>
          <w:rFonts w:ascii="仿宋" w:hAnsi="仿宋" w:eastAsia="仿宋" w:cs="仿宋"/>
          <w:b/>
          <w:bCs/>
          <w:color w:val="000000"/>
        </w:rPr>
      </w:r>
      <w:r/>
    </w:p>
    <w:p>
      <w:pPr>
        <w:jc w:val="left"/>
        <w:spacing w:line="360" w:lineRule="auto"/>
        <w:widowControl/>
        <w:rPr>
          <w:rFonts w:ascii="仿宋" w:hAnsi="仿宋" w:eastAsia="仿宋" w:cs="仿宋"/>
          <w:b/>
          <w:bCs/>
          <w:color w:val="000000"/>
        </w:rPr>
      </w:pPr>
      <w:r>
        <w:rPr>
          <w:rFonts w:ascii="仿宋" w:hAnsi="仿宋" w:eastAsia="仿宋" w:cs="仿宋"/>
          <w:b/>
          <w:bCs/>
          <w:color w:val="000000"/>
        </w:rPr>
      </w:r>
      <w:r/>
    </w:p>
    <w:p>
      <w:pPr>
        <w:jc w:val="center"/>
        <w:spacing w:line="360" w:lineRule="auto"/>
        <w:rPr>
          <w:rFonts w:ascii="仿宋" w:hAnsi="仿宋" w:eastAsia="仿宋" w:cs="仿宋"/>
          <w:b/>
          <w:bCs/>
          <w:color w:val="000000"/>
        </w:rPr>
      </w:pPr>
      <w:r>
        <w:rPr>
          <w:rFonts w:ascii="仿宋" w:hAnsi="仿宋" w:eastAsia="仿宋" w:cs="仿宋"/>
          <w:b/>
          <w:bCs/>
          <w:color w:val="000000"/>
        </w:rPr>
      </w:r>
      <w:r/>
    </w:p>
    <w:p>
      <w:pPr>
        <w:jc w:val="left"/>
        <w:spacing w:line="360" w:lineRule="auto"/>
        <w:widowControl/>
        <w:rPr>
          <w:rFonts w:ascii="仿宋" w:hAnsi="仿宋" w:eastAsia="仿宋" w:cs="仿宋"/>
          <w:b/>
          <w:bCs/>
          <w:color w:val="000000"/>
        </w:rPr>
      </w:pPr>
      <w:r>
        <w:rPr>
          <w:rFonts w:ascii="仿宋" w:hAnsi="仿宋" w:eastAsia="仿宋" w:cs="仿宋"/>
          <w:b/>
          <w:bCs/>
          <w:color w:val="000000"/>
        </w:rPr>
      </w:r>
      <w:r/>
    </w:p>
    <w:p>
      <w:pPr>
        <w:jc w:val="left"/>
        <w:spacing w:line="360" w:lineRule="auto"/>
        <w:widowControl/>
        <w:rPr>
          <w:rFonts w:ascii="仿宋" w:hAnsi="仿宋" w:eastAsia="仿宋" w:cs="仿宋"/>
          <w:b/>
          <w:bCs/>
          <w:color w:val="000000"/>
        </w:rPr>
      </w:pPr>
      <w:r>
        <w:rPr>
          <w:rFonts w:ascii="仿宋" w:hAnsi="仿宋" w:eastAsia="仿宋" w:cs="仿宋"/>
          <w:b/>
          <w:bCs/>
          <w:color w:val="000000"/>
        </w:rPr>
      </w:r>
      <w:r/>
    </w:p>
    <w:p>
      <w:pPr>
        <w:spacing w:line="360" w:lineRule="auto"/>
        <w:rPr>
          <w:rFonts w:ascii="仿宋" w:hAnsi="仿宋" w:eastAsia="仿宋" w:cs="仿宋"/>
          <w:b/>
          <w:sz w:val="32"/>
          <w:szCs w:val="32"/>
        </w:rPr>
      </w:pPr>
      <w:r>
        <w:rPr>
          <w:rFonts w:hint="eastAsia" w:ascii="仿宋" w:hAnsi="仿宋" w:eastAsia="仿宋" w:cs="仿宋"/>
          <w:b/>
          <w:sz w:val="32"/>
          <w:szCs w:val="32"/>
        </w:rPr>
        <w:br w:type="page" w:clear="all"/>
      </w:r>
      <w:r/>
    </w:p>
    <w:p>
      <w:pPr>
        <w:pStyle w:val="810"/>
        <w:jc w:val="center"/>
        <w:spacing w:line="360" w:lineRule="auto"/>
        <w:rPr>
          <w:rFonts w:hint="eastAsia" w:ascii="宋体" w:hAnsi="宋体" w:eastAsia="宋体" w:cs="宋体"/>
          <w:sz w:val="32"/>
        </w:rPr>
      </w:pPr>
      <w:r/>
      <w:bookmarkStart w:id="208" w:name="_Toc26717"/>
      <w:r>
        <w:rPr>
          <w:rFonts w:hint="eastAsia" w:ascii="宋体" w:hAnsi="宋体" w:eastAsia="宋体" w:cs="宋体"/>
          <w:sz w:val="32"/>
        </w:rPr>
        <w:t xml:space="preserve">四、开标一览表</w:t>
      </w:r>
      <w:bookmarkEnd w:id="208"/>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项目名称：</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项目编号：</w:t>
      </w:r>
      <w:r/>
    </w:p>
    <w:p>
      <w:pPr>
        <w:ind w:firstLine="480"/>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分</w:t>
      </w:r>
      <w:r>
        <w:rPr>
          <w:rFonts w:hint="eastAsia" w:ascii="宋体" w:hAnsi="宋体" w:eastAsia="宋体" w:cs="宋体"/>
          <w:szCs w:val="21"/>
        </w:rPr>
        <w:t xml:space="preserve">包号(如有)： </w:t>
      </w:r>
      <w:r/>
    </w:p>
    <w:tbl>
      <w:tblPr>
        <w:tblStyle w:val="819"/>
        <w:tblW w:w="97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36"/>
        <w:gridCol w:w="7063"/>
      </w:tblGrid>
      <w:tr>
        <w:trPr>
          <w:cantSplit/>
          <w:jc w:val="center"/>
          <w:trHeight w:val="1056"/>
        </w:trPr>
        <w:tc>
          <w:tcPr>
            <w:tcW w:w="2736" w:type="dxa"/>
            <w:vAlign w:val="center"/>
            <w:textDirection w:val="lrTb"/>
            <w:noWrap w:val="false"/>
          </w:tcPr>
          <w:p>
            <w:pPr>
              <w:pStyle w:val="824"/>
              <w:spacing w:line="360" w:lineRule="auto"/>
              <w:rPr>
                <w:rFonts w:hint="eastAsia" w:ascii="宋体" w:hAnsi="宋体" w:eastAsia="宋体" w:cs="宋体"/>
                <w:sz w:val="21"/>
                <w:szCs w:val="21"/>
              </w:rPr>
            </w:pPr>
            <w:r>
              <w:rPr>
                <w:rFonts w:hint="eastAsia" w:ascii="宋体" w:hAnsi="宋体" w:eastAsia="宋体" w:cs="宋体"/>
                <w:sz w:val="21"/>
                <w:szCs w:val="21"/>
              </w:rPr>
              <w:t xml:space="preserve">  服务名称</w:t>
            </w:r>
            <w:r/>
          </w:p>
        </w:tc>
        <w:tc>
          <w:tcPr>
            <w:tcW w:w="7063" w:type="dxa"/>
            <w:vAlign w:val="center"/>
            <w:textDirection w:val="lrTb"/>
            <w:noWrap w:val="false"/>
          </w:tcPr>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                      投标</w:t>
            </w:r>
            <w:r>
              <w:rPr>
                <w:rFonts w:hint="eastAsia" w:ascii="宋体" w:hAnsi="宋体" w:eastAsia="宋体" w:cs="宋体"/>
                <w:sz w:val="21"/>
                <w:szCs w:val="21"/>
                <w:lang w:val="en-US" w:eastAsia="zh-CN"/>
              </w:rPr>
              <w:t xml:space="preserve">总</w:t>
            </w:r>
            <w:r>
              <w:rPr>
                <w:rFonts w:hint="eastAsia" w:ascii="宋体" w:hAnsi="宋体" w:eastAsia="宋体" w:cs="宋体"/>
                <w:sz w:val="21"/>
                <w:szCs w:val="21"/>
              </w:rPr>
              <w:t xml:space="preserve">价</w:t>
            </w:r>
            <w:r/>
          </w:p>
        </w:tc>
      </w:tr>
      <w:tr>
        <w:trPr>
          <w:cantSplit/>
          <w:jc w:val="center"/>
          <w:trHeight w:val="1637"/>
        </w:trPr>
        <w:tc>
          <w:tcPr>
            <w:tcW w:w="2736" w:type="dxa"/>
            <w:vAlign w:val="center"/>
            <w:textDirection w:val="lrTb"/>
            <w:noWrap w:val="false"/>
          </w:tcPr>
          <w:p>
            <w:pPr>
              <w:pStyle w:val="824"/>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7063" w:type="dxa"/>
            <w:vAlign w:val="center"/>
            <w:textDirection w:val="lrTb"/>
            <w:noWrap w:val="false"/>
          </w:tcPr>
          <w:p>
            <w:pPr>
              <w:pStyle w:val="1085"/>
              <w:ind w:firstLine="0"/>
              <w:spacing w:before="0" w:after="0"/>
              <w:rPr>
                <w:rFonts w:hint="eastAsia" w:ascii="宋体" w:hAnsi="宋体" w:eastAsia="宋体" w:cs="宋体"/>
                <w:sz w:val="21"/>
                <w:szCs w:val="21"/>
              </w:rPr>
            </w:pPr>
            <w:r>
              <w:rPr>
                <w:rFonts w:hint="eastAsia" w:ascii="宋体" w:hAnsi="宋体" w:eastAsia="宋体" w:cs="宋体"/>
                <w:sz w:val="21"/>
                <w:szCs w:val="21"/>
              </w:rPr>
              <w:t xml:space="preserve">大写：</w:t>
            </w:r>
            <w:r/>
          </w:p>
          <w:p>
            <w:pPr>
              <w:pStyle w:val="1085"/>
              <w:ind w:firstLine="0"/>
              <w:spacing w:before="0" w:after="0"/>
              <w:rPr>
                <w:rFonts w:hint="eastAsia" w:ascii="宋体" w:hAnsi="宋体" w:eastAsia="宋体" w:cs="宋体"/>
                <w:sz w:val="21"/>
                <w:szCs w:val="21"/>
              </w:rPr>
            </w:pPr>
            <w:r>
              <w:rPr>
                <w:rFonts w:hint="eastAsia" w:ascii="宋体" w:hAnsi="宋体" w:eastAsia="宋体" w:cs="宋体"/>
                <w:sz w:val="21"/>
                <w:szCs w:val="21"/>
              </w:rPr>
              <w:t xml:space="preserve">小写：                             （人民币：）</w:t>
            </w:r>
            <w:r/>
          </w:p>
          <w:p>
            <w:pPr>
              <w:pStyle w:val="1085"/>
              <w:ind w:firstLine="0"/>
              <w:spacing w:before="0" w:after="0"/>
              <w:rPr>
                <w:rFonts w:hint="eastAsia" w:ascii="宋体" w:hAnsi="宋体" w:eastAsia="宋体" w:cs="宋体"/>
                <w:sz w:val="21"/>
                <w:szCs w:val="21"/>
              </w:rPr>
            </w:pPr>
            <w:r>
              <w:rPr>
                <w:rFonts w:hint="eastAsia" w:ascii="宋体" w:hAnsi="宋体" w:eastAsia="宋体" w:cs="宋体"/>
                <w:sz w:val="21"/>
                <w:szCs w:val="21"/>
              </w:rPr>
            </w:r>
            <w:r/>
          </w:p>
        </w:tc>
      </w:tr>
    </w:tbl>
    <w:p>
      <w:pPr>
        <w:spacing w:line="360" w:lineRule="auto"/>
        <w:rPr>
          <w:rFonts w:hint="eastAsia" w:ascii="宋体" w:hAnsi="宋体" w:eastAsia="宋体" w:cs="宋体"/>
          <w:szCs w:val="21"/>
        </w:rPr>
      </w:pPr>
      <w:r>
        <w:rPr>
          <w:rFonts w:hint="eastAsia" w:ascii="宋体" w:hAnsi="宋体" w:eastAsia="宋体" w:cs="宋体"/>
          <w:szCs w:val="21"/>
        </w:rPr>
      </w:r>
      <w:r/>
    </w:p>
    <w:p>
      <w:pPr>
        <w:ind w:firstLine="480"/>
        <w:spacing w:line="360" w:lineRule="auto"/>
        <w:rPr>
          <w:rFonts w:ascii="仿宋" w:hAnsi="仿宋" w:eastAsia="仿宋" w:cs="仿宋"/>
          <w:sz w:val="32"/>
          <w:szCs w:val="32"/>
        </w:rPr>
      </w:pPr>
      <w:r>
        <w:rPr>
          <w:rFonts w:hint="eastAsia" w:ascii="宋体" w:hAnsi="宋体" w:eastAsia="宋体" w:cs="宋体"/>
          <w:szCs w:val="21"/>
        </w:rPr>
        <w:t xml:space="preserve">                                              日期：  </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w:t>
      </w:r>
      <w:r/>
    </w:p>
    <w:p>
      <w:pPr>
        <w:pStyle w:val="84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1"/>
          <w:lang w:val="en-US" w:eastAsia="zh-CN"/>
        </w:rPr>
        <w:t xml:space="preserve">注：</w:t>
      </w:r>
      <w:r/>
    </w:p>
    <w:p>
      <w:pPr>
        <w:pStyle w:val="84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1"/>
          <w:lang w:val="en-US" w:eastAsia="zh-CN"/>
        </w:rPr>
        <w:t xml:space="preserve">1、报价包含这完成项目需求要求的全域范围内的所有项目；</w:t>
      </w:r>
      <w:r/>
    </w:p>
    <w:p>
      <w:pPr>
        <w:pStyle w:val="840"/>
        <w:numPr>
          <w:ilvl w:val="0"/>
          <w:numId w:val="0"/>
        </w:numPr>
        <w:ind w:left="0" w:right="0" w:firstLine="367"/>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1"/>
          <w:lang w:val="en-US" w:eastAsia="zh-CN"/>
        </w:rPr>
        <w:t xml:space="preserve">2、报价包含公厕的小型项目维修、</w:t>
      </w:r>
      <w:r>
        <w:rPr>
          <w:rFonts w:hint="eastAsia" w:ascii="宋体" w:hAnsi="宋体" w:eastAsia="宋体" w:cs="宋体"/>
          <w:sz w:val="21"/>
          <w:szCs w:val="21"/>
        </w:rPr>
        <w:t xml:space="preserve">果壳箱、灭烟器、捕蝇器</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垃圾桶</w:t>
      </w:r>
      <w:r>
        <w:rPr>
          <w:rFonts w:hint="eastAsia" w:ascii="宋体" w:hAnsi="宋体" w:eastAsia="宋体" w:cs="宋体"/>
          <w:sz w:val="21"/>
          <w:szCs w:val="21"/>
        </w:rPr>
        <w:t xml:space="preserve">等更换</w:t>
      </w:r>
      <w:r>
        <w:rPr>
          <w:rFonts w:hint="eastAsia" w:ascii="宋体" w:hAnsi="宋体" w:eastAsia="宋体" w:cs="宋体"/>
          <w:sz w:val="21"/>
          <w:szCs w:val="21"/>
          <w:lang w:val="en-US" w:eastAsia="zh-CN"/>
        </w:rPr>
        <w:t xml:space="preserve">费用；</w:t>
      </w:r>
      <w:r/>
    </w:p>
    <w:p>
      <w:pPr>
        <w:pStyle w:val="840"/>
        <w:numPr>
          <w:ilvl w:val="0"/>
          <w:numId w:val="0"/>
        </w:numPr>
        <w:ind w:left="0" w:right="0" w:firstLine="367"/>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1"/>
          <w:lang w:val="en-US" w:eastAsia="zh-CN"/>
        </w:rPr>
        <w:t xml:space="preserve">3、报价包含卫生喷杀用工器具、绿化用农药费用；</w:t>
      </w:r>
      <w:r/>
    </w:p>
    <w:p>
      <w:pPr>
        <w:pStyle w:val="840"/>
        <w:numPr>
          <w:ilvl w:val="0"/>
          <w:numId w:val="0"/>
        </w:numPr>
        <w:ind w:left="0" w:right="0" w:firstLine="367"/>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1"/>
          <w:lang w:val="en-US" w:eastAsia="zh-CN"/>
        </w:rPr>
        <w:t xml:space="preserve">4、报价包含保洁用工具、器具费用；</w:t>
      </w:r>
      <w:r/>
    </w:p>
    <w:p>
      <w:pPr>
        <w:pStyle w:val="840"/>
        <w:ind w:left="0" w:firstLine="367"/>
        <w:jc w:val="left"/>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1"/>
          <w:lang w:val="en-US" w:eastAsia="zh-CN"/>
        </w:rPr>
        <w:t xml:space="preserve">5、报价包含</w:t>
      </w:r>
      <w:r>
        <w:rPr>
          <w:rFonts w:hint="eastAsia" w:ascii="宋体" w:hAnsi="宋体" w:eastAsia="宋体" w:cs="宋体"/>
          <w:sz w:val="21"/>
          <w:szCs w:val="21"/>
        </w:rPr>
        <w:t xml:space="preserve">停车场</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办公等场所</w:t>
      </w:r>
      <w:r>
        <w:rPr>
          <w:rFonts w:hint="eastAsia" w:ascii="宋体" w:hAnsi="宋体" w:eastAsia="宋体" w:cs="宋体"/>
          <w:sz w:val="21"/>
          <w:szCs w:val="21"/>
        </w:rPr>
        <w:t xml:space="preserve">租用费</w:t>
      </w:r>
      <w:r>
        <w:rPr>
          <w:rFonts w:hint="eastAsia" w:ascii="宋体" w:hAnsi="宋体" w:eastAsia="宋体" w:cs="宋体"/>
          <w:sz w:val="21"/>
          <w:szCs w:val="21"/>
          <w:lang w:val="en-US" w:eastAsia="zh-CN"/>
        </w:rPr>
        <w:t xml:space="preserve">用；</w:t>
      </w:r>
      <w:r/>
    </w:p>
    <w:p>
      <w:pPr>
        <w:pStyle w:val="840"/>
        <w:ind w:left="0" w:firstLine="367"/>
        <w:jc w:val="left"/>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1"/>
          <w:lang w:val="en-US" w:eastAsia="zh-CN"/>
        </w:rPr>
        <w:t xml:space="preserve">6、报价包含项目所需</w:t>
      </w:r>
      <w:r>
        <w:rPr>
          <w:rFonts w:hint="eastAsia" w:ascii="宋体" w:hAnsi="宋体" w:eastAsia="宋体" w:cs="宋体"/>
          <w:sz w:val="21"/>
          <w:szCs w:val="21"/>
        </w:rPr>
        <w:t xml:space="preserve">水电费</w:t>
      </w:r>
      <w:r>
        <w:rPr>
          <w:rFonts w:hint="eastAsia" w:ascii="宋体" w:hAnsi="宋体" w:eastAsia="宋体" w:cs="宋体"/>
          <w:sz w:val="21"/>
          <w:szCs w:val="21"/>
          <w:lang w:val="en-US" w:eastAsia="zh-CN"/>
        </w:rPr>
        <w:t xml:space="preserve">用；</w:t>
      </w:r>
      <w:r/>
    </w:p>
    <w:p>
      <w:pPr>
        <w:pStyle w:val="840"/>
        <w:ind w:left="0" w:firstLine="367"/>
        <w:jc w:val="left"/>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1"/>
          <w:lang w:val="en-US" w:eastAsia="zh-CN"/>
        </w:rPr>
        <w:t xml:space="preserve">7、报价包含职工劳保费用；</w:t>
      </w:r>
      <w:r/>
    </w:p>
    <w:p>
      <w:pPr>
        <w:pStyle w:val="822"/>
        <w:ind w:firstLine="640"/>
        <w:spacing w:line="360" w:lineRule="auto"/>
        <w:rPr>
          <w:rFonts w:ascii="仿宋" w:hAnsi="仿宋" w:eastAsia="仿宋" w:cs="仿宋"/>
          <w:sz w:val="32"/>
          <w:szCs w:val="32"/>
        </w:rPr>
      </w:pPr>
      <w:r>
        <w:rPr>
          <w:rFonts w:hint="eastAsia" w:ascii="宋体" w:hAnsi="宋体" w:eastAsia="宋体" w:cs="宋体"/>
          <w:sz w:val="21"/>
          <w:szCs w:val="21"/>
          <w:lang w:val="en-US" w:eastAsia="zh-CN"/>
        </w:rPr>
        <w:t xml:space="preserve">8、报价包含投标单位的管理费、利润及税金等完成本项目未列明的项目的所有费用。</w:t>
      </w:r>
      <w:r/>
    </w:p>
    <w:p>
      <w:pPr>
        <w:pStyle w:val="822"/>
        <w:ind w:firstLine="640"/>
        <w:spacing w:line="360" w:lineRule="auto"/>
        <w:rPr>
          <w:rFonts w:ascii="仿宋" w:hAnsi="仿宋" w:eastAsia="仿宋" w:cs="仿宋"/>
          <w:sz w:val="32"/>
          <w:szCs w:val="32"/>
        </w:rPr>
      </w:pPr>
      <w:r>
        <w:rPr>
          <w:rFonts w:ascii="仿宋" w:hAnsi="仿宋" w:eastAsia="仿宋" w:cs="仿宋"/>
          <w:sz w:val="32"/>
          <w:szCs w:val="32"/>
        </w:rPr>
      </w:r>
      <w:r/>
    </w:p>
    <w:p>
      <w:pPr>
        <w:spacing w:line="360" w:lineRule="auto"/>
        <w:rPr>
          <w:rFonts w:ascii="仿宋" w:hAnsi="仿宋" w:eastAsia="仿宋" w:cs="仿宋"/>
          <w:sz w:val="32"/>
          <w:szCs w:val="32"/>
        </w:rPr>
      </w:pPr>
      <w:r>
        <w:rPr>
          <w:rFonts w:hint="eastAsia" w:ascii="仿宋" w:hAnsi="仿宋" w:eastAsia="仿宋" w:cs="仿宋"/>
          <w:sz w:val="32"/>
          <w:szCs w:val="32"/>
        </w:rPr>
        <w:br w:type="page" w:clear="all"/>
      </w:r>
      <w:r/>
    </w:p>
    <w:p>
      <w:pPr>
        <w:pStyle w:val="810"/>
        <w:jc w:val="center"/>
        <w:spacing w:line="360" w:lineRule="auto"/>
        <w:rPr>
          <w:rFonts w:hint="eastAsia" w:ascii="宋体" w:hAnsi="宋体" w:eastAsia="宋体" w:cs="宋体"/>
          <w:sz w:val="32"/>
        </w:rPr>
      </w:pPr>
      <w:r/>
      <w:bookmarkStart w:id="209" w:name="_Toc875"/>
      <w:r>
        <w:rPr>
          <w:rFonts w:hint="eastAsia" w:ascii="仿宋" w:hAnsi="仿宋" w:eastAsia="仿宋" w:cs="仿宋"/>
          <w:sz w:val="32"/>
        </w:rPr>
        <w:t xml:space="preserve">五、</w:t>
      </w:r>
      <w:bookmarkEnd w:id="209"/>
      <w:r/>
      <w:bookmarkStart w:id="210" w:name="_Toc5616"/>
      <w:r>
        <w:rPr>
          <w:rFonts w:hint="eastAsia" w:ascii="宋体" w:hAnsi="宋体" w:eastAsia="宋体" w:cs="宋体"/>
          <w:sz w:val="32"/>
        </w:rPr>
        <w:t xml:space="preserve">技术参数响应及偏离表</w:t>
      </w:r>
      <w:bookmarkEnd w:id="210"/>
      <w:r/>
      <w:r/>
    </w:p>
    <w:tbl>
      <w:tblPr>
        <w:tblStyle w:val="819"/>
        <w:tblW w:w="89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jc w:val="center"/>
        </w:trPr>
        <w:tc>
          <w:tcPr>
            <w:tcW w:w="984"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序号</w:t>
            </w:r>
            <w:r/>
          </w:p>
        </w:tc>
        <w:tc>
          <w:tcPr>
            <w:tcW w:w="2551"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招标要求</w:t>
            </w:r>
            <w:r/>
          </w:p>
        </w:tc>
        <w:tc>
          <w:tcPr>
            <w:tcW w:w="2701"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投标响应</w:t>
            </w:r>
            <w:r/>
          </w:p>
        </w:tc>
        <w:tc>
          <w:tcPr>
            <w:tcW w:w="1458"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超出、符合或偏离</w:t>
            </w:r>
            <w:r/>
          </w:p>
        </w:tc>
        <w:tc>
          <w:tcPr>
            <w:tcW w:w="1210"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证明材料</w:t>
            </w:r>
            <w:r/>
          </w:p>
        </w:tc>
      </w:tr>
      <w:tr>
        <w:trPr>
          <w:cantSplit/>
          <w:jc w:val="center"/>
          <w:trHeight w:val="640"/>
        </w:trPr>
        <w:tc>
          <w:tcPr>
            <w:tcW w:w="984"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551"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701"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458"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210"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r>
        <w:trPr>
          <w:cantSplit/>
          <w:jc w:val="center"/>
          <w:trHeight w:val="640"/>
        </w:trPr>
        <w:tc>
          <w:tcPr>
            <w:tcW w:w="984"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551"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701"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458"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210"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r>
        <w:trPr>
          <w:cantSplit/>
          <w:jc w:val="center"/>
          <w:trHeight w:val="640"/>
        </w:trPr>
        <w:tc>
          <w:tcPr>
            <w:tcW w:w="984"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551"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701"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458"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210"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r>
        <w:trPr>
          <w:cantSplit/>
          <w:jc w:val="center"/>
          <w:trHeight w:val="640"/>
        </w:trPr>
        <w:tc>
          <w:tcPr>
            <w:tcW w:w="984"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551"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701"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458"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210"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r>
        <w:trPr>
          <w:cantSplit/>
          <w:jc w:val="center"/>
          <w:trHeight w:val="640"/>
        </w:trPr>
        <w:tc>
          <w:tcPr>
            <w:tcW w:w="984"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551"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701"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458"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210"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r>
        <w:trPr>
          <w:cantSplit/>
          <w:jc w:val="center"/>
          <w:trHeight w:val="640"/>
        </w:trPr>
        <w:tc>
          <w:tcPr>
            <w:tcW w:w="984"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551"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701"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458"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210"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r>
        <w:trPr>
          <w:cantSplit/>
          <w:jc w:val="center"/>
          <w:trHeight w:val="640"/>
        </w:trPr>
        <w:tc>
          <w:tcPr>
            <w:tcW w:w="984"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551"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701"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458"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210"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r>
        <w:trPr>
          <w:cantSplit/>
          <w:jc w:val="center"/>
          <w:trHeight w:val="640"/>
        </w:trPr>
        <w:tc>
          <w:tcPr>
            <w:tcW w:w="984"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551"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701"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458"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210"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bl>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注：1、按照基本技术要求详细填列。</w:t>
      </w:r>
      <w:r/>
    </w:p>
    <w:p>
      <w:pPr>
        <w:ind w:firstLine="480"/>
        <w:spacing w:line="360" w:lineRule="auto"/>
        <w:rPr>
          <w:rFonts w:ascii="仿宋" w:hAnsi="仿宋" w:eastAsia="仿宋" w:cs="仿宋"/>
          <w:sz w:val="24"/>
          <w:szCs w:val="24"/>
        </w:rPr>
      </w:pPr>
      <w:r>
        <w:rPr>
          <w:rFonts w:hint="eastAsia" w:ascii="宋体" w:hAnsi="宋体" w:eastAsia="宋体" w:cs="宋体"/>
          <w:sz w:val="24"/>
          <w:szCs w:val="24"/>
        </w:rPr>
        <w:t xml:space="preserve">2、行数不够，可自行添加。</w:t>
      </w:r>
      <w:r/>
    </w:p>
    <w:p>
      <w:pPr>
        <w:jc w:val="center"/>
        <w:spacing w:line="360" w:lineRule="auto"/>
        <w:rPr>
          <w:rFonts w:ascii="仿宋" w:hAnsi="仿宋" w:eastAsia="仿宋" w:cs="仿宋"/>
          <w:b/>
          <w:sz w:val="36"/>
        </w:rPr>
      </w:pPr>
      <w:r>
        <w:rPr>
          <w:rFonts w:ascii="仿宋" w:hAnsi="仿宋" w:eastAsia="仿宋" w:cs="仿宋"/>
          <w:b/>
          <w:sz w:val="36"/>
        </w:rPr>
      </w:r>
      <w:r/>
    </w:p>
    <w:p>
      <w:pPr>
        <w:jc w:val="center"/>
        <w:spacing w:line="360" w:lineRule="auto"/>
        <w:rPr>
          <w:rFonts w:ascii="仿宋" w:hAnsi="仿宋" w:eastAsia="仿宋" w:cs="仿宋"/>
          <w:b/>
          <w:sz w:val="36"/>
        </w:rPr>
      </w:pPr>
      <w:r>
        <w:rPr>
          <w:rFonts w:ascii="仿宋" w:hAnsi="仿宋" w:eastAsia="仿宋" w:cs="仿宋"/>
          <w:b/>
          <w:sz w:val="36"/>
        </w:rPr>
      </w:r>
      <w:r/>
    </w:p>
    <w:p>
      <w:pPr>
        <w:jc w:val="center"/>
        <w:spacing w:line="360" w:lineRule="auto"/>
        <w:rPr>
          <w:rFonts w:ascii="仿宋" w:hAnsi="仿宋" w:eastAsia="仿宋" w:cs="仿宋"/>
          <w:b/>
          <w:sz w:val="36"/>
        </w:rPr>
      </w:pPr>
      <w:r>
        <w:rPr>
          <w:rFonts w:ascii="仿宋" w:hAnsi="仿宋" w:eastAsia="仿宋" w:cs="仿宋"/>
          <w:b/>
          <w:sz w:val="36"/>
        </w:rPr>
      </w:r>
      <w:r/>
    </w:p>
    <w:p>
      <w:pPr>
        <w:jc w:val="center"/>
        <w:spacing w:line="360" w:lineRule="auto"/>
        <w:rPr>
          <w:rFonts w:ascii="仿宋" w:hAnsi="仿宋" w:eastAsia="仿宋" w:cs="仿宋"/>
          <w:b/>
          <w:sz w:val="36"/>
        </w:rPr>
      </w:pPr>
      <w:r>
        <w:rPr>
          <w:rFonts w:ascii="仿宋" w:hAnsi="仿宋" w:eastAsia="仿宋" w:cs="仿宋"/>
          <w:b/>
          <w:sz w:val="36"/>
        </w:rPr>
      </w:r>
      <w:r/>
    </w:p>
    <w:p>
      <w:pPr>
        <w:spacing w:line="360" w:lineRule="auto"/>
        <w:rPr>
          <w:rFonts w:ascii="仿宋" w:hAnsi="仿宋" w:eastAsia="仿宋" w:cs="仿宋"/>
          <w:sz w:val="32"/>
        </w:rPr>
      </w:pPr>
      <w:r>
        <w:rPr>
          <w:rFonts w:ascii="仿宋" w:hAnsi="仿宋" w:eastAsia="仿宋" w:cs="仿宋"/>
          <w:sz w:val="32"/>
        </w:rPr>
      </w:r>
      <w:r/>
    </w:p>
    <w:p>
      <w:pPr>
        <w:spacing w:line="360" w:lineRule="auto"/>
        <w:rPr>
          <w:rFonts w:ascii="仿宋" w:hAnsi="仿宋" w:eastAsia="仿宋" w:cs="仿宋"/>
          <w:sz w:val="32"/>
        </w:rPr>
      </w:pPr>
      <w:r>
        <w:rPr>
          <w:rFonts w:ascii="仿宋" w:hAnsi="仿宋" w:eastAsia="仿宋" w:cs="仿宋"/>
          <w:sz w:val="32"/>
        </w:rPr>
      </w:r>
      <w:r/>
    </w:p>
    <w:p>
      <w:pPr>
        <w:spacing w:line="360" w:lineRule="auto"/>
        <w:rPr>
          <w:rFonts w:ascii="仿宋" w:hAnsi="仿宋" w:eastAsia="仿宋" w:cs="仿宋"/>
          <w:sz w:val="32"/>
        </w:rPr>
      </w:pPr>
      <w:r>
        <w:rPr>
          <w:rFonts w:hint="eastAsia" w:ascii="仿宋" w:hAnsi="仿宋" w:eastAsia="仿宋" w:cs="仿宋"/>
          <w:sz w:val="32"/>
        </w:rPr>
        <w:br w:type="page" w:clear="all"/>
      </w:r>
      <w:r/>
    </w:p>
    <w:p>
      <w:pPr>
        <w:pStyle w:val="810"/>
        <w:jc w:val="center"/>
        <w:spacing w:line="360" w:lineRule="auto"/>
        <w:rPr>
          <w:rFonts w:hint="eastAsia" w:ascii="宋体" w:hAnsi="宋体" w:eastAsia="宋体" w:cs="宋体"/>
          <w:sz w:val="32"/>
        </w:rPr>
      </w:pPr>
      <w:r/>
      <w:bookmarkStart w:id="211" w:name="_Hlt26955054"/>
      <w:r/>
      <w:bookmarkEnd w:id="211"/>
      <w:r/>
      <w:bookmarkStart w:id="212" w:name="_Toc714"/>
      <w:r>
        <w:rPr>
          <w:rFonts w:hint="eastAsia" w:ascii="宋体" w:hAnsi="宋体" w:eastAsia="宋体" w:cs="宋体"/>
          <w:sz w:val="32"/>
          <w:lang w:val="en-US" w:eastAsia="zh-CN"/>
        </w:rPr>
        <w:t xml:space="preserve">六</w:t>
      </w:r>
      <w:r>
        <w:rPr>
          <w:rFonts w:hint="eastAsia" w:ascii="宋体" w:hAnsi="宋体" w:eastAsia="宋体" w:cs="宋体"/>
          <w:sz w:val="32"/>
        </w:rPr>
        <w:t xml:space="preserve">、商务条款响应及偏离表</w:t>
      </w:r>
      <w:bookmarkEnd w:id="212"/>
      <w:r/>
      <w:r/>
    </w:p>
    <w:tbl>
      <w:tblPr>
        <w:tblStyle w:val="819"/>
        <w:tblW w:w="991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057"/>
        <w:gridCol w:w="2723"/>
        <w:gridCol w:w="2121"/>
        <w:gridCol w:w="3018"/>
      </w:tblGrid>
      <w:tr>
        <w:trPr>
          <w:jc w:val="center"/>
          <w:trHeight w:val="642"/>
        </w:trPr>
        <w:tc>
          <w:tcPr>
            <w:tcBorders>
              <w:top w:val="single" w:color="auto" w:sz="4" w:space="0"/>
              <w:left w:val="single" w:color="auto" w:sz="4" w:space="0"/>
              <w:bottom w:val="single" w:color="auto" w:sz="4" w:space="0"/>
              <w:right w:val="single" w:color="auto" w:sz="4" w:space="0"/>
            </w:tcBorders>
            <w:tcW w:w="2057" w:type="dxa"/>
            <w:textDirection w:val="lrTb"/>
            <w:noWrap w:val="false"/>
          </w:tcPr>
          <w:p>
            <w:pPr>
              <w:jc w:val="center"/>
              <w:spacing w:before="158" w:line="360" w:lineRule="auto"/>
              <w:rPr>
                <w:rFonts w:hint="eastAsia" w:ascii="宋体" w:hAnsi="宋体" w:eastAsia="宋体" w:cs="宋体"/>
                <w:szCs w:val="21"/>
              </w:rPr>
            </w:pPr>
            <w:r/>
            <w:bookmarkStart w:id="213" w:name="_Hlt26671372"/>
            <w:r/>
            <w:bookmarkEnd w:id="213"/>
            <w:r/>
            <w:bookmarkStart w:id="214" w:name="_Hlt24879081"/>
            <w:r/>
            <w:bookmarkEnd w:id="214"/>
            <w:r/>
            <w:bookmarkStart w:id="215" w:name="_Hlt26671343"/>
            <w:r/>
            <w:bookmarkEnd w:id="215"/>
            <w:r/>
            <w:bookmarkStart w:id="216" w:name="_Hlt26955056"/>
            <w:r/>
            <w:bookmarkEnd w:id="216"/>
            <w:r/>
            <w:bookmarkStart w:id="217" w:name="_Hlt26609391"/>
            <w:r/>
            <w:bookmarkEnd w:id="217"/>
            <w:r/>
            <w:bookmarkStart w:id="218" w:name="_Hlt26955064"/>
            <w:r/>
            <w:bookmarkEnd w:id="218"/>
            <w:r/>
            <w:bookmarkStart w:id="219" w:name="_Hlt26580838"/>
            <w:r/>
            <w:bookmarkEnd w:id="219"/>
            <w:r/>
            <w:bookmarkStart w:id="220" w:name="_Hlt26782999"/>
            <w:r/>
            <w:bookmarkEnd w:id="220"/>
            <w:r>
              <w:rPr>
                <w:rFonts w:hint="eastAsia" w:ascii="宋体" w:hAnsi="宋体" w:eastAsia="宋体" w:cs="宋体"/>
                <w:szCs w:val="21"/>
              </w:rPr>
              <w:t xml:space="preserve">项目</w:t>
            </w:r>
            <w:r/>
          </w:p>
        </w:tc>
        <w:tc>
          <w:tcPr>
            <w:tcBorders>
              <w:top w:val="single" w:color="auto" w:sz="4" w:space="0"/>
              <w:left w:val="single" w:color="auto" w:sz="4" w:space="0"/>
              <w:bottom w:val="single" w:color="auto" w:sz="4" w:space="0"/>
              <w:right w:val="single" w:color="auto" w:sz="4" w:space="0"/>
            </w:tcBorders>
            <w:tcW w:w="2723" w:type="dxa"/>
            <w:textDirection w:val="lrTb"/>
            <w:noWrap w:val="false"/>
          </w:tcPr>
          <w:p>
            <w:pPr>
              <w:jc w:val="center"/>
              <w:spacing w:before="158" w:line="360" w:lineRule="auto"/>
              <w:rPr>
                <w:rFonts w:hint="eastAsia" w:ascii="宋体" w:hAnsi="宋体" w:eastAsia="宋体" w:cs="宋体"/>
                <w:szCs w:val="21"/>
              </w:rPr>
            </w:pPr>
            <w:r>
              <w:rPr>
                <w:rFonts w:hint="eastAsia" w:ascii="宋体" w:hAnsi="宋体" w:eastAsia="宋体" w:cs="宋体"/>
                <w:szCs w:val="21"/>
              </w:rPr>
              <w:t xml:space="preserve">招标文件要求</w:t>
            </w:r>
            <w:r/>
          </w:p>
        </w:tc>
        <w:tc>
          <w:tcPr>
            <w:tcBorders>
              <w:top w:val="single" w:color="auto" w:sz="4" w:space="0"/>
              <w:left w:val="single" w:color="auto" w:sz="4" w:space="0"/>
              <w:bottom w:val="single" w:color="auto" w:sz="4" w:space="0"/>
              <w:right w:val="single" w:color="auto" w:sz="4" w:space="0"/>
            </w:tcBorders>
            <w:tcW w:w="2121" w:type="dxa"/>
            <w:textDirection w:val="lrTb"/>
            <w:noWrap w:val="false"/>
          </w:tcPr>
          <w:p>
            <w:pPr>
              <w:jc w:val="center"/>
              <w:spacing w:before="158" w:line="360" w:lineRule="auto"/>
              <w:rPr>
                <w:rFonts w:hint="eastAsia" w:ascii="宋体" w:hAnsi="宋体" w:eastAsia="宋体" w:cs="宋体"/>
                <w:szCs w:val="21"/>
              </w:rPr>
            </w:pPr>
            <w:r>
              <w:rPr>
                <w:rFonts w:hint="eastAsia" w:ascii="宋体" w:hAnsi="宋体" w:eastAsia="宋体" w:cs="宋体"/>
                <w:szCs w:val="21"/>
              </w:rPr>
              <w:t xml:space="preserve">是否响应</w:t>
            </w:r>
            <w:r/>
          </w:p>
        </w:tc>
        <w:tc>
          <w:tcPr>
            <w:tcBorders>
              <w:top w:val="single" w:color="auto" w:sz="4" w:space="0"/>
              <w:left w:val="single" w:color="auto" w:sz="4" w:space="0"/>
              <w:bottom w:val="single" w:color="auto" w:sz="4" w:space="0"/>
              <w:right w:val="single" w:color="auto" w:sz="4" w:space="0"/>
            </w:tcBorders>
            <w:tcW w:w="3018" w:type="dxa"/>
            <w:textDirection w:val="lrTb"/>
            <w:noWrap w:val="false"/>
          </w:tcPr>
          <w:p>
            <w:pPr>
              <w:jc w:val="center"/>
              <w:spacing w:before="158" w:line="360" w:lineRule="auto"/>
              <w:rPr>
                <w:rFonts w:hint="eastAsia" w:ascii="宋体" w:hAnsi="宋体" w:eastAsia="宋体" w:cs="宋体"/>
                <w:szCs w:val="21"/>
              </w:rPr>
            </w:pPr>
            <w:r>
              <w:rPr>
                <w:rFonts w:hint="eastAsia" w:ascii="宋体" w:hAnsi="宋体" w:eastAsia="宋体" w:cs="宋体"/>
                <w:szCs w:val="21"/>
              </w:rPr>
              <w:t xml:space="preserve">投标人的承诺或说明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2057" w:type="dxa"/>
            <w:textDirection w:val="lrTb"/>
            <w:noWrap w:val="false"/>
          </w:tcPr>
          <w:p>
            <w:pPr>
              <w:jc w:val="center"/>
              <w:spacing w:before="158"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723" w:type="dxa"/>
            <w:textDirection w:val="lrTb"/>
            <w:noWrap w:val="false"/>
          </w:tcPr>
          <w:p>
            <w:pPr>
              <w:jc w:val="center"/>
              <w:spacing w:before="158"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121" w:type="dxa"/>
            <w:textDirection w:val="lrTb"/>
            <w:noWrap w:val="false"/>
          </w:tcPr>
          <w:p>
            <w:pPr>
              <w:jc w:val="center"/>
              <w:spacing w:before="158"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018" w:type="dxa"/>
            <w:textDirection w:val="lrTb"/>
            <w:noWrap w:val="false"/>
          </w:tcPr>
          <w:p>
            <w:pPr>
              <w:jc w:val="center"/>
              <w:spacing w:before="158"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719"/>
        </w:trPr>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jc w:val="center"/>
              <w:spacing w:before="158"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723" w:type="dxa"/>
            <w:textDirection w:val="lrTb"/>
            <w:noWrap w:val="false"/>
          </w:tcPr>
          <w:p>
            <w:pPr>
              <w:jc w:val="center"/>
              <w:spacing w:before="158"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121" w:type="dxa"/>
            <w:textDirection w:val="lrTb"/>
            <w:noWrap w:val="false"/>
          </w:tcPr>
          <w:p>
            <w:pPr>
              <w:jc w:val="center"/>
              <w:spacing w:before="158"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018" w:type="dxa"/>
            <w:textDirection w:val="lrTb"/>
            <w:noWrap w:val="false"/>
          </w:tcPr>
          <w:p>
            <w:pPr>
              <w:jc w:val="center"/>
              <w:spacing w:before="158"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540"/>
        </w:trPr>
        <w:tc>
          <w:tcPr>
            <w:tcBorders>
              <w:top w:val="single" w:color="auto" w:sz="4" w:space="0"/>
              <w:left w:val="single" w:color="auto" w:sz="4" w:space="0"/>
              <w:bottom w:val="single" w:color="auto" w:sz="4" w:space="0"/>
              <w:right w:val="single" w:color="auto" w:sz="4" w:space="0"/>
            </w:tcBorders>
            <w:tcW w:w="2057" w:type="dxa"/>
            <w:textDirection w:val="lrTb"/>
            <w:noWrap w:val="false"/>
          </w:tcPr>
          <w:p>
            <w:pPr>
              <w:jc w:val="center"/>
              <w:spacing w:before="158"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723" w:type="dxa"/>
            <w:textDirection w:val="lrTb"/>
            <w:noWrap w:val="false"/>
          </w:tcPr>
          <w:p>
            <w:pPr>
              <w:jc w:val="center"/>
              <w:spacing w:before="158"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121" w:type="dxa"/>
            <w:textDirection w:val="lrTb"/>
            <w:noWrap w:val="false"/>
          </w:tcPr>
          <w:p>
            <w:pPr>
              <w:ind w:left="43"/>
              <w:jc w:val="center"/>
              <w:spacing w:before="158"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018" w:type="dxa"/>
            <w:textDirection w:val="lrTb"/>
            <w:noWrap w:val="false"/>
          </w:tcPr>
          <w:p>
            <w:pPr>
              <w:ind w:left="43"/>
              <w:jc w:val="center"/>
              <w:spacing w:before="158"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440"/>
        </w:trPr>
        <w:tc>
          <w:tcPr>
            <w:tcBorders>
              <w:top w:val="single" w:color="auto" w:sz="4" w:space="0"/>
              <w:left w:val="single" w:color="auto" w:sz="4" w:space="0"/>
              <w:bottom w:val="single" w:color="auto" w:sz="4" w:space="0"/>
              <w:right w:val="single" w:color="auto" w:sz="4" w:space="0"/>
            </w:tcBorders>
            <w:tcW w:w="2057" w:type="dxa"/>
            <w:textDirection w:val="lrTb"/>
            <w:noWrap w:val="false"/>
          </w:tcPr>
          <w:p>
            <w:pPr>
              <w:jc w:val="center"/>
              <w:spacing w:before="158"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723" w:type="dxa"/>
            <w:textDirection w:val="lrTb"/>
            <w:noWrap w:val="false"/>
          </w:tcPr>
          <w:p>
            <w:pPr>
              <w:spacing w:before="158"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121" w:type="dxa"/>
            <w:textDirection w:val="lrTb"/>
            <w:noWrap w:val="false"/>
          </w:tcPr>
          <w:p>
            <w:pPr>
              <w:ind w:left="43"/>
              <w:jc w:val="center"/>
              <w:spacing w:before="158"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018" w:type="dxa"/>
            <w:textDirection w:val="lrTb"/>
            <w:noWrap w:val="false"/>
          </w:tcPr>
          <w:p>
            <w:pPr>
              <w:ind w:left="43"/>
              <w:jc w:val="center"/>
              <w:spacing w:before="158"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460"/>
        </w:trPr>
        <w:tc>
          <w:tcPr>
            <w:tcBorders>
              <w:top w:val="single" w:color="auto" w:sz="4" w:space="0"/>
              <w:left w:val="single" w:color="auto" w:sz="4" w:space="0"/>
              <w:bottom w:val="single" w:color="auto" w:sz="4" w:space="0"/>
              <w:right w:val="single" w:color="auto" w:sz="4" w:space="0"/>
            </w:tcBorders>
            <w:tcW w:w="2057" w:type="dxa"/>
            <w:textDirection w:val="lrTb"/>
            <w:noWrap w:val="false"/>
          </w:tcPr>
          <w:p>
            <w:pPr>
              <w:jc w:val="center"/>
              <w:spacing w:before="158"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723" w:type="dxa"/>
            <w:textDirection w:val="lrTb"/>
            <w:noWrap w:val="false"/>
          </w:tcPr>
          <w:p>
            <w:pPr>
              <w:spacing w:before="158"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121" w:type="dxa"/>
            <w:textDirection w:val="lrTb"/>
            <w:noWrap w:val="false"/>
          </w:tcPr>
          <w:p>
            <w:pPr>
              <w:ind w:left="43"/>
              <w:jc w:val="center"/>
              <w:spacing w:before="158"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018" w:type="dxa"/>
            <w:textDirection w:val="lrTb"/>
            <w:noWrap w:val="false"/>
          </w:tcPr>
          <w:p>
            <w:pPr>
              <w:ind w:left="43"/>
              <w:jc w:val="center"/>
              <w:spacing w:before="158"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402"/>
        </w:trPr>
        <w:tc>
          <w:tcPr>
            <w:tcBorders>
              <w:top w:val="single" w:color="auto" w:sz="4" w:space="0"/>
              <w:left w:val="single" w:color="auto" w:sz="4" w:space="0"/>
              <w:bottom w:val="single" w:color="auto" w:sz="4" w:space="0"/>
              <w:right w:val="single" w:color="auto" w:sz="4" w:space="0"/>
            </w:tcBorders>
            <w:tcW w:w="2057" w:type="dxa"/>
            <w:textDirection w:val="lrTb"/>
            <w:noWrap w:val="false"/>
          </w:tcPr>
          <w:p>
            <w:pPr>
              <w:jc w:val="center"/>
              <w:spacing w:before="158"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723" w:type="dxa"/>
            <w:textDirection w:val="lrTb"/>
            <w:noWrap w:val="false"/>
          </w:tcPr>
          <w:p>
            <w:pPr>
              <w:spacing w:before="158"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121" w:type="dxa"/>
            <w:textDirection w:val="lrTb"/>
            <w:noWrap w:val="false"/>
          </w:tcPr>
          <w:p>
            <w:pPr>
              <w:jc w:val="center"/>
              <w:spacing w:before="158"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3018" w:type="dxa"/>
            <w:textDirection w:val="lrTb"/>
            <w:noWrap w:val="false"/>
          </w:tcPr>
          <w:p>
            <w:pPr>
              <w:jc w:val="center"/>
              <w:spacing w:before="158" w:line="360" w:lineRule="auto"/>
              <w:rPr>
                <w:rFonts w:hint="eastAsia" w:ascii="宋体" w:hAnsi="宋体" w:eastAsia="宋体" w:cs="宋体"/>
                <w:szCs w:val="21"/>
              </w:rPr>
            </w:pPr>
            <w:r>
              <w:rPr>
                <w:rFonts w:hint="eastAsia" w:ascii="宋体" w:hAnsi="宋体" w:eastAsia="宋体" w:cs="宋体"/>
                <w:szCs w:val="21"/>
              </w:rPr>
            </w:r>
            <w:r/>
          </w:p>
        </w:tc>
      </w:tr>
    </w:tbl>
    <w:p>
      <w:pPr>
        <w:spacing w:line="360" w:lineRule="auto"/>
        <w:rPr>
          <w:rFonts w:ascii="仿宋" w:hAnsi="仿宋" w:eastAsia="仿宋" w:cs="仿宋"/>
          <w:sz w:val="24"/>
        </w:rPr>
      </w:pPr>
      <w:r>
        <w:rPr>
          <w:rFonts w:ascii="仿宋" w:hAnsi="仿宋" w:eastAsia="仿宋" w:cs="仿宋"/>
          <w:sz w:val="24"/>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1.投标人需对商务要求（未加斜体下划线的非实质性要求）逐条做出明确响应。</w:t>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2.如果招标文件要求提供证明材料，投标人需将证明材料列于该表之下。</w:t>
      </w:r>
      <w:r/>
    </w:p>
    <w:p>
      <w:pPr>
        <w:spacing w:line="360" w:lineRule="auto"/>
        <w:rPr>
          <w:rFonts w:ascii="仿宋" w:hAnsi="仿宋" w:eastAsia="仿宋" w:cs="仿宋"/>
          <w:sz w:val="30"/>
        </w:rPr>
      </w:pPr>
      <w:r>
        <w:rPr>
          <w:rFonts w:ascii="仿宋" w:hAnsi="仿宋" w:eastAsia="仿宋" w:cs="仿宋"/>
          <w:sz w:val="30"/>
        </w:rPr>
      </w:r>
      <w:r/>
    </w:p>
    <w:p>
      <w:pPr>
        <w:pStyle w:val="822"/>
        <w:ind w:firstLine="480"/>
        <w:spacing w:line="360" w:lineRule="auto"/>
        <w:rPr>
          <w:rFonts w:ascii="仿宋" w:hAnsi="仿宋" w:eastAsia="仿宋" w:cs="仿宋"/>
          <w:sz w:val="24"/>
        </w:rPr>
      </w:pPr>
      <w:r/>
      <w:bookmarkStart w:id="221" w:name="_Hlt26955066"/>
      <w:r/>
      <w:bookmarkEnd w:id="221"/>
      <w:r/>
      <w:bookmarkStart w:id="222" w:name="_Hlt26671374"/>
      <w:r/>
      <w:bookmarkEnd w:id="222"/>
      <w:r/>
      <w:bookmarkStart w:id="223" w:name="_Hlt26609389"/>
      <w:r/>
      <w:bookmarkEnd w:id="223"/>
      <w:r/>
      <w:bookmarkStart w:id="224" w:name="_Toc462564146"/>
      <w:r/>
      <w:r/>
    </w:p>
    <w:p>
      <w:pPr>
        <w:pStyle w:val="822"/>
        <w:ind w:firstLine="480"/>
        <w:spacing w:line="360" w:lineRule="auto"/>
        <w:rPr>
          <w:rFonts w:ascii="仿宋" w:hAnsi="仿宋" w:eastAsia="仿宋" w:cs="仿宋"/>
          <w:sz w:val="24"/>
        </w:rPr>
      </w:pPr>
      <w:r>
        <w:rPr>
          <w:rFonts w:ascii="仿宋" w:hAnsi="仿宋" w:eastAsia="仿宋" w:cs="仿宋"/>
          <w:sz w:val="24"/>
        </w:rPr>
      </w:r>
      <w:r/>
    </w:p>
    <w:p>
      <w:pPr>
        <w:pStyle w:val="822"/>
        <w:ind w:firstLine="480"/>
        <w:spacing w:line="360" w:lineRule="auto"/>
        <w:rPr>
          <w:rFonts w:ascii="仿宋" w:hAnsi="仿宋" w:eastAsia="仿宋" w:cs="仿宋"/>
          <w:sz w:val="24"/>
        </w:rPr>
      </w:pPr>
      <w:r>
        <w:rPr>
          <w:rFonts w:ascii="仿宋" w:hAnsi="仿宋" w:eastAsia="仿宋" w:cs="仿宋"/>
          <w:sz w:val="24"/>
        </w:rPr>
      </w:r>
      <w:r/>
    </w:p>
    <w:p>
      <w:pPr>
        <w:pStyle w:val="822"/>
        <w:ind w:firstLine="480"/>
        <w:spacing w:line="360" w:lineRule="auto"/>
        <w:rPr>
          <w:rFonts w:ascii="仿宋" w:hAnsi="仿宋" w:eastAsia="仿宋" w:cs="仿宋"/>
          <w:sz w:val="24"/>
        </w:rPr>
      </w:pPr>
      <w:r>
        <w:rPr>
          <w:rFonts w:ascii="仿宋" w:hAnsi="仿宋" w:eastAsia="仿宋" w:cs="仿宋"/>
          <w:sz w:val="24"/>
        </w:rPr>
      </w:r>
      <w:r/>
    </w:p>
    <w:p>
      <w:pPr>
        <w:pStyle w:val="822"/>
        <w:ind w:firstLine="480"/>
        <w:spacing w:line="360" w:lineRule="auto"/>
        <w:rPr>
          <w:rFonts w:ascii="仿宋" w:hAnsi="仿宋" w:eastAsia="仿宋" w:cs="仿宋"/>
          <w:sz w:val="24"/>
        </w:rPr>
      </w:pPr>
      <w:r>
        <w:rPr>
          <w:rFonts w:hint="eastAsia" w:ascii="仿宋" w:hAnsi="仿宋" w:eastAsia="仿宋" w:cs="仿宋"/>
          <w:sz w:val="24"/>
        </w:rPr>
        <w:t xml:space="preserve">.</w:t>
      </w:r>
      <w:r/>
    </w:p>
    <w:p>
      <w:pPr>
        <w:pStyle w:val="822"/>
        <w:ind w:firstLine="480"/>
        <w:spacing w:line="360" w:lineRule="auto"/>
        <w:rPr>
          <w:rFonts w:ascii="仿宋" w:hAnsi="仿宋" w:eastAsia="仿宋" w:cs="仿宋"/>
          <w:sz w:val="24"/>
        </w:rPr>
      </w:pPr>
      <w:r>
        <w:rPr>
          <w:rFonts w:ascii="仿宋" w:hAnsi="仿宋" w:eastAsia="仿宋" w:cs="仿宋"/>
          <w:sz w:val="24"/>
        </w:rPr>
      </w:r>
      <w:r/>
    </w:p>
    <w:p>
      <w:pPr>
        <w:pStyle w:val="822"/>
        <w:ind w:firstLine="480"/>
        <w:spacing w:line="360" w:lineRule="auto"/>
        <w:rPr>
          <w:rFonts w:ascii="仿宋" w:hAnsi="仿宋" w:eastAsia="仿宋" w:cs="仿宋"/>
          <w:sz w:val="24"/>
        </w:rPr>
      </w:pPr>
      <w:r>
        <w:rPr>
          <w:rFonts w:ascii="仿宋" w:hAnsi="仿宋" w:eastAsia="仿宋" w:cs="仿宋"/>
          <w:sz w:val="24"/>
        </w:rPr>
      </w:r>
      <w:r/>
    </w:p>
    <w:p>
      <w:pPr>
        <w:pStyle w:val="822"/>
        <w:ind w:firstLine="480"/>
        <w:spacing w:line="360" w:lineRule="auto"/>
        <w:rPr>
          <w:rFonts w:ascii="仿宋" w:hAnsi="仿宋" w:eastAsia="仿宋" w:cs="仿宋"/>
          <w:sz w:val="24"/>
        </w:rPr>
      </w:pPr>
      <w:r>
        <w:rPr>
          <w:rFonts w:ascii="仿宋" w:hAnsi="仿宋" w:eastAsia="仿宋" w:cs="仿宋"/>
          <w:sz w:val="24"/>
        </w:rPr>
      </w:r>
      <w:r/>
    </w:p>
    <w:p>
      <w:pPr>
        <w:pStyle w:val="822"/>
        <w:ind w:firstLine="480"/>
        <w:spacing w:line="360" w:lineRule="auto"/>
        <w:rPr>
          <w:rFonts w:ascii="仿宋" w:hAnsi="仿宋" w:eastAsia="仿宋" w:cs="仿宋"/>
          <w:sz w:val="24"/>
        </w:rPr>
      </w:pPr>
      <w:r>
        <w:rPr>
          <w:rFonts w:ascii="仿宋" w:hAnsi="仿宋" w:eastAsia="仿宋" w:cs="仿宋"/>
          <w:sz w:val="24"/>
        </w:rPr>
      </w:r>
      <w:r/>
    </w:p>
    <w:p>
      <w:pPr>
        <w:pStyle w:val="822"/>
        <w:ind w:firstLine="480"/>
        <w:spacing w:line="360" w:lineRule="auto"/>
        <w:rPr>
          <w:rFonts w:ascii="仿宋" w:hAnsi="仿宋" w:eastAsia="仿宋" w:cs="仿宋"/>
          <w:sz w:val="24"/>
        </w:rPr>
      </w:pPr>
      <w:r>
        <w:rPr>
          <w:rFonts w:ascii="仿宋" w:hAnsi="仿宋" w:eastAsia="仿宋" w:cs="仿宋"/>
          <w:sz w:val="24"/>
        </w:rPr>
      </w:r>
      <w:r/>
    </w:p>
    <w:p>
      <w:pPr>
        <w:pStyle w:val="822"/>
        <w:ind w:firstLine="480"/>
        <w:spacing w:line="360" w:lineRule="auto"/>
        <w:rPr>
          <w:rFonts w:ascii="仿宋" w:hAnsi="仿宋" w:eastAsia="仿宋" w:cs="仿宋"/>
          <w:sz w:val="24"/>
        </w:rPr>
      </w:pPr>
      <w:r>
        <w:rPr>
          <w:rFonts w:ascii="仿宋" w:hAnsi="仿宋" w:eastAsia="仿宋" w:cs="仿宋"/>
          <w:sz w:val="24"/>
        </w:rPr>
      </w:r>
      <w:r/>
    </w:p>
    <w:p>
      <w:pPr>
        <w:pStyle w:val="822"/>
        <w:ind w:firstLine="480"/>
        <w:spacing w:line="360" w:lineRule="auto"/>
        <w:rPr>
          <w:rFonts w:ascii="仿宋" w:hAnsi="仿宋" w:eastAsia="仿宋" w:cs="仿宋"/>
          <w:sz w:val="24"/>
        </w:rPr>
      </w:pPr>
      <w:r>
        <w:rPr>
          <w:rFonts w:ascii="仿宋" w:hAnsi="仿宋" w:eastAsia="仿宋" w:cs="仿宋"/>
          <w:sz w:val="24"/>
        </w:rPr>
      </w:r>
      <w:r/>
    </w:p>
    <w:p>
      <w:pPr>
        <w:pStyle w:val="822"/>
        <w:ind w:firstLine="480"/>
        <w:spacing w:line="360" w:lineRule="auto"/>
        <w:rPr>
          <w:rFonts w:ascii="仿宋" w:hAnsi="仿宋" w:eastAsia="仿宋" w:cs="仿宋"/>
          <w:sz w:val="24"/>
        </w:rPr>
      </w:pPr>
      <w:r>
        <w:rPr>
          <w:rFonts w:ascii="仿宋" w:hAnsi="仿宋" w:eastAsia="仿宋" w:cs="仿宋"/>
          <w:sz w:val="24"/>
        </w:rPr>
      </w:r>
      <w:r/>
    </w:p>
    <w:p>
      <w:pPr>
        <w:pStyle w:val="822"/>
        <w:ind w:firstLine="480"/>
        <w:spacing w:line="360" w:lineRule="auto"/>
        <w:rPr>
          <w:rFonts w:ascii="仿宋" w:hAnsi="仿宋" w:eastAsia="仿宋" w:cs="仿宋"/>
          <w:sz w:val="24"/>
        </w:rPr>
      </w:pPr>
      <w:r>
        <w:rPr>
          <w:rFonts w:ascii="仿宋" w:hAnsi="仿宋" w:eastAsia="仿宋" w:cs="仿宋"/>
          <w:sz w:val="24"/>
        </w:rPr>
      </w:r>
      <w:r/>
    </w:p>
    <w:p>
      <w:pPr>
        <w:pStyle w:val="822"/>
        <w:ind w:firstLine="480"/>
        <w:spacing w:line="360" w:lineRule="auto"/>
        <w:rPr>
          <w:rFonts w:ascii="仿宋" w:hAnsi="仿宋" w:eastAsia="仿宋" w:cs="仿宋"/>
          <w:sz w:val="24"/>
        </w:rPr>
      </w:pPr>
      <w:r>
        <w:rPr>
          <w:rFonts w:ascii="仿宋" w:hAnsi="仿宋" w:eastAsia="仿宋" w:cs="仿宋"/>
          <w:sz w:val="24"/>
        </w:rPr>
      </w:r>
      <w:r/>
    </w:p>
    <w:p>
      <w:pPr>
        <w:pStyle w:val="822"/>
        <w:ind w:firstLine="480"/>
        <w:spacing w:line="360" w:lineRule="auto"/>
        <w:rPr>
          <w:rFonts w:ascii="仿宋" w:hAnsi="仿宋" w:eastAsia="仿宋" w:cs="仿宋"/>
          <w:sz w:val="24"/>
        </w:rPr>
      </w:pPr>
      <w:r>
        <w:rPr>
          <w:rFonts w:ascii="仿宋" w:hAnsi="仿宋" w:eastAsia="仿宋" w:cs="仿宋"/>
          <w:sz w:val="24"/>
        </w:rPr>
      </w:r>
      <w:bookmarkEnd w:id="224"/>
      <w:r/>
      <w:r/>
    </w:p>
    <w:p>
      <w:pPr>
        <w:jc w:val="center"/>
        <w:spacing w:before="317" w:line="360" w:lineRule="auto"/>
        <w:rPr>
          <w:rFonts w:hint="eastAsia" w:ascii="仿宋" w:hAnsi="仿宋" w:eastAsia="仿宋" w:cs="仿宋"/>
          <w:b/>
        </w:rPr>
        <w:sectPr>
          <w:headerReference w:type="default" r:id="rId12"/>
          <w:footnotePr/>
          <w:endnotePr/>
          <w:type w:val="nextPage"/>
          <w:pgSz w:w="11905" w:h="16838" w:orient="portrait"/>
          <w:pgMar w:top="1134" w:right="1134" w:bottom="1134" w:left="1134" w:header="0" w:footer="1020" w:gutter="0"/>
          <w:cols w:num="1" w:sep="0" w:space="0" w:equalWidth="1"/>
          <w:docGrid w:linePitch="360"/>
        </w:sectPr>
      </w:pPr>
      <w:r>
        <w:rPr>
          <w:rFonts w:hint="eastAsia" w:ascii="仿宋" w:hAnsi="仿宋" w:eastAsia="仿宋" w:cs="仿宋"/>
          <w:b/>
        </w:rPr>
      </w:r>
      <w:r/>
    </w:p>
    <w:p>
      <w:pPr>
        <w:jc w:val="center"/>
        <w:spacing w:before="317" w:line="360" w:lineRule="auto"/>
        <w:rPr>
          <w:rFonts w:hint="eastAsia" w:ascii="宋体" w:hAnsi="宋体" w:eastAsia="宋体" w:cs="宋体"/>
          <w:b/>
        </w:rPr>
      </w:pPr>
      <w:r>
        <w:rPr>
          <w:rFonts w:hint="eastAsia" w:ascii="宋体" w:hAnsi="宋体" w:eastAsia="宋体" w:cs="宋体"/>
          <w:b/>
        </w:rPr>
        <w:t xml:space="preserve">主要标的信息（中标后将公示）</w:t>
      </w:r>
      <w:r/>
    </w:p>
    <w:p>
      <w:pPr>
        <w:spacing w:after="317" w:line="360" w:lineRule="auto"/>
        <w:rPr>
          <w:rFonts w:hint="eastAsia" w:ascii="宋体" w:hAnsi="宋体" w:eastAsia="宋体" w:cs="宋体"/>
          <w:b/>
        </w:rPr>
      </w:pPr>
      <w:r>
        <w:rPr>
          <w:rFonts w:hint="eastAsia" w:ascii="宋体" w:hAnsi="宋体" w:eastAsia="宋体" w:cs="宋体"/>
        </w:rPr>
        <w:t xml:space="preserve">投标人全称：</w:t>
      </w:r>
      <w:r/>
    </w:p>
    <w:tbl>
      <w:tblPr>
        <w:tblStyle w:val="819"/>
        <w:tblW w:w="9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40"/>
      </w:tblGrid>
      <w:tr>
        <w:trPr>
          <w:jc w:val="center"/>
          <w:trHeight w:val="603"/>
        </w:trPr>
        <w:tc>
          <w:tcPr>
            <w:tcW w:w="9540" w:type="dxa"/>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服务类</w:t>
            </w:r>
            <w:r/>
          </w:p>
        </w:tc>
      </w:tr>
      <w:tr>
        <w:trPr>
          <w:jc w:val="center"/>
          <w:trHeight w:val="2893"/>
        </w:trPr>
        <w:tc>
          <w:tcPr>
            <w:tcW w:w="9540" w:type="dxa"/>
            <w:textDirection w:val="lrTb"/>
            <w:noWrap w:val="false"/>
          </w:tcPr>
          <w:p>
            <w:pPr>
              <w:spacing w:line="360" w:lineRule="auto"/>
              <w:rPr>
                <w:rFonts w:hint="eastAsia" w:ascii="宋体" w:hAnsi="宋体" w:eastAsia="宋体" w:cs="宋体"/>
              </w:rPr>
            </w:pPr>
            <w:r>
              <w:rPr>
                <w:rFonts w:hint="eastAsia" w:ascii="宋体" w:hAnsi="宋体" w:eastAsia="宋体" w:cs="宋体"/>
              </w:rPr>
              <w:t xml:space="preserve">名称：</w:t>
            </w:r>
            <w:r/>
          </w:p>
          <w:p>
            <w:pPr>
              <w:spacing w:line="360" w:lineRule="auto"/>
              <w:rPr>
                <w:rFonts w:hint="eastAsia" w:ascii="宋体" w:hAnsi="宋体" w:eastAsia="宋体" w:cs="宋体"/>
              </w:rPr>
            </w:pPr>
            <w:r>
              <w:rPr>
                <w:rFonts w:hint="eastAsia" w:ascii="宋体" w:hAnsi="宋体" w:eastAsia="宋体" w:cs="宋体"/>
              </w:rPr>
              <w:t xml:space="preserve">服务范围：</w:t>
            </w:r>
            <w:r/>
          </w:p>
          <w:p>
            <w:pPr>
              <w:spacing w:line="360" w:lineRule="auto"/>
              <w:rPr>
                <w:rFonts w:hint="eastAsia" w:ascii="宋体" w:hAnsi="宋体" w:eastAsia="宋体" w:cs="宋体"/>
                <w:u w:val="single"/>
              </w:rPr>
            </w:pPr>
            <w:r>
              <w:rPr>
                <w:rFonts w:hint="eastAsia" w:ascii="宋体" w:hAnsi="宋体" w:eastAsia="宋体" w:cs="宋体"/>
              </w:rPr>
              <w:t xml:space="preserve">服务要求：</w:t>
            </w:r>
            <w:r/>
          </w:p>
          <w:p>
            <w:pPr>
              <w:spacing w:line="360" w:lineRule="auto"/>
              <w:rPr>
                <w:rFonts w:hint="eastAsia" w:ascii="宋体" w:hAnsi="宋体" w:eastAsia="宋体" w:cs="宋体"/>
                <w:u w:val="single"/>
              </w:rPr>
            </w:pPr>
            <w:r>
              <w:rPr>
                <w:rFonts w:hint="eastAsia" w:ascii="宋体" w:hAnsi="宋体" w:eastAsia="宋体" w:cs="宋体"/>
              </w:rPr>
              <w:t xml:space="preserve">服务时间：</w:t>
            </w:r>
            <w:r/>
          </w:p>
          <w:p>
            <w:pPr>
              <w:spacing w:line="360" w:lineRule="auto"/>
              <w:rPr>
                <w:rFonts w:hint="eastAsia" w:ascii="宋体" w:hAnsi="宋体" w:eastAsia="宋体" w:cs="宋体"/>
              </w:rPr>
            </w:pPr>
            <w:r>
              <w:rPr>
                <w:rFonts w:hint="eastAsia" w:ascii="宋体" w:hAnsi="宋体" w:eastAsia="宋体" w:cs="宋体"/>
              </w:rPr>
              <w:t xml:space="preserve">服务标准：</w:t>
            </w:r>
            <w:r/>
          </w:p>
        </w:tc>
      </w:tr>
    </w:tbl>
    <w:p>
      <w:pPr>
        <w:jc w:val="left"/>
        <w:spacing w:line="360" w:lineRule="auto"/>
        <w:widowControl/>
        <w:rPr>
          <w:rFonts w:ascii="仿宋" w:hAnsi="仿宋" w:eastAsia="仿宋" w:cs="仿宋"/>
          <w:sz w:val="24"/>
          <w:szCs w:val="24"/>
        </w:rPr>
      </w:pPr>
      <w:r>
        <w:rPr>
          <w:rFonts w:hint="eastAsia" w:ascii="仿宋" w:hAnsi="仿宋" w:eastAsia="仿宋" w:cs="仿宋"/>
          <w:sz w:val="24"/>
          <w:szCs w:val="24"/>
        </w:rPr>
        <w:br w:type="page" w:clear="all"/>
      </w:r>
      <w:r/>
    </w:p>
    <w:p>
      <w:pPr>
        <w:ind w:firstLine="211"/>
        <w:jc w:val="center"/>
        <w:spacing w:line="360" w:lineRule="auto"/>
        <w:rPr>
          <w:rFonts w:hint="eastAsia" w:ascii="宋体" w:hAnsi="宋体" w:eastAsia="宋体" w:cs="宋体"/>
          <w:b/>
        </w:rPr>
      </w:pPr>
      <w:r>
        <w:rPr>
          <w:rFonts w:hint="eastAsia" w:ascii="宋体" w:hAnsi="宋体" w:eastAsia="宋体" w:cs="宋体"/>
          <w:b/>
        </w:rPr>
        <w:t xml:space="preserve">联合体协议（如有）</w:t>
      </w:r>
      <w:r/>
    </w:p>
    <w:p>
      <w:pPr>
        <w:ind w:firstLine="211"/>
        <w:jc w:val="cente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rPr>
      </w:pPr>
      <w:r>
        <w:rPr>
          <w:rFonts w:hint="eastAsia" w:ascii="宋体" w:hAnsi="宋体" w:eastAsia="宋体" w:cs="宋体"/>
        </w:rPr>
        <w:t xml:space="preserve">（联合体中各供应商全称）在此达成以下协议：</w:t>
      </w:r>
      <w:r/>
    </w:p>
    <w:p>
      <w:pPr>
        <w:ind w:firstLine="645"/>
        <w:spacing w:line="360" w:lineRule="auto"/>
        <w:rPr>
          <w:rFonts w:hint="eastAsia" w:ascii="宋体" w:hAnsi="宋体" w:eastAsia="宋体" w:cs="宋体"/>
          <w:color w:val="ff0000"/>
        </w:rPr>
      </w:pPr>
      <w:r>
        <w:rPr>
          <w:rFonts w:hint="eastAsia" w:ascii="宋体" w:hAnsi="宋体" w:eastAsia="宋体" w:cs="宋体"/>
        </w:rPr>
        <w:t xml:space="preserve">1、我们自愿组成联合体，参加代理机构组织的采购编号为</w:t>
      </w:r>
      <w:r>
        <w:rPr>
          <w:rFonts w:hint="eastAsia" w:ascii="宋体" w:hAnsi="宋体" w:eastAsia="宋体" w:cs="宋体"/>
          <w:color w:val="000000"/>
        </w:rPr>
        <w:t xml:space="preserve">（项目编号）</w:t>
      </w:r>
      <w:r>
        <w:rPr>
          <w:rFonts w:hint="eastAsia" w:ascii="宋体" w:hAnsi="宋体" w:eastAsia="宋体" w:cs="宋体"/>
        </w:rPr>
        <w:t xml:space="preserve">（项目全称）的政府采购活动。</w:t>
      </w:r>
      <w:r/>
    </w:p>
    <w:p>
      <w:pPr>
        <w:ind w:firstLine="645"/>
        <w:spacing w:line="360" w:lineRule="auto"/>
        <w:rPr>
          <w:rFonts w:hint="eastAsia" w:ascii="宋体" w:hAnsi="宋体" w:eastAsia="宋体" w:cs="宋体"/>
        </w:rPr>
      </w:pPr>
      <w:r>
        <w:rPr>
          <w:rFonts w:hint="eastAsia" w:ascii="宋体" w:hAnsi="宋体" w:eastAsia="宋体" w:cs="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hint="eastAsia" w:ascii="宋体" w:hAnsi="宋体" w:eastAsia="宋体" w:cs="宋体"/>
        </w:rPr>
      </w:pPr>
      <w:r>
        <w:rPr>
          <w:rFonts w:hint="eastAsia" w:ascii="宋体" w:hAnsi="宋体" w:eastAsia="宋体" w:cs="宋体"/>
          <w:sz w:val="24"/>
        </w:rPr>
        <w:t xml:space="preserve">                                       </w:t>
      </w:r>
      <w:r>
        <w:rPr>
          <w:rFonts w:hint="eastAsia" w:ascii="宋体" w:hAnsi="宋体" w:eastAsia="宋体" w:cs="宋体"/>
        </w:rPr>
        <w:t xml:space="preserve"> </w:t>
      </w:r>
      <w:r/>
    </w:p>
    <w:p>
      <w:pPr>
        <w:ind w:firstLine="4620"/>
        <w:spacing w:line="360" w:lineRule="auto"/>
        <w:rPr>
          <w:rFonts w:hint="eastAsia" w:ascii="宋体" w:hAnsi="宋体" w:eastAsia="宋体" w:cs="宋体"/>
        </w:rPr>
      </w:pPr>
      <w:r>
        <w:rPr>
          <w:rFonts w:hint="eastAsia" w:ascii="宋体" w:hAnsi="宋体" w:eastAsia="宋体" w:cs="宋体"/>
        </w:rPr>
        <w:t xml:space="preserve">所有供应商全称：</w:t>
      </w:r>
      <w:r/>
    </w:p>
    <w:p>
      <w:pPr>
        <w:ind w:firstLine="645"/>
        <w:spacing w:line="360" w:lineRule="auto"/>
        <w:rPr>
          <w:rFonts w:hint="eastAsia" w:ascii="宋体" w:hAnsi="宋体" w:eastAsia="宋体" w:cs="宋体"/>
        </w:rPr>
      </w:pPr>
      <w:r>
        <w:rPr>
          <w:rFonts w:hint="eastAsia" w:ascii="宋体" w:hAnsi="宋体" w:eastAsia="宋体" w:cs="宋体"/>
        </w:rPr>
        <w:t xml:space="preserve">                                      法定代表人：  </w:t>
      </w:r>
      <w:r/>
    </w:p>
    <w:p>
      <w:pPr>
        <w:ind w:firstLine="4620"/>
        <w:spacing w:line="360" w:lineRule="auto"/>
        <w:rPr>
          <w:rFonts w:ascii="仿宋" w:hAnsi="仿宋" w:eastAsia="仿宋" w:cs="仿宋"/>
        </w:rPr>
      </w:pPr>
      <w:r>
        <w:rPr>
          <w:rFonts w:hint="eastAsia" w:ascii="宋体" w:hAnsi="宋体" w:eastAsia="宋体" w:cs="宋体"/>
        </w:rPr>
        <w:t xml:space="preserve">日期：</w:t>
      </w:r>
      <w:r/>
    </w:p>
    <w:p>
      <w:pPr>
        <w:jc w:val="center"/>
        <w:spacing w:line="360" w:lineRule="auto"/>
        <w:rPr>
          <w:rFonts w:hint="eastAsia" w:ascii="宋体" w:hAnsi="宋体" w:eastAsia="宋体" w:cs="宋体"/>
          <w:b/>
          <w:bCs/>
          <w:color w:val="000000"/>
          <w:sz w:val="32"/>
          <w:szCs w:val="32"/>
        </w:rPr>
        <w:sectPr>
          <w:footnotePr/>
          <w:endnotePr/>
          <w:type w:val="nextPage"/>
          <w:pgSz w:w="11905" w:h="16838" w:orient="portrait"/>
          <w:pgMar w:top="1134" w:right="1134" w:bottom="1134" w:left="1134" w:header="0" w:footer="1020" w:gutter="0"/>
          <w:cols w:num="1" w:sep="0" w:space="0" w:equalWidth="1"/>
          <w:docGrid w:linePitch="360"/>
        </w:sectPr>
      </w:pPr>
      <w:r>
        <w:rPr>
          <w:rFonts w:hint="eastAsia" w:ascii="宋体" w:hAnsi="宋体" w:eastAsia="宋体" w:cs="宋体"/>
          <w:b/>
          <w:bCs/>
          <w:color w:val="000000"/>
          <w:sz w:val="32"/>
          <w:szCs w:val="32"/>
        </w:rPr>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r>
      <w:bookmarkEnd w:id="185"/>
      <w:r/>
      <w:bookmarkEnd w:id="186"/>
      <w:r/>
      <w:bookmarkEnd w:id="202"/>
      <w:r/>
      <w:bookmarkEnd w:id="203"/>
      <w:r/>
      <w:bookmarkEnd w:id="204"/>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附：</w:t>
      </w:r>
      <w:r>
        <w:rPr>
          <w:rFonts w:hint="eastAsia" w:ascii="宋体" w:hAnsi="宋体" w:eastAsia="宋体" w:cs="宋体"/>
          <w:b/>
          <w:sz w:val="24"/>
          <w:szCs w:val="24"/>
          <w:highlight w:val="none"/>
        </w:rPr>
        <w:t xml:space="preserve">服务项目</w:t>
      </w:r>
      <w:r>
        <w:rPr>
          <w:rFonts w:hint="eastAsia" w:ascii="宋体" w:hAnsi="宋体" w:eastAsia="宋体" w:cs="宋体"/>
          <w:b/>
          <w:sz w:val="24"/>
          <w:szCs w:val="24"/>
          <w:highlight w:val="none"/>
          <w:lang w:val="en-US" w:eastAsia="zh-CN"/>
        </w:rPr>
        <w:t xml:space="preserve">监管</w:t>
      </w:r>
      <w:r>
        <w:rPr>
          <w:rFonts w:hint="eastAsia" w:ascii="宋体" w:hAnsi="宋体" w:eastAsia="宋体" w:cs="宋体"/>
          <w:b/>
          <w:sz w:val="24"/>
          <w:szCs w:val="24"/>
          <w:highlight w:val="none"/>
        </w:rPr>
        <w:t xml:space="preserve">评估办法</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为</w:t>
      </w:r>
      <w:r>
        <w:rPr>
          <w:rFonts w:hint="eastAsia" w:ascii="宋体" w:hAnsi="宋体" w:eastAsia="宋体" w:cs="宋体"/>
          <w:sz w:val="24"/>
          <w:szCs w:val="24"/>
          <w:u w:val="none"/>
          <w:lang w:eastAsia="zh-CN"/>
        </w:rPr>
        <w:t xml:space="preserve">深入贯彻习近平生态文明思想和</w:t>
      </w:r>
      <w:r>
        <w:rPr>
          <w:rFonts w:hint="eastAsia" w:ascii="宋体" w:hAnsi="宋体" w:eastAsia="宋体" w:cs="宋体"/>
          <w:sz w:val="24"/>
          <w:szCs w:val="24"/>
          <w:u w:val="none"/>
        </w:rPr>
        <w:t xml:space="preserve">中央城市工作会议</w:t>
      </w:r>
      <w:r>
        <w:rPr>
          <w:rFonts w:hint="eastAsia" w:ascii="宋体" w:hAnsi="宋体" w:eastAsia="宋体" w:cs="宋体"/>
          <w:sz w:val="24"/>
          <w:szCs w:val="24"/>
          <w:u w:val="none"/>
          <w:lang w:eastAsia="zh-CN"/>
        </w:rPr>
        <w:t xml:space="preserve">精神，落实“美丽中国”建设部署及《江苏省城市市容和环境卫生管理条例》，坚持“一把扫帚扫到底”</w:t>
      </w:r>
      <w:r>
        <w:rPr>
          <w:rFonts w:hint="eastAsia" w:ascii="宋体" w:hAnsi="宋体" w:eastAsia="宋体" w:cs="宋体"/>
          <w:sz w:val="24"/>
          <w:szCs w:val="24"/>
          <w:u w:val="none"/>
          <w:lang w:val="en-US" w:eastAsia="zh-CN"/>
        </w:rPr>
        <w:t xml:space="preserve">的</w:t>
      </w:r>
      <w:r>
        <w:rPr>
          <w:rFonts w:hint="eastAsia" w:ascii="宋体" w:hAnsi="宋体" w:eastAsia="宋体" w:cs="宋体"/>
          <w:sz w:val="24"/>
          <w:szCs w:val="24"/>
          <w:u w:val="none"/>
          <w:lang w:eastAsia="zh-CN"/>
        </w:rPr>
        <w:t xml:space="preserve">原则。以提升人居环境为核心，通过市场化改革与标准化考核，构建“政府主导、企业履责、社会协同、法治保障”的现代环卫治理体系。为建立健全长效管理机制，强化质量考核导向与监督作用，压实各方责任，激发企业积极性，</w:t>
      </w:r>
      <w:r>
        <w:rPr>
          <w:rFonts w:hint="eastAsia" w:ascii="宋体" w:hAnsi="宋体" w:eastAsia="宋体" w:cs="宋体"/>
          <w:sz w:val="24"/>
          <w:szCs w:val="24"/>
          <w:lang w:val="en-US" w:eastAsia="zh-CN"/>
        </w:rPr>
        <w:t xml:space="preserve">使之更具针对性、可操作性、合理性</w:t>
      </w:r>
      <w:r>
        <w:rPr>
          <w:rFonts w:hint="eastAsia" w:ascii="宋体" w:hAnsi="宋体" w:eastAsia="宋体" w:cs="宋体"/>
          <w:sz w:val="24"/>
          <w:szCs w:val="24"/>
          <w:u w:val="none"/>
          <w:lang w:eastAsia="zh-CN"/>
        </w:rPr>
        <w:t xml:space="preserve">，</w:t>
      </w:r>
      <w:r>
        <w:rPr>
          <w:rFonts w:hint="eastAsia" w:ascii="宋体" w:hAnsi="宋体" w:eastAsia="宋体" w:cs="宋体"/>
          <w:sz w:val="24"/>
          <w:szCs w:val="24"/>
        </w:rPr>
        <w:t xml:space="preserve">根据国家、省、市相关法律、法规、规章及相关规范标准，</w:t>
      </w:r>
      <w:r>
        <w:rPr>
          <w:rFonts w:hint="eastAsia" w:ascii="宋体" w:hAnsi="宋体" w:eastAsia="宋体" w:cs="宋体"/>
          <w:sz w:val="24"/>
          <w:szCs w:val="24"/>
          <w:lang w:val="en-US" w:eastAsia="zh-CN"/>
        </w:rPr>
        <w:t xml:space="preserve">参照市“城市管家”一体化项目监管评估办法，</w:t>
      </w:r>
      <w:r>
        <w:rPr>
          <w:rFonts w:hint="eastAsia" w:ascii="宋体" w:hAnsi="宋体" w:eastAsia="宋体" w:cs="宋体"/>
          <w:sz w:val="24"/>
          <w:szCs w:val="24"/>
        </w:rPr>
        <w:t xml:space="preserve">结合管理工作实际，制订本评估办法。</w:t>
      </w:r>
      <w:r/>
    </w:p>
    <w:p>
      <w:pPr>
        <w:ind w:firstLine="47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一</w:t>
      </w:r>
      <w:r>
        <w:rPr>
          <w:rFonts w:hint="eastAsia" w:ascii="宋体" w:hAnsi="宋体" w:eastAsia="宋体" w:cs="宋体"/>
          <w:b/>
          <w:sz w:val="24"/>
          <w:szCs w:val="24"/>
        </w:rPr>
        <w:t xml:space="preserve">、组织分工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成立</w:t>
      </w:r>
      <w:r>
        <w:rPr>
          <w:rFonts w:hint="eastAsia" w:ascii="宋体" w:hAnsi="宋体" w:eastAsia="宋体" w:cs="宋体"/>
          <w:sz w:val="24"/>
          <w:szCs w:val="24"/>
          <w:lang w:eastAsia="zh-CN"/>
        </w:rPr>
        <w:t xml:space="preserve">集镇环境服务社会化管理服务项目</w:t>
      </w:r>
      <w:r>
        <w:rPr>
          <w:rFonts w:hint="eastAsia" w:ascii="宋体" w:hAnsi="宋体" w:eastAsia="宋体" w:cs="宋体"/>
          <w:sz w:val="24"/>
          <w:szCs w:val="24"/>
        </w:rPr>
        <w:t xml:space="preserve">考核专班（以下简称“考核专班”），由分管领导任</w:t>
      </w:r>
      <w:r>
        <w:rPr>
          <w:rFonts w:hint="eastAsia" w:ascii="宋体" w:hAnsi="宋体" w:eastAsia="宋体" w:cs="宋体"/>
          <w:sz w:val="24"/>
          <w:szCs w:val="24"/>
          <w:lang w:val="en-US" w:eastAsia="zh-CN"/>
        </w:rPr>
        <w:t xml:space="preserve">召集人</w:t>
      </w:r>
      <w:r>
        <w:rPr>
          <w:rFonts w:hint="eastAsia" w:ascii="宋体" w:hAnsi="宋体" w:eastAsia="宋体" w:cs="宋体"/>
          <w:sz w:val="24"/>
          <w:szCs w:val="24"/>
        </w:rPr>
        <w:t xml:space="preserve">，综安办主要负责人任</w:t>
      </w:r>
      <w:r>
        <w:rPr>
          <w:rFonts w:hint="eastAsia" w:ascii="宋体" w:hAnsi="宋体" w:eastAsia="宋体" w:cs="宋体"/>
          <w:sz w:val="24"/>
          <w:szCs w:val="24"/>
          <w:lang w:val="en-US" w:eastAsia="zh-CN"/>
        </w:rPr>
        <w:t xml:space="preserve">牵头召集人</w:t>
      </w:r>
      <w:r>
        <w:rPr>
          <w:rFonts w:hint="eastAsia" w:ascii="宋体" w:hAnsi="宋体" w:eastAsia="宋体" w:cs="宋体"/>
          <w:sz w:val="24"/>
          <w:szCs w:val="24"/>
        </w:rPr>
        <w:t xml:space="preserve">，镇纪委</w:t>
      </w:r>
      <w:r>
        <w:rPr>
          <w:rFonts w:hint="eastAsia" w:ascii="宋体" w:hAnsi="宋体" w:eastAsia="宋体" w:cs="宋体"/>
          <w:sz w:val="24"/>
          <w:szCs w:val="24"/>
          <w:lang w:val="en-US" w:eastAsia="zh-CN"/>
        </w:rPr>
        <w:t xml:space="preserve">等为考核专班成员</w:t>
      </w:r>
      <w:r>
        <w:rPr>
          <w:rFonts w:hint="eastAsia" w:ascii="宋体" w:hAnsi="宋体" w:eastAsia="宋体" w:cs="宋体"/>
          <w:sz w:val="24"/>
          <w:szCs w:val="24"/>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下设</w:t>
      </w:r>
      <w:r>
        <w:rPr>
          <w:rFonts w:hint="eastAsia" w:ascii="宋体" w:hAnsi="宋体" w:eastAsia="宋体" w:cs="宋体"/>
          <w:sz w:val="24"/>
          <w:szCs w:val="24"/>
          <w:lang w:eastAsia="zh-CN"/>
        </w:rPr>
        <w:t xml:space="preserve">集镇环境服务社会化管理服务项目</w:t>
      </w:r>
      <w:r>
        <w:rPr>
          <w:rFonts w:hint="eastAsia" w:ascii="宋体" w:hAnsi="宋体" w:eastAsia="宋体" w:cs="宋体"/>
          <w:sz w:val="24"/>
          <w:szCs w:val="24"/>
        </w:rPr>
        <w:t xml:space="preserve">考评办公室，考评办设在镇综安办，由综安办主要负责人兼任办公室主任，综安办分管负责人任办公室副主任。考评办负责牵头组织</w:t>
      </w:r>
      <w:r>
        <w:rPr>
          <w:rFonts w:hint="eastAsia" w:ascii="宋体" w:hAnsi="宋体" w:eastAsia="宋体" w:cs="宋体"/>
          <w:sz w:val="24"/>
          <w:szCs w:val="24"/>
          <w:lang w:eastAsia="zh-CN"/>
        </w:rPr>
        <w:t xml:space="preserve">集镇环境服务社会化管理服务项目</w:t>
      </w:r>
      <w:r>
        <w:rPr>
          <w:rFonts w:hint="eastAsia" w:ascii="宋体" w:hAnsi="宋体" w:eastAsia="宋体" w:cs="宋体"/>
          <w:sz w:val="24"/>
          <w:szCs w:val="24"/>
        </w:rPr>
        <w:t xml:space="preserve">质量考评，定期通报每月考评情况。各责任单位</w:t>
      </w:r>
      <w:r>
        <w:rPr>
          <w:rFonts w:hint="eastAsia" w:ascii="宋体" w:hAnsi="宋体" w:eastAsia="宋体" w:cs="宋体"/>
          <w:sz w:val="24"/>
          <w:szCs w:val="24"/>
          <w:lang w:val="en-US" w:eastAsia="zh-CN"/>
        </w:rPr>
        <w:t xml:space="preserve">安排</w:t>
      </w:r>
      <w:r>
        <w:rPr>
          <w:rFonts w:hint="eastAsia" w:ascii="宋体" w:hAnsi="宋体" w:eastAsia="宋体" w:cs="宋体"/>
          <w:sz w:val="24"/>
          <w:szCs w:val="24"/>
        </w:rPr>
        <w:t xml:space="preserve">职能业务科室工作人员，具体负责本责任区域内的</w:t>
      </w:r>
      <w:r>
        <w:rPr>
          <w:rFonts w:hint="eastAsia" w:ascii="宋体" w:hAnsi="宋体" w:eastAsia="宋体" w:cs="宋体"/>
          <w:sz w:val="24"/>
          <w:szCs w:val="24"/>
          <w:lang w:eastAsia="zh-CN"/>
        </w:rPr>
        <w:t xml:space="preserve">集镇环境服务社会化管理服务项目</w:t>
      </w:r>
      <w:r>
        <w:rPr>
          <w:rFonts w:hint="eastAsia" w:ascii="宋体" w:hAnsi="宋体" w:eastAsia="宋体" w:cs="宋体"/>
          <w:sz w:val="24"/>
          <w:szCs w:val="24"/>
        </w:rPr>
        <w:t xml:space="preserve">质量考评业务。</w:t>
      </w:r>
      <w:r/>
    </w:p>
    <w:p>
      <w:pPr>
        <w:ind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二</w:t>
      </w:r>
      <w:r>
        <w:rPr>
          <w:rFonts w:hint="eastAsia" w:ascii="宋体" w:hAnsi="宋体" w:eastAsia="宋体" w:cs="宋体"/>
          <w:b/>
          <w:sz w:val="24"/>
          <w:szCs w:val="24"/>
        </w:rPr>
        <w:t xml:space="preserve">、考核办法 </w:t>
      </w:r>
      <w:r/>
    </w:p>
    <w:p>
      <w:pPr>
        <w:ind w:firstLine="361"/>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（一）考评对象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高邮市界首镇集镇环境服务社会化管理服务项目</w:t>
      </w:r>
      <w:r>
        <w:rPr>
          <w:rFonts w:hint="eastAsia" w:ascii="宋体" w:hAnsi="宋体" w:eastAsia="宋体" w:cs="宋体"/>
          <w:sz w:val="24"/>
          <w:szCs w:val="24"/>
        </w:rPr>
        <w:t xml:space="preserve">中标服务单位</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以下简称“中标服务单位”）</w:t>
      </w:r>
      <w:r>
        <w:rPr>
          <w:rFonts w:hint="eastAsia" w:ascii="宋体" w:hAnsi="宋体" w:eastAsia="宋体" w:cs="宋体"/>
          <w:sz w:val="24"/>
          <w:szCs w:val="24"/>
        </w:rPr>
        <w:t xml:space="preserve">。</w:t>
      </w:r>
      <w:r/>
    </w:p>
    <w:p>
      <w:pPr>
        <w:ind w:firstLine="241"/>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（二）考评内容</w:t>
      </w:r>
      <w:r/>
    </w:p>
    <w:p>
      <w:pPr>
        <w:ind w:firstLine="475"/>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1.道路清扫保洁类：</w:t>
      </w:r>
      <w:r>
        <w:rPr>
          <w:rFonts w:hint="eastAsia" w:ascii="宋体" w:hAnsi="宋体" w:eastAsia="宋体" w:cs="宋体"/>
          <w:sz w:val="24"/>
          <w:szCs w:val="24"/>
          <w:lang w:val="en-US" w:eastAsia="zh-CN"/>
        </w:rPr>
        <w:t xml:space="preserve">保障</w:t>
      </w:r>
      <w:r>
        <w:rPr>
          <w:rFonts w:hint="eastAsia" w:ascii="宋体" w:hAnsi="宋体" w:eastAsia="宋体" w:cs="宋体"/>
          <w:sz w:val="24"/>
          <w:szCs w:val="24"/>
        </w:rPr>
        <w:t xml:space="preserve">机动车道、非机动车道、人行道、背街小巷、桥面、公共绿地、无物管小区、基本物业管理小区</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农贸市场、商圈与商超广场</w:t>
      </w:r>
      <w:r>
        <w:rPr>
          <w:rFonts w:hint="eastAsia" w:ascii="宋体" w:hAnsi="宋体" w:eastAsia="宋体" w:cs="宋体"/>
          <w:sz w:val="24"/>
          <w:szCs w:val="24"/>
        </w:rPr>
        <w:t xml:space="preserve">等区域的路面清扫保洁质量及作业规范程度。</w:t>
      </w:r>
      <w:r/>
    </w:p>
    <w:p>
      <w:pPr>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2.垃圾分类收运类：</w:t>
      </w:r>
      <w:r>
        <w:rPr>
          <w:rFonts w:hint="eastAsia" w:ascii="宋体" w:hAnsi="宋体" w:eastAsia="宋体" w:cs="宋体"/>
          <w:sz w:val="24"/>
          <w:szCs w:val="24"/>
        </w:rPr>
        <w:t xml:space="preserve">对生活垃圾实行密闭规范化分类收运，确保各类可回收垃圾、有害垃圾、其他垃圾以及无主装修建筑垃圾及杂物日产日清。</w:t>
      </w:r>
      <w:r/>
    </w:p>
    <w:p>
      <w:pPr>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3.河道保洁类：</w:t>
      </w:r>
      <w:r>
        <w:rPr>
          <w:rFonts w:hint="eastAsia" w:ascii="宋体" w:hAnsi="宋体" w:eastAsia="宋体" w:cs="宋体"/>
          <w:sz w:val="24"/>
          <w:szCs w:val="24"/>
        </w:rPr>
        <w:t xml:space="preserve">河道水体保洁、河道及边坡保洁。</w:t>
      </w:r>
      <w:r/>
    </w:p>
    <w:p>
      <w:pPr>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4.市政设施管护类：</w:t>
      </w:r>
      <w:r>
        <w:rPr>
          <w:rFonts w:hint="eastAsia" w:ascii="宋体" w:hAnsi="宋体" w:eastAsia="宋体" w:cs="宋体"/>
          <w:sz w:val="24"/>
          <w:szCs w:val="24"/>
        </w:rPr>
        <w:t xml:space="preserve">服务区域公共场所范围内的公厕</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公交站台</w:t>
      </w:r>
      <w:r>
        <w:rPr>
          <w:rFonts w:hint="eastAsia" w:ascii="宋体" w:hAnsi="宋体" w:eastAsia="宋体" w:cs="宋体"/>
          <w:sz w:val="24"/>
          <w:szCs w:val="24"/>
        </w:rPr>
        <w:t xml:space="preserve">保洁管理；对垃圾分类投放设施容器（包括垃圾桶、果壳箱、分类亭）、垃圾中转站与归集点、公厕等相关设备设施进行管理与更新，确保设施整洁、布局合理、功能完好；及时清理建筑物2.3m以下立面、各类杆线、路面及各类“城市家具”等野广告涂贴。</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
          <w:bCs/>
          <w:sz w:val="24"/>
          <w:szCs w:val="24"/>
        </w:rPr>
        <w:t xml:space="preserve">5.绿化管养类：</w:t>
      </w:r>
      <w:r>
        <w:rPr>
          <w:rFonts w:hint="eastAsia" w:ascii="宋体" w:hAnsi="宋体" w:eastAsia="宋体" w:cs="宋体"/>
          <w:sz w:val="24"/>
          <w:szCs w:val="24"/>
        </w:rPr>
        <w:t xml:space="preserve">根据绿地养护管理质量不同等级，定期浇水、修剪、施肥，开展防治病</w:t>
      </w:r>
      <w:r>
        <w:rPr>
          <w:rFonts w:hint="eastAsia" w:ascii="宋体" w:hAnsi="宋体" w:eastAsia="宋体" w:cs="宋体"/>
          <w:color w:val="auto"/>
          <w:sz w:val="24"/>
          <w:szCs w:val="24"/>
        </w:rPr>
        <w:t xml:space="preserve">虫害等工作，确保绿化整体景观、环境整洁、管理有序；公园、广场卫生保洁、设施维护、秩序管理等。</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其他</w:t>
      </w:r>
      <w:r>
        <w:rPr>
          <w:rFonts w:hint="eastAsia" w:ascii="宋体" w:hAnsi="宋体" w:eastAsia="宋体" w:cs="宋体"/>
          <w:sz w:val="24"/>
          <w:szCs w:val="24"/>
        </w:rPr>
        <w:t xml:space="preserve">：12345政务服务便民热线、</w:t>
      </w:r>
      <w:r>
        <w:rPr>
          <w:rFonts w:hint="eastAsia" w:ascii="宋体" w:hAnsi="宋体" w:eastAsia="宋体" w:cs="宋体"/>
          <w:sz w:val="24"/>
          <w:szCs w:val="24"/>
          <w:lang w:val="en-US" w:eastAsia="zh-CN"/>
        </w:rPr>
        <w:t xml:space="preserve">全国文明城市常态长效工作、</w:t>
      </w:r>
      <w:r>
        <w:rPr>
          <w:rFonts w:hint="eastAsia" w:ascii="宋体" w:hAnsi="宋体" w:eastAsia="宋体" w:cs="宋体"/>
          <w:sz w:val="24"/>
          <w:szCs w:val="24"/>
        </w:rPr>
        <w:t xml:space="preserve">各级交办事项的应急响应速度、处置效果及办理时效；日常管理、人员管理、安全生产、台账信息资料管理等；公众举报、新闻媒体曝光、社会满意度等。</w:t>
      </w:r>
      <w:r/>
    </w:p>
    <w:p>
      <w:pPr>
        <w:ind w:firstLine="241"/>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（三）考评方式</w:t>
      </w:r>
      <w:r/>
    </w:p>
    <w:p>
      <w:pPr>
        <w:ind w:firstLine="241"/>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sz w:val="24"/>
          <w:szCs w:val="24"/>
        </w:rPr>
        <w:t xml:space="preserve">1、日常检查。</w:t>
      </w:r>
      <w:r>
        <w:rPr>
          <w:rFonts w:hint="eastAsia" w:ascii="宋体" w:hAnsi="宋体" w:eastAsia="宋体" w:cs="宋体"/>
          <w:sz w:val="24"/>
          <w:szCs w:val="24"/>
        </w:rPr>
        <w:t xml:space="preserve">每月组织日常检查不少于5次。</w:t>
      </w:r>
      <w:r>
        <w:rPr>
          <w:rFonts w:hint="eastAsia" w:ascii="宋体" w:hAnsi="宋体" w:eastAsia="宋体" w:cs="宋体"/>
          <w:sz w:val="24"/>
          <w:szCs w:val="24"/>
          <w:lang w:val="en-US" w:eastAsia="zh-CN"/>
        </w:rPr>
        <w:t xml:space="preserve">考评以随机抽查为主，同时结合暗查、明查、巡视及突击检查等多种形式进行。考评中发现问题须拍照取证，立即交办中标服务单位，明确整改要求与时限，同步规范建立日常检查台账，月度考评成绩按平均分计算。</w:t>
      </w:r>
      <w:r/>
    </w:p>
    <w:p>
      <w:pPr>
        <w:ind w:firstLine="241"/>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sz w:val="24"/>
          <w:szCs w:val="24"/>
          <w:lang w:val="en-US" w:eastAsia="zh-CN"/>
        </w:rPr>
        <w:t xml:space="preserve">2</w:t>
      </w:r>
      <w:r>
        <w:rPr>
          <w:rFonts w:hint="eastAsia" w:ascii="宋体" w:hAnsi="宋体" w:eastAsia="宋体" w:cs="宋体"/>
          <w:b/>
          <w:sz w:val="24"/>
          <w:szCs w:val="24"/>
        </w:rPr>
        <w:t xml:space="preserve">、联合考评。</w:t>
      </w:r>
      <w:r>
        <w:rPr>
          <w:rFonts w:hint="eastAsia" w:ascii="宋体" w:hAnsi="宋体" w:eastAsia="宋体" w:cs="宋体"/>
          <w:sz w:val="24"/>
          <w:szCs w:val="24"/>
        </w:rPr>
        <w:t xml:space="preserve">由镇考评办统筹协调，各成员单位按责任分工安排职能科室人员参与。每月组织现场</w:t>
      </w:r>
      <w:r>
        <w:rPr>
          <w:rFonts w:hint="eastAsia" w:ascii="宋体" w:hAnsi="宋体" w:eastAsia="宋体" w:cs="宋体"/>
          <w:sz w:val="24"/>
          <w:szCs w:val="24"/>
          <w:lang w:val="en-US" w:eastAsia="zh-CN"/>
        </w:rPr>
        <w:t xml:space="preserve">联合检查</w:t>
      </w:r>
      <w:r>
        <w:rPr>
          <w:rFonts w:hint="eastAsia" w:ascii="宋体" w:hAnsi="宋体" w:eastAsia="宋体" w:cs="宋体"/>
          <w:sz w:val="24"/>
          <w:szCs w:val="24"/>
        </w:rPr>
        <w:t xml:space="preserve">评估不少于1次，采取不定期随机抽查方式进行，覆盖不同区域及服务内容模块。</w:t>
      </w:r>
      <w:r>
        <w:rPr>
          <w:rFonts w:hint="eastAsia" w:ascii="宋体" w:hAnsi="宋体" w:eastAsia="宋体" w:cs="宋体"/>
          <w:sz w:val="24"/>
          <w:szCs w:val="24"/>
          <w:lang w:val="en-US" w:eastAsia="zh-CN"/>
        </w:rPr>
        <w:t xml:space="preserve">各成员单位人员对中标服务单位一体化作业质量进行专业检查评估，现场记录问题并共享信息。</w:t>
      </w:r>
      <w:r/>
    </w:p>
    <w:p>
      <w:pPr>
        <w:ind w:firstLine="241"/>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rPr>
        <w:t xml:space="preserve">、专项检查。</w:t>
      </w:r>
      <w:r>
        <w:rPr>
          <w:rFonts w:hint="eastAsia" w:ascii="宋体" w:hAnsi="宋体" w:eastAsia="宋体" w:cs="宋体"/>
          <w:sz w:val="24"/>
          <w:szCs w:val="24"/>
        </w:rPr>
        <w:t xml:space="preserve">由</w:t>
      </w:r>
      <w:r>
        <w:rPr>
          <w:rFonts w:hint="eastAsia" w:ascii="宋体" w:hAnsi="宋体" w:eastAsia="宋体" w:cs="宋体"/>
          <w:sz w:val="24"/>
          <w:szCs w:val="24"/>
          <w:lang w:val="en-US" w:eastAsia="zh-CN"/>
        </w:rPr>
        <w:t xml:space="preserve">农环办（五位一体）牵头，每月组织河道专项检查不少于5次</w:t>
      </w:r>
      <w:r>
        <w:rPr>
          <w:rFonts w:hint="eastAsia" w:ascii="宋体" w:hAnsi="宋体" w:eastAsia="宋体" w:cs="宋体"/>
          <w:sz w:val="24"/>
          <w:szCs w:val="24"/>
        </w:rPr>
        <w:t xml:space="preserve">。</w:t>
      </w:r>
      <w:r/>
    </w:p>
    <w:p>
      <w:pPr>
        <w:ind w:firstLine="241"/>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sz w:val="24"/>
          <w:szCs w:val="24"/>
        </w:rPr>
        <w:t xml:space="preserve">4、社会监督。</w:t>
      </w:r>
      <w:r>
        <w:rPr>
          <w:rFonts w:hint="eastAsia" w:ascii="宋体" w:hAnsi="宋体" w:eastAsia="宋体" w:cs="宋体"/>
          <w:b w:val="0"/>
          <w:bCs/>
          <w:sz w:val="24"/>
          <w:szCs w:val="24"/>
          <w:lang w:val="en-US" w:eastAsia="zh-CN"/>
        </w:rPr>
        <w:t xml:space="preserve">由考评办负责考核、汇总各责任单位汇报数据进行评分，考核结果纳入综合绩效评价体系</w:t>
      </w:r>
      <w:r>
        <w:rPr>
          <w:rFonts w:hint="eastAsia" w:ascii="宋体" w:hAnsi="宋体" w:eastAsia="宋体" w:cs="宋体"/>
          <w:b/>
          <w:sz w:val="24"/>
          <w:szCs w:val="24"/>
          <w:lang w:val="en-US" w:eastAsia="zh-CN"/>
        </w:rPr>
        <w:t xml:space="preserve">。</w:t>
      </w:r>
      <w:r>
        <w:rPr>
          <w:rFonts w:hint="eastAsia" w:ascii="宋体" w:hAnsi="宋体" w:eastAsia="宋体" w:cs="宋体"/>
          <w:b w:val="0"/>
          <w:bCs/>
          <w:sz w:val="24"/>
          <w:szCs w:val="24"/>
          <w:lang w:val="en-US" w:eastAsia="zh-CN"/>
        </w:rPr>
        <w:t xml:space="preserve">一是运行机制落实情况。汇总日常管理、人员管理、安全生产、台账信息资料管理情况，以及12345热线、文明城市常态长效建设及各级交办事项的响应速度、处置效果和办理时效等数据。二是社会监督与公众参与。</w:t>
      </w:r>
      <w:r>
        <w:rPr>
          <w:rFonts w:hint="eastAsia" w:ascii="宋体" w:hAnsi="宋体" w:eastAsia="宋体" w:cs="宋体"/>
          <w:sz w:val="24"/>
          <w:szCs w:val="24"/>
        </w:rPr>
        <w:t xml:space="preserve">考评办定期邀请市、镇人大代表、政协委员、</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五老”代表</w:t>
      </w:r>
      <w:r>
        <w:rPr>
          <w:rFonts w:hint="eastAsia" w:ascii="宋体" w:hAnsi="宋体" w:eastAsia="宋体" w:cs="宋体"/>
          <w:sz w:val="24"/>
          <w:szCs w:val="24"/>
        </w:rPr>
        <w:t xml:space="preserve">及社区代表等对</w:t>
      </w:r>
      <w:r>
        <w:rPr>
          <w:rFonts w:hint="eastAsia" w:ascii="宋体" w:hAnsi="宋体" w:eastAsia="宋体" w:cs="宋体"/>
          <w:sz w:val="24"/>
          <w:szCs w:val="24"/>
          <w:lang w:eastAsia="zh-CN"/>
        </w:rPr>
        <w:t xml:space="preserve">集镇环境服务社会化管理服务项目</w:t>
      </w:r>
      <w:r>
        <w:rPr>
          <w:rFonts w:hint="eastAsia" w:ascii="宋体" w:hAnsi="宋体" w:eastAsia="宋体" w:cs="宋体"/>
          <w:sz w:val="24"/>
          <w:szCs w:val="24"/>
        </w:rPr>
        <w:t xml:space="preserve">质量进行</w:t>
      </w:r>
      <w:r>
        <w:rPr>
          <w:rFonts w:hint="eastAsia" w:ascii="宋体" w:hAnsi="宋体" w:eastAsia="宋体" w:cs="宋体"/>
          <w:sz w:val="24"/>
          <w:szCs w:val="24"/>
          <w:lang w:val="en-US" w:eastAsia="zh-CN"/>
        </w:rPr>
        <w:t xml:space="preserve">满意度测评</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同时要求中标服务单位公开服务标准、设立便捷渠道，对投诉和曝光问题快速响应及反馈。</w:t>
      </w:r>
      <w:r/>
    </w:p>
    <w:p>
      <w:pPr>
        <w:ind w:firstLine="241"/>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（四）评分办法</w:t>
      </w:r>
      <w:r/>
    </w:p>
    <w:p>
      <w:pPr>
        <w:pStyle w:val="857"/>
        <w:ind w:left="0" w:firstLine="42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计分方式采用百分制，依据《</w:t>
      </w:r>
      <w:r>
        <w:rPr>
          <w:rFonts w:hint="eastAsia" w:ascii="宋体" w:hAnsi="宋体" w:eastAsia="宋体" w:cs="宋体"/>
          <w:sz w:val="24"/>
          <w:szCs w:val="24"/>
          <w:lang w:eastAsia="zh-CN"/>
        </w:rPr>
        <w:t xml:space="preserve">高邮市界首镇集镇环境服务社会化管理服务项目</w:t>
      </w:r>
      <w:r>
        <w:rPr>
          <w:rFonts w:hint="eastAsia" w:ascii="宋体" w:hAnsi="宋体" w:eastAsia="宋体" w:cs="宋体"/>
          <w:sz w:val="24"/>
          <w:szCs w:val="24"/>
        </w:rPr>
        <w:t xml:space="preserve">评估计分表》</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见附表2）</w:t>
      </w:r>
      <w:r>
        <w:rPr>
          <w:rFonts w:hint="eastAsia" w:ascii="宋体" w:hAnsi="宋体" w:eastAsia="宋体" w:cs="宋体"/>
          <w:sz w:val="24"/>
          <w:szCs w:val="24"/>
        </w:rPr>
        <w:t xml:space="preserve">中规定的各项目评分标准执行。</w:t>
      </w:r>
      <w:r/>
    </w:p>
    <w:p>
      <w:pPr>
        <w:ind w:firstLine="47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三</w:t>
      </w:r>
      <w:r>
        <w:rPr>
          <w:rFonts w:hint="eastAsia" w:ascii="宋体" w:hAnsi="宋体" w:eastAsia="宋体" w:cs="宋体"/>
          <w:b/>
          <w:sz w:val="24"/>
          <w:szCs w:val="24"/>
        </w:rPr>
        <w:t xml:space="preserve">、结果运用</w:t>
      </w:r>
      <w:r/>
    </w:p>
    <w:p>
      <w:pPr>
        <w:ind w:firstLine="475"/>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实行按绩效付费与惩罚退出机制。</w:t>
      </w:r>
      <w:r/>
    </w:p>
    <w:p>
      <w:pPr>
        <w:ind w:firstLine="475"/>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中标服务单位的服务费支付比例与月度综合考评结果直接挂钩。考评办应按规定程序，及时将印发的</w:t>
      </w:r>
      <w:r>
        <w:rPr>
          <w:rFonts w:hint="eastAsia" w:ascii="宋体" w:hAnsi="宋体" w:eastAsia="宋体" w:cs="宋体"/>
          <w:sz w:val="24"/>
          <w:szCs w:val="24"/>
          <w:lang w:eastAsia="zh-CN"/>
        </w:rPr>
        <w:t xml:space="preserve">集镇环境服务社会化管理服务项目</w:t>
      </w:r>
      <w:r>
        <w:rPr>
          <w:rFonts w:hint="eastAsia" w:ascii="宋体" w:hAnsi="宋体" w:eastAsia="宋体" w:cs="宋体"/>
          <w:sz w:val="24"/>
          <w:szCs w:val="24"/>
        </w:rPr>
        <w:t xml:space="preserve">质量考评通报结果</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由镇综安办代章）</w:t>
      </w:r>
      <w:r>
        <w:rPr>
          <w:rFonts w:hint="eastAsia" w:ascii="宋体" w:hAnsi="宋体" w:eastAsia="宋体" w:cs="宋体"/>
          <w:sz w:val="24"/>
          <w:szCs w:val="24"/>
        </w:rPr>
        <w:t xml:space="preserve">提交至经费拨付主管部门，作为核算与拨付服务项目经费的关键参考。经费拨付的具体时间与流程应严格遵循合同约定及财政管理规定。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月度考评分在90（含）以上的，不扣减当月经费；考评分在90以下的，当月经费作不同程度扣减处罚。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1.月度考评分≥90分的，不核减； </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2.90分＞月度考评分≥85分，每扣1分，核减当月服务经费的1%；</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3.85分＞月度考评分≥80分，每扣1分，核减当月服务经费的1.5%；</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4.80分＞月度考评分≥75分，每扣1分，核减当月服务经费的2%。</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5.月度考评分＜75分，每扣1分，核减当月服务经费的3%。</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月度考评分低于75分</w:t>
      </w:r>
      <w:r>
        <w:rPr>
          <w:rFonts w:hint="eastAsia" w:ascii="宋体" w:hAnsi="宋体" w:eastAsia="宋体" w:cs="宋体"/>
          <w:sz w:val="24"/>
          <w:szCs w:val="24"/>
        </w:rPr>
        <w:t xml:space="preserve">，财政将暂停拨付中标服务单位的服务经费，由考评办责令其进行整改，整改须经考评办组织的联合验收达标后，方可支付。</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根据考评方式，考评办设置了各责任单位占集镇环境服务社会化管理服务项目权重（见附表1 ：《高邮市界首镇一体化服务项目各责任单位所占权重表》。考评办将依据各责任单位的月度考评分，结合各自所占权重，形成中标服务单位月度综合考评分和年度综合考评分。</w:t>
      </w:r>
      <w:r>
        <w:rPr>
          <w:rFonts w:hint="eastAsia" w:ascii="宋体" w:hAnsi="宋体" w:eastAsia="宋体" w:cs="宋体"/>
          <w:sz w:val="24"/>
          <w:szCs w:val="24"/>
        </w:rPr>
        <w:t xml:space="preserve">在合同履约期的同一个年度中，中标服务单位月度综合考评分连续2次或有3次低于75分的，将根据《</w:t>
      </w:r>
      <w:r>
        <w:rPr>
          <w:rFonts w:hint="eastAsia" w:ascii="宋体" w:hAnsi="宋体" w:eastAsia="宋体" w:cs="宋体"/>
          <w:sz w:val="24"/>
          <w:szCs w:val="24"/>
          <w:lang w:eastAsia="zh-CN"/>
        </w:rPr>
        <w:t xml:space="preserve">高邮市界首镇集镇环境服务社会化管理服务项目</w:t>
      </w:r>
      <w:r>
        <w:rPr>
          <w:rFonts w:hint="eastAsia" w:ascii="宋体" w:hAnsi="宋体" w:eastAsia="宋体" w:cs="宋体"/>
          <w:sz w:val="24"/>
          <w:szCs w:val="24"/>
        </w:rPr>
        <w:t xml:space="preserve">合同》约定条款，启动退出机制，终止合同履行，责令中标服务单位无条件退出，并移交作业权。</w:t>
      </w:r>
      <w:r/>
    </w:p>
    <w:p>
      <w:pPr>
        <w:pStyle w:val="857"/>
        <w:numPr>
          <w:ilvl w:val="0"/>
          <w:numId w:val="0"/>
        </w:numPr>
        <w:ind w:firstLine="72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相关要求</w:t>
      </w:r>
      <w:r/>
    </w:p>
    <w:p>
      <w:pPr>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（一）压实监管主体责任。</w:t>
      </w:r>
      <w:r>
        <w:rPr>
          <w:rFonts w:hint="eastAsia" w:ascii="宋体" w:hAnsi="宋体" w:eastAsia="宋体" w:cs="宋体"/>
          <w:sz w:val="24"/>
          <w:szCs w:val="24"/>
        </w:rPr>
        <w:t xml:space="preserve">各责任单位须切实履行监管职责，明确指定分管领导及专职科室（人员）具体负责</w:t>
      </w:r>
      <w:r>
        <w:rPr>
          <w:rFonts w:hint="eastAsia" w:ascii="宋体" w:hAnsi="宋体" w:eastAsia="宋体" w:cs="宋体"/>
          <w:sz w:val="24"/>
          <w:szCs w:val="24"/>
          <w:lang w:eastAsia="zh-CN"/>
        </w:rPr>
        <w:t xml:space="preserve">集镇环境服务社会化管理服务项目</w:t>
      </w:r>
      <w:r>
        <w:rPr>
          <w:rFonts w:hint="eastAsia" w:ascii="宋体" w:hAnsi="宋体" w:eastAsia="宋体" w:cs="宋体"/>
          <w:sz w:val="24"/>
          <w:szCs w:val="24"/>
        </w:rPr>
        <w:t xml:space="preserve">的日常检查与评估工作；确保参与检查评估的人员具备相应能力，熟悉考核标准与流程；严格遵循公平、公正、客观、及时的原则开展检查评估工作，并完整、规范记录检查过程与结果。</w:t>
      </w:r>
      <w:r/>
    </w:p>
    <w:p>
      <w:pPr>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（二）强化镇级监督与指导。</w:t>
      </w:r>
      <w:r>
        <w:rPr>
          <w:rFonts w:hint="eastAsia" w:ascii="宋体" w:hAnsi="宋体" w:eastAsia="宋体" w:cs="宋体"/>
          <w:sz w:val="24"/>
          <w:szCs w:val="24"/>
        </w:rPr>
        <w:t xml:space="preserve">镇综安办负责对各责任单位的日常考评工作进行监督与指导，定期抽查各责任单位的检查记录、问题交办台账及整改验证情况；复核各责任单位上报的评估结果，对检查评估工作流于形式、弄虚作假或明显失职的责任单位及个人，予以通报并督促整改。</w:t>
      </w:r>
      <w:r/>
    </w:p>
    <w:p>
      <w:pPr>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（三）规范异议申诉流程。</w:t>
      </w:r>
      <w:r>
        <w:rPr>
          <w:rFonts w:hint="eastAsia" w:ascii="宋体" w:hAnsi="宋体" w:eastAsia="宋体" w:cs="宋体"/>
          <w:sz w:val="24"/>
          <w:szCs w:val="24"/>
        </w:rPr>
        <w:t xml:space="preserve">中标服务单位对考评主体（责任单位或考评办）作出的具体扣分项、评分结果持有异议的，应自收到考评结果通知之日起3个工作日内，向作出该考评结果的主体提交书面申诉材料。考评主体须在收到申诉后5个工作日内进行初步复核并给予书面答复。</w:t>
      </w:r>
      <w:r/>
    </w:p>
    <w:p>
      <w:pPr>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（四）强化结果公开与应用。</w:t>
      </w:r>
      <w:r>
        <w:rPr>
          <w:rFonts w:hint="eastAsia" w:ascii="宋体" w:hAnsi="宋体" w:eastAsia="宋体" w:cs="宋体"/>
          <w:sz w:val="24"/>
          <w:szCs w:val="24"/>
        </w:rPr>
        <w:t xml:space="preserve">中标单位月度综合考评结果（含加分、扣分明细及最终得分）应于结果生成后5个工作日内向中标服务单位公示，并同步抄送镇财政办、镇纪委、</w:t>
      </w:r>
      <w:r>
        <w:rPr>
          <w:rFonts w:hint="eastAsia" w:ascii="宋体" w:hAnsi="宋体" w:eastAsia="宋体" w:cs="宋体"/>
          <w:sz w:val="24"/>
          <w:szCs w:val="24"/>
          <w:lang w:val="en-US" w:eastAsia="zh-CN"/>
        </w:rPr>
        <w:t xml:space="preserve">镇</w:t>
      </w:r>
      <w:r>
        <w:rPr>
          <w:rFonts w:hint="eastAsia" w:ascii="宋体" w:hAnsi="宋体" w:eastAsia="宋体" w:cs="宋体"/>
          <w:sz w:val="24"/>
          <w:szCs w:val="24"/>
        </w:rPr>
        <w:t xml:space="preserve">长效办等相关职能部门。考评办应定期（每半年/年度）分析考评结果数据，识别系统性问题和改进方向，向</w:t>
      </w:r>
      <w:r>
        <w:rPr>
          <w:rFonts w:hint="eastAsia" w:ascii="宋体" w:hAnsi="宋体" w:eastAsia="宋体" w:cs="宋体"/>
          <w:sz w:val="24"/>
          <w:szCs w:val="24"/>
          <w:lang w:val="en-US" w:eastAsia="zh-CN"/>
        </w:rPr>
        <w:t xml:space="preserve">党委政府</w:t>
      </w:r>
      <w:r>
        <w:rPr>
          <w:rFonts w:hint="eastAsia" w:ascii="宋体" w:hAnsi="宋体" w:eastAsia="宋体" w:cs="宋体"/>
          <w:sz w:val="24"/>
          <w:szCs w:val="24"/>
        </w:rPr>
        <w:t xml:space="preserve">报告并用</w:t>
      </w:r>
      <w:r>
        <w:rPr>
          <w:rFonts w:hint="eastAsia" w:ascii="宋体" w:hAnsi="宋体" w:eastAsia="宋体" w:cs="宋体"/>
          <w:sz w:val="24"/>
          <w:szCs w:val="24"/>
          <w:lang w:val="en-US" w:eastAsia="zh-CN"/>
        </w:rPr>
        <w:t xml:space="preserve">以</w:t>
      </w:r>
      <w:r>
        <w:rPr>
          <w:rFonts w:hint="eastAsia" w:ascii="宋体" w:hAnsi="宋体" w:eastAsia="宋体" w:cs="宋体"/>
          <w:sz w:val="24"/>
          <w:szCs w:val="24"/>
        </w:rPr>
        <w:t xml:space="preserve">优化考评办法及合同条款。</w:t>
      </w:r>
      <w:r/>
    </w:p>
    <w:p>
      <w:pPr>
        <w:ind w:firstLine="480"/>
        <w:jc w:val="left"/>
        <w:keepLines w:val="0"/>
        <w:keepNext w:val="0"/>
        <w:pageBreakBefore w:val="0"/>
        <w:spacing w:line="360" w:lineRule="auto"/>
        <w:widowControl w:val="off"/>
        <w:rPr>
          <w:rFonts w:hint="eastAsia" w:ascii="宋体" w:hAnsi="宋体" w:eastAsia="宋体" w:cs="宋体"/>
          <w:sz w:val="24"/>
          <w:szCs w:val="24"/>
          <w:lang w:eastAsia="zh-CN"/>
        </w:rPr>
        <w:sectPr>
          <w:footnotePr/>
          <w:endnotePr/>
          <w:type w:val="nextPage"/>
          <w:pgSz w:w="11905" w:h="16838" w:orient="portrait"/>
          <w:pgMar w:top="1134" w:right="1134" w:bottom="1134" w:left="1134" w:header="0" w:footer="1020" w:gutter="0"/>
          <w:cols w:num="1" w:sep="0" w:space="0" w:equalWidth="1"/>
          <w:docGrid w:linePitch="360"/>
        </w:sectPr>
      </w:pPr>
      <w:r>
        <w:rPr>
          <w:rFonts w:hint="eastAsia" w:ascii="宋体" w:hAnsi="宋体" w:eastAsia="宋体" w:cs="宋体"/>
          <w:sz w:val="24"/>
          <w:szCs w:val="24"/>
        </w:rPr>
        <w:t xml:space="preserve">本考核办法由</w:t>
      </w:r>
      <w:r>
        <w:rPr>
          <w:rFonts w:hint="eastAsia" w:ascii="宋体" w:hAnsi="宋体" w:eastAsia="宋体" w:cs="宋体"/>
          <w:sz w:val="24"/>
          <w:szCs w:val="24"/>
          <w:lang w:eastAsia="zh-CN"/>
        </w:rPr>
        <w:t xml:space="preserve">高邮市界首镇集镇环境服务社会化管理服务项目</w:t>
      </w:r>
      <w:r>
        <w:rPr>
          <w:rFonts w:hint="eastAsia" w:ascii="宋体" w:hAnsi="宋体" w:eastAsia="宋体" w:cs="宋体"/>
          <w:sz w:val="24"/>
          <w:szCs w:val="24"/>
        </w:rPr>
        <w:t xml:space="preserve">考核专班负责解释</w:t>
      </w:r>
      <w:r>
        <w:rPr>
          <w:rFonts w:hint="eastAsia" w:ascii="宋体" w:hAnsi="宋体" w:eastAsia="宋体" w:cs="宋体"/>
          <w:sz w:val="24"/>
          <w:szCs w:val="24"/>
          <w:lang w:eastAsia="zh-CN"/>
        </w:rPr>
        <w:t xml:space="preserve">。</w:t>
      </w:r>
      <w:r/>
    </w:p>
    <w:tbl>
      <w:tblPr>
        <w:tblStyle w:val="819"/>
        <w:tblW w:w="138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68"/>
        <w:gridCol w:w="1315"/>
        <w:gridCol w:w="3338"/>
        <w:gridCol w:w="2678"/>
        <w:gridCol w:w="1282"/>
        <w:gridCol w:w="2327"/>
        <w:gridCol w:w="2032"/>
      </w:tblGrid>
      <w:tr>
        <w:trPr>
          <w:trHeight w:val="660"/>
        </w:trPr>
        <w:tc>
          <w:tcPr>
            <w:gridSpan w:val="7"/>
            <w:shd w:val="clear" w:color="auto" w:fill="auto"/>
            <w:tcBorders>
              <w:top w:val="none" w:color="000000" w:sz="4" w:space="0"/>
              <w:left w:val="none" w:color="000000" w:sz="4" w:space="0"/>
              <w:bottom w:val="none" w:color="000000" w:sz="4" w:space="0"/>
              <w:right w:val="none" w:color="000000" w:sz="4" w:space="0"/>
            </w:tcBorders>
            <w:tcW w:w="13840" w:type="dxa"/>
            <w:vAlign w:val="center"/>
            <w:textDirection w:val="lrTb"/>
            <w:noWrap/>
          </w:tcPr>
          <w:p>
            <w:pP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附表1：高邮市界首镇集镇环境服务社会化管理服务项目各责任单位所占权重表</w:t>
            </w:r>
            <w:r/>
          </w:p>
        </w:tc>
      </w:tr>
      <w:tr>
        <w:trPr>
          <w:trHeight w:val="669"/>
        </w:trPr>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考核项目及分值</w:t>
            </w:r>
            <w:r/>
          </w:p>
        </w:tc>
        <w:tc>
          <w:tcPr>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考核方式（内容）</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考核责任单位</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所占权重（比例）</w:t>
            </w:r>
            <w:r/>
          </w:p>
        </w:tc>
        <w:tc>
          <w:tcPr>
            <w:shd w:val="clear" w:color="auto" w:fill="auto"/>
            <w:tcBorders>
              <w:top w:val="single" w:color="000000" w:sz="4" w:space="0"/>
              <w:left w:val="single" w:color="000000" w:sz="4" w:space="0"/>
              <w:bottom w:val="single" w:color="000000" w:sz="4" w:space="0"/>
              <w:right w:val="single" w:color="000000" w:sz="4" w:space="0"/>
            </w:tcBorders>
            <w:tcW w:w="232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考核频次</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备注</w:t>
            </w:r>
            <w:r/>
          </w:p>
        </w:tc>
      </w:tr>
      <w:tr>
        <w:trPr>
          <w:trHeight w:val="669"/>
        </w:trPr>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日常作业质量考核  （80分）</w:t>
            </w:r>
            <w:r/>
          </w:p>
        </w:tc>
        <w:tc>
          <w:tcPr>
            <w:shd w:val="clear" w:color="auto" w:fill="auto"/>
            <w:tcBorders>
              <w:top w:val="single" w:color="000000" w:sz="4" w:space="0"/>
              <w:left w:val="single" w:color="000000" w:sz="4" w:space="0"/>
              <w:bottom w:val="single" w:color="000000" w:sz="4" w:space="0"/>
              <w:right w:val="single" w:color="000000" w:sz="4" w:space="0"/>
            </w:tcBorders>
            <w:tcW w:w="3338" w:type="dxa"/>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日常检查</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考评办</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32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每月不少于5次</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69"/>
        </w:trPr>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8"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考评办</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32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每月不少于5次</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69"/>
        </w:trPr>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联合考评</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考评办</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32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每月不少于1次</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69"/>
        </w:trPr>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河道专项检查</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考评办</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2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每月不少于5次</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69"/>
        </w:trPr>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2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auto" w:sz="4" w:space="0"/>
            </w:tcBorders>
            <w:tcW w:w="2032"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69"/>
        </w:trPr>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综合评价          （20分）</w:t>
            </w:r>
            <w:r/>
          </w:p>
        </w:tc>
        <w:tc>
          <w:tcPr>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运行机制</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考评办</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32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随机</w:t>
            </w:r>
            <w:r/>
          </w:p>
        </w:tc>
        <w:tc>
          <w:tcPr>
            <w:shd w:val="clear" w:color="auto" w:fill="auto"/>
            <w:tcBorders>
              <w:top w:val="single" w:color="000000" w:sz="4" w:space="0"/>
              <w:left w:val="single" w:color="000000" w:sz="4" w:space="0"/>
              <w:bottom w:val="single" w:color="000000" w:sz="4" w:space="0"/>
              <w:right w:val="single" w:color="auto" w:sz="4" w:space="0"/>
            </w:tcBorders>
            <w:tcW w:w="2032"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69"/>
        </w:trPr>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问题整改</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32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随机</w:t>
            </w:r>
            <w:r/>
          </w:p>
        </w:tc>
        <w:tc>
          <w:tcPr>
            <w:shd w:val="clear" w:color="auto" w:fill="auto"/>
            <w:tcBorders>
              <w:top w:val="single" w:color="000000" w:sz="4" w:space="0"/>
              <w:left w:val="single" w:color="000000" w:sz="4" w:space="0"/>
              <w:bottom w:val="single" w:color="000000" w:sz="4" w:space="0"/>
              <w:right w:val="single" w:color="auto" w:sz="4" w:space="0"/>
            </w:tcBorders>
            <w:tcW w:w="2032"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69"/>
        </w:trPr>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社会监督</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32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随机</w:t>
            </w:r>
            <w:r/>
          </w:p>
        </w:tc>
        <w:tc>
          <w:tcPr>
            <w:shd w:val="clear" w:color="auto" w:fill="auto"/>
            <w:tcBorders>
              <w:top w:val="single" w:color="000000" w:sz="4" w:space="0"/>
              <w:left w:val="single" w:color="000000" w:sz="4" w:space="0"/>
              <w:bottom w:val="single" w:color="000000" w:sz="4" w:space="0"/>
              <w:right w:val="single" w:color="auto" w:sz="4" w:space="0"/>
            </w:tcBorders>
            <w:tcW w:w="2032"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69"/>
        </w:trPr>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中标服务单位        月度考评分</w:t>
            </w:r>
            <w:r/>
          </w:p>
        </w:tc>
        <w:tc>
          <w:tcPr>
            <w:gridSpan w:val="5"/>
            <w:shd w:val="clear" w:color="auto" w:fill="auto"/>
            <w:tcBorders>
              <w:top w:val="single" w:color="000000" w:sz="4" w:space="0"/>
              <w:left w:val="single" w:color="000000" w:sz="4" w:space="0"/>
              <w:bottom w:val="single" w:color="000000" w:sz="4" w:space="0"/>
              <w:right w:val="single" w:color="auto" w:sz="4" w:space="0"/>
            </w:tcBorders>
            <w:tcW w:w="11657"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得分=社区、中队日常检查得分*60%+考评办联合考评得分*30%+河道专项检查得分*10%+综合评价得分</w:t>
            </w:r>
            <w:r/>
          </w:p>
        </w:tc>
      </w:tr>
    </w:tbl>
    <w:p>
      <w:pPr>
        <w:rPr>
          <w:rFonts w:hint="eastAsia" w:ascii="宋体" w:hAnsi="宋体" w:eastAsia="宋体" w:cs="宋体"/>
          <w:color w:val="auto"/>
          <w:sz w:val="28"/>
          <w:szCs w:val="28"/>
        </w:rPr>
      </w:pPr>
      <w:r>
        <w:rPr>
          <w:rFonts w:hint="eastAsia" w:ascii="宋体" w:hAnsi="宋体" w:eastAsia="宋体" w:cs="宋体"/>
          <w:color w:val="auto"/>
          <w:sz w:val="28"/>
          <w:szCs w:val="28"/>
        </w:rPr>
        <w:br w:type="page" w:clear="all"/>
      </w:r>
      <w:r/>
    </w:p>
    <w:p>
      <w:pPr>
        <w:rPr>
          <w:rFonts w:hint="eastAsia" w:ascii="宋体" w:hAnsi="宋体" w:eastAsia="宋体" w:cs="宋体"/>
          <w:color w:val="auto"/>
          <w:sz w:val="28"/>
          <w:szCs w:val="28"/>
        </w:rPr>
        <w:sectPr>
          <w:headerReference w:type="default" r:id="rId13"/>
          <w:footerReference w:type="default" r:id="rId18"/>
          <w:footnotePr/>
          <w:endnotePr/>
          <w:type w:val="nextPage"/>
          <w:pgSz w:w="16838" w:h="11905" w:orient="landscape"/>
          <w:pgMar w:top="1134" w:right="1134" w:bottom="1134" w:left="1134" w:header="0" w:footer="1020" w:gutter="0"/>
          <w:cols w:num="1" w:sep="0" w:space="0" w:equalWidth="1"/>
          <w:docGrid w:linePitch="360"/>
        </w:sectPr>
      </w:pPr>
      <w:r>
        <w:rPr>
          <w:rFonts w:hint="eastAsia" w:ascii="宋体" w:hAnsi="宋体" w:eastAsia="宋体" w:cs="宋体"/>
          <w:color w:val="auto"/>
          <w:sz w:val="28"/>
          <w:szCs w:val="28"/>
        </w:rPr>
      </w:r>
      <w:r/>
    </w:p>
    <w:tbl>
      <w:tblPr>
        <w:tblStyle w:val="819"/>
        <w:tblW w:w="139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23"/>
        <w:gridCol w:w="819"/>
        <w:gridCol w:w="4616"/>
        <w:gridCol w:w="837"/>
        <w:gridCol w:w="5007"/>
        <w:gridCol w:w="1134"/>
        <w:gridCol w:w="844"/>
      </w:tblGrid>
      <w:tr>
        <w:trPr>
          <w:trHeight w:val="366"/>
        </w:trPr>
        <w:tc>
          <w:tcPr>
            <w:gridSpan w:val="7"/>
            <w:shd w:val="clear" w:color="auto" w:fill="auto"/>
            <w:tcBorders>
              <w:top w:val="none" w:color="000000" w:sz="4" w:space="0"/>
              <w:left w:val="none" w:color="000000" w:sz="4" w:space="0"/>
              <w:bottom w:val="none" w:color="000000" w:sz="4" w:space="0"/>
              <w:right w:val="none" w:color="000000" w:sz="4" w:space="0"/>
            </w:tcBorders>
            <w:tcW w:w="13980" w:type="dxa"/>
            <w:vAlign w:val="center"/>
            <w:textDirection w:val="lrTb"/>
            <w:noWrap/>
          </w:tcPr>
          <w:p>
            <w:pPr>
              <w:jc w:val="left"/>
              <w:keepLines w:val="0"/>
              <w:keepNext w:val="0"/>
              <w:spacing w:line="24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附表2：高邮市界首镇集镇环境服务社会化管理服务项目监管评估计分表</w:t>
            </w:r>
            <w:r/>
          </w:p>
        </w:tc>
      </w:tr>
      <w:tr>
        <w:trPr>
          <w:trHeight w:val="440"/>
        </w:trPr>
        <w:tc>
          <w:tcPr>
            <w:gridSpan w:val="7"/>
            <w:shd w:val="clear" w:color="auto" w:fill="auto"/>
            <w:tcBorders>
              <w:top w:val="none" w:color="000000" w:sz="4" w:space="0"/>
              <w:left w:val="none" w:color="000000" w:sz="4" w:space="0"/>
              <w:bottom w:val="none" w:color="000000" w:sz="4" w:space="0"/>
              <w:right w:val="none" w:color="000000" w:sz="4" w:space="0"/>
            </w:tcBorders>
            <w:tcW w:w="13980" w:type="dxa"/>
            <w:vAlign w:val="center"/>
            <w:textDirection w:val="lrTb"/>
            <w:noWrap/>
          </w:tcPr>
          <w:p>
            <w:pPr>
              <w:jc w:val="left"/>
              <w:keepLines w:val="0"/>
              <w:keepNext w:val="0"/>
              <w:spacing w:line="240" w:lineRule="auto"/>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一（1）、日常作业质量考核项目</w:t>
            </w:r>
            <w:r/>
          </w:p>
        </w:tc>
      </w:tr>
      <w:tr>
        <w:trPr>
          <w:trHeight w:val="261"/>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管理作业标准</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考核扣分标准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扣分</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备注</w:t>
            </w:r>
            <w:r/>
          </w:p>
        </w:tc>
      </w:tr>
      <w:tr>
        <w:trPr>
          <w:trHeight w:val="74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道路清扫保洁（40分）</w:t>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1、三、四级道路保洁时间每日不低于12小时；在规定的时间完成普扫作业，清扫后路面干净、无漏扫现象。</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未达作业要求，每路段、每次扣0.5分。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18"/>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机械化作业按照规定时间，避开早晚交通高峰时段；除繁华路段要按期冲洗（每周冲洗不少于2次），其它路段每周冲洗不少于1次；路牙定期冲洗无积尘，路面无积水；按规定要求洒水降尘，高温天气适时增加洒水频次，气温零度以下不得洒水。</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未在规定时间内作业，每起扣0.2分；未避开早晚高峰，每起扣0.2分；未达作业频次，每路段、每车次扣0.5分。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18"/>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机械化作业不超过限定时速。洗扫作业，扫刷落地到位，达最佳吸尘效果，并实行湿扫，避免起扬尘；冲水作业，喷嘴角度合理，达最佳冲洗效果，不得将水冲向行人。人工作业不将垃圾、灰尘扫入绿化带。机械化作业车辆、人工作业配套车辆干净整洁。</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未按规定时速作业，每车次扣0.2分。洗扫作业，扫刷悬空或未湿扫，每车次扣0.2分。冲水作业，喷嘴角度明显不合理，影响冲洗效果的，每车次扣0.2分。将水冲到行人或将垃圾、灰尘扫入绿化带的，每发现或接到投诉经查实每起扣0.5分。车辆不干净整洁的，每起扣0.2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36"/>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4.路面无暴露垃圾和瓜皮、果壳、纸屑、树叶、碎砖石、塑料纸(袋)等杂物；路面及墙角无烟头。</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发现每处（项）不合格扣0.1分。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9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5.主次干道两侧及地面乱张贴、乱涂写清除及时。</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发现每处（项）不合格扣0.1分。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62"/>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6.清扫保洁人员按规定时间到岗作业，无迟到、早退 现象，工作期间要按照要求作业，统一着装，不得坐岗、脱岗、离岗、聚岗，严禁酒后作业，工作期间应使用文明用语、不得与他人争吵、辱骂、斗殴等影响环卫形象的行为。</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发现每处（项）不合格扣0.2分。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05"/>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7.雨雪天气及时清理道路积水、积雪；按要求配备足额的扫雪除冰设备，雨雪冰冻天气及时抛洒足量的融雪剂。</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雨雪天气未及时清理道路积水、积雪，每起扣0.2分；未按要求配备扫雪除冰设备，每缺1台扣0.5分；未及时抛洒足量的融雪剂，造成路面积冰，每条路段扣0.5分。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4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垃圾分类收运（12分）</w:t>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1.垃圾收集清运定时定点、日产日清，不得堆积、滞留；收集点及周围应整洁，无散落、存留垃圾和污水。</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发现每处（项）不合格扣0.1分。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2.垃圾收集容器应无残缺、破损，封闭性好，外体干净；及时更换破损垃圾桶。</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发现每处（项）不合格扣0.1分。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8"/>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3.垃圾清运车辆车容整洁，标志清晰，车辆外部无污物、灰垢，车辆作业结束及时清洗干净。</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发现每处（项）不合格扣0.1分。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9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4.运送垃圾的过程应覆盖密闭，实行“垃圾不落地”作业，不得有滴冒撒漏现象；作业过程中必须严格遵守交通法规；遇人群密集时，应降低车速，不干扰行人；避让交通高峰时段，规范停车；污水规范排放。</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作业过程中未遵守相关要求每起扣0.2分；违规排放污水每起扣1分。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74"/>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5.不得乱倒、乱卸、乱抛垃圾，居民住宅附近的垃圾站装运时应避免扰民。</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乱倒、乱卸、乱抛垃圾每次扣0.5分，装运时扰民每发现或接到投诉经查实每起扣0.5分。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6.作业区域内零散无主生活垃圾应及时收集、清运，严禁焚烧垃圾。</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无主生活垃圾未及时收运每处扣0.2分，焚烧垃圾每处扣1分。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30"/>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市政公共设施管护（10分）</w:t>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1.公交候车站台、交通护栏等道路隔离设施应整洁，并定期擦洗，无明显污物；道路隔离设施底部应无散落垃圾和明显尘土。</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每发现一处（项）不合格扣0.1分。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2.道路两侧及公共广场内休闲椅、康体娱乐设施、雕塑等无积尘、无明显污迹。</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每发现一处（项）不合格扣0.1分。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30"/>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3.中转站有操作规程及安全保障设施和措施，安全操作制度应当上墙；站内有专人负责，配证上岗，按规定操作。</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每发现一处（项）不合格扣0.2分。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1"/>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4.中转站设备完好，定期检查维修，保证正常、安全运行，站内垃圾日产日清，及时消毒，不焚烧垃圾。</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设备未能有效运行，不及时维修的每座扣0.5分；积压垃圾的每座扣0.5分；未及时消毒或焚烧垃圾的，每次扣1分。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49"/>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5.中转站内及周边干净整洁，通风良好，无蛛网、污水、蛆虫、积灰、严重异味，除臭、除四害，室内地面、机械设施整洁，无堆放杂物、乱停车辆、乱放工具、通道堵塞的情况。</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每发现一处（项）不合格扣0.1分。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4"/>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6.公厕内基础设施及设备无缺失、损坏。</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发现一处（项）不合格扣0.1分。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9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7.公厕内墙面、天花板、门窗和隔离板无积灰、污迹、蛛网，公厕内外墙面干净整洁；公厕内地面无积水、尿渍的；地面无杂物、烟蒂、痰迹；蹲位整洁，大便槽两侧无粪便污物，槽内无积粪。</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每发现一处（项）不合格扣0.1分。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0"/>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8.蝇蚊孳生季节是否定时喷洒灭蚊蝇药物。</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未及时喷洒药物的每处扣0.1分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0"/>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河道保洁（6分）</w:t>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1.水域保洁作业人员经过培训后上岗。</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每发现一次无证上岗扣0.2分。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8"/>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2.水域作业区域内基本无垃圾漂浮物，汛期及时清捞河道拦护栓杂物；及时清理河道内的水花生、水葫芦、水漂浮（萍）等水生植物。</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发现成片漂浮物每平方米扣0.1分，100米内发现10个零星漂浮物扣0.5分；水生植物清除不净的扣0.5分。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0"/>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3.河道内无死动物，无大件垃圾。</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每发现一处不合格扣0.5分。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4.河坡岸堤无垃圾堆、杂草堆和白色污染物等废物；河道两岸可视范围内无影响水域水质的生产、生活垃圾。</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发现每处（项）不合格扣0.1分。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6"/>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绿化管养（广场、公园管护）（12分）</w:t>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1.严格按照城市园林绿化养护管理分级标准进行植物养护，达到规定要求的存活率、被害株率等。</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依据《高邮市城市绿化养护管理考评细则》，未能按要求进行养护的每处（项）扣0.5分。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9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2.绿地(含水面)整洁，无条状、块状杂物及污染物；及时清除野藤、枯枝、断枝、枯叶，重点地区绿化生产垃圾、绿地内水面杂物随产随清，其它地区日产日清；植被、地被等基本无人为破坏。</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发现每处（项）不合格扣0.1分。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49"/>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3.绿地内栏杆、园路、桌椅、路灯、井盖和标示牌等园林设施，清洁、完整、安全，维护及时，无缺损；建筑(构筑)及设施完好，无擅自搭棚、摆摊设点等现象。</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发现每处（项）不合格扣0.1分。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4.定员定岗，养护人员统一着装在岗，安全防护设备齐全</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发现每处（项）不合格扣0.2分。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2"/>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5.及时并妥善处理突发事件及应急事件；无重大破坏及偷盗现象。</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发现每处（项）不合格扣0.5分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4"/>
        </w:trPr>
        <w:tc>
          <w:tcPr>
            <w:gridSpan w:val="7"/>
            <w:shd w:val="clear" w:color="auto" w:fill="auto"/>
            <w:tcBorders>
              <w:top w:val="single" w:color="000000" w:sz="4" w:space="0"/>
              <w:left w:val="single" w:color="000000" w:sz="4" w:space="0"/>
              <w:bottom w:val="single" w:color="000000" w:sz="4" w:space="0"/>
              <w:right w:val="single" w:color="000000" w:sz="4" w:space="0"/>
            </w:tcBorders>
            <w:tcW w:w="13980" w:type="dxa"/>
            <w:vAlign w:val="center"/>
            <w:textDirection w:val="lrTb"/>
            <w:noWrap/>
          </w:tcPr>
          <w:p>
            <w:pPr>
              <w:jc w:val="left"/>
              <w:keepLines w:val="0"/>
              <w:keepNext w:val="0"/>
              <w:spacing w:line="240" w:lineRule="auto"/>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二、综合评价（20分）</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运行机制落实情况（9分）</w:t>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1.按要求配置作业机械、保洁人员数量。</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未按要求配置作业机械，每缺1台扣0.5分；未配足保洁人员数量，每缺1人扣0.2分。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6"/>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制定安全生产规章制度和操作流程，安排专人进行安全生产培训、检查。要不定期对车辆驾驶、作业车辆充电、密闭空间作业等存在安全隐患的部位进行检查、提醒和问题整改，并形成台账资料，确保无安全责任事故发生。</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无安全生产规章制度和操作流程的，扣0.5分；无安全生产检查台账的，扣0.5分；发生一般安全责任事故扣2分，发生重大安全责任事故的，当月综合评价得零分。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6"/>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3.制定防汛、防涝、抗雪及其他突发事件应急预案，及时配合乡镇部门交办的城市环境相关保障，有效应对相关的应急工作。</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没有制定防汛、防涝、抗雪或其他突发事件应急预案、应对措施的，每项每次扣1分。未能有效应对防汛、防涝、抗雪或其他突发事件的，每项每次扣1分；未能及时配合城市环境保障的一次扣2分。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4.人员、车辆、设施设备、作业安排等各类台帐资料齐全、真实详细。</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未建立台账资料扣0.5分，不齐全扣0.2分；信息统计数据上报不及时、准确扣0.2分。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检出具体问题整改落实情况（6分）</w:t>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1.顺利通过省、扬州市级检查，检出问题及时整改到位。</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整改不及时每件扣0.1分，督办后仍未处理加倍扣分 </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2.及时处理文明（长效）办要求整改、督办的问题； 及时处理责任单位、联合考评组、镇考评办要求整改、督办的问题。</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整改不及时每件扣0.1分，督办后仍未处理加倍扣分 </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42"/>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3.及时处理答复数字化城管平台工单、12345政务服务便民热线。</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整改不及时每件扣0.1分，督办后仍未处理加倍扣分 </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8"/>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社会监督（5分）</w:t>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1.由镇考评办牵头，每月组织部分市（镇）人大代表、政协委员、“五老”代表及社区代表等对一体化作业质量的满意度进行评价。</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满意度&lt;70%扣2分，70%≤满意度&lt;80%扣1.5分，80%≤满意度&lt;85%扣1分，85%≤满意度&lt;90%扣0.5分。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2.无新闻媒体曝光。</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市级及以上主流媒体负面曝光查实有责每件扣1分，整改不及时、未到位扣1.5分。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3.无重大舆情。</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发生拖欠环卫工人薪资或省级以上媒体曝光的负面舆情当月综合评价得零分。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rPr>
          <w:rFonts w:hint="eastAsia" w:ascii="宋体" w:hAnsi="宋体" w:eastAsia="宋体" w:cs="宋体"/>
          <w:lang w:val="en-US" w:eastAsia="zh-CN"/>
        </w:rPr>
      </w:pPr>
      <w:r>
        <w:rPr>
          <w:rFonts w:hint="eastAsia" w:ascii="宋体" w:hAnsi="宋体" w:eastAsia="宋体" w:cs="宋体"/>
          <w:lang w:val="en-US" w:eastAsia="zh-CN"/>
        </w:rPr>
      </w:r>
      <w:r/>
    </w:p>
    <w:p>
      <w:pPr>
        <w:pStyle w:val="998"/>
        <w:ind w:left="0" w:firstLine="0"/>
        <w:rPr>
          <w:rFonts w:hint="eastAsia" w:ascii="宋体" w:hAnsi="宋体" w:eastAsia="宋体" w:cs="宋体"/>
          <w:color w:val="000000"/>
          <w:sz w:val="24"/>
          <w:szCs w:val="24"/>
        </w:rPr>
      </w:pPr>
      <w:r>
        <w:rPr>
          <w:rFonts w:hint="eastAsia" w:ascii="宋体" w:hAnsi="宋体" w:eastAsia="宋体" w:cs="宋体"/>
          <w:color w:val="000000"/>
          <w:sz w:val="24"/>
          <w:szCs w:val="24"/>
        </w:rPr>
      </w:r>
      <w:r/>
    </w:p>
    <w:sectPr>
      <w:footnotePr/>
      <w:endnotePr/>
      <w:type w:val="nextPage"/>
      <w:pgSz w:w="16838" w:h="11905" w:orient="landscape"/>
      <w:pgMar w:top="1134" w:right="1134" w:bottom="1134" w:left="1134" w:header="0" w:footer="102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pPr>
                          <w:r>
                            <w:fldChar w:fldCharType="begin"/>
                          </w:r>
                          <w:r>
                            <w:instrText xml:space="preserve"> PAGE  \* MERGEFORMAT </w:instrText>
                          </w:r>
                          <w:r>
                            <w:fldChar w:fldCharType="separate"/>
                          </w:r>
                          <w:r>
                            <w:t xml:space="preserve">208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pPr>
                    <w:r>
                      <w:fldChar w:fldCharType="begin"/>
                    </w:r>
                    <w:r>
                      <w:instrText xml:space="preserve"> PAGE  \* MERGEFORMAT </w:instrText>
                    </w:r>
                    <w:r>
                      <w:fldChar w:fldCharType="separate"/>
                    </w:r>
                    <w:r>
                      <w:t xml:space="preserve">208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4</w:t>
                          </w:r>
                          <w:r>
                            <w:rPr>
                              <w:lang w:val="zh-CN"/>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4</w:t>
                    </w:r>
                    <w:r>
                      <w:rPr>
                        <w:lang w:val="zh-CN"/>
                      </w:rPr>
                      <w:fldChar w:fldCharType="end"/>
                    </w:r>
                    <w:r/>
                  </w:p>
                </w:txbxContent>
              </v:textbox>
            </v:shape>
          </w:pict>
        </mc:Fallback>
      </mc:AlternateContent>
    </w:r>
    <w:r/>
  </w:p>
  <w:p>
    <w:pPr>
      <w:pStyle w:val="830"/>
      <w:tabs>
        <w:tab w:val="center" w:pos="4153" w:leader="none"/>
        <w:tab w:val="clear" w:pos="7143" w:leader="none"/>
        <w:tab w:val="right" w:pos="8306" w:leader="none"/>
        <w:tab w:val="clear" w:pos="14287"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rPr>
        <w:rStyle w:val="1071"/>
        <w:rFonts w:ascii="宋体" w:hAnsi="宋体"/>
      </w:rPr>
      <w:framePr w:wrap="around" w:vAnchor="text" w:hAnchor="margin" w:xAlign="center" w:y="1"/>
    </w:pPr>
    <w:r>
      <w:rPr>
        <w:rFonts w:ascii="宋体" w:hAnsi="宋体"/>
      </w:rPr>
      <w:fldChar w:fldCharType="begin"/>
    </w:r>
    <w:r>
      <w:rPr>
        <w:rStyle w:val="1071"/>
        <w:rFonts w:ascii="宋体" w:hAnsi="宋体"/>
      </w:rPr>
      <w:instrText xml:space="preserve">PAGE  </w:instrText>
    </w:r>
    <w:r>
      <w:rPr>
        <w:rFonts w:ascii="宋体" w:hAnsi="宋体"/>
      </w:rPr>
      <w:fldChar w:fldCharType="separate"/>
    </w:r>
    <w:r>
      <w:rPr>
        <w:rStyle w:val="1071"/>
        <w:rFonts w:ascii="宋体" w:hAnsi="宋体"/>
      </w:rPr>
      <w:t xml:space="preserve">21</w:t>
    </w:r>
    <w:r>
      <w:rPr>
        <w:rFonts w:ascii="宋体" w:hAnsi="宋体"/>
      </w:rPr>
      <w:fldChar w:fldCharType="end"/>
    </w:r>
    <w:r/>
  </w:p>
  <w:p>
    <w:pPr>
      <w:pStyle w:val="1046"/>
      <w:jc w:val="center"/>
      <w:rPr>
        <w:rFonts w:hint="eastAsia"/>
        <w:b/>
        <w:i/>
      </w:rPr>
    </w:pP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line="360" w:lineRule="auto"/>
      <w:rPr>
        <w:rFonts w:ascii="宋体" w:hAnsi="宋体" w:cs="宋体"/>
        <w:bCs/>
        <w:color w:val="000000"/>
        <w:sz w:val="18"/>
        <w:szCs w:val="18"/>
        <w:u w:val="single"/>
      </w:rPr>
    </w:pPr>
    <w:r>
      <w:rPr>
        <w:rFonts w:ascii="宋体" w:hAnsi="宋体" w:cs="宋体"/>
        <w:bCs/>
        <w:color w:val="000000"/>
        <w:sz w:val="18"/>
        <w:szCs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
      </w:rPr>
    </w:pPr>
    <w:r>
      <w:rPr>
        <w:sz w:val="2"/>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tabs>
        <w:tab w:val="center" w:pos="4153" w:leader="none"/>
        <w:tab w:val="clear" w:pos="7143" w:leader="none"/>
        <w:tab w:val="right" w:pos="8306" w:leader="none"/>
        <w:tab w:val="clear" w:pos="14287"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20"/>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cs="宋体"/>
        <w:b w:val="0"/>
        <w:sz w:val="32"/>
        <w:szCs w:val="3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8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02"/>
      <w:isLgl w:val="false"/>
      <w:suff w:val="nothing"/>
      <w:lvlText w:val=""/>
      <w:lvlJc w:val="left"/>
      <w:pPr>
        <w:ind w:left="0" w:firstLine="0"/>
      </w:pPr>
      <w:rPr>
        <w:rFonts w:hint="eastAsia"/>
      </w:rPr>
    </w:lvl>
    <w:lvl w:ilvl="6">
      <w:start w:val="1"/>
      <w:numFmt w:val="decimal"/>
      <w:pStyle w:val="1003"/>
      <w:isLgl w:val="false"/>
      <w:suff w:val="nothing"/>
      <w:lvlText w:val=""/>
      <w:lvlJc w:val="left"/>
      <w:pPr>
        <w:ind w:left="0" w:firstLine="0"/>
      </w:pPr>
      <w:rPr>
        <w:rFonts w:hint="eastAsia"/>
      </w:rPr>
    </w:lvl>
    <w:lvl w:ilvl="7">
      <w:start w:val="1"/>
      <w:numFmt w:val="decimal"/>
      <w:pStyle w:val="1004"/>
      <w:isLgl w:val="false"/>
      <w:suff w:val="nothing"/>
      <w:lvlText w:val=""/>
      <w:lvlJc w:val="left"/>
      <w:pPr>
        <w:ind w:left="0" w:firstLine="0"/>
      </w:pPr>
      <w:rPr>
        <w:rFonts w:hint="eastAsia"/>
      </w:rPr>
    </w:lvl>
    <w:lvl w:ilvl="8">
      <w:start w:val="1"/>
      <w:numFmt w:val="decimal"/>
      <w:pStyle w:val="1005"/>
      <w:isLgl w:val="false"/>
      <w:suff w:val="nothing"/>
      <w:lvlText w:val=""/>
      <w:lvlJc w:val="left"/>
      <w:pPr>
        <w:ind w:left="0" w:firstLine="0"/>
      </w:pPr>
      <w:rPr>
        <w:rFonts w:hint="eastAsia"/>
      </w:rPr>
    </w:lvl>
  </w:abstractNum>
  <w:abstractNum w:abstractNumId="4">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9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0"/>
  </w:num>
  <w:num w:numId="2">
    <w:abstractNumId w:val="3"/>
  </w:num>
  <w:num w:numId="3">
    <w:abstractNumId w:val="2"/>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8" w:default="1">
    <w:name w:val="Normal"/>
    <w:next w:val="820"/>
    <w:link w:val="1113"/>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09">
    <w:name w:val="Heading 1"/>
    <w:basedOn w:val="808"/>
    <w:next w:val="808"/>
    <w:link w:val="848"/>
    <w:uiPriority w:val="9"/>
    <w:qFormat/>
    <w:pPr>
      <w:keepLines/>
      <w:keepNext/>
      <w:spacing w:before="480" w:after="200"/>
      <w:outlineLvl w:val="0"/>
    </w:pPr>
    <w:rPr>
      <w:rFonts w:ascii="Arial" w:hAnsi="Arial" w:eastAsia="Arial" w:cs="Arial"/>
      <w:sz w:val="40"/>
      <w:szCs w:val="40"/>
    </w:rPr>
  </w:style>
  <w:style w:type="paragraph" w:styleId="810">
    <w:name w:val="Heading 2"/>
    <w:basedOn w:val="808"/>
    <w:next w:val="808"/>
    <w:link w:val="849"/>
    <w:uiPriority w:val="9"/>
    <w:unhideWhenUsed/>
    <w:qFormat/>
    <w:pPr>
      <w:keepLines/>
      <w:keepNext/>
      <w:spacing w:before="360" w:after="200"/>
      <w:outlineLvl w:val="1"/>
    </w:pPr>
    <w:rPr>
      <w:rFonts w:ascii="Arial" w:hAnsi="Arial" w:eastAsia="Arial" w:cs="Arial"/>
      <w:sz w:val="34"/>
    </w:rPr>
  </w:style>
  <w:style w:type="paragraph" w:styleId="811">
    <w:name w:val="Heading 3"/>
    <w:basedOn w:val="808"/>
    <w:next w:val="808"/>
    <w:link w:val="850"/>
    <w:uiPriority w:val="9"/>
    <w:unhideWhenUsed/>
    <w:qFormat/>
    <w:pPr>
      <w:keepLines/>
      <w:keepNext/>
      <w:spacing w:before="320" w:after="200"/>
      <w:outlineLvl w:val="2"/>
    </w:pPr>
    <w:rPr>
      <w:rFonts w:ascii="Arial" w:hAnsi="Arial" w:eastAsia="Arial" w:cs="Arial"/>
      <w:sz w:val="30"/>
      <w:szCs w:val="30"/>
    </w:rPr>
  </w:style>
  <w:style w:type="paragraph" w:styleId="812">
    <w:name w:val="Heading 4"/>
    <w:basedOn w:val="808"/>
    <w:next w:val="808"/>
    <w:link w:val="851"/>
    <w:uiPriority w:val="9"/>
    <w:unhideWhenUsed/>
    <w:qFormat/>
    <w:pPr>
      <w:keepLines/>
      <w:keepNext/>
      <w:spacing w:before="320" w:after="200"/>
      <w:outlineLvl w:val="3"/>
    </w:pPr>
    <w:rPr>
      <w:rFonts w:ascii="Arial" w:hAnsi="Arial" w:eastAsia="Arial" w:cs="Arial"/>
      <w:b/>
      <w:bCs/>
      <w:sz w:val="26"/>
      <w:szCs w:val="26"/>
    </w:rPr>
  </w:style>
  <w:style w:type="paragraph" w:styleId="813">
    <w:name w:val="Heading 5"/>
    <w:basedOn w:val="808"/>
    <w:next w:val="808"/>
    <w:link w:val="852"/>
    <w:uiPriority w:val="9"/>
    <w:unhideWhenUsed/>
    <w:qFormat/>
    <w:pPr>
      <w:keepLines/>
      <w:keepNext/>
      <w:spacing w:before="320" w:after="200"/>
      <w:outlineLvl w:val="4"/>
    </w:pPr>
    <w:rPr>
      <w:rFonts w:ascii="Arial" w:hAnsi="Arial" w:eastAsia="Arial" w:cs="Arial"/>
      <w:b/>
      <w:bCs/>
      <w:sz w:val="24"/>
      <w:szCs w:val="24"/>
    </w:rPr>
  </w:style>
  <w:style w:type="paragraph" w:styleId="814">
    <w:name w:val="Heading 6"/>
    <w:basedOn w:val="808"/>
    <w:next w:val="808"/>
    <w:link w:val="853"/>
    <w:uiPriority w:val="9"/>
    <w:unhideWhenUsed/>
    <w:qFormat/>
    <w:pPr>
      <w:keepLines/>
      <w:keepNext/>
      <w:spacing w:before="320" w:after="200"/>
      <w:outlineLvl w:val="5"/>
    </w:pPr>
    <w:rPr>
      <w:rFonts w:ascii="Arial" w:hAnsi="Arial" w:eastAsia="Arial" w:cs="Arial"/>
      <w:b/>
      <w:bCs/>
      <w:sz w:val="22"/>
      <w:szCs w:val="22"/>
    </w:rPr>
  </w:style>
  <w:style w:type="paragraph" w:styleId="815">
    <w:name w:val="Heading 7"/>
    <w:basedOn w:val="808"/>
    <w:next w:val="808"/>
    <w:link w:val="854"/>
    <w:uiPriority w:val="9"/>
    <w:unhideWhenUsed/>
    <w:qFormat/>
    <w:pPr>
      <w:keepLines/>
      <w:keepNext/>
      <w:spacing w:before="320" w:after="200"/>
      <w:outlineLvl w:val="6"/>
    </w:pPr>
    <w:rPr>
      <w:rFonts w:ascii="Arial" w:hAnsi="Arial" w:eastAsia="Arial" w:cs="Arial"/>
      <w:b/>
      <w:bCs/>
      <w:i/>
      <w:iCs/>
      <w:sz w:val="22"/>
      <w:szCs w:val="22"/>
    </w:rPr>
  </w:style>
  <w:style w:type="paragraph" w:styleId="816">
    <w:name w:val="Heading 8"/>
    <w:basedOn w:val="808"/>
    <w:next w:val="808"/>
    <w:link w:val="855"/>
    <w:uiPriority w:val="9"/>
    <w:unhideWhenUsed/>
    <w:qFormat/>
    <w:pPr>
      <w:keepLines/>
      <w:keepNext/>
      <w:spacing w:before="320" w:after="200"/>
      <w:outlineLvl w:val="7"/>
    </w:pPr>
    <w:rPr>
      <w:rFonts w:ascii="Arial" w:hAnsi="Arial" w:eastAsia="Arial" w:cs="Arial"/>
      <w:i/>
      <w:iCs/>
      <w:sz w:val="22"/>
      <w:szCs w:val="22"/>
    </w:rPr>
  </w:style>
  <w:style w:type="paragraph" w:styleId="817">
    <w:name w:val="Heading 9"/>
    <w:basedOn w:val="808"/>
    <w:next w:val="808"/>
    <w:link w:val="856"/>
    <w:uiPriority w:val="9"/>
    <w:unhideWhenUsed/>
    <w:qFormat/>
    <w:pPr>
      <w:keepLines/>
      <w:keepNext/>
      <w:spacing w:before="320" w:after="200"/>
      <w:outlineLvl w:val="8"/>
    </w:pPr>
    <w:rPr>
      <w:rFonts w:ascii="Arial" w:hAnsi="Arial" w:eastAsia="Arial" w:cs="Arial"/>
      <w:i/>
      <w:iCs/>
      <w:sz w:val="21"/>
      <w:szCs w:val="21"/>
    </w:rPr>
  </w:style>
  <w:style w:type="character" w:styleId="818" w:default="1">
    <w:name w:val="Default Paragraph Font"/>
    <w:uiPriority w:val="1"/>
    <w:semiHidden/>
    <w:unhideWhenUsed/>
    <w:qFormat/>
  </w:style>
  <w:style w:type="table" w:styleId="819" w:default="1">
    <w:name w:val="Normal Table"/>
    <w:uiPriority w:val="99"/>
    <w:semiHidden/>
    <w:unhideWhenUsed/>
    <w:qFormat/>
    <w:tblPr>
      <w:tblCellMar>
        <w:left w:w="108" w:type="dxa"/>
        <w:top w:w="0" w:type="dxa"/>
        <w:right w:w="108" w:type="dxa"/>
        <w:bottom w:w="0" w:type="dxa"/>
      </w:tblCellMar>
    </w:tblPr>
  </w:style>
  <w:style w:type="paragraph" w:styleId="820" w:customStyle="1">
    <w:name w:val="列表项目符号 21"/>
    <w:basedOn w:val="808"/>
    <w:uiPriority w:val="99"/>
    <w:unhideWhenUsed/>
    <w:qFormat/>
    <w:pPr>
      <w:numPr>
        <w:ilvl w:val="0"/>
        <w:numId w:val="1"/>
      </w:numPr>
    </w:pPr>
  </w:style>
  <w:style w:type="paragraph" w:styleId="821">
    <w:name w:val="toc 7"/>
    <w:basedOn w:val="808"/>
    <w:next w:val="808"/>
    <w:uiPriority w:val="39"/>
    <w:unhideWhenUsed/>
    <w:qFormat/>
    <w:pPr>
      <w:ind w:left="1701" w:right="0" w:firstLine="0"/>
      <w:spacing w:after="57"/>
    </w:pPr>
  </w:style>
  <w:style w:type="paragraph" w:styleId="822">
    <w:name w:val="Normal Indent"/>
    <w:basedOn w:val="808"/>
    <w:uiPriority w:val="0"/>
    <w:unhideWhenUsed/>
    <w:qFormat/>
    <w:pPr>
      <w:ind w:firstLine="420"/>
    </w:pPr>
  </w:style>
  <w:style w:type="paragraph" w:styleId="823">
    <w:name w:val="Caption"/>
    <w:basedOn w:val="808"/>
    <w:next w:val="80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4">
    <w:name w:val="Body Text"/>
    <w:basedOn w:val="808"/>
    <w:uiPriority w:val="0"/>
    <w:qFormat/>
    <w:rPr>
      <w:rFonts w:ascii="楷体_GB2312" w:hAnsi="Arial" w:eastAsia="楷体_GB2312" w:cs="Times New Roman"/>
      <w:sz w:val="28"/>
      <w:szCs w:val="28"/>
    </w:rPr>
  </w:style>
  <w:style w:type="paragraph" w:styleId="825">
    <w:name w:val="toc 5"/>
    <w:basedOn w:val="808"/>
    <w:next w:val="808"/>
    <w:uiPriority w:val="39"/>
    <w:unhideWhenUsed/>
    <w:qFormat/>
    <w:pPr>
      <w:ind w:left="1134" w:right="0" w:firstLine="0"/>
      <w:spacing w:after="57"/>
    </w:pPr>
  </w:style>
  <w:style w:type="paragraph" w:styleId="826">
    <w:name w:val="toc 3"/>
    <w:basedOn w:val="808"/>
    <w:next w:val="808"/>
    <w:uiPriority w:val="39"/>
    <w:unhideWhenUsed/>
    <w:qFormat/>
    <w:pPr>
      <w:ind w:left="567" w:right="0" w:firstLine="0"/>
      <w:spacing w:after="57"/>
    </w:pPr>
  </w:style>
  <w:style w:type="paragraph" w:styleId="827">
    <w:name w:val="Plain Text"/>
    <w:basedOn w:val="808"/>
    <w:uiPriority w:val="99"/>
    <w:qFormat/>
    <w:rPr>
      <w:rFonts w:ascii="宋体" w:hAnsi="Courier New" w:eastAsia="宋体" w:cs="Times New Roman"/>
      <w:sz w:val="20"/>
      <w:szCs w:val="24"/>
    </w:rPr>
  </w:style>
  <w:style w:type="paragraph" w:styleId="828">
    <w:name w:val="toc 8"/>
    <w:basedOn w:val="808"/>
    <w:next w:val="808"/>
    <w:uiPriority w:val="39"/>
    <w:unhideWhenUsed/>
    <w:qFormat/>
    <w:pPr>
      <w:ind w:left="1984" w:right="0" w:firstLine="0"/>
      <w:spacing w:after="57"/>
    </w:pPr>
  </w:style>
  <w:style w:type="paragraph" w:styleId="829">
    <w:name w:val="endnote text"/>
    <w:basedOn w:val="808"/>
    <w:link w:val="994"/>
    <w:uiPriority w:val="99"/>
    <w:semiHidden/>
    <w:unhideWhenUsed/>
    <w:qFormat/>
    <w:pPr>
      <w:spacing w:after="0" w:line="240" w:lineRule="auto"/>
    </w:pPr>
    <w:rPr>
      <w:sz w:val="20"/>
    </w:rPr>
  </w:style>
  <w:style w:type="paragraph" w:styleId="830">
    <w:name w:val="Footer"/>
    <w:basedOn w:val="808"/>
    <w:link w:val="867"/>
    <w:uiPriority w:val="99"/>
    <w:unhideWhenUsed/>
    <w:qFormat/>
    <w:pPr>
      <w:spacing w:after="0" w:line="240" w:lineRule="auto"/>
      <w:tabs>
        <w:tab w:val="center" w:pos="7143" w:leader="none"/>
        <w:tab w:val="right" w:pos="14287" w:leader="none"/>
      </w:tabs>
    </w:pPr>
  </w:style>
  <w:style w:type="paragraph" w:styleId="831">
    <w:name w:val="Header"/>
    <w:basedOn w:val="808"/>
    <w:link w:val="865"/>
    <w:uiPriority w:val="99"/>
    <w:unhideWhenUsed/>
    <w:qFormat/>
    <w:pPr>
      <w:spacing w:after="0" w:line="240" w:lineRule="auto"/>
      <w:tabs>
        <w:tab w:val="center" w:pos="7143" w:leader="none"/>
        <w:tab w:val="right" w:pos="14287" w:leader="none"/>
      </w:tabs>
    </w:pPr>
  </w:style>
  <w:style w:type="paragraph" w:styleId="832">
    <w:name w:val="toc 1"/>
    <w:basedOn w:val="808"/>
    <w:next w:val="808"/>
    <w:uiPriority w:val="39"/>
    <w:unhideWhenUsed/>
    <w:qFormat/>
    <w:pPr>
      <w:ind w:left="0" w:right="0" w:firstLine="0"/>
      <w:spacing w:after="57"/>
    </w:pPr>
  </w:style>
  <w:style w:type="paragraph" w:styleId="833">
    <w:name w:val="toc 4"/>
    <w:basedOn w:val="808"/>
    <w:next w:val="808"/>
    <w:uiPriority w:val="39"/>
    <w:unhideWhenUsed/>
    <w:qFormat/>
    <w:pPr>
      <w:ind w:left="850" w:right="0" w:firstLine="0"/>
      <w:spacing w:after="57"/>
    </w:pPr>
  </w:style>
  <w:style w:type="paragraph" w:styleId="834">
    <w:name w:val="Subtitle"/>
    <w:basedOn w:val="808"/>
    <w:next w:val="808"/>
    <w:link w:val="860"/>
    <w:uiPriority w:val="11"/>
    <w:qFormat/>
    <w:pPr>
      <w:spacing w:before="200" w:after="200"/>
    </w:pPr>
    <w:rPr>
      <w:sz w:val="24"/>
      <w:szCs w:val="24"/>
    </w:rPr>
  </w:style>
  <w:style w:type="paragraph" w:styleId="835">
    <w:name w:val="footnote text"/>
    <w:basedOn w:val="808"/>
    <w:link w:val="993"/>
    <w:uiPriority w:val="99"/>
    <w:semiHidden/>
    <w:unhideWhenUsed/>
    <w:qFormat/>
    <w:pPr>
      <w:spacing w:after="40" w:line="240" w:lineRule="auto"/>
    </w:pPr>
    <w:rPr>
      <w:sz w:val="18"/>
    </w:rPr>
  </w:style>
  <w:style w:type="paragraph" w:styleId="836">
    <w:name w:val="toc 6"/>
    <w:basedOn w:val="808"/>
    <w:next w:val="808"/>
    <w:uiPriority w:val="39"/>
    <w:unhideWhenUsed/>
    <w:qFormat/>
    <w:pPr>
      <w:ind w:left="1417" w:right="0" w:firstLine="0"/>
      <w:spacing w:after="57"/>
    </w:pPr>
  </w:style>
  <w:style w:type="paragraph" w:styleId="837">
    <w:name w:val="table of figures"/>
    <w:basedOn w:val="808"/>
    <w:next w:val="808"/>
    <w:uiPriority w:val="99"/>
    <w:unhideWhenUsed/>
    <w:qFormat/>
    <w:pPr>
      <w:spacing w:after="0" w:afterAutospacing="0"/>
    </w:pPr>
  </w:style>
  <w:style w:type="paragraph" w:styleId="838">
    <w:name w:val="toc 2"/>
    <w:basedOn w:val="808"/>
    <w:next w:val="808"/>
    <w:uiPriority w:val="39"/>
    <w:unhideWhenUsed/>
    <w:qFormat/>
    <w:pPr>
      <w:ind w:left="283" w:right="0" w:firstLine="0"/>
      <w:spacing w:after="57"/>
    </w:pPr>
  </w:style>
  <w:style w:type="paragraph" w:styleId="839">
    <w:name w:val="toc 9"/>
    <w:basedOn w:val="808"/>
    <w:next w:val="808"/>
    <w:uiPriority w:val="39"/>
    <w:unhideWhenUsed/>
    <w:qFormat/>
    <w:pPr>
      <w:ind w:left="2268" w:right="0" w:firstLine="0"/>
      <w:spacing w:after="57"/>
    </w:pPr>
  </w:style>
  <w:style w:type="paragraph" w:styleId="840">
    <w:name w:val="Normal (Web)"/>
    <w:basedOn w:val="808"/>
    <w:uiPriority w:val="99"/>
    <w:semiHidden/>
    <w:unhideWhenUsed/>
    <w:qFormat/>
    <w:pPr>
      <w:ind w:left="0" w:right="0"/>
      <w:jc w:val="left"/>
      <w:spacing w:before="0" w:beforeAutospacing="1" w:after="0" w:afterAutospacing="1"/>
    </w:pPr>
    <w:rPr>
      <w:sz w:val="24"/>
      <w:lang w:val="en-US" w:eastAsia="zh-CN" w:bidi="ar"/>
    </w:rPr>
  </w:style>
  <w:style w:type="paragraph" w:styleId="841">
    <w:name w:val="Title"/>
    <w:basedOn w:val="808"/>
    <w:next w:val="808"/>
    <w:link w:val="859"/>
    <w:uiPriority w:val="10"/>
    <w:qFormat/>
    <w:pPr>
      <w:contextualSpacing/>
      <w:spacing w:before="300" w:after="200"/>
    </w:pPr>
    <w:rPr>
      <w:sz w:val="48"/>
      <w:szCs w:val="48"/>
    </w:rPr>
  </w:style>
  <w:style w:type="paragraph" w:styleId="842">
    <w:name w:val="Body Text First Indent"/>
    <w:basedOn w:val="824"/>
    <w:uiPriority w:val="0"/>
    <w:qFormat/>
    <w:pPr>
      <w:ind w:firstLine="200"/>
      <w:spacing w:line="360" w:lineRule="auto"/>
    </w:pPr>
    <w:rPr>
      <w:rFonts w:ascii="仿宋_GB2312" w:hAnsi="Times New Roman" w:eastAsia="仿宋_GB2312" w:cs="Times New Roman"/>
      <w:sz w:val="30"/>
      <w:szCs w:val="30"/>
    </w:rPr>
  </w:style>
  <w:style w:type="table" w:styleId="84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4">
    <w:name w:val="Strong"/>
    <w:basedOn w:val="818"/>
    <w:uiPriority w:val="22"/>
    <w:qFormat/>
    <w:rPr>
      <w:b/>
    </w:rPr>
  </w:style>
  <w:style w:type="character" w:styleId="845">
    <w:name w:val="endnote reference"/>
    <w:uiPriority w:val="99"/>
    <w:semiHidden/>
    <w:unhideWhenUsed/>
    <w:qFormat/>
    <w:rPr>
      <w:vertAlign w:val="superscript"/>
    </w:rPr>
  </w:style>
  <w:style w:type="character" w:styleId="846">
    <w:name w:val="Hyperlink"/>
    <w:uiPriority w:val="99"/>
    <w:unhideWhenUsed/>
    <w:qFormat/>
    <w:rPr>
      <w:color w:val="0000ff" w:themeColor="hyperlink"/>
      <w:u w:val="single"/>
      <w14:textFill>
        <w14:solidFill>
          <w14:schemeClr w14:val="hlink"/>
        </w14:solidFill>
      </w14:textFill>
    </w:rPr>
  </w:style>
  <w:style w:type="character" w:styleId="847">
    <w:name w:val="footnote reference"/>
    <w:uiPriority w:val="99"/>
    <w:unhideWhenUsed/>
    <w:qFormat/>
    <w:rPr>
      <w:vertAlign w:val="superscript"/>
    </w:rPr>
  </w:style>
  <w:style w:type="character" w:styleId="848" w:customStyle="1">
    <w:name w:val="Heading 1 Char"/>
    <w:link w:val="809"/>
    <w:uiPriority w:val="9"/>
    <w:qFormat/>
    <w:rPr>
      <w:rFonts w:ascii="Arial" w:hAnsi="Arial" w:eastAsia="Arial" w:cs="Arial"/>
      <w:sz w:val="40"/>
      <w:szCs w:val="40"/>
    </w:rPr>
  </w:style>
  <w:style w:type="character" w:styleId="849" w:customStyle="1">
    <w:name w:val="Heading 2 Char"/>
    <w:link w:val="810"/>
    <w:uiPriority w:val="9"/>
    <w:qFormat/>
    <w:rPr>
      <w:rFonts w:ascii="Arial" w:hAnsi="Arial" w:eastAsia="Arial" w:cs="Arial"/>
      <w:sz w:val="34"/>
    </w:rPr>
  </w:style>
  <w:style w:type="character" w:styleId="850" w:customStyle="1">
    <w:name w:val="Heading 3 Char"/>
    <w:link w:val="811"/>
    <w:uiPriority w:val="9"/>
    <w:qFormat/>
    <w:rPr>
      <w:rFonts w:ascii="Arial" w:hAnsi="Arial" w:eastAsia="Arial" w:cs="Arial"/>
      <w:sz w:val="30"/>
      <w:szCs w:val="30"/>
    </w:rPr>
  </w:style>
  <w:style w:type="character" w:styleId="851" w:customStyle="1">
    <w:name w:val="Heading 4 Char"/>
    <w:link w:val="812"/>
    <w:uiPriority w:val="9"/>
    <w:qFormat/>
    <w:rPr>
      <w:rFonts w:ascii="Arial" w:hAnsi="Arial" w:eastAsia="Arial" w:cs="Arial"/>
      <w:b/>
      <w:bCs/>
      <w:sz w:val="26"/>
      <w:szCs w:val="26"/>
    </w:rPr>
  </w:style>
  <w:style w:type="character" w:styleId="852" w:customStyle="1">
    <w:name w:val="Heading 5 Char"/>
    <w:link w:val="813"/>
    <w:uiPriority w:val="9"/>
    <w:qFormat/>
    <w:rPr>
      <w:rFonts w:ascii="Arial" w:hAnsi="Arial" w:eastAsia="Arial" w:cs="Arial"/>
      <w:b/>
      <w:bCs/>
      <w:sz w:val="24"/>
      <w:szCs w:val="24"/>
    </w:rPr>
  </w:style>
  <w:style w:type="character" w:styleId="853" w:customStyle="1">
    <w:name w:val="Heading 6 Char"/>
    <w:link w:val="814"/>
    <w:uiPriority w:val="9"/>
    <w:qFormat/>
    <w:rPr>
      <w:rFonts w:ascii="Arial" w:hAnsi="Arial" w:eastAsia="Arial" w:cs="Arial"/>
      <w:b/>
      <w:bCs/>
      <w:sz w:val="22"/>
      <w:szCs w:val="22"/>
    </w:rPr>
  </w:style>
  <w:style w:type="character" w:styleId="854" w:customStyle="1">
    <w:name w:val="Heading 7 Char"/>
    <w:link w:val="815"/>
    <w:uiPriority w:val="9"/>
    <w:qFormat/>
    <w:rPr>
      <w:rFonts w:ascii="Arial" w:hAnsi="Arial" w:eastAsia="Arial" w:cs="Arial"/>
      <w:b/>
      <w:bCs/>
      <w:i/>
      <w:iCs/>
      <w:sz w:val="22"/>
      <w:szCs w:val="22"/>
    </w:rPr>
  </w:style>
  <w:style w:type="character" w:styleId="855" w:customStyle="1">
    <w:name w:val="Heading 8 Char"/>
    <w:link w:val="816"/>
    <w:uiPriority w:val="9"/>
    <w:qFormat/>
    <w:rPr>
      <w:rFonts w:ascii="Arial" w:hAnsi="Arial" w:eastAsia="Arial" w:cs="Arial"/>
      <w:i/>
      <w:iCs/>
      <w:sz w:val="22"/>
      <w:szCs w:val="22"/>
    </w:rPr>
  </w:style>
  <w:style w:type="character" w:styleId="856" w:customStyle="1">
    <w:name w:val="Heading 9 Char"/>
    <w:link w:val="817"/>
    <w:uiPriority w:val="9"/>
    <w:qFormat/>
    <w:rPr>
      <w:rFonts w:ascii="Arial" w:hAnsi="Arial" w:eastAsia="Arial" w:cs="Arial"/>
      <w:i/>
      <w:iCs/>
      <w:sz w:val="21"/>
      <w:szCs w:val="21"/>
    </w:rPr>
  </w:style>
  <w:style w:type="paragraph" w:styleId="857">
    <w:name w:val="List Paragraph"/>
    <w:basedOn w:val="808"/>
    <w:uiPriority w:val="34"/>
    <w:qFormat/>
    <w:pPr>
      <w:contextualSpacing/>
      <w:ind w:left="720"/>
    </w:pPr>
  </w:style>
  <w:style w:type="paragraph" w:styleId="858">
    <w:name w:val="No Spacing"/>
    <w:uiPriority w:val="1"/>
    <w:qFormat/>
    <w:pPr>
      <w:spacing w:before="0" w:after="0" w:line="240" w:lineRule="auto"/>
    </w:pPr>
    <w:rPr>
      <w:rFonts w:hint="default" w:ascii="Calibri" w:hAnsi="Calibri" w:eastAsia="宋体" w:cs="Times New Roman"/>
    </w:rPr>
  </w:style>
  <w:style w:type="character" w:styleId="859" w:customStyle="1">
    <w:name w:val="Title Char"/>
    <w:link w:val="841"/>
    <w:uiPriority w:val="10"/>
    <w:qFormat/>
    <w:rPr>
      <w:sz w:val="48"/>
      <w:szCs w:val="48"/>
    </w:rPr>
  </w:style>
  <w:style w:type="character" w:styleId="860" w:customStyle="1">
    <w:name w:val="Subtitle Char"/>
    <w:link w:val="834"/>
    <w:uiPriority w:val="11"/>
    <w:qFormat/>
    <w:rPr>
      <w:sz w:val="24"/>
      <w:szCs w:val="24"/>
    </w:rPr>
  </w:style>
  <w:style w:type="paragraph" w:styleId="861">
    <w:name w:val="Quote"/>
    <w:basedOn w:val="808"/>
    <w:next w:val="808"/>
    <w:link w:val="862"/>
    <w:uiPriority w:val="29"/>
    <w:qFormat/>
    <w:pPr>
      <w:ind w:left="720" w:right="720"/>
    </w:pPr>
    <w:rPr>
      <w:i/>
    </w:rPr>
  </w:style>
  <w:style w:type="character" w:styleId="862" w:customStyle="1">
    <w:name w:val="Quote Char"/>
    <w:link w:val="861"/>
    <w:uiPriority w:val="29"/>
    <w:qFormat/>
    <w:rPr>
      <w:i/>
    </w:rPr>
  </w:style>
  <w:style w:type="paragraph" w:styleId="863">
    <w:name w:val="Intense Quote"/>
    <w:basedOn w:val="808"/>
    <w:next w:val="808"/>
    <w:link w:val="8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4" w:customStyle="1">
    <w:name w:val="Intense Quote Char"/>
    <w:link w:val="863"/>
    <w:uiPriority w:val="30"/>
    <w:qFormat/>
    <w:rPr>
      <w:i/>
    </w:rPr>
  </w:style>
  <w:style w:type="character" w:styleId="865" w:customStyle="1">
    <w:name w:val="Header Char"/>
    <w:link w:val="831"/>
    <w:uiPriority w:val="99"/>
    <w:qFormat/>
  </w:style>
  <w:style w:type="character" w:styleId="866" w:customStyle="1">
    <w:name w:val="Footer Char"/>
    <w:link w:val="830"/>
    <w:uiPriority w:val="99"/>
    <w:qFormat/>
  </w:style>
  <w:style w:type="character" w:styleId="867" w:customStyle="1">
    <w:name w:val="Caption Char"/>
    <w:link w:val="830"/>
    <w:uiPriority w:val="99"/>
    <w:qFormat/>
  </w:style>
  <w:style w:type="table" w:styleId="86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1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3" w:customStyle="1">
    <w:name w:val="Footnote Text Char"/>
    <w:link w:val="835"/>
    <w:uiPriority w:val="99"/>
    <w:qFormat/>
    <w:rPr>
      <w:sz w:val="18"/>
    </w:rPr>
  </w:style>
  <w:style w:type="character" w:styleId="994" w:customStyle="1">
    <w:name w:val="Endnote Text Char"/>
    <w:link w:val="829"/>
    <w:uiPriority w:val="99"/>
    <w:qFormat/>
    <w:rPr>
      <w:sz w:val="20"/>
    </w:rPr>
  </w:style>
  <w:style w:type="paragraph" w:styleId="995" w:customStyle="1">
    <w:name w:val="TOC Heading"/>
    <w:uiPriority w:val="39"/>
    <w:unhideWhenUsed/>
    <w:qFormat/>
    <w:rPr>
      <w:rFonts w:hint="default" w:ascii="Calibri" w:hAnsi="Calibri" w:eastAsia="宋体" w:cs="Times New Roman"/>
    </w:rPr>
  </w:style>
  <w:style w:type="paragraph" w:styleId="996" w:customStyle="1">
    <w:name w:val="标题 11"/>
    <w:basedOn w:val="808"/>
    <w:next w:val="808"/>
    <w:link w:val="1008"/>
    <w:uiPriority w:val="0"/>
    <w:qFormat/>
    <w:pPr>
      <w:jc w:val="center"/>
      <w:keepNext/>
      <w:outlineLvl w:val="0"/>
    </w:pPr>
    <w:rPr>
      <w:rFonts w:ascii="楷体_GB2312" w:eastAsia="楷体_GB2312"/>
      <w:sz w:val="28"/>
      <w:szCs w:val="28"/>
    </w:rPr>
  </w:style>
  <w:style w:type="paragraph" w:styleId="997" w:customStyle="1">
    <w:name w:val="标题 21"/>
    <w:basedOn w:val="808"/>
    <w:next w:val="998"/>
    <w:link w:val="100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98" w:customStyle="1">
    <w:name w:val="正文缩进1"/>
    <w:basedOn w:val="808"/>
    <w:link w:val="1010"/>
    <w:uiPriority w:val="0"/>
    <w:qFormat/>
    <w:pPr>
      <w:ind w:firstLine="420"/>
    </w:pPr>
  </w:style>
  <w:style w:type="paragraph" w:styleId="999" w:customStyle="1">
    <w:name w:val="标题 31"/>
    <w:basedOn w:val="808"/>
    <w:next w:val="998"/>
    <w:link w:val="1011"/>
    <w:uiPriority w:val="0"/>
    <w:qFormat/>
    <w:pPr>
      <w:keepLines/>
      <w:keepNext/>
      <w:spacing w:before="260" w:after="260" w:line="416" w:lineRule="auto"/>
      <w:outlineLvl w:val="2"/>
    </w:pPr>
    <w:rPr>
      <w:b/>
      <w:bCs/>
      <w:sz w:val="32"/>
      <w:szCs w:val="32"/>
    </w:rPr>
  </w:style>
  <w:style w:type="paragraph" w:styleId="1000" w:customStyle="1">
    <w:name w:val="标题 41"/>
    <w:basedOn w:val="808"/>
    <w:next w:val="998"/>
    <w:link w:val="1012"/>
    <w:uiPriority w:val="0"/>
    <w:qFormat/>
    <w:pPr>
      <w:keepLines/>
      <w:keepNext/>
      <w:spacing w:before="280" w:after="290" w:line="376" w:lineRule="auto"/>
      <w:outlineLvl w:val="3"/>
    </w:pPr>
    <w:rPr>
      <w:rFonts w:ascii="Arial" w:hAnsi="Arial" w:eastAsia="黑体" w:cs="Arial"/>
      <w:b/>
      <w:bCs/>
      <w:sz w:val="28"/>
      <w:szCs w:val="28"/>
    </w:rPr>
  </w:style>
  <w:style w:type="paragraph" w:styleId="1001" w:customStyle="1">
    <w:name w:val="标题 51"/>
    <w:basedOn w:val="808"/>
    <w:next w:val="998"/>
    <w:link w:val="1013"/>
    <w:uiPriority w:val="0"/>
    <w:qFormat/>
    <w:pPr>
      <w:keepNext/>
      <w:outlineLvl w:val="4"/>
    </w:pPr>
    <w:rPr>
      <w:rFonts w:ascii="宋体"/>
      <w:color w:val="000000"/>
      <w:sz w:val="28"/>
      <w:szCs w:val="28"/>
    </w:rPr>
  </w:style>
  <w:style w:type="paragraph" w:styleId="1002" w:customStyle="1">
    <w:name w:val="标题 61"/>
    <w:basedOn w:val="808"/>
    <w:next w:val="808"/>
    <w:link w:val="1014"/>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1003" w:customStyle="1">
    <w:name w:val="标题 71"/>
    <w:basedOn w:val="808"/>
    <w:next w:val="808"/>
    <w:link w:val="1015"/>
    <w:uiPriority w:val="0"/>
    <w:qFormat/>
    <w:pPr>
      <w:numPr>
        <w:ilvl w:val="6"/>
        <w:numId w:val="2"/>
      </w:numPr>
      <w:keepLines/>
      <w:keepNext/>
      <w:spacing w:before="240" w:after="64" w:line="320" w:lineRule="auto"/>
      <w:outlineLvl w:val="6"/>
    </w:pPr>
    <w:rPr>
      <w:b/>
      <w:bCs/>
      <w:sz w:val="24"/>
      <w:szCs w:val="24"/>
    </w:rPr>
  </w:style>
  <w:style w:type="paragraph" w:styleId="1004" w:customStyle="1">
    <w:name w:val="标题 81"/>
    <w:basedOn w:val="808"/>
    <w:next w:val="808"/>
    <w:link w:val="1016"/>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1005" w:customStyle="1">
    <w:name w:val="标题 91"/>
    <w:basedOn w:val="808"/>
    <w:next w:val="808"/>
    <w:link w:val="1017"/>
    <w:uiPriority w:val="0"/>
    <w:qFormat/>
    <w:pPr>
      <w:numPr>
        <w:ilvl w:val="8"/>
        <w:numId w:val="2"/>
      </w:numPr>
      <w:keepLines/>
      <w:keepNext/>
      <w:spacing w:before="240" w:after="64" w:line="320" w:lineRule="auto"/>
      <w:outlineLvl w:val="8"/>
    </w:pPr>
    <w:rPr>
      <w:rFonts w:ascii="Arial" w:hAnsi="Arial" w:eastAsia="黑体"/>
    </w:rPr>
  </w:style>
  <w:style w:type="character" w:styleId="1006" w:customStyle="1">
    <w:name w:val="默认段落字体1"/>
    <w:link w:val="808"/>
    <w:uiPriority w:val="1"/>
    <w:unhideWhenUsed/>
    <w:qFormat/>
  </w:style>
  <w:style w:type="table" w:styleId="1007" w:customStyle="1">
    <w:name w:val="普通表格1"/>
    <w:uiPriority w:val="99"/>
    <w:unhideWhenUsed/>
    <w:qFormat/>
    <w:tblPr/>
  </w:style>
  <w:style w:type="character" w:styleId="1008" w:customStyle="1">
    <w:name w:val="标题 1 Char"/>
    <w:link w:val="996"/>
    <w:uiPriority w:val="0"/>
    <w:qFormat/>
    <w:rPr>
      <w:rFonts w:ascii="楷体_GB2312" w:hAnsi="Times New Roman" w:eastAsia="楷体_GB2312" w:cs="Times New Roman"/>
      <w:sz w:val="28"/>
      <w:szCs w:val="28"/>
    </w:rPr>
  </w:style>
  <w:style w:type="character" w:styleId="1009" w:customStyle="1">
    <w:name w:val="标题 2 Char"/>
    <w:link w:val="997"/>
    <w:uiPriority w:val="0"/>
    <w:qFormat/>
    <w:rPr>
      <w:rFonts w:ascii="Arial" w:hAnsi="Arial" w:eastAsia="幼圆" w:cs="Arial"/>
      <w:b/>
      <w:bCs/>
      <w:sz w:val="44"/>
      <w:szCs w:val="44"/>
    </w:rPr>
  </w:style>
  <w:style w:type="character" w:styleId="1010" w:customStyle="1">
    <w:name w:val="正文缩进 Char"/>
    <w:link w:val="998"/>
    <w:uiPriority w:val="0"/>
    <w:qFormat/>
    <w:rPr>
      <w:rFonts w:ascii="Times New Roman" w:hAnsi="Times New Roman" w:eastAsia="宋体" w:cs="Times New Roman"/>
      <w:szCs w:val="21"/>
    </w:rPr>
  </w:style>
  <w:style w:type="character" w:styleId="1011" w:customStyle="1">
    <w:name w:val="标题 3 Char"/>
    <w:link w:val="999"/>
    <w:uiPriority w:val="0"/>
    <w:qFormat/>
    <w:rPr>
      <w:rFonts w:ascii="Times New Roman" w:hAnsi="Times New Roman" w:eastAsia="宋体" w:cs="Times New Roman"/>
      <w:b/>
      <w:bCs/>
      <w:sz w:val="32"/>
      <w:szCs w:val="32"/>
    </w:rPr>
  </w:style>
  <w:style w:type="character" w:styleId="1012" w:customStyle="1">
    <w:name w:val="标题 4 Char"/>
    <w:link w:val="1000"/>
    <w:uiPriority w:val="0"/>
    <w:qFormat/>
    <w:rPr>
      <w:rFonts w:ascii="Arial" w:hAnsi="Arial" w:eastAsia="黑体" w:cs="Arial"/>
      <w:b/>
      <w:bCs/>
      <w:sz w:val="28"/>
      <w:szCs w:val="28"/>
    </w:rPr>
  </w:style>
  <w:style w:type="character" w:styleId="1013" w:customStyle="1">
    <w:name w:val="标题 5 Char"/>
    <w:link w:val="1001"/>
    <w:uiPriority w:val="0"/>
    <w:qFormat/>
    <w:rPr>
      <w:rFonts w:ascii="宋体" w:hAnsi="Times New Roman" w:eastAsia="宋体" w:cs="Times New Roman"/>
      <w:color w:val="000000"/>
      <w:sz w:val="28"/>
      <w:szCs w:val="28"/>
    </w:rPr>
  </w:style>
  <w:style w:type="character" w:styleId="1014" w:customStyle="1">
    <w:name w:val="标题 6 Char"/>
    <w:link w:val="1002"/>
    <w:uiPriority w:val="0"/>
    <w:qFormat/>
    <w:rPr>
      <w:rFonts w:ascii="Arial" w:hAnsi="Arial" w:eastAsia="黑体" w:cs="Times New Roman"/>
      <w:b/>
      <w:bCs/>
      <w:sz w:val="24"/>
      <w:szCs w:val="24"/>
    </w:rPr>
  </w:style>
  <w:style w:type="character" w:styleId="1015" w:customStyle="1">
    <w:name w:val="标题 7 Char"/>
    <w:link w:val="1003"/>
    <w:uiPriority w:val="0"/>
    <w:qFormat/>
    <w:rPr>
      <w:rFonts w:ascii="Times New Roman" w:hAnsi="Times New Roman" w:eastAsia="宋体" w:cs="Times New Roman"/>
      <w:b/>
      <w:bCs/>
      <w:sz w:val="24"/>
      <w:szCs w:val="24"/>
    </w:rPr>
  </w:style>
  <w:style w:type="character" w:styleId="1016" w:customStyle="1">
    <w:name w:val="标题 8 Char"/>
    <w:link w:val="1004"/>
    <w:uiPriority w:val="0"/>
    <w:qFormat/>
    <w:rPr>
      <w:rFonts w:ascii="Arial" w:hAnsi="Arial" w:eastAsia="黑体" w:cs="Times New Roman"/>
      <w:sz w:val="24"/>
      <w:szCs w:val="24"/>
    </w:rPr>
  </w:style>
  <w:style w:type="character" w:styleId="1017" w:customStyle="1">
    <w:name w:val="标题 9 Char"/>
    <w:link w:val="1005"/>
    <w:uiPriority w:val="0"/>
    <w:qFormat/>
    <w:rPr>
      <w:rFonts w:ascii="Arial" w:hAnsi="Arial" w:eastAsia="黑体" w:cs="Times New Roman"/>
      <w:szCs w:val="21"/>
    </w:rPr>
  </w:style>
  <w:style w:type="paragraph" w:styleId="1018" w:customStyle="1">
    <w:name w:val="列表 31"/>
    <w:basedOn w:val="808"/>
    <w:uiPriority w:val="0"/>
    <w:qFormat/>
    <w:pPr>
      <w:ind w:left="100" w:hanging="200"/>
    </w:pPr>
  </w:style>
  <w:style w:type="paragraph" w:styleId="1019" w:customStyle="1">
    <w:name w:val="目录 71"/>
    <w:basedOn w:val="808"/>
    <w:next w:val="808"/>
    <w:uiPriority w:val="0"/>
    <w:semiHidden/>
    <w:qFormat/>
    <w:pPr>
      <w:ind w:left="1260"/>
      <w:jc w:val="left"/>
    </w:pPr>
  </w:style>
  <w:style w:type="paragraph" w:styleId="1020" w:customStyle="1">
    <w:name w:val="文档结构图1"/>
    <w:basedOn w:val="808"/>
    <w:link w:val="1021"/>
    <w:uiPriority w:val="0"/>
    <w:semiHidden/>
    <w:qFormat/>
    <w:pPr>
      <w:shd w:val="clear" w:color="auto" w:fill="000080"/>
    </w:pPr>
  </w:style>
  <w:style w:type="character" w:styleId="1021" w:customStyle="1">
    <w:name w:val="文档结构图 Char"/>
    <w:link w:val="1020"/>
    <w:uiPriority w:val="0"/>
    <w:semiHidden/>
    <w:qFormat/>
    <w:rPr>
      <w:rFonts w:ascii="Times New Roman" w:hAnsi="Times New Roman" w:eastAsia="宋体" w:cs="Times New Roman"/>
      <w:szCs w:val="21"/>
      <w:shd w:val="clear" w:color="auto" w:fill="000080"/>
    </w:rPr>
  </w:style>
  <w:style w:type="paragraph" w:styleId="1022" w:customStyle="1">
    <w:name w:val="批注文字1"/>
    <w:basedOn w:val="808"/>
    <w:link w:val="1023"/>
    <w:uiPriority w:val="0"/>
    <w:semiHidden/>
    <w:qFormat/>
    <w:pPr>
      <w:jc w:val="left"/>
    </w:pPr>
  </w:style>
  <w:style w:type="character" w:styleId="1023" w:customStyle="1">
    <w:name w:val="批注文字 Char"/>
    <w:link w:val="1022"/>
    <w:uiPriority w:val="0"/>
    <w:semiHidden/>
    <w:qFormat/>
    <w:rPr>
      <w:rFonts w:ascii="Times New Roman" w:hAnsi="Times New Roman" w:eastAsia="宋体" w:cs="Times New Roman"/>
      <w:szCs w:val="21"/>
    </w:rPr>
  </w:style>
  <w:style w:type="paragraph" w:styleId="1024" w:customStyle="1">
    <w:name w:val="正文文本 31"/>
    <w:basedOn w:val="808"/>
    <w:link w:val="1025"/>
    <w:uiPriority w:val="0"/>
    <w:qFormat/>
    <w:rPr>
      <w:rFonts w:ascii="仿宋_GB2312" w:hAnsi="Arial" w:eastAsia="仿宋_GB2312"/>
      <w:sz w:val="32"/>
      <w:szCs w:val="32"/>
    </w:rPr>
  </w:style>
  <w:style w:type="character" w:styleId="1025" w:customStyle="1">
    <w:name w:val="正文文本 3 Char"/>
    <w:link w:val="1024"/>
    <w:uiPriority w:val="0"/>
    <w:qFormat/>
    <w:rPr>
      <w:rFonts w:ascii="仿宋_GB2312" w:hAnsi="Arial" w:eastAsia="仿宋_GB2312" w:cs="Times New Roman"/>
      <w:sz w:val="32"/>
      <w:szCs w:val="32"/>
    </w:rPr>
  </w:style>
  <w:style w:type="paragraph" w:styleId="1026" w:customStyle="1">
    <w:name w:val="正文文本1"/>
    <w:basedOn w:val="808"/>
    <w:next w:val="1027"/>
    <w:link w:val="1031"/>
    <w:uiPriority w:val="0"/>
    <w:qFormat/>
    <w:rPr>
      <w:rFonts w:ascii="楷体_GB2312" w:hAnsi="Arial" w:eastAsia="楷体_GB2312"/>
      <w:sz w:val="28"/>
      <w:szCs w:val="28"/>
    </w:rPr>
  </w:style>
  <w:style w:type="paragraph" w:styleId="1027" w:customStyle="1">
    <w:name w:val="一级条标题"/>
    <w:basedOn w:val="1028"/>
    <w:next w:val="102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28" w:customStyle="1">
    <w:name w:val="章标题"/>
    <w:next w:val="808"/>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29" w:customStyle="1">
    <w:name w:val="段"/>
    <w:basedOn w:val="1030"/>
    <w:next w:val="808"/>
    <w:uiPriority w:val="0"/>
    <w:qFormat/>
    <w:pPr>
      <w:ind w:firstLine="200"/>
      <w:widowControl/>
    </w:pPr>
    <w:rPr>
      <w:sz w:val="20"/>
    </w:rPr>
  </w:style>
  <w:style w:type="paragraph" w:styleId="1030" w:customStyle="1">
    <w:name w:val="正文1"/>
    <w:basedOn w:val="808"/>
    <w:next w:val="1026"/>
    <w:uiPriority w:val="0"/>
    <w:qFormat/>
    <w:pPr>
      <w:jc w:val="left"/>
      <w:spacing w:line="360" w:lineRule="atLeast"/>
    </w:pPr>
    <w:rPr>
      <w:rFonts w:ascii="宋体" w:hAnsiTheme="minorHAnsi" w:eastAsiaTheme="minorEastAsia" w:cstheme="minorBidi"/>
      <w:sz w:val="24"/>
      <w:szCs w:val="20"/>
    </w:rPr>
  </w:style>
  <w:style w:type="character" w:styleId="1031" w:customStyle="1">
    <w:name w:val="正文文本 Char"/>
    <w:link w:val="1026"/>
    <w:uiPriority w:val="0"/>
    <w:qFormat/>
    <w:rPr>
      <w:rFonts w:ascii="楷体_GB2312" w:hAnsi="Arial" w:eastAsia="楷体_GB2312" w:cs="Times New Roman"/>
      <w:sz w:val="28"/>
      <w:szCs w:val="28"/>
    </w:rPr>
  </w:style>
  <w:style w:type="paragraph" w:styleId="1032" w:customStyle="1">
    <w:name w:val="正文文本缩进1"/>
    <w:basedOn w:val="808"/>
    <w:link w:val="1033"/>
    <w:uiPriority w:val="0"/>
    <w:qFormat/>
    <w:pPr>
      <w:ind w:firstLine="645"/>
    </w:pPr>
    <w:rPr>
      <w:rFonts w:ascii="楷体_GB2312" w:eastAsia="楷体_GB2312"/>
      <w:sz w:val="32"/>
      <w:szCs w:val="32"/>
    </w:rPr>
  </w:style>
  <w:style w:type="character" w:styleId="1033" w:customStyle="1">
    <w:name w:val="正文文本缩进 Char"/>
    <w:link w:val="1032"/>
    <w:uiPriority w:val="0"/>
    <w:qFormat/>
    <w:rPr>
      <w:rFonts w:ascii="楷体_GB2312" w:hAnsi="Times New Roman" w:eastAsia="楷体_GB2312" w:cs="Times New Roman"/>
      <w:sz w:val="32"/>
      <w:szCs w:val="32"/>
    </w:rPr>
  </w:style>
  <w:style w:type="paragraph" w:styleId="1034" w:customStyle="1">
    <w:name w:val="列表 21"/>
    <w:basedOn w:val="808"/>
    <w:uiPriority w:val="0"/>
    <w:qFormat/>
    <w:pPr>
      <w:ind w:left="100" w:hanging="200"/>
    </w:pPr>
  </w:style>
  <w:style w:type="paragraph" w:styleId="1035" w:customStyle="1">
    <w:name w:val="目录 51"/>
    <w:basedOn w:val="808"/>
    <w:next w:val="808"/>
    <w:uiPriority w:val="0"/>
    <w:semiHidden/>
    <w:qFormat/>
    <w:pPr>
      <w:ind w:left="840"/>
      <w:jc w:val="left"/>
    </w:pPr>
  </w:style>
  <w:style w:type="paragraph" w:styleId="1036" w:customStyle="1">
    <w:name w:val="目录 31"/>
    <w:basedOn w:val="808"/>
    <w:next w:val="808"/>
    <w:uiPriority w:val="0"/>
    <w:semiHidden/>
    <w:qFormat/>
    <w:pPr>
      <w:ind w:left="420"/>
      <w:jc w:val="left"/>
    </w:pPr>
    <w:rPr>
      <w:i/>
      <w:iCs/>
      <w:szCs w:val="24"/>
    </w:rPr>
  </w:style>
  <w:style w:type="paragraph" w:styleId="1037" w:customStyle="1">
    <w:name w:val="纯文本1"/>
    <w:basedOn w:val="808"/>
    <w:link w:val="1038"/>
    <w:uiPriority w:val="0"/>
    <w:qFormat/>
    <w:rPr>
      <w:rFonts w:ascii="宋体" w:hAnsi="Courier New" w:cs="Courier New"/>
    </w:rPr>
  </w:style>
  <w:style w:type="character" w:styleId="1038" w:customStyle="1">
    <w:name w:val="纯文本 Char"/>
    <w:link w:val="1037"/>
    <w:uiPriority w:val="0"/>
    <w:qFormat/>
    <w:rPr>
      <w:rFonts w:ascii="宋体" w:hAnsi="Courier New" w:eastAsia="宋体" w:cs="Courier New"/>
      <w:szCs w:val="21"/>
    </w:rPr>
  </w:style>
  <w:style w:type="paragraph" w:styleId="1039" w:customStyle="1">
    <w:name w:val="目录 81"/>
    <w:basedOn w:val="808"/>
    <w:next w:val="808"/>
    <w:uiPriority w:val="0"/>
    <w:semiHidden/>
    <w:qFormat/>
    <w:pPr>
      <w:ind w:left="1470"/>
      <w:jc w:val="left"/>
    </w:pPr>
  </w:style>
  <w:style w:type="paragraph" w:styleId="1040" w:customStyle="1">
    <w:name w:val="日期1"/>
    <w:basedOn w:val="808"/>
    <w:next w:val="808"/>
    <w:link w:val="1041"/>
    <w:uiPriority w:val="0"/>
    <w:qFormat/>
    <w:rPr>
      <w:sz w:val="24"/>
      <w:szCs w:val="24"/>
    </w:rPr>
  </w:style>
  <w:style w:type="character" w:styleId="1041" w:customStyle="1">
    <w:name w:val="日期 Char"/>
    <w:link w:val="1040"/>
    <w:uiPriority w:val="0"/>
    <w:qFormat/>
    <w:rPr>
      <w:rFonts w:ascii="Times New Roman" w:hAnsi="Times New Roman" w:eastAsia="宋体" w:cs="Times New Roman"/>
      <w:sz w:val="24"/>
      <w:szCs w:val="24"/>
    </w:rPr>
  </w:style>
  <w:style w:type="paragraph" w:styleId="1042" w:customStyle="1">
    <w:name w:val="正文文本缩进 21"/>
    <w:basedOn w:val="808"/>
    <w:link w:val="1043"/>
    <w:uiPriority w:val="0"/>
    <w:qFormat/>
    <w:pPr>
      <w:ind w:left="630" w:firstLine="645"/>
    </w:pPr>
    <w:rPr>
      <w:rFonts w:ascii="Arial" w:hAnsi="Arial" w:eastAsia="仿宋_GB2312" w:cs="Arial"/>
      <w:sz w:val="32"/>
      <w:szCs w:val="32"/>
    </w:rPr>
  </w:style>
  <w:style w:type="character" w:styleId="1043" w:customStyle="1">
    <w:name w:val="正文文本缩进 2 Char"/>
    <w:link w:val="1042"/>
    <w:uiPriority w:val="0"/>
    <w:qFormat/>
    <w:rPr>
      <w:rFonts w:ascii="Arial" w:hAnsi="Arial" w:eastAsia="仿宋_GB2312" w:cs="Arial"/>
      <w:sz w:val="32"/>
      <w:szCs w:val="32"/>
    </w:rPr>
  </w:style>
  <w:style w:type="paragraph" w:styleId="1044" w:customStyle="1">
    <w:name w:val="批注框文本1"/>
    <w:basedOn w:val="808"/>
    <w:link w:val="1045"/>
    <w:uiPriority w:val="0"/>
    <w:semiHidden/>
    <w:qFormat/>
    <w:rPr>
      <w:sz w:val="18"/>
      <w:szCs w:val="18"/>
    </w:rPr>
  </w:style>
  <w:style w:type="character" w:styleId="1045" w:customStyle="1">
    <w:name w:val="批注框文本 Char"/>
    <w:link w:val="1044"/>
    <w:uiPriority w:val="0"/>
    <w:semiHidden/>
    <w:qFormat/>
    <w:rPr>
      <w:rFonts w:ascii="Times New Roman" w:hAnsi="Times New Roman" w:eastAsia="宋体" w:cs="Times New Roman"/>
      <w:sz w:val="18"/>
      <w:szCs w:val="18"/>
    </w:rPr>
  </w:style>
  <w:style w:type="paragraph" w:styleId="1046" w:customStyle="1">
    <w:name w:val="页脚1"/>
    <w:basedOn w:val="808"/>
    <w:link w:val="1047"/>
    <w:uiPriority w:val="99"/>
    <w:qFormat/>
    <w:pPr>
      <w:jc w:val="left"/>
      <w:tabs>
        <w:tab w:val="center" w:pos="4153" w:leader="none"/>
        <w:tab w:val="right" w:pos="8306" w:leader="none"/>
      </w:tabs>
    </w:pPr>
    <w:rPr>
      <w:sz w:val="18"/>
      <w:szCs w:val="18"/>
    </w:rPr>
  </w:style>
  <w:style w:type="character" w:styleId="1047" w:customStyle="1">
    <w:name w:val="页脚 Char"/>
    <w:link w:val="1046"/>
    <w:uiPriority w:val="99"/>
    <w:qFormat/>
    <w:rPr>
      <w:rFonts w:ascii="Times New Roman" w:hAnsi="Times New Roman" w:eastAsia="宋体" w:cs="Times New Roman"/>
      <w:sz w:val="18"/>
      <w:szCs w:val="18"/>
    </w:rPr>
  </w:style>
  <w:style w:type="paragraph" w:styleId="1048" w:customStyle="1">
    <w:name w:val="页眉1"/>
    <w:basedOn w:val="808"/>
    <w:link w:val="1049"/>
    <w:uiPriority w:val="0"/>
    <w:qFormat/>
    <w:pPr>
      <w:jc w:val="center"/>
      <w:tabs>
        <w:tab w:val="center" w:pos="4153" w:leader="none"/>
        <w:tab w:val="right" w:pos="8306" w:leader="none"/>
      </w:tabs>
      <w:pBdr>
        <w:bottom w:val="single" w:color="000000" w:sz="6" w:space="1"/>
      </w:pBdr>
    </w:pPr>
    <w:rPr>
      <w:sz w:val="18"/>
      <w:szCs w:val="18"/>
    </w:rPr>
  </w:style>
  <w:style w:type="character" w:styleId="1049" w:customStyle="1">
    <w:name w:val="页眉 Char"/>
    <w:link w:val="1048"/>
    <w:uiPriority w:val="0"/>
    <w:qFormat/>
    <w:rPr>
      <w:rFonts w:ascii="Times New Roman" w:hAnsi="Times New Roman" w:eastAsia="宋体" w:cs="Times New Roman"/>
      <w:sz w:val="18"/>
      <w:szCs w:val="18"/>
    </w:rPr>
  </w:style>
  <w:style w:type="paragraph" w:styleId="1050" w:customStyle="1">
    <w:name w:val="目录 11"/>
    <w:basedOn w:val="808"/>
    <w:next w:val="808"/>
    <w:uiPriority w:val="0"/>
    <w:semiHidden/>
    <w:qFormat/>
    <w:pPr>
      <w:jc w:val="left"/>
      <w:spacing w:before="120" w:after="120" w:line="400" w:lineRule="exact"/>
      <w:tabs>
        <w:tab w:val="right" w:pos="8720" w:leader="dot"/>
      </w:tabs>
    </w:pPr>
    <w:rPr>
      <w:rFonts w:ascii="宋体" w:hAnsi="宋体"/>
      <w:caps/>
      <w:sz w:val="24"/>
      <w:szCs w:val="24"/>
    </w:rPr>
  </w:style>
  <w:style w:type="paragraph" w:styleId="1051" w:customStyle="1">
    <w:name w:val="目录 41"/>
    <w:basedOn w:val="808"/>
    <w:next w:val="808"/>
    <w:uiPriority w:val="0"/>
    <w:semiHidden/>
    <w:qFormat/>
    <w:pPr>
      <w:ind w:left="630"/>
      <w:jc w:val="left"/>
    </w:pPr>
  </w:style>
  <w:style w:type="paragraph" w:styleId="1052" w:customStyle="1">
    <w:name w:val="列表1"/>
    <w:basedOn w:val="808"/>
    <w:uiPriority w:val="0"/>
    <w:qFormat/>
    <w:pPr>
      <w:ind w:left="200" w:hanging="200"/>
    </w:pPr>
  </w:style>
  <w:style w:type="paragraph" w:styleId="1053" w:customStyle="1">
    <w:name w:val="目录 61"/>
    <w:basedOn w:val="808"/>
    <w:next w:val="808"/>
    <w:uiPriority w:val="0"/>
    <w:semiHidden/>
    <w:qFormat/>
    <w:pPr>
      <w:ind w:left="1050"/>
      <w:jc w:val="left"/>
    </w:pPr>
  </w:style>
  <w:style w:type="paragraph" w:styleId="1054" w:customStyle="1">
    <w:name w:val="正文文本缩进 31"/>
    <w:basedOn w:val="808"/>
    <w:link w:val="1055"/>
    <w:uiPriority w:val="0"/>
    <w:qFormat/>
    <w:pPr>
      <w:ind w:left="645" w:firstLine="645"/>
    </w:pPr>
    <w:rPr>
      <w:rFonts w:ascii="Arial" w:hAnsi="Arial" w:eastAsia="仿宋_GB2312" w:cs="Arial"/>
      <w:color w:val="ffff00"/>
      <w:sz w:val="32"/>
      <w:szCs w:val="32"/>
    </w:rPr>
  </w:style>
  <w:style w:type="character" w:styleId="1055" w:customStyle="1">
    <w:name w:val="正文文本缩进 3 Char"/>
    <w:link w:val="1054"/>
    <w:uiPriority w:val="0"/>
    <w:qFormat/>
    <w:rPr>
      <w:rFonts w:ascii="Arial" w:hAnsi="Arial" w:eastAsia="仿宋_GB2312" w:cs="Arial"/>
      <w:color w:val="ffff00"/>
      <w:sz w:val="32"/>
      <w:szCs w:val="32"/>
    </w:rPr>
  </w:style>
  <w:style w:type="paragraph" w:styleId="1056" w:customStyle="1">
    <w:name w:val="图表目录1"/>
    <w:basedOn w:val="808"/>
    <w:next w:val="808"/>
    <w:uiPriority w:val="0"/>
    <w:semiHidden/>
    <w:qFormat/>
    <w:pPr>
      <w:ind w:left="840" w:hanging="420"/>
    </w:pPr>
  </w:style>
  <w:style w:type="paragraph" w:styleId="1057" w:customStyle="1">
    <w:name w:val="目录 21"/>
    <w:basedOn w:val="808"/>
    <w:next w:val="808"/>
    <w:uiPriority w:val="0"/>
    <w:semiHidden/>
    <w:qFormat/>
    <w:pPr>
      <w:ind w:left="210"/>
      <w:jc w:val="left"/>
    </w:pPr>
    <w:rPr>
      <w:smallCaps/>
      <w:szCs w:val="24"/>
    </w:rPr>
  </w:style>
  <w:style w:type="paragraph" w:styleId="1058" w:customStyle="1">
    <w:name w:val="目录 91"/>
    <w:basedOn w:val="808"/>
    <w:next w:val="808"/>
    <w:uiPriority w:val="0"/>
    <w:semiHidden/>
    <w:qFormat/>
    <w:pPr>
      <w:ind w:left="1680"/>
      <w:jc w:val="left"/>
    </w:pPr>
  </w:style>
  <w:style w:type="paragraph" w:styleId="1059" w:customStyle="1">
    <w:name w:val="正文文本 21"/>
    <w:basedOn w:val="808"/>
    <w:link w:val="1060"/>
    <w:uiPriority w:val="0"/>
    <w:qFormat/>
    <w:pPr>
      <w:jc w:val="center"/>
      <w:widowControl/>
    </w:pPr>
    <w:rPr>
      <w:rFonts w:ascii="楷体_GB2312" w:eastAsia="楷体_GB2312"/>
      <w:sz w:val="28"/>
      <w:szCs w:val="28"/>
    </w:rPr>
  </w:style>
  <w:style w:type="character" w:styleId="1060" w:customStyle="1">
    <w:name w:val="正文文本 2 Char"/>
    <w:link w:val="1059"/>
    <w:uiPriority w:val="0"/>
    <w:qFormat/>
    <w:rPr>
      <w:rFonts w:ascii="楷体_GB2312" w:hAnsi="Times New Roman" w:eastAsia="楷体_GB2312" w:cs="Times New Roman"/>
      <w:sz w:val="28"/>
      <w:szCs w:val="28"/>
    </w:rPr>
  </w:style>
  <w:style w:type="paragraph" w:styleId="1061" w:customStyle="1">
    <w:name w:val="普通(网站)1"/>
    <w:basedOn w:val="808"/>
    <w:uiPriority w:val="99"/>
    <w:qFormat/>
    <w:pPr>
      <w:jc w:val="left"/>
      <w:spacing w:before="100" w:beforeAutospacing="1" w:after="100" w:afterAutospacing="1"/>
      <w:widowControl/>
    </w:pPr>
    <w:rPr>
      <w:rFonts w:ascii="宋体" w:hAnsi="宋体" w:cs="宋体"/>
      <w:sz w:val="24"/>
      <w:szCs w:val="24"/>
    </w:rPr>
  </w:style>
  <w:style w:type="paragraph" w:styleId="1062" w:customStyle="1">
    <w:name w:val="索引 11"/>
    <w:basedOn w:val="808"/>
    <w:next w:val="808"/>
    <w:uiPriority w:val="0"/>
    <w:semiHidden/>
    <w:qFormat/>
    <w:pPr>
      <w:spacing w:line="240" w:lineRule="atLeast"/>
    </w:pPr>
    <w:rPr>
      <w:b/>
      <w:bCs/>
    </w:rPr>
  </w:style>
  <w:style w:type="paragraph" w:styleId="1063" w:customStyle="1">
    <w:name w:val="批注主题1"/>
    <w:basedOn w:val="1022"/>
    <w:next w:val="1022"/>
    <w:link w:val="1064"/>
    <w:uiPriority w:val="0"/>
    <w:semiHidden/>
    <w:qFormat/>
    <w:rPr>
      <w:b/>
      <w:bCs/>
    </w:rPr>
  </w:style>
  <w:style w:type="character" w:styleId="1064" w:customStyle="1">
    <w:name w:val="批注主题 Char"/>
    <w:link w:val="1063"/>
    <w:uiPriority w:val="0"/>
    <w:semiHidden/>
    <w:qFormat/>
    <w:rPr>
      <w:rFonts w:ascii="Times New Roman" w:hAnsi="Times New Roman" w:eastAsia="宋体" w:cs="Times New Roman"/>
      <w:b/>
      <w:bCs/>
      <w:szCs w:val="21"/>
    </w:rPr>
  </w:style>
  <w:style w:type="paragraph" w:styleId="1065" w:customStyle="1">
    <w:name w:val="正文首行缩进1"/>
    <w:basedOn w:val="808"/>
    <w:link w:val="1066"/>
    <w:uiPriority w:val="0"/>
    <w:qFormat/>
    <w:pPr>
      <w:ind w:firstLine="200"/>
      <w:spacing w:line="360" w:lineRule="auto"/>
    </w:pPr>
    <w:rPr>
      <w:rFonts w:ascii="仿宋_GB2312" w:eastAsia="仿宋_GB2312"/>
      <w:sz w:val="30"/>
      <w:szCs w:val="30"/>
    </w:rPr>
  </w:style>
  <w:style w:type="character" w:styleId="1066" w:customStyle="1">
    <w:name w:val="正文首行缩进 Char"/>
    <w:link w:val="1065"/>
    <w:uiPriority w:val="0"/>
    <w:qFormat/>
    <w:rPr>
      <w:rFonts w:ascii="仿宋_GB2312" w:hAnsi="Times New Roman" w:eastAsia="仿宋_GB2312" w:cs="Times New Roman"/>
      <w:sz w:val="30"/>
      <w:szCs w:val="30"/>
    </w:rPr>
  </w:style>
  <w:style w:type="paragraph" w:styleId="1067" w:customStyle="1">
    <w:name w:val="正文首行缩进 21"/>
    <w:basedOn w:val="1032"/>
    <w:link w:val="1068"/>
    <w:uiPriority w:val="0"/>
    <w:qFormat/>
    <w:pPr>
      <w:ind w:firstLine="420"/>
      <w:spacing w:line="360" w:lineRule="auto"/>
    </w:pPr>
    <w:rPr>
      <w:rFonts w:ascii="宋体" w:hAnsi="宋体" w:eastAsia="宋体"/>
      <w:sz w:val="21"/>
      <w:szCs w:val="20"/>
    </w:rPr>
  </w:style>
  <w:style w:type="character" w:styleId="1068" w:customStyle="1">
    <w:name w:val="正文首行缩进 2 Char"/>
    <w:link w:val="1067"/>
    <w:uiPriority w:val="0"/>
    <w:qFormat/>
    <w:rPr>
      <w:rFonts w:ascii="宋体" w:hAnsi="宋体" w:eastAsia="宋体" w:cs="Times New Roman"/>
      <w:sz w:val="32"/>
      <w:szCs w:val="20"/>
    </w:rPr>
  </w:style>
  <w:style w:type="table" w:styleId="1069" w:customStyle="1">
    <w:name w:val="网格型1"/>
    <w:basedOn w:val="1007"/>
    <w:uiPriority w:val="0"/>
    <w:qFormat/>
    <w:pPr>
      <w:jc w:val="both"/>
      <w:widowControl w:val="off"/>
    </w:pPr>
    <w:rPr>
      <w:rFonts w:ascii="Times New Roman" w:hAnsi="Times New Roman" w:eastAsia="宋体" w:cs="Times New Roman"/>
      <w:sz w:val="20"/>
      <w:szCs w:val="20"/>
    </w:rPr>
    <w:tblPr/>
  </w:style>
  <w:style w:type="character" w:styleId="1070" w:customStyle="1">
    <w:name w:val="要点1"/>
    <w:link w:val="808"/>
    <w:uiPriority w:val="0"/>
    <w:qFormat/>
    <w:rPr>
      <w:b/>
      <w:bCs/>
    </w:rPr>
  </w:style>
  <w:style w:type="character" w:styleId="1071" w:customStyle="1">
    <w:name w:val="页码1"/>
    <w:link w:val="808"/>
    <w:uiPriority w:val="0"/>
    <w:qFormat/>
  </w:style>
  <w:style w:type="character" w:styleId="1072" w:customStyle="1">
    <w:name w:val="已访问的超链接1"/>
    <w:link w:val="808"/>
    <w:uiPriority w:val="0"/>
    <w:qFormat/>
    <w:rPr>
      <w:color w:val="800080"/>
      <w:u w:val="single"/>
    </w:rPr>
  </w:style>
  <w:style w:type="character" w:styleId="1073" w:customStyle="1">
    <w:name w:val="超链接1"/>
    <w:link w:val="808"/>
    <w:uiPriority w:val="0"/>
    <w:qFormat/>
    <w:rPr>
      <w:color w:val="0000ff"/>
      <w:u w:val="single"/>
    </w:rPr>
  </w:style>
  <w:style w:type="character" w:styleId="1074" w:customStyle="1">
    <w:name w:val="批注引用1"/>
    <w:link w:val="808"/>
    <w:uiPriority w:val="0"/>
    <w:semiHidden/>
    <w:qFormat/>
    <w:rPr>
      <w:sz w:val="21"/>
      <w:szCs w:val="21"/>
    </w:rPr>
  </w:style>
  <w:style w:type="character" w:styleId="1075" w:customStyle="1">
    <w:name w:val="font5 Char"/>
    <w:link w:val="808"/>
    <w:uiPriority w:val="0"/>
    <w:qFormat/>
    <w:rPr>
      <w:rFonts w:ascii="宋体" w:hAnsi="宋体" w:eastAsia="宋体"/>
      <w:sz w:val="28"/>
      <w:szCs w:val="28"/>
      <w:lang w:val="en-US" w:eastAsia="zh-CN" w:bidi="ar-SA"/>
    </w:rPr>
  </w:style>
  <w:style w:type="character" w:styleId="1076" w:customStyle="1">
    <w:name w:val="二级目录 Char"/>
    <w:link w:val="1077"/>
    <w:uiPriority w:val="0"/>
    <w:qFormat/>
    <w:rPr>
      <w:b/>
      <w:sz w:val="30"/>
      <w:szCs w:val="28"/>
    </w:rPr>
  </w:style>
  <w:style w:type="paragraph" w:styleId="1077" w:customStyle="1">
    <w:name w:val="二级目录"/>
    <w:next w:val="808"/>
    <w:link w:val="1076"/>
    <w:uiPriority w:val="0"/>
    <w:qFormat/>
    <w:pPr>
      <w:numPr>
        <w:ilvl w:val="0"/>
        <w:numId w:val="3"/>
      </w:numPr>
      <w:tabs>
        <w:tab w:val="left" w:pos="1145" w:leader="none"/>
      </w:tabs>
      <w:outlineLvl w:val="1"/>
    </w:pPr>
    <w:rPr>
      <w:rFonts w:hint="default" w:ascii="Calibri" w:hAnsi="Calibri" w:eastAsia="宋体" w:cs="Times New Roman"/>
      <w:b/>
      <w:sz w:val="30"/>
      <w:szCs w:val="28"/>
      <w:lang w:val="en-US" w:eastAsia="zh-CN" w:bidi="ar-SA"/>
    </w:rPr>
  </w:style>
  <w:style w:type="character" w:styleId="1078" w:customStyle="1">
    <w:name w:val="列出段落 Char"/>
    <w:link w:val="1079"/>
    <w:uiPriority w:val="0"/>
    <w:qFormat/>
    <w:rPr>
      <w:rFonts w:ascii="Calibri" w:hAnsi="Calibri"/>
      <w:sz w:val="24"/>
      <w:szCs w:val="24"/>
      <w:lang w:eastAsia="en-US" w:bidi="en-US"/>
    </w:rPr>
  </w:style>
  <w:style w:type="paragraph" w:styleId="1079" w:customStyle="1">
    <w:name w:val="列出段落1"/>
    <w:basedOn w:val="808"/>
    <w:link w:val="1078"/>
    <w:uiPriority w:val="0"/>
    <w:qFormat/>
    <w:pPr>
      <w:contextualSpacing/>
      <w:ind w:left="720"/>
      <w:jc w:val="left"/>
      <w:widowControl/>
    </w:pPr>
    <w:rPr>
      <w:rFonts w:ascii="Calibri" w:hAnsi="Calibri" w:eastAsia="宋体" w:cs="Times New Roman"/>
      <w:sz w:val="24"/>
      <w:szCs w:val="24"/>
      <w:lang w:eastAsia="en-US" w:bidi="en-US"/>
    </w:rPr>
  </w:style>
  <w:style w:type="paragraph" w:styleId="1080" w:customStyle="1">
    <w:name w:val="Body Text(ch)"/>
    <w:basedOn w:val="808"/>
    <w:next w:val="1026"/>
    <w:uiPriority w:val="0"/>
    <w:qFormat/>
    <w:pPr>
      <w:spacing w:after="120"/>
    </w:pPr>
    <w:rPr>
      <w:rFonts w:ascii="宋体" w:hAnsi="Arial"/>
      <w:bCs/>
      <w:iCs/>
      <w:szCs w:val="24"/>
    </w:rPr>
  </w:style>
  <w:style w:type="paragraph" w:styleId="1081" w:customStyle="1">
    <w:name w:val="xl27"/>
    <w:basedOn w:val="8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2" w:customStyle="1">
    <w:name w:val="xl26"/>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3" w:customStyle="1">
    <w:name w:val="Char"/>
    <w:basedOn w:val="808"/>
    <w:uiPriority w:val="0"/>
    <w:qFormat/>
    <w:pPr>
      <w:ind w:firstLine="200"/>
      <w:tabs>
        <w:tab w:val="left" w:pos="360" w:leader="none"/>
      </w:tabs>
    </w:pPr>
    <w:rPr>
      <w:sz w:val="28"/>
      <w:szCs w:val="30"/>
    </w:rPr>
  </w:style>
  <w:style w:type="paragraph" w:styleId="1084" w:customStyle="1">
    <w:name w:val=" Char"/>
    <w:basedOn w:val="1020"/>
    <w:uiPriority w:val="0"/>
    <w:qFormat/>
    <w:rPr>
      <w:rFonts w:ascii="Tahoma" w:hAnsi="Tahoma"/>
      <w:sz w:val="24"/>
      <w:szCs w:val="24"/>
    </w:rPr>
  </w:style>
  <w:style w:type="paragraph" w:styleId="1085" w:customStyle="1">
    <w:name w:val="普通正文"/>
    <w:basedOn w:val="808"/>
    <w:uiPriority w:val="0"/>
    <w:qFormat/>
    <w:pPr>
      <w:ind w:firstLine="480"/>
      <w:jc w:val="left"/>
      <w:spacing w:before="120" w:after="120" w:line="360" w:lineRule="auto"/>
    </w:pPr>
    <w:rPr>
      <w:rFonts w:ascii="Arial" w:hAnsi="Arial"/>
      <w:sz w:val="24"/>
      <w:szCs w:val="24"/>
    </w:rPr>
  </w:style>
  <w:style w:type="paragraph" w:styleId="1086" w:customStyle="1">
    <w:name w:val="table_lines"/>
    <w:basedOn w:val="808"/>
    <w:uiPriority w:val="0"/>
    <w:qFormat/>
    <w:pPr>
      <w:jc w:val="left"/>
      <w:widowControl/>
    </w:pPr>
    <w:rPr>
      <w:sz w:val="20"/>
      <w:szCs w:val="20"/>
      <w:lang w:val="de-DE" w:eastAsia="de-DE"/>
    </w:rPr>
  </w:style>
  <w:style w:type="paragraph" w:styleId="1087"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088" w:customStyle="1">
    <w:name w:val="font7"/>
    <w:basedOn w:val="808"/>
    <w:uiPriority w:val="0"/>
    <w:qFormat/>
    <w:pPr>
      <w:jc w:val="left"/>
      <w:spacing w:before="100" w:beforeAutospacing="1" w:after="100" w:afterAutospacing="1"/>
      <w:widowControl/>
    </w:pPr>
    <w:rPr>
      <w:rFonts w:hint="eastAsia" w:ascii="宋体" w:hAnsi="宋体"/>
      <w:sz w:val="18"/>
      <w:szCs w:val="18"/>
    </w:rPr>
  </w:style>
  <w:style w:type="paragraph" w:styleId="1089" w:customStyle="1">
    <w:name w:val=" Char Char Char Char"/>
    <w:basedOn w:val="1020"/>
    <w:uiPriority w:val="0"/>
    <w:qFormat/>
    <w:pPr>
      <w:spacing w:line="360" w:lineRule="auto"/>
    </w:pPr>
    <w:rPr>
      <w:rFonts w:ascii="Tahoma" w:hAnsi="Tahoma"/>
      <w:sz w:val="24"/>
      <w:szCs w:val="24"/>
    </w:rPr>
  </w:style>
  <w:style w:type="paragraph" w:styleId="1090" w:customStyle="1">
    <w:name w:val="列出段落"/>
    <w:basedOn w:val="808"/>
    <w:uiPriority w:val="0"/>
    <w:qFormat/>
    <w:pPr>
      <w:contextualSpacing/>
      <w:ind w:left="720"/>
      <w:jc w:val="left"/>
      <w:widowControl/>
    </w:pPr>
    <w:rPr>
      <w:rFonts w:ascii="Calibri" w:hAnsi="Calibri"/>
      <w:sz w:val="24"/>
      <w:szCs w:val="24"/>
      <w:lang w:eastAsia="en-US" w:bidi="en-US"/>
    </w:rPr>
  </w:style>
  <w:style w:type="paragraph" w:styleId="1091" w:customStyle="1">
    <w:name w:val="4"/>
    <w:basedOn w:val="808"/>
    <w:next w:val="1054"/>
    <w:uiPriority w:val="0"/>
    <w:qFormat/>
    <w:pPr>
      <w:ind w:firstLine="420"/>
      <w:spacing w:line="360" w:lineRule="auto"/>
    </w:pPr>
    <w:rPr>
      <w:color w:val="ff0000"/>
      <w:sz w:val="24"/>
      <w:szCs w:val="24"/>
    </w:rPr>
  </w:style>
  <w:style w:type="paragraph" w:styleId="1092" w:customStyle="1">
    <w:name w:val="普通 (Web)"/>
    <w:basedOn w:val="808"/>
    <w:uiPriority w:val="0"/>
    <w:qFormat/>
    <w:pPr>
      <w:jc w:val="left"/>
      <w:spacing w:before="100" w:beforeAutospacing="1" w:after="100" w:afterAutospacing="1"/>
      <w:widowControl/>
    </w:pPr>
    <w:rPr>
      <w:rFonts w:ascii="宋体" w:hAnsi="宋体"/>
      <w:sz w:val="24"/>
      <w:szCs w:val="24"/>
    </w:rPr>
  </w:style>
  <w:style w:type="paragraph" w:styleId="1093" w:customStyle="1">
    <w:name w:val=" Char Char Char Char Char Char Char Char Char Char"/>
    <w:basedOn w:val="808"/>
    <w:uiPriority w:val="0"/>
    <w:qFormat/>
    <w:pPr>
      <w:spacing w:line="360" w:lineRule="auto"/>
    </w:pPr>
    <w:rPr>
      <w:sz w:val="24"/>
      <w:szCs w:val="20"/>
    </w:rPr>
  </w:style>
  <w:style w:type="paragraph" w:styleId="1094" w:customStyle="1">
    <w:name w:val="样式1"/>
    <w:basedOn w:val="808"/>
    <w:uiPriority w:val="0"/>
    <w:qFormat/>
    <w:pPr>
      <w:numPr>
        <w:ilvl w:val="0"/>
        <w:numId w:val="4"/>
      </w:numPr>
    </w:pPr>
    <w:rPr>
      <w:rFonts w:ascii="宋体" w:hAnsi="宋体"/>
    </w:rPr>
  </w:style>
  <w:style w:type="paragraph" w:styleId="1095" w:customStyle="1">
    <w:name w:val="font6"/>
    <w:basedOn w:val="808"/>
    <w:uiPriority w:val="0"/>
    <w:qFormat/>
    <w:pPr>
      <w:jc w:val="left"/>
      <w:spacing w:before="100" w:beforeAutospacing="1" w:after="100" w:afterAutospacing="1"/>
      <w:widowControl/>
    </w:pPr>
    <w:rPr>
      <w:rFonts w:hint="eastAsia" w:ascii="宋体" w:hAnsi="宋体"/>
      <w:sz w:val="28"/>
      <w:szCs w:val="28"/>
      <w:u w:val="single"/>
    </w:rPr>
  </w:style>
  <w:style w:type="paragraph" w:styleId="1096" w:customStyle="1">
    <w:name w:val="xl25"/>
    <w:basedOn w:val="80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7" w:customStyle="1">
    <w:name w:val="图标"/>
    <w:basedOn w:val="808"/>
    <w:next w:val="80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98" w:customStyle="1">
    <w:name w:val="标题3"/>
    <w:basedOn w:val="808"/>
    <w:next w:val="808"/>
    <w:uiPriority w:val="0"/>
    <w:qFormat/>
    <w:pPr>
      <w:ind w:firstLine="624"/>
      <w:spacing w:line="590" w:lineRule="atLeast"/>
    </w:pPr>
    <w:rPr>
      <w:rFonts w:ascii="方正黑体_GBK" w:eastAsia="方正黑体_GBK"/>
      <w:sz w:val="32"/>
      <w:szCs w:val="32"/>
    </w:rPr>
  </w:style>
  <w:style w:type="paragraph" w:styleId="1099" w:customStyle="1">
    <w:name w:val="xl24"/>
    <w:basedOn w:val="8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0" w:customStyle="1">
    <w:name w:val="xl29"/>
    <w:basedOn w:val="80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01" w:customStyle="1">
    <w:name w:val="Char Char Char Char Char Char Char Char"/>
    <w:basedOn w:val="808"/>
    <w:uiPriority w:val="0"/>
    <w:qFormat/>
    <w:pPr>
      <w:jc w:val="left"/>
      <w:spacing w:after="160" w:line="240" w:lineRule="exact"/>
      <w:widowControl/>
    </w:pPr>
    <w:rPr>
      <w:rFonts w:ascii="Verdana" w:hAnsi="Verdana"/>
      <w:sz w:val="20"/>
      <w:szCs w:val="20"/>
      <w:lang w:eastAsia="en-US"/>
    </w:rPr>
  </w:style>
  <w:style w:type="paragraph" w:styleId="1102" w:customStyle="1">
    <w:name w:val="xl28"/>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03" w:customStyle="1">
    <w:name w:val=" Char Char Char Char Char Char Char Char"/>
    <w:basedOn w:val="808"/>
    <w:uiPriority w:val="0"/>
    <w:qFormat/>
    <w:pPr>
      <w:jc w:val="left"/>
      <w:spacing w:after="160" w:line="240" w:lineRule="exact"/>
      <w:widowControl/>
    </w:pPr>
    <w:rPr>
      <w:rFonts w:ascii="Verdana" w:hAnsi="Verdana"/>
      <w:sz w:val="20"/>
      <w:szCs w:val="20"/>
      <w:lang w:eastAsia="en-US"/>
    </w:rPr>
  </w:style>
  <w:style w:type="paragraph" w:styleId="1104" w:customStyle="1">
    <w:name w:val="xl30"/>
    <w:basedOn w:val="808"/>
    <w:uiPriority w:val="0"/>
    <w:qFormat/>
    <w:pPr>
      <w:jc w:val="center"/>
      <w:spacing w:before="100" w:beforeAutospacing="1" w:after="100" w:afterAutospacing="1"/>
      <w:widowControl/>
    </w:pPr>
    <w:rPr>
      <w:rFonts w:ascii="宋体" w:hAnsi="宋体"/>
      <w:b/>
      <w:bCs/>
      <w:sz w:val="36"/>
      <w:szCs w:val="36"/>
    </w:rPr>
  </w:style>
  <w:style w:type="paragraph" w:styleId="1105" w:customStyle="1">
    <w:name w:val="Char Char Char Char"/>
    <w:basedOn w:val="1020"/>
    <w:uiPriority w:val="0"/>
    <w:qFormat/>
    <w:pPr>
      <w:spacing w:line="360" w:lineRule="auto"/>
    </w:pPr>
    <w:rPr>
      <w:rFonts w:ascii="Tahoma" w:hAnsi="Tahoma"/>
      <w:sz w:val="24"/>
      <w:szCs w:val="24"/>
    </w:rPr>
  </w:style>
  <w:style w:type="paragraph" w:styleId="1106" w:customStyle="1">
    <w:name w:val="table_1stline"/>
    <w:basedOn w:val="808"/>
    <w:uiPriority w:val="0"/>
    <w:qFormat/>
    <w:pPr>
      <w:jc w:val="left"/>
      <w:spacing w:before="120"/>
      <w:widowControl/>
    </w:pPr>
    <w:rPr>
      <w:bCs/>
      <w:sz w:val="20"/>
      <w:szCs w:val="20"/>
      <w:lang w:val="de-DE" w:eastAsia="de-DE"/>
    </w:rPr>
  </w:style>
  <w:style w:type="paragraph" w:styleId="1107" w:customStyle="1">
    <w:name w:val="font5"/>
    <w:basedOn w:val="808"/>
    <w:uiPriority w:val="0"/>
    <w:qFormat/>
    <w:pPr>
      <w:jc w:val="left"/>
      <w:spacing w:before="100" w:beforeAutospacing="1" w:after="100" w:afterAutospacing="1"/>
      <w:widowControl/>
    </w:pPr>
    <w:rPr>
      <w:rFonts w:hint="eastAsia" w:ascii="宋体" w:hAnsi="宋体"/>
      <w:sz w:val="28"/>
      <w:szCs w:val="28"/>
    </w:rPr>
  </w:style>
  <w:style w:type="paragraph" w:styleId="1108" w:customStyle="1">
    <w:name w:val="标题1"/>
    <w:basedOn w:val="808"/>
    <w:next w:val="80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09"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110"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1111" w:customStyle="1">
    <w:name w:val="font41"/>
    <w:basedOn w:val="818"/>
    <w:link w:val="808"/>
    <w:uiPriority w:val="0"/>
    <w:qFormat/>
    <w:rPr>
      <w:rFonts w:ascii="Times New Roman" w:hAnsi="Times New Roman" w:cs="Times New Roman"/>
      <w:color w:val="000000"/>
      <w:sz w:val="20"/>
      <w:szCs w:val="20"/>
      <w:u w:val="none"/>
    </w:rPr>
  </w:style>
  <w:style w:type="character" w:styleId="1112" w:customStyle="1">
    <w:name w:val="font21"/>
    <w:basedOn w:val="818"/>
    <w:link w:val="808"/>
    <w:uiPriority w:val="0"/>
    <w:qFormat/>
    <w:rPr>
      <w:rFonts w:hint="eastAsia" w:ascii="宋体" w:hAnsi="宋体" w:eastAsia="宋体" w:cs="宋体"/>
      <w:b/>
      <w:bCs/>
      <w:color w:val="000000"/>
      <w:sz w:val="20"/>
      <w:szCs w:val="20"/>
      <w:u w:val="none"/>
    </w:rPr>
  </w:style>
  <w:style w:type="character" w:styleId="1113" w:customStyle="1">
    <w:name w:val="font31"/>
    <w:link w:val="808"/>
    <w:uiPriority w:val="0"/>
    <w:qFormat/>
    <w:rPr>
      <w:rFonts w:ascii="Times New Roman" w:hAnsi="Times New Roman" w:cs="Times New Roman"/>
      <w:color w:val="000000"/>
      <w:sz w:val="20"/>
      <w:szCs w:val="20"/>
      <w:u w:val="none"/>
    </w:rPr>
  </w:style>
  <w:style w:type="paragraph" w:styleId="1114" w:customStyle="1">
    <w:name w:val="正文（缩进）"/>
    <w:basedOn w:val="808"/>
    <w:uiPriority w:val="0"/>
    <w:qFormat/>
    <w:pPr>
      <w:ind w:firstLine="480"/>
    </w:pPr>
  </w:style>
  <w:style w:type="paragraph" w:styleId="1115" w:customStyle="1">
    <w:name w:val="无缩进"/>
    <w:basedOn w:val="808"/>
    <w:uiPriority w:val="0"/>
    <w:qFormat/>
    <w:pPr>
      <w:ind w:firstLine="0"/>
      <w:jc w:val="center"/>
      <w:widowControl/>
    </w:pPr>
    <w:rPr>
      <w:rFonts w:cs="Times New Roman"/>
      <w:color w:val="000000"/>
      <w:sz w:val="22"/>
    </w:rPr>
  </w:style>
  <w:style w:type="paragraph" w:styleId="1116" w:customStyle="1">
    <w:name w:val="列出段落6"/>
    <w:basedOn w:val="808"/>
    <w:uiPriority w:val="99"/>
    <w:qFormat/>
    <w:pPr>
      <w:ind w:firstLine="420"/>
    </w:pPr>
    <w:rPr>
      <w:rFonts w:ascii="Calibri" w:hAnsi="Calibri"/>
    </w:rPr>
  </w:style>
  <w:style w:type="paragraph" w:styleId="1117" w:customStyle="1">
    <w:name w:val="Table Text"/>
    <w:basedOn w:val="808"/>
    <w:uiPriority w:val="0"/>
    <w:semiHidden/>
    <w:qFormat/>
    <w:rPr>
      <w:rFonts w:ascii="仿宋" w:hAnsi="仿宋" w:eastAsia="仿宋" w:cs="仿宋"/>
      <w:sz w:val="18"/>
      <w:szCs w:val="18"/>
      <w:lang w:val="en-US" w:eastAsia="en-US" w:bidi="ar-SA"/>
    </w:rPr>
  </w:style>
  <w:style w:type="table" w:styleId="1118" w:customStyle="1">
    <w:name w:val="Table Normal"/>
    <w:uiPriority w:val="0"/>
    <w:semiHidden/>
    <w:unhideWhenUsed/>
    <w:qFormat/>
    <w:tblPr>
      <w:tblCellMar>
        <w:left w:w="0" w:type="dxa"/>
        <w:top w:w="0" w:type="dxa"/>
        <w:right w:w="0" w:type="dxa"/>
        <w:bottom w:w="0" w:type="dxa"/>
      </w:tblCellMar>
    </w:tblPr>
  </w:style>
  <w:style w:type="character" w:styleId="1119" w:customStyle="1">
    <w:name w:val="font11"/>
    <w:basedOn w:val="818"/>
    <w:uiPriority w:val="0"/>
    <w:qFormat/>
    <w:rPr>
      <w:rFonts w:hint="eastAsia" w:ascii="宋体" w:hAnsi="宋体" w:eastAsia="宋体" w:cs="宋体"/>
      <w:color w:val="ff0000"/>
      <w:sz w:val="22"/>
      <w:szCs w:val="22"/>
      <w:u w:val="none"/>
    </w:rPr>
  </w:style>
  <w:style w:type="character" w:styleId="1120" w:customStyle="1">
    <w:name w:val="font01"/>
    <w:basedOn w:val="818"/>
    <w:uiPriority w:val="0"/>
    <w:qFormat/>
    <w:rPr>
      <w:rFonts w:hint="eastAsia" w:ascii="宋体" w:hAnsi="宋体" w:eastAsia="宋体" w:cs="宋体"/>
      <w:color w:val="000000"/>
      <w:sz w:val="22"/>
      <w:szCs w:val="22"/>
      <w:u w:val="none"/>
    </w:rPr>
  </w:style>
  <w:style w:type="paragraph" w:styleId="1121"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122" w:customStyle="1">
    <w:name w:val="纯文本11"/>
    <w:basedOn w:val="808"/>
    <w:uiPriority w:val="99"/>
    <w:unhideWhenUsed/>
    <w:qFormat/>
    <w:rPr>
      <w:rFonts w:ascii="宋体" w:hAnsi="Courier New"/>
      <w:sz w:val="20"/>
      <w:szCs w:val="20"/>
    </w:rPr>
  </w:style>
  <w:style w:type="numbering" w:styleId="11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 Id="rId2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扬州九域</cp:lastModifiedBy>
  <cp:revision>14</cp:revision>
  <dcterms:created xsi:type="dcterms:W3CDTF">2023-03-16T10:16:00Z</dcterms:created>
  <dcterms:modified xsi:type="dcterms:W3CDTF">2026-10-14T07:40:44Z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eyJoZGlkIjoiZDA5NTkwMDczOTc4YTk1Yjk3OTljNDhmNDA5MmEzNzkiLCJ1c2VySWQiOiIzNzY4Njk4MzgifQ==</vt:lpwstr>
  </property>
  <property fmtid="{D5CDD505-2E9C-101B-9397-08002B2CF9AE}" pid="3" name="KSOProductBuildVer">
    <vt:lpwstr>2052-12.1.0.28802</vt:lpwstr>
  </property>
  <property fmtid="{D5CDD505-2E9C-101B-9397-08002B2CF9AE}" pid="4" name="ICV">
    <vt:lpwstr>29D73EE5E9E54D5295D26FDF6156B6C3_13</vt:lpwstr>
  </property>
</Properties>
</file>