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cs="宋体"/>
          <w:color w:val="auto"/>
          <w:sz w:val="40"/>
          <w:szCs w:val="24"/>
          <w:highlight w:val="none"/>
        </w:rPr>
      </w:pPr>
      <w:r>
        <w:rPr>
          <w:rFonts w:hint="eastAsia" w:ascii="宋体" w:hAnsi="宋体" w:cs="宋体"/>
          <w:b/>
          <w:bCs/>
          <w:color w:val="auto"/>
          <w:sz w:val="32"/>
          <w:szCs w:val="21"/>
          <w:highlight w:val="none"/>
        </w:rPr>
        <w:t xml:space="preserve">编号：JSZC-321002-JSWC-C2026-0034</w:t>
      </w:r>
      <w:r/>
    </w:p>
    <w:p>
      <w:pPr>
        <w:pStyle w:val="765"/>
        <w:spacing w:before="0" w:after="0" w:line="360" w:lineRule="auto"/>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汪氏小苑局部修缮工程</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竞争性磋商文件</w: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384800" cy="3550285"/>
                <wp:effectExtent l="0" t="0" r="635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5384800" cy="3550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4.0pt;height:279.6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pStyle w:val="740"/>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rPr>
      </w:pPr>
      <w:r/>
      <w:bookmarkStart w:id="3" w:name="FMFBSJ_1"/>
      <w:r>
        <w:rPr>
          <w:rFonts w:hint="eastAsia" w:ascii="宋体" w:hAnsi="宋体" w:cs="宋体"/>
          <w:b/>
          <w:bCs/>
          <w:color w:val="auto"/>
          <w:sz w:val="36"/>
          <w:highlight w:val="none"/>
        </w:rPr>
        <w:t xml:space="preserve">江苏唯诚建设咨询有限公司</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10</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16</w:t>
      </w:r>
      <w:r>
        <w:rPr>
          <w:rFonts w:hint="eastAsia" w:ascii="宋体" w:hAnsi="宋体" w:cs="宋体"/>
          <w:b/>
          <w:bCs/>
          <w:color w:val="auto"/>
          <w:sz w:val="36"/>
          <w:highlight w:val="none"/>
        </w:rPr>
        <w:t xml:space="preserve">日</w:t>
      </w:r>
      <w:bookmarkEnd w:id="3"/>
      <w:r/>
      <w:r/>
    </w:p>
    <w:p>
      <w:pPr>
        <w:jc w:val="center"/>
        <w:spacing w:line="360" w:lineRule="auto"/>
        <w:rPr>
          <w:color w:val="auto"/>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目 录</w:t>
      </w:r>
      <w:r/>
    </w:p>
    <w:p>
      <w:pPr>
        <w:pStyle w:val="745"/>
        <w:tabs>
          <w:tab w:val="right" w:pos="8306" w:leader="dot"/>
        </w:tabs>
        <w:rPr>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_Toc20270 \h </w:instrText>
      </w:r>
      <w:r>
        <w:rPr>
          <w:color w:val="auto"/>
          <w:highlight w:val="none"/>
        </w:rPr>
        <w:fldChar w:fldCharType="separate"/>
      </w:r>
      <w:r>
        <w:rPr>
          <w:color w:val="auto"/>
          <w:highlight w:val="none"/>
        </w:rPr>
        <w:t xml:space="preserve">3</w:t>
      </w:r>
      <w:r>
        <w:rPr>
          <w:color w:val="auto"/>
          <w:highlight w:val="none"/>
        </w:rPr>
        <w:fldChar w:fldCharType="end"/>
      </w:r>
      <w:r/>
    </w:p>
    <w:p>
      <w:pPr>
        <w:pStyle w:val="745"/>
        <w:tabs>
          <w:tab w:val="right" w:pos="8306" w:leader="dot"/>
        </w:tabs>
        <w:rPr>
          <w:color w:val="auto"/>
          <w:highlight w:val="none"/>
        </w:rPr>
      </w:pPr>
      <w:r>
        <w:rPr>
          <w:rFonts w:hint="eastAsia" w:ascii="宋体" w:hAnsi="宋体" w:cs="宋体"/>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_Toc9821 \h </w:instrText>
      </w:r>
      <w:r>
        <w:rPr>
          <w:color w:val="auto"/>
          <w:highlight w:val="none"/>
        </w:rPr>
        <w:fldChar w:fldCharType="separate"/>
      </w:r>
      <w:r>
        <w:rPr>
          <w:color w:val="auto"/>
          <w:highlight w:val="none"/>
        </w:rPr>
        <w:t xml:space="preserve">7</w:t>
      </w:r>
      <w:r>
        <w:rPr>
          <w:color w:val="auto"/>
          <w:highlight w:val="none"/>
        </w:rPr>
        <w:fldChar w:fldCharType="end"/>
      </w:r>
      <w:r/>
    </w:p>
    <w:p>
      <w:pPr>
        <w:pStyle w:val="745"/>
        <w:tabs>
          <w:tab w:val="right" w:pos="8306" w:leader="dot"/>
        </w:tabs>
        <w:rPr>
          <w:color w:val="auto"/>
          <w:highlight w:val="none"/>
        </w:rPr>
      </w:pPr>
      <w:r>
        <w:rPr>
          <w:rFonts w:hint="eastAsia" w:ascii="宋体" w:hAnsi="宋体" w:cs="宋体"/>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_Toc5462 \h </w:instrText>
      </w:r>
      <w:r>
        <w:rPr>
          <w:color w:val="auto"/>
          <w:highlight w:val="none"/>
        </w:rPr>
        <w:fldChar w:fldCharType="separate"/>
      </w:r>
      <w:r>
        <w:rPr>
          <w:color w:val="auto"/>
          <w:highlight w:val="none"/>
        </w:rPr>
        <w:t xml:space="preserve">17</w:t>
      </w:r>
      <w:r>
        <w:rPr>
          <w:color w:val="auto"/>
          <w:highlight w:val="none"/>
        </w:rPr>
        <w:fldChar w:fldCharType="end"/>
      </w:r>
      <w:r/>
    </w:p>
    <w:p>
      <w:pPr>
        <w:pStyle w:val="745"/>
        <w:tabs>
          <w:tab w:val="right" w:pos="8306" w:leader="dot"/>
        </w:tabs>
        <w:rPr>
          <w:color w:val="auto"/>
          <w:highlight w:val="none"/>
        </w:rPr>
      </w:pPr>
      <w:r>
        <w:rPr>
          <w:rFonts w:hint="eastAsia" w:ascii="宋体" w:hAnsi="宋体" w:cs="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_Toc32723 \h </w:instrText>
      </w:r>
      <w:r>
        <w:rPr>
          <w:color w:val="auto"/>
          <w:highlight w:val="none"/>
        </w:rPr>
        <w:fldChar w:fldCharType="separate"/>
      </w:r>
      <w:r>
        <w:rPr>
          <w:color w:val="auto"/>
          <w:highlight w:val="none"/>
        </w:rPr>
        <w:t xml:space="preserve">22</w:t>
      </w:r>
      <w:r>
        <w:rPr>
          <w:color w:val="auto"/>
          <w:highlight w:val="none"/>
        </w:rPr>
        <w:fldChar w:fldCharType="end"/>
      </w:r>
      <w:r/>
    </w:p>
    <w:p>
      <w:pPr>
        <w:pStyle w:val="745"/>
        <w:tabs>
          <w:tab w:val="right" w:pos="8306" w:leader="dot"/>
        </w:tabs>
        <w:rPr>
          <w:color w:val="auto"/>
          <w:highlight w:val="none"/>
        </w:rPr>
      </w:pPr>
      <w:r>
        <w:rPr>
          <w:rFonts w:hint="eastAsia" w:ascii="宋体" w:hAnsi="宋体" w:cs="宋体"/>
          <w:color w:val="auto"/>
          <w:highlight w:val="none"/>
        </w:rPr>
        <w:t xml:space="preserve">第五章 评审方法及评审标准</w:t>
      </w:r>
      <w:r>
        <w:rPr>
          <w:color w:val="auto"/>
          <w:highlight w:val="none"/>
        </w:rPr>
        <w:tab/>
      </w:r>
      <w:r>
        <w:rPr>
          <w:color w:val="auto"/>
          <w:highlight w:val="none"/>
        </w:rPr>
        <w:fldChar w:fldCharType="begin"/>
      </w:r>
      <w:r>
        <w:rPr>
          <w:color w:val="auto"/>
          <w:highlight w:val="none"/>
        </w:rPr>
        <w:instrText xml:space="preserve"> PAGEREF _Toc23572 \h </w:instrText>
      </w:r>
      <w:r>
        <w:rPr>
          <w:color w:val="auto"/>
          <w:highlight w:val="none"/>
        </w:rPr>
        <w:fldChar w:fldCharType="separate"/>
      </w:r>
      <w:r>
        <w:rPr>
          <w:color w:val="auto"/>
          <w:highlight w:val="none"/>
        </w:rPr>
        <w:t xml:space="preserve">28</w:t>
      </w:r>
      <w:r>
        <w:rPr>
          <w:color w:val="auto"/>
          <w:highlight w:val="none"/>
        </w:rPr>
        <w:fldChar w:fldCharType="end"/>
      </w:r>
      <w:r/>
    </w:p>
    <w:p>
      <w:pPr>
        <w:pStyle w:val="745"/>
        <w:tabs>
          <w:tab w:val="right" w:pos="8306" w:leader="dot"/>
        </w:tabs>
        <w:rPr>
          <w:color w:val="auto"/>
          <w:highlight w:val="none"/>
        </w:rPr>
      </w:pPr>
      <w:r>
        <w:rPr>
          <w:rFonts w:hint="eastAsia" w:ascii="宋体" w:hAnsi="宋体" w:cs="宋体"/>
          <w:color w:val="auto"/>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_Toc28246 \h </w:instrText>
      </w:r>
      <w:r>
        <w:rPr>
          <w:color w:val="auto"/>
          <w:highlight w:val="none"/>
        </w:rPr>
        <w:fldChar w:fldCharType="separate"/>
      </w:r>
      <w:r>
        <w:rPr>
          <w:color w:val="auto"/>
          <w:highlight w:val="none"/>
        </w:rPr>
        <w:t xml:space="preserve">31</w:t>
      </w:r>
      <w:r>
        <w:rPr>
          <w:color w:val="auto"/>
          <w:highlight w:val="none"/>
        </w:rPr>
        <w:fldChar w:fldCharType="end"/>
      </w:r>
      <w:r/>
    </w:p>
    <w:p>
      <w:pPr>
        <w:jc w:val="both"/>
        <w:spacing w:line="360" w:lineRule="auto"/>
        <w:rPr>
          <w:rFonts w:hint="eastAsia" w:ascii="宋体" w:hAnsi="宋体" w:cs="宋体"/>
          <w:color w:val="auto"/>
          <w:sz w:val="28"/>
          <w:highlight w:val="none"/>
        </w:rPr>
      </w:pPr>
      <w:r>
        <w:rPr>
          <w:rFonts w:hint="eastAsia" w:ascii="宋体" w:hAnsi="宋体" w:cs="宋体"/>
          <w:color w:val="auto"/>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40"/>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4" w:name="_Toc20270"/>
      <w:r>
        <w:rPr>
          <w:rFonts w:hint="eastAsia" w:ascii="宋体" w:hAnsi="宋体" w:cs="宋体"/>
          <w:color w:val="auto"/>
          <w:szCs w:val="36"/>
          <w:highlight w:val="none"/>
        </w:rPr>
        <w:t xml:space="preserve">第一章 竞争性磋商采购公告</w:t>
      </w:r>
      <w:bookmarkEnd w:id="4"/>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受扬州市公房管理中心的委托，江苏唯诚建设咨询有限公司就汪氏小苑局部修缮工程采购项目实施政府采购，本次采购采用竞争性磋商方式，欢迎符合条件的供应商参加磋商。</w:t>
      </w:r>
      <w:r/>
    </w:p>
    <w:p>
      <w:pPr>
        <w:ind w:firstLine="422"/>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汪氏小苑局部修缮工程</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single"/>
        </w:rPr>
        <w:t xml:space="preserve">可在“扬州市广陵区政府采购网”、“扬州市政府采购网”、“江苏省政府采购网”、“中国政府采购网”</w:t>
      </w:r>
      <w:r>
        <w:rPr>
          <w:rFonts w:hint="eastAsia" w:ascii="宋体" w:hAnsi="宋体" w:cs="宋体"/>
          <w:color w:val="auto"/>
          <w:szCs w:val="21"/>
          <w:highlight w:val="none"/>
        </w:rPr>
        <w:t xml:space="preserve">自行免费下载采购文件，并于</w:t>
      </w:r>
      <w:bookmarkStart w:id="5" w:name="XMTBJSR_1"/>
      <w:r>
        <w:rPr>
          <w:rFonts w:hint="eastAsia" w:ascii="宋体" w:hAnsi="宋体" w:cs="宋体"/>
          <w:bCs/>
          <w:color w:val="auto"/>
          <w:szCs w:val="21"/>
          <w:highlight w:val="none"/>
          <w:u w:val="single"/>
        </w:rPr>
        <w:t xml:space="preserve">2026年</w:t>
      </w:r>
      <w:r>
        <w:rPr>
          <w:rFonts w:hint="eastAsia" w:ascii="宋体" w:hAnsi="宋体" w:cs="宋体"/>
          <w:bCs/>
          <w:color w:val="auto"/>
          <w:szCs w:val="21"/>
          <w:highlight w:val="none"/>
          <w:u w:val="single"/>
          <w:lang w:val="en-US" w:eastAsia="zh-CN"/>
        </w:rPr>
        <w:t xml:space="preserve">10</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29</w:t>
      </w:r>
      <w:r>
        <w:rPr>
          <w:rFonts w:hint="eastAsia" w:ascii="宋体" w:hAnsi="宋体" w:cs="宋体"/>
          <w:bCs/>
          <w:color w:val="auto"/>
          <w:szCs w:val="21"/>
          <w:highlight w:val="none"/>
          <w:u w:val="single"/>
        </w:rPr>
        <w:t xml:space="preserve">日14点30分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41"/>
        <w:ind w:firstLine="422"/>
        <w:spacing w:before="0" w:after="0" w:line="360" w:lineRule="auto"/>
        <w:rPr>
          <w:rFonts w:hint="eastAsia" w:ascii="宋体" w:hAnsi="宋体" w:cs="宋体"/>
          <w:bCs w:val="0"/>
          <w:color w:val="auto"/>
          <w:sz w:val="21"/>
          <w:szCs w:val="21"/>
          <w:highlight w:val="none"/>
        </w:rPr>
      </w:pPr>
      <w:r/>
      <w:bookmarkStart w:id="6" w:name="_Toc109304963"/>
      <w:r/>
      <w:bookmarkStart w:id="7" w:name="_Toc23034"/>
      <w:r>
        <w:rPr>
          <w:rFonts w:hint="eastAsia" w:ascii="宋体" w:hAnsi="宋体" w:cs="宋体"/>
          <w:bCs w:val="0"/>
          <w:color w:val="auto"/>
          <w:sz w:val="21"/>
          <w:szCs w:val="21"/>
          <w:highlight w:val="none"/>
        </w:rPr>
        <w:t xml:space="preserve">一、项目基本情况</w:t>
      </w:r>
      <w:bookmarkEnd w:id="6"/>
      <w:r/>
      <w:bookmarkEnd w:id="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.项目编号：JSZC-321002-JSWC-C2026-0034</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2.项目名称：汪氏小苑局部修缮工程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预算金额：</w:t>
      </w:r>
      <w:r>
        <w:rPr>
          <w:rFonts w:hint="eastAsia" w:ascii="宋体" w:hAnsi="宋体" w:cs="宋体"/>
          <w:color w:val="auto"/>
          <w:highlight w:val="none"/>
        </w:rPr>
        <w:t xml:space="preserve">1794415.63</w:t>
      </w:r>
      <w:r>
        <w:rPr>
          <w:rFonts w:hint="eastAsia" w:ascii="宋体" w:hAnsi="宋体" w:cs="宋体"/>
          <w:color w:val="auto"/>
          <w:szCs w:val="21"/>
          <w:highlight w:val="none"/>
        </w:rPr>
        <w:t xml:space="preserve">元</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5.最高限价：</w:t>
      </w:r>
      <w:r>
        <w:rPr>
          <w:rFonts w:hint="eastAsia" w:ascii="宋体" w:hAnsi="宋体" w:cs="宋体"/>
          <w:color w:val="auto"/>
          <w:highlight w:val="none"/>
        </w:rPr>
        <w:t xml:space="preserve">本项目设置最高限价，1794415.63元</w:t>
      </w:r>
      <w:r>
        <w:rPr>
          <w:rFonts w:hint="eastAsia" w:ascii="宋体" w:hAnsi="宋体" w:cs="宋体"/>
          <w:color w:val="auto"/>
          <w:highlight w:val="none"/>
        </w:rPr>
        <w:t xml:space="preserve">，投标价不得超过最高限价，否则作废标处理</w:t>
      </w:r>
      <w:r>
        <w:rPr>
          <w:rFonts w:hint="eastAsia" w:ascii="宋体" w:hAnsi="宋体" w:cs="宋体"/>
          <w:color w:val="auto"/>
          <w:highlight w:val="none"/>
          <w:lang w:eastAsia="zh-CN"/>
        </w:rPr>
        <w:t xml:space="preserve">。</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w:t>
      </w:r>
      <w:r>
        <w:rPr>
          <w:rFonts w:hint="eastAsia" w:ascii="宋体" w:hAnsi="宋体" w:cs="宋体"/>
          <w:color w:val="auto"/>
          <w:szCs w:val="21"/>
          <w:highlight w:val="none"/>
        </w:rPr>
        <w:t xml:space="preserve">详</w:t>
      </w:r>
      <w:r>
        <w:rPr>
          <w:rFonts w:hint="eastAsia" w:ascii="宋体" w:hAnsi="宋体" w:cs="宋体"/>
          <w:color w:val="auto"/>
          <w:szCs w:val="21"/>
          <w:highlight w:val="none"/>
        </w:rPr>
        <w:t xml:space="preserve">见</w:t>
      </w:r>
      <w:r>
        <w:rPr>
          <w:rFonts w:hint="eastAsia" w:ascii="宋体" w:hAnsi="宋体" w:cs="宋体"/>
          <w:color w:val="auto"/>
          <w:szCs w:val="21"/>
          <w:highlight w:val="none"/>
        </w:rPr>
        <w:t xml:space="preserve">磋商</w:t>
      </w:r>
      <w:r>
        <w:rPr>
          <w:rFonts w:hint="eastAsia" w:ascii="宋体" w:hAnsi="宋体" w:cs="宋体"/>
          <w:color w:val="auto"/>
          <w:szCs w:val="21"/>
          <w:highlight w:val="none"/>
        </w:rPr>
        <w:t xml:space="preserve">文件第四章</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rPr>
        <w:t xml:space="preserve">：详见磋商文件第四章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.本项目不接受联合体响应。</w:t>
      </w:r>
      <w:r/>
    </w:p>
    <w:p>
      <w:pPr>
        <w:pStyle w:val="941"/>
        <w:ind w:firstLine="422"/>
        <w:spacing w:before="0" w:after="0" w:line="360" w:lineRule="auto"/>
        <w:rPr>
          <w:rFonts w:hint="eastAsia" w:ascii="宋体" w:hAnsi="宋体" w:cs="宋体"/>
          <w:bCs w:val="0"/>
          <w:color w:val="auto"/>
          <w:sz w:val="21"/>
          <w:szCs w:val="21"/>
          <w:highlight w:val="none"/>
        </w:rPr>
      </w:pPr>
      <w:r/>
      <w:bookmarkStart w:id="8" w:name="_Toc24320"/>
      <w:r/>
      <w:bookmarkStart w:id="9" w:name="_Toc109304964"/>
      <w:r>
        <w:rPr>
          <w:rFonts w:hint="eastAsia" w:ascii="宋体" w:hAnsi="宋体" w:cs="宋体"/>
          <w:bCs w:val="0"/>
          <w:color w:val="auto"/>
          <w:sz w:val="21"/>
          <w:szCs w:val="21"/>
          <w:highlight w:val="none"/>
        </w:rPr>
        <w:t xml:space="preserve">二、申请人的资格要求：</w:t>
      </w:r>
      <w:bookmarkEnd w:id="8"/>
      <w:r/>
      <w:bookmarkEnd w:id="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(税务、银行或社会保险基金管理部门出具的近一年内内任意一个月缴纳职工社会保障资金的缴款凭证或缴款证明)（供应商依法享受缓缴、免缴的提供证明材料）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w:t>
      </w:r>
      <w:r>
        <w:rPr>
          <w:rFonts w:hint="eastAsia" w:ascii="宋体" w:hAnsi="宋体" w:cs="宋体"/>
          <w:b/>
          <w:bCs/>
          <w:i/>
          <w:iCs/>
          <w:color w:val="auto"/>
          <w:szCs w:val="21"/>
          <w:highlight w:val="none"/>
          <w:u w:val="single"/>
        </w:rPr>
        <w:t xml:space="preserve">近一年内</w:t>
      </w:r>
      <w:r>
        <w:rPr>
          <w:rFonts w:hint="eastAsia" w:ascii="宋体" w:hAnsi="宋体" w:cs="宋体"/>
          <w:i/>
          <w:iCs/>
          <w:color w:val="auto"/>
          <w:szCs w:val="21"/>
          <w:highlight w:val="none"/>
          <w:u w:val="single"/>
        </w:rPr>
        <w:t xml:space="preserve">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根据江苏省财政厅苏财购【2020】52号文规定，本项目专门面向中小企业采购。投标人投标时须提供《中小企业声明函》，《中小企业声明函》不符合要求或未提供的，投标文件无效。</w:t>
      </w:r>
      <w:r/>
    </w:p>
    <w:p>
      <w:pPr>
        <w:ind w:firstLine="420"/>
        <w:spacing w:line="360" w:lineRule="auto"/>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本项目采购标的按中小企业划分标准所属行业区分为：建筑业（中小微企业划型标准网</w:t>
      </w:r>
      <w:r>
        <w:rPr>
          <w:color w:val="auto"/>
          <w:highlight w:val="none"/>
        </w:rPr>
        <w:fldChar w:fldCharType="begin"/>
      </w:r>
      <w:r>
        <w:rPr>
          <w:color w:val="auto"/>
          <w:highlight w:val="none"/>
        </w:rPr>
        <w:instrText xml:space="preserve"> HYPERLINK "http://www.ccgp.gov.cn/zcfg/mof/201310/t20131029_3587674.htm" </w:instrText>
      </w:r>
      <w:r>
        <w:rPr>
          <w:color w:val="auto"/>
          <w:highlight w:val="none"/>
        </w:rPr>
        <w:fldChar w:fldCharType="separate"/>
      </w:r>
      <w:r>
        <w:rPr>
          <w:rFonts w:hint="eastAsia" w:ascii="宋体" w:hAnsi="宋体" w:cs="宋体"/>
          <w:bCs/>
          <w:iCs/>
          <w:color w:val="auto"/>
          <w:highlight w:val="none"/>
        </w:rPr>
        <w:t xml:space="preserve">http://www.ccgp.gov.cn/zcfg/mof/201310/t20131029_3587674.htm</w:t>
      </w:r>
      <w:r>
        <w:rPr>
          <w:rFonts w:hint="eastAsia" w:ascii="宋体" w:hAnsi="宋体" w:cs="宋体"/>
          <w:bCs/>
          <w:iCs/>
          <w:color w:val="auto"/>
          <w:highlight w:val="none"/>
        </w:rPr>
        <w:fldChar w:fldCharType="end"/>
      </w:r>
      <w:r>
        <w:rPr>
          <w:rFonts w:hint="eastAsia" w:ascii="宋体" w:hAnsi="宋体" w:cs="宋体"/>
          <w:bCs/>
          <w:iCs/>
          <w:color w:val="auto"/>
          <w:szCs w:val="21"/>
          <w:highlight w:val="none"/>
        </w:rPr>
        <w:t xml:space="preserve">）。</w:t>
      </w:r>
      <w:r/>
    </w:p>
    <w:p>
      <w:pPr>
        <w:ind w:firstLine="420"/>
        <w:spacing w:line="360" w:lineRule="auto"/>
        <w:rPr>
          <w:rFonts w:hint="eastAsia" w:ascii="宋体" w:hAnsi="宋体" w:cs="宋体"/>
          <w:i/>
          <w:iCs/>
          <w:color w:val="auto"/>
          <w:szCs w:val="21"/>
          <w:highlight w:val="none"/>
          <w:u w:val="none"/>
        </w:rPr>
      </w:pPr>
      <w:r>
        <w:rPr>
          <w:rFonts w:hint="eastAsia" w:ascii="宋体" w:hAnsi="宋体" w:cs="宋体"/>
          <w:i/>
          <w:iCs/>
          <w:color w:val="auto"/>
          <w:szCs w:val="21"/>
          <w:highlight w:val="none"/>
          <w:u w:val="none"/>
          <w:lang w:val="en-US" w:eastAsia="zh-CN"/>
        </w:rPr>
        <w:t xml:space="preserve">3.</w:t>
      </w:r>
      <w:r>
        <w:rPr>
          <w:rFonts w:hint="eastAsia" w:ascii="宋体" w:hAnsi="宋体" w:cs="宋体"/>
          <w:i/>
          <w:iCs/>
          <w:color w:val="auto"/>
          <w:szCs w:val="21"/>
          <w:highlight w:val="none"/>
          <w:u w:val="none"/>
        </w:rPr>
        <w:t xml:space="preserve">本项目的特定资格要求：</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3.1</w:t>
      </w:r>
      <w:r>
        <w:rPr>
          <w:rFonts w:hint="eastAsia" w:ascii="宋体" w:hAnsi="宋体" w:cs="宋体"/>
          <w:i/>
          <w:iCs/>
          <w:color w:val="auto"/>
          <w:szCs w:val="21"/>
          <w:highlight w:val="none"/>
          <w:u w:val="single"/>
        </w:rPr>
        <w:t xml:space="preserve">供应商应具备文物保护工程施工一级资质（证书原件扫描上传)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3.2</w:t>
      </w:r>
      <w:r>
        <w:rPr>
          <w:rFonts w:hint="eastAsia" w:ascii="宋体" w:hAnsi="宋体" w:cs="宋体"/>
          <w:i/>
          <w:iCs/>
          <w:color w:val="auto"/>
          <w:szCs w:val="21"/>
          <w:highlight w:val="none"/>
          <w:u w:val="single"/>
        </w:rPr>
        <w:t xml:space="preserve">供应商具备安全生产条件，并取得有效期内的安全生产许可证（证书原件扫描上传）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3.3</w:t>
      </w:r>
      <w:r>
        <w:rPr>
          <w:rFonts w:hint="eastAsia" w:ascii="宋体" w:hAnsi="宋体" w:cs="宋体"/>
          <w:i/>
          <w:iCs/>
          <w:color w:val="auto"/>
          <w:szCs w:val="21"/>
          <w:highlight w:val="none"/>
          <w:u w:val="single"/>
        </w:rPr>
        <w:t xml:space="preserve">拟派项目经理为本公司正式员工，正常缴纳社会保险，具备文物保护工程责任工程师(须提供证书原件及供应商为其缴纳的近一年内任意一个月社保证明,原件扫描上传）</w:t>
      </w:r>
      <w:r/>
    </w:p>
    <w:p>
      <w:pPr>
        <w:ind w:firstLine="420"/>
        <w:spacing w:line="360" w:lineRule="auto"/>
        <w:rPr>
          <w:rFonts w:hint="eastAsia" w:ascii="宋体" w:hAnsi="宋体" w:cs="宋体"/>
          <w:color w:val="auto"/>
          <w:szCs w:val="21"/>
          <w:highlight w:val="none"/>
        </w:rPr>
      </w:pPr>
      <w:r>
        <w:rPr>
          <w:rFonts w:hint="eastAsia" w:ascii="宋体" w:hAnsi="宋体" w:cs="宋体"/>
          <w:i/>
          <w:iCs/>
          <w:color w:val="auto"/>
          <w:szCs w:val="21"/>
          <w:highlight w:val="none"/>
          <w:u w:val="single"/>
          <w:lang w:val="en-US" w:eastAsia="zh-CN"/>
        </w:rPr>
        <w:t xml:space="preserve">3.4</w:t>
      </w:r>
      <w:r>
        <w:rPr>
          <w:rFonts w:hint="eastAsia" w:ascii="宋体" w:hAnsi="宋体" w:cs="宋体"/>
          <w:i/>
          <w:iCs/>
          <w:color w:val="auto"/>
          <w:szCs w:val="21"/>
          <w:highlight w:val="none"/>
          <w:u w:val="single"/>
        </w:rPr>
        <w:t xml:space="preserve">项目经理无在建工程承诺书（原件扫描上传）</w:t>
      </w:r>
      <w:r/>
    </w:p>
    <w:p>
      <w:pPr>
        <w:pStyle w:val="941"/>
        <w:ind w:firstLine="422"/>
        <w:spacing w:before="0" w:after="0" w:line="360" w:lineRule="auto"/>
        <w:rPr>
          <w:rFonts w:hint="eastAsia" w:ascii="宋体" w:hAnsi="宋体" w:cs="宋体"/>
          <w:bCs w:val="0"/>
          <w:color w:val="auto"/>
          <w:sz w:val="21"/>
          <w:szCs w:val="21"/>
          <w:highlight w:val="none"/>
        </w:rPr>
      </w:pPr>
      <w:r/>
      <w:bookmarkStart w:id="10" w:name="_Toc109304965"/>
      <w:r/>
      <w:bookmarkStart w:id="11" w:name="_Toc30747"/>
      <w:r>
        <w:rPr>
          <w:rFonts w:hint="eastAsia" w:ascii="宋体" w:hAnsi="宋体" w:cs="宋体"/>
          <w:bCs w:val="0"/>
          <w:color w:val="auto"/>
          <w:sz w:val="21"/>
          <w:szCs w:val="21"/>
          <w:highlight w:val="none"/>
        </w:rPr>
        <w:t xml:space="preserve">三、获取采购文件</w:t>
      </w:r>
      <w:bookmarkEnd w:id="10"/>
      <w:r/>
      <w:bookmarkEnd w:id="11"/>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w:t>
      </w:r>
      <w:r/>
    </w:p>
    <w:p>
      <w:pPr>
        <w:ind w:firstLine="422"/>
        <w:spacing w:line="360" w:lineRule="auto"/>
        <w:rPr>
          <w:rFonts w:hint="eastAsia" w:ascii="宋体" w:hAnsi="宋体" w:cs="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cs="宋体"/>
          <w:b/>
          <w:bCs/>
          <w:color w:val="auto"/>
          <w:szCs w:val="21"/>
          <w:highlight w:val="none"/>
        </w:rPr>
        <w:t xml:space="preserve">本项目采用网上注册登记方式。</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3.潜在供应商访问</w:t>
      </w:r>
      <w:r>
        <w:rPr>
          <w:rFonts w:hint="eastAsia" w:ascii="宋体" w:hAnsi="宋体" w:cs="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rPr>
          <w:rFonts w:hint="eastAsia" w:ascii="宋体" w:hAnsi="宋体" w:cs="宋体"/>
          <w:b/>
          <w:bCs/>
          <w:color w:val="auto"/>
          <w:szCs w:val="21"/>
          <w:highlight w:val="none"/>
        </w:rPr>
      </w:pPr>
      <w:r/>
      <w:bookmarkStart w:id="12" w:name="_Toc109304966"/>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pStyle w:val="941"/>
        <w:ind w:firstLine="422"/>
        <w:spacing w:before="0" w:after="0" w:line="360" w:lineRule="auto"/>
        <w:rPr>
          <w:rFonts w:hint="eastAsia" w:ascii="宋体" w:hAnsi="宋体" w:cs="宋体"/>
          <w:bCs w:val="0"/>
          <w:color w:val="auto"/>
          <w:sz w:val="21"/>
          <w:szCs w:val="21"/>
          <w:highlight w:val="none"/>
        </w:rPr>
      </w:pPr>
      <w:r/>
      <w:bookmarkStart w:id="13" w:name="_Toc10994"/>
      <w:r>
        <w:rPr>
          <w:rFonts w:hint="eastAsia" w:ascii="宋体" w:hAnsi="宋体" w:cs="宋体"/>
          <w:bCs w:val="0"/>
          <w:color w:val="auto"/>
          <w:sz w:val="21"/>
          <w:szCs w:val="21"/>
          <w:highlight w:val="none"/>
        </w:rPr>
        <w:t xml:space="preserve">四、响应文件提交</w:t>
      </w:r>
      <w:bookmarkEnd w:id="12"/>
      <w:r/>
      <w:bookmarkEnd w:id="13"/>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29</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rPr>
        <w:t xml:space="preserve">14点30分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http://jszfcg.jsczt.cn/）“报名详情”</w:t>
      </w:r>
      <w:r/>
    </w:p>
    <w:p>
      <w:pPr>
        <w:pStyle w:val="941"/>
        <w:ind w:firstLine="422"/>
        <w:spacing w:before="0" w:after="0" w:line="360" w:lineRule="auto"/>
        <w:rPr>
          <w:rFonts w:hint="eastAsia" w:ascii="宋体" w:hAnsi="宋体" w:cs="宋体"/>
          <w:bCs w:val="0"/>
          <w:color w:val="auto"/>
          <w:sz w:val="21"/>
          <w:szCs w:val="21"/>
          <w:highlight w:val="none"/>
        </w:rPr>
      </w:pPr>
      <w:r/>
      <w:bookmarkStart w:id="14" w:name="_Toc109304967"/>
      <w:r/>
      <w:bookmarkStart w:id="15" w:name="_Toc29675"/>
      <w:r>
        <w:rPr>
          <w:rFonts w:hint="eastAsia" w:ascii="宋体" w:hAnsi="宋体" w:cs="宋体"/>
          <w:bCs w:val="0"/>
          <w:color w:val="auto"/>
          <w:sz w:val="21"/>
          <w:szCs w:val="21"/>
          <w:highlight w:val="none"/>
        </w:rPr>
        <w:t xml:space="preserve">五、开启</w:t>
      </w:r>
      <w:bookmarkEnd w:id="14"/>
      <w:r/>
      <w:bookmarkEnd w:id="15"/>
      <w:r/>
      <w:r/>
    </w:p>
    <w:p>
      <w:pPr>
        <w:pStyle w:val="942"/>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29</w:t>
      </w:r>
      <w:r>
        <w:rPr>
          <w:rFonts w:hint="eastAsia" w:ascii="宋体" w:hAnsi="宋体" w:cs="宋体"/>
          <w:color w:val="auto"/>
          <w:szCs w:val="21"/>
          <w:highlight w:val="none"/>
          <w:u w:val="single"/>
        </w:rPr>
        <w:t xml:space="preserve">日</w:t>
      </w:r>
      <w:r>
        <w:rPr>
          <w:rFonts w:hint="eastAsia" w:ascii="宋体" w:hAnsi="宋体" w:cs="宋体"/>
          <w:bCs/>
          <w:color w:val="auto"/>
          <w:szCs w:val="21"/>
          <w:highlight w:val="none"/>
          <w:u w:val="single"/>
        </w:rPr>
        <w:t xml:space="preserve">14点30分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41"/>
        <w:ind w:firstLine="422"/>
        <w:spacing w:before="0" w:after="0" w:line="360" w:lineRule="auto"/>
        <w:rPr>
          <w:rFonts w:hint="eastAsia" w:ascii="宋体" w:hAnsi="宋体" w:cs="宋体"/>
          <w:bCs w:val="0"/>
          <w:color w:val="auto"/>
          <w:sz w:val="21"/>
          <w:szCs w:val="21"/>
          <w:highlight w:val="none"/>
        </w:rPr>
      </w:pPr>
      <w:r/>
      <w:bookmarkStart w:id="16" w:name="_Toc8376"/>
      <w:r/>
      <w:bookmarkStart w:id="17" w:name="_Toc109304968"/>
      <w:r>
        <w:rPr>
          <w:rFonts w:hint="eastAsia" w:ascii="宋体" w:hAnsi="宋体" w:cs="宋体"/>
          <w:bCs w:val="0"/>
          <w:color w:val="auto"/>
          <w:sz w:val="21"/>
          <w:szCs w:val="21"/>
          <w:highlight w:val="none"/>
        </w:rPr>
        <w:t xml:space="preserve">六、公告期限</w:t>
      </w:r>
      <w:bookmarkEnd w:id="16"/>
      <w:r/>
      <w:bookmarkEnd w:id="1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pStyle w:val="941"/>
        <w:ind w:firstLine="422"/>
        <w:spacing w:before="0" w:after="0" w:line="360" w:lineRule="auto"/>
        <w:rPr>
          <w:rFonts w:hint="eastAsia" w:ascii="宋体" w:hAnsi="宋体" w:cs="宋体"/>
          <w:color w:val="auto"/>
          <w:sz w:val="21"/>
          <w:szCs w:val="21"/>
          <w:highlight w:val="none"/>
        </w:rPr>
      </w:pPr>
      <w:r/>
      <w:bookmarkStart w:id="18" w:name="_Toc16024"/>
      <w:r/>
      <w:bookmarkStart w:id="19" w:name="_Toc109304969"/>
      <w:r>
        <w:rPr>
          <w:rFonts w:hint="eastAsia" w:ascii="宋体" w:hAnsi="宋体" w:cs="宋体"/>
          <w:color w:val="auto"/>
          <w:sz w:val="21"/>
          <w:szCs w:val="21"/>
          <w:highlight w:val="none"/>
        </w:rPr>
        <w:t xml:space="preserve">七、其他补充事宜</w:t>
      </w:r>
      <w:bookmarkEnd w:id="18"/>
      <w:r/>
      <w:bookmarkEnd w:id="1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pStyle w:val="941"/>
        <w:ind w:firstLine="422"/>
        <w:spacing w:before="0" w:after="0" w:line="360" w:lineRule="auto"/>
        <w:rPr>
          <w:rFonts w:hint="eastAsia" w:ascii="宋体" w:hAnsi="宋体" w:cs="宋体"/>
          <w:bCs w:val="0"/>
          <w:color w:val="auto"/>
          <w:sz w:val="21"/>
          <w:szCs w:val="21"/>
          <w:highlight w:val="none"/>
        </w:rPr>
      </w:pPr>
      <w:r/>
      <w:bookmarkStart w:id="20" w:name="_Toc109304970"/>
      <w:r/>
      <w:bookmarkStart w:id="21" w:name="_Toc1489"/>
      <w:r>
        <w:rPr>
          <w:rFonts w:hint="eastAsia" w:ascii="宋体" w:hAnsi="宋体" w:cs="宋体"/>
          <w:bCs w:val="0"/>
          <w:color w:val="auto"/>
          <w:sz w:val="21"/>
          <w:szCs w:val="21"/>
          <w:highlight w:val="none"/>
        </w:rPr>
        <w:t xml:space="preserve">八、本次竞争性磋商联系方式</w:t>
      </w:r>
      <w:bookmarkEnd w:id="20"/>
      <w:r/>
      <w:bookmarkEnd w:id="21"/>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名    称：扬州市公房管理中心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地    址：扬州市广陵路190号</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联系方式：</w:t>
      </w:r>
      <w:r>
        <w:rPr>
          <w:rFonts w:hint="eastAsia" w:ascii="宋体" w:hAnsi="宋体" w:cs="宋体"/>
          <w:bCs/>
          <w:color w:val="auto"/>
          <w:szCs w:val="21"/>
          <w:highlight w:val="none"/>
          <w:lang w:val="en-US" w:eastAsia="zh-CN"/>
        </w:rPr>
        <w:t xml:space="preserve">0514-87900827</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2.江苏唯诚建设咨询有限公司信息</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地    址：扬州市维扬路106-1号19楼</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联 系 人：林祖超</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联系方式：18652401357</w:t>
      </w:r>
      <w:r/>
    </w:p>
    <w:p>
      <w:pPr>
        <w:ind w:firstLine="422"/>
        <w:spacing w:line="360" w:lineRule="auto"/>
        <w:tabs>
          <w:tab w:val="left" w:pos="266" w:leader="none"/>
        </w:tabs>
        <w:rPr>
          <w:rFonts w:hint="eastAsia" w:ascii="宋体" w:hAnsi="宋体" w:cs="宋体"/>
          <w:b/>
          <w:bCs/>
          <w:color w:val="auto"/>
          <w:highlight w:val="none"/>
        </w:rPr>
      </w:pPr>
      <w:r>
        <w:rPr>
          <w:rFonts w:hint="eastAsia" w:hAnsi="宋体" w:cs="宋体"/>
          <w:b/>
          <w:bCs/>
          <w:color w:val="auto"/>
          <w:szCs w:val="21"/>
          <w:highlight w:val="none"/>
        </w:rPr>
        <w:t xml:space="preserve">九、</w:t>
      </w:r>
      <w:r>
        <w:rPr>
          <w:rFonts w:hint="eastAsia" w:hAnsi="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color w:val="auto"/>
          <w:highlight w:val="none"/>
        </w:rPr>
        <w:t xml:space="preserve">成交供应商可凭政府采购合同办理融资贷款，详见江苏政府采购网“政采贷”专栏。</w:t>
      </w:r>
      <w:r/>
    </w:p>
    <w:p>
      <w:pPr>
        <w:pStyle w:val="941"/>
        <w:ind w:firstLine="422"/>
        <w:spacing w:before="0" w:after="0" w:line="360" w:lineRule="auto"/>
        <w:rPr>
          <w:rFonts w:hint="eastAsia" w:ascii="宋体" w:hAnsi="宋体" w:cs="宋体"/>
          <w:color w:val="auto"/>
          <w:sz w:val="21"/>
          <w:szCs w:val="21"/>
          <w:highlight w:val="none"/>
        </w:rPr>
      </w:pPr>
      <w:r/>
      <w:bookmarkStart w:id="22" w:name="_Toc109304971"/>
      <w:r/>
      <w:bookmarkStart w:id="23" w:name="_Toc25739"/>
      <w:r>
        <w:rPr>
          <w:rFonts w:hint="eastAsia" w:ascii="宋体" w:hAnsi="宋体" w:cs="宋体"/>
          <w:color w:val="auto"/>
          <w:sz w:val="21"/>
          <w:szCs w:val="21"/>
          <w:highlight w:val="none"/>
        </w:rPr>
        <w:t xml:space="preserve">十、其他</w:t>
      </w:r>
      <w:bookmarkEnd w:id="22"/>
      <w:r/>
      <w:bookmarkEnd w:id="23"/>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81"/>
        <w:ind w:firstLine="422"/>
        <w:spacing w:line="360" w:lineRule="auto"/>
        <w:shd w:val="clear" w:color="auto" w:fill="ffffff"/>
        <w:rPr>
          <w:rFonts w:hint="eastAsia" w:ascii="宋体" w:hAnsi="宋体" w:cs="宋体"/>
          <w:b/>
          <w:bCs/>
          <w:color w:val="auto"/>
          <w:szCs w:val="21"/>
          <w:highlight w:val="none"/>
        </w:rPr>
      </w:pPr>
      <w:r>
        <w:rPr>
          <w:rFonts w:hint="eastAsia" w:ascii="宋体" w:hAnsi="宋体" w:cs="宋体"/>
          <w:b/>
          <w:color w:val="auto"/>
          <w:szCs w:val="21"/>
          <w:highlight w:val="none"/>
        </w:rPr>
        <w:t xml:space="preserve">4.</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有关本次采购的事项若存在变动或修改，敬请及时关注“扬州市广陵区政府采购网”、“扬州市政府采购网”、“江苏省政府采购网”、“中国政府采购网”发布的信息。</w:t>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bookmarkEnd w:id="0"/>
      <w:r/>
      <w:r/>
    </w:p>
    <w:p>
      <w:pPr>
        <w:pStyle w:val="940"/>
        <w:jc w:val="center"/>
        <w:spacing w:line="360" w:lineRule="auto"/>
        <w:rPr>
          <w:rFonts w:hint="eastAsia" w:ascii="宋体" w:hAnsi="宋体" w:cs="宋体"/>
          <w:color w:val="auto"/>
          <w:highlight w:val="none"/>
        </w:rPr>
      </w:pPr>
      <w:r>
        <w:rPr>
          <w:rFonts w:hint="eastAsia" w:ascii="宋体" w:hAnsi="宋体" w:cs="宋体"/>
          <w:color w:val="auto"/>
          <w:sz w:val="36"/>
          <w:highlight w:val="none"/>
        </w:rPr>
        <w:br w:type="page" w:clear="all"/>
      </w:r>
      <w:bookmarkStart w:id="24" w:name="_Toc9821"/>
      <w:r>
        <w:rPr>
          <w:rFonts w:hint="eastAsia" w:ascii="宋体" w:hAnsi="宋体" w:cs="宋体"/>
          <w:color w:val="auto"/>
          <w:highlight w:val="none"/>
        </w:rPr>
        <w:t xml:space="preserve">第二章 磋商须知</w:t>
      </w:r>
      <w:bookmarkEnd w:id="24"/>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 本次采购采取竞争性磋商方式，本采购文件</w:t>
      </w:r>
      <w:r>
        <w:rPr>
          <w:rFonts w:hint="eastAsia" w:ascii="宋体" w:hAnsi="宋体" w:cs="宋体"/>
          <w:color w:val="auto"/>
          <w:highlight w:val="none"/>
        </w:rPr>
        <w:t xml:space="preserve">仅适用于JSZC-321002-JSWC-C2026-0034号项目。</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 参加竞争性磋商的供应商以下简称“供应商”，是指参加磋商并符合采购文件规定资格条件的法人、其他组织或者自然人。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2.2合格的供应商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供应商应自行承担所有与参加磋商有关的费用，无论磋商过程中的做法和结果如何，江苏唯诚建设咨询有限公司(以下简称代理机构)在任何情况下均无义务和责任承担这些费用。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w:t>
      </w:r>
      <w:bookmarkStart w:id="25" w:name="_Hlk115095815"/>
      <w:r>
        <w:rPr>
          <w:rFonts w:hint="eastAsia" w:ascii="宋体" w:hAnsi="宋体" w:cs="宋体"/>
          <w:color w:val="auto"/>
          <w:highlight w:val="none"/>
        </w:rPr>
        <w:t xml:space="preserve">本次采购由成交单位在领取成交通知书前按照本次采购由成交人在领取成交通知书前根据发改价格【2011】534号工程类标准*0.7*0.24一次性支付给招标代理机构。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（1）代理服务费以人民币支付；</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（2）代理服务费一次性以电汇、转账等非现金形式支付；</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（3）招标代理服务费不在磋商报价中单列，包含在磋商总价中，由成交单位支付给代理机构。 </w:t>
      </w:r>
      <w:bookmarkEnd w:id="25"/>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招标代理服务费开户银行：江苏银行扬州广陵支行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开户帐号：05001340900000685</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4.3专家评审费按《扬州市财政局关于进一步规范扬州市政府采购专家评审费标准的通知》（扬财购〔2020〕40号）执行。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5、采购文件的约束力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（2）磋商须知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7、采购文件的澄清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8、采购文件的修改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8.2采购文件的修改将在“扬州市广陵区政府采购网”、“扬州市政府采购网”、“江苏省政府采购网”、“中国政府采购网”公布，补充文件将作为采购文件的组成部分，并对供应商具有约束力。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（4）磋商响应报价表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（5）技术参数响应及偏离表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（6）商务条款响应及偏离表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（7）其他（供应商认为有必要提供的声明和文件，如有自拟并自行添加）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11、证明供应商资格及符合采购文件规定的文件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13、技术参数响应及偏离表、商务条款响应及偏离表及磋商服务说明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14、服务承诺及售后服务机构、人员的情况介绍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15、磋商响应函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16、磋商响应有效期</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60" w:lineRule="auto"/>
        <w:widowControl w:val="off"/>
        <w:rPr>
          <w:rFonts w:hint="eastAsia" w:ascii="宋体" w:hAnsi="宋体" w:cs="宋体"/>
          <w:color w:val="auto"/>
          <w:highlight w:val="none"/>
        </w:rPr>
      </w:pPr>
      <w:r/>
      <w:bookmarkStart w:id="26" w:name="_Toc20823297"/>
      <w:r/>
      <w:bookmarkStart w:id="27" w:name="_Toc16938541"/>
      <w:r>
        <w:rPr>
          <w:rFonts w:hint="eastAsia" w:ascii="宋体" w:hAnsi="宋体" w:cs="宋体"/>
          <w:color w:val="auto"/>
          <w:highlight w:val="none"/>
        </w:rPr>
        <w:t xml:space="preserve">17、响应文件</w:t>
      </w:r>
      <w:bookmarkEnd w:id="26"/>
      <w:r/>
      <w:bookmarkEnd w:id="27"/>
      <w:r>
        <w:rPr>
          <w:rFonts w:hint="eastAsia" w:ascii="宋体" w:hAnsi="宋体" w:cs="宋体"/>
          <w:color w:val="auto"/>
          <w:highlight w:val="none"/>
        </w:rPr>
        <w:t xml:space="preserve">的递交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28" w:name="_Toc16938542"/>
      <w:r/>
      <w:bookmarkStart w:id="29" w:name="_Toc20823298"/>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17.2政府采购管理交易系统（苏采云）相关要求是本采购文件的组成部分。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17.3供应商应对 CA 证书妥善保管，如被他人盗用投标，因此带来的结果均由供应商自行承担。</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17.4供应商应当对采购文件提出的要求和条件作出实质性响应，并在电子投标系统逐条应答。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17.5供应商应对要求提供的资格证明文件（如资质证书、资格证书）、技术资料（如白皮书、彩页、手册、检测报告等）扫描上传至投标系统。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Cs w:val="21"/>
          <w:highlight w:val="none"/>
        </w:rPr>
        <w:t xml:space="preserve">17.6各供应商应在规定时间内凭CA证书进行网上解密。</w:t>
      </w:r>
      <w:r/>
    </w:p>
    <w:p>
      <w:pPr>
        <w:ind w:firstLine="42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highlight w:val="none"/>
        </w:rPr>
        <w:t xml:space="preserve">18、磋商响应截止日期</w:t>
      </w:r>
      <w:bookmarkEnd w:id="28"/>
      <w:r/>
      <w:bookmarkEnd w:id="29"/>
      <w:r/>
      <w:r/>
    </w:p>
    <w:p>
      <w:pPr>
        <w:ind w:firstLine="420"/>
        <w:keepLines w:val="0"/>
        <w:keepNext w:val="0"/>
        <w:pageBreakBefore w:val="0"/>
        <w:spacing w:line="360" w:lineRule="auto"/>
        <w:widowControl w:val="off"/>
        <w:rPr>
          <w:rFonts w:hint="eastAsia" w:ascii="宋体" w:hAnsi="宋体" w:cs="宋体"/>
          <w:i/>
          <w:color w:val="auto"/>
          <w:highlight w:val="none"/>
          <w:u w:val="single"/>
        </w:rPr>
      </w:pPr>
      <w:r>
        <w:rPr>
          <w:rFonts w:hint="eastAsia" w:ascii="宋体" w:hAnsi="宋体" w:cs="宋体"/>
          <w:i/>
          <w:color w:val="auto"/>
          <w:highlight w:val="none"/>
          <w:u w:val="single"/>
        </w:rPr>
        <w:t xml:space="preserve">18.1 供应商上传电子响应文件的时间不得迟于采购公告中规定的磋商响应截止时间。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30" w:name="_Toc16938543"/>
      <w:r/>
      <w:bookmarkStart w:id="31" w:name="_Toc20823299"/>
      <w:r>
        <w:rPr>
          <w:rFonts w:hint="eastAsia" w:ascii="宋体" w:hAnsi="宋体" w:cs="宋体"/>
          <w:color w:val="auto"/>
          <w:highlight w:val="none"/>
        </w:rPr>
        <w:t xml:space="preserve">19、响应文件</w:t>
      </w:r>
      <w:bookmarkEnd w:id="30"/>
      <w:r/>
      <w:bookmarkEnd w:id="31"/>
      <w:r>
        <w:rPr>
          <w:rFonts w:hint="eastAsia" w:ascii="宋体" w:hAnsi="宋体" w:cs="宋体"/>
          <w:color w:val="auto"/>
          <w:highlight w:val="none"/>
        </w:rPr>
        <w:t xml:space="preserve">的拒收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keepLines w:val="0"/>
        <w:keepNext w:val="0"/>
        <w:pageBreakBefore w:val="0"/>
        <w:spacing w:line="360" w:lineRule="auto"/>
        <w:widowControl w:val="off"/>
        <w:rPr>
          <w:rFonts w:hint="eastAsia" w:ascii="宋体" w:hAnsi="宋体" w:cs="宋体"/>
          <w:color w:val="auto"/>
          <w:highlight w:val="none"/>
        </w:rPr>
      </w:pPr>
      <w:r/>
      <w:bookmarkStart w:id="32" w:name="_Toc20823300"/>
      <w:r/>
      <w:bookmarkStart w:id="33" w:name="_Toc16938544"/>
      <w:r>
        <w:rPr>
          <w:rFonts w:hint="eastAsia" w:ascii="宋体" w:hAnsi="宋体" w:cs="宋体"/>
          <w:color w:val="auto"/>
          <w:highlight w:val="none"/>
        </w:rPr>
        <w:t xml:space="preserve">20、响应文件的撤回和修改</w:t>
      </w:r>
      <w:bookmarkEnd w:id="32"/>
      <w:r/>
      <w:bookmarkEnd w:id="33"/>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22、磋商小组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22.1 磋商开始后，代理机构将立即组织磋商小组进行评审。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23、评审过程的保密与公正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24、磋商的澄清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25、对响应文件的初审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26.1磋商程序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26.2 评审方法和标准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26.2.2评审标准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见本采购文件第五章规定。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27、无效响应及采购活动终止的情况</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27.1无效响应条款</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27.1.1 供应商未按照采购文件要求上传电子磋商响应文件的。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27.1.2 供应商未成功解密电子磋商响应文件的。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27.1.3 供应商不具备采购文件中规定资格要求的。</w:t>
      </w:r>
      <w:r/>
    </w:p>
    <w:p>
      <w:pPr>
        <w:ind w:firstLine="420"/>
        <w:keepLines w:val="0"/>
        <w:keepNext w:val="0"/>
        <w:pageBreakBefore w:val="0"/>
        <w:spacing w:line="360" w:lineRule="auto"/>
        <w:widowControl w:val="off"/>
        <w:rPr>
          <w:rFonts w:hint="eastAsia" w:ascii="宋体" w:hAnsi="宋体" w:cs="宋体"/>
          <w:i/>
          <w:color w:val="auto"/>
          <w:highlight w:val="none"/>
          <w:u w:val="single"/>
        </w:rPr>
      </w:pPr>
      <w:r>
        <w:rPr>
          <w:rFonts w:hint="eastAsia" w:ascii="宋体" w:hAnsi="宋体" w:cs="宋体"/>
          <w:color w:val="auto"/>
          <w:highlight w:val="none"/>
        </w:rPr>
        <w:t xml:space="preserve">27.1.4 未通过符合性审查的。</w:t>
      </w:r>
      <w:r/>
    </w:p>
    <w:p>
      <w:pPr>
        <w:ind w:firstLine="420"/>
        <w:keepLines w:val="0"/>
        <w:keepNext w:val="0"/>
        <w:pageBreakBefore w:val="0"/>
        <w:spacing w:line="360" w:lineRule="auto"/>
        <w:widowControl w:val="off"/>
        <w:rPr>
          <w:rFonts w:hint="eastAsia" w:ascii="宋体" w:hAnsi="宋体" w:cs="宋体"/>
          <w:i/>
          <w:color w:val="auto"/>
          <w:highlight w:val="none"/>
          <w:u w:val="single"/>
        </w:rPr>
      </w:pPr>
      <w:r>
        <w:rPr>
          <w:rFonts w:hint="eastAsia" w:ascii="宋体" w:hAnsi="宋体" w:cs="宋体"/>
          <w:color w:val="auto"/>
          <w:highlight w:val="none"/>
        </w:rPr>
        <w:t xml:space="preserve">27.1.5 不符合采购文件中规定的其他实质性要求和条件的（</w:t>
      </w:r>
      <w:r>
        <w:rPr>
          <w:rFonts w:hint="eastAsia" w:ascii="宋体" w:hAnsi="宋体" w:cs="宋体"/>
          <w:i/>
          <w:color w:val="auto"/>
          <w:highlight w:val="none"/>
          <w:u w:val="single"/>
        </w:rPr>
        <w:t xml:space="preserve">本采购文件中斜体且有下划线部分为实质性要求和条件）。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27.1.8 响应文件未按照采购文件要求加盖电子签章。</w:t>
      </w:r>
      <w:r/>
    </w:p>
    <w:p>
      <w:pPr>
        <w:ind w:firstLine="420"/>
        <w:keepLines w:val="0"/>
        <w:keepNext w:val="0"/>
        <w:pageBreakBefore w:val="0"/>
        <w:spacing w:line="360" w:lineRule="auto"/>
        <w:widowControl w:val="off"/>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异常低价投标（响应）</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.1</w:t>
      </w:r>
      <w:r>
        <w:rPr>
          <w:rFonts w:hint="eastAsia" w:ascii="宋体" w:hAnsi="宋体"/>
          <w:bCs/>
          <w:color w:val="auto"/>
          <w:szCs w:val="21"/>
          <w:highlight w:val="none"/>
        </w:rPr>
        <w:t xml:space="preserve">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2</w:t>
      </w:r>
      <w:r>
        <w:rPr>
          <w:rFonts w:hint="eastAsia" w:ascii="宋体" w:hAnsi="宋体"/>
          <w:bCs/>
          <w:color w:val="auto"/>
          <w:szCs w:val="21"/>
          <w:highlight w:val="none"/>
        </w:rPr>
        <w:t xml:space="preserve">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3</w:t>
      </w:r>
      <w:r>
        <w:rPr>
          <w:rFonts w:hint="eastAsia" w:ascii="宋体" w:hAnsi="宋体"/>
          <w:bCs/>
          <w:color w:val="auto"/>
          <w:szCs w:val="21"/>
          <w:highlight w:val="none"/>
        </w:rPr>
        <w:t xml:space="preserve">投标（响应）报价低于采购项目最高限价45%的，即投标（响应）报价&lt;采购项目最高限价×45%； </w:t>
      </w:r>
      <w:r/>
    </w:p>
    <w:p>
      <w:pPr>
        <w:ind w:firstLine="420"/>
        <w:keepLines w:val="0"/>
        <w:keepNext w:val="0"/>
        <w:pageBreakBefore w:val="0"/>
        <w:spacing w:line="360" w:lineRule="auto"/>
        <w:widowControl w:val="off"/>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4</w:t>
      </w:r>
      <w:r>
        <w:rPr>
          <w:rFonts w:ascii="宋体" w:hAnsi="宋体" w:cs="宋体"/>
          <w:color w:val="auto"/>
          <w:highlight w:val="none"/>
        </w:rPr>
        <w:t xml:space="preserve">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rPr>
        <w:t xml:space="preserve">5</w:t>
      </w:r>
      <w:r>
        <w:rPr>
          <w:rFonts w:ascii="宋体" w:hAnsi="宋体" w:cs="宋体"/>
          <w:color w:val="auto"/>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27.1.10 其他法律、法规及本采购文件规定的属无效响应的情形。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27.2 采购活动终止的情况：</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27.2.1 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27.2.2 出现影响采购公正的违法、违规行为的；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27.2.3 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27.2.4 因重大变故，采购任务取消的。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28、确定成交单位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28.3 代理机构将在“扬州市广陵区政府采购网”、“扬州市政府采购网”、”江苏省政府采购网”、“中国政府采购网”发布成交公告，公告期限为1个工作日。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30、成交通知书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30.l 成交结果确定后，代理机构将向成交供应商发出成通知书。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 签订合同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31.2 采购文件、成交供应商的响应文件及磋商过程中有关澄清、承诺文件均应作为合同附件。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Cs w:val="21"/>
          <w:highlight w:val="none"/>
        </w:rPr>
        <w:t xml:space="preserve">31.3 合同在“政府采购管理交易系统（苏采云）”中签订，签订合同后，</w:t>
      </w:r>
      <w:r>
        <w:rPr>
          <w:rFonts w:hint="eastAsia" w:ascii="宋体" w:hAnsi="宋体" w:cs="宋体"/>
          <w:i/>
          <w:iCs/>
          <w:color w:val="auto"/>
          <w:szCs w:val="21"/>
          <w:highlight w:val="none"/>
          <w:u w:val="single"/>
        </w:rPr>
        <w:t xml:space="preserve">成交供应商不得将服务及其他服务进行转包</w:t>
      </w:r>
      <w:r>
        <w:rPr>
          <w:rFonts w:hint="eastAsia" w:ascii="宋体" w:hAnsi="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32、其他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940"/>
        <w:jc w:val="center"/>
        <w:spacing w:line="360" w:lineRule="auto"/>
        <w:rPr>
          <w:rFonts w:hint="eastAsia" w:ascii="宋体" w:hAnsi="宋体" w:cs="宋体"/>
          <w:color w:val="auto"/>
          <w:highlight w:val="none"/>
        </w:rPr>
      </w:pPr>
      <w:r>
        <w:rPr>
          <w:rFonts w:hint="eastAsia" w:ascii="宋体" w:hAnsi="宋体" w:cs="宋体"/>
          <w:color w:val="auto"/>
          <w:highlight w:val="none"/>
        </w:rPr>
        <w:br w:type="page" w:clear="all"/>
      </w:r>
      <w:bookmarkStart w:id="34" w:name="_Toc5462"/>
      <w:r>
        <w:rPr>
          <w:rFonts w:hint="eastAsia" w:ascii="宋体" w:hAnsi="宋体" w:cs="宋体"/>
          <w:color w:val="auto"/>
          <w:highlight w:val="none"/>
        </w:rPr>
        <w:t xml:space="preserve">第三章 合同条款及格式</w:t>
      </w:r>
      <w:bookmarkEnd w:id="34"/>
      <w:r/>
      <w:r/>
    </w:p>
    <w:p>
      <w:pPr>
        <w:jc w:val="center"/>
        <w:spacing w:line="300" w:lineRule="auto"/>
        <w:rPr>
          <w:rFonts w:hint="eastAsia" w:ascii="宋体" w:hAnsi="宋体"/>
          <w:b/>
          <w:color w:val="auto"/>
          <w:sz w:val="28"/>
          <w:szCs w:val="28"/>
          <w:highlight w:val="none"/>
        </w:rPr>
        <w:outlineLvl w:val="0"/>
      </w:pPr>
      <w:r/>
      <w:bookmarkStart w:id="35" w:name="_Toc18738"/>
      <w:r/>
      <w:bookmarkStart w:id="36" w:name="_Hlk121994984"/>
      <w:r>
        <w:rPr>
          <w:rFonts w:hint="eastAsia" w:ascii="宋体" w:hAnsi="宋体"/>
          <w:b/>
          <w:color w:val="auto"/>
          <w:sz w:val="28"/>
          <w:szCs w:val="28"/>
          <w:highlight w:val="none"/>
        </w:rPr>
        <w:t xml:space="preserve">政府采购合同</w:t>
      </w:r>
      <w:bookmarkEnd w:id="35"/>
      <w:r/>
      <w:bookmarkEnd w:id="36"/>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项目名称：</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项目编号：</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甲方（采购人/买方）：</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乙方（供应商/卖方）：</w:t>
      </w:r>
      <w:r>
        <w:rPr>
          <w:rFonts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见证方：</w:t>
      </w:r>
      <w:r>
        <w:rPr>
          <w:rFonts w:hint="eastAsia" w:ascii="宋体" w:hAnsi="宋体" w:cs="宋体"/>
          <w:color w:val="auto"/>
          <w:szCs w:val="21"/>
          <w:highlight w:val="none"/>
        </w:rPr>
        <w:t xml:space="preserve">江苏唯诚建设咨询有限公司</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根据《中华人民共和国政府采购法》、《中华人民共和国</w:t>
      </w:r>
      <w:r>
        <w:rPr>
          <w:rFonts w:hint="eastAsia" w:ascii="宋体" w:hAnsi="宋体" w:cs="宋体"/>
          <w:color w:val="auto"/>
          <w:szCs w:val="21"/>
          <w:highlight w:val="none"/>
        </w:rPr>
        <w:t xml:space="preserve">民法典</w:t>
      </w:r>
      <w:r>
        <w:rPr>
          <w:rFonts w:ascii="宋体" w:hAnsi="宋体" w:cs="宋体"/>
          <w:color w:val="auto"/>
          <w:szCs w:val="21"/>
          <w:highlight w:val="none"/>
        </w:rPr>
        <w:t xml:space="preserve">》等法律法规的规定，甲乙双方按照</w:t>
      </w:r>
      <w:r>
        <w:rPr>
          <w:rFonts w:hint="eastAsia" w:ascii="宋体" w:hAnsi="宋体" w:cs="宋体"/>
          <w:color w:val="auto"/>
          <w:szCs w:val="21"/>
          <w:highlight w:val="none"/>
          <w:lang w:val="zh-CN"/>
        </w:rPr>
        <w:t xml:space="preserve">江苏唯诚建设咨询有限公司</w:t>
      </w:r>
      <w:r>
        <w:rPr>
          <w:rFonts w:ascii="宋体" w:hAnsi="宋体" w:cs="宋体"/>
          <w:color w:val="auto"/>
          <w:szCs w:val="21"/>
          <w:highlight w:val="none"/>
        </w:rPr>
        <w:t xml:space="preserve">关于本项目招标结果签订本合同。</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1、合同组成</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下列关于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文件、乙方提交的响应文件均是构成本合同不可分割的部分，还包括：</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（1）合同条款；</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（2）响应承诺函；</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（3）最后报价表；</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（4）报价明细表；</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（5）工程方案及服务承诺；</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（6）成交通知书；</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（7）图纸；</w:t>
      </w:r>
      <w:r/>
    </w:p>
    <w:p>
      <w:pPr>
        <w:ind w:firstLine="315"/>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（8）甲方、乙方商定的其他必要文件。</w:t>
      </w:r>
      <w:r/>
    </w:p>
    <w:p>
      <w:pPr>
        <w:ind w:firstLine="316"/>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 2、工程概况</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2.1 工程名称：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 工程地点：</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2.3 承包范围：</w:t>
      </w:r>
      <w:r>
        <w:rPr>
          <w:rFonts w:ascii="宋体" w:hAnsi="宋体" w:cs="宋体"/>
          <w:color w:val="auto"/>
          <w:szCs w:val="21"/>
          <w:highlight w:val="none"/>
        </w:rPr>
        <w:t xml:space="preserve">图纸及清单范围内全部工程施工、人工、材料、机械、运输、装卸、二次搬运、成品保护、安全文明施工、临时设施、检测检验、竣工验收、资料编制归档、质保维修、税费、不可预见风险等全部工作内容。</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2.4 承包方式：包工包料</w:t>
      </w:r>
      <w:r/>
    </w:p>
    <w:p>
      <w:pPr>
        <w:ind w:firstLine="420"/>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2.5 工期：本工程工期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天，拟于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日开工，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日竣工，具体开</w:t>
      </w:r>
      <w:r>
        <w:rPr>
          <w:rFonts w:hint="eastAsia" w:ascii="宋体" w:hAnsi="宋体" w:cs="宋体"/>
          <w:color w:val="auto"/>
          <w:szCs w:val="21"/>
          <w:highlight w:val="none"/>
        </w:rPr>
        <w:t xml:space="preserve">工时间以采购人通知为准。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 工程质量：</w:t>
      </w:r>
      <w:r>
        <w:rPr>
          <w:rFonts w:ascii="宋体" w:hAnsi="宋体" w:cs="宋体"/>
          <w:color w:val="auto"/>
          <w:szCs w:val="21"/>
          <w:highlight w:val="none"/>
        </w:rPr>
        <w:t xml:space="preserve">合格，严格符合国家、行业、地方现行施工质量验收规范、技术标准、设计图纸及招标文件要求，一次性通过甲方、监理单位及行业主管部门竣工验收，达到项目备案交付标准。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 合同价款（人民币大写）：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 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（1）安全文明施工费：人民币（大写）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（2）材料和工程设备暂估价金额：人民币（大写）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（3）专业工程暂估价金额：人民币（大写）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（4）暂列金额：人民币（大写）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            元)。</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以上详见招标文件及投标文件。</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2.8 </w:t>
      </w:r>
      <w:r>
        <w:rPr>
          <w:rFonts w:hint="eastAsia" w:ascii="宋体" w:hAnsi="宋体"/>
          <w:color w:val="auto"/>
          <w:szCs w:val="21"/>
          <w:highlight w:val="none"/>
        </w:rPr>
        <w:t xml:space="preserve">付款方式</w:t>
      </w:r>
      <w:r>
        <w:rPr>
          <w:rFonts w:hint="eastAsia" w:ascii="宋体" w:hAnsi="宋体"/>
          <w:color w:val="auto"/>
          <w:szCs w:val="21"/>
          <w:highlight w:val="none"/>
        </w:rPr>
        <w:t xml:space="preserve">：</w:t>
      </w:r>
      <w:r/>
    </w:p>
    <w:p>
      <w:pPr>
        <w:ind w:firstLine="420"/>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中标价即为合同价。本合同无预付款，施工进度完成至工程量的50%付至合同价款的40%，工程竣工验收合格后付至合同价款的70%，工程结算审核完成后付至审定价的97％，3%作为质保金，待质保期满后付清余款。所有价款支付均需乙方开具有效发票。付款时合同价均扣除暂列金额和未实施的专业工程暂估价</w:t>
      </w:r>
      <w:r>
        <w:rPr>
          <w:rFonts w:hint="eastAsia" w:ascii="宋体" w:hAnsi="宋体" w:cs="宋体"/>
          <w:color w:val="auto"/>
          <w:szCs w:val="21"/>
          <w:highlight w:val="none"/>
          <w:lang w:eastAsia="zh-CN"/>
        </w:rPr>
        <w:t xml:space="preserve">。</w:t>
      </w:r>
      <w:r/>
    </w:p>
    <w:p>
      <w:pPr>
        <w:ind w:firstLine="42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上述款项的支付，须以承包人提供合法票据为前提。工程结算需经审计，并按审计后结算金额进行结算。承包人应按时、足额发放农民工工资，同时按省、市治欠保支相关规定落实好农民工实名制以及银行专户代发工资等相关工作。因承包人拖欠农民工工资所造成的一切后果均由其全部承担。</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3、甲方权利义务</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3.1 开工前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天，向乙方提供经确认的施工图纸或做法说明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份，并向乙方进行现场交底。</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为甲方驻工地代表，负责合同履行。对工程质量进行监督检查，办理验收，变更，登记手续和其他事宜。</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3.3 委托</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监理公司进行工程监理，监理公司任命</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为总监理工程师，其职责在监理合同中应明确，并将合同副本交监理公司壹份 （如有需填写）。</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3.4 如确实需要拆改原建筑物结构或设备管线，负责到有关部门办理相应审批手续。</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3.5 协调有关部门做好现场保卫、消防、垃圾处理等工作。</w:t>
      </w:r>
      <w:r/>
    </w:p>
    <w:p>
      <w:pPr>
        <w:ind w:firstLine="424"/>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 、乙方权利义务</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4.1 参加甲方组织的施工图纸或作法说明的现场交底，拟定施工方案和进度计划，交甲方审定。</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4.2 指派</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为乙方项目负责人（项目经理），负责合同履行。按要求组织施工，保质、保量、按期完成施工任务，解决由乙方负责的各项事宜。</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4.3 严格执行施工规范、安全操作规程、防火安全规定、环境保护规定。严格按照图纸或做法说明进行施工，做好各项质量检查记录，参加竣工验收，编制工程决算。</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4.5 施工中未经甲方同意或有关部门批准，不得随意拆改原建筑物结构及各种设备管线。</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4.6 工程竣工未移交甲方之前，负责对现场的一切设施和工程成品进行保护。</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5 、税费</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5.1 中国政府根据现行税法规定对甲方征收的与本合同有关的一切税费均由甲方负担（免税部分除外）。</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5.2 中国政府根据现行税法规定对乙方征收的与本合同有关的一切税费均由乙方负担（免税部分除外）。</w:t>
      </w:r>
      <w:r/>
    </w:p>
    <w:p>
      <w:pPr>
        <w:jc w:val="left"/>
        <w:spacing w:line="360" w:lineRule="auto"/>
        <w:rPr>
          <w:rFonts w:hint="eastAsia"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6、履约保证金</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本项目无履约保证金。</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7、关于工期的约定及其他相关的约定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7.1 本合同工期为固定工期，除本合同明确约定可顺延情形外，工期不予任何调整，乙方不得以任何理由拖延工期。</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7.2 若出现以下情况造成工期延误的：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承包人在前述情况发生后14 日内向发包人提出延期并附随详细资料，经发包人代表书面签证后,工期按实际影响相应顺延，承包人逾期提出，发包人不予考虑。但以上事件是因承包人原因导致或承包人延迟履行期间发生，工期一律不予以延长。</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若乙方未按约定的日期完工，每延期一天予以合同价款千分之一的经济处罚，同时承担因延期而导致的甲方损失。因承包人原因造成工期延误，逾期竣工违约金的上限：合同价5% 。</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8、关于工程质量、验收及质保的约定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 本工程以施工图纸或作法说明、设计变更和国家制订的最新施工及验收规范为质量评定验收标准。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8.2 所有材料进场前须进行环保检测。竣工后对成品进行甲醛检测。如果检验合格，检验费由甲方负担；如果检验不合格，则检验费由乙方负担。</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8.3 本工程质量应达到最新国家质量评定合格标准。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8.5 由于乙方原因造成质量事故，其返工费用由乙方承担，工期不顺延。</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8.6 工程竣工后，乙方应通知甲方验收，甲方自接到验收通知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日内组织验收，并办理验收、移交手续。如甲方在规定时间内未能组织验收，需及时通知乙方，另定验收日期。但甲方应承认乙方竣工日期。</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8.7 本工程应符合国家环保质量要求,否则应承担违约责任并赔偿甲方损失。</w:t>
      </w:r>
      <w:r/>
    </w:p>
    <w:p>
      <w:pPr>
        <w:ind w:firstLine="424"/>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8.8 工程交付尚未使用期间凡属工程遗留问题，乙方在接到甲方书面通知后三天内组织整改。逾期甲方将组织整改，一切费用由乙方承担。</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8.10 </w:t>
      </w:r>
      <w:r>
        <w:rPr>
          <w:rFonts w:hint="eastAsia" w:ascii="宋体" w:hAnsi="宋体"/>
          <w:color w:val="auto"/>
          <w:szCs w:val="21"/>
          <w:highlight w:val="none"/>
        </w:rPr>
        <w:t xml:space="preserve">本工程质量保修期为</w:t>
      </w:r>
      <w:r>
        <w:rPr>
          <w:rFonts w:hint="eastAsia" w:ascii="宋体" w:hAnsi="宋体"/>
          <w:color w:val="auto"/>
          <w:szCs w:val="21"/>
          <w:highlight w:val="none"/>
          <w:u w:val="single"/>
        </w:rPr>
        <w:t xml:space="preserve">2</w:t>
      </w:r>
      <w:r>
        <w:rPr>
          <w:rFonts w:hint="eastAsia" w:ascii="宋体" w:hAnsi="宋体"/>
          <w:color w:val="auto"/>
          <w:szCs w:val="21"/>
          <w:highlight w:val="none"/>
        </w:rPr>
        <w:t xml:space="preserve">年</w:t>
      </w:r>
      <w:r>
        <w:rPr>
          <w:rFonts w:hint="eastAsia" w:ascii="宋体" w:hAnsi="宋体"/>
          <w:color w:val="auto"/>
          <w:szCs w:val="21"/>
          <w:highlight w:val="none"/>
        </w:rPr>
        <w:t xml:space="preserve">，自工程竣工验收合格之日起算。保修期届满前，乙方须对工程进行全面检查，使本工程达到合同所要求的条件及甲方认为合格的程度。</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8.12实际进入施工现场组织施工的项目经理必须是投标项目经理，施工过程中不得更换。如更换，被更换的项目经理资质等级及所完成工程业绩等不得低于原项目经理相应条件，并征得甲方书面同意。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8.14遵守政府和发包人对施工现场的规定和要求，承担因自身原因违反有关规定造成的损失和罚款。</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8.15乙方应服从甲方的制度、会议、通知等形式的管理，以整个项目全局为重，除履行合同义务外应积极配合其他进场施工单位完成项目目标。甲方对确有证据证明承包人配合、协调不力的行为有权予以罚款。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spacing w:line="360" w:lineRule="auto"/>
        <w:tabs>
          <w:tab w:val="left" w:pos="900" w:leader="none"/>
        </w:tabs>
        <w:rPr>
          <w:color w:val="auto"/>
          <w:szCs w:val="21"/>
          <w:highlight w:val="none"/>
        </w:rPr>
      </w:pPr>
      <w:r>
        <w:rPr>
          <w:rFonts w:hint="eastAsia" w:ascii="宋体" w:hAnsi="宋体"/>
          <w:color w:val="auto"/>
          <w:szCs w:val="21"/>
          <w:highlight w:val="none"/>
        </w:rPr>
        <w:t xml:space="preserve">8.17因乙方违反本合同约定而发生诉讼或仲裁的，甲方因此所产生的包括但不限于诉讼费、仲裁费、律师费等均由乙方承担。</w:t>
      </w:r>
      <w:r/>
    </w:p>
    <w:p>
      <w:pPr>
        <w:numPr>
          <w:ilvl w:val="0"/>
          <w:numId w:val="5"/>
        </w:numPr>
        <w:ind w:left="0"/>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关于工程价款及结算的约定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合同为固定单价合同，本工程需要进行结算审计。乙方上报结算核减率在5%以下(含5%)的审核费用由甲方承担，核减率在5%-10%之间(含10%)，由乙方承担一半审核费用，结算核减率在10%以上，由乙方承担全部审核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除了设计变更、发包人要求变动的内容、人工价格、政策性调整以外的风险。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出现工程量清单错误时，是否调整合同价格：执行通用条款，按图施工过程中实际发生工程量与招标控制价清单不一致，发生工程量增减，清单缺项、漏项的，施工单位需要及时办理签证变更备案流程。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不调整</w:t>
      </w:r>
      <w:r>
        <w:rPr>
          <w:rFonts w:hint="eastAsia" w:ascii="宋体" w:hAnsi="宋体" w:cs="宋体"/>
          <w:color w:val="auto"/>
          <w:szCs w:val="21"/>
          <w:highlight w:val="none"/>
        </w:rPr>
        <w:t xml:space="preserve">。</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10、关于材料及配件供应的约定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10.1 凡由乙方采购的材料及配件、设备，如不符合质量要求或规格有差异，应禁止使用。若已使用，对工程造成的损失由乙方负责。</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10.2 工程项目中所用所有主材必须征得甲方认可，甲方保留主材甲供的权利。</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11、有关安全生产和防火的约定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11.1 甲方提供的施工图纸或作法说明，应符合《中华人民共和国消防条例》和有关防火设计规范。</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11.2 乙方在施工期间应严格遵守《建设工程安全生产管理条例》、《建筑安装工人安全技术操作规程》、《中华人民共和国消防条例》和其它相关的法规、规范。</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11.3 由于甲方确认的图纸或作法说明，违反有关安全操作规程、消防条例和防火设计规范，导致发生安全或火灾事故，甲方应承担由此产生的一切经济损失。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11.4 由于乙方在施工生产过程中违反有关安全操作规程、消防条例，导致发生安全或火灾等事故，乙方应承担由此引发的一切经济损失及法律责任。</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11.5 本建筑安装施工工程必须达到现行版的国家及江苏省的一切有关法律、法规要求，若本工程实施期间有新的相关法律、法规标准出台，则仍应满足新的标准要求。</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12、奖励和违约责任</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12.1 由于乙方原因，逾期竣工，每逾期一天，乙方支付甲方</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元违约金，逾期竣工超过 30天的甲方及委托采购机构有权不予退还乙方的履约保证金。</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    12.2 未经甲方同意乙方不得更换项目负责人及项目管理班子人员 ，否则每更换项目负责人一次，甲方将从工程款中扣除违约金</w:t>
      </w:r>
      <w:r>
        <w:rPr>
          <w:rFonts w:hint="eastAsia" w:ascii="宋体" w:hAnsi="宋体"/>
          <w:color w:val="auto"/>
          <w:szCs w:val="21"/>
          <w:highlight w:val="none"/>
          <w:u w:val="single"/>
        </w:rPr>
        <w:t xml:space="preserve"> 1万元</w:t>
      </w:r>
      <w:r>
        <w:rPr>
          <w:rFonts w:hint="eastAsia" w:ascii="宋体" w:hAnsi="宋体"/>
          <w:color w:val="auto"/>
          <w:szCs w:val="21"/>
          <w:highlight w:val="none"/>
        </w:rPr>
        <w:t xml:space="preserve">；项目管理班子其它人员每更换一次，或项目经理月到位率不足</w:t>
      </w:r>
      <w:r>
        <w:rPr>
          <w:rFonts w:hint="eastAsia" w:ascii="宋体" w:hAnsi="宋体"/>
          <w:color w:val="auto"/>
          <w:szCs w:val="21"/>
          <w:highlight w:val="none"/>
          <w:u w:val="single"/>
        </w:rPr>
        <w:t xml:space="preserve">80%</w:t>
      </w:r>
      <w:r>
        <w:rPr>
          <w:rFonts w:hint="eastAsia" w:ascii="宋体" w:hAnsi="宋体"/>
          <w:color w:val="auto"/>
          <w:szCs w:val="21"/>
          <w:highlight w:val="none"/>
        </w:rPr>
        <w:t xml:space="preserve">的，甲方将从工程款中扣除违约金</w:t>
      </w:r>
      <w:r>
        <w:rPr>
          <w:rFonts w:hint="eastAsia" w:ascii="宋体" w:hAnsi="宋体"/>
          <w:color w:val="auto"/>
          <w:szCs w:val="21"/>
          <w:highlight w:val="none"/>
          <w:u w:val="single"/>
        </w:rPr>
        <w:t xml:space="preserve">5000</w:t>
      </w:r>
      <w:r>
        <w:rPr>
          <w:rFonts w:hint="eastAsia" w:ascii="宋体" w:hAnsi="宋体"/>
          <w:color w:val="auto"/>
          <w:szCs w:val="21"/>
          <w:highlight w:val="none"/>
        </w:rPr>
        <w:t xml:space="preserve">元；项目班子管理人员（除项目经理外）月到位率达不到</w:t>
      </w:r>
      <w:r>
        <w:rPr>
          <w:rFonts w:hint="eastAsia" w:ascii="宋体" w:hAnsi="宋体"/>
          <w:color w:val="auto"/>
          <w:szCs w:val="21"/>
          <w:highlight w:val="none"/>
          <w:u w:val="single"/>
        </w:rPr>
        <w:t xml:space="preserve"> 90%</w:t>
      </w:r>
      <w:r>
        <w:rPr>
          <w:rFonts w:hint="eastAsia" w:ascii="宋体" w:hAnsi="宋体"/>
          <w:color w:val="auto"/>
          <w:szCs w:val="21"/>
          <w:highlight w:val="none"/>
        </w:rPr>
        <w:t xml:space="preserve">的，每人次罚</w:t>
      </w:r>
      <w:r>
        <w:rPr>
          <w:rFonts w:hint="eastAsia" w:ascii="宋体" w:hAnsi="宋体"/>
          <w:color w:val="auto"/>
          <w:szCs w:val="21"/>
          <w:highlight w:val="none"/>
          <w:u w:val="single"/>
        </w:rPr>
        <w:t xml:space="preserve">1000</w:t>
      </w:r>
      <w:r>
        <w:rPr>
          <w:rFonts w:hint="eastAsia" w:ascii="宋体" w:hAnsi="宋体"/>
          <w:color w:val="auto"/>
          <w:szCs w:val="21"/>
          <w:highlight w:val="none"/>
        </w:rPr>
        <w:t xml:space="preserve">元。</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12.3 乙方应妥善保护甲方提供的设备及工程成品，如造成损失，应照价赔偿。</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12.4 甲方未办理任何手续，擅自同意拆改原有建筑物或设备管线，由此发生的损失或事故（包括罚款），由甲方负责并承担损失。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12.5 未经甲方同意，乙方擅自拆改原建筑物结构或设备管线，由此发生的损失或事故（包括罚款），由乙方负责并承担损失。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12.6 未办理验收手续，甲方提前使用或擅自动用造成损失由甲方负责。</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12.7 因一方原因，合同无法继续履行时，应通知对方，办理合同终止协议，并由责任方赔偿对方由此造成的经济损失。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12.8 甲乙双方应严格履约，如违约，由违约方承付本合同标的总价 5﹪的违约金给受损方，并赔偿受损方由此造成的一切经济损失。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12.9乙方要加强渣土运输车辆的管理，应安排专人负责车辆的冲洗及工地出入口的清理保洁工作，不得污染城市道路，否则处于5000元/次的罚款。</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13、不可抗力</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13.2 不可抗力影响时间持续 30 日以上时，甲乙双方及时解除合同；</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13.3 本条所述“不可抗力”是指不可预见、不能克服及不能避免的事件，包括战争、严重火灾、洪水、地震等。</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14、纠纷解决办法</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14.1 在执行本合同中所发生的或与本合同有关的一切争端，甲方和乙方应通过友好协商的办法进行解决。如协商仍不能解决，则通过由甲方所在地人民法院诉讼。</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14.2 在诉讼期间，本合同应继续执行。</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15、破产终止合同</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15.1 如果乙方破产或无清偿能力时，甲方在任何时候书面通知乙方终止合同而不给乙方补偿。该终止合同将不损害或影响甲方已经或将要采取的补救措施的权利。</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16、分包和转让</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16.1 本合同不得转让。</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17、合同生效及其它</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17.1 合同应在甲方、乙方签字后生效。</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17.2 本合同一式陆份，以中文书写，由甲方贰份、乙方贰份，见证方及政府采购管理部门各执壹份。</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17.3 本合同服务实施期间所发生的合同纠纷，甲方与乙方进行处理。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17.5 本合同应按照中华人民共和国的现行法律进行解释。</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甲  方（单位盖章）：      </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  址：                               电  话：</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乙  方（单位盖章）：</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  址：                               电  话：</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见证方（单位盖章）：</w:t>
      </w:r>
      <w:r>
        <w:rPr>
          <w:rFonts w:ascii="宋体" w:hAnsi="宋体"/>
          <w:color w:val="auto"/>
          <w:szCs w:val="21"/>
          <w:highlight w:val="none"/>
        </w:rPr>
        <w:t xml:space="preserve"> </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  址：</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电  话：</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代表签字：</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spacing w:line="360" w:lineRule="auto"/>
        <w:rPr>
          <w:rFonts w:hint="eastAsia" w:ascii="宋体" w:hAnsi="宋体"/>
          <w:b/>
          <w:color w:val="auto"/>
          <w:szCs w:val="21"/>
          <w:highlight w:val="none"/>
        </w:rPr>
      </w:pPr>
      <w:r>
        <w:rPr>
          <w:rFonts w:hint="eastAsia" w:ascii="宋体" w:hAnsi="宋体"/>
          <w:color w:val="auto"/>
          <w:szCs w:val="21"/>
          <w:highlight w:val="none"/>
        </w:rPr>
        <w:t xml:space="preserve">合同签订日期：   年   月   日</w:t>
      </w:r>
      <w:r/>
    </w:p>
    <w:p>
      <w:pPr>
        <w:pStyle w:val="999"/>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r>
      <w:r/>
    </w:p>
    <w:p>
      <w:pPr>
        <w:pStyle w:val="999"/>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r>
      <w:r/>
    </w:p>
    <w:p>
      <w:pPr>
        <w:pStyle w:val="1010"/>
        <w:jc w:val="center"/>
        <w:spacing w:before="120" w:after="120" w:line="440" w:lineRule="exact"/>
        <w:rPr>
          <w:rFonts w:hint="eastAsia" w:ascii="宋体" w:hAnsi="宋体"/>
          <w:b/>
          <w:color w:val="auto"/>
          <w:szCs w:val="21"/>
          <w:highlight w:val="none"/>
        </w:rPr>
      </w:pPr>
      <w:r>
        <w:rPr>
          <w:rFonts w:hint="eastAsia" w:ascii="宋体" w:hAnsi="宋体"/>
          <w:b/>
          <w:color w:val="auto"/>
          <w:szCs w:val="21"/>
          <w:highlight w:val="none"/>
        </w:rPr>
      </w:r>
      <w:r/>
    </w:p>
    <w:p>
      <w:pPr>
        <w:pStyle w:val="1010"/>
        <w:jc w:val="center"/>
        <w:spacing w:before="120" w:after="120" w:line="440" w:lineRule="exact"/>
        <w:rPr>
          <w:rFonts w:hint="eastAsia" w:ascii="宋体" w:hAnsi="宋体"/>
          <w:b/>
          <w:color w:val="auto"/>
          <w:szCs w:val="21"/>
          <w:highlight w:val="none"/>
        </w:rPr>
      </w:pPr>
      <w:r>
        <w:rPr>
          <w:rFonts w:hint="eastAsia" w:ascii="宋体" w:hAnsi="宋体"/>
          <w:b/>
          <w:color w:val="auto"/>
          <w:szCs w:val="21"/>
          <w:highlight w:val="none"/>
        </w:rPr>
      </w:r>
      <w:r/>
    </w:p>
    <w:p>
      <w:pPr>
        <w:pStyle w:val="1010"/>
        <w:jc w:val="center"/>
        <w:spacing w:before="120" w:after="120" w:line="440" w:lineRule="exact"/>
        <w:rPr>
          <w:rFonts w:hint="eastAsia" w:ascii="宋体" w:hAnsi="宋体"/>
          <w:b/>
          <w:color w:val="auto"/>
          <w:szCs w:val="21"/>
          <w:highlight w:val="none"/>
        </w:rPr>
      </w:pPr>
      <w:r>
        <w:rPr>
          <w:rFonts w:hint="eastAsia" w:ascii="宋体" w:hAnsi="宋体"/>
          <w:b/>
          <w:color w:val="auto"/>
          <w:szCs w:val="21"/>
          <w:highlight w:val="none"/>
        </w:rPr>
      </w:r>
      <w:r/>
    </w:p>
    <w:p>
      <w:pPr>
        <w:pStyle w:val="1010"/>
        <w:jc w:val="center"/>
        <w:spacing w:before="120" w:after="120" w:line="440" w:lineRule="exact"/>
        <w:rPr>
          <w:rFonts w:hint="eastAsia" w:ascii="宋体" w:hAnsi="宋体"/>
          <w:b/>
          <w:color w:val="auto"/>
          <w:szCs w:val="21"/>
          <w:highlight w:val="none"/>
        </w:rPr>
      </w:pPr>
      <w:r>
        <w:rPr>
          <w:rFonts w:hint="eastAsia" w:ascii="宋体" w:hAnsi="宋体"/>
          <w:b/>
          <w:color w:val="auto"/>
          <w:szCs w:val="21"/>
          <w:highlight w:val="none"/>
        </w:rPr>
      </w:r>
      <w:r/>
    </w:p>
    <w:p>
      <w:pPr>
        <w:pStyle w:val="1010"/>
        <w:jc w:val="center"/>
        <w:spacing w:before="120" w:after="120" w:line="440" w:lineRule="exact"/>
        <w:rPr>
          <w:rFonts w:hint="eastAsia" w:ascii="宋体" w:hAnsi="宋体"/>
          <w:b/>
          <w:color w:val="auto"/>
          <w:szCs w:val="21"/>
          <w:highlight w:val="none"/>
        </w:rPr>
      </w:pPr>
      <w:r>
        <w:rPr>
          <w:rFonts w:hint="eastAsia" w:ascii="宋体" w:hAnsi="宋体"/>
          <w:b/>
          <w:color w:val="auto"/>
          <w:szCs w:val="21"/>
          <w:highlight w:val="none"/>
        </w:rPr>
      </w:r>
      <w:r/>
    </w:p>
    <w:p>
      <w:pPr>
        <w:jc w:val="center"/>
        <w:spacing w:before="120" w:after="120" w:line="440" w:lineRule="exact"/>
        <w:rPr>
          <w:rFonts w:hint="eastAsia" w:ascii="宋体" w:hAnsi="宋体"/>
          <w:b/>
          <w:color w:val="auto"/>
          <w:szCs w:val="21"/>
          <w:highlight w:val="none"/>
        </w:rPr>
      </w:pPr>
      <w:r>
        <w:rPr>
          <w:rFonts w:ascii="宋体" w:hAnsi="宋体"/>
          <w:b/>
          <w:color w:val="auto"/>
          <w:szCs w:val="21"/>
          <w:highlight w:val="none"/>
        </w:rPr>
        <w:br w:type="page" w:clear="all"/>
      </w:r>
      <w:r>
        <w:rPr>
          <w:rFonts w:hint="eastAsia" w:ascii="宋体" w:hAnsi="宋体"/>
          <w:b/>
          <w:color w:val="auto"/>
          <w:szCs w:val="21"/>
          <w:highlight w:val="none"/>
        </w:rPr>
        <w:t xml:space="preserve">工程质量保修书</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发包人（全称）：             </w:t>
      </w:r>
      <w:r>
        <w:rPr>
          <w:rFonts w:ascii="宋体" w:hAnsi="宋体" w:cs="宋体"/>
          <w:color w:val="auto"/>
          <w:szCs w:val="21"/>
          <w:highlight w:val="none"/>
          <w:shd w:val="clear" w:color="auto" w:fill="ffffff"/>
        </w:rPr>
        <w:t xml:space="preserve">   </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承包人（全称）：                          </w:t>
      </w:r>
      <w:r>
        <w:rPr>
          <w:rFonts w:ascii="宋体" w:hAnsi="宋体" w:cs="宋体"/>
          <w:color w:val="auto"/>
          <w:szCs w:val="21"/>
          <w:highlight w:val="none"/>
          <w:shd w:val="clear" w:color="auto" w:fill="ffffff"/>
        </w:rPr>
        <w:t xml:space="preserve"> </w:t>
      </w:r>
      <w:r/>
    </w:p>
    <w:p>
      <w:pPr>
        <w:ind w:firstLine="525"/>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发包人和承包人根据《中华人民共和国建筑法》、《建设工程质量管理条例》和《房屋建筑工程质量保修办法》，经协商一致，就</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 xml:space="preserve">（工程全称）签订工程质量保修书。</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一、工程质量保修范围和内容</w:t>
      </w:r>
      <w:r/>
    </w:p>
    <w:p>
      <w:pPr>
        <w:pStyle w:val="971"/>
        <w:contextualSpacing/>
        <w:ind w:firstLine="420"/>
        <w:spacing w:line="360" w:lineRule="auto"/>
        <w:rPr>
          <w:b/>
          <w:color w:val="auto"/>
          <w:sz w:val="21"/>
          <w:szCs w:val="21"/>
          <w:highlight w:val="none"/>
          <w:u w:val="single"/>
        </w:rPr>
      </w:pPr>
      <w:r>
        <w:rPr>
          <w:rFonts w:hint="eastAsia"/>
          <w:color w:val="auto"/>
          <w:sz w:val="21"/>
          <w:szCs w:val="21"/>
          <w:highlight w:val="none"/>
        </w:rPr>
        <w:t xml:space="preserve">承包人在质量保修期内，按照有关法律、法规、规章的管理规定和双方约定，承担本工程质量保修责任。质量保修范围内包括合同约定的全部承包项目。具体质量保修内容双方约定如下：</w:t>
      </w:r>
      <w:r>
        <w:rPr>
          <w:rFonts w:hint="eastAsia"/>
          <w:b/>
          <w:color w:val="auto"/>
          <w:sz w:val="21"/>
          <w:szCs w:val="21"/>
          <w:highlight w:val="none"/>
          <w:u w:val="single"/>
        </w:rPr>
        <w:t xml:space="preserve">凡属承包人加工及施工工艺、施工方法及材料质量等质量问题造成的需返工修补的情况。</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二、质量保修期</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rPr>
          <w:rFonts w:ascii="宋体" w:hAnsi="宋体" w:cs="宋体"/>
          <w:color w:val="auto"/>
          <w:szCs w:val="21"/>
          <w:highlight w:val="none"/>
          <w:shd w:val="clear" w:color="auto" w:fill="ffffff"/>
        </w:rPr>
        <w:t xml:space="preserve">1</w:t>
      </w:r>
      <w:r>
        <w:rPr>
          <w:rFonts w:hint="eastAsia" w:ascii="宋体" w:hAnsi="宋体" w:cs="宋体"/>
          <w:color w:val="auto"/>
          <w:szCs w:val="21"/>
          <w:highlight w:val="none"/>
          <w:shd w:val="clear" w:color="auto" w:fill="ffffff"/>
        </w:rPr>
        <w:t xml:space="preserve">．地基基础工程和主体结构工程为设计文件规定的工程合理使用年限；</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本工程质量保修期为</w:t>
      </w:r>
      <w:r>
        <w:rPr>
          <w:rFonts w:hint="eastAsia" w:ascii="宋体" w:hAnsi="宋体" w:cs="宋体"/>
          <w:color w:val="auto"/>
          <w:szCs w:val="21"/>
          <w:highlight w:val="none"/>
          <w:u w:val="single"/>
          <w:shd w:val="clear" w:color="auto" w:fill="ffffff"/>
        </w:rPr>
        <w:t xml:space="preserve"> </w:t>
      </w:r>
      <w:r>
        <w:rPr>
          <w:rFonts w:hint="eastAsia" w:ascii="宋体" w:hAnsi="宋体" w:cs="宋体"/>
          <w:b/>
          <w:bCs/>
          <w:color w:val="auto"/>
          <w:szCs w:val="21"/>
          <w:highlight w:val="none"/>
          <w:u w:val="single"/>
          <w:shd w:val="clear" w:color="auto" w:fill="ffffff"/>
        </w:rPr>
        <w:t xml:space="preserve">2 </w:t>
      </w:r>
      <w:r>
        <w:rPr>
          <w:rFonts w:hint="eastAsia" w:ascii="宋体" w:hAnsi="宋体" w:cs="宋体"/>
          <w:b/>
          <w:bCs/>
          <w:color w:val="auto"/>
          <w:szCs w:val="21"/>
          <w:highlight w:val="none"/>
          <w:shd w:val="clear" w:color="auto" w:fill="ffffff"/>
        </w:rPr>
        <w:t xml:space="preserve">年</w:t>
      </w:r>
      <w:r>
        <w:rPr>
          <w:rFonts w:hint="eastAsia" w:ascii="宋体" w:hAnsi="宋体" w:cs="宋体"/>
          <w:color w:val="auto"/>
          <w:szCs w:val="21"/>
          <w:highlight w:val="none"/>
          <w:shd w:val="clear" w:color="auto" w:fill="ffffff"/>
        </w:rPr>
        <w:t xml:space="preserve"> ，从工程竣工验收合格之日起，2 年内因工程质量问题所发生的材料费、保修人工费等均由乙方负责免费维修和更换。</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三、质量保修责任</w:t>
      </w:r>
      <w:r/>
    </w:p>
    <w:p>
      <w:pPr>
        <w:ind w:firstLine="420"/>
        <w:jc w:val="left"/>
        <w:spacing w:line="360" w:lineRule="auto"/>
        <w:rPr>
          <w:rFonts w:hint="eastAsia" w:ascii="宋体" w:hAnsi="宋体" w:cs="宋体"/>
          <w:color w:val="auto"/>
          <w:szCs w:val="21"/>
          <w:highlight w:val="none"/>
          <w:shd w:val="clear" w:color="auto" w:fill="ffffff"/>
        </w:rPr>
      </w:pPr>
      <w:r>
        <w:rPr>
          <w:rFonts w:ascii="宋体" w:hAnsi="宋体" w:cs="宋体"/>
          <w:color w:val="auto"/>
          <w:szCs w:val="21"/>
          <w:highlight w:val="none"/>
          <w:shd w:val="clear" w:color="auto" w:fill="ffffff"/>
        </w:rPr>
        <w:t xml:space="preserve">1</w:t>
      </w:r>
      <w:r>
        <w:rPr>
          <w:rFonts w:hint="eastAsia" w:ascii="宋体" w:hAnsi="宋体" w:cs="宋体"/>
          <w:color w:val="auto"/>
          <w:szCs w:val="21"/>
          <w:highlight w:val="none"/>
          <w:shd w:val="clear" w:color="auto" w:fill="ffffff"/>
        </w:rPr>
        <w:t xml:space="preserve">．属于保修范围、内容的项目，承包人应当在接到保修通知之日起</w:t>
      </w:r>
      <w:r>
        <w:rPr>
          <w:rFonts w:ascii="宋体" w:hAnsi="宋体" w:cs="宋体"/>
          <w:color w:val="auto"/>
          <w:szCs w:val="21"/>
          <w:highlight w:val="none"/>
          <w:shd w:val="clear" w:color="auto" w:fill="ffffff"/>
        </w:rPr>
        <w:t xml:space="preserve">7</w:t>
      </w:r>
      <w:r>
        <w:rPr>
          <w:rFonts w:hint="eastAsia" w:ascii="宋体" w:hAnsi="宋体" w:cs="宋体"/>
          <w:color w:val="auto"/>
          <w:szCs w:val="21"/>
          <w:highlight w:val="none"/>
          <w:shd w:val="clear" w:color="auto" w:fill="ffffff"/>
        </w:rPr>
        <w:t xml:space="preserve">天内派人保修。承包人不在约定期限内派人保修的，发包人可以委托他人修理，保修费用从质量保修金内扣除，不足部分承包人需另行支付。</w:t>
      </w:r>
      <w:r/>
    </w:p>
    <w:p>
      <w:pPr>
        <w:ind w:firstLine="420"/>
        <w:jc w:val="left"/>
        <w:spacing w:line="360" w:lineRule="auto"/>
        <w:rPr>
          <w:rFonts w:hint="eastAsia" w:ascii="宋体" w:hAnsi="宋体" w:cs="宋体"/>
          <w:color w:val="auto"/>
          <w:szCs w:val="21"/>
          <w:highlight w:val="none"/>
          <w:shd w:val="clear" w:color="auto" w:fill="ffffff"/>
        </w:rPr>
      </w:pPr>
      <w:r>
        <w:rPr>
          <w:rFonts w:ascii="宋体" w:hAnsi="宋体" w:cs="宋体"/>
          <w:color w:val="auto"/>
          <w:szCs w:val="21"/>
          <w:highlight w:val="none"/>
          <w:shd w:val="clear" w:color="auto" w:fill="ffffff"/>
        </w:rPr>
        <w:t xml:space="preserve">2</w:t>
      </w:r>
      <w:r>
        <w:rPr>
          <w:rFonts w:hint="eastAsia" w:ascii="宋体" w:hAnsi="宋体" w:cs="宋体"/>
          <w:color w:val="auto"/>
          <w:szCs w:val="21"/>
          <w:highlight w:val="none"/>
          <w:shd w:val="clear" w:color="auto" w:fill="ffffff"/>
        </w:rPr>
        <w:t xml:space="preserve">．发生紧急事故需抢修的，承包人在接到事故通知后，应当立即到达事故现场抢修。非承包人施工质量引起的事故，费用由发包人承担。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color w:val="auto"/>
          <w:szCs w:val="21"/>
          <w:highlight w:val="none"/>
          <w:shd w:val="clear" w:color="auto" w:fill="ffffff"/>
        </w:rPr>
      </w:pPr>
      <w:r>
        <w:rPr>
          <w:rFonts w:ascii="宋体" w:hAnsi="宋体" w:cs="宋体"/>
          <w:color w:val="auto"/>
          <w:szCs w:val="21"/>
          <w:highlight w:val="none"/>
          <w:shd w:val="clear" w:color="auto" w:fill="ffffff"/>
        </w:rPr>
        <w:t xml:space="preserve">3</w:t>
      </w:r>
      <w:r>
        <w:rPr>
          <w:rFonts w:hint="eastAsia" w:ascii="宋体" w:hAnsi="宋体" w:cs="宋体"/>
          <w:color w:val="auto"/>
          <w:szCs w:val="21"/>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四、保修费用</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保修费用由造成质量缺陷的责任方承担。本工程约定的工程质量保修金为施工合同价的 3%。本工程双方约定的乙方向甲方支付工程质量保修金的金额为人民币（大写）</w:t>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 xml:space="preserve"> ；质量保修金银行利率不计。</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五、质量保修金的退还</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发包人在质量保修期满后，承包人向发包人开具发票（税率</w:t>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 xml:space="preserve">），发包人自收到发票</w:t>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 xml:space="preserve">日内，将剩余质量保修金（不计利息）返还承包人。</w:t>
      </w:r>
      <w:r/>
    </w:p>
    <w:p>
      <w:pPr>
        <w:ind w:firstLine="525"/>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六、双方约定的其他工程质量保修事项：</w:t>
      </w:r>
      <w:r>
        <w:rPr>
          <w:rFonts w:hint="eastAsia" w:ascii="宋体" w:hAnsi="宋体" w:cs="宋体"/>
          <w:color w:val="auto"/>
          <w:szCs w:val="21"/>
          <w:highlight w:val="none"/>
          <w:u w:val="single"/>
          <w:shd w:val="clear" w:color="auto" w:fill="ffffff"/>
        </w:rPr>
        <w:t xml:space="preserve">保修期内因承包人不能及时履行保修义务，发包人有权另请第三方维修，费用按实际发生费用的</w:t>
      </w:r>
      <w:r>
        <w:rPr>
          <w:rFonts w:ascii="宋体" w:hAnsi="宋体" w:cs="宋体"/>
          <w:color w:val="auto"/>
          <w:szCs w:val="21"/>
          <w:highlight w:val="none"/>
          <w:u w:val="single"/>
          <w:shd w:val="clear" w:color="auto" w:fill="ffffff"/>
        </w:rPr>
        <w:t xml:space="preserve">2</w:t>
      </w:r>
      <w:r>
        <w:rPr>
          <w:rFonts w:hint="eastAsia" w:ascii="宋体" w:hAnsi="宋体" w:cs="宋体"/>
          <w:color w:val="auto"/>
          <w:szCs w:val="21"/>
          <w:highlight w:val="none"/>
          <w:u w:val="single"/>
          <w:shd w:val="clear" w:color="auto" w:fill="ffffff"/>
        </w:rPr>
        <w:t xml:space="preserve">倍从保修金中扣除。</w:t>
      </w:r>
      <w:r>
        <w:rPr>
          <w:rFonts w:ascii="宋体" w:hAnsi="宋体" w:cs="宋体"/>
          <w:color w:val="auto"/>
          <w:szCs w:val="21"/>
          <w:highlight w:val="none"/>
          <w:shd w:val="clear" w:color="auto" w:fill="ffffff"/>
        </w:rPr>
        <w:t xml:space="preserve">                                                </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本工程质量保修书由发包人、承包人在工程竣工验收前共同签署，作为施工合同附件，其有效期限至保修期满。</w:t>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ind w:firstLine="42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ind w:firstLine="21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发包人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公章</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承包人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公章</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w:t>
      </w:r>
      <w:r>
        <w:rPr>
          <w:rFonts w:ascii="宋体" w:hAnsi="宋体" w:cs="宋体"/>
          <w:color w:val="auto"/>
          <w:szCs w:val="21"/>
          <w:highlight w:val="none"/>
          <w:shd w:val="clear" w:color="auto" w:fill="ffffff"/>
        </w:rPr>
        <w:t xml:space="preserve"> </w:t>
      </w:r>
      <w:r/>
    </w:p>
    <w:p>
      <w:pPr>
        <w:ind w:firstLine="21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址：</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地</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址：</w:t>
      </w:r>
      <w:r/>
    </w:p>
    <w:p>
      <w:pPr>
        <w:ind w:firstLine="210"/>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法定代表人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签字</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             法定代表人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签字</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w:t>
      </w:r>
      <w:r/>
    </w:p>
    <w:p>
      <w:pPr>
        <w:ind w:firstLine="193"/>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委托代理人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签字</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 委托代理人</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签字</w:t>
      </w:r>
      <w:r>
        <w:rPr>
          <w:rFonts w:ascii="宋体" w:hAnsi="宋体" w:cs="宋体"/>
          <w:color w:val="auto"/>
          <w:szCs w:val="21"/>
          <w:highlight w:val="none"/>
          <w:shd w:val="clear" w:color="auto" w:fill="ffffff"/>
        </w:rPr>
        <w:t xml:space="preserve">)</w:t>
      </w:r>
      <w:r>
        <w:rPr>
          <w:rFonts w:hint="eastAsia" w:ascii="宋体" w:hAnsi="宋体" w:cs="宋体"/>
          <w:color w:val="auto"/>
          <w:szCs w:val="21"/>
          <w:highlight w:val="none"/>
          <w:shd w:val="clear" w:color="auto" w:fill="ffffff"/>
        </w:rPr>
        <w:t xml:space="preserve">：</w:t>
      </w:r>
      <w:r/>
    </w:p>
    <w:p>
      <w:pPr>
        <w:ind w:firstLine="193"/>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电</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话：</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电</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话：</w:t>
      </w:r>
      <w:r/>
    </w:p>
    <w:p>
      <w:pPr>
        <w:ind w:firstLine="193"/>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传</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真：</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传</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真：</w:t>
      </w:r>
      <w:r/>
    </w:p>
    <w:p>
      <w:pPr>
        <w:ind w:firstLine="193"/>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开户银行：                                  开户银行：</w:t>
      </w:r>
      <w:r/>
    </w:p>
    <w:p>
      <w:pPr>
        <w:ind w:firstLine="193"/>
        <w:jc w:val="lef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账</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号：                    </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账</w:t>
      </w:r>
      <w:r>
        <w:rPr>
          <w:rFonts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rPr>
        <w:t xml:space="preserve">号：</w:t>
      </w:r>
      <w:r/>
    </w:p>
    <w:p>
      <w:pPr>
        <w:pStyle w:val="957"/>
        <w:ind w:firstLine="210"/>
        <w:spacing w:before="120" w:after="120" w:line="360" w:lineRule="auto"/>
        <w:rPr>
          <w:rFonts w:hint="eastAsia" w:hAnsi="宋体" w:cs="宋体"/>
          <w:color w:val="auto"/>
          <w:sz w:val="21"/>
          <w:szCs w:val="21"/>
          <w:highlight w:val="none"/>
          <w:shd w:val="clear" w:color="auto" w:fill="ffffff"/>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s="宋体"/>
          <w:color w:val="auto"/>
          <w:sz w:val="21"/>
          <w:szCs w:val="21"/>
          <w:highlight w:val="none"/>
          <w:shd w:val="clear" w:color="auto" w:fill="ffffff"/>
        </w:rPr>
        <w:t xml:space="preserve">邮政编码：</w:t>
      </w:r>
      <w:r>
        <w:rPr>
          <w:rFonts w:hAnsi="宋体" w:cs="宋体"/>
          <w:color w:val="auto"/>
          <w:sz w:val="21"/>
          <w:szCs w:val="21"/>
          <w:highlight w:val="none"/>
          <w:shd w:val="clear" w:color="auto" w:fill="ffffff"/>
        </w:rPr>
        <w:t xml:space="preserve">                                  </w:t>
      </w:r>
      <w:r>
        <w:rPr>
          <w:rFonts w:hint="eastAsia" w:hAnsi="宋体" w:cs="宋体"/>
          <w:color w:val="auto"/>
          <w:sz w:val="21"/>
          <w:szCs w:val="21"/>
          <w:highlight w:val="none"/>
          <w:shd w:val="clear" w:color="auto" w:fill="ffffff"/>
        </w:rPr>
        <w:t xml:space="preserve">邮政编码：</w:t>
      </w:r>
      <w:r/>
    </w:p>
    <w:p>
      <w:pPr>
        <w:jc w:val="center"/>
        <w:spacing w:line="360" w:lineRule="auto"/>
        <w:tabs>
          <w:tab w:val="left" w:pos="0" w:leader="none"/>
          <w:tab w:val="left" w:pos="993" w:leader="none"/>
          <w:tab w:val="left" w:pos="1134" w:leader="none"/>
        </w:tabs>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安全协议</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 </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乙方：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第一条：甲乙双方必须认真贯彻执行国家安全生产政策、法律、法规。</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第二条：甲方承担的安全责任、权利；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甲方有权要求乙方必须严格遵守安全生产法律、法规、标准、安全生产规章制度和操作规程，并熟练掌握事故防范措施和事故应急处理预案；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甲方管理人员有权制止乙方人员违法、违规作业，并按规定给予处罚；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 甲方有权对安全意识差、不服从安全生产指挥的乙方人员责令退场。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第三条：乙方的责任、权利；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乙方是本项目的安全生产的直接责任人，必须严格执行安全生产法律、法规、标准、安全生产规章制度和操作规程，并熟练掌握事故防范措施和事故应急处理预案；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 乙方应对现场安全负完全责任，乙方工作人员不得违规作业、冒险作业、疲劳作业，并按规定做好保护工作；</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 乙方在工程现场人员必须配备安全防护用品，未配备安全防护用品的人员不得进入工程现场。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第四条：乙方工作人员必须严格遵守安全管理法律和制度，服从现场安全管理，在施工现场必须做到：</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高空悬空作业必须系好安全带；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班前不得喝酒，不得在禁止吸烟的区域吸烟；</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 现场内不得赤脚、不得穿拖鞋、不得穿高跟鞋，高空作业不得穿皮鞋、带钉鞋、易滑鞋；</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 未经批准，不得随便拆除已架设的安全防护设施及安全装置和安全标牌；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 不得私自乱接乱拉电线，不得破坏工地上电缆及配电箱，不得用材料、工具等压砸电缆电线，确保用电安全；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 不得在工程现场烧火；</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 不得从高处向下抛扔任何物资、材料，堆放物资、材料时不得超过支撑限重的70%；</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 不得在高处临边一米范围内堆放活动材料；</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 不得在操作面上及高处临边竖立放置工具和线材；</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 使用电动工具，必须按操作规程和说明书要求正确佩戴防护用品；</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 施工过程中必须严格遵守安全操作规程。</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第五条：安全责任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本协议约定期间 由于乙方原因造成安全事故的，乙方负全部责任，并由乙方承担造成的经济损失和刑事责任；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 本协议约定期间如因乙方原因给甲方造成损失，由乙方负责向甲方赔偿，甲方有权直接从乙方工程款中扣除赔偿款。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第六条：本协议自签订之日起生效，一式四份，甲乙双方各二份。</w:t>
      </w:r>
      <w:r/>
    </w:p>
    <w:p>
      <w:pPr>
        <w:ind w:firstLine="42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 （盖章）                     乙方： （盖章）</w:t>
      </w:r>
      <w:r/>
    </w:p>
    <w:p>
      <w:pPr>
        <w:ind w:firstLine="1365"/>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甲方负责人（签章）：                乙方负责人（签章）：</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57"/>
        <w:ind w:firstLine="210"/>
        <w:spacing w:before="120" w:after="120" w:line="360" w:lineRule="auto"/>
        <w:rPr>
          <w:rFonts w:hint="eastAsia" w:hAnsi="宋体" w:cs="宋体"/>
          <w:color w:val="auto"/>
          <w:sz w:val="21"/>
          <w:szCs w:val="21"/>
          <w:highlight w:val="none"/>
          <w:shd w:val="clear" w:color="auto" w:fill="ffffff"/>
        </w:rPr>
      </w:pPr>
      <w:r>
        <w:rPr>
          <w:rFonts w:hint="eastAsia" w:hAnsi="宋体" w:cs="宋体"/>
          <w:color w:val="auto"/>
          <w:sz w:val="21"/>
          <w:szCs w:val="21"/>
          <w:highlight w:val="none"/>
        </w:rPr>
        <w:t xml:space="preserve">年  月  日                         年   月   日</w:t>
      </w:r>
      <w:r/>
    </w:p>
    <w:p>
      <w:pPr>
        <w:ind w:firstLine="84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57"/>
        <w:ind w:firstLine="210"/>
        <w:spacing w:before="120" w:after="120"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40"/>
        <w:jc w:val="center"/>
        <w:spacing w:line="360" w:lineRule="auto"/>
        <w:rPr>
          <w:rFonts w:hint="eastAsia" w:ascii="宋体" w:hAnsi="宋体" w:cs="宋体"/>
          <w:color w:val="auto"/>
          <w:highlight w:val="none"/>
        </w:rPr>
      </w:pPr>
      <w:r>
        <w:rPr>
          <w:rFonts w:hint="eastAsia" w:ascii="宋体" w:hAnsi="宋体" w:cs="宋体"/>
          <w:color w:val="auto"/>
          <w:highlight w:val="none"/>
        </w:rPr>
        <w:br w:type="page" w:clear="all"/>
      </w:r>
      <w:bookmarkStart w:id="37" w:name="_Toc32723"/>
      <w:r>
        <w:rPr>
          <w:rFonts w:hint="eastAsia" w:ascii="宋体" w:hAnsi="宋体" w:cs="宋体"/>
          <w:color w:val="auto"/>
          <w:highlight w:val="none"/>
        </w:rPr>
        <w:t xml:space="preserve">第四章 项目需求</w:t>
      </w:r>
      <w:bookmarkEnd w:id="37"/>
      <w:r/>
      <w:r/>
    </w:p>
    <w:p>
      <w:pPr>
        <w:ind w:left="500" w:hanging="84"/>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项目属性:工程类项目</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3、采购标的清单</w:t>
      </w:r>
      <w:r/>
    </w:p>
    <w:tbl>
      <w:tblPr>
        <w:tblStyle w:val="75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837"/>
        <w:gridCol w:w="3343"/>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37"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对应中小企业划分标准所属行业</w:t>
            </w:r>
            <w:r/>
          </w:p>
        </w:tc>
      </w:tr>
      <w:tr>
        <w:trPr>
          <w:jc w:val="cente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7"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汪氏小苑局部修缮工程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jc w:val="cente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建筑业</w:t>
            </w:r>
            <w:r>
              <w:rPr>
                <w:rFonts w:hint="eastAsia" w:ascii="宋体" w:hAnsi="宋体" w:cs="宋体"/>
                <w:color w:val="auto"/>
                <w:szCs w:val="21"/>
                <w:highlight w:val="none"/>
              </w:rPr>
              <w:t xml:space="preserve"> </w:t>
            </w:r>
            <w:r/>
          </w:p>
        </w:tc>
      </w:tr>
    </w:tbl>
    <w:p>
      <w:pPr>
        <w:contextualSpacing/>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二、项目基本概况</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项目编号：JSZC-321002-JSWC-C2026-0034</w:t>
      </w:r>
      <w:r/>
    </w:p>
    <w:p>
      <w:pPr>
        <w:ind w:firstLine="420"/>
        <w:jc w:val="left"/>
        <w:spacing w:line="360" w:lineRule="auto"/>
        <w:rPr>
          <w:rFonts w:hint="eastAsia" w:ascii="宋体" w:hAnsi="宋体" w:cs="宋体"/>
          <w:color w:val="auto"/>
          <w:szCs w:val="21"/>
          <w:highlight w:val="none"/>
          <w:lang w:val="zh-CN"/>
        </w:rPr>
      </w:pPr>
      <w:r>
        <w:rPr>
          <w:rFonts w:ascii="宋体" w:hAnsi="宋体" w:cs="宋体"/>
          <w:color w:val="auto"/>
          <w:szCs w:val="21"/>
          <w:highlight w:val="none"/>
          <w:lang w:val="zh-CN"/>
        </w:rPr>
        <w:t xml:space="preserve">2．</w:t>
      </w:r>
      <w:r>
        <w:rPr>
          <w:rFonts w:hint="eastAsia" w:ascii="宋体" w:hAnsi="宋体" w:cs="宋体"/>
          <w:color w:val="auto"/>
          <w:szCs w:val="21"/>
          <w:highlight w:val="none"/>
        </w:rPr>
        <w:t xml:space="preserve">项目名称：汪氏小苑局部修缮工程</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采购方式：竞争性磋商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highlight w:val="none"/>
        </w:rPr>
        <w:t xml:space="preserve">1794415.63</w:t>
      </w:r>
      <w:r>
        <w:rPr>
          <w:rFonts w:hint="eastAsia" w:ascii="宋体" w:hAnsi="宋体" w:cs="宋体"/>
          <w:color w:val="auto"/>
          <w:szCs w:val="21"/>
          <w:highlight w:val="none"/>
        </w:rPr>
        <w:t xml:space="preserve">元</w:t>
      </w:r>
      <w:r>
        <w:rPr>
          <w:rFonts w:hint="eastAsia" w:ascii="宋体" w:hAnsi="宋体" w:cs="宋体"/>
          <w:color w:val="auto"/>
          <w:szCs w:val="21"/>
          <w:highlight w:val="none"/>
        </w:rPr>
      </w:r>
      <w:r/>
    </w:p>
    <w:p>
      <w:pPr>
        <w:ind w:firstLine="388"/>
        <w:jc w:val="left"/>
        <w:spacing w:line="360" w:lineRule="auto"/>
        <w:widowControl/>
        <w:rPr>
          <w:rFonts w:hint="eastAsia" w:ascii="宋体" w:hAnsi="宋体" w:cs="宋体"/>
          <w:color w:val="auto"/>
          <w:szCs w:val="21"/>
          <w:highlight w:val="none"/>
        </w:rPr>
      </w:pPr>
      <w:r>
        <w:rPr>
          <w:rFonts w:hint="eastAsia" w:ascii="宋体" w:hAnsi="宋体" w:cs="宋体"/>
          <w:color w:val="auto"/>
          <w:spacing w:val="-8"/>
          <w:szCs w:val="21"/>
          <w:highlight w:val="none"/>
          <w:lang w:val="zh-CN"/>
        </w:rPr>
        <w:t xml:space="preserve">5</w:t>
      </w:r>
      <w:r>
        <w:rPr>
          <w:rFonts w:hint="eastAsia" w:ascii="宋体" w:hAnsi="宋体" w:cs="宋体"/>
          <w:color w:val="auto"/>
          <w:spacing w:val="-8"/>
          <w:szCs w:val="21"/>
          <w:highlight w:val="none"/>
        </w:rPr>
        <w:t xml:space="preserve">.</w:t>
      </w:r>
      <w:r>
        <w:rPr>
          <w:rFonts w:hint="eastAsia" w:ascii="宋体" w:hAnsi="宋体" w:cs="宋体"/>
          <w:color w:val="auto"/>
          <w:szCs w:val="21"/>
          <w:highlight w:val="none"/>
        </w:rPr>
        <w:t xml:space="preserve">本项目设定最高限价：</w:t>
      </w:r>
      <w:r>
        <w:rPr>
          <w:rFonts w:hint="eastAsia" w:ascii="宋体" w:hAnsi="宋体" w:cs="宋体"/>
          <w:color w:val="auto"/>
          <w:highlight w:val="none"/>
        </w:rPr>
        <w:t xml:space="preserve">1794415.63</w:t>
      </w:r>
      <w:r>
        <w:rPr>
          <w:rFonts w:hint="eastAsia" w:ascii="宋体" w:hAnsi="宋体" w:cs="宋体"/>
          <w:color w:val="auto"/>
          <w:szCs w:val="21"/>
          <w:highlight w:val="none"/>
        </w:rPr>
        <w:t xml:space="preserve">元，响应报价超过最高限价的为无效报价，按照无效响应处理。</w:t>
      </w:r>
      <w:r/>
    </w:p>
    <w:p>
      <w:pPr>
        <w:pStyle w:val="1023"/>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w:t>
      </w:r>
      <w:r>
        <w:rPr>
          <w:rFonts w:hint="eastAsia" w:ascii="宋体" w:hAnsi="宋体" w:cs="宋体"/>
          <w:color w:val="auto"/>
          <w:szCs w:val="21"/>
          <w:highlight w:val="none"/>
        </w:rPr>
        <w:t xml:space="preserve">合同工期要求：</w:t>
      </w:r>
      <w:r>
        <w:rPr>
          <w:rFonts w:hint="eastAsia" w:ascii="宋体" w:hAnsi="宋体" w:cs="宋体"/>
          <w:color w:val="auto"/>
          <w:szCs w:val="21"/>
          <w:highlight w:val="none"/>
        </w:rPr>
        <w:t xml:space="preserve">90</w:t>
      </w:r>
      <w:r>
        <w:rPr>
          <w:rFonts w:hint="eastAsia" w:ascii="宋体" w:hAnsi="宋体" w:cs="宋体"/>
          <w:color w:val="auto"/>
          <w:szCs w:val="21"/>
          <w:highlight w:val="none"/>
        </w:rPr>
        <w:t xml:space="preserve">日历天</w:t>
      </w:r>
      <w:r>
        <w:rPr>
          <w:rFonts w:hint="eastAsia" w:ascii="宋体" w:hAnsi="宋体" w:cs="宋体"/>
          <w:color w:val="auto"/>
          <w:szCs w:val="21"/>
          <w:highlight w:val="none"/>
        </w:rPr>
        <w:t xml:space="preserve">（具体开工日期以接到开工令为准）。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ascii="宋体" w:hAnsi="宋体" w:cs="宋体"/>
          <w:color w:val="auto"/>
          <w:szCs w:val="21"/>
          <w:highlight w:val="none"/>
        </w:rPr>
        <w:t xml:space="preserve">．</w:t>
      </w:r>
      <w:r>
        <w:rPr>
          <w:rFonts w:hint="eastAsia" w:ascii="宋体" w:hAnsi="宋体" w:cs="宋体"/>
          <w:color w:val="auto"/>
          <w:szCs w:val="21"/>
          <w:highlight w:val="none"/>
        </w:rPr>
        <w:t xml:space="preserve">工作内容：汪氏小苑局部修缮工程工程量清单和施工图范围内的所有施工内容。</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二、其他磋商须知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报价应按照采购人提供的工程量清单的格式，不得改变工程量清单，不可竞争费用不得让利。供应商首轮报价应有详细的报价组成，其中暂列金额、税金为不可竞争费，应按采购人提供的工程量清单及相关费用、费率报价。安全生产措施费用不得低于《江苏省建设工程费用参考》中的相关费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2、最终以总价方式报价，首轮报价中的不可竞争费仍适用于最终报价，成交价即合同价为最终报价。首轮报价明细仍为合同价的组成部分，总价汇总表在签订合同前根据成交结果修正。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Calibri"/>
          <w:color w:val="auto"/>
          <w:szCs w:val="21"/>
          <w:highlight w:val="none"/>
        </w:rPr>
        <w:t xml:space="preserve">本工程结算价需经有关部门审定确认，合同价中的安全生产措施费用工程结算时按照我市安全生产管理相关规定执行；合同价中的暂列金额（税金前）在工程款支付时、结算审定结果中扣除。</w:t>
      </w:r>
      <w:r/>
    </w:p>
    <w:p>
      <w:pPr>
        <w:pStyle w:val="957"/>
        <w:ind w:firstLine="420"/>
        <w:spacing w:line="360" w:lineRule="auto"/>
        <w:rPr>
          <w:rFonts w:hint="eastAsia" w:hAnsi="宋体" w:cs="宋体"/>
          <w:color w:val="auto"/>
          <w:sz w:val="21"/>
          <w:szCs w:val="21"/>
          <w:highlight w:val="none"/>
        </w:rPr>
      </w:pPr>
      <w:r>
        <w:rPr>
          <w:rFonts w:hint="eastAsia" w:hAnsi="宋体" w:cs="Calibri"/>
          <w:color w:val="auto"/>
          <w:sz w:val="21"/>
          <w:szCs w:val="21"/>
          <w:highlight w:val="none"/>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Ansi="宋体"/>
          <w:color w:val="auto"/>
          <w:szCs w:val="21"/>
          <w:highlight w:val="none"/>
        </w:rPr>
        <w:t xml:space="preserve">。</w:t>
      </w:r>
      <w:r/>
    </w:p>
    <w:p>
      <w:pPr>
        <w:pStyle w:val="957"/>
        <w:ind w:firstLine="422"/>
        <w:spacing w:line="360" w:lineRule="auto"/>
        <w:rPr>
          <w:rFonts w:hint="eastAsia" w:hAnsi="宋体" w:cs="宋体"/>
          <w:i/>
          <w:iCs/>
          <w:color w:val="auto"/>
          <w:sz w:val="21"/>
          <w:szCs w:val="21"/>
          <w:highlight w:val="none"/>
          <w:u w:val="single"/>
          <w:lang w:bidi="en-US"/>
        </w:rPr>
      </w:pPr>
      <w:r>
        <w:rPr>
          <w:rFonts w:hint="eastAsia" w:hAnsi="宋体" w:cs="宋体"/>
          <w:i/>
          <w:color w:val="auto"/>
          <w:sz w:val="21"/>
          <w:szCs w:val="21"/>
          <w:highlight w:val="none"/>
          <w:u w:val="single"/>
        </w:rPr>
        <w:t xml:space="preserve">5、</w:t>
      </w:r>
      <w:r>
        <w:rPr>
          <w:rFonts w:hint="eastAsia" w:hAnsi="宋体" w:cs="宋体"/>
          <w:i/>
          <w:iCs/>
          <w:color w:val="auto"/>
          <w:sz w:val="21"/>
          <w:szCs w:val="21"/>
          <w:highlight w:val="none"/>
          <w:u w:val="single"/>
          <w:lang w:bidi="en-US"/>
        </w:rPr>
        <w:t xml:space="preserve">本项目采用固定单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须提供承诺，格式自拟）。</w:t>
      </w:r>
      <w:r/>
    </w:p>
    <w:p>
      <w:pPr>
        <w:pStyle w:val="957"/>
        <w:ind w:firstLine="422"/>
        <w:spacing w:line="360" w:lineRule="auto"/>
        <w:rPr>
          <w:rFonts w:hint="eastAsia" w:hAnsi="宋体" w:cs="宋体"/>
          <w:i/>
          <w:color w:val="auto"/>
          <w:sz w:val="21"/>
          <w:szCs w:val="21"/>
          <w:highlight w:val="none"/>
          <w:u w:val="single"/>
        </w:rPr>
      </w:pPr>
      <w:r>
        <w:rPr>
          <w:rFonts w:hint="eastAsia" w:hAnsi="宋体" w:cs="宋体"/>
          <w:i/>
          <w:color w:val="auto"/>
          <w:sz w:val="21"/>
          <w:szCs w:val="21"/>
          <w:highlight w:val="none"/>
          <w:u w:val="single"/>
        </w:rPr>
        <w:t xml:space="preserve">6、</w:t>
      </w:r>
      <w:r>
        <w:rPr>
          <w:rFonts w:hint="eastAsia" w:hAnsi="宋体" w:cs="宋体"/>
          <w:i/>
          <w:iCs/>
          <w:color w:val="auto"/>
          <w:sz w:val="21"/>
          <w:szCs w:val="21"/>
          <w:highlight w:val="none"/>
          <w:u w:val="single"/>
          <w:lang w:bidi="en-US"/>
        </w:rPr>
        <w:t xml:space="preserve">施工质量要求：合格，项目免费质保期：不少于两年。按工程质量保修书执行</w:t>
      </w:r>
      <w:r>
        <w:rPr>
          <w:rFonts w:hint="eastAsia" w:hAnsi="宋体" w:cs="宋体"/>
          <w:b/>
          <w:bCs/>
          <w:i/>
          <w:iCs/>
          <w:color w:val="auto"/>
          <w:sz w:val="21"/>
          <w:szCs w:val="21"/>
          <w:highlight w:val="none"/>
          <w:u w:val="single"/>
          <w:lang w:bidi="en-US"/>
        </w:rPr>
        <w:t xml:space="preserve">（须提供承诺，格式自拟）</w:t>
      </w:r>
      <w:r>
        <w:rPr>
          <w:rFonts w:hint="eastAsia" w:hAnsi="宋体" w:cs="宋体"/>
          <w:b/>
          <w:bCs/>
          <w:i/>
          <w:color w:val="auto"/>
          <w:sz w:val="21"/>
          <w:szCs w:val="21"/>
          <w:highlight w:val="none"/>
          <w:u w:val="single"/>
        </w:rPr>
        <w:t xml:space="preserve">。</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7、成交供应商必须服从现场管理，对工序和材料及时报验，原材料及配件必须符合国家标准，经复试合格后方可使用。 </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8、施工过程中产生的垃圾及时清运，费用由成交供应商承担；建设工程不能影响整体美观，不能影响其他设施、设备的使用及功能，不能影响采购人正常工作开展。</w:t>
      </w:r>
      <w:r/>
    </w:p>
    <w:p>
      <w:pPr>
        <w:pStyle w:val="957"/>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9、施工过程中，供应商需采取措施保护现场及周边相关财物、物品、设施等，因供应商的不规范操作、误操作等原因造成相关设施的损坏、设备的停用等后果均由供应商承担，由供应商原样修复并自行承担相关费用。</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10、磋商报价编制要求 </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10.1所有磋商报价以人民币表示，供应商报价单位为元，保留小数点后两位。</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10.2供应商在磋商截止时间前修改磋商函中的磋商总报价，应同时修改“工程量清单”中的相应报价。</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(1)本工程磋商文件、磋商文件(包括工程量清单)的澄清、补充和修改文件；</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(3)建设工程设计文件及相关资料；与建设项目相关的标准、规定等技术资料；</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(4)其他的相关资料。包括不限于：工程量清单报价中的项目单价与其数量相乘的总和，应与投标报价汇总表总价及磋商响应函中的总价相符，不符时以单价数量的总和为准。</w:t>
      </w:r>
      <w:r/>
    </w:p>
    <w:p>
      <w:pPr>
        <w:pStyle w:val="957"/>
        <w:ind w:firstLine="420"/>
        <w:spacing w:line="360" w:lineRule="auto"/>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10.4报价中单价、合价均采用人民</w:t>
      </w:r>
      <w:r>
        <w:rPr>
          <w:rFonts w:hint="eastAsia" w:hAnsi="宋体" w:cs="宋体"/>
          <w:color w:val="auto"/>
          <w:sz w:val="21"/>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hint="eastAsia" w:ascii="宋体" w:hAnsi="宋体" w:cs="宋体"/>
          <w:i/>
          <w:iCs/>
          <w:color w:val="auto"/>
          <w:szCs w:val="21"/>
          <w:highlight w:val="none"/>
          <w:u w:val="single"/>
          <w:lang w:bidi="ar"/>
        </w:rPr>
      </w:pPr>
      <w:r>
        <w:rPr>
          <w:rFonts w:hint="eastAsia" w:ascii="宋体" w:hAnsi="宋体" w:cs="宋体"/>
          <w:i/>
          <w:iCs/>
          <w:color w:val="auto"/>
          <w:szCs w:val="21"/>
          <w:highlight w:val="none"/>
          <w:u w:val="single"/>
          <w:lang w:bidi="ar"/>
        </w:rPr>
        <w:t xml:space="preserve">10.6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hint="eastAsia" w:ascii="宋体" w:hAnsi="宋体" w:cs="宋体"/>
          <w:i/>
          <w:iCs/>
          <w:color w:val="auto"/>
          <w:szCs w:val="21"/>
          <w:highlight w:val="none"/>
          <w:u w:val="single"/>
          <w:lang w:bidi="ar"/>
        </w:rPr>
      </w:pPr>
      <w:r>
        <w:rPr>
          <w:rFonts w:hint="eastAsia" w:ascii="宋体" w:hAnsi="宋体" w:cs="宋体"/>
          <w:i/>
          <w:iCs/>
          <w:color w:val="auto"/>
          <w:szCs w:val="21"/>
          <w:highlight w:val="none"/>
          <w:u w:val="single"/>
          <w:lang w:bidi="ar"/>
        </w:rPr>
        <w:t xml:space="preserve">10.7</w:t>
      </w:r>
      <w:r>
        <w:rPr>
          <w:rFonts w:hint="eastAsia" w:ascii="宋体" w:hAnsi="宋体" w:cs="宋体"/>
          <w:i/>
          <w:color w:val="auto"/>
          <w:szCs w:val="21"/>
          <w:highlight w:val="none"/>
          <w:u w:val="single"/>
          <w:lang w:bidi="ar"/>
        </w:rPr>
        <w:t xml:space="preserve">磋商报价汇总表”中的磋商总价由分部分项工程费、措施项目费、其他项目费、税金组成，并且“磋商报价汇总表”中的磋商总价应当与构成已标价工程量清单的分部分项工程费、措施项目费、其他项目费、税金的合计金额一致。</w:t>
      </w:r>
      <w:r/>
    </w:p>
    <w:p>
      <w:pPr>
        <w:ind w:firstLine="420"/>
        <w:jc w:val="left"/>
        <w:spacing w:line="380" w:lineRule="exact"/>
        <w:widowControl/>
        <w:rPr>
          <w:rFonts w:hint="eastAsia" w:ascii="宋体" w:hAnsi="宋体" w:cs="宋体"/>
          <w:i/>
          <w:color w:val="auto"/>
          <w:szCs w:val="21"/>
          <w:highlight w:val="none"/>
          <w:u w:val="single"/>
          <w:lang w:bidi="ar"/>
        </w:rPr>
      </w:pPr>
      <w:r>
        <w:rPr>
          <w:rFonts w:hint="eastAsia" w:ascii="宋体" w:hAnsi="宋体" w:cs="宋体"/>
          <w:i/>
          <w:iCs/>
          <w:color w:val="auto"/>
          <w:szCs w:val="21"/>
          <w:highlight w:val="none"/>
          <w:u w:val="single"/>
          <w:lang w:bidi="en-US"/>
        </w:rPr>
        <w:t xml:space="preserve">10.8</w:t>
      </w:r>
      <w:r>
        <w:rPr>
          <w:rFonts w:hint="eastAsia" w:ascii="宋体" w:hAnsi="宋体" w:cs="宋体"/>
          <w:i/>
          <w:color w:val="auto"/>
          <w:szCs w:val="21"/>
          <w:highlight w:val="none"/>
          <w:u w:val="single"/>
          <w:lang w:bidi="ar"/>
        </w:rPr>
        <w:t xml:space="preserve">供应商应将下列不可竞争费用按照规定的标准计取，不得让利或降低标准计取：（1）省级以上财政、税收、物价等部门批准的税金；（2）其他按照法律、法规规定的不可竞争费用；（3）材料暂估价格（详见附件）（4）专业工程暂估价（详见附件）；（5）暂列金额（详见附件）。</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10.9</w:t>
      </w:r>
      <w:r>
        <w:rPr>
          <w:rFonts w:hint="eastAsia" w:ascii="宋体" w:hAnsi="宋体" w:cs="宋体"/>
          <w:i/>
          <w:color w:val="auto"/>
          <w:szCs w:val="21"/>
          <w:highlight w:val="none"/>
          <w:u w:val="single"/>
          <w:lang w:bidi="ar"/>
        </w:rPr>
        <w:t xml:space="preserve">工程量清单报价中的项目单价与其数量相乘的总和，应与报价总价及磋商函中的磋商总价相符，不符时以单价与数量乘积的总和为准。</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10.10</w:t>
      </w:r>
      <w:r>
        <w:rPr>
          <w:rFonts w:hint="eastAsia" w:ascii="宋体" w:hAnsi="宋体" w:cs="宋体"/>
          <w:i/>
          <w:color w:val="auto"/>
          <w:szCs w:val="21"/>
          <w:highlight w:val="none"/>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规费、管理费、利润远低于计国家及省计价规范标准时，应提供详细的分析资料。</w:t>
      </w:r>
      <w:r/>
    </w:p>
    <w:p>
      <w:pPr>
        <w:numPr>
          <w:ilvl w:val="0"/>
          <w:numId w:val="6"/>
        </w:numPr>
        <w:ind w:firstLine="420"/>
        <w:jc w:val="left"/>
        <w:spacing w:line="360" w:lineRule="auto"/>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供应商在报价时应按《建设工程工程量清单计价标准》（GB/T50500-2024）和磋商文件规定的格式，提供完整齐全的文件。</w:t>
      </w:r>
      <w:r/>
    </w:p>
    <w:p>
      <w:pPr>
        <w:numPr>
          <w:ilvl w:val="0"/>
          <w:numId w:val="6"/>
        </w:num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磋商分项报价表即按照附件提供的工程量清单的格式进行填报，分别填报综合单价和合价，要求填报完整，漏报项视为价格已分摊到其他清单项中。</w:t>
      </w:r>
      <w:r/>
    </w:p>
    <w:p>
      <w:pPr>
        <w:ind w:firstLine="376"/>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pacing w:val="-11"/>
          <w:szCs w:val="21"/>
          <w:highlight w:val="none"/>
          <w:lang w:bidi="ar"/>
        </w:rPr>
        <w:t xml:space="preserve">13、单</w:t>
      </w:r>
      <w:r>
        <w:rPr>
          <w:rFonts w:hint="eastAsia" w:ascii="宋体" w:hAnsi="宋体" w:cs="宋体"/>
          <w:color w:val="auto"/>
          <w:szCs w:val="21"/>
          <w:highlight w:val="none"/>
          <w:lang w:bidi="ar"/>
        </w:rPr>
        <w:t xml:space="preserve">价和总价均应包括但不限于所有设备、材料、税金、包装费、运杂费、保险费、卸料费、安装调试费、资料费、保修期内维修费用及招标代理服务费、前期咨询费等直至完全交付采购人使用的所有费用。</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14、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spacing w:line="360" w:lineRule="auto"/>
        <w:rPr>
          <w:rFonts w:hint="eastAsia" w:ascii="宋体" w:hAnsi="宋体" w:cs="宋体"/>
          <w:color w:val="auto"/>
          <w:szCs w:val="21"/>
          <w:highlight w:val="none"/>
        </w:rPr>
      </w:pPr>
      <w:r>
        <w:rPr>
          <w:rFonts w:hint="eastAsia" w:ascii="宋体" w:hAnsi="宋体" w:cs="宋体"/>
          <w:color w:val="auto"/>
          <w:spacing w:val="-4"/>
          <w:szCs w:val="21"/>
          <w:highlight w:val="none"/>
          <w:lang w:bidi="ar"/>
        </w:rPr>
        <w:t xml:space="preserve">15、供应商应综合考虑与本项目有关的所有因素与风险，若出现缺项、漏项等情况，由供应商自行承担</w:t>
      </w:r>
      <w:r>
        <w:rPr>
          <w:rFonts w:ascii="宋体" w:hAnsi="宋体" w:cs="宋体"/>
          <w:color w:val="auto"/>
          <w:szCs w:val="21"/>
          <w:highlight w:val="none"/>
        </w:rPr>
        <w:t xml:space="preserve">。</w:t>
      </w:r>
      <w:r/>
    </w:p>
    <w:p>
      <w:pPr>
        <w:pStyle w:val="940"/>
        <w:jc w:val="center"/>
        <w:spacing w:line="360" w:lineRule="auto"/>
        <w:rPr>
          <w:rFonts w:hint="eastAsia" w:ascii="宋体" w:hAnsi="宋体" w:cs="宋体"/>
          <w:color w:val="auto"/>
          <w:highlight w:val="none"/>
        </w:rPr>
      </w:pPr>
      <w:r>
        <w:rPr>
          <w:rFonts w:hint="eastAsia" w:ascii="宋体" w:hAnsi="宋体" w:cs="宋体"/>
          <w:color w:val="auto"/>
          <w:sz w:val="36"/>
          <w:highlight w:val="none"/>
        </w:rPr>
        <w:br w:type="page" w:clear="all"/>
      </w:r>
      <w:bookmarkStart w:id="38" w:name="_Toc23572"/>
      <w:r>
        <w:rPr>
          <w:rFonts w:hint="eastAsia" w:ascii="宋体" w:hAnsi="宋体" w:cs="宋体"/>
          <w:color w:val="auto"/>
          <w:highlight w:val="none"/>
        </w:rPr>
        <w:t xml:space="preserve">第五章 评审方法及评审标准</w:t>
      </w:r>
      <w:bookmarkEnd w:id="1"/>
      <w:r/>
      <w:bookmarkEnd w:id="38"/>
      <w:r/>
      <w:r/>
    </w:p>
    <w:p>
      <w:pPr>
        <w:pStyle w:val="976"/>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76"/>
        <w:ind w:firstLine="422"/>
        <w:keepLines w:val="0"/>
        <w:keepNext w:val="0"/>
        <w:pageBreakBefore w:val="0"/>
        <w:spacing w:before="0" w:after="0"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二、落实政府采购政策及政府采购不诚信记录扣分评审 </w:t>
      </w:r>
      <w:r/>
    </w:p>
    <w:p>
      <w:pPr>
        <w:pStyle w:val="976"/>
        <w:ind w:firstLine="420"/>
        <w:jc w:val="both"/>
        <w:keepLines w:val="0"/>
        <w:keepNext w:val="0"/>
        <w:pageBreakBefore w:val="0"/>
        <w:spacing w:before="0" w:after="0"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 </w:t>
      </w:r>
      <w:r/>
    </w:p>
    <w:p>
      <w:pPr>
        <w:pStyle w:val="976"/>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976"/>
        <w:ind w:firstLine="422"/>
        <w:keepLines w:val="0"/>
        <w:keepNext w:val="0"/>
        <w:pageBreakBefore w:val="0"/>
        <w:spacing w:before="0" w:after="0"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三、评审标</w:t>
      </w:r>
      <w:r>
        <w:rPr>
          <w:rFonts w:hint="eastAsia" w:ascii="宋体" w:hAnsi="宋体" w:cs="宋体"/>
          <w:b/>
          <w:color w:val="auto"/>
          <w:sz w:val="21"/>
          <w:szCs w:val="21"/>
          <w:highlight w:val="none"/>
        </w:rPr>
        <w:t xml:space="preserve">准</w:t>
      </w:r>
      <w:r/>
    </w:p>
    <w:tbl>
      <w:tblPr>
        <w:tblStyle w:val="727"/>
        <w:tblW w:w="48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6318"/>
        <w:gridCol w:w="666"/>
      </w:tblGrid>
      <w:tr>
        <w:trPr>
          <w:jc w:val="center"/>
          <w:trHeight w:val="567"/>
        </w:trPr>
        <w:tc>
          <w:tcPr>
            <w:tcW w:w="663" w:type="pct"/>
            <w:vAlign w:val="center"/>
            <w:textDirection w:val="lrTb"/>
            <w:noWrap/>
          </w:tcPr>
          <w:p>
            <w:pPr>
              <w:jc w:val="center"/>
              <w:widowControl/>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评分因素</w:t>
            </w:r>
            <w:r/>
          </w:p>
        </w:tc>
        <w:tc>
          <w:tcPr>
            <w:tcW w:w="3923" w:type="pct"/>
            <w:vAlign w:val="center"/>
            <w:textDirection w:val="lrTb"/>
            <w:noWrap/>
          </w:tcPr>
          <w:p>
            <w:pPr>
              <w:jc w:val="center"/>
              <w:widowControl/>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评审标准</w:t>
            </w:r>
            <w:r/>
          </w:p>
        </w:tc>
        <w:tc>
          <w:tcPr>
            <w:tcW w:w="413" w:type="pct"/>
            <w:vAlign w:val="center"/>
            <w:textDirection w:val="lrTb"/>
            <w:noWrap/>
          </w:tcPr>
          <w:p>
            <w:pPr>
              <w:jc w:val="center"/>
              <w:widowControl/>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分值</w:t>
            </w:r>
            <w:r/>
          </w:p>
        </w:tc>
      </w:tr>
      <w:tr>
        <w:trPr>
          <w:jc w:val="center"/>
          <w:trHeight w:val="567"/>
        </w:trPr>
        <w:tc>
          <w:tcPr>
            <w:tcW w:w="66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投标报价</w:t>
            </w:r>
            <w:r/>
          </w:p>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（30分）</w:t>
            </w:r>
            <w:r/>
          </w:p>
        </w:tc>
        <w:tc>
          <w:tcPr>
            <w:tcW w:w="3923" w:type="pct"/>
            <w:vAlign w:val="center"/>
            <w:textDirection w:val="lrTb"/>
            <w:noWrap/>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以满足磋商文件要求且最终报价最低的为评标基准价，其价格分为满分。</w:t>
            </w:r>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其他供应商的价格分统一按照下列公式计算（小数点保留两位）：</w:t>
            </w:r>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报价得分=(评标基准价／最终报价)×30。</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30</w:t>
            </w:r>
            <w:r/>
          </w:p>
        </w:tc>
      </w:tr>
      <w:tr>
        <w:trPr>
          <w:jc w:val="center"/>
          <w:trHeight w:val="567"/>
        </w:trPr>
        <w:tc>
          <w:tcPr>
            <w:tcW w:w="663" w:type="pct"/>
            <w:vAlign w:val="center"/>
            <w:vMerge w:val="restart"/>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施工组织方案</w:t>
            </w:r>
            <w:r/>
          </w:p>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rPr>
                <w:rFonts w:hint="eastAsia" w:asciiTheme="minorEastAsia" w:hAnsiTheme="minorEastAsia" w:eastAsiaTheme="minorEastAsia" w:cstheme="minorEastAsia"/>
                <w:bCs/>
                <w:color w:val="auto"/>
                <w:sz w:val="21"/>
                <w:szCs w:val="21"/>
                <w:highlight w:val="none"/>
                <w:lang w:val="en-US" w:eastAsia="zh-CN"/>
              </w:rPr>
              <w:t xml:space="preserve">9</w:t>
            </w:r>
            <w:r>
              <w:rPr>
                <w:rFonts w:hint="eastAsia" w:asciiTheme="minorEastAsia" w:hAnsiTheme="minorEastAsia" w:eastAsiaTheme="minorEastAsia" w:cstheme="minorEastAsia"/>
                <w:bCs/>
                <w:color w:val="auto"/>
                <w:sz w:val="21"/>
                <w:szCs w:val="21"/>
                <w:highlight w:val="none"/>
              </w:rPr>
              <w:t xml:space="preserve">分）</w:t>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1施工组织总体方案</w:t>
            </w:r>
            <w:r/>
          </w:p>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响应文件提供的施工组织方案（包括但不限于施工前期准备、施工任务部署、施工现场布置、施工方法、技术措施等）进行综合评分：施工方案计划结合实际，可操作性强的得8分；施工方案计划结合实际，可操作性较强的得5分；施工方案计划结合实际，可操作性一般的得2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2关键施工技术、重点难点分析及解决方案</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供应商根据本项目特点并结合现场勘查提供的关键施工技术、重点难点分析及解决方案进行综合评分：方案科学合理，措施详细具体，针对性及时效性强的得8分，方案较为合理可行，措施较为详细，针对性及时效性较强的得5分，方案合理可行一般，措施针对性一般的得2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3文物保护专项规划</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评委根据响应文件提供的文物保护专项规划的针对性、合理性、可操作性进行综合评分：规划合理，具体详实、切合实际的得8分，规划较为合理，较为切合实际的得5分，规划合理性一般的得</w:t>
            </w:r>
            <w:r>
              <w:rPr>
                <w:rFonts w:hint="eastAsia" w:asciiTheme="minorEastAsia" w:hAnsiTheme="minorEastAsia" w:eastAsiaTheme="minorEastAsia" w:cstheme="minorEastAsia"/>
                <w:bCs/>
                <w:color w:val="auto"/>
                <w:sz w:val="21"/>
                <w:szCs w:val="21"/>
                <w:highlight w:val="none"/>
              </w:rPr>
              <w:t xml:space="preserve">2分</w:t>
            </w:r>
            <w:r>
              <w:rPr>
                <w:rFonts w:hint="eastAsia" w:asciiTheme="minorEastAsia" w:hAnsiTheme="minorEastAsia" w:eastAsiaTheme="minorEastAsia" w:cstheme="minorEastAsia"/>
                <w:bCs/>
                <w:color w:val="auto"/>
                <w:sz w:val="21"/>
                <w:szCs w:val="21"/>
                <w:highlight w:val="none"/>
              </w:rPr>
              <w:t xml:space="preserve">，无此项内容不得分。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4施工进度计划及保障措施</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供应商提供的施工进度计划及保障措施进行综合评分：计划科学合理，措施详细具体，针对性及时效性强的得8分，计划较为合理可行，措施较为详细，针对性及时效性较强的得5分，计划合理可行一般，措施针对性一般的得2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5施工质量保证措施</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评委根据供应商提供的施工质量保证措施进行综合评分：方案措施科学、合理、具有针对性的</w:t>
            </w:r>
            <w:r>
              <w:rPr>
                <w:rFonts w:hint="eastAsia" w:asciiTheme="minorEastAsia" w:hAnsiTheme="minorEastAsia" w:eastAsiaTheme="minorEastAsia" w:cstheme="minorEastAsia"/>
                <w:bCs/>
                <w:color w:val="auto"/>
                <w:sz w:val="21"/>
                <w:szCs w:val="21"/>
                <w:highlight w:val="none"/>
                <w:lang w:val="en-US" w:eastAsia="zh-CN"/>
              </w:rPr>
              <w:t xml:space="preserve">8</w:t>
            </w:r>
            <w:r>
              <w:rPr>
                <w:rFonts w:hint="eastAsia" w:asciiTheme="minorEastAsia" w:hAnsiTheme="minorEastAsia" w:eastAsiaTheme="minorEastAsia" w:cstheme="minorEastAsia"/>
                <w:bCs/>
                <w:color w:val="auto"/>
                <w:sz w:val="21"/>
                <w:szCs w:val="21"/>
                <w:highlight w:val="none"/>
              </w:rPr>
              <w:t xml:space="preserve">分，方案措施较为科学、合理的得</w:t>
            </w:r>
            <w:r>
              <w:rPr>
                <w:rFonts w:hint="eastAsia" w:asciiTheme="minorEastAsia" w:hAnsiTheme="minorEastAsia" w:eastAsiaTheme="minorEastAsia" w:cstheme="minorEastAsia"/>
                <w:bCs/>
                <w:color w:val="auto"/>
                <w:sz w:val="21"/>
                <w:szCs w:val="21"/>
                <w:highlight w:val="none"/>
                <w:lang w:val="en-US" w:eastAsia="zh-CN"/>
              </w:rPr>
              <w:t xml:space="preserve">5</w:t>
            </w:r>
            <w:r>
              <w:rPr>
                <w:rFonts w:hint="eastAsia" w:asciiTheme="minorEastAsia" w:hAnsiTheme="minorEastAsia" w:eastAsiaTheme="minorEastAsia" w:cstheme="minorEastAsia"/>
                <w:bCs/>
                <w:color w:val="auto"/>
                <w:sz w:val="21"/>
                <w:szCs w:val="21"/>
                <w:highlight w:val="none"/>
              </w:rPr>
              <w:t xml:space="preserve">分，方案措施科学、合理性一般的得2分，无此项内容不得分。</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val="en-US" w:eastAsia="zh-CN"/>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6安全生产保证措施、文明施工及环境保护措施</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供应商提供的安全生产保证措施、文明施工及环境保护措施等进行综合评分：方案措施科学、合理、具有针对性的得6分，方案措施较为科学、合理的得4分，方案措施科学、合理性一般的得2分，无此项内容不得分。</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7 售后服务承诺</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评委根据响应文件中提供的售后服务承诺进行综合评分：服务承诺详细、考虑周全、能及时响应采购人要求的，服务承诺全面、完善、具有针对性的得</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分，服务承诺较为全面、完善，可行性较强的得</w:t>
            </w:r>
            <w:r>
              <w:rPr>
                <w:rFonts w:hint="eastAsia" w:asciiTheme="minorEastAsia" w:hAnsiTheme="minorEastAsia" w:eastAsiaTheme="minorEastAsia" w:cstheme="minorEastAsia"/>
                <w:bCs/>
                <w:color w:val="auto"/>
                <w:sz w:val="21"/>
                <w:szCs w:val="21"/>
                <w:highlight w:val="none"/>
                <w:lang w:val="en-US" w:eastAsia="zh-CN"/>
              </w:rPr>
              <w:t xml:space="preserve">2</w:t>
            </w:r>
            <w:r>
              <w:rPr>
                <w:rFonts w:hint="eastAsia" w:asciiTheme="minorEastAsia" w:hAnsiTheme="minorEastAsia" w:eastAsiaTheme="minorEastAsia" w:cstheme="minorEastAsia"/>
                <w:bCs/>
                <w:color w:val="auto"/>
                <w:sz w:val="21"/>
                <w:szCs w:val="21"/>
                <w:highlight w:val="none"/>
              </w:rPr>
              <w:t xml:space="preserve">分，服务承诺全面性、可行性一般的得</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val="en-US" w:eastAsia="zh-CN"/>
              </w:rPr>
              <w:t xml:space="preserve">3</w:t>
            </w:r>
            <w:r/>
          </w:p>
        </w:tc>
      </w:tr>
      <w:tr>
        <w:trPr>
          <w:jc w:val="center"/>
          <w:trHeight w:val="567"/>
        </w:trPr>
        <w:tc>
          <w:tcPr>
            <w:tcW w:w="663" w:type="pct"/>
            <w:vAlign w:val="center"/>
            <w:textDirection w:val="lrTb"/>
            <w:noWrap/>
          </w:tcPr>
          <w:p>
            <w:pPr>
              <w:pStyle w:val="755"/>
              <w:ind w:left="0"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综合实力</w:t>
            </w: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val="en-US" w:eastAsia="zh-CN"/>
              </w:rPr>
              <w:t xml:space="preserve">0</w:t>
            </w:r>
            <w:r>
              <w:rPr>
                <w:rFonts w:hint="eastAsia" w:asciiTheme="minorEastAsia" w:hAnsiTheme="minorEastAsia" w:eastAsiaTheme="minorEastAsia" w:cstheme="minorEastAsia"/>
                <w:bCs/>
                <w:color w:val="auto"/>
                <w:sz w:val="21"/>
                <w:szCs w:val="21"/>
                <w:highlight w:val="none"/>
              </w:rPr>
              <w:t xml:space="preserve">分）</w:t>
            </w:r>
            <w:r/>
          </w:p>
        </w:tc>
        <w:tc>
          <w:tcPr>
            <w:tcW w:w="3923" w:type="pct"/>
            <w:vAlign w:val="center"/>
            <w:textDirection w:val="lrTb"/>
            <w:noWrap/>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供应商自2021年</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月</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日（含）以来（以竣工验收证明时间为准）承担过全国重点文保护单位修缮工程，每提供一个业绩合同的得2分，最多得10分。</w:t>
            </w:r>
            <w:r/>
          </w:p>
          <w:p>
            <w:pPr>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以上业绩证明材料需提供以下资料：</w:t>
            </w:r>
            <w:r>
              <w:rPr>
                <w:rFonts w:hint="eastAsia" w:asciiTheme="minorEastAsia" w:hAnsiTheme="minorEastAsia" w:eastAsiaTheme="minorEastAsia" w:cstheme="minorEastAsia"/>
                <w:b/>
                <w:bCs w:val="0"/>
                <w:color w:val="auto"/>
                <w:sz w:val="21"/>
                <w:szCs w:val="21"/>
                <w:highlight w:val="none"/>
                <w:lang w:val="en-US" w:eastAsia="zh-CN"/>
              </w:rPr>
              <w:t xml:space="preserve">①</w:t>
            </w:r>
            <w:r>
              <w:rPr>
                <w:rFonts w:hint="eastAsia" w:asciiTheme="minorEastAsia" w:hAnsiTheme="minorEastAsia" w:eastAsiaTheme="minorEastAsia" w:cstheme="minorEastAsia"/>
                <w:b/>
                <w:bCs w:val="0"/>
                <w:color w:val="auto"/>
                <w:sz w:val="21"/>
                <w:szCs w:val="21"/>
                <w:highlight w:val="none"/>
              </w:rPr>
              <w:t xml:space="preserve">依法承发包的交易结果（中标或成交）文件；</w:t>
            </w:r>
            <w:r>
              <w:rPr>
                <w:rFonts w:hint="eastAsia" w:asciiTheme="minorEastAsia" w:hAnsiTheme="minorEastAsia" w:eastAsiaTheme="minorEastAsia" w:cstheme="minorEastAsia"/>
                <w:b/>
                <w:bCs w:val="0"/>
                <w:color w:val="auto"/>
                <w:sz w:val="21"/>
                <w:szCs w:val="21"/>
                <w:highlight w:val="none"/>
                <w:lang w:val="en-US" w:eastAsia="zh-CN"/>
              </w:rPr>
              <w:t xml:space="preserve">②</w:t>
            </w:r>
            <w:r>
              <w:rPr>
                <w:rFonts w:hint="eastAsia" w:asciiTheme="minorEastAsia" w:hAnsiTheme="minorEastAsia" w:eastAsiaTheme="minorEastAsia" w:cstheme="minorEastAsia"/>
                <w:b/>
                <w:bCs w:val="0"/>
                <w:color w:val="auto"/>
                <w:sz w:val="21"/>
                <w:szCs w:val="21"/>
                <w:highlight w:val="none"/>
              </w:rPr>
              <w:t xml:space="preserve">合同；</w:t>
            </w:r>
            <w:r>
              <w:rPr>
                <w:rFonts w:hint="eastAsia" w:asciiTheme="minorEastAsia" w:hAnsiTheme="minorEastAsia" w:eastAsiaTheme="minorEastAsia" w:cstheme="minorEastAsia"/>
                <w:b/>
                <w:bCs w:val="0"/>
                <w:color w:val="auto"/>
                <w:sz w:val="21"/>
                <w:szCs w:val="21"/>
                <w:highlight w:val="none"/>
                <w:lang w:val="en-US" w:eastAsia="zh-CN"/>
              </w:rPr>
              <w:t xml:space="preserve">③</w:t>
            </w:r>
            <w:r>
              <w:rPr>
                <w:rFonts w:hint="eastAsia" w:asciiTheme="minorEastAsia" w:hAnsiTheme="minorEastAsia" w:eastAsiaTheme="minorEastAsia" w:cstheme="minorEastAsia"/>
                <w:b/>
                <w:bCs w:val="0"/>
                <w:color w:val="auto"/>
                <w:sz w:val="21"/>
                <w:szCs w:val="21"/>
                <w:highlight w:val="none"/>
              </w:rPr>
              <w:t xml:space="preserve">符合国家规定的竣工验收证明材料（须经建设单位、设计单位、监理单位和施工单位四方盖章齐全）；</w:t>
            </w:r>
            <w:r>
              <w:rPr>
                <w:rFonts w:hint="eastAsia" w:asciiTheme="minorEastAsia" w:hAnsiTheme="minorEastAsia" w:eastAsiaTheme="minorEastAsia" w:cstheme="minorEastAsia"/>
                <w:b/>
                <w:bCs w:val="0"/>
                <w:color w:val="auto"/>
                <w:sz w:val="21"/>
                <w:szCs w:val="21"/>
                <w:highlight w:val="none"/>
                <w:lang w:val="en-US" w:eastAsia="zh-CN"/>
              </w:rPr>
              <w:t xml:space="preserve">④</w:t>
            </w:r>
            <w:r>
              <w:rPr>
                <w:rFonts w:hint="eastAsia" w:asciiTheme="minorEastAsia" w:hAnsiTheme="minorEastAsia" w:eastAsiaTheme="minorEastAsia" w:cstheme="minorEastAsia"/>
                <w:b/>
                <w:bCs w:val="0"/>
                <w:color w:val="auto"/>
                <w:sz w:val="21"/>
                <w:szCs w:val="21"/>
                <w:highlight w:val="none"/>
              </w:rPr>
              <w:t xml:space="preserve">文物主管部门出具《文物保护工程竣工验收结果通知书》；</w:t>
            </w:r>
            <w:r>
              <w:rPr>
                <w:rFonts w:hint="eastAsia" w:asciiTheme="minorEastAsia" w:hAnsiTheme="minorEastAsia" w:eastAsiaTheme="minorEastAsia" w:cstheme="minorEastAsia"/>
                <w:b/>
                <w:bCs w:val="0"/>
                <w:color w:val="auto"/>
                <w:sz w:val="21"/>
                <w:szCs w:val="21"/>
                <w:highlight w:val="none"/>
                <w:lang w:val="en-US" w:eastAsia="zh-CN"/>
              </w:rPr>
              <w:t xml:space="preserve">⑤</w:t>
            </w:r>
            <w:r>
              <w:rPr>
                <w:rFonts w:hint="eastAsia" w:asciiTheme="minorEastAsia" w:hAnsiTheme="minorEastAsia" w:eastAsiaTheme="minorEastAsia" w:cstheme="minorEastAsia"/>
                <w:b/>
                <w:bCs w:val="0"/>
                <w:color w:val="auto"/>
                <w:sz w:val="21"/>
                <w:szCs w:val="21"/>
                <w:highlight w:val="none"/>
              </w:rPr>
              <w:t xml:space="preserve">国家文物局官方网站全国重点文物保护单位查询截图；</w:t>
            </w:r>
            <w:r>
              <w:rPr>
                <w:rFonts w:hint="eastAsia" w:asciiTheme="minorEastAsia" w:hAnsiTheme="minorEastAsia" w:eastAsiaTheme="minorEastAsia" w:cstheme="minorEastAsia"/>
                <w:b/>
                <w:bCs w:val="0"/>
                <w:color w:val="auto"/>
                <w:sz w:val="21"/>
                <w:szCs w:val="21"/>
                <w:highlight w:val="none"/>
                <w:lang w:val="en-US" w:eastAsia="zh-CN"/>
              </w:rPr>
              <w:t xml:space="preserve">⑥</w:t>
            </w:r>
            <w:r>
              <w:rPr>
                <w:rFonts w:hint="eastAsia" w:asciiTheme="minorEastAsia" w:hAnsiTheme="minorEastAsia" w:eastAsiaTheme="minorEastAsia" w:cstheme="minorEastAsia"/>
                <w:b/>
                <w:bCs w:val="0"/>
                <w:color w:val="auto"/>
                <w:sz w:val="21"/>
                <w:szCs w:val="21"/>
                <w:highlight w:val="none"/>
              </w:rPr>
              <w:t xml:space="preserve">其他证明资料（如有）</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（以上内容</w:t>
            </w:r>
            <w:r>
              <w:rPr>
                <w:rFonts w:hint="eastAsia" w:asciiTheme="minorEastAsia" w:hAnsiTheme="minorEastAsia" w:eastAsiaTheme="minorEastAsia" w:cstheme="minorEastAsia"/>
                <w:b/>
                <w:bCs w:val="0"/>
                <w:color w:val="auto"/>
                <w:sz w:val="21"/>
                <w:szCs w:val="21"/>
                <w:highlight w:val="none"/>
                <w:lang w:val="en-US" w:eastAsia="zh-CN"/>
              </w:rPr>
              <w:t xml:space="preserve">扫描件</w:t>
            </w:r>
            <w:r>
              <w:rPr>
                <w:rFonts w:hint="eastAsia" w:asciiTheme="minorEastAsia" w:hAnsiTheme="minorEastAsia" w:eastAsiaTheme="minorEastAsia" w:cstheme="minorEastAsia"/>
                <w:b/>
                <w:bCs w:val="0"/>
                <w:color w:val="auto"/>
                <w:sz w:val="21"/>
                <w:szCs w:val="21"/>
                <w:highlight w:val="none"/>
              </w:rPr>
              <w:t xml:space="preserve">加盖公章，缺一项不得分，合同应能反映相关信息。）</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10</w:t>
            </w:r>
            <w:r/>
          </w:p>
        </w:tc>
      </w:tr>
      <w:tr>
        <w:trPr>
          <w:jc w:val="center"/>
          <w:trHeight w:val="567"/>
        </w:trPr>
        <w:tc>
          <w:tcPr>
            <w:tcW w:w="66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项目人员配置</w:t>
            </w:r>
            <w:r/>
          </w:p>
          <w:p>
            <w:pPr>
              <w:pStyle w:val="755"/>
              <w:ind w:left="0"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（8分）</w:t>
            </w:r>
            <w:r/>
          </w:p>
        </w:tc>
        <w:tc>
          <w:tcPr>
            <w:tcW w:w="3923" w:type="pct"/>
            <w:vAlign w:val="center"/>
            <w:textDirection w:val="lrTb"/>
            <w:noWrap/>
          </w:tcPr>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项目组成员（不含项目负责人）中具有文物保护责任工程师证书的每提供一人得2分，最高得6分</w:t>
            </w:r>
            <w:r>
              <w:rPr>
                <w:rFonts w:hint="eastAsia" w:asciiTheme="minorEastAsia" w:hAnsiTheme="minorEastAsia" w:eastAsiaTheme="minorEastAsia" w:cstheme="minorEastAsia"/>
                <w:b/>
                <w:bCs/>
                <w:color w:val="auto"/>
                <w:sz w:val="21"/>
                <w:szCs w:val="21"/>
                <w:highlight w:val="none"/>
              </w:rPr>
              <w:t xml:space="preserve">（提供有效的证书扫描件加盖公章）。</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项目组成员（不含项目负责人）中有高级及以上工程师职称的</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每提供一份得1分；本项最高得2分</w:t>
            </w:r>
            <w:r>
              <w:rPr>
                <w:rFonts w:hint="eastAsia" w:asciiTheme="minorEastAsia" w:hAnsiTheme="minorEastAsia" w:eastAsiaTheme="minorEastAsia" w:cstheme="minorEastAsia"/>
                <w:b/>
                <w:bCs/>
                <w:color w:val="auto"/>
                <w:sz w:val="21"/>
                <w:szCs w:val="21"/>
                <w:highlight w:val="none"/>
              </w:rPr>
              <w:t xml:space="preserve">（提供有效的证书扫描件加盖公章）。</w:t>
            </w:r>
            <w:r/>
          </w:p>
          <w:p>
            <w:pPr>
              <w:pStyle w:val="977"/>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注：提供近一年内任意一个月社保缴费证明</w:t>
            </w:r>
            <w:r>
              <w:rPr>
                <w:rFonts w:hint="eastAsia" w:asciiTheme="minorEastAsia" w:hAnsiTheme="minorEastAsia" w:eastAsiaTheme="minorEastAsia" w:cstheme="minorEastAsia"/>
                <w:b/>
                <w:bCs/>
                <w:color w:val="auto"/>
                <w:sz w:val="21"/>
                <w:szCs w:val="21"/>
                <w:highlight w:val="none"/>
                <w:lang w:eastAsia="zh-CN"/>
              </w:rPr>
              <w:t xml:space="preserve">。</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企业资信</w:t>
            </w:r>
            <w:r/>
          </w:p>
          <w:p>
            <w:pPr>
              <w:pStyle w:val="755"/>
              <w:ind w:left="0"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（3分）</w:t>
            </w:r>
            <w:r/>
          </w:p>
        </w:tc>
        <w:tc>
          <w:tcPr>
            <w:tcW w:w="3923" w:type="pct"/>
            <w:vAlign w:val="center"/>
            <w:textDirection w:val="lrTb"/>
            <w:noWrap/>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供应商有有效的质量管理体系认证证书、环境管理体系认证证书、健康管理体系认证证书的，提供一个得1分，最高得3分</w:t>
            </w:r>
            <w:r>
              <w:rPr>
                <w:rFonts w:hint="eastAsia" w:asciiTheme="minorEastAsia" w:hAnsiTheme="minorEastAsia" w:eastAsiaTheme="minorEastAsia" w:cstheme="minorEastAsia"/>
                <w:b/>
                <w:bCs w:val="0"/>
                <w:color w:val="auto"/>
                <w:sz w:val="21"/>
                <w:szCs w:val="21"/>
                <w:highlight w:val="none"/>
              </w:rPr>
              <w:t xml:space="preserve">（提供有效的证书及全国认证认可信息公共服务平台（http://cx.cnca.cn/CertECloud/index/index/page）的证书查询记录截图，证书状态须显示“有效”）。</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720"/>
        <w:spacing w:line="36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p>
    <w:p>
      <w:pPr>
        <w:pStyle w:val="940"/>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40"/>
        <w:jc w:val="center"/>
        <w:spacing w:line="360" w:lineRule="auto"/>
        <w:rPr>
          <w:rFonts w:hint="eastAsia" w:ascii="宋体" w:hAnsi="宋体" w:cs="宋体"/>
          <w:color w:val="auto"/>
          <w:sz w:val="52"/>
          <w:highlight w:val="none"/>
        </w:rPr>
      </w:pPr>
      <w:r/>
      <w:bookmarkStart w:id="39" w:name="_Toc28246"/>
      <w:r>
        <w:rPr>
          <w:rFonts w:hint="eastAsia" w:ascii="宋体" w:hAnsi="宋体" w:cs="宋体"/>
          <w:color w:val="auto"/>
          <w:highlight w:val="none"/>
        </w:rPr>
        <w:t xml:space="preserve">第六章 竞争性磋商响应文件格式</w:t>
      </w:r>
      <w:bookmarkEnd w:id="2"/>
      <w:r/>
      <w:bookmarkEnd w:id="39"/>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27"/>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1824"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(税务、银行或社会保险基金管理部门出具的近一年内任意一个月缴纳职工社会保障资金的缴款凭证或缴款证明)</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供应商近一年内任意一份依法纳税的缴款凭证</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gridSpan w:val="3"/>
            <w:tcW w:w="811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i/>
                <w:iCs/>
                <w:color w:val="auto"/>
                <w:szCs w:val="21"/>
                <w:highlight w:val="none"/>
                <w:u w:val="single"/>
              </w:rPr>
              <w:t xml:space="preserve">根据江苏省财政厅苏财购【2020】52号文规定，本项目专门面向中小企业采购。投标人投标时须提供《中小企业声明函》，《中小企业声明函》不符合要求或未提供的，投标文件无效。</w:t>
            </w:r>
            <w:r>
              <w:rPr>
                <w:rFonts w:hint="eastAsia" w:ascii="宋体" w:hAnsi="宋体" w:cs="宋体"/>
                <w:color w:val="auto"/>
                <w:szCs w:val="21"/>
                <w:highlight w:val="none"/>
              </w:rPr>
              <w:t xml:space="preserve">本项目采购标的按中小企业划分标准所属行业区分为：建筑业（中小微企业划型标准网http://www.ccgp.gov.cn/zcfg/mof/201310/t20131029_3587674.htm）。</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gridSpan w:val="3"/>
            <w:tcW w:w="811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738"/>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558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（1）供应商应具备文物保护工程施工一级资质（证书原件扫描上传）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（2）供应商具备安全生产条件，并取得有效期内的安全生产许可证（证书原件扫描上传）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（3）拟派项目经理为本公司正式员工，正常缴纳社会保险，具备文物保护工程责任工程师(（须提供证书原件及供应商为其缴纳的近一年内任意一个月社保证明,原件扫描上传））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（4）项目经理无在建工程承诺书（原件扫描上传）</w:t>
            </w:r>
            <w:r/>
          </w:p>
        </w:tc>
        <w:tc>
          <w:tcPr>
            <w:tcW w:w="1824" w:type="dxa"/>
            <w:vAlign w:val="center"/>
            <w:textDirection w:val="lrTb"/>
            <w:noWrap w:val="false"/>
          </w:tcPr>
          <w:p>
            <w:pPr>
              <w:pStyle w:val="765"/>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00"/>
        </w:trPr>
        <w:tc>
          <w:tcPr>
            <w:gridSpan w:val="3"/>
            <w:tcW w:w="811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70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8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98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致：江苏唯诚建设咨询有限公司</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根据贵方的号磋商文件，正式授权下述签字人_________ (姓名和职务)代表我方______________（供应商的名称），全权处理本次项目磋商采购的有关事宜。</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987"/>
        <w:ind w:firstLine="0"/>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被授权人姓名：_______________________     </w:t>
      </w:r>
      <w:r/>
    </w:p>
    <w:p>
      <w:pPr>
        <w:pStyle w:val="987"/>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87"/>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987"/>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87"/>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cs="宋体"/>
          <w:bCs/>
          <w:color w:val="auto"/>
          <w:highlight w:val="none"/>
          <w:lang w:eastAsia="zh-CN"/>
        </w:rPr>
      </w:pPr>
      <w:r>
        <w:rPr>
          <w:rFonts w:hint="eastAsia" w:ascii="宋体" w:hAnsi="宋体" w:cs="宋体"/>
          <w:bCs/>
          <w:color w:val="auto"/>
          <w:highlight w:val="none"/>
        </w:rPr>
        <w:t xml:space="preserve">被授权人身份证复印件</w:t>
      </w:r>
      <w:r>
        <w:rPr>
          <w:rFonts w:hint="eastAsia" w:ascii="宋体" w:hAnsi="宋体" w:cs="宋体"/>
          <w:bCs/>
          <w:color w:val="auto"/>
          <w:highlight w:val="none"/>
          <w:lang w:eastAsia="zh-CN"/>
        </w:rPr>
        <w:t xml:space="preserve">：</w:t>
      </w:r>
      <w:r/>
    </w:p>
    <w:p>
      <w:pPr>
        <w:pStyle w:val="728"/>
        <w:rPr>
          <w:rFonts w:hint="eastAsia" w:ascii="宋体" w:hAnsi="宋体" w:cs="宋体"/>
          <w:bCs/>
          <w:color w:val="auto"/>
          <w:highlight w:val="none"/>
          <w:lang w:eastAsia="zh-CN"/>
        </w:rPr>
      </w:pPr>
      <w:r>
        <w:rPr>
          <w:rFonts w:hint="eastAsia" w:ascii="宋体" w:hAnsi="宋体" w:cs="宋体"/>
          <w:bCs/>
          <w:color w:val="auto"/>
          <w:highlight w:val="none"/>
          <w:lang w:eastAsia="zh-CN"/>
        </w:rPr>
      </w:r>
      <w:r/>
    </w:p>
    <w:p>
      <w:pPr>
        <w:rPr>
          <w:rFonts w:hint="eastAsia" w:ascii="宋体" w:hAnsi="宋体" w:cs="宋体"/>
          <w:bCs/>
          <w:color w:val="auto"/>
          <w:highlight w:val="none"/>
          <w:lang w:eastAsia="zh-CN"/>
        </w:rPr>
      </w:pPr>
      <w:r>
        <w:rPr>
          <w:rFonts w:hint="eastAsia" w:ascii="宋体" w:hAnsi="宋体" w:cs="宋体"/>
          <w:bCs/>
          <w:color w:val="auto"/>
          <w:highlight w:val="none"/>
          <w:lang w:eastAsia="zh-CN"/>
        </w:rPr>
      </w:r>
      <w:r/>
    </w:p>
    <w:p>
      <w:pPr>
        <w:pStyle w:val="728"/>
        <w:rPr>
          <w:rFonts w:hint="eastAsia" w:ascii="宋体" w:hAnsi="宋体" w:cs="宋体"/>
          <w:bCs/>
          <w:color w:val="auto"/>
          <w:highlight w:val="none"/>
          <w:lang w:eastAsia="zh-CN"/>
        </w:rPr>
      </w:pPr>
      <w:r>
        <w:rPr>
          <w:rFonts w:hint="eastAsia" w:ascii="宋体" w:hAnsi="宋体" w:cs="宋体"/>
          <w:bCs/>
          <w:color w:val="auto"/>
          <w:highlight w:val="none"/>
          <w:lang w:eastAsia="zh-CN"/>
        </w:rPr>
      </w:r>
      <w:r/>
    </w:p>
    <w:p>
      <w:pPr>
        <w:ind w:firstLine="420"/>
        <w:spacing w:line="36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法定代表人身份证复印件：</w:t>
      </w:r>
      <w:r/>
    </w:p>
    <w:p>
      <w:pPr>
        <w:rPr>
          <w:rFonts w:hint="eastAsia" w:ascii="宋体" w:hAnsi="宋体" w:cs="宋体"/>
          <w:bCs/>
          <w:color w:val="auto"/>
          <w:highlight w:val="none"/>
        </w:rPr>
      </w:pPr>
      <w:r>
        <w:rPr>
          <w:rFonts w:hint="eastAsia" w:ascii="宋体" w:hAnsi="宋体" w:cs="宋体"/>
          <w:bCs/>
          <w:color w:val="auto"/>
          <w:highlight w:val="none"/>
        </w:rPr>
        <w:br w:type="page" w:clear="all"/>
      </w:r>
      <w:r/>
    </w:p>
    <w:p>
      <w:pPr>
        <w:jc w:val="center"/>
        <w:rPr>
          <w:rFonts w:hint="eastAsia" w:ascii="宋体" w:hAnsi="宋体"/>
          <w:b/>
          <w:bCs/>
          <w:color w:val="auto"/>
          <w:szCs w:val="32"/>
          <w:highlight w:val="none"/>
        </w:rPr>
      </w:pPr>
      <w:r>
        <w:rPr>
          <w:rFonts w:hint="eastAsia" w:ascii="宋体" w:hAnsi="宋体"/>
          <w:b/>
          <w:bCs/>
          <w:color w:val="auto"/>
          <w:szCs w:val="32"/>
          <w:highlight w:val="none"/>
        </w:rPr>
        <w:t xml:space="preserve">拟投入项目经理无在建工程说明</w:t>
      </w:r>
      <w:r/>
    </w:p>
    <w:p>
      <w:pPr>
        <w:spacing w:line="540" w:lineRule="exact"/>
        <w:rPr>
          <w:rFonts w:hint="eastAsia"/>
          <w:color w:val="auto"/>
          <w:highlight w:val="none"/>
        </w:rPr>
      </w:pPr>
      <w:r>
        <w:rPr>
          <w:rFonts w:hint="eastAsia"/>
          <w:color w:val="auto"/>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（采购人名称）</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我供应商自愿参加贵单位（公司）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的投标，并接受对我供应商的资信审查，我供应商承诺：根据贵单位提出的资信证明文件条件标准和要求，本供应商没有因骗取成交或者严重违约以及发生重大工程质量、安全生产事故等问题，被有关部门暂停投标资格并在暂停期内。拟任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无任何在建工程项目。本供应商递交的资信证明文件中的内容没有隐瞒、虚假、伪造等弄虚作假行为。发现该行为，贵单位可以拒绝我供应商投标，如已成交，可取消我供应商成交资格，并接受对我供应商弄虚作假、违反公平和诚实信用原则做出的任何处理。</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单位：（公章）                                                                     </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项目经理签名：</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Cs w:val="21"/>
          <w:highlight w:val="none"/>
        </w:rPr>
        <w:t xml:space="preserve">                                                             年      月      日</w:t>
      </w:r>
      <w:r/>
    </w:p>
    <w:p>
      <w:pPr>
        <w:numPr>
          <w:ilvl w:val="0"/>
          <w:numId w:val="7"/>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4502"/>
        <w:gridCol w:w="1897"/>
        <w:gridCol w:w="1275"/>
      </w:tblGrid>
      <w:tr>
        <w:trPr>
          <w:trHeight w:val="882"/>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624"/>
        </w:trPr>
        <w:tc>
          <w:tcPr>
            <w:tcW w:w="62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306"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24"/>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4"/>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4"/>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4"/>
        </w:trPr>
        <w:tc>
          <w:tcPr>
            <w:tcW w:w="6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7"/>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4353"/>
        <w:gridCol w:w="1885"/>
        <w:gridCol w:w="1428"/>
      </w:tblGrid>
      <w:tr>
        <w:trPr>
          <w:trHeight w:val="882"/>
        </w:trPr>
        <w:tc>
          <w:tcPr>
            <w:tcW w:w="63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8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31"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6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4489" w:type="dxa"/>
            <w:vAlign w:val="center"/>
            <w:textDirection w:val="lrTb"/>
            <w:noWrap w:val="false"/>
          </w:tcPr>
          <w:p>
            <w:pPr>
              <w:spacing w:line="360" w:lineRule="auto"/>
              <w:rPr>
                <w:rFonts w:hint="eastAsia"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931"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465"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4489"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3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4489"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3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szCs w:val="21"/>
          <w:highlight w:val="none"/>
          <w:u w:val="single"/>
        </w:rPr>
        <w:t xml:space="preserve">建筑业</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pStyle w:val="941"/>
        <w:jc w:val="center"/>
        <w:spacing w:before="300" w:after="300" w:line="360" w:lineRule="auto"/>
        <w:widowControl/>
        <w:rPr>
          <w:rFonts w:hint="eastAsia" w:ascii="宋体" w:hAnsi="宋体" w:cs="宋体"/>
          <w:color w:val="auto"/>
          <w:sz w:val="21"/>
          <w:szCs w:val="21"/>
          <w:highlight w:val="none"/>
        </w:rPr>
      </w:pPr>
      <w:r/>
      <w:bookmarkStart w:id="40" w:name="_Toc109304977"/>
      <w:r/>
      <w:bookmarkStart w:id="41" w:name="_Toc5105"/>
      <w:r>
        <w:rPr>
          <w:rFonts w:hint="eastAsia" w:ascii="宋体" w:hAnsi="宋体" w:cs="宋体"/>
          <w:bCs w:val="0"/>
          <w:color w:val="auto"/>
          <w:sz w:val="21"/>
          <w:szCs w:val="21"/>
          <w:highlight w:val="none"/>
        </w:rPr>
        <w:t xml:space="preserve">中小微企业划型标准</w:t>
      </w:r>
      <w:bookmarkEnd w:id="40"/>
      <w:r>
        <w:rPr>
          <w:rFonts w:hint="eastAsia" w:ascii="宋体" w:hAnsi="宋体" w:cs="宋体"/>
          <w:bCs w:val="0"/>
          <w:color w:val="auto"/>
          <w:sz w:val="21"/>
          <w:szCs w:val="21"/>
          <w:highlight w:val="none"/>
        </w:rPr>
        <w:t xml:space="preserve"> </w:t>
      </w:r>
      <w:bookmarkEnd w:id="41"/>
      <w:r/>
      <w:r/>
    </w:p>
    <w:p>
      <w:pPr>
        <w:pStyle w:val="971"/>
        <w:ind w:firstLine="420"/>
        <w:keepLines w:val="0"/>
        <w:keepNext w:val="0"/>
        <w:pageBreakBefore w:val="0"/>
        <w:spacing w:before="300"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中小微企业划型标准如下：</w:t>
      </w:r>
      <w:r/>
    </w:p>
    <w:tbl>
      <w:tblPr>
        <w:tblStyle w:val="727"/>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35"/>
        <w:gridCol w:w="1604"/>
        <w:gridCol w:w="477"/>
        <w:gridCol w:w="1924"/>
        <w:gridCol w:w="1572"/>
        <w:gridCol w:w="1384"/>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1"/>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1"/>
              <w:jc w:val="center"/>
              <w:spacing w:line="360" w:lineRule="auto"/>
              <w:widowControl/>
              <w:rPr>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X＜10</w:t>
            </w:r>
            <w:r/>
          </w:p>
        </w:tc>
      </w:tr>
    </w:tbl>
    <w:p>
      <w:pPr>
        <w:pStyle w:val="971"/>
        <w:ind w:firstLine="420"/>
        <w:spacing w:before="300" w:after="452" w:line="360" w:lineRule="auto"/>
        <w:widowControl/>
        <w:rPr>
          <w:rStyle w:val="974"/>
          <w:rFonts w:hint="eastAsia" w:ascii="宋体" w:hAnsi="宋体" w:cs="宋体"/>
          <w:color w:val="auto"/>
          <w:sz w:val="21"/>
          <w:szCs w:val="21"/>
          <w:highlight w:val="none"/>
        </w:rPr>
      </w:pPr>
      <w:r>
        <w:rPr>
          <w:rStyle w:val="974"/>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color w:val="auto"/>
          <w:highlight w:val="none"/>
        </w:rPr>
      </w:pPr>
      <w:r>
        <w:rPr>
          <w:rStyle w:val="974"/>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Fonts w:hint="eastAsia" w:ascii="宋体" w:hAnsi="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w:t>
      </w:r>
      <w:r>
        <w:rPr>
          <w:rFonts w:hint="eastAsia" w:ascii="宋体" w:hAnsi="宋体"/>
          <w:b/>
          <w:bCs/>
          <w:color w:val="auto"/>
          <w:sz w:val="32"/>
          <w:szCs w:val="32"/>
          <w:highlight w:val="none"/>
        </w:rPr>
        <w:t xml:space="preserve">磋商响应报价表</w:t>
      </w:r>
      <w:r/>
    </w:p>
    <w:p>
      <w:pPr>
        <w:spacing w:line="360" w:lineRule="auto"/>
        <w:rPr>
          <w:rFonts w:hint="eastAsia" w:ascii="宋体" w:hAnsi="宋体"/>
          <w:color w:val="auto"/>
          <w:highlight w:val="none"/>
        </w:rPr>
      </w:pPr>
      <w:r>
        <w:rPr>
          <w:rFonts w:hint="eastAsia" w:ascii="宋体" w:hAnsi="宋体"/>
          <w:color w:val="auto"/>
          <w:highlight w:val="none"/>
        </w:rPr>
        <w:t xml:space="preserve">    </w:t>
      </w:r>
      <w:r/>
    </w:p>
    <w:p>
      <w:pPr>
        <w:pStyle w:val="96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hint="eastAsia" w:ascii="宋体" w:hAnsi="宋体"/>
          <w:color w:val="auto"/>
          <w:highlight w:val="none"/>
        </w:rPr>
      </w:pPr>
      <w:r>
        <w:rPr>
          <w:rFonts w:hint="eastAsia" w:ascii="宋体" w:hAnsi="宋体"/>
          <w:color w:val="auto"/>
          <w:highlight w:val="none"/>
        </w:rPr>
        <w:t xml:space="preserve">项目编号：     </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本次为首次报价                                                      </w:t>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1"/>
        <w:gridCol w:w="6772"/>
      </w:tblGrid>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第一轮报价</w:t>
            </w:r>
            <w:r/>
          </w:p>
        </w:tc>
      </w:tr>
      <w:tr>
        <w:trPr>
          <w:cantSplit/>
          <w:trHeight w:val="1800"/>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w:t>
            </w:r>
            <w:r/>
          </w:p>
        </w:tc>
        <w:tc>
          <w:tcPr>
            <w:tcW w:w="4082"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大写：</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            (人民币)元</w:t>
            </w:r>
            <w:r/>
          </w:p>
        </w:tc>
      </w:tr>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t xml:space="preserve">                                               </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pStyle w:val="765"/>
        <w:jc w:val="center"/>
        <w:rPr>
          <w:rFonts w:hint="eastAsia"/>
          <w:color w:val="auto"/>
          <w:highlight w:val="none"/>
        </w:rPr>
      </w:pPr>
      <w:r>
        <w:rPr>
          <w:rFonts w:ascii="宋体" w:hAnsi="宋体"/>
          <w:bCs w:val="0"/>
          <w:color w:val="auto"/>
          <w:highlight w:val="none"/>
        </w:rPr>
        <w:br w:type="page" w:clear="all"/>
      </w:r>
      <w:r>
        <w:rPr>
          <w:rFonts w:hint="eastAsia" w:ascii="宋体" w:hAnsi="宋体"/>
          <w:bCs w:val="0"/>
          <w:color w:val="auto"/>
          <w:highlight w:val="none"/>
        </w:rPr>
        <w:t xml:space="preserve">分项报价表</w:t>
      </w:r>
      <w:r/>
    </w:p>
    <w:p>
      <w:pPr>
        <w:rPr>
          <w:rFonts w:hint="eastAsia"/>
          <w:color w:val="auto"/>
          <w:highlight w:val="none"/>
        </w:rPr>
      </w:pPr>
      <w:r>
        <w:rPr>
          <w:rFonts w:hint="eastAsia"/>
          <w:color w:val="auto"/>
          <w:highlight w:val="none"/>
        </w:rPr>
        <w:t xml:space="preserve">本次为首轮报价</w:t>
      </w:r>
      <w:r/>
    </w:p>
    <w:p>
      <w:pPr>
        <w:pStyle w:val="960"/>
        <w:spacing w:line="360" w:lineRule="auto"/>
        <w:rPr>
          <w:rFonts w:hint="eastAsia"/>
          <w:color w:val="auto"/>
          <w:sz w:val="21"/>
          <w:szCs w:val="22"/>
          <w:highlight w:val="none"/>
        </w:rPr>
      </w:pPr>
      <w:r>
        <w:rPr>
          <w:rFonts w:hint="eastAsia"/>
          <w:color w:val="auto"/>
          <w:sz w:val="21"/>
          <w:szCs w:val="22"/>
          <w:highlight w:val="none"/>
        </w:rPr>
        <w:t xml:space="preserve">项目名称： </w:t>
      </w:r>
      <w:r/>
    </w:p>
    <w:p>
      <w:pPr>
        <w:pStyle w:val="960"/>
        <w:spacing w:line="360" w:lineRule="auto"/>
        <w:rPr>
          <w:rFonts w:hint="eastAsia"/>
          <w:color w:val="auto"/>
          <w:sz w:val="21"/>
          <w:szCs w:val="22"/>
          <w:highlight w:val="none"/>
        </w:rPr>
      </w:pPr>
      <w:r>
        <w:rPr>
          <w:rFonts w:hint="eastAsia"/>
          <w:color w:val="auto"/>
          <w:sz w:val="21"/>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建设工程工程量清单计价标准》（GB/T50500-2024）和采购文件规定的格式。分项报价表按照附件提供的工程量清单的格式进行填报，分别填报单价和合价，要求填报完整，漏报项视为价格已分摊到其他清单项中。</w:t>
      </w:r>
      <w:r/>
    </w:p>
    <w:p>
      <w:pPr>
        <w:jc w:val="left"/>
        <w:spacing w:line="360" w:lineRule="auto"/>
        <w:rPr>
          <w:rFonts w:hint="eastAsia" w:ascii="宋体" w:hAnsi="宋体" w:cs="宋体"/>
          <w:color w:val="auto"/>
          <w:highlight w:val="none"/>
        </w:rPr>
      </w:pPr>
      <w:r>
        <w:rPr>
          <w:rFonts w:hint="eastAsia" w:ascii="宋体" w:hAnsi="宋体"/>
          <w:color w:val="auto"/>
          <w:szCs w:val="21"/>
          <w:highlight w:val="none"/>
        </w:rPr>
        <w:t xml:space="preserve">3、供应商成交后根据本单位的最终总报价和首轮明细报价，自行调整各明细单价（原则上除暂列金额外，其他各分项报价同比例下浮）直至合价和最终总报价（以元为单位，保留两位小数）相符，报采购人审核，审核通过后，后期根据审核后的综合单价结算。</w:t>
      </w:r>
      <w:r>
        <w:rPr>
          <w:rFonts w:hint="eastAsia" w:ascii="宋体" w:hAnsi="宋体" w:cs="宋体"/>
          <w:color w:val="auto"/>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41"/>
        <w:jc w:val="center"/>
        <w:spacing w:line="360" w:lineRule="auto"/>
        <w:rPr>
          <w:rFonts w:hint="eastAsia" w:ascii="宋体" w:hAnsi="宋体" w:cs="宋体"/>
          <w:bCs w:val="0"/>
          <w:color w:val="auto"/>
          <w:highlight w:val="none"/>
        </w:rPr>
      </w:pPr>
      <w:r/>
      <w:bookmarkStart w:id="42" w:name="_Toc22962"/>
      <w:r/>
      <w:bookmarkStart w:id="43" w:name="_Toc109304978"/>
      <w:r>
        <w:rPr>
          <w:rFonts w:hint="eastAsia" w:ascii="宋体" w:hAnsi="宋体" w:cs="宋体"/>
          <w:bCs w:val="0"/>
          <w:color w:val="auto"/>
          <w:highlight w:val="none"/>
        </w:rPr>
        <w:t xml:space="preserve">五、技术参数响应及偏离表</w:t>
      </w:r>
      <w:bookmarkEnd w:id="42"/>
      <w:r/>
      <w:bookmarkEnd w:id="43"/>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256"/>
        <w:gridCol w:w="2139"/>
        <w:gridCol w:w="1897"/>
        <w:gridCol w:w="1072"/>
      </w:tblGrid>
      <w:tr>
        <w:trPr>
          <w:cantSplit/>
          <w:trHeight w:val="694"/>
        </w:trPr>
        <w:tc>
          <w:tcPr>
            <w:tcW w:w="94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32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20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9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41"/>
        <w:jc w:val="center"/>
        <w:spacing w:line="360" w:lineRule="auto"/>
        <w:rPr>
          <w:rFonts w:hint="eastAsia" w:ascii="宋体" w:hAnsi="宋体" w:cs="宋体"/>
          <w:bCs w:val="0"/>
          <w:color w:val="auto"/>
          <w:highlight w:val="none"/>
        </w:rPr>
      </w:pPr>
      <w:r/>
      <w:bookmarkStart w:id="44" w:name="_Hlt26955054"/>
      <w:r/>
      <w:bookmarkEnd w:id="44"/>
      <w:r/>
      <w:bookmarkStart w:id="45" w:name="_Toc109304979"/>
      <w:r>
        <w:rPr>
          <w:rFonts w:hint="eastAsia" w:ascii="宋体" w:hAnsi="宋体" w:cs="宋体"/>
          <w:bCs w:val="0"/>
          <w:color w:val="auto"/>
          <w:highlight w:val="none"/>
        </w:rPr>
        <w:br w:type="page" w:clear="all"/>
      </w:r>
      <w:bookmarkStart w:id="46" w:name="_Toc16807"/>
      <w:r>
        <w:rPr>
          <w:rFonts w:hint="eastAsia" w:ascii="宋体" w:hAnsi="宋体" w:cs="宋体"/>
          <w:bCs w:val="0"/>
          <w:color w:val="auto"/>
          <w:highlight w:val="none"/>
        </w:rPr>
        <w:t xml:space="preserve">六、商务条款响应及偏离表</w:t>
      </w:r>
      <w:bookmarkEnd w:id="45"/>
      <w:r/>
      <w:bookmarkEnd w:id="46"/>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92"/>
        <w:gridCol w:w="2432"/>
        <w:gridCol w:w="1785"/>
        <w:gridCol w:w="2484"/>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b/>
          <w:color w:val="auto"/>
          <w:highlight w:val="none"/>
        </w:rPr>
      </w:pPr>
      <w:r/>
      <w:bookmarkStart w:id="47" w:name="_Hlt26671343"/>
      <w:r/>
      <w:bookmarkEnd w:id="47"/>
      <w:r/>
      <w:bookmarkStart w:id="48" w:name="_Hlt26782999"/>
      <w:r/>
      <w:bookmarkEnd w:id="48"/>
      <w:r/>
      <w:bookmarkStart w:id="49" w:name="_Hlt26671372"/>
      <w:r/>
      <w:bookmarkEnd w:id="49"/>
      <w:r/>
      <w:bookmarkStart w:id="50" w:name="_Hlt26955064"/>
      <w:r/>
      <w:bookmarkEnd w:id="50"/>
      <w:r/>
      <w:bookmarkStart w:id="51" w:name="_Hlt26609391"/>
      <w:r/>
      <w:bookmarkEnd w:id="51"/>
      <w:r/>
      <w:bookmarkStart w:id="52" w:name="_Hlt26955056"/>
      <w:r/>
      <w:bookmarkEnd w:id="52"/>
      <w:r/>
      <w:bookmarkStart w:id="53" w:name="_Hlt26580838"/>
      <w:r/>
      <w:bookmarkEnd w:id="53"/>
      <w:r/>
      <w:bookmarkStart w:id="54" w:name="_Hlt24879081"/>
      <w:r/>
      <w:bookmarkEnd w:id="54"/>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2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3"/>
      </w:tblGrid>
      <w:tr>
        <w:trPr/>
        <w:tc>
          <w:tcPr>
            <w:tcW w:w="8519" w:type="dxa"/>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1650"/>
        </w:trPr>
        <w:tc>
          <w:tcPr>
            <w:tcW w:w="8519"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left"/>
        <w:spacing w:line="360" w:lineRule="auto"/>
        <w:widowControl/>
        <w:rPr>
          <w:rFonts w:hint="eastAsia" w:ascii="宋体" w:hAnsi="宋体" w:cs="宋体"/>
          <w:color w:val="auto"/>
          <w:highlight w:val="none"/>
        </w:rPr>
      </w:pPr>
      <w:r>
        <w:rPr>
          <w:rFonts w:hint="eastAsia" w:ascii="宋体" w:hAnsi="宋体" w:cs="宋体"/>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黑体">
    <w:panose1 w:val="02010609060101010101"/>
  </w:font>
  <w:font w:name="方正黑体_GBK">
    <w:panose1 w:val="020B0503020202020204"/>
  </w:font>
  <w:font w:name="Cambria">
    <w:panose1 w:val="02040503050406030204"/>
  </w:font>
  <w:font w:name="Courier New">
    <w:panose1 w:val="02070309020205020404"/>
  </w:font>
  <w:font w:name="Consolas">
    <w:panose1 w:val="020B06090202040302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instrText xml:space="preserve">PAGE   \* MERGEFORMAT</w:instrText>
    </w:r>
    <w:r>
      <w:fldChar w:fldCharType="separate"/>
    </w:r>
    <w:r>
      <w:rPr>
        <w:lang w:val="zh-CN"/>
      </w:rPr>
      <w:t xml:space="preserve">22</w:t>
    </w:r>
    <w:r>
      <w:fldChar w:fldCharType="end"/>
    </w:r>
    <w:r/>
  </w:p>
  <w:p>
    <w:pPr>
      <w:pStyle w:val="9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pPr>
    <w:r>
      <w:fldChar w:fldCharType="begin"/>
    </w:r>
    <w:r>
      <w:instrText xml:space="preserve">PAGE   \* MERGEFORMAT</w:instrText>
    </w:r>
    <w:r>
      <w:fldChar w:fldCharType="separate"/>
    </w:r>
    <w:r>
      <w:rPr>
        <w:lang w:val="zh-CN"/>
      </w:rPr>
      <w:t xml:space="preserve">46</w: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szCs w:val="22"/>
      </w:rPr>
    </w:pPr>
    <w:r>
      <w:rPr>
        <w:rFonts w:hint="eastAsia"/>
      </w:rPr>
      <w:t xml:space="preserve">江苏唯诚建设咨询有限公司</w:t>
    </w:r>
    <w:r>
      <w:rPr>
        <w:rFonts w:hint="eastAsia"/>
        <w:lang w:val="en-US" w:eastAsia="zh-CN"/>
      </w:rPr>
      <w:t xml:space="preserve">                                        </w:t>
    </w:r>
    <w:r>
      <w:rPr>
        <w:rFonts w:hint="eastAsia"/>
      </w:rPr>
      <w:t xml:space="preserve">JSZC-321002-JSWC-C2026-0034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1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8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6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3"/>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6">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5">
    <w:name w:val="TOC Heading"/>
    <w:uiPriority w:val="39"/>
    <w:unhideWhenUsed/>
  </w:style>
  <w:style w:type="paragraph" w:styleId="716" w:default="1">
    <w:name w:val="Normal"/>
    <w:next w:val="728"/>
    <w:uiPriority w:val="0"/>
    <w:qFormat/>
    <w:pPr>
      <w:jc w:val="both"/>
      <w:widowControl w:val="off"/>
    </w:pPr>
    <w:rPr>
      <w:rFonts w:ascii="Times New Roman" w:hAnsi="Times New Roman" w:eastAsia="宋体" w:cs="Times New Roman"/>
      <w:sz w:val="21"/>
      <w:szCs w:val="22"/>
      <w:lang w:val="en-US" w:eastAsia="zh-CN" w:bidi="ar-SA"/>
    </w:rPr>
  </w:style>
  <w:style w:type="paragraph" w:styleId="717">
    <w:name w:val="Heading 1"/>
    <w:basedOn w:val="716"/>
    <w:next w:val="716"/>
    <w:link w:val="811"/>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812"/>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813"/>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814"/>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15"/>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816"/>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link w:val="817"/>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link w:val="818"/>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link w:val="819"/>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index 4"/>
    <w:basedOn w:val="716"/>
    <w:next w:val="716"/>
    <w:uiPriority w:val="0"/>
    <w:qFormat/>
    <w:pPr>
      <w:ind w:left="600"/>
    </w:pPr>
    <w:rPr>
      <w:rFonts w:ascii="Calibri" w:hAnsi="Calibri"/>
      <w:szCs w:val="24"/>
    </w:rPr>
  </w:style>
  <w:style w:type="paragraph" w:styleId="729">
    <w:name w:val="toc 7"/>
    <w:basedOn w:val="716"/>
    <w:next w:val="716"/>
    <w:uiPriority w:val="39"/>
    <w:unhideWhenUsed/>
    <w:qFormat/>
    <w:pPr>
      <w:ind w:left="1701"/>
      <w:spacing w:after="57"/>
    </w:pPr>
  </w:style>
  <w:style w:type="paragraph" w:styleId="730">
    <w:name w:val="Normal Indent"/>
    <w:basedOn w:val="716"/>
    <w:uiPriority w:val="0"/>
    <w:qFormat/>
    <w:pPr>
      <w:ind w:firstLine="482"/>
      <w:spacing w:line="360" w:lineRule="atLeast"/>
    </w:pPr>
    <w:rPr>
      <w:sz w:val="24"/>
      <w:szCs w:val="20"/>
    </w:rPr>
  </w:style>
  <w:style w:type="paragraph" w:styleId="731">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16"/>
    <w:uiPriority w:val="99"/>
    <w:semiHidden/>
    <w:unhideWhenUsed/>
    <w:qFormat/>
    <w:pPr>
      <w:jc w:val="left"/>
    </w:pPr>
  </w:style>
  <w:style w:type="paragraph" w:styleId="733">
    <w:name w:val="Body Text"/>
    <w:basedOn w:val="716"/>
    <w:uiPriority w:val="0"/>
    <w:qFormat/>
    <w:rPr>
      <w:rFonts w:ascii="楷体_GB2312" w:hAnsi="Arial" w:eastAsia="楷体_GB2312"/>
      <w:sz w:val="28"/>
      <w:szCs w:val="28"/>
    </w:rPr>
  </w:style>
  <w:style w:type="paragraph" w:styleId="734">
    <w:name w:val="Body Text Indent"/>
    <w:basedOn w:val="716"/>
    <w:uiPriority w:val="99"/>
    <w:semiHidden/>
    <w:unhideWhenUsed/>
    <w:qFormat/>
    <w:pPr>
      <w:ind w:left="420"/>
      <w:spacing w:after="120"/>
    </w:pPr>
  </w:style>
  <w:style w:type="paragraph" w:styleId="735">
    <w:name w:val="List Bullet 2"/>
    <w:basedOn w:val="716"/>
    <w:uiPriority w:val="99"/>
    <w:semiHidden/>
    <w:unhideWhenUsed/>
    <w:qFormat/>
    <w:pPr>
      <w:numPr>
        <w:ilvl w:val="0"/>
        <w:numId w:val="1"/>
      </w:numPr>
    </w:pPr>
  </w:style>
  <w:style w:type="paragraph" w:styleId="736">
    <w:name w:val="toc 5"/>
    <w:basedOn w:val="716"/>
    <w:next w:val="716"/>
    <w:uiPriority w:val="39"/>
    <w:unhideWhenUsed/>
    <w:qFormat/>
    <w:pPr>
      <w:ind w:left="1134"/>
      <w:spacing w:after="57"/>
    </w:pPr>
  </w:style>
  <w:style w:type="paragraph" w:styleId="737">
    <w:name w:val="toc 3"/>
    <w:basedOn w:val="716"/>
    <w:next w:val="716"/>
    <w:uiPriority w:val="39"/>
    <w:unhideWhenUsed/>
    <w:qFormat/>
    <w:pPr>
      <w:ind w:left="567"/>
      <w:spacing w:after="57"/>
    </w:pPr>
  </w:style>
  <w:style w:type="paragraph" w:styleId="738">
    <w:name w:val="Plain Text"/>
    <w:basedOn w:val="716"/>
    <w:uiPriority w:val="0"/>
    <w:qFormat/>
    <w:rPr>
      <w:rFonts w:ascii="宋体" w:hAnsi="Courier New"/>
      <w:sz w:val="20"/>
      <w:szCs w:val="21"/>
    </w:rPr>
  </w:style>
  <w:style w:type="paragraph" w:styleId="739">
    <w:name w:val="toc 8"/>
    <w:basedOn w:val="716"/>
    <w:next w:val="716"/>
    <w:uiPriority w:val="39"/>
    <w:unhideWhenUsed/>
    <w:qFormat/>
    <w:pPr>
      <w:ind w:left="1984"/>
      <w:spacing w:after="57"/>
    </w:pPr>
  </w:style>
  <w:style w:type="paragraph" w:styleId="740">
    <w:name w:val="Body Text Indent 2"/>
    <w:basedOn w:val="716"/>
    <w:uiPriority w:val="99"/>
    <w:qFormat/>
    <w:pPr>
      <w:ind w:firstLine="562"/>
      <w:spacing w:line="480" w:lineRule="exact"/>
    </w:pPr>
    <w:rPr>
      <w:rFonts w:ascii="楷体_GB2312" w:eastAsia="楷体_GB2312"/>
      <w:b/>
      <w:bCs/>
      <w:sz w:val="28"/>
      <w:szCs w:val="24"/>
    </w:rPr>
  </w:style>
  <w:style w:type="paragraph" w:styleId="741">
    <w:name w:val="endnote text"/>
    <w:basedOn w:val="716"/>
    <w:link w:val="938"/>
    <w:uiPriority w:val="99"/>
    <w:semiHidden/>
    <w:unhideWhenUsed/>
    <w:qFormat/>
    <w:rPr>
      <w:sz w:val="20"/>
    </w:rPr>
  </w:style>
  <w:style w:type="paragraph" w:styleId="742">
    <w:name w:val="Balloon Text"/>
    <w:basedOn w:val="716"/>
    <w:link w:val="1007"/>
    <w:uiPriority w:val="99"/>
    <w:semiHidden/>
    <w:unhideWhenUsed/>
    <w:qFormat/>
    <w:rPr>
      <w:sz w:val="18"/>
      <w:szCs w:val="18"/>
    </w:rPr>
  </w:style>
  <w:style w:type="paragraph" w:styleId="743">
    <w:name w:val="Footer"/>
    <w:basedOn w:val="716"/>
    <w:link w:val="830"/>
    <w:uiPriority w:val="99"/>
    <w:unhideWhenUsed/>
    <w:qFormat/>
    <w:pPr>
      <w:tabs>
        <w:tab w:val="center" w:pos="7143" w:leader="none"/>
        <w:tab w:val="right" w:pos="14287" w:leader="none"/>
      </w:tabs>
    </w:pPr>
  </w:style>
  <w:style w:type="paragraph" w:styleId="744">
    <w:name w:val="Header"/>
    <w:basedOn w:val="716"/>
    <w:link w:val="828"/>
    <w:uiPriority w:val="99"/>
    <w:unhideWhenUsed/>
    <w:qFormat/>
    <w:pPr>
      <w:tabs>
        <w:tab w:val="center" w:pos="7143" w:leader="none"/>
        <w:tab w:val="right" w:pos="14287" w:leader="none"/>
      </w:tabs>
    </w:pPr>
  </w:style>
  <w:style w:type="paragraph" w:styleId="745">
    <w:name w:val="toc 1"/>
    <w:basedOn w:val="716"/>
    <w:next w:val="716"/>
    <w:uiPriority w:val="39"/>
    <w:unhideWhenUsed/>
    <w:qFormat/>
    <w:pPr>
      <w:spacing w:after="57"/>
    </w:pPr>
  </w:style>
  <w:style w:type="paragraph" w:styleId="746">
    <w:name w:val="toc 4"/>
    <w:basedOn w:val="716"/>
    <w:next w:val="716"/>
    <w:uiPriority w:val="39"/>
    <w:unhideWhenUsed/>
    <w:qFormat/>
    <w:pPr>
      <w:ind w:left="850"/>
      <w:spacing w:after="57"/>
    </w:pPr>
  </w:style>
  <w:style w:type="paragraph" w:styleId="747">
    <w:name w:val="Subtitle"/>
    <w:basedOn w:val="716"/>
    <w:next w:val="716"/>
    <w:link w:val="823"/>
    <w:uiPriority w:val="11"/>
    <w:qFormat/>
    <w:pPr>
      <w:spacing w:before="200" w:after="200"/>
    </w:pPr>
    <w:rPr>
      <w:sz w:val="24"/>
      <w:szCs w:val="24"/>
    </w:rPr>
  </w:style>
  <w:style w:type="paragraph" w:styleId="748">
    <w:name w:val="footnote text"/>
    <w:basedOn w:val="716"/>
    <w:link w:val="937"/>
    <w:uiPriority w:val="99"/>
    <w:semiHidden/>
    <w:unhideWhenUsed/>
    <w:qFormat/>
    <w:pPr>
      <w:spacing w:after="40"/>
    </w:pPr>
    <w:rPr>
      <w:sz w:val="18"/>
    </w:rPr>
  </w:style>
  <w:style w:type="paragraph" w:styleId="749">
    <w:name w:val="toc 6"/>
    <w:basedOn w:val="716"/>
    <w:next w:val="716"/>
    <w:uiPriority w:val="39"/>
    <w:unhideWhenUsed/>
    <w:qFormat/>
    <w:pPr>
      <w:ind w:left="1417"/>
      <w:spacing w:after="57"/>
    </w:pPr>
  </w:style>
  <w:style w:type="paragraph" w:styleId="750">
    <w:name w:val="table of figures"/>
    <w:basedOn w:val="716"/>
    <w:next w:val="716"/>
    <w:uiPriority w:val="99"/>
    <w:unhideWhenUsed/>
    <w:qFormat/>
  </w:style>
  <w:style w:type="paragraph" w:styleId="751">
    <w:name w:val="toc 2"/>
    <w:basedOn w:val="716"/>
    <w:next w:val="716"/>
    <w:uiPriority w:val="39"/>
    <w:unhideWhenUsed/>
    <w:qFormat/>
    <w:pPr>
      <w:ind w:left="283"/>
      <w:spacing w:after="57"/>
    </w:pPr>
  </w:style>
  <w:style w:type="paragraph" w:styleId="752">
    <w:name w:val="toc 9"/>
    <w:basedOn w:val="716"/>
    <w:next w:val="716"/>
    <w:uiPriority w:val="39"/>
    <w:unhideWhenUsed/>
    <w:qFormat/>
    <w:pPr>
      <w:ind w:left="2268"/>
      <w:spacing w:after="57"/>
    </w:pPr>
  </w:style>
  <w:style w:type="paragraph" w:styleId="753">
    <w:name w:val="Body Text 2"/>
    <w:basedOn w:val="716"/>
    <w:uiPriority w:val="0"/>
    <w:qFormat/>
    <w:pPr>
      <w:spacing w:after="120" w:line="480" w:lineRule="auto"/>
    </w:pPr>
  </w:style>
  <w:style w:type="paragraph" w:styleId="754">
    <w:name w:val="Title"/>
    <w:basedOn w:val="716"/>
    <w:next w:val="716"/>
    <w:link w:val="822"/>
    <w:uiPriority w:val="10"/>
    <w:qFormat/>
    <w:pPr>
      <w:contextualSpacing/>
      <w:spacing w:before="300" w:after="200"/>
    </w:pPr>
    <w:rPr>
      <w:sz w:val="48"/>
      <w:szCs w:val="48"/>
    </w:rPr>
  </w:style>
  <w:style w:type="paragraph" w:styleId="755">
    <w:name w:val="Body Text First Indent 2"/>
    <w:basedOn w:val="734"/>
    <w:next w:val="716"/>
    <w:uiPriority w:val="99"/>
    <w:semiHidden/>
    <w:unhideWhenUsed/>
    <w:qFormat/>
    <w:pPr>
      <w:ind w:firstLine="420"/>
    </w:p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26"/>
    <w:uiPriority w:val="22"/>
    <w:qFormat/>
    <w:rPr>
      <w:b/>
      <w:bCs/>
    </w:rPr>
  </w:style>
  <w:style w:type="character" w:styleId="758">
    <w:name w:val="endnote reference"/>
    <w:uiPriority w:val="99"/>
    <w:semiHidden/>
    <w:unhideWhenUsed/>
    <w:qFormat/>
    <w:rPr>
      <w:vertAlign w:val="superscript"/>
    </w:rPr>
  </w:style>
  <w:style w:type="character" w:styleId="759">
    <w:name w:val="FollowedHyperlink"/>
    <w:basedOn w:val="726"/>
    <w:uiPriority w:val="99"/>
    <w:semiHidden/>
    <w:unhideWhenUsed/>
    <w:qFormat/>
    <w:rPr>
      <w:color w:val="333333"/>
      <w:u w:val="none"/>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HTML Code"/>
    <w:basedOn w:val="726"/>
    <w:uiPriority w:val="99"/>
    <w:semiHidden/>
    <w:unhideWhenUsed/>
    <w:qFormat/>
    <w:rPr>
      <w:rFonts w:ascii="Consolas" w:hAnsi="Consolas" w:eastAsia="Consolas" w:cs="Consolas"/>
      <w:color w:val="e83e8c"/>
      <w:sz w:val="21"/>
      <w:szCs w:val="21"/>
    </w:rPr>
  </w:style>
  <w:style w:type="character" w:styleId="762">
    <w:name w:val="footnote reference"/>
    <w:uiPriority w:val="99"/>
    <w:unhideWhenUsed/>
    <w:qFormat/>
    <w:rPr>
      <w:vertAlign w:val="superscript"/>
    </w:rPr>
  </w:style>
  <w:style w:type="character" w:styleId="763">
    <w:name w:val="HTML Keyboard"/>
    <w:basedOn w:val="726"/>
    <w:uiPriority w:val="99"/>
    <w:semiHidden/>
    <w:unhideWhenUsed/>
    <w:qFormat/>
    <w:rPr>
      <w:rFonts w:hint="default" w:ascii="Consolas" w:hAnsi="Consolas" w:eastAsia="Consolas" w:cs="Consolas"/>
      <w:color w:val="ffffff"/>
      <w:sz w:val="21"/>
      <w:szCs w:val="21"/>
      <w:shd w:val="clear" w:color="auto" w:fill="212529"/>
    </w:rPr>
  </w:style>
  <w:style w:type="character" w:styleId="764">
    <w:name w:val="HTML Sample"/>
    <w:basedOn w:val="726"/>
    <w:uiPriority w:val="99"/>
    <w:semiHidden/>
    <w:unhideWhenUsed/>
    <w:qFormat/>
    <w:rPr>
      <w:rFonts w:hint="default" w:ascii="Consolas" w:hAnsi="Consolas" w:eastAsia="Consolas" w:cs="Consolas"/>
      <w:sz w:val="21"/>
      <w:szCs w:val="21"/>
    </w:rPr>
  </w:style>
  <w:style w:type="paragraph" w:styleId="765" w:customStyle="1">
    <w:name w:val="标题 31"/>
    <w:basedOn w:val="716"/>
    <w:next w:val="716"/>
    <w:link w:val="949"/>
    <w:uiPriority w:val="0"/>
    <w:qFormat/>
    <w:pPr>
      <w:keepLines/>
      <w:keepNext/>
      <w:spacing w:before="260" w:after="260" w:line="416" w:lineRule="auto"/>
      <w:outlineLvl w:val="2"/>
    </w:pPr>
    <w:rPr>
      <w:rFonts w:ascii="Calibri" w:hAnsi="Calibri"/>
      <w:b/>
      <w:bCs/>
      <w:sz w:val="32"/>
      <w:szCs w:val="32"/>
    </w:rPr>
  </w:style>
  <w:style w:type="paragraph" w:styleId="766" w:customStyle="1">
    <w:name w:val="ListBullet2"/>
    <w:basedOn w:val="716"/>
    <w:uiPriority w:val="0"/>
    <w:qFormat/>
    <w:pPr>
      <w:numPr>
        <w:ilvl w:val="0"/>
        <w:numId w:val="2"/>
      </w:numPr>
    </w:pPr>
  </w:style>
  <w:style w:type="paragraph" w:styleId="767" w:customStyle="1">
    <w:name w:val="正文（缩进）"/>
    <w:basedOn w:val="716"/>
    <w:next w:val="768"/>
    <w:uiPriority w:val="0"/>
    <w:qFormat/>
    <w:pPr>
      <w:ind w:firstLine="480"/>
    </w:pPr>
  </w:style>
  <w:style w:type="paragraph" w:styleId="768" w:customStyle="1">
    <w:name w:val="Char Char Char Char Char Char Char Char Char"/>
    <w:basedOn w:val="716"/>
    <w:next w:val="769"/>
    <w:uiPriority w:val="99"/>
    <w:qFormat/>
    <w:pPr>
      <w:ind w:left="360" w:firstLine="5784"/>
    </w:pPr>
  </w:style>
  <w:style w:type="paragraph" w:styleId="769" w:customStyle="1">
    <w:name w:val="正文文本 21"/>
    <w:basedOn w:val="716"/>
    <w:next w:val="770"/>
    <w:uiPriority w:val="99"/>
    <w:qFormat/>
    <w:pPr>
      <w:ind w:left="720" w:firstLine="5680"/>
      <w:widowControl/>
    </w:pPr>
  </w:style>
  <w:style w:type="paragraph" w:styleId="770" w:customStyle="1">
    <w:name w:val="默认段落字体 Para Char Char Char Char Char Char Char"/>
    <w:basedOn w:val="716"/>
    <w:next w:val="771"/>
    <w:uiPriority w:val="99"/>
    <w:qFormat/>
    <w:pPr>
      <w:ind w:firstLine="200"/>
    </w:pPr>
    <w:rPr>
      <w:rFonts w:cs="Arial"/>
    </w:rPr>
  </w:style>
  <w:style w:type="paragraph" w:styleId="771" w:customStyle="1">
    <w:name w:val="样式 首行缩进:  2 字符"/>
    <w:basedOn w:val="716"/>
    <w:next w:val="772"/>
    <w:uiPriority w:val="99"/>
    <w:qFormat/>
    <w:pPr>
      <w:ind w:left="480" w:firstLine="5856"/>
      <w:spacing w:line="360" w:lineRule="auto"/>
    </w:pPr>
  </w:style>
  <w:style w:type="paragraph" w:styleId="772" w:customStyle="1">
    <w:name w:val="样式 段后: 0.25 行"/>
    <w:basedOn w:val="716"/>
    <w:next w:val="773"/>
    <w:uiPriority w:val="99"/>
    <w:qFormat/>
    <w:pPr>
      <w:ind w:left="420" w:firstLine="5796"/>
      <w:spacing w:line="300" w:lineRule="auto"/>
      <w:widowControl/>
    </w:pPr>
  </w:style>
  <w:style w:type="paragraph" w:styleId="773" w:customStyle="1">
    <w:name w:val="正文 New New New New New New New New New New New New New New"/>
    <w:next w:val="752"/>
    <w:uiPriority w:val="99"/>
    <w:qFormat/>
    <w:pPr>
      <w:ind w:firstLine="2048"/>
      <w:jc w:val="both"/>
      <w:widowControl w:val="off"/>
    </w:pPr>
    <w:rPr>
      <w:rFonts w:ascii="Calibri" w:hAnsi="Calibri" w:eastAsia="宋体" w:cs="Times New Roman"/>
      <w:lang w:val="en-US" w:eastAsia="zh-CN" w:bidi="ar-SA"/>
    </w:rPr>
  </w:style>
  <w:style w:type="character" w:styleId="774" w:customStyle="1">
    <w:name w:val="Heading 1 Char"/>
    <w:basedOn w:val="726"/>
    <w:uiPriority w:val="9"/>
    <w:qFormat/>
    <w:rPr>
      <w:rFonts w:ascii="Arial" w:hAnsi="Arial" w:eastAsia="Arial" w:cs="Arial"/>
      <w:sz w:val="40"/>
      <w:szCs w:val="40"/>
    </w:rPr>
  </w:style>
  <w:style w:type="character" w:styleId="775" w:customStyle="1">
    <w:name w:val="Heading 2 Char"/>
    <w:basedOn w:val="726"/>
    <w:uiPriority w:val="9"/>
    <w:qFormat/>
    <w:rPr>
      <w:rFonts w:ascii="Arial" w:hAnsi="Arial" w:eastAsia="Arial" w:cs="Arial"/>
      <w:sz w:val="34"/>
    </w:rPr>
  </w:style>
  <w:style w:type="character" w:styleId="776" w:customStyle="1">
    <w:name w:val="Heading 3 Char"/>
    <w:basedOn w:val="726"/>
    <w:uiPriority w:val="9"/>
    <w:qFormat/>
    <w:rPr>
      <w:rFonts w:ascii="Arial" w:hAnsi="Arial" w:eastAsia="Arial" w:cs="Arial"/>
      <w:sz w:val="30"/>
      <w:szCs w:val="30"/>
    </w:rPr>
  </w:style>
  <w:style w:type="character" w:styleId="777" w:customStyle="1">
    <w:name w:val="Heading 4 Char"/>
    <w:basedOn w:val="726"/>
    <w:uiPriority w:val="9"/>
    <w:qFormat/>
    <w:rPr>
      <w:rFonts w:ascii="Arial" w:hAnsi="Arial" w:eastAsia="Arial" w:cs="Arial"/>
      <w:b/>
      <w:bCs/>
      <w:sz w:val="26"/>
      <w:szCs w:val="26"/>
    </w:rPr>
  </w:style>
  <w:style w:type="character" w:styleId="778" w:customStyle="1">
    <w:name w:val="Heading 5 Char"/>
    <w:basedOn w:val="726"/>
    <w:uiPriority w:val="9"/>
    <w:qFormat/>
    <w:rPr>
      <w:rFonts w:ascii="Arial" w:hAnsi="Arial" w:eastAsia="Arial" w:cs="Arial"/>
      <w:b/>
      <w:bCs/>
      <w:sz w:val="24"/>
      <w:szCs w:val="24"/>
    </w:rPr>
  </w:style>
  <w:style w:type="character" w:styleId="779" w:customStyle="1">
    <w:name w:val="Heading 6 Char"/>
    <w:basedOn w:val="726"/>
    <w:uiPriority w:val="9"/>
    <w:qFormat/>
    <w:rPr>
      <w:rFonts w:ascii="Arial" w:hAnsi="Arial" w:eastAsia="Arial" w:cs="Arial"/>
      <w:b/>
      <w:bCs/>
      <w:sz w:val="22"/>
      <w:szCs w:val="22"/>
    </w:rPr>
  </w:style>
  <w:style w:type="character" w:styleId="780" w:customStyle="1">
    <w:name w:val="Heading 7 Char"/>
    <w:basedOn w:val="726"/>
    <w:uiPriority w:val="9"/>
    <w:qFormat/>
    <w:rPr>
      <w:rFonts w:ascii="Arial" w:hAnsi="Arial" w:eastAsia="Arial" w:cs="Arial"/>
      <w:b/>
      <w:bCs/>
      <w:i/>
      <w:iCs/>
      <w:sz w:val="22"/>
      <w:szCs w:val="22"/>
    </w:rPr>
  </w:style>
  <w:style w:type="character" w:styleId="781" w:customStyle="1">
    <w:name w:val="Heading 8 Char"/>
    <w:basedOn w:val="726"/>
    <w:uiPriority w:val="9"/>
    <w:qFormat/>
    <w:rPr>
      <w:rFonts w:ascii="Arial" w:hAnsi="Arial" w:eastAsia="Arial" w:cs="Arial"/>
      <w:i/>
      <w:iCs/>
      <w:sz w:val="22"/>
      <w:szCs w:val="22"/>
    </w:rPr>
  </w:style>
  <w:style w:type="character" w:styleId="782" w:customStyle="1">
    <w:name w:val="Heading 9 Char"/>
    <w:basedOn w:val="726"/>
    <w:uiPriority w:val="9"/>
    <w:qFormat/>
    <w:rPr>
      <w:rFonts w:ascii="Arial" w:hAnsi="Arial" w:eastAsia="Arial" w:cs="Arial"/>
      <w:i/>
      <w:iCs/>
      <w:sz w:val="21"/>
      <w:szCs w:val="21"/>
    </w:rPr>
  </w:style>
  <w:style w:type="character" w:styleId="783" w:customStyle="1">
    <w:name w:val="Title Char"/>
    <w:basedOn w:val="726"/>
    <w:uiPriority w:val="10"/>
    <w:qFormat/>
    <w:rPr>
      <w:sz w:val="48"/>
      <w:szCs w:val="48"/>
    </w:rPr>
  </w:style>
  <w:style w:type="character" w:styleId="784" w:customStyle="1">
    <w:name w:val="Subtitle Char"/>
    <w:basedOn w:val="726"/>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26"/>
    <w:uiPriority w:val="99"/>
    <w:qFormat/>
  </w:style>
  <w:style w:type="character" w:styleId="788" w:customStyle="1">
    <w:name w:val="Caption Char"/>
    <w:uiPriority w:val="99"/>
    <w:qFormat/>
  </w:style>
  <w:style w:type="table" w:styleId="789" w:customStyle="1">
    <w:name w:val="无格式表格 11"/>
    <w:basedOn w:val="7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2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2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2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2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标题1"/>
    <w:uiPriority w:val="39"/>
    <w:unhideWhenUsed/>
    <w:qFormat/>
    <w:rPr>
      <w:rFonts w:ascii="Times New Roman" w:hAnsi="Times New Roman" w:eastAsia="宋体" w:cs="Times New Roman"/>
      <w:lang w:val="en-US" w:eastAsia="zh-CN" w:bidi="ar-SA"/>
    </w:rPr>
  </w:style>
  <w:style w:type="character" w:styleId="811" w:customStyle="1">
    <w:name w:val="标题 1 字符"/>
    <w:link w:val="717"/>
    <w:uiPriority w:val="9"/>
    <w:qFormat/>
    <w:rPr>
      <w:rFonts w:ascii="Arial" w:hAnsi="Arial" w:eastAsia="Arial" w:cs="Arial"/>
      <w:sz w:val="40"/>
      <w:szCs w:val="40"/>
    </w:rPr>
  </w:style>
  <w:style w:type="character" w:styleId="812" w:customStyle="1">
    <w:name w:val="标题 2 字符"/>
    <w:link w:val="718"/>
    <w:uiPriority w:val="9"/>
    <w:qFormat/>
    <w:rPr>
      <w:rFonts w:ascii="Arial" w:hAnsi="Arial" w:eastAsia="Arial" w:cs="Arial"/>
      <w:sz w:val="34"/>
    </w:rPr>
  </w:style>
  <w:style w:type="character" w:styleId="813" w:customStyle="1">
    <w:name w:val="标题 3 字符"/>
    <w:link w:val="719"/>
    <w:uiPriority w:val="9"/>
    <w:qFormat/>
    <w:rPr>
      <w:rFonts w:ascii="Arial" w:hAnsi="Arial" w:eastAsia="Arial" w:cs="Arial"/>
      <w:sz w:val="30"/>
      <w:szCs w:val="30"/>
    </w:rPr>
  </w:style>
  <w:style w:type="character" w:styleId="814" w:customStyle="1">
    <w:name w:val="标题 4 字符"/>
    <w:link w:val="720"/>
    <w:uiPriority w:val="9"/>
    <w:qFormat/>
    <w:rPr>
      <w:rFonts w:ascii="Arial" w:hAnsi="Arial" w:eastAsia="Arial" w:cs="Arial"/>
      <w:b/>
      <w:bCs/>
      <w:sz w:val="26"/>
      <w:szCs w:val="26"/>
    </w:rPr>
  </w:style>
  <w:style w:type="character" w:styleId="815" w:customStyle="1">
    <w:name w:val="标题 5 字符"/>
    <w:link w:val="721"/>
    <w:uiPriority w:val="9"/>
    <w:qFormat/>
    <w:rPr>
      <w:rFonts w:ascii="Arial" w:hAnsi="Arial" w:eastAsia="Arial" w:cs="Arial"/>
      <w:b/>
      <w:bCs/>
      <w:sz w:val="24"/>
      <w:szCs w:val="24"/>
    </w:rPr>
  </w:style>
  <w:style w:type="character" w:styleId="816" w:customStyle="1">
    <w:name w:val="标题 6 字符"/>
    <w:link w:val="722"/>
    <w:uiPriority w:val="9"/>
    <w:qFormat/>
    <w:rPr>
      <w:rFonts w:ascii="Arial" w:hAnsi="Arial" w:eastAsia="Arial" w:cs="Arial"/>
      <w:b/>
      <w:bCs/>
      <w:sz w:val="22"/>
      <w:szCs w:val="22"/>
    </w:rPr>
  </w:style>
  <w:style w:type="character" w:styleId="817" w:customStyle="1">
    <w:name w:val="标题 7 字符"/>
    <w:link w:val="723"/>
    <w:uiPriority w:val="9"/>
    <w:qFormat/>
    <w:rPr>
      <w:rFonts w:ascii="Arial" w:hAnsi="Arial" w:eastAsia="Arial" w:cs="Arial"/>
      <w:b/>
      <w:bCs/>
      <w:i/>
      <w:iCs/>
      <w:sz w:val="22"/>
      <w:szCs w:val="22"/>
    </w:rPr>
  </w:style>
  <w:style w:type="character" w:styleId="818" w:customStyle="1">
    <w:name w:val="标题 8 字符"/>
    <w:link w:val="724"/>
    <w:uiPriority w:val="9"/>
    <w:qFormat/>
    <w:rPr>
      <w:rFonts w:ascii="Arial" w:hAnsi="Arial" w:eastAsia="Arial" w:cs="Arial"/>
      <w:i/>
      <w:iCs/>
      <w:sz w:val="22"/>
      <w:szCs w:val="22"/>
    </w:rPr>
  </w:style>
  <w:style w:type="character" w:styleId="819" w:customStyle="1">
    <w:name w:val="标题 9 字符"/>
    <w:link w:val="725"/>
    <w:uiPriority w:val="9"/>
    <w:qFormat/>
    <w:rPr>
      <w:rFonts w:ascii="Arial" w:hAnsi="Arial" w:eastAsia="Arial" w:cs="Arial"/>
      <w:i/>
      <w:iCs/>
      <w:sz w:val="21"/>
      <w:szCs w:val="21"/>
    </w:rPr>
  </w:style>
  <w:style w:type="paragraph" w:styleId="820">
    <w:name w:val="List Paragraph"/>
    <w:basedOn w:val="716"/>
    <w:uiPriority w:val="34"/>
    <w:qFormat/>
    <w:pPr>
      <w:contextualSpacing/>
      <w:ind w:left="720"/>
    </w:pPr>
  </w:style>
  <w:style w:type="paragraph" w:styleId="821">
    <w:name w:val="No Spacing"/>
    <w:uiPriority w:val="1"/>
    <w:qFormat/>
    <w:rPr>
      <w:rFonts w:ascii="Times New Roman" w:hAnsi="Times New Roman" w:eastAsia="宋体" w:cs="Times New Roman"/>
      <w:lang w:val="en-US" w:eastAsia="zh-CN" w:bidi="ar-SA"/>
    </w:rPr>
  </w:style>
  <w:style w:type="character" w:styleId="822" w:customStyle="1">
    <w:name w:val="标题 字符"/>
    <w:link w:val="754"/>
    <w:uiPriority w:val="10"/>
    <w:qFormat/>
    <w:rPr>
      <w:sz w:val="48"/>
      <w:szCs w:val="48"/>
    </w:rPr>
  </w:style>
  <w:style w:type="character" w:styleId="823" w:customStyle="1">
    <w:name w:val="副标题 字符"/>
    <w:link w:val="747"/>
    <w:uiPriority w:val="11"/>
    <w:qFormat/>
    <w:rPr>
      <w:sz w:val="24"/>
      <w:szCs w:val="24"/>
    </w:rPr>
  </w:style>
  <w:style w:type="paragraph" w:styleId="824">
    <w:name w:val="Quote"/>
    <w:basedOn w:val="716"/>
    <w:next w:val="716"/>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16"/>
    <w:next w:val="716"/>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character" w:styleId="828" w:customStyle="1">
    <w:name w:val="页眉 字符"/>
    <w:link w:val="744"/>
    <w:uiPriority w:val="99"/>
    <w:qFormat/>
  </w:style>
  <w:style w:type="character" w:styleId="829" w:customStyle="1">
    <w:name w:val="Footer Char"/>
    <w:uiPriority w:val="99"/>
    <w:qFormat/>
  </w:style>
  <w:style w:type="character" w:styleId="830" w:customStyle="1">
    <w:name w:val="页脚 字符"/>
    <w:link w:val="743"/>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48"/>
    <w:uiPriority w:val="99"/>
    <w:qFormat/>
    <w:rPr>
      <w:sz w:val="18"/>
    </w:rPr>
  </w:style>
  <w:style w:type="character" w:styleId="938" w:customStyle="1">
    <w:name w:val="尾注文本 字符"/>
    <w:link w:val="741"/>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16"/>
    <w:next w:val="716"/>
    <w:link w:val="947"/>
    <w:uiPriority w:val="0"/>
    <w:qFormat/>
    <w:pPr>
      <w:keepLines/>
      <w:keepNext/>
      <w:spacing w:before="340" w:after="330" w:line="578" w:lineRule="auto"/>
      <w:outlineLvl w:val="0"/>
    </w:pPr>
    <w:rPr>
      <w:rFonts w:ascii="Calibri" w:hAnsi="Calibri"/>
      <w:b/>
      <w:bCs/>
      <w:sz w:val="44"/>
      <w:szCs w:val="44"/>
    </w:rPr>
  </w:style>
  <w:style w:type="paragraph" w:styleId="941" w:customStyle="1">
    <w:name w:val="标题 21"/>
    <w:basedOn w:val="716"/>
    <w:next w:val="942"/>
    <w:link w:val="948"/>
    <w:uiPriority w:val="0"/>
    <w:qFormat/>
    <w:pPr>
      <w:keepLines/>
      <w:keepNext/>
      <w:spacing w:before="260" w:after="260" w:line="416" w:lineRule="auto"/>
      <w:outlineLvl w:val="1"/>
    </w:pPr>
    <w:rPr>
      <w:rFonts w:ascii="Cambria" w:hAnsi="Cambria"/>
      <w:b/>
      <w:bCs/>
      <w:sz w:val="32"/>
      <w:szCs w:val="32"/>
    </w:rPr>
  </w:style>
  <w:style w:type="paragraph" w:styleId="942" w:customStyle="1">
    <w:name w:val="正文缩进1"/>
    <w:basedOn w:val="716"/>
    <w:uiPriority w:val="0"/>
    <w:qFormat/>
    <w:pPr>
      <w:ind w:firstLine="420"/>
    </w:pPr>
    <w:rPr>
      <w:rFonts w:ascii="Calibri" w:hAnsi="Calibri"/>
    </w:rPr>
  </w:style>
  <w:style w:type="paragraph" w:styleId="943" w:customStyle="1">
    <w:name w:val="标题 41"/>
    <w:basedOn w:val="716"/>
    <w:next w:val="942"/>
    <w:link w:val="950"/>
    <w:uiPriority w:val="0"/>
    <w:qFormat/>
    <w:pPr>
      <w:spacing w:before="280" w:after="290" w:line="377" w:lineRule="auto"/>
      <w:outlineLvl w:val="3"/>
    </w:pPr>
    <w:rPr>
      <w:rFonts w:ascii="Arial" w:hAnsi="Arial" w:eastAsia="黑体"/>
      <w:b/>
      <w:bCs/>
      <w:sz w:val="28"/>
      <w:szCs w:val="28"/>
    </w:rPr>
  </w:style>
  <w:style w:type="character" w:styleId="944" w:customStyle="1">
    <w:name w:val="默认段落字体1"/>
    <w:uiPriority w:val="0"/>
    <w:qFormat/>
    <w:rPr>
      <w:rFonts w:ascii="Times New Roman" w:hAnsi="Times New Roman" w:eastAsia="宋体" w:cs="Times New Roman"/>
    </w:rPr>
  </w:style>
  <w:style w:type="table" w:styleId="945" w:customStyle="1">
    <w:name w:val="普通表格1"/>
    <w:uiPriority w:val="0"/>
    <w:qFormat/>
    <w:tblPr>
      <w:tblCellMar>
        <w:left w:w="0" w:type="dxa"/>
        <w:top w:w="0" w:type="dxa"/>
        <w:right w:w="0" w:type="dxa"/>
        <w:bottom w:w="0" w:type="dxa"/>
      </w:tblCellMar>
    </w:tblPr>
  </w:style>
  <w:style w:type="paragraph" w:styleId="946" w:customStyle="1">
    <w:name w:val="文本块1"/>
    <w:basedOn w:val="716"/>
    <w:uiPriority w:val="99"/>
    <w:unhideWhenUsed/>
    <w:qFormat/>
    <w:pPr>
      <w:ind w:left="1440" w:right="1440"/>
      <w:spacing w:after="120"/>
    </w:pPr>
  </w:style>
  <w:style w:type="character" w:styleId="947" w:customStyle="1">
    <w:name w:val="标题 1 Char"/>
    <w:link w:val="940"/>
    <w:uiPriority w:val="0"/>
    <w:qFormat/>
    <w:rPr>
      <w:rFonts w:ascii="Calibri" w:hAnsi="Calibri" w:eastAsia="宋体" w:cs="Times New Roman"/>
      <w:b/>
      <w:bCs/>
      <w:sz w:val="44"/>
      <w:szCs w:val="44"/>
    </w:rPr>
  </w:style>
  <w:style w:type="character" w:styleId="948" w:customStyle="1">
    <w:name w:val="标题 2 Char"/>
    <w:link w:val="941"/>
    <w:uiPriority w:val="0"/>
    <w:qFormat/>
    <w:rPr>
      <w:rFonts w:ascii="Cambria" w:hAnsi="Cambria" w:eastAsia="宋体" w:cs="Times New Roman"/>
      <w:b/>
      <w:bCs/>
      <w:sz w:val="32"/>
      <w:szCs w:val="32"/>
    </w:rPr>
  </w:style>
  <w:style w:type="character" w:styleId="949" w:customStyle="1">
    <w:name w:val="标题 3 Char"/>
    <w:link w:val="765"/>
    <w:uiPriority w:val="0"/>
    <w:qFormat/>
    <w:rPr>
      <w:rFonts w:ascii="Calibri" w:hAnsi="Calibri" w:eastAsia="宋体" w:cs="Times New Roman"/>
      <w:b/>
      <w:bCs/>
      <w:sz w:val="32"/>
      <w:szCs w:val="32"/>
    </w:rPr>
  </w:style>
  <w:style w:type="character" w:styleId="950" w:customStyle="1">
    <w:name w:val="标题 4 Char"/>
    <w:link w:val="943"/>
    <w:uiPriority w:val="0"/>
    <w:qFormat/>
    <w:rPr>
      <w:rFonts w:ascii="Arial" w:hAnsi="Arial" w:eastAsia="黑体" w:cs="Times New Roman"/>
      <w:b/>
      <w:bCs/>
      <w:sz w:val="28"/>
      <w:szCs w:val="28"/>
    </w:rPr>
  </w:style>
  <w:style w:type="paragraph" w:styleId="951" w:customStyle="1">
    <w:name w:val="文档结构图1"/>
    <w:basedOn w:val="716"/>
    <w:link w:val="952"/>
    <w:uiPriority w:val="0"/>
    <w:qFormat/>
    <w:rPr>
      <w:rFonts w:ascii="宋体"/>
      <w:sz w:val="18"/>
      <w:szCs w:val="18"/>
    </w:rPr>
  </w:style>
  <w:style w:type="character" w:styleId="952" w:customStyle="1">
    <w:name w:val="文档结构图 Char"/>
    <w:link w:val="951"/>
    <w:uiPriority w:val="0"/>
    <w:qFormat/>
    <w:rPr>
      <w:rFonts w:ascii="宋体" w:hAnsi="Times New Roman" w:eastAsia="宋体" w:cs="Times New Roman"/>
      <w:sz w:val="18"/>
      <w:szCs w:val="18"/>
    </w:rPr>
  </w:style>
  <w:style w:type="paragraph" w:styleId="953" w:customStyle="1">
    <w:name w:val="引文目录标题1"/>
    <w:basedOn w:val="716"/>
    <w:next w:val="716"/>
    <w:uiPriority w:val="0"/>
    <w:qFormat/>
    <w:pPr>
      <w:spacing w:before="120"/>
    </w:pPr>
    <w:rPr>
      <w:rFonts w:ascii="Cambria" w:hAnsi="Cambria"/>
      <w:sz w:val="24"/>
    </w:rPr>
  </w:style>
  <w:style w:type="paragraph" w:styleId="954" w:customStyle="1">
    <w:name w:val="批注文字1"/>
    <w:basedOn w:val="716"/>
    <w:uiPriority w:val="0"/>
    <w:qFormat/>
    <w:pPr>
      <w:jc w:val="left"/>
    </w:pPr>
  </w:style>
  <w:style w:type="paragraph" w:styleId="955" w:customStyle="1">
    <w:name w:val="正文文本11"/>
    <w:basedOn w:val="716"/>
    <w:next w:val="716"/>
    <w:uiPriority w:val="0"/>
    <w:qFormat/>
    <w:rPr>
      <w:rFonts w:ascii="楷体_GB2312" w:hAnsi="Arial" w:eastAsia="楷体_GB2312"/>
      <w:sz w:val="28"/>
      <w:szCs w:val="28"/>
    </w:rPr>
  </w:style>
  <w:style w:type="paragraph" w:styleId="956" w:customStyle="1">
    <w:name w:val="正文文本缩进1"/>
    <w:basedOn w:val="716"/>
    <w:next w:val="716"/>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57" w:customStyle="1">
    <w:name w:val="纯文本1"/>
    <w:basedOn w:val="958"/>
    <w:link w:val="959"/>
    <w:uiPriority w:val="0"/>
    <w:qFormat/>
    <w:rPr>
      <w:rFonts w:ascii="宋体" w:hAnsi="Courier New"/>
      <w:sz w:val="20"/>
      <w:szCs w:val="20"/>
    </w:rPr>
  </w:style>
  <w:style w:type="paragraph" w:styleId="958" w:customStyle="1">
    <w:name w:val="正文111"/>
    <w:next w:val="946"/>
    <w:uiPriority w:val="0"/>
    <w:qFormat/>
    <w:pPr>
      <w:jc w:val="both"/>
      <w:widowControl w:val="off"/>
    </w:pPr>
    <w:rPr>
      <w:rFonts w:ascii="Calibri" w:hAnsi="Calibri" w:eastAsia="宋体" w:cs="Times New Roman"/>
      <w:sz w:val="21"/>
      <w:szCs w:val="24"/>
      <w:lang w:val="en-US" w:eastAsia="zh-CN" w:bidi="ar-SA"/>
    </w:rPr>
  </w:style>
  <w:style w:type="character" w:styleId="959" w:customStyle="1">
    <w:name w:val="纯文本 Char"/>
    <w:link w:val="957"/>
    <w:uiPriority w:val="0"/>
    <w:qFormat/>
    <w:rPr>
      <w:rFonts w:ascii="宋体" w:hAnsi="Courier New" w:eastAsia="宋体" w:cs="Times New Roman"/>
    </w:rPr>
  </w:style>
  <w:style w:type="paragraph" w:styleId="960" w:customStyle="1">
    <w:name w:val="日期1"/>
    <w:basedOn w:val="716"/>
    <w:next w:val="716"/>
    <w:link w:val="961"/>
    <w:uiPriority w:val="0"/>
    <w:qFormat/>
    <w:rPr>
      <w:sz w:val="24"/>
      <w:szCs w:val="20"/>
    </w:rPr>
  </w:style>
  <w:style w:type="character" w:styleId="961" w:customStyle="1">
    <w:name w:val="日期 Char"/>
    <w:link w:val="960"/>
    <w:uiPriority w:val="0"/>
    <w:qFormat/>
    <w:rPr>
      <w:rFonts w:ascii="Times New Roman" w:hAnsi="Times New Roman" w:eastAsia="宋体" w:cs="Times New Roman"/>
      <w:sz w:val="24"/>
    </w:rPr>
  </w:style>
  <w:style w:type="paragraph" w:styleId="962" w:customStyle="1">
    <w:name w:val="批注框文本1"/>
    <w:basedOn w:val="716"/>
    <w:link w:val="963"/>
    <w:uiPriority w:val="0"/>
    <w:qFormat/>
    <w:rPr>
      <w:sz w:val="18"/>
      <w:szCs w:val="18"/>
    </w:rPr>
  </w:style>
  <w:style w:type="character" w:styleId="963" w:customStyle="1">
    <w:name w:val="批注框文本 Char"/>
    <w:link w:val="962"/>
    <w:uiPriority w:val="0"/>
    <w:qFormat/>
    <w:rPr>
      <w:rFonts w:ascii="Times New Roman" w:hAnsi="Times New Roman" w:eastAsia="宋体" w:cs="Times New Roman"/>
      <w:sz w:val="18"/>
      <w:szCs w:val="18"/>
    </w:rPr>
  </w:style>
  <w:style w:type="paragraph" w:styleId="964" w:customStyle="1">
    <w:name w:val="页脚1"/>
    <w:basedOn w:val="716"/>
    <w:link w:val="965"/>
    <w:uiPriority w:val="0"/>
    <w:qFormat/>
    <w:pPr>
      <w:jc w:val="left"/>
      <w:tabs>
        <w:tab w:val="center" w:pos="4153" w:leader="none"/>
        <w:tab w:val="right" w:pos="8306" w:leader="none"/>
      </w:tabs>
    </w:pPr>
    <w:rPr>
      <w:sz w:val="18"/>
      <w:szCs w:val="18"/>
    </w:rPr>
  </w:style>
  <w:style w:type="character" w:styleId="965" w:customStyle="1">
    <w:name w:val="页脚 Char"/>
    <w:link w:val="964"/>
    <w:uiPriority w:val="0"/>
    <w:qFormat/>
    <w:rPr>
      <w:rFonts w:ascii="Times New Roman" w:hAnsi="Times New Roman" w:eastAsia="宋体" w:cs="Times New Roman"/>
      <w:sz w:val="18"/>
      <w:szCs w:val="18"/>
    </w:rPr>
  </w:style>
  <w:style w:type="paragraph" w:styleId="966" w:customStyle="1">
    <w:name w:val="寄信人地址1"/>
    <w:basedOn w:val="716"/>
    <w:uiPriority w:val="0"/>
    <w:qFormat/>
    <w:rPr>
      <w:rFonts w:ascii="Arial" w:hAnsi="Arial"/>
    </w:rPr>
  </w:style>
  <w:style w:type="paragraph" w:styleId="967" w:customStyle="1">
    <w:name w:val="页眉1"/>
    <w:basedOn w:val="716"/>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
    <w:link w:val="967"/>
    <w:uiPriority w:val="0"/>
    <w:qFormat/>
    <w:rPr>
      <w:rFonts w:ascii="Times New Roman" w:hAnsi="Times New Roman" w:eastAsia="宋体" w:cs="Times New Roman"/>
      <w:sz w:val="18"/>
      <w:szCs w:val="18"/>
    </w:rPr>
  </w:style>
  <w:style w:type="paragraph" w:styleId="969" w:customStyle="1">
    <w:name w:val="目录 11"/>
    <w:basedOn w:val="716"/>
    <w:next w:val="716"/>
    <w:uiPriority w:val="0"/>
    <w:qFormat/>
    <w:rPr>
      <w:rFonts w:ascii="Calibri" w:hAnsi="Calibri"/>
    </w:rPr>
  </w:style>
  <w:style w:type="paragraph" w:styleId="970" w:customStyle="1">
    <w:name w:val="目录 21"/>
    <w:basedOn w:val="716"/>
    <w:next w:val="716"/>
    <w:uiPriority w:val="0"/>
    <w:qFormat/>
    <w:pPr>
      <w:ind w:left="420"/>
    </w:pPr>
  </w:style>
  <w:style w:type="paragraph" w:styleId="971" w:customStyle="1">
    <w:name w:val="普通(网站)1"/>
    <w:basedOn w:val="716"/>
    <w:uiPriority w:val="0"/>
    <w:qFormat/>
    <w:pPr>
      <w:jc w:val="left"/>
    </w:pPr>
    <w:rPr>
      <w:rFonts w:ascii="Calibri" w:hAnsi="Calibri"/>
      <w:sz w:val="24"/>
      <w:szCs w:val="24"/>
    </w:rPr>
  </w:style>
  <w:style w:type="paragraph" w:styleId="972" w:customStyle="1">
    <w:name w:val="正文首行缩进1"/>
    <w:basedOn w:val="955"/>
    <w:next w:val="716"/>
    <w:uiPriority w:val="0"/>
    <w:qFormat/>
    <w:pPr>
      <w:ind w:firstLine="420"/>
    </w:pPr>
  </w:style>
  <w:style w:type="paragraph" w:styleId="973" w:customStyle="1">
    <w:name w:val="正文首行缩进 21"/>
    <w:basedOn w:val="956"/>
    <w:next w:val="972"/>
    <w:uiPriority w:val="0"/>
    <w:qFormat/>
    <w:pPr>
      <w:ind w:firstLine="420"/>
    </w:pPr>
    <w:rPr>
      <w:rFonts w:ascii="Times New Roman" w:cs="宋体"/>
      <w:szCs w:val="21"/>
    </w:rPr>
  </w:style>
  <w:style w:type="character" w:styleId="974" w:customStyle="1">
    <w:name w:val="要点1"/>
    <w:uiPriority w:val="0"/>
    <w:qFormat/>
    <w:rPr>
      <w:rFonts w:ascii="Times New Roman" w:hAnsi="Times New Roman" w:eastAsia="宋体" w:cs="Times New Roman"/>
      <w:b/>
    </w:rPr>
  </w:style>
  <w:style w:type="paragraph" w:styleId="975" w:customStyle="1">
    <w:name w:val="列出段落1"/>
    <w:basedOn w:val="716"/>
    <w:uiPriority w:val="0"/>
    <w:qFormat/>
    <w:pPr>
      <w:ind w:firstLine="420"/>
    </w:pPr>
  </w:style>
  <w:style w:type="paragraph" w:styleId="976" w:customStyle="1">
    <w:name w:val="普通正文"/>
    <w:basedOn w:val="977"/>
    <w:uiPriority w:val="0"/>
    <w:qFormat/>
    <w:pPr>
      <w:ind w:firstLine="480"/>
      <w:spacing w:before="120" w:after="120" w:line="360" w:lineRule="auto"/>
    </w:pPr>
    <w:rPr>
      <w:rFonts w:ascii="Arial" w:hAnsi="Arial"/>
      <w:szCs w:val="24"/>
    </w:rPr>
  </w:style>
  <w:style w:type="paragraph" w:styleId="977" w:customStyle="1">
    <w:name w:val="正文1"/>
    <w:basedOn w:val="716"/>
    <w:next w:val="716"/>
    <w:uiPriority w:val="0"/>
    <w:qFormat/>
    <w:pPr>
      <w:jc w:val="left"/>
      <w:spacing w:line="360" w:lineRule="atLeast"/>
    </w:pPr>
    <w:rPr>
      <w:rFonts w:ascii="宋体" w:hAnsi="Calibri"/>
      <w:sz w:val="24"/>
      <w:szCs w:val="20"/>
    </w:rPr>
  </w:style>
  <w:style w:type="paragraph" w:styleId="978" w:customStyle="1">
    <w:name w:val="正文文本1"/>
    <w:basedOn w:val="977"/>
    <w:next w:val="979"/>
    <w:uiPriority w:val="0"/>
    <w:qFormat/>
    <w:pPr>
      <w:spacing w:after="120"/>
    </w:pPr>
    <w:rPr>
      <w:rFonts w:ascii="Times New Roman" w:hAnsi="Times New Roman"/>
      <w:lang w:eastAsia="en-US"/>
    </w:rPr>
  </w:style>
  <w:style w:type="paragraph" w:styleId="979" w:customStyle="1">
    <w:name w:val="一级条标题"/>
    <w:basedOn w:val="980"/>
    <w:next w:val="982"/>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80" w:customStyle="1">
    <w:name w:val="章标题"/>
    <w:next w:val="98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1" w:customStyle="1">
    <w:name w:val="正文11"/>
    <w:next w:val="977"/>
    <w:uiPriority w:val="0"/>
    <w:qFormat/>
    <w:pPr>
      <w:jc w:val="both"/>
      <w:widowControl w:val="off"/>
    </w:pPr>
    <w:rPr>
      <w:rFonts w:ascii="Times New Roman" w:hAnsi="Times New Roman" w:eastAsia="宋体" w:cs="Times New Roman"/>
      <w:sz w:val="21"/>
      <w:szCs w:val="22"/>
      <w:lang w:val="en-US" w:eastAsia="zh-CN" w:bidi="ar-SA"/>
    </w:rPr>
  </w:style>
  <w:style w:type="paragraph" w:styleId="982" w:customStyle="1">
    <w:name w:val="段"/>
    <w:basedOn w:val="977"/>
    <w:next w:val="981"/>
    <w:uiPriority w:val="0"/>
    <w:qFormat/>
    <w:pPr>
      <w:ind w:firstLine="200"/>
      <w:widowControl/>
    </w:pPr>
    <w:rPr>
      <w:rFonts w:hAnsi="Times New Roman"/>
      <w:sz w:val="20"/>
    </w:rPr>
  </w:style>
  <w:style w:type="paragraph" w:styleId="983" w:customStyle="1">
    <w:name w:val="UserStyle_52"/>
    <w:basedOn w:val="716"/>
    <w:uiPriority w:val="0"/>
    <w:qFormat/>
    <w:pPr>
      <w:spacing w:line="240" w:lineRule="exact"/>
    </w:pPr>
    <w:rPr>
      <w:rFonts w:ascii="宋体" w:hAnsi="宋体"/>
      <w:lang w:val="zh-TW" w:eastAsia="zh-TW" w:bidi="zh-TW"/>
    </w:rPr>
  </w:style>
  <w:style w:type="character" w:styleId="984" w:customStyle="1">
    <w:name w:val="HtmlCite1"/>
    <w:uiPriority w:val="0"/>
    <w:qFormat/>
    <w:rPr>
      <w:rFonts w:ascii="Times New Roman" w:hAnsi="Times New Roman" w:eastAsia="宋体" w:cs="Times New Roman"/>
    </w:rPr>
  </w:style>
  <w:style w:type="paragraph" w:styleId="985" w:customStyle="1">
    <w:name w:val="Table Paragraph"/>
    <w:basedOn w:val="716"/>
    <w:uiPriority w:val="0"/>
    <w:qFormat/>
    <w:rPr>
      <w:rFonts w:ascii="宋体" w:hAnsi="宋体" w:cs="宋体"/>
      <w:sz w:val="22"/>
      <w:lang w:val="zh-CN" w:bidi="zh-CN"/>
    </w:rPr>
  </w:style>
  <w:style w:type="paragraph" w:styleId="986" w:customStyle="1">
    <w:name w:val="ListBullet21"/>
    <w:basedOn w:val="716"/>
    <w:uiPriority w:val="0"/>
    <w:qFormat/>
    <w:pPr>
      <w:numPr>
        <w:ilvl w:val="0"/>
        <w:numId w:val="3"/>
      </w:numPr>
    </w:pPr>
  </w:style>
  <w:style w:type="paragraph" w:styleId="987" w:customStyle="1">
    <w:name w:val="Char"/>
    <w:basedOn w:val="716"/>
    <w:uiPriority w:val="0"/>
    <w:qFormat/>
    <w:pPr>
      <w:ind w:firstLine="200"/>
      <w:tabs>
        <w:tab w:val="left" w:pos="360" w:leader="none"/>
      </w:tabs>
    </w:pPr>
    <w:rPr>
      <w:sz w:val="28"/>
      <w:szCs w:val="30"/>
    </w:rPr>
  </w:style>
  <w:style w:type="character" w:styleId="988" w:customStyle="1">
    <w:name w:val="页脚 Char1"/>
    <w:uiPriority w:val="0"/>
    <w:qFormat/>
    <w:rPr>
      <w:rFonts w:ascii="Times New Roman" w:hAnsi="Times New Roman" w:eastAsia="宋体" w:cs="Times New Roman"/>
      <w:sz w:val="18"/>
      <w:szCs w:val="18"/>
    </w:rPr>
  </w:style>
  <w:style w:type="character" w:styleId="989" w:customStyle="1">
    <w:name w:val="日期 Char1"/>
    <w:uiPriority w:val="0"/>
    <w:qFormat/>
    <w:rPr>
      <w:rFonts w:ascii="Times New Roman" w:hAnsi="Times New Roman" w:eastAsia="宋体" w:cs="Times New Roman"/>
    </w:rPr>
  </w:style>
  <w:style w:type="character" w:styleId="990" w:customStyle="1">
    <w:name w:val="纯文本 Char1"/>
    <w:uiPriority w:val="0"/>
    <w:qFormat/>
    <w:rPr>
      <w:rFonts w:ascii="宋体" w:hAnsi="Courier New" w:eastAsia="宋体" w:cs="Courier New"/>
      <w:szCs w:val="21"/>
    </w:rPr>
  </w:style>
  <w:style w:type="character" w:styleId="991" w:customStyle="1">
    <w:name w:val="页眉 Char1"/>
    <w:uiPriority w:val="0"/>
    <w:qFormat/>
    <w:rPr>
      <w:rFonts w:ascii="Times New Roman" w:hAnsi="Times New Roman" w:eastAsia="宋体" w:cs="Times New Roman"/>
      <w:sz w:val="18"/>
      <w:szCs w:val="18"/>
    </w:rPr>
  </w:style>
  <w:style w:type="paragraph" w:styleId="992"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993" w:customStyle="1">
    <w:name w:val="正文空2格  1."/>
    <w:basedOn w:val="716"/>
    <w:uiPriority w:val="0"/>
    <w:qFormat/>
    <w:pPr>
      <w:ind w:firstLine="480"/>
    </w:pPr>
    <w:rPr>
      <w:rFonts w:cs="宋体"/>
      <w:sz w:val="28"/>
      <w:szCs w:val="20"/>
    </w:rPr>
  </w:style>
  <w:style w:type="paragraph" w:styleId="994" w:customStyle="1">
    <w:name w:val="Default"/>
    <w:uiPriority w:val="0"/>
    <w:qFormat/>
    <w:pPr>
      <w:widowControl w:val="off"/>
    </w:pPr>
    <w:rPr>
      <w:rFonts w:ascii="仿宋" w:hAnsi="等线" w:eastAsia="仿宋" w:cs="仿宋"/>
      <w:color w:val="000000"/>
      <w:sz w:val="24"/>
      <w:szCs w:val="24"/>
      <w:lang w:val="en-US" w:eastAsia="zh-CN" w:bidi="ar-SA"/>
    </w:rPr>
  </w:style>
  <w:style w:type="paragraph" w:styleId="995" w:customStyle="1">
    <w:name w:val="1级标题"/>
    <w:uiPriority w:val="0"/>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996" w:customStyle="1">
    <w:name w:val="标题 1 Char Char Char"/>
    <w:uiPriority w:val="0"/>
    <w:qFormat/>
    <w:rPr>
      <w:rFonts w:eastAsia="宋体"/>
      <w:b/>
      <w:bCs/>
      <w:sz w:val="44"/>
      <w:szCs w:val="44"/>
      <w:lang w:val="en-US" w:eastAsia="zh-CN" w:bidi="ar-SA"/>
    </w:rPr>
  </w:style>
  <w:style w:type="paragraph" w:styleId="997"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98" w:customStyle="1">
    <w:name w:val="Normal_19"/>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99" w:customStyle="1">
    <w:name w:val="正文_0_0"/>
    <w:basedOn w:val="1000"/>
    <w:uiPriority w:val="0"/>
    <w:qFormat/>
    <w:rPr>
      <w:szCs w:val="21"/>
    </w:rPr>
  </w:style>
  <w:style w:type="paragraph" w:styleId="100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01" w:customStyle="1">
    <w:name w:val="Normal_20"/>
    <w:link w:val="1002"/>
    <w:uiPriority w:val="0"/>
    <w:qFormat/>
    <w:pPr>
      <w:jc w:val="both"/>
      <w:spacing w:before="120" w:after="240"/>
    </w:pPr>
    <w:rPr>
      <w:rFonts w:ascii="Times New Roman" w:hAnsi="Times New Roman" w:eastAsia="Calibri" w:cs="Times New Roman"/>
      <w:sz w:val="22"/>
      <w:szCs w:val="22"/>
      <w:lang w:val="en-US" w:eastAsia="en-US" w:bidi="ar-SA"/>
    </w:rPr>
  </w:style>
  <w:style w:type="character" w:styleId="1002" w:customStyle="1">
    <w:name w:val="Normal_20 Char"/>
    <w:link w:val="1001"/>
    <w:uiPriority w:val="0"/>
    <w:qFormat/>
    <w:rPr>
      <w:rFonts w:ascii="Times New Roman" w:hAnsi="Times New Roman" w:eastAsia="Calibri" w:cs="Times New Roman"/>
      <w:sz w:val="22"/>
      <w:szCs w:val="22"/>
      <w:lang w:val="en-US" w:eastAsia="en-US" w:bidi="ar-SA"/>
    </w:rPr>
  </w:style>
  <w:style w:type="paragraph" w:styleId="1003" w:customStyle="1">
    <w:name w:val="Body text|1"/>
    <w:basedOn w:val="716"/>
    <w:uiPriority w:val="0"/>
    <w:qFormat/>
    <w:pPr>
      <w:spacing w:after="220"/>
    </w:pPr>
    <w:rPr>
      <w:rFonts w:ascii="宋体" w:hAnsi="宋体" w:cs="宋体"/>
      <w:sz w:val="22"/>
      <w:lang w:val="zh-TW" w:eastAsia="zh-TW" w:bidi="zh-TW"/>
    </w:rPr>
  </w:style>
  <w:style w:type="character" w:styleId="1004" w:customStyle="1">
    <w:name w:val="font21"/>
    <w:basedOn w:val="726"/>
    <w:uiPriority w:val="0"/>
    <w:qFormat/>
    <w:rPr>
      <w:rFonts w:hint="eastAsia" w:ascii="宋体" w:hAnsi="宋体" w:eastAsia="宋体" w:cs="宋体"/>
      <w:color w:val="000000"/>
      <w:sz w:val="20"/>
      <w:szCs w:val="20"/>
      <w:u w:val="none"/>
    </w:rPr>
  </w:style>
  <w:style w:type="character" w:styleId="1005" w:customStyle="1">
    <w:name w:val="font31"/>
    <w:basedOn w:val="726"/>
    <w:uiPriority w:val="0"/>
    <w:qFormat/>
    <w:rPr>
      <w:rFonts w:hint="default" w:ascii="Times New Roman" w:hAnsi="Times New Roman" w:cs="Times New Roman"/>
      <w:color w:val="000000"/>
      <w:sz w:val="20"/>
      <w:szCs w:val="20"/>
      <w:u w:val="none"/>
    </w:rPr>
  </w:style>
  <w:style w:type="paragraph" w:styleId="1006" w:customStyle="1">
    <w:name w:val="修订1"/>
    <w:hidden/>
    <w:uiPriority w:val="99"/>
    <w:unhideWhenUsed/>
    <w:qFormat/>
    <w:rPr>
      <w:rFonts w:ascii="Times New Roman" w:hAnsi="Times New Roman" w:eastAsia="宋体" w:cs="Times New Roman"/>
      <w:sz w:val="21"/>
      <w:szCs w:val="22"/>
      <w:lang w:val="en-US" w:eastAsia="zh-CN" w:bidi="ar-SA"/>
    </w:rPr>
  </w:style>
  <w:style w:type="character" w:styleId="1007" w:customStyle="1">
    <w:name w:val="批注框文本 字符"/>
    <w:basedOn w:val="726"/>
    <w:link w:val="742"/>
    <w:uiPriority w:val="99"/>
    <w:semiHidden/>
    <w:qFormat/>
    <w:rPr>
      <w:sz w:val="18"/>
      <w:szCs w:val="18"/>
    </w:rPr>
  </w:style>
  <w:style w:type="paragraph" w:styleId="1008" w:customStyle="1">
    <w:name w:val="目录 111"/>
    <w:basedOn w:val="716"/>
    <w:next w:val="716"/>
    <w:uiPriority w:val="39"/>
    <w:unhideWhenUsed/>
    <w:qFormat/>
    <w:pPr>
      <w:jc w:val="left"/>
      <w:spacing w:after="100" w:line="259" w:lineRule="auto"/>
      <w:widowControl/>
    </w:pPr>
    <w:rPr>
      <w:rFonts w:ascii="Calibri" w:hAnsi="Calibri"/>
      <w:sz w:val="22"/>
    </w:rPr>
  </w:style>
  <w:style w:type="paragraph" w:styleId="1009" w:customStyle="1">
    <w:name w:val="正文_2_0"/>
    <w:uiPriority w:val="0"/>
    <w:qFormat/>
    <w:rPr>
      <w:rFonts w:ascii="Times New Roman" w:hAnsi="Times New Roman" w:eastAsia="宋体" w:cs="Times New Roman"/>
      <w:lang w:val="en-US" w:eastAsia="zh-CN" w:bidi="ar-SA"/>
    </w:rPr>
  </w:style>
  <w:style w:type="paragraph" w:styleId="1010"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011" w:customStyle="1">
    <w:name w:val="UserStyle_0"/>
    <w:basedOn w:val="716"/>
    <w:uiPriority w:val="0"/>
    <w:qFormat/>
    <w:pPr>
      <w:numPr>
        <w:ilvl w:val="0"/>
        <w:numId w:val="4"/>
      </w:numPr>
    </w:pPr>
  </w:style>
  <w:style w:type="paragraph" w:styleId="1012" w:customStyle="1">
    <w:name w:val="表格文字"/>
    <w:basedOn w:val="716"/>
    <w:next w:val="733"/>
    <w:uiPriority w:val="0"/>
    <w:qFormat/>
    <w:pPr>
      <w:jc w:val="left"/>
      <w:spacing w:before="25" w:after="25"/>
    </w:pPr>
    <w:rPr>
      <w:bCs/>
      <w:spacing w:val="10"/>
      <w:sz w:val="24"/>
      <w:szCs w:val="20"/>
    </w:rPr>
  </w:style>
  <w:style w:type="paragraph" w:styleId="1013" w:customStyle="1">
    <w:name w:val="首行缩进"/>
    <w:basedOn w:val="716"/>
    <w:uiPriority w:val="0"/>
    <w:qFormat/>
    <w:pPr>
      <w:ind w:firstLine="480"/>
    </w:pPr>
    <w:rPr>
      <w:szCs w:val="20"/>
      <w:lang w:val="zh-CN"/>
    </w:rPr>
  </w:style>
  <w:style w:type="character" w:styleId="1014" w:customStyle="1">
    <w:name w:val="first-child"/>
    <w:basedOn w:val="726"/>
    <w:uiPriority w:val="0"/>
    <w:qFormat/>
  </w:style>
  <w:style w:type="character" w:styleId="1015" w:customStyle="1">
    <w:name w:val="first-child1"/>
    <w:basedOn w:val="726"/>
    <w:uiPriority w:val="0"/>
    <w:qFormat/>
  </w:style>
  <w:style w:type="character" w:styleId="1016" w:customStyle="1">
    <w:name w:val="first-child2"/>
    <w:basedOn w:val="726"/>
    <w:uiPriority w:val="0"/>
    <w:qFormat/>
  </w:style>
  <w:style w:type="character" w:styleId="1017" w:customStyle="1">
    <w:name w:val="layui-laypage-curr"/>
    <w:basedOn w:val="726"/>
    <w:uiPriority w:val="0"/>
    <w:qFormat/>
  </w:style>
  <w:style w:type="character" w:styleId="1018" w:customStyle="1">
    <w:name w:val="hover13"/>
    <w:basedOn w:val="726"/>
    <w:uiPriority w:val="0"/>
    <w:qFormat/>
    <w:rPr>
      <w:color w:val="427fda"/>
    </w:rPr>
  </w:style>
  <w:style w:type="character" w:styleId="1019" w:customStyle="1">
    <w:name w:val="hover14"/>
    <w:basedOn w:val="726"/>
    <w:uiPriority w:val="0"/>
    <w:qFormat/>
    <w:rPr>
      <w:color w:val="5fb878"/>
    </w:rPr>
  </w:style>
  <w:style w:type="character" w:styleId="1020" w:customStyle="1">
    <w:name w:val="hover15"/>
    <w:basedOn w:val="726"/>
    <w:uiPriority w:val="0"/>
    <w:qFormat/>
    <w:rPr>
      <w:color w:val="5fb878"/>
    </w:rPr>
  </w:style>
  <w:style w:type="character" w:styleId="1021" w:customStyle="1">
    <w:name w:val="hover16"/>
    <w:basedOn w:val="726"/>
    <w:uiPriority w:val="0"/>
    <w:qFormat/>
    <w:rPr>
      <w:color w:val="ffffff"/>
    </w:rPr>
  </w:style>
  <w:style w:type="character" w:styleId="1022" w:customStyle="1">
    <w:name w:val="layui-this4"/>
    <w:basedOn w:val="726"/>
    <w:uiPriority w:val="0"/>
    <w:qFormat/>
    <w:rPr>
      <w:shd w:val="clear" w:color="auto" w:fill="ffffff"/>
    </w:rPr>
  </w:style>
  <w:style w:type="paragraph" w:styleId="1023"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24" w:customStyle="1">
    <w:name w:val="标题 12"/>
    <w:basedOn w:val="1025"/>
    <w:next w:val="1025"/>
    <w:uiPriority w:val="9"/>
    <w:qFormat/>
    <w:pPr>
      <w:keepLines/>
      <w:keepNext/>
      <w:spacing w:line="360" w:lineRule="auto"/>
      <w:outlineLvl w:val="0"/>
    </w:pPr>
    <w:rPr>
      <w:rFonts w:eastAsia="黑体"/>
      <w:b/>
      <w:bCs/>
      <w:sz w:val="32"/>
      <w:szCs w:val="44"/>
    </w:rPr>
  </w:style>
  <w:style w:type="paragraph" w:styleId="1025" w:customStyle="1">
    <w:name w:val="正文2"/>
    <w:next w:val="1024"/>
    <w:uiPriority w:val="0"/>
    <w:qFormat/>
    <w:pPr>
      <w:jc w:val="both"/>
      <w:widowControl w:val="off"/>
    </w:pPr>
    <w:rPr>
      <w:rFonts w:ascii="Times New Roman" w:hAnsi="Times New Roman" w:eastAsia="宋体" w:cs="Times New Roman"/>
      <w:sz w:val="21"/>
      <w:szCs w:val="22"/>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林祖超</cp:lastModifiedBy>
  <cp:revision>16</cp:revision>
  <dcterms:created xsi:type="dcterms:W3CDTF">2026-09-01T09:11:00Z</dcterms:created>
  <dcterms:modified xsi:type="dcterms:W3CDTF">2026-10-23T01:17:17Z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DD8F21B5E2C745519D8FBD11D51DB6D1_13</vt:lpwstr>
  </property>
  <property fmtid="{D5CDD505-2E9C-101B-9397-08002B2CF9AE}" pid="4" name="KSOTemplateDocerSaveRecord">
    <vt:lpwstr>eyJoZGlkIjoiZTVkNzQ3OWEyMTdhMmNjZTE0YWI3MmE4NDZlMmFlODAiLCJ1c2VySWQiOiI0MTk2MzY1OTUifQ==</vt:lpwstr>
  </property>
</Properties>
</file>