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right"/>
        <w:pageBreakBefore w:val="0"/>
        <w:spacing w:line="360" w:lineRule="auto"/>
        <w:rPr>
          <w:rFonts w:hint="eastAsia" w:ascii="Times New Roman" w:hAnsi="Times New Roman" w:eastAsia="宋体"/>
          <w:b/>
          <w:bCs/>
          <w:color w:val="auto"/>
          <w:sz w:val="36"/>
          <w:highlight w:val="none"/>
          <w:lang w:eastAsia="zh-CN"/>
        </w:rPr>
      </w:pPr>
      <w:r>
        <w:rPr>
          <w:rFonts w:hint="eastAsia" w:ascii="Times New Roman" w:hAnsi="Times New Roman" w:eastAsia="宋体"/>
          <w:b/>
          <w:bCs/>
          <w:color w:val="auto"/>
          <w:sz w:val="36"/>
          <w:highlight w:val="none"/>
        </w:rPr>
        <w:t xml:space="preserve">编号：</w:t>
      </w:r>
      <w:r>
        <w:rPr>
          <w:rFonts w:hint="eastAsia" w:ascii="Times New Roman" w:hAnsi="Times New Roman"/>
          <w:b/>
          <w:bCs/>
          <w:color w:val="auto"/>
          <w:sz w:val="36"/>
          <w:highlight w:val="none"/>
          <w:lang w:eastAsia="zh-CN"/>
        </w:rPr>
        <w:t xml:space="preserve">JSZC-321092-SWGC-G2025-0233</w:t>
      </w:r>
      <w:r>
        <w:rPr>
          <w:rFonts w:hint="eastAsia" w:ascii="Times New Roman" w:hAnsi="Times New Roman" w:eastAsia="宋体"/>
          <w:b/>
          <w:bCs/>
          <w:color w:val="auto"/>
          <w:sz w:val="36"/>
          <w:highlight w:val="none"/>
          <w:lang w:eastAsia="zh-CN"/>
        </w:rPr>
        <w:t xml:space="preserve">号</w:t>
      </w:r>
      <w:r/>
    </w:p>
    <w:p>
      <w:pPr>
        <w:jc w:val="center"/>
        <w:pageBreakBefore w:val="0"/>
        <w:spacing w:line="360" w:lineRule="auto"/>
        <w:rPr>
          <w:rFonts w:hint="eastAsia" w:ascii="Times New Roman" w:hAnsi="Times New Roman" w:eastAsia="宋体"/>
          <w:b/>
          <w:bCs/>
          <w:color w:val="auto"/>
          <w:sz w:val="36"/>
          <w:highlight w:val="none"/>
          <w:lang w:eastAsia="zh-CN"/>
        </w:rPr>
      </w:pPr>
      <w:r>
        <w:rPr>
          <w:rFonts w:hint="eastAsia" w:ascii="Times New Roman" w:hAnsi="Times New Roman" w:eastAsia="宋体"/>
          <w:b/>
          <w:bCs/>
          <w:color w:val="auto"/>
          <w:sz w:val="36"/>
          <w:highlight w:val="none"/>
          <w:lang w:eastAsia="zh-CN"/>
        </w:rPr>
      </w:r>
      <w:r/>
    </w:p>
    <w:p>
      <w:pPr>
        <w:jc w:val="center"/>
        <w:pageBreakBefore w:val="0"/>
        <w:spacing w:line="360" w:lineRule="auto"/>
        <w:rPr>
          <w:rFonts w:hint="eastAsia" w:ascii="Times New Roman" w:hAnsi="Times New Roman"/>
          <w:b/>
          <w:bCs/>
          <w:color w:val="auto"/>
          <w:sz w:val="36"/>
          <w:highlight w:val="none"/>
          <w:lang w:eastAsia="zh-CN"/>
        </w:rPr>
      </w:pPr>
      <w:r>
        <w:rPr>
          <w:rFonts w:hint="eastAsia" w:ascii="Times New Roman" w:hAnsi="Times New Roman"/>
          <w:b/>
          <w:bCs/>
          <w:color w:val="auto"/>
          <w:sz w:val="36"/>
          <w:highlight w:val="none"/>
          <w:lang w:eastAsia="zh-CN"/>
        </w:rPr>
      </w:r>
      <w:r/>
    </w:p>
    <w:p>
      <w:pPr>
        <w:jc w:val="center"/>
        <w:pageBreakBefore w:val="0"/>
        <w:spacing w:line="360" w:lineRule="auto"/>
        <w:rPr>
          <w:rFonts w:ascii="Times New Roman" w:hAnsi="Times New Roman" w:eastAsia="宋体"/>
          <w:color w:val="auto"/>
          <w:sz w:val="36"/>
          <w:highlight w:val="none"/>
        </w:rPr>
      </w:pPr>
      <w:r>
        <w:rPr>
          <w:rFonts w:hint="eastAsia" w:ascii="Times New Roman" w:hAnsi="Times New Roman"/>
          <w:b/>
          <w:bCs/>
          <w:color w:val="auto"/>
          <w:sz w:val="36"/>
          <w:highlight w:val="none"/>
          <w:lang w:eastAsia="zh-CN"/>
        </w:rPr>
        <w:t xml:space="preserve">扬州市蜀冈—瘦西湖风景名胜区平山乡卫生院检查设备采购项目</w:t>
      </w:r>
      <w:r>
        <w:rPr>
          <w:rFonts w:hint="eastAsia" w:ascii="Times New Roman" w:hAnsi="Times New Roman" w:eastAsia="宋体"/>
          <w:b/>
          <w:bCs/>
          <w:color w:val="auto"/>
          <w:sz w:val="36"/>
          <w:highlight w:val="none"/>
        </w:rPr>
        <w:t xml:space="preserve">公开招标文件</w:t>
      </w:r>
      <w:r/>
    </w:p>
    <w:p>
      <w:pPr>
        <w:jc w:val="center"/>
        <w:pageBreakBefore w:val="0"/>
        <w:spacing w:line="360" w:lineRule="auto"/>
        <w:rPr>
          <w:rFonts w:ascii="Times New Roman" w:hAnsi="Times New Roman" w:eastAsia="宋体"/>
          <w:color w:val="auto"/>
          <w:sz w:val="36"/>
          <w:highlight w:val="none"/>
        </w:rPr>
      </w:pPr>
      <w:r>
        <w:rPr>
          <w:rFonts w:hint="eastAsia" w:ascii="Times New Roman" w:hAnsi="Times New Roman" w:eastAsia="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2" name="图片 1" descr="08d66b1963638fca2576092b27cd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08d66b1963638fca2576092b27cd9f9"/>
                        <pic:cNvPicPr>
                          <a:picLocks noChangeAspect="1"/>
                        </pic:cNvPicPr>
                        <pic:nvPr/>
                      </pic:nvPicPr>
                      <pic:blipFill>
                        <a:blip r:embed="rId14"/>
                        <a:stretch/>
                      </pic:blipFill>
                      <pic:spPr bwMode="auto">
                        <a:xfrm>
                          <a:off x="0" y="0"/>
                          <a:ext cx="5266690" cy="3241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alse">
                <v:path textboxrect="0,0,0,0"/>
                <v:imagedata r:id="rId14" o:title=""/>
              </v:shape>
            </w:pict>
          </mc:Fallback>
        </mc:AlternateConten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江苏苏维工程管理有限公司</w:t>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202</w:t>
      </w:r>
      <w:r>
        <w:rPr>
          <w:rFonts w:hint="eastAsia" w:ascii="Times New Roman" w:hAnsi="Times New Roman" w:eastAsia="宋体"/>
          <w:b/>
          <w:bCs/>
          <w:color w:val="auto"/>
          <w:sz w:val="36"/>
          <w:highlight w:val="none"/>
          <w:lang w:val="en-US" w:eastAsia="zh-CN"/>
        </w:rPr>
        <w:t xml:space="preserve">5</w:t>
      </w:r>
      <w:r>
        <w:rPr>
          <w:rFonts w:hint="eastAsia" w:ascii="Times New Roman" w:hAnsi="Times New Roman" w:eastAsia="宋体"/>
          <w:b/>
          <w:bCs/>
          <w:color w:val="auto"/>
          <w:sz w:val="36"/>
          <w:highlight w:val="none"/>
        </w:rPr>
        <w:t xml:space="preserve">年</w:t>
      </w:r>
      <w:r>
        <w:rPr>
          <w:rFonts w:hint="eastAsia" w:ascii="Times New Roman" w:hAnsi="Times New Roman"/>
          <w:b/>
          <w:bCs/>
          <w:color w:val="auto"/>
          <w:sz w:val="36"/>
          <w:highlight w:val="none"/>
          <w:lang w:val="en-US" w:eastAsia="zh-CN"/>
        </w:rPr>
        <w:t xml:space="preserve">1</w:t>
      </w:r>
      <w:r>
        <w:rPr>
          <w:rFonts w:hint="default" w:ascii="Times New Roman" w:hAnsi="Times New Roman"/>
          <w:b/>
          <w:bCs/>
          <w:color w:val="auto"/>
          <w:sz w:val="36"/>
          <w:highlight w:val="none"/>
          <w:lang w:val="en-US" w:eastAsia="zh-CN"/>
        </w:rPr>
        <w:t xml:space="preserve">1</w:t>
      </w:r>
      <w:r>
        <w:rPr>
          <w:rFonts w:hint="eastAsia" w:ascii="Times New Roman" w:hAnsi="Times New Roman" w:eastAsia="宋体"/>
          <w:b/>
          <w:bCs/>
          <w:color w:val="auto"/>
          <w:sz w:val="36"/>
          <w:highlight w:val="none"/>
        </w:rPr>
        <w:t xml:space="preserve">月</w:t>
      </w:r>
      <w:r>
        <w:rPr>
          <w:rFonts w:hint="eastAsia" w:ascii="Times New Roman" w:hAnsi="Times New Roman"/>
          <w:b/>
          <w:bCs/>
          <w:color w:val="auto"/>
          <w:sz w:val="36"/>
          <w:highlight w:val="none"/>
          <w:lang w:val="en-US" w:eastAsia="zh-CN"/>
        </w:rPr>
        <w:t xml:space="preserve">12</w:t>
      </w:r>
      <w:r>
        <w:rPr>
          <w:rFonts w:hint="eastAsia" w:ascii="Times New Roman" w:hAnsi="Times New Roman" w:eastAsia="宋体"/>
          <w:b/>
          <w:bCs/>
          <w:color w:val="auto"/>
          <w:sz w:val="36"/>
          <w:highlight w:val="none"/>
        </w:rPr>
        <w:t xml:space="preserve">日</w:t>
      </w:r>
      <w:r/>
    </w:p>
    <w:p>
      <w:pPr>
        <w:jc w:val="center"/>
        <w:pageBreakBefore w:val="0"/>
        <w:spacing w:line="360" w:lineRule="auto"/>
        <w:rPr>
          <w:rFonts w:ascii="Times New Roman" w:hAnsi="Times New Roman" w:eastAsia="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sz w:val="32"/>
          <w:highlight w:val="none"/>
        </w:rPr>
      </w:r>
      <w:r/>
    </w:p>
    <w:p>
      <w:pPr>
        <w:pStyle w:val="735"/>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jc w:val="cente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jc w:val="center"/>
        <w:pageBreakBefore w:val="0"/>
        <w:spacing w:line="360" w:lineRule="auto"/>
        <w:rPr>
          <w:rFonts w:ascii="Times New Roman" w:hAnsi="Times New Roman" w:eastAsia="宋体"/>
          <w:b/>
          <w:bCs/>
          <w:color w:val="auto"/>
          <w:sz w:val="30"/>
          <w:szCs w:val="30"/>
          <w:highlight w:val="none"/>
        </w:rPr>
      </w:pPr>
      <w:r>
        <w:rPr>
          <w:rFonts w:hint="eastAsia" w:ascii="Times New Roman" w:hAnsi="Times New Roman" w:eastAsia="宋体"/>
          <w:b/>
          <w:bCs/>
          <w:color w:val="auto"/>
          <w:sz w:val="30"/>
          <w:szCs w:val="30"/>
          <w:highlight w:val="none"/>
        </w:rPr>
        <w:t xml:space="preserve">目 录</w:t>
      </w:r>
      <w:r/>
    </w:p>
    <w:p>
      <w:pPr>
        <w:pStyle w:val="738"/>
        <w:pageBreakBefore w:val="0"/>
        <w:spacing w:line="360" w:lineRule="auto"/>
        <w:tabs>
          <w:tab w:val="right" w:pos="8306" w:leader="dot"/>
        </w:tabs>
        <w:rPr>
          <w:rFonts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fldChar w:fldCharType="begin"/>
      </w:r>
      <w:r>
        <w:rPr>
          <w:rFonts w:hint="eastAsia" w:ascii="Times New Roman" w:hAnsi="Times New Roman" w:eastAsia="宋体"/>
          <w:color w:val="auto"/>
          <w:sz w:val="28"/>
          <w:szCs w:val="28"/>
          <w:highlight w:val="none"/>
        </w:rPr>
        <w:instrText xml:space="preserve"> TOC \o "1-3" \f </w:instrText>
      </w:r>
      <w:r>
        <w:rPr>
          <w:rFonts w:hint="eastAsia" w:ascii="Times New Roman" w:hAnsi="Times New Roman" w:eastAsia="宋体"/>
          <w:color w:val="auto"/>
          <w:sz w:val="28"/>
          <w:szCs w:val="28"/>
          <w:highlight w:val="none"/>
        </w:rPr>
        <w:fldChar w:fldCharType="separate"/>
      </w:r>
      <w:r>
        <w:rPr>
          <w:rFonts w:hint="eastAsia" w:ascii="Times New Roman" w:hAnsi="Times New Roman" w:eastAsia="宋体"/>
          <w:color w:val="auto"/>
          <w:sz w:val="28"/>
          <w:szCs w:val="28"/>
          <w:highlight w:val="none"/>
        </w:rPr>
        <w:t xml:space="preserve">第二章 投标人须知</w:t>
      </w:r>
      <w:r>
        <w:rPr>
          <w:rFonts w:ascii="Times New Roman" w:hAnsi="Times New Roman" w:eastAsia="宋体"/>
          <w:color w:val="auto"/>
          <w:sz w:val="28"/>
          <w:szCs w:val="28"/>
          <w:highlight w:val="none"/>
        </w:rPr>
        <w:tab/>
      </w:r>
      <w:r>
        <w:rPr>
          <w:rFonts w:ascii="Times New Roman" w:hAnsi="Times New Roman" w:eastAsia="宋体"/>
          <w:color w:val="auto"/>
          <w:sz w:val="28"/>
          <w:szCs w:val="28"/>
          <w:highlight w:val="none"/>
        </w:rPr>
        <w:fldChar w:fldCharType="begin"/>
      </w:r>
      <w:r>
        <w:rPr>
          <w:rFonts w:ascii="Times New Roman" w:hAnsi="Times New Roman" w:eastAsia="宋体"/>
          <w:color w:val="auto"/>
          <w:sz w:val="28"/>
          <w:szCs w:val="28"/>
          <w:highlight w:val="none"/>
        </w:rPr>
        <w:instrText xml:space="preserve"> PAGEREF _Toc25364 \h </w:instrText>
      </w:r>
      <w:r>
        <w:rPr>
          <w:rFonts w:ascii="Times New Roman" w:hAnsi="Times New Roman" w:eastAsia="宋体"/>
          <w:color w:val="auto"/>
          <w:sz w:val="28"/>
          <w:szCs w:val="28"/>
          <w:highlight w:val="none"/>
        </w:rPr>
        <w:fldChar w:fldCharType="separate"/>
      </w:r>
      <w:r>
        <w:rPr>
          <w:rFonts w:ascii="Times New Roman" w:hAnsi="Times New Roman" w:eastAsia="宋体"/>
          <w:color w:val="auto"/>
          <w:sz w:val="28"/>
          <w:szCs w:val="28"/>
          <w:highlight w:val="none"/>
        </w:rPr>
        <w:t xml:space="preserve">4</w:t>
      </w:r>
      <w:r>
        <w:rPr>
          <w:rFonts w:ascii="Times New Roman" w:hAnsi="Times New Roman" w:eastAsia="宋体"/>
          <w:color w:val="auto"/>
          <w:sz w:val="28"/>
          <w:szCs w:val="28"/>
          <w:highlight w:val="none"/>
        </w:rPr>
        <w:fldChar w:fldCharType="end"/>
      </w:r>
      <w:r/>
    </w:p>
    <w:p>
      <w:pPr>
        <w:pStyle w:val="738"/>
        <w:pageBreakBefore w:val="0"/>
        <w:spacing w:line="360" w:lineRule="auto"/>
        <w:tabs>
          <w:tab w:val="right" w:pos="8306" w:leader="dot"/>
        </w:tabs>
        <w:rPr>
          <w:rFonts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第三章 合同条款及格式</w:t>
      </w:r>
      <w:r>
        <w:rPr>
          <w:rFonts w:ascii="Times New Roman" w:hAnsi="Times New Roman" w:eastAsia="宋体"/>
          <w:color w:val="auto"/>
          <w:sz w:val="28"/>
          <w:szCs w:val="28"/>
          <w:highlight w:val="none"/>
        </w:rPr>
        <w:tab/>
      </w:r>
      <w:r>
        <w:rPr>
          <w:rFonts w:ascii="Times New Roman" w:hAnsi="Times New Roman" w:eastAsia="宋体"/>
          <w:color w:val="auto"/>
          <w:sz w:val="28"/>
          <w:szCs w:val="28"/>
          <w:highlight w:val="none"/>
        </w:rPr>
        <w:fldChar w:fldCharType="begin"/>
      </w:r>
      <w:r>
        <w:rPr>
          <w:rFonts w:ascii="Times New Roman" w:hAnsi="Times New Roman" w:eastAsia="宋体"/>
          <w:color w:val="auto"/>
          <w:sz w:val="28"/>
          <w:szCs w:val="28"/>
          <w:highlight w:val="none"/>
        </w:rPr>
        <w:instrText xml:space="preserve"> PAGEREF _Toc28449 \h </w:instrText>
      </w:r>
      <w:r>
        <w:rPr>
          <w:rFonts w:ascii="Times New Roman" w:hAnsi="Times New Roman" w:eastAsia="宋体"/>
          <w:color w:val="auto"/>
          <w:sz w:val="28"/>
          <w:szCs w:val="28"/>
          <w:highlight w:val="none"/>
        </w:rPr>
        <w:fldChar w:fldCharType="separate"/>
      </w:r>
      <w:r>
        <w:rPr>
          <w:rFonts w:ascii="Times New Roman" w:hAnsi="Times New Roman" w:eastAsia="宋体"/>
          <w:color w:val="auto"/>
          <w:sz w:val="28"/>
          <w:szCs w:val="28"/>
          <w:highlight w:val="none"/>
        </w:rPr>
        <w:t xml:space="preserve">15</w:t>
      </w:r>
      <w:r>
        <w:rPr>
          <w:rFonts w:ascii="Times New Roman" w:hAnsi="Times New Roman" w:eastAsia="宋体"/>
          <w:color w:val="auto"/>
          <w:sz w:val="28"/>
          <w:szCs w:val="28"/>
          <w:highlight w:val="none"/>
        </w:rPr>
        <w:fldChar w:fldCharType="end"/>
      </w:r>
      <w:r/>
    </w:p>
    <w:p>
      <w:pPr>
        <w:pStyle w:val="738"/>
        <w:pageBreakBefore w:val="0"/>
        <w:spacing w:line="360" w:lineRule="auto"/>
        <w:tabs>
          <w:tab w:val="right" w:pos="8306" w:leader="dot"/>
        </w:tabs>
        <w:rPr>
          <w:rFonts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第四章 项目需求</w:t>
      </w:r>
      <w:r>
        <w:rPr>
          <w:rFonts w:ascii="Times New Roman" w:hAnsi="Times New Roman" w:eastAsia="宋体"/>
          <w:color w:val="auto"/>
          <w:sz w:val="28"/>
          <w:szCs w:val="28"/>
          <w:highlight w:val="none"/>
        </w:rPr>
        <w:tab/>
      </w:r>
      <w:r>
        <w:rPr>
          <w:rFonts w:ascii="Times New Roman" w:hAnsi="Times New Roman" w:eastAsia="宋体"/>
          <w:color w:val="auto"/>
          <w:sz w:val="28"/>
          <w:szCs w:val="28"/>
          <w:highlight w:val="none"/>
        </w:rPr>
        <w:fldChar w:fldCharType="begin"/>
      </w:r>
      <w:r>
        <w:rPr>
          <w:rFonts w:ascii="Times New Roman" w:hAnsi="Times New Roman" w:eastAsia="宋体"/>
          <w:color w:val="auto"/>
          <w:sz w:val="28"/>
          <w:szCs w:val="28"/>
          <w:highlight w:val="none"/>
        </w:rPr>
        <w:instrText xml:space="preserve"> PAGEREF _Toc11364 \h </w:instrText>
      </w:r>
      <w:r>
        <w:rPr>
          <w:rFonts w:ascii="Times New Roman" w:hAnsi="Times New Roman" w:eastAsia="宋体"/>
          <w:color w:val="auto"/>
          <w:sz w:val="28"/>
          <w:szCs w:val="28"/>
          <w:highlight w:val="none"/>
        </w:rPr>
        <w:fldChar w:fldCharType="separate"/>
      </w:r>
      <w:r>
        <w:rPr>
          <w:rFonts w:ascii="Times New Roman" w:hAnsi="Times New Roman" w:eastAsia="宋体"/>
          <w:color w:val="auto"/>
          <w:sz w:val="28"/>
          <w:szCs w:val="28"/>
          <w:highlight w:val="none"/>
        </w:rPr>
        <w:t xml:space="preserve">19</w:t>
      </w:r>
      <w:r>
        <w:rPr>
          <w:rFonts w:ascii="Times New Roman" w:hAnsi="Times New Roman" w:eastAsia="宋体"/>
          <w:color w:val="auto"/>
          <w:sz w:val="28"/>
          <w:szCs w:val="28"/>
          <w:highlight w:val="none"/>
        </w:rPr>
        <w:fldChar w:fldCharType="end"/>
      </w:r>
      <w:r/>
    </w:p>
    <w:p>
      <w:pPr>
        <w:pStyle w:val="738"/>
        <w:pageBreakBefore w:val="0"/>
        <w:spacing w:line="360" w:lineRule="auto"/>
        <w:tabs>
          <w:tab w:val="right" w:pos="8306" w:leader="dot"/>
        </w:tabs>
        <w:rPr>
          <w:rFonts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第五章 评标方法及评标标准</w:t>
      </w:r>
      <w:r>
        <w:rPr>
          <w:rFonts w:ascii="Times New Roman" w:hAnsi="Times New Roman" w:eastAsia="宋体"/>
          <w:color w:val="auto"/>
          <w:sz w:val="28"/>
          <w:szCs w:val="28"/>
          <w:highlight w:val="none"/>
        </w:rPr>
        <w:tab/>
      </w:r>
      <w:r>
        <w:rPr>
          <w:rFonts w:ascii="Times New Roman" w:hAnsi="Times New Roman" w:eastAsia="宋体"/>
          <w:color w:val="auto"/>
          <w:sz w:val="28"/>
          <w:szCs w:val="28"/>
          <w:highlight w:val="none"/>
        </w:rPr>
        <w:fldChar w:fldCharType="begin"/>
      </w:r>
      <w:r>
        <w:rPr>
          <w:rFonts w:ascii="Times New Roman" w:hAnsi="Times New Roman" w:eastAsia="宋体"/>
          <w:color w:val="auto"/>
          <w:sz w:val="28"/>
          <w:szCs w:val="28"/>
          <w:highlight w:val="none"/>
        </w:rPr>
        <w:instrText xml:space="preserve"> PAGEREF _Toc27469 \h </w:instrText>
      </w:r>
      <w:r>
        <w:rPr>
          <w:rFonts w:ascii="Times New Roman" w:hAnsi="Times New Roman" w:eastAsia="宋体"/>
          <w:color w:val="auto"/>
          <w:sz w:val="28"/>
          <w:szCs w:val="28"/>
          <w:highlight w:val="none"/>
        </w:rPr>
        <w:fldChar w:fldCharType="separate"/>
      </w:r>
      <w:r>
        <w:rPr>
          <w:rFonts w:ascii="Times New Roman" w:hAnsi="Times New Roman" w:eastAsia="宋体"/>
          <w:color w:val="auto"/>
          <w:sz w:val="28"/>
          <w:szCs w:val="28"/>
          <w:highlight w:val="none"/>
        </w:rPr>
        <w:t xml:space="preserve">24</w:t>
      </w:r>
      <w:r>
        <w:rPr>
          <w:rFonts w:ascii="Times New Roman" w:hAnsi="Times New Roman" w:eastAsia="宋体"/>
          <w:color w:val="auto"/>
          <w:sz w:val="28"/>
          <w:szCs w:val="28"/>
          <w:highlight w:val="none"/>
        </w:rPr>
        <w:fldChar w:fldCharType="end"/>
      </w:r>
      <w:r/>
    </w:p>
    <w:p>
      <w:pPr>
        <w:pStyle w:val="738"/>
        <w:pageBreakBefore w:val="0"/>
        <w:spacing w:line="360" w:lineRule="auto"/>
        <w:tabs>
          <w:tab w:val="right" w:pos="8306" w:leader="dot"/>
        </w:tabs>
        <w:rPr>
          <w:rFonts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第六章 投标文件格式</w:t>
      </w:r>
      <w:r>
        <w:rPr>
          <w:rFonts w:ascii="Times New Roman" w:hAnsi="Times New Roman" w:eastAsia="宋体"/>
          <w:color w:val="auto"/>
          <w:sz w:val="28"/>
          <w:szCs w:val="28"/>
          <w:highlight w:val="none"/>
        </w:rPr>
        <w:tab/>
      </w:r>
      <w:r>
        <w:rPr>
          <w:rFonts w:ascii="Times New Roman" w:hAnsi="Times New Roman" w:eastAsia="宋体"/>
          <w:color w:val="auto"/>
          <w:sz w:val="28"/>
          <w:szCs w:val="28"/>
          <w:highlight w:val="none"/>
        </w:rPr>
        <w:fldChar w:fldCharType="begin"/>
      </w:r>
      <w:r>
        <w:rPr>
          <w:rFonts w:ascii="Times New Roman" w:hAnsi="Times New Roman" w:eastAsia="宋体"/>
          <w:color w:val="auto"/>
          <w:sz w:val="28"/>
          <w:szCs w:val="28"/>
          <w:highlight w:val="none"/>
        </w:rPr>
        <w:instrText xml:space="preserve"> PAGEREF _Toc14764 \h </w:instrText>
      </w:r>
      <w:r>
        <w:rPr>
          <w:rFonts w:ascii="Times New Roman" w:hAnsi="Times New Roman" w:eastAsia="宋体"/>
          <w:color w:val="auto"/>
          <w:sz w:val="28"/>
          <w:szCs w:val="28"/>
          <w:highlight w:val="none"/>
        </w:rPr>
        <w:fldChar w:fldCharType="separate"/>
      </w:r>
      <w:r>
        <w:rPr>
          <w:rFonts w:ascii="Times New Roman" w:hAnsi="Times New Roman" w:eastAsia="宋体"/>
          <w:color w:val="auto"/>
          <w:sz w:val="28"/>
          <w:szCs w:val="28"/>
          <w:highlight w:val="none"/>
        </w:rPr>
        <w:t xml:space="preserve">27</w:t>
      </w:r>
      <w:r>
        <w:rPr>
          <w:rFonts w:ascii="Times New Roman" w:hAnsi="Times New Roman" w:eastAsia="宋体"/>
          <w:color w:val="auto"/>
          <w:sz w:val="28"/>
          <w:szCs w:val="28"/>
          <w:highlight w:val="none"/>
        </w:rPr>
        <w:fldChar w:fldCharType="end"/>
      </w:r>
      <w:r/>
    </w:p>
    <w:p>
      <w:pPr>
        <w:pageBreakBefore w:val="0"/>
        <w:spacing w:line="360" w:lineRule="auto"/>
        <w:rPr>
          <w:rFonts w:ascii="Times New Roman" w:hAnsi="Times New Roman" w:eastAsia="宋体"/>
          <w:color w:val="auto"/>
          <w:sz w:val="28"/>
          <w:highlight w:val="none"/>
        </w:rPr>
      </w:pPr>
      <w:r>
        <w:rPr>
          <w:rFonts w:hint="eastAsia" w:ascii="Times New Roman" w:hAnsi="Times New Roman" w:eastAsia="宋体"/>
          <w:color w:val="auto"/>
          <w:sz w:val="28"/>
          <w:szCs w:val="28"/>
          <w:highlight w:val="none"/>
        </w:rPr>
        <w:fldChar w:fldCharType="end"/>
      </w:r>
      <w:r/>
    </w:p>
    <w:p>
      <w:pPr>
        <w:pStyle w:val="710"/>
        <w:jc w:val="center"/>
        <w:pageBreakBefore w:val="0"/>
        <w:spacing w:before="0" w:after="0" w:line="360" w:lineRule="auto"/>
        <w:rPr>
          <w:rFonts w:ascii="Times New Roman" w:hAnsi="Times New Roman" w:eastAsia="宋体"/>
          <w:color w:val="auto"/>
          <w:sz w:val="36"/>
          <w:szCs w:val="36"/>
          <w:highlight w:val="none"/>
        </w:rPr>
        <w:sectPr>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bookmarkStart w:id="0" w:name="_Toc55204177"/>
      <w:r/>
      <w:r/>
    </w:p>
    <w:p>
      <w:pPr>
        <w:pStyle w:val="710"/>
        <w:jc w:val="center"/>
        <w:pageBreakBefore w:val="0"/>
        <w:spacing w:before="0" w:after="0" w:line="360" w:lineRule="auto"/>
        <w:rPr>
          <w:rFonts w:ascii="Times New Roman" w:hAnsi="Times New Roman" w:eastAsia="宋体"/>
          <w:color w:val="auto"/>
          <w:sz w:val="36"/>
          <w:szCs w:val="36"/>
          <w:highlight w:val="none"/>
        </w:rPr>
      </w:pPr>
      <w:r/>
      <w:bookmarkStart w:id="1" w:name="_Toc19102"/>
      <w:r>
        <w:rPr>
          <w:rFonts w:hint="eastAsia" w:ascii="Times New Roman" w:hAnsi="Times New Roman" w:eastAsia="宋体"/>
          <w:color w:val="auto"/>
          <w:sz w:val="36"/>
          <w:szCs w:val="36"/>
          <w:highlight w:val="none"/>
        </w:rPr>
        <w:t xml:space="preserve">第一章 </w:t>
      </w:r>
      <w:r>
        <w:rPr>
          <w:rFonts w:hint="eastAsia" w:ascii="Times New Roman" w:hAnsi="Times New Roman"/>
          <w:color w:val="auto"/>
          <w:sz w:val="36"/>
          <w:szCs w:val="36"/>
          <w:highlight w:val="none"/>
          <w:lang w:eastAsia="zh-CN"/>
        </w:rPr>
        <w:t xml:space="preserve">扬州市蜀冈—瘦西湖风景名胜区平山乡卫生院检查设备采购项目</w:t>
      </w:r>
      <w:r>
        <w:rPr>
          <w:rFonts w:hint="eastAsia" w:ascii="Times New Roman" w:hAnsi="Times New Roman" w:eastAsia="宋体"/>
          <w:color w:val="auto"/>
          <w:sz w:val="36"/>
          <w:szCs w:val="36"/>
          <w:highlight w:val="none"/>
        </w:rPr>
        <w:t xml:space="preserve">采购公告</w:t>
      </w:r>
      <w:bookmarkEnd w:id="0"/>
      <w:r/>
      <w:bookmarkEnd w:id="1"/>
      <w:r/>
      <w:r/>
    </w:p>
    <w:p>
      <w:pPr>
        <w:ind w:firstLine="420"/>
        <w:jc w:val="left"/>
        <w:pageBreakBefore w:val="0"/>
        <w:spacing w:line="360" w:lineRule="auto"/>
        <w:tabs>
          <w:tab w:val="left" w:pos="266" w:leader="none"/>
        </w:tabs>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受</w:t>
      </w:r>
      <w:r>
        <w:rPr>
          <w:rFonts w:hint="eastAsia" w:ascii="Times New Roman" w:hAnsi="Times New Roman" w:cs="宋体"/>
          <w:color w:val="auto"/>
          <w:highlight w:val="none"/>
          <w:lang w:eastAsia="zh-CN"/>
        </w:rPr>
        <w:t xml:space="preserve">扬州市蜀冈—瘦西湖风景名胜区平山乡卫生院</w:t>
      </w:r>
      <w:r>
        <w:rPr>
          <w:rFonts w:hint="eastAsia" w:ascii="Times New Roman" w:hAnsi="Times New Roman" w:eastAsia="宋体" w:cs="宋体"/>
          <w:color w:val="auto"/>
          <w:highlight w:val="none"/>
        </w:rPr>
        <w:t xml:space="preserve">的委托，江苏苏维工程管理有限公司就</w:t>
      </w:r>
      <w:r>
        <w:rPr>
          <w:rFonts w:hint="eastAsia" w:ascii="Times New Roman" w:hAnsi="Times New Roman"/>
          <w:color w:val="auto"/>
          <w:highlight w:val="none"/>
          <w:lang w:eastAsia="zh-CN"/>
        </w:rPr>
        <w:t xml:space="preserve">扬州市蜀冈—瘦西湖风景名胜区平山乡卫生院检查设备采购项目</w:t>
      </w:r>
      <w:r>
        <w:rPr>
          <w:rFonts w:hint="eastAsia" w:ascii="Times New Roman" w:hAnsi="Times New Roman" w:eastAsia="宋体" w:cs="宋体"/>
          <w:color w:val="auto"/>
          <w:highlight w:val="none"/>
          <w:lang w:eastAsia="zh-CN"/>
        </w:rPr>
        <w:t xml:space="preserve">（</w:t>
      </w:r>
      <w:r>
        <w:rPr>
          <w:rFonts w:hint="eastAsia" w:ascii="Times New Roman" w:hAnsi="Times New Roman"/>
          <w:color w:val="auto"/>
          <w:szCs w:val="21"/>
          <w:highlight w:val="none"/>
          <w:lang w:eastAsia="zh-CN"/>
        </w:rPr>
        <w:t xml:space="preserve">JSZC-321092-SWGC-G2025-0233</w:t>
      </w:r>
      <w:r>
        <w:rPr>
          <w:rFonts w:hint="eastAsia" w:ascii="Times New Roman" w:hAnsi="Times New Roman" w:eastAsia="宋体"/>
          <w:color w:val="auto"/>
          <w:szCs w:val="21"/>
          <w:highlight w:val="none"/>
          <w:lang w:eastAsia="zh-CN"/>
        </w:rPr>
        <w:t xml:space="preserve">号</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rPr>
        <w:t xml:space="preserve">进行公开招标采购，欢迎符合条件的供应商投标。</w:t>
      </w:r>
      <w:r/>
    </w:p>
    <w:p>
      <w:pPr>
        <w:ind w:firstLine="422"/>
        <w:pageBreakBefore w:val="0"/>
        <w:spacing w:line="360" w:lineRule="auto"/>
        <w:rPr>
          <w:rFonts w:ascii="Times New Roman" w:hAnsi="Times New Roman" w:eastAsia="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s="宋体"/>
          <w:b/>
          <w:bCs/>
          <w:color w:val="auto"/>
          <w:highlight w:val="none"/>
        </w:rPr>
        <w:t xml:space="preserve">项目概况</w:t>
      </w:r>
      <w:r/>
    </w:p>
    <w:p>
      <w:pPr>
        <w:ind w:firstLine="420"/>
        <w:pageBreakBefore w:val="0"/>
        <w:spacing w:line="360" w:lineRule="auto"/>
        <w:rPr>
          <w:rFonts w:ascii="Times New Roman" w:hAnsi="Times New Roman"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olor w:val="auto"/>
          <w:highlight w:val="none"/>
          <w:u w:val="single"/>
          <w:lang w:eastAsia="zh-CN"/>
        </w:rPr>
        <w:t xml:space="preserve">扬州市蜀冈—瘦西湖风景名胜区平山乡卫生院检查设备采购项目</w:t>
      </w:r>
      <w:r>
        <w:rPr>
          <w:rFonts w:hint="eastAsia" w:ascii="Times New Roman" w:hAnsi="Times New Roman" w:eastAsia="宋体" w:cs="宋体"/>
          <w:color w:val="auto"/>
          <w:highlight w:val="none"/>
        </w:rPr>
        <w:t xml:space="preserve">的潜在投标人可在</w:t>
      </w:r>
      <w:r>
        <w:rPr>
          <w:rFonts w:hint="eastAsia" w:ascii="Times New Roman" w:hAnsi="Times New Roman" w:eastAsia="宋体" w:cs="宋体"/>
          <w:color w:val="auto"/>
          <w:highlight w:val="none"/>
          <w:u w:val="single"/>
        </w:rPr>
        <w:t xml:space="preserve">“扬州市政府采购网”、“江苏省政府采购网”和“中国政府采购网”自行免费下载</w:t>
      </w:r>
      <w:r>
        <w:rPr>
          <w:rFonts w:hint="eastAsia" w:ascii="Times New Roman" w:hAnsi="Times New Roman" w:eastAsia="宋体" w:cs="宋体"/>
          <w:color w:val="auto"/>
          <w:highlight w:val="none"/>
        </w:rPr>
        <w:t xml:space="preserve">招标文件，并于</w:t>
      </w:r>
      <w:r>
        <w:rPr>
          <w:rFonts w:hint="eastAsia" w:ascii="Times New Roman" w:hAnsi="Times New Roman" w:eastAsia="宋体" w:cs="宋体"/>
          <w:bCs/>
          <w:color w:val="auto"/>
          <w:highlight w:val="none"/>
          <w:u w:val="single"/>
          <w:lang w:eastAsia="zh-CN"/>
        </w:rPr>
        <w:t xml:space="preserve">202</w:t>
      </w:r>
      <w:r>
        <w:rPr>
          <w:rFonts w:hint="eastAsia" w:ascii="Times New Roman" w:hAnsi="Times New Roman" w:eastAsia="宋体" w:cs="宋体"/>
          <w:bCs/>
          <w:color w:val="auto"/>
          <w:highlight w:val="none"/>
          <w:u w:val="single"/>
          <w:lang w:val="en-US" w:eastAsia="zh-CN"/>
        </w:rPr>
        <w:t xml:space="preserve">5</w:t>
      </w:r>
      <w:r>
        <w:rPr>
          <w:rFonts w:hint="eastAsia" w:ascii="Times New Roman" w:hAnsi="Times New Roman" w:eastAsia="宋体" w:cs="宋体"/>
          <w:bCs/>
          <w:color w:val="auto"/>
          <w:highlight w:val="none"/>
          <w:u w:val="single"/>
          <w:lang w:eastAsia="zh-CN"/>
        </w:rPr>
        <w:t xml:space="preserve">年</w:t>
      </w:r>
      <w:r>
        <w:rPr>
          <w:rFonts w:hint="eastAsia" w:ascii="Times New Roman" w:hAnsi="Times New Roman" w:cs="宋体"/>
          <w:bCs/>
          <w:color w:val="auto"/>
          <w:highlight w:val="none"/>
          <w:u w:val="single"/>
          <w:lang w:val="en-US" w:eastAsia="zh-CN"/>
        </w:rPr>
        <w:t xml:space="preserve">12</w:t>
      </w:r>
      <w:r>
        <w:rPr>
          <w:rFonts w:hint="eastAsia" w:ascii="Times New Roman" w:hAnsi="Times New Roman" w:eastAsia="宋体" w:cs="宋体"/>
          <w:bCs/>
          <w:color w:val="auto"/>
          <w:highlight w:val="none"/>
          <w:u w:val="single"/>
          <w:lang w:eastAsia="zh-CN"/>
        </w:rPr>
        <w:t xml:space="preserve">月</w:t>
      </w:r>
      <w:r>
        <w:rPr>
          <w:rFonts w:hint="eastAsia" w:ascii="Times New Roman" w:hAnsi="Times New Roman" w:cs="宋体"/>
          <w:bCs/>
          <w:color w:val="auto"/>
          <w:highlight w:val="none"/>
          <w:u w:val="single"/>
          <w:lang w:val="en-US" w:eastAsia="zh-CN"/>
        </w:rPr>
        <w:t xml:space="preserve">3</w:t>
      </w:r>
      <w:r>
        <w:rPr>
          <w:rFonts w:hint="eastAsia" w:ascii="Times New Roman" w:hAnsi="Times New Roman" w:eastAsia="宋体" w:cs="宋体"/>
          <w:bCs/>
          <w:color w:val="auto"/>
          <w:highlight w:val="none"/>
          <w:u w:val="single"/>
          <w:lang w:eastAsia="zh-CN"/>
        </w:rPr>
        <w:t xml:space="preserve">日</w:t>
      </w:r>
      <w:r>
        <w:rPr>
          <w:rFonts w:hint="eastAsia" w:ascii="Times New Roman" w:hAnsi="Times New Roman" w:cs="宋体"/>
          <w:bCs/>
          <w:color w:val="auto"/>
          <w:highlight w:val="none"/>
          <w:u w:val="single"/>
          <w:lang w:val="en-US" w:eastAsia="zh-CN"/>
        </w:rPr>
        <w:t xml:space="preserve">上</w:t>
      </w:r>
      <w:r>
        <w:rPr>
          <w:rFonts w:hint="eastAsia" w:ascii="Times New Roman" w:hAnsi="Times New Roman" w:eastAsia="宋体" w:cs="宋体"/>
          <w:bCs/>
          <w:color w:val="auto"/>
          <w:highlight w:val="none"/>
          <w:u w:val="single"/>
          <w:lang w:eastAsia="zh-CN"/>
        </w:rPr>
        <w:t xml:space="preserve">午</w:t>
      </w:r>
      <w:r>
        <w:rPr>
          <w:rFonts w:hint="eastAsia" w:ascii="Times New Roman" w:hAnsi="Times New Roman" w:cs="宋体"/>
          <w:bCs/>
          <w:color w:val="auto"/>
          <w:highlight w:val="none"/>
          <w:u w:val="single"/>
          <w:lang w:val="en-US" w:eastAsia="zh-CN"/>
        </w:rPr>
        <w:t xml:space="preserve">9</w:t>
      </w:r>
      <w:r>
        <w:rPr>
          <w:rFonts w:hint="eastAsia" w:ascii="Times New Roman" w:hAnsi="Times New Roman" w:eastAsia="宋体" w:cs="宋体"/>
          <w:bCs/>
          <w:color w:val="auto"/>
          <w:highlight w:val="none"/>
          <w:u w:val="single"/>
          <w:lang w:eastAsia="zh-CN"/>
        </w:rPr>
        <w:t xml:space="preserve">:30</w:t>
      </w:r>
      <w:r>
        <w:rPr>
          <w:rFonts w:hint="eastAsia" w:ascii="Times New Roman" w:hAnsi="Times New Roman" w:eastAsia="宋体" w:cs="宋体"/>
          <w:bCs/>
          <w:color w:val="auto"/>
          <w:highlight w:val="none"/>
          <w:lang w:eastAsia="zh-CN"/>
        </w:rPr>
        <w:t xml:space="preserve">（</w:t>
      </w:r>
      <w:r>
        <w:rPr>
          <w:rFonts w:hint="eastAsia" w:ascii="Times New Roman" w:hAnsi="Times New Roman" w:eastAsia="宋体" w:cs="宋体"/>
          <w:bCs/>
          <w:color w:val="auto"/>
          <w:highlight w:val="none"/>
        </w:rPr>
        <w:t xml:space="preserve">北京时间）前递交投标文件</w:t>
      </w:r>
      <w:r>
        <w:rPr>
          <w:rFonts w:hint="eastAsia" w:ascii="Times New Roman" w:hAnsi="Times New Roman" w:eastAsia="宋体" w:cs="宋体"/>
          <w:color w:val="auto"/>
          <w:highlight w:val="none"/>
        </w:rPr>
        <w:t xml:space="preserve">。</w:t>
      </w:r>
      <w:r/>
    </w:p>
    <w:p>
      <w:pPr>
        <w:pageBreakBefore w:val="0"/>
        <w:spacing w:line="360" w:lineRule="auto"/>
        <w:tabs>
          <w:tab w:val="left" w:pos="266" w:leader="none"/>
        </w:tabs>
        <w:rPr>
          <w:rFonts w:ascii="Times New Roman" w:hAnsi="Times New Roman" w:eastAsia="宋体" w:cs="宋体"/>
          <w:b/>
          <w:bCs/>
          <w:color w:val="auto"/>
          <w:highlight w:val="none"/>
        </w:rPr>
      </w:pPr>
      <w:r/>
      <w:bookmarkStart w:id="2" w:name="_Toc28359002"/>
      <w:r/>
      <w:bookmarkStart w:id="3" w:name="_Toc35393790"/>
      <w:r/>
      <w:bookmarkStart w:id="4" w:name="_Toc28359079"/>
      <w:r/>
      <w:bookmarkStart w:id="5" w:name="_Toc35393621"/>
      <w:r/>
      <w:bookmarkStart w:id="6" w:name="_Toc38985263"/>
      <w:r/>
      <w:bookmarkStart w:id="7" w:name="_Hlk24379207"/>
      <w:r>
        <w:rPr>
          <w:rFonts w:hint="eastAsia" w:ascii="Times New Roman" w:hAnsi="Times New Roman" w:eastAsia="宋体" w:cs="宋体"/>
          <w:b/>
          <w:bCs/>
          <w:color w:val="auto"/>
          <w:highlight w:val="none"/>
        </w:rPr>
        <w:t xml:space="preserve">一、项目基本情况</w:t>
      </w:r>
      <w:bookmarkEnd w:id="2"/>
      <w:r/>
      <w:bookmarkEnd w:id="3"/>
      <w:r/>
      <w:bookmarkEnd w:id="4"/>
      <w:r/>
      <w:bookmarkEnd w:id="5"/>
      <w:r/>
      <w:bookmarkEnd w:id="6"/>
      <w:r/>
      <w:r/>
    </w:p>
    <w:p>
      <w:pPr>
        <w:ind w:firstLine="420"/>
        <w:pageBreakBefore w:val="0"/>
        <w:spacing w:line="360" w:lineRule="auto"/>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highlight w:val="none"/>
        </w:rPr>
        <w:t xml:space="preserve">1.项目编号：</w:t>
      </w:r>
      <w:r>
        <w:rPr>
          <w:rFonts w:hint="eastAsia" w:ascii="Times New Roman" w:hAnsi="Times New Roman"/>
          <w:color w:val="auto"/>
          <w:szCs w:val="21"/>
          <w:highlight w:val="none"/>
          <w:lang w:eastAsia="zh-CN"/>
        </w:rPr>
        <w:t xml:space="preserve">JSZC-321092-SWGC-G2025-0233</w:t>
      </w:r>
      <w:r>
        <w:rPr>
          <w:rFonts w:hint="eastAsia" w:ascii="Times New Roman" w:hAnsi="Times New Roman" w:eastAsia="宋体"/>
          <w:color w:val="auto"/>
          <w:szCs w:val="21"/>
          <w:highlight w:val="none"/>
          <w:lang w:eastAsia="zh-CN"/>
        </w:rPr>
        <w:t xml:space="preserve">号</w:t>
      </w:r>
      <w:r/>
    </w:p>
    <w:p>
      <w:pPr>
        <w:ind w:firstLine="420"/>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2.项目名称：</w:t>
      </w:r>
      <w:bookmarkEnd w:id="7"/>
      <w:r>
        <w:rPr>
          <w:rFonts w:hint="eastAsia" w:ascii="Times New Roman" w:hAnsi="Times New Roman"/>
          <w:color w:val="auto"/>
          <w:highlight w:val="none"/>
          <w:lang w:eastAsia="zh-CN"/>
        </w:rPr>
        <w:t xml:space="preserve">扬州市蜀冈—瘦西湖风景名胜区平山乡卫生院检查设备采购项目</w:t>
      </w:r>
      <w:r/>
    </w:p>
    <w:p>
      <w:pPr>
        <w:ind w:firstLine="420"/>
        <w:pageBreakBefore w:val="0"/>
        <w:spacing w:line="360" w:lineRule="auto"/>
        <w:rPr>
          <w:rFonts w:hint="eastAsia" w:ascii="Times New Roman" w:hAnsi="Times New Roman" w:eastAsia="宋体"/>
          <w:color w:val="auto"/>
          <w:highlight w:val="none"/>
          <w:lang w:eastAsia="zh-CN"/>
        </w:rPr>
      </w:pPr>
      <w:r>
        <w:rPr>
          <w:rFonts w:hint="eastAsia" w:ascii="Times New Roman" w:hAnsi="Times New Roman" w:eastAsia="宋体"/>
          <w:color w:val="auto"/>
          <w:highlight w:val="none"/>
          <w:lang w:eastAsia="zh-CN"/>
        </w:rPr>
        <w:t xml:space="preserve">3.预算金额：</w:t>
      </w:r>
      <w:r>
        <w:rPr>
          <w:rFonts w:hint="eastAsia" w:ascii="Times New Roman" w:hAnsi="Times New Roman"/>
          <w:color w:val="auto"/>
          <w:highlight w:val="none"/>
          <w:lang w:val="en-US" w:eastAsia="zh-CN"/>
        </w:rPr>
        <w:t xml:space="preserve">127</w:t>
      </w:r>
      <w:r>
        <w:rPr>
          <w:rFonts w:hint="eastAsia" w:ascii="Times New Roman" w:hAnsi="Times New Roman" w:eastAsia="宋体"/>
          <w:color w:val="auto"/>
          <w:highlight w:val="none"/>
          <w:lang w:eastAsia="zh-CN"/>
        </w:rPr>
        <w:t xml:space="preserve">万元。</w:t>
      </w:r>
      <w:r/>
    </w:p>
    <w:p>
      <w:pPr>
        <w:ind w:firstLine="420"/>
        <w:pageBreakBefore w:val="0"/>
        <w:spacing w:line="360" w:lineRule="auto"/>
        <w:rPr>
          <w:rFonts w:hint="eastAsia" w:ascii="Times New Roman" w:hAnsi="Times New Roman" w:eastAsia="宋体"/>
          <w:color w:val="auto"/>
          <w:highlight w:val="none"/>
          <w:lang w:eastAsia="zh-CN"/>
        </w:rPr>
      </w:pPr>
      <w:r>
        <w:rPr>
          <w:rFonts w:hint="eastAsia" w:ascii="Times New Roman" w:hAnsi="Times New Roman" w:eastAsia="宋体"/>
          <w:color w:val="auto"/>
          <w:highlight w:val="none"/>
          <w:lang w:eastAsia="zh-CN"/>
        </w:rPr>
        <w:t xml:space="preserve">4.本项目设置最高限价，最高限价</w:t>
      </w:r>
      <w:r>
        <w:rPr>
          <w:rFonts w:hint="eastAsia" w:ascii="Times New Roman" w:hAnsi="Times New Roman"/>
          <w:color w:val="auto"/>
          <w:highlight w:val="none"/>
          <w:lang w:val="en-US" w:eastAsia="zh-CN"/>
        </w:rPr>
        <w:t xml:space="preserve">127</w:t>
      </w:r>
      <w:r>
        <w:rPr>
          <w:rFonts w:hint="eastAsia" w:ascii="Times New Roman" w:hAnsi="Times New Roman" w:eastAsia="宋体"/>
          <w:color w:val="auto"/>
          <w:highlight w:val="none"/>
          <w:lang w:eastAsia="zh-CN"/>
        </w:rPr>
        <w:t xml:space="preserve">万元，报价超过最高限价的为无效投标。</w:t>
      </w:r>
      <w:r/>
    </w:p>
    <w:p>
      <w:pPr>
        <w:ind w:firstLine="420"/>
        <w:pageBreakBefore w:val="0"/>
        <w:spacing w:line="360" w:lineRule="auto"/>
        <w:rPr>
          <w:rFonts w:hint="eastAsia" w:ascii="Times New Roman" w:hAnsi="Times New Roman" w:eastAsia="宋体"/>
          <w:color w:val="auto"/>
          <w:highlight w:val="none"/>
          <w:lang w:eastAsia="zh-CN"/>
        </w:rPr>
      </w:pPr>
      <w:r>
        <w:rPr>
          <w:rFonts w:hint="eastAsia" w:ascii="Times New Roman" w:hAnsi="Times New Roman" w:eastAsia="宋体"/>
          <w:color w:val="auto"/>
          <w:highlight w:val="none"/>
          <w:lang w:eastAsia="zh-CN"/>
        </w:rPr>
        <w:t xml:space="preserve">5.采购需求：见招标文件第四章。</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6.合同履行期限：见招标文件第四章。</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7.本项目</w:t>
      </w:r>
      <w:r>
        <w:rPr>
          <w:rFonts w:hint="eastAsia" w:ascii="Times New Roman" w:hAnsi="Times New Roman" w:eastAsia="宋体" w:cs="宋体"/>
          <w:color w:val="auto"/>
          <w:highlight w:val="none"/>
          <w:u w:val="single"/>
        </w:rPr>
        <w:t xml:space="preserve">不接受</w:t>
      </w:r>
      <w:r>
        <w:rPr>
          <w:rFonts w:hint="eastAsia" w:ascii="Times New Roman" w:hAnsi="Times New Roman" w:eastAsia="宋体" w:cs="宋体"/>
          <w:color w:val="auto"/>
          <w:highlight w:val="none"/>
        </w:rPr>
        <w:t xml:space="preserve">联合体投标。  </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8.本项目</w:t>
      </w:r>
      <w:r>
        <w:rPr>
          <w:rFonts w:hint="eastAsia" w:ascii="Times New Roman" w:hAnsi="Times New Roman" w:eastAsia="宋体" w:cs="宋体"/>
          <w:color w:val="auto"/>
          <w:highlight w:val="none"/>
          <w:u w:val="single"/>
          <w:lang w:val="en-US" w:eastAsia="zh-CN"/>
        </w:rPr>
        <w:t xml:space="preserve">不</w:t>
      </w:r>
      <w:r>
        <w:rPr>
          <w:rFonts w:hint="eastAsia" w:ascii="Times New Roman" w:hAnsi="Times New Roman" w:eastAsia="宋体" w:cs="宋体"/>
          <w:color w:val="auto"/>
          <w:highlight w:val="none"/>
          <w:u w:val="single"/>
        </w:rPr>
        <w:t xml:space="preserve">接受</w:t>
      </w:r>
      <w:r>
        <w:rPr>
          <w:rFonts w:hint="eastAsia" w:ascii="Times New Roman" w:hAnsi="Times New Roman" w:eastAsia="宋体" w:cs="宋体"/>
          <w:color w:val="auto"/>
          <w:highlight w:val="none"/>
        </w:rPr>
        <w:t xml:space="preserve">进口产品投标。</w:t>
      </w:r>
      <w:r/>
    </w:p>
    <w:p>
      <w:pPr>
        <w:pageBreakBefore w:val="0"/>
        <w:spacing w:line="360" w:lineRule="auto"/>
        <w:tabs>
          <w:tab w:val="left" w:pos="266" w:leader="none"/>
        </w:tabs>
        <w:rPr>
          <w:rFonts w:ascii="Times New Roman" w:hAnsi="Times New Roman" w:eastAsia="宋体" w:cs="宋体"/>
          <w:b/>
          <w:bCs/>
          <w:color w:val="auto"/>
          <w:highlight w:val="none"/>
        </w:rPr>
      </w:pPr>
      <w:r/>
      <w:bookmarkStart w:id="8" w:name="_Toc28359080"/>
      <w:r/>
      <w:bookmarkStart w:id="9" w:name="_Toc28359003"/>
      <w:r/>
      <w:bookmarkStart w:id="10" w:name="_Toc38985264"/>
      <w:r/>
      <w:bookmarkStart w:id="11" w:name="_Toc35393791"/>
      <w:r/>
      <w:bookmarkStart w:id="12" w:name="_Toc35393622"/>
      <w:r>
        <w:rPr>
          <w:rFonts w:hint="eastAsia" w:ascii="Times New Roman" w:hAnsi="Times New Roman" w:eastAsia="宋体" w:cs="宋体"/>
          <w:b/>
          <w:bCs/>
          <w:color w:val="auto"/>
          <w:highlight w:val="none"/>
        </w:rPr>
        <w:t xml:space="preserve">二、申请人的资格要求：</w:t>
      </w:r>
      <w:bookmarkEnd w:id="8"/>
      <w:r/>
      <w:bookmarkEnd w:id="9"/>
      <w:r/>
      <w:bookmarkEnd w:id="10"/>
      <w:r/>
      <w:bookmarkEnd w:id="11"/>
      <w:r/>
      <w:bookmarkEnd w:id="12"/>
      <w:r/>
      <w:r/>
    </w:p>
    <w:p>
      <w:pPr>
        <w:ind w:firstLine="420"/>
        <w:pageBreakBefore w:val="0"/>
        <w:spacing w:line="360" w:lineRule="auto"/>
        <w:rPr>
          <w:rFonts w:ascii="Times New Roman" w:hAnsi="Times New Roman" w:eastAsia="宋体" w:cs="宋体"/>
          <w:color w:val="auto"/>
          <w:szCs w:val="21"/>
          <w:highlight w:val="none"/>
        </w:rPr>
      </w:pPr>
      <w:r/>
      <w:bookmarkStart w:id="13" w:name="_Toc28359004"/>
      <w:r/>
      <w:bookmarkStart w:id="14" w:name="_Toc35393792"/>
      <w:r/>
      <w:bookmarkStart w:id="15" w:name="_Toc28359081"/>
      <w:r/>
      <w:bookmarkStart w:id="16" w:name="_Toc35393623"/>
      <w:r/>
      <w:bookmarkStart w:id="17" w:name="_Toc38985265"/>
      <w:r>
        <w:rPr>
          <w:rFonts w:hint="eastAsia" w:ascii="Times New Roman" w:hAnsi="Times New Roman" w:eastAsia="宋体" w:cs="宋体"/>
          <w:color w:val="auto"/>
          <w:szCs w:val="21"/>
          <w:highlight w:val="none"/>
        </w:rPr>
        <w:t xml:space="preserve">1.满足《中华人民共和国政府采购法》第二十二条规定：</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1.1法人或者其他组织的营业执照等证明文件，自然人的身份证明。</w:t>
      </w:r>
      <w:r/>
    </w:p>
    <w:p>
      <w:pPr>
        <w:ind w:firstLine="420"/>
        <w:pageBreakBefore w:val="0"/>
        <w:spacing w:line="360" w:lineRule="auto"/>
        <w:rPr>
          <w:rFonts w:ascii="Times New Roman" w:hAnsi="Times New Roman" w:eastAsia="宋体"/>
          <w:b/>
          <w:bCs/>
          <w:i/>
          <w:iCs/>
          <w:color w:val="auto"/>
          <w:highlight w:val="none"/>
          <w:u w:val="single"/>
        </w:rPr>
      </w:pPr>
      <w:r>
        <w:rPr>
          <w:rFonts w:hint="eastAsia" w:ascii="Times New Roman" w:hAnsi="Times New Roman" w:eastAsia="宋体" w:cs="宋体"/>
          <w:i/>
          <w:iCs/>
          <w:color w:val="auto"/>
          <w:szCs w:val="21"/>
          <w:highlight w:val="none"/>
          <w:u w:val="single"/>
        </w:rPr>
        <w:t xml:space="preserve">1.2 依法缴纳税收和社会保障资金的相关材料</w:t>
      </w:r>
      <w:r>
        <w:rPr>
          <w:rFonts w:hint="eastAsia" w:ascii="Times New Roman" w:hAnsi="Times New Roman" w:eastAsia="宋体" w:cs="宋体"/>
          <w:b/>
          <w:bCs/>
          <w:i/>
          <w:iCs/>
          <w:color w:val="auto"/>
          <w:szCs w:val="21"/>
          <w:highlight w:val="none"/>
          <w:u w:val="single"/>
          <w:lang w:eastAsia="zh-CN"/>
        </w:rPr>
        <w:t xml:space="preserve">（</w:t>
      </w:r>
      <w:r>
        <w:rPr>
          <w:rFonts w:hint="eastAsia" w:ascii="Times New Roman" w:hAnsi="Times New Roman" w:eastAsia="宋体"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1.3 上一年度的财务状况报告</w:t>
      </w:r>
      <w:r>
        <w:rPr>
          <w:rFonts w:hint="eastAsia" w:ascii="Times New Roman" w:hAnsi="Times New Roman" w:eastAsia="宋体" w:cs="宋体"/>
          <w:b/>
          <w:bCs/>
          <w:i/>
          <w:iCs/>
          <w:color w:val="auto"/>
          <w:szCs w:val="21"/>
          <w:highlight w:val="none"/>
          <w:u w:val="single"/>
          <w:lang w:eastAsia="zh-CN"/>
        </w:rPr>
        <w:t xml:space="preserve">（</w:t>
      </w:r>
      <w:r>
        <w:rPr>
          <w:rFonts w:hint="eastAsia" w:ascii="Times New Roman" w:hAnsi="Times New Roman" w:eastAsia="宋体" w:cs="宋体"/>
          <w:b/>
          <w:bCs/>
          <w:i/>
          <w:iCs/>
          <w:color w:val="auto"/>
          <w:szCs w:val="21"/>
          <w:highlight w:val="none"/>
          <w:u w:val="single"/>
        </w:rPr>
        <w:t xml:space="preserve">成立不满一年不需提供）。</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1.4 具备履行合同所必需的设备和专业技术能力的证明材料。</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1.5 参加本次政府采购活动前3年内在经营活动中没有重大违法记录的书面声明。</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1.6未被“信用中国”网站</w:t>
      </w:r>
      <w:r>
        <w:rPr>
          <w:rFonts w:hint="eastAsia" w:ascii="Times New Roman" w:hAnsi="Times New Roman" w:eastAsia="宋体" w:cs="宋体"/>
          <w:i/>
          <w:iCs/>
          <w:color w:val="auto"/>
          <w:szCs w:val="21"/>
          <w:highlight w:val="none"/>
          <w:u w:val="single"/>
          <w:lang w:eastAsia="zh-CN"/>
        </w:rPr>
        <w:t xml:space="preserve">（</w:t>
      </w:r>
      <w:r>
        <w:rPr>
          <w:rFonts w:hint="eastAsia" w:ascii="Times New Roman" w:hAnsi="Times New Roman" w:eastAsia="宋体" w:cs="宋体"/>
          <w:i/>
          <w:iCs/>
          <w:color w:val="auto"/>
          <w:szCs w:val="21"/>
          <w:highlight w:val="none"/>
          <w:u w:val="single"/>
        </w:rPr>
        <w:t xml:space="preserve">www.creditchina.gov.cn）、“中国政府采购网”</w:t>
      </w:r>
      <w:r>
        <w:rPr>
          <w:rFonts w:hint="eastAsia" w:ascii="Times New Roman" w:hAnsi="Times New Roman" w:eastAsia="宋体" w:cs="宋体"/>
          <w:i/>
          <w:iCs/>
          <w:color w:val="auto"/>
          <w:szCs w:val="21"/>
          <w:highlight w:val="none"/>
          <w:u w:val="single"/>
          <w:lang w:eastAsia="zh-CN"/>
        </w:rPr>
        <w:t xml:space="preserve">（</w:t>
      </w:r>
      <w:r>
        <w:rPr>
          <w:rFonts w:hint="eastAsia" w:ascii="Times New Roman" w:hAnsi="Times New Roman" w:eastAsia="宋体" w:cs="宋体"/>
          <w:i/>
          <w:iCs/>
          <w:color w:val="auto"/>
          <w:szCs w:val="21"/>
          <w:highlight w:val="none"/>
          <w:u w:val="single"/>
        </w:rPr>
        <w:t xml:space="preserve">www.ccgp.gov.cn</w:t>
      </w:r>
      <w:r>
        <w:rPr>
          <w:rFonts w:hint="eastAsia" w:ascii="Times New Roman" w:hAnsi="Times New Roman" w:eastAsia="宋体" w:cs="宋体"/>
          <w:i/>
          <w:iCs/>
          <w:color w:val="auto"/>
          <w:szCs w:val="21"/>
          <w:highlight w:val="none"/>
          <w:u w:val="single"/>
          <w:lang w:eastAsia="zh-CN"/>
        </w:rPr>
        <w:t xml:space="preserve">）</w:t>
      </w:r>
      <w:r>
        <w:rPr>
          <w:rFonts w:hint="eastAsia" w:ascii="Times New Roman" w:hAnsi="Times New Roman" w:eastAsia="宋体" w:cs="宋体"/>
          <w:i/>
          <w:iCs/>
          <w:color w:val="auto"/>
          <w:szCs w:val="21"/>
          <w:highlight w:val="none"/>
          <w:u w:val="single"/>
        </w:rPr>
        <w:t xml:space="preserve">列入失信被执行人、重大税收违法案件当事人名单、政府采购严重违法失信行为记录名单及其他不符合《中华人民共和国政府采购法》第二十二条规定条件的信用记录。</w:t>
      </w:r>
      <w:r>
        <w:rPr>
          <w:rFonts w:hint="eastAsia" w:ascii="Times New Roman" w:hAnsi="Times New Roman" w:eastAsia="宋体" w:cs="宋体"/>
          <w:b/>
          <w:bCs/>
          <w:i/>
          <w:iCs/>
          <w:color w:val="auto"/>
          <w:szCs w:val="21"/>
          <w:highlight w:val="none"/>
          <w:u w:val="single"/>
          <w:lang w:eastAsia="zh-CN"/>
        </w:rPr>
        <w:t xml:space="preserve">（</w:t>
      </w:r>
      <w:r>
        <w:rPr>
          <w:rFonts w:hint="eastAsia" w:ascii="Times New Roman" w:hAnsi="Times New Roman" w:eastAsia="宋体" w:cs="宋体"/>
          <w:b/>
          <w:bCs/>
          <w:i/>
          <w:iCs/>
          <w:color w:val="auto"/>
          <w:szCs w:val="21"/>
          <w:highlight w:val="none"/>
          <w:u w:val="single"/>
        </w:rPr>
        <w:t xml:space="preserve">投标文件中无需提供证明材料）。</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1.7供应商信用承诺函。</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2.落实政府采购政策需满足的资格要求：</w:t>
      </w:r>
      <w:r>
        <w:rPr>
          <w:rFonts w:hint="eastAsia" w:ascii="Times New Roman" w:hAnsi="Times New Roman" w:eastAsia="宋体" w:cs="宋体"/>
          <w:i/>
          <w:color w:val="auto"/>
          <w:szCs w:val="21"/>
          <w:highlight w:val="none"/>
          <w:u w:val="single"/>
        </w:rPr>
        <w:t xml:space="preserve">无。</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3.本项目的特定资格要求：</w:t>
      </w:r>
      <w:r/>
    </w:p>
    <w:p>
      <w:pPr>
        <w:ind w:firstLine="420"/>
        <w:spacing w:line="360" w:lineRule="auto"/>
        <w:rPr>
          <w:rFonts w:hint="eastAsia" w:ascii="宋体" w:hAnsi="宋体" w:eastAsia="宋体" w:cs="宋体"/>
          <w:i/>
          <w:color w:val="auto"/>
          <w:szCs w:val="21"/>
          <w:highlight w:val="none"/>
          <w:u w:val="single"/>
          <w:lang w:eastAsia="zh-CN"/>
        </w:rPr>
      </w:pPr>
      <w:r>
        <w:rPr>
          <w:rFonts w:hint="eastAsia" w:ascii="宋体" w:hAnsi="宋体" w:cs="宋体"/>
          <w:i/>
          <w:color w:val="auto"/>
          <w:szCs w:val="21"/>
          <w:highlight w:val="none"/>
          <w:u w:val="single"/>
          <w:lang w:val="en-US" w:eastAsia="zh-CN"/>
        </w:rPr>
        <w:t xml:space="preserve">3.1</w:t>
      </w:r>
      <w:r>
        <w:rPr>
          <w:rFonts w:hint="eastAsia" w:ascii="宋体" w:hAnsi="宋体" w:cs="宋体"/>
          <w:i/>
          <w:color w:val="auto"/>
          <w:szCs w:val="21"/>
          <w:highlight w:val="none"/>
          <w:u w:val="single"/>
        </w:rPr>
        <w:t xml:space="preserve">所投产品按国家规定</w:t>
      </w:r>
      <w:r>
        <w:rPr>
          <w:rFonts w:hint="eastAsia" w:ascii="宋体" w:hAnsi="宋体" w:cs="宋体"/>
          <w:i/>
          <w:color w:val="auto"/>
          <w:szCs w:val="21"/>
          <w:highlight w:val="none"/>
          <w:u w:val="single"/>
          <w:lang w:val="en-US" w:eastAsia="zh-CN"/>
        </w:rPr>
        <w:t xml:space="preserve">须</w:t>
      </w:r>
      <w:r>
        <w:rPr>
          <w:rFonts w:hint="eastAsia" w:ascii="宋体" w:hAnsi="宋体" w:cs="宋体"/>
          <w:i/>
          <w:color w:val="auto"/>
          <w:szCs w:val="21"/>
          <w:highlight w:val="none"/>
          <w:u w:val="single"/>
        </w:rPr>
        <w:t xml:space="preserve">医疗器械注册证的，</w:t>
      </w:r>
      <w:r>
        <w:rPr>
          <w:rFonts w:hint="eastAsia" w:ascii="宋体" w:hAnsi="宋体" w:cs="宋体"/>
          <w:i/>
          <w:color w:val="auto"/>
          <w:szCs w:val="21"/>
          <w:highlight w:val="none"/>
          <w:u w:val="single"/>
          <w:lang w:val="en-US" w:eastAsia="zh-CN"/>
        </w:rPr>
        <w:t xml:space="preserve">应具有</w:t>
      </w:r>
      <w:r>
        <w:rPr>
          <w:rFonts w:hint="eastAsia" w:ascii="宋体" w:hAnsi="宋体" w:cs="宋体"/>
          <w:i/>
          <w:color w:val="auto"/>
          <w:szCs w:val="21"/>
          <w:highlight w:val="none"/>
          <w:u w:val="single"/>
        </w:rPr>
        <w:t xml:space="preserve">有效的医疗器械注册证</w:t>
      </w:r>
      <w:r>
        <w:rPr>
          <w:rFonts w:hint="eastAsia" w:ascii="宋体" w:hAnsi="宋体" w:cs="宋体"/>
          <w:i/>
          <w:color w:val="auto"/>
          <w:szCs w:val="21"/>
          <w:highlight w:val="none"/>
          <w:u w:val="single"/>
          <w:lang w:eastAsia="zh-CN"/>
        </w:rPr>
        <w:t xml:space="preserve">。</w:t>
      </w:r>
      <w:r/>
    </w:p>
    <w:p>
      <w:pPr>
        <w:ind w:firstLine="420"/>
        <w:spacing w:line="360" w:lineRule="auto"/>
        <w:rPr>
          <w:rFonts w:ascii="Times New Roman" w:hAnsi="Times New Roman" w:eastAsia="宋体" w:cs="宋体"/>
          <w:color w:val="auto"/>
          <w:szCs w:val="21"/>
          <w:highlight w:val="none"/>
        </w:rPr>
      </w:pPr>
      <w:r>
        <w:rPr>
          <w:rFonts w:hint="eastAsia" w:ascii="宋体" w:hAnsi="宋体" w:cs="宋体"/>
          <w:i/>
          <w:color w:val="auto"/>
          <w:szCs w:val="21"/>
          <w:highlight w:val="none"/>
          <w:u w:val="single"/>
          <w:lang w:val="en-US" w:eastAsia="zh-CN"/>
        </w:rPr>
        <w:t xml:space="preserve">3.2如</w:t>
      </w:r>
      <w:r>
        <w:rPr>
          <w:rFonts w:hint="eastAsia" w:ascii="宋体" w:hAnsi="宋体" w:cs="宋体"/>
          <w:i/>
          <w:color w:val="auto"/>
          <w:szCs w:val="21"/>
          <w:highlight w:val="none"/>
          <w:u w:val="single"/>
        </w:rPr>
        <w:t xml:space="preserve">投标人为</w:t>
      </w:r>
      <w:r>
        <w:rPr>
          <w:rFonts w:hint="eastAsia" w:ascii="宋体" w:hAnsi="宋体" w:cs="宋体"/>
          <w:i/>
          <w:color w:val="auto"/>
          <w:szCs w:val="21"/>
          <w:highlight w:val="none"/>
          <w:u w:val="single"/>
          <w:lang w:val="en-US" w:eastAsia="zh-CN"/>
        </w:rPr>
        <w:t xml:space="preserve">所投产品</w:t>
      </w:r>
      <w:r>
        <w:rPr>
          <w:rFonts w:hint="eastAsia" w:ascii="宋体" w:hAnsi="宋体" w:cs="宋体"/>
          <w:i/>
          <w:color w:val="auto"/>
          <w:szCs w:val="21"/>
          <w:highlight w:val="none"/>
          <w:u w:val="single"/>
        </w:rPr>
        <w:t xml:space="preserve">经营</w:t>
      </w:r>
      <w:r>
        <w:rPr>
          <w:rFonts w:hint="eastAsia" w:ascii="宋体" w:hAnsi="宋体" w:cs="宋体"/>
          <w:i/>
          <w:color w:val="auto"/>
          <w:szCs w:val="21"/>
          <w:highlight w:val="none"/>
          <w:u w:val="single"/>
          <w:lang w:val="en-US" w:eastAsia="zh-CN"/>
        </w:rPr>
        <w:t xml:space="preserve">者</w:t>
      </w:r>
      <w:r>
        <w:rPr>
          <w:rFonts w:hint="eastAsia" w:ascii="宋体" w:hAnsi="宋体" w:cs="宋体"/>
          <w:i/>
          <w:color w:val="auto"/>
          <w:szCs w:val="21"/>
          <w:highlight w:val="none"/>
          <w:u w:val="single"/>
        </w:rPr>
        <w:t xml:space="preserve">，须根据</w:t>
      </w:r>
      <w:r>
        <w:rPr>
          <w:rFonts w:hint="eastAsia" w:ascii="宋体" w:hAnsi="宋体" w:cs="宋体"/>
          <w:i/>
          <w:color w:val="auto"/>
          <w:szCs w:val="21"/>
          <w:highlight w:val="none"/>
          <w:u w:val="single"/>
          <w:lang w:val="en-US" w:eastAsia="zh-CN"/>
        </w:rPr>
        <w:t xml:space="preserve">所投产品</w:t>
      </w:r>
      <w:r>
        <w:rPr>
          <w:rFonts w:hint="eastAsia" w:ascii="宋体" w:hAnsi="宋体" w:cs="宋体"/>
          <w:i/>
          <w:color w:val="auto"/>
          <w:szCs w:val="21"/>
          <w:highlight w:val="none"/>
          <w:u w:val="single"/>
        </w:rPr>
        <w:t xml:space="preserve">的类别，提供投标人的医疗器械经营许可证或相应类别的医疗器械经营备案凭证</w:t>
      </w:r>
      <w:r>
        <w:rPr>
          <w:rFonts w:hint="eastAsia" w:ascii="宋体" w:hAnsi="宋体" w:cs="宋体"/>
          <w:i/>
          <w:color w:val="auto"/>
          <w:szCs w:val="21"/>
          <w:highlight w:val="none"/>
          <w:u w:val="single"/>
          <w:lang w:eastAsia="zh-CN"/>
        </w:rPr>
        <w:t xml:space="preserve">；</w:t>
      </w:r>
      <w:r>
        <w:rPr>
          <w:rFonts w:hint="eastAsia" w:ascii="宋体" w:hAnsi="宋体" w:cs="宋体"/>
          <w:i/>
          <w:color w:val="auto"/>
          <w:szCs w:val="21"/>
          <w:highlight w:val="none"/>
          <w:u w:val="single"/>
          <w:lang w:val="en-US" w:eastAsia="zh-CN"/>
        </w:rPr>
        <w:t xml:space="preserve">如</w:t>
      </w:r>
      <w:r>
        <w:rPr>
          <w:rFonts w:hint="eastAsia" w:ascii="宋体" w:hAnsi="宋体" w:cs="宋体"/>
          <w:i/>
          <w:color w:val="auto"/>
          <w:szCs w:val="21"/>
          <w:highlight w:val="none"/>
          <w:u w:val="single"/>
        </w:rPr>
        <w:t xml:space="preserve">投标人为</w:t>
      </w:r>
      <w:r>
        <w:rPr>
          <w:rFonts w:hint="eastAsia" w:ascii="宋体" w:hAnsi="宋体" w:cs="宋体"/>
          <w:i/>
          <w:color w:val="auto"/>
          <w:szCs w:val="21"/>
          <w:highlight w:val="none"/>
          <w:u w:val="single"/>
          <w:lang w:val="en-US" w:eastAsia="zh-CN"/>
        </w:rPr>
        <w:t xml:space="preserve">所投产品生产者</w:t>
      </w:r>
      <w:r>
        <w:rPr>
          <w:rFonts w:hint="eastAsia" w:ascii="宋体" w:hAnsi="宋体" w:cs="宋体"/>
          <w:i/>
          <w:color w:val="auto"/>
          <w:szCs w:val="21"/>
          <w:highlight w:val="none"/>
          <w:u w:val="single"/>
        </w:rPr>
        <w:t xml:space="preserve">，须提供医疗器械生产许可证</w:t>
      </w:r>
      <w:r>
        <w:rPr>
          <w:rFonts w:hint="eastAsia" w:ascii="宋体" w:hAnsi="宋体" w:cs="宋体"/>
          <w:i/>
          <w:color w:val="auto"/>
          <w:szCs w:val="21"/>
          <w:highlight w:val="none"/>
          <w:u w:val="single"/>
          <w:lang w:eastAsia="zh-CN"/>
        </w:rPr>
        <w:t xml:space="preserve">。</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三、获取招标文件</w:t>
      </w:r>
      <w:bookmarkEnd w:id="13"/>
      <w:r/>
      <w:bookmarkEnd w:id="14"/>
      <w:r/>
      <w:bookmarkEnd w:id="15"/>
      <w:r/>
      <w:bookmarkEnd w:id="16"/>
      <w:r/>
      <w:bookmarkEnd w:id="17"/>
      <w:r/>
      <w:r/>
    </w:p>
    <w:p>
      <w:pPr>
        <w:ind w:firstLine="540"/>
        <w:pageBreakBefore w:val="0"/>
        <w:spacing w:line="360" w:lineRule="auto"/>
        <w:rPr>
          <w:rFonts w:ascii="Times New Roman" w:hAnsi="Times New Roman" w:eastAsia="宋体" w:cs="宋体"/>
          <w:color w:val="auto"/>
          <w:highlight w:val="none"/>
        </w:rPr>
      </w:pPr>
      <w:r/>
      <w:bookmarkStart w:id="18" w:name="_Toc28359082"/>
      <w:r/>
      <w:bookmarkStart w:id="19" w:name="_Toc28359005"/>
      <w:r/>
      <w:bookmarkStart w:id="20" w:name="_Toc35393793"/>
      <w:r/>
      <w:bookmarkStart w:id="21" w:name="_Toc38985266"/>
      <w:r/>
      <w:bookmarkStart w:id="22" w:name="_Toc35393624"/>
      <w:r>
        <w:rPr>
          <w:rFonts w:hint="eastAsia" w:ascii="Times New Roman" w:hAnsi="Times New Roman" w:eastAsia="宋体" w:cs="宋体"/>
          <w:color w:val="auto"/>
          <w:highlight w:val="none"/>
        </w:rPr>
        <w:t xml:space="preserve">1.时间：自招标文件公告发布之日起5个工作日。5个工作日后仍可下载招标文件，但不作为供应商权益受到损害的证明材料和依据。</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2.获取方式：本项目采用网上注册登记方式。</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3.潜在供应商访问政府采购管理交易系统</w:t>
      </w: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苏采云）的网络地址和方法：</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1）潜在供应商访问政府采购管理交易系统</w:t>
      </w: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苏采云）的方法：“苏采云”系统用户注册--获取“CA数字证书”--CA绑定与登录--网上报名--下载采购文件</w:t>
      </w: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后缀名为“.kedt”）--将后缀名为“.kedt”的采购文件导入政府采购客户端工具--制作投标文件--导出加密的投标文件</w:t>
      </w: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后缀名为zip）--通过“苏采云”系统上传投标文件。</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3）“CA数字证书”的办理材料以及供应商操作手册详见：</w:t>
      </w:r>
      <w:r>
        <w:rPr>
          <w:rFonts w:hint="eastAsia" w:ascii="Times New Roman" w:hAnsi="Times New Roman" w:cs="宋体"/>
          <w:b/>
          <w:bCs/>
          <w:color w:val="auto"/>
          <w:szCs w:val="21"/>
          <w:highlight w:val="none"/>
        </w:rPr>
        <w:t xml:space="preserve">http://zfcg.yangzhou.gov.cn/xzzx/art/2023/art_4d7de1f7865f4a2894fc22bc452f94d8.html</w:t>
      </w:r>
      <w:r>
        <w:rPr>
          <w:rFonts w:hint="eastAsia" w:ascii="Times New Roman" w:hAnsi="Times New Roman" w:eastAsia="宋体"/>
          <w:b/>
          <w:bCs/>
          <w:color w:val="auto"/>
          <w:szCs w:val="21"/>
          <w:highlight w:val="none"/>
        </w:rPr>
        <w:t xml:space="preserve">。</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4）潜在供应商访问“苏采云”系统的网络地址和方法：“苏采云”系统的网址：http：//jszfcg.jsczt.cn/。</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5）采购文件</w:t>
      </w: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后缀名为“.kedt”）、供应商操作手册及政府采购客户端工具也可通过“苏采云”系统--已报名项目--报名详情页面内相应链接进行下载。</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6）招标代理机构</w:t>
      </w: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采购代理机构）将数据电文形式的采购文件加载至“苏采云”系统，供潜在供应商下载或者查阅。     </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7）苏采云系统使用谷歌浏览器参与不见面开标。</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四、提交投标文件</w:t>
      </w:r>
      <w:bookmarkEnd w:id="18"/>
      <w:r/>
      <w:bookmarkEnd w:id="19"/>
      <w:r>
        <w:rPr>
          <w:rFonts w:hint="eastAsia" w:ascii="Times New Roman" w:hAnsi="Times New Roman" w:eastAsia="宋体" w:cs="宋体"/>
          <w:b/>
          <w:bCs/>
          <w:color w:val="auto"/>
          <w:highlight w:val="none"/>
        </w:rPr>
        <w:t xml:space="preserve">截止时间、开标时间和地点</w:t>
      </w:r>
      <w:bookmarkEnd w:id="20"/>
      <w:r/>
      <w:bookmarkEnd w:id="21"/>
      <w:r/>
      <w:bookmarkEnd w:id="22"/>
      <w:r/>
      <w:r/>
    </w:p>
    <w:p>
      <w:pPr>
        <w:ind w:firstLine="420"/>
        <w:pageBreakBefore w:val="0"/>
        <w:spacing w:line="360" w:lineRule="auto"/>
        <w:rPr>
          <w:rFonts w:ascii="Times New Roman" w:hAnsi="Times New Roman" w:eastAsia="宋体" w:cs="宋体"/>
          <w:bCs/>
          <w:color w:val="auto"/>
          <w:szCs w:val="21"/>
          <w:highlight w:val="none"/>
          <w:u w:val="single"/>
        </w:rPr>
      </w:pPr>
      <w:r>
        <w:rPr>
          <w:rFonts w:hint="eastAsia" w:ascii="Times New Roman" w:hAnsi="Times New Roman" w:eastAsia="宋体" w:cs="宋体"/>
          <w:color w:val="auto"/>
          <w:highlight w:val="none"/>
        </w:rPr>
        <w:t xml:space="preserve">1.时间：</w:t>
      </w:r>
      <w:r>
        <w:rPr>
          <w:rFonts w:hint="eastAsia" w:ascii="Times New Roman" w:hAnsi="Times New Roman" w:eastAsia="宋体" w:cs="宋体"/>
          <w:bCs/>
          <w:color w:val="auto"/>
          <w:highlight w:val="none"/>
          <w:u w:val="single"/>
          <w:lang w:eastAsia="zh-CN"/>
        </w:rPr>
        <w:t xml:space="preserve">202</w:t>
      </w:r>
      <w:r>
        <w:rPr>
          <w:rFonts w:hint="eastAsia" w:ascii="Times New Roman" w:hAnsi="Times New Roman" w:eastAsia="宋体" w:cs="宋体"/>
          <w:bCs/>
          <w:color w:val="auto"/>
          <w:highlight w:val="none"/>
          <w:u w:val="single"/>
          <w:lang w:val="en-US" w:eastAsia="zh-CN"/>
        </w:rPr>
        <w:t xml:space="preserve">5</w:t>
      </w:r>
      <w:r>
        <w:rPr>
          <w:rFonts w:hint="eastAsia" w:ascii="Times New Roman" w:hAnsi="Times New Roman" w:eastAsia="宋体" w:cs="宋体"/>
          <w:bCs/>
          <w:color w:val="auto"/>
          <w:highlight w:val="none"/>
          <w:u w:val="single"/>
          <w:lang w:eastAsia="zh-CN"/>
        </w:rPr>
        <w:t xml:space="preserve">年</w:t>
      </w:r>
      <w:r>
        <w:rPr>
          <w:rFonts w:hint="eastAsia" w:ascii="Times New Roman" w:hAnsi="Times New Roman" w:cs="宋体"/>
          <w:bCs/>
          <w:color w:val="auto"/>
          <w:highlight w:val="none"/>
          <w:u w:val="single"/>
          <w:lang w:val="en-US" w:eastAsia="zh-CN"/>
        </w:rPr>
        <w:t xml:space="preserve">12</w:t>
      </w:r>
      <w:r>
        <w:rPr>
          <w:rFonts w:hint="eastAsia" w:ascii="Times New Roman" w:hAnsi="Times New Roman" w:eastAsia="宋体" w:cs="宋体"/>
          <w:bCs/>
          <w:color w:val="auto"/>
          <w:highlight w:val="none"/>
          <w:u w:val="single"/>
          <w:lang w:eastAsia="zh-CN"/>
        </w:rPr>
        <w:t xml:space="preserve">月</w:t>
      </w:r>
      <w:r>
        <w:rPr>
          <w:rFonts w:hint="eastAsia" w:ascii="Times New Roman" w:hAnsi="Times New Roman" w:cs="宋体"/>
          <w:bCs/>
          <w:color w:val="auto"/>
          <w:highlight w:val="none"/>
          <w:u w:val="single"/>
          <w:lang w:val="en-US" w:eastAsia="zh-CN"/>
        </w:rPr>
        <w:t xml:space="preserve">3</w:t>
      </w:r>
      <w:r>
        <w:rPr>
          <w:rFonts w:hint="eastAsia" w:ascii="Times New Roman" w:hAnsi="Times New Roman" w:eastAsia="宋体" w:cs="宋体"/>
          <w:bCs/>
          <w:color w:val="auto"/>
          <w:highlight w:val="none"/>
          <w:u w:val="single"/>
          <w:lang w:eastAsia="zh-CN"/>
        </w:rPr>
        <w:t xml:space="preserve">日</w:t>
      </w:r>
      <w:r>
        <w:rPr>
          <w:rFonts w:hint="eastAsia" w:ascii="Times New Roman" w:hAnsi="Times New Roman" w:cs="宋体"/>
          <w:bCs/>
          <w:color w:val="auto"/>
          <w:highlight w:val="none"/>
          <w:u w:val="single"/>
          <w:lang w:val="en-US" w:eastAsia="zh-CN"/>
        </w:rPr>
        <w:t xml:space="preserve"> 上</w:t>
      </w:r>
      <w:r>
        <w:rPr>
          <w:rFonts w:hint="eastAsia" w:ascii="Times New Roman" w:hAnsi="Times New Roman" w:eastAsia="宋体" w:cs="宋体"/>
          <w:bCs/>
          <w:color w:val="auto"/>
          <w:highlight w:val="none"/>
          <w:u w:val="single"/>
          <w:lang w:eastAsia="zh-CN"/>
        </w:rPr>
        <w:t xml:space="preserve">午</w:t>
      </w:r>
      <w:r>
        <w:rPr>
          <w:rFonts w:hint="eastAsia" w:ascii="Times New Roman" w:hAnsi="Times New Roman" w:cs="宋体"/>
          <w:bCs/>
          <w:color w:val="auto"/>
          <w:highlight w:val="none"/>
          <w:u w:val="single"/>
          <w:lang w:val="en-US" w:eastAsia="zh-CN"/>
        </w:rPr>
        <w:t xml:space="preserve">9</w:t>
      </w:r>
      <w:r>
        <w:rPr>
          <w:rFonts w:hint="eastAsia" w:ascii="Times New Roman" w:hAnsi="Times New Roman" w:eastAsia="宋体" w:cs="宋体"/>
          <w:bCs/>
          <w:color w:val="auto"/>
          <w:highlight w:val="none"/>
          <w:u w:val="single"/>
          <w:lang w:eastAsia="zh-CN"/>
        </w:rPr>
        <w:t xml:space="preserve">:30</w:t>
      </w:r>
      <w:r>
        <w:rPr>
          <w:rFonts w:hint="eastAsia" w:ascii="Times New Roman" w:hAnsi="Times New Roman" w:eastAsia="宋体" w:cs="宋体"/>
          <w:bCs/>
          <w:color w:val="auto"/>
          <w:highlight w:val="none"/>
          <w:lang w:eastAsia="zh-CN"/>
        </w:rPr>
        <w:t xml:space="preserve">（</w:t>
      </w:r>
      <w:r>
        <w:rPr>
          <w:rFonts w:hint="eastAsia" w:ascii="Times New Roman" w:hAnsi="Times New Roman" w:eastAsia="宋体" w:cs="宋体"/>
          <w:bCs/>
          <w:color w:val="auto"/>
          <w:highlight w:val="none"/>
        </w:rPr>
        <w:t xml:space="preserve">北京时间）</w:t>
      </w:r>
      <w:r/>
    </w:p>
    <w:p>
      <w:pPr>
        <w:ind w:firstLine="420"/>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color w:val="auto"/>
          <w:highlight w:val="none"/>
        </w:rPr>
        <w:t xml:space="preserve">2.开标地点：</w:t>
      </w:r>
      <w:r>
        <w:rPr>
          <w:rFonts w:hint="eastAsia" w:ascii="Times New Roman" w:hAnsi="Times New Roman" w:eastAsia="宋体"/>
          <w:b/>
          <w:color w:val="auto"/>
          <w:szCs w:val="21"/>
          <w:highlight w:val="none"/>
        </w:rPr>
        <w:t xml:space="preserve">“苏采云”系统</w:t>
      </w:r>
      <w:r>
        <w:rPr>
          <w:rFonts w:hint="eastAsia" w:ascii="Times New Roman" w:hAnsi="Times New Roman" w:eastAsia="宋体"/>
          <w:b/>
          <w:color w:val="auto"/>
          <w:szCs w:val="21"/>
          <w:highlight w:val="none"/>
          <w:lang w:eastAsia="zh-CN"/>
        </w:rPr>
        <w:t xml:space="preserve">（</w:t>
      </w:r>
      <w:r>
        <w:rPr>
          <w:rFonts w:hint="eastAsia" w:ascii="Times New Roman" w:hAnsi="Times New Roman" w:eastAsia="宋体"/>
          <w:b/>
          <w:color w:val="auto"/>
          <w:szCs w:val="21"/>
          <w:highlight w:val="none"/>
        </w:rPr>
        <w:t xml:space="preserve">网址：</w:t>
      </w: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"http://jszfcg.jsczt.cn/）" </w:instrText>
      </w:r>
      <w:r>
        <w:rPr>
          <w:rFonts w:ascii="Times New Roman" w:hAnsi="Times New Roman" w:eastAsia="宋体"/>
          <w:color w:val="auto"/>
          <w:highlight w:val="none"/>
        </w:rPr>
        <w:fldChar w:fldCharType="separate"/>
      </w:r>
      <w:r>
        <w:rPr>
          <w:rFonts w:hint="eastAsia" w:ascii="Times New Roman" w:hAnsi="Times New Roman" w:eastAsia="宋体"/>
          <w:b/>
          <w:color w:val="auto"/>
          <w:szCs w:val="21"/>
          <w:highlight w:val="none"/>
        </w:rPr>
        <w:t xml:space="preserve">http：//jszfcg.jsczt.cn/）“开标大厅”</w:t>
      </w:r>
      <w:r>
        <w:rPr>
          <w:rFonts w:hint="eastAsia" w:ascii="Times New Roman" w:hAnsi="Times New Roman" w:eastAsia="宋体"/>
          <w:b/>
          <w:color w:val="auto"/>
          <w:szCs w:val="21"/>
          <w:highlight w:val="none"/>
        </w:rPr>
        <w:fldChar w:fldCharType="end"/>
      </w:r>
      <w:r/>
    </w:p>
    <w:p>
      <w:pPr>
        <w:pageBreakBefore w:val="0"/>
        <w:spacing w:line="360" w:lineRule="auto"/>
        <w:tabs>
          <w:tab w:val="left" w:pos="266" w:leader="none"/>
        </w:tabs>
        <w:rPr>
          <w:rFonts w:ascii="Times New Roman" w:hAnsi="Times New Roman" w:eastAsia="宋体" w:cs="宋体"/>
          <w:b/>
          <w:bCs/>
          <w:color w:val="auto"/>
          <w:highlight w:val="none"/>
        </w:rPr>
      </w:pPr>
      <w:r/>
      <w:bookmarkStart w:id="23" w:name="_Toc38985267"/>
      <w:r/>
      <w:bookmarkStart w:id="24" w:name="_Toc35393625"/>
      <w:r/>
      <w:bookmarkStart w:id="25" w:name="_Toc35393794"/>
      <w:r/>
      <w:bookmarkStart w:id="26" w:name="_Toc28359007"/>
      <w:r/>
      <w:bookmarkStart w:id="27" w:name="_Toc28359084"/>
      <w:r>
        <w:rPr>
          <w:rFonts w:hint="eastAsia" w:ascii="Times New Roman" w:hAnsi="Times New Roman" w:eastAsia="宋体" w:cs="宋体"/>
          <w:b/>
          <w:bCs/>
          <w:color w:val="auto"/>
          <w:highlight w:val="none"/>
        </w:rPr>
        <w:t xml:space="preserve">五、公告期限</w:t>
      </w:r>
      <w:bookmarkEnd w:id="23"/>
      <w:r/>
      <w:bookmarkEnd w:id="24"/>
      <w:r/>
      <w:bookmarkEnd w:id="25"/>
      <w:r/>
      <w:bookmarkEnd w:id="26"/>
      <w:r/>
      <w:bookmarkEnd w:id="27"/>
      <w:r/>
      <w:r/>
    </w:p>
    <w:p>
      <w:pPr>
        <w:ind w:firstLine="420"/>
        <w:pageBreakBefore w:val="0"/>
        <w:spacing w:line="360" w:lineRule="auto"/>
        <w:rPr>
          <w:rFonts w:ascii="Times New Roman" w:hAnsi="Times New Roman" w:eastAsia="宋体" w:cs="宋体"/>
          <w:color w:val="auto"/>
          <w:highlight w:val="none"/>
        </w:rPr>
      </w:pPr>
      <w:r/>
      <w:bookmarkStart w:id="28" w:name="_Toc35393795"/>
      <w:r/>
      <w:bookmarkStart w:id="29" w:name="_Toc38985268"/>
      <w:r/>
      <w:bookmarkStart w:id="30" w:name="_Toc35393626"/>
      <w:r>
        <w:rPr>
          <w:rFonts w:hint="eastAsia" w:ascii="Times New Roman" w:hAnsi="Times New Roman" w:eastAsia="宋体" w:cs="宋体"/>
          <w:color w:val="auto"/>
          <w:highlight w:val="none"/>
        </w:rPr>
        <w:t xml:space="preserve">招标公告及招标文件公告期限为自本公告发布之日起5个工作日。</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六、其他补充事宜</w:t>
      </w:r>
      <w:bookmarkEnd w:id="28"/>
      <w:r/>
      <w:bookmarkEnd w:id="29"/>
      <w:r/>
      <w:bookmarkEnd w:id="30"/>
      <w:r/>
      <w:r/>
    </w:p>
    <w:p>
      <w:pPr>
        <w:ind w:firstLine="422"/>
        <w:pageBreakBefore w:val="0"/>
        <w:spacing w:line="360" w:lineRule="auto"/>
        <w:rPr>
          <w:rFonts w:ascii="Times New Roman" w:hAnsi="Times New Roman" w:eastAsia="宋体"/>
          <w:b/>
          <w:bCs/>
          <w:color w:val="auto"/>
          <w:highlight w:val="none"/>
        </w:rPr>
      </w:pPr>
      <w:r/>
      <w:bookmarkStart w:id="31" w:name="_Toc28359085"/>
      <w:r/>
      <w:bookmarkStart w:id="32" w:name="_Toc28359008"/>
      <w:r/>
      <w:bookmarkStart w:id="33" w:name="_Toc35393796"/>
      <w:r/>
      <w:bookmarkStart w:id="34" w:name="_Toc38985269"/>
      <w:r/>
      <w:bookmarkStart w:id="35" w:name="_Toc35393627"/>
      <w:r>
        <w:rPr>
          <w:rFonts w:hint="eastAsia" w:ascii="Times New Roman" w:hAnsi="Times New Roman" w:eastAsia="宋体"/>
          <w:b/>
          <w:bCs/>
          <w:color w:val="auto"/>
          <w:highlight w:val="none"/>
        </w:rPr>
        <w:t xml:space="preserve">1.本次采购采用“政府采购管理交易系统</w:t>
      </w:r>
      <w:r>
        <w:rPr>
          <w:rFonts w:hint="eastAsia" w:ascii="Times New Roman" w:hAnsi="Times New Roman" w:eastAsia="宋体"/>
          <w:b/>
          <w:bCs/>
          <w:color w:val="auto"/>
          <w:highlight w:val="none"/>
          <w:lang w:eastAsia="zh-CN"/>
        </w:rPr>
        <w:t xml:space="preserve">（</w:t>
      </w:r>
      <w:r>
        <w:rPr>
          <w:rFonts w:hint="eastAsia" w:ascii="Times New Roman" w:hAnsi="Times New Roman" w:eastAsia="宋体"/>
          <w:b/>
          <w:bCs/>
          <w:color w:val="auto"/>
          <w:highlight w:val="none"/>
        </w:rPr>
        <w:t xml:space="preserve">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ascii="Times New Roman" w:hAnsi="Times New Roman" w:eastAsia="宋体" w:cs="宋体"/>
          <w:bCs/>
          <w:color w:val="auto"/>
          <w:highlight w:val="none"/>
        </w:rPr>
      </w:pPr>
      <w:r>
        <w:rPr>
          <w:rFonts w:hint="eastAsia" w:ascii="Times New Roman" w:hAnsi="Times New Roman" w:eastAsia="宋体" w:cs="宋体"/>
          <w:bCs/>
          <w:color w:val="auto"/>
          <w:szCs w:val="21"/>
          <w:highlight w:val="none"/>
        </w:rPr>
        <w:t xml:space="preserve">3.</w:t>
      </w:r>
      <w:r>
        <w:rPr>
          <w:rFonts w:hint="eastAsia" w:ascii="Times New Roman" w:hAnsi="Times New Roman" w:eastAsia="宋体"/>
          <w:color w:val="auto"/>
          <w:highlight w:val="none"/>
        </w:rPr>
        <w:t xml:space="preserve">本次招标不收取投标保证金。</w:t>
      </w:r>
      <w:r/>
    </w:p>
    <w:p>
      <w:pPr>
        <w:ind w:firstLine="420"/>
        <w:pageBreakBefore w:val="0"/>
        <w:spacing w:line="360" w:lineRule="auto"/>
        <w:rPr>
          <w:rFonts w:ascii="Times New Roman" w:hAnsi="Times New Roman" w:eastAsia="宋体" w:cs="宋体"/>
          <w:bCs/>
          <w:color w:val="auto"/>
          <w:highlight w:val="none"/>
        </w:rPr>
      </w:pPr>
      <w:r>
        <w:rPr>
          <w:rFonts w:hint="eastAsia" w:ascii="Times New Roman" w:hAnsi="Times New Roman" w:eastAsia="宋体"/>
          <w:color w:val="auto"/>
          <w:szCs w:val="21"/>
          <w:highlight w:val="none"/>
        </w:rPr>
        <w:t xml:space="preserve">4.</w:t>
      </w:r>
      <w:r>
        <w:rPr>
          <w:rFonts w:hint="eastAsia" w:ascii="Times New Roman" w:hAnsi="Times New Roman" w:eastAsia="宋体" w:cs="宋体"/>
          <w:bCs/>
          <w:color w:val="auto"/>
          <w:highlight w:val="none"/>
        </w:rPr>
        <w:t xml:space="preserve">有关本次招标的事项若存在变动或修改，敬请及时关注</w:t>
      </w:r>
      <w:r>
        <w:rPr>
          <w:rFonts w:hint="eastAsia" w:ascii="Times New Roman" w:hAnsi="Times New Roman" w:eastAsia="宋体"/>
          <w:bCs/>
          <w:color w:val="auto"/>
          <w:szCs w:val="21"/>
          <w:highlight w:val="none"/>
        </w:rPr>
        <w:t xml:space="preserve">“扬州市政府采购网”、“江苏省政府采购网”和“中国政府采购网”</w:t>
      </w:r>
      <w:r>
        <w:rPr>
          <w:rFonts w:hint="eastAsia" w:ascii="Times New Roman" w:hAnsi="Times New Roman" w:eastAsia="宋体" w:cs="宋体"/>
          <w:bCs/>
          <w:color w:val="auto"/>
          <w:highlight w:val="none"/>
        </w:rPr>
        <w:t xml:space="preserve">发布的信息。</w:t>
      </w:r>
      <w:r/>
    </w:p>
    <w:p>
      <w:pPr>
        <w:ind w:firstLine="422"/>
        <w:pageBreakBefore w:val="0"/>
        <w:spacing w:line="360" w:lineRule="auto"/>
        <w:tabs>
          <w:tab w:val="left" w:pos="266" w:leader="none"/>
        </w:tabs>
        <w:rPr>
          <w:rFonts w:ascii="Times New Roman" w:hAnsi="Times New Roman" w:eastAsia="宋体" w:cs="宋体"/>
          <w:b/>
          <w:i/>
          <w:iCs/>
          <w:color w:val="auto"/>
          <w:highlight w:val="none"/>
          <w:u w:val="single"/>
        </w:rPr>
      </w:pPr>
      <w:r>
        <w:rPr>
          <w:rFonts w:hint="eastAsia" w:ascii="Times New Roman" w:hAnsi="Times New Roman" w:eastAsia="宋体" w:cs="宋体"/>
          <w:b/>
          <w:i/>
          <w:iCs/>
          <w:color w:val="auto"/>
          <w:highlight w:val="none"/>
          <w:u w:val="single"/>
        </w:rPr>
        <w:t xml:space="preserve">5.本项目招标文件中所有斜体下划线部分为实质性条款，如不满足，则为无效投标。</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6.如在开标时间发生系统崩溃等不可预见的情况，造成开评标活动无法正常进行的，将延迟开评标，具体开评标时间另行通知。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7.为落实好政府采购履约资金扶持政策，中标/成交供应商可凭政府采购合同办理融资贷款，详见江苏政府采购网“政采贷”专栏。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8.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w:t>
      </w:r>
      <w:r>
        <w:rPr>
          <w:rFonts w:hint="eastAsia" w:ascii="Times New Roman" w:hAnsi="Times New Roman" w:eastAsia="宋体" w:cs="宋体"/>
          <w:bCs/>
          <w:color w:val="auto"/>
          <w:highlight w:val="none"/>
          <w:lang w:eastAsia="zh-CN"/>
        </w:rPr>
        <w:t xml:space="preserve">（</w:t>
      </w:r>
      <w:r>
        <w:rPr>
          <w:rFonts w:hint="eastAsia" w:ascii="Times New Roman" w:hAnsi="Times New Roman" w:eastAsia="宋体" w:cs="宋体"/>
          <w:bCs/>
          <w:color w:val="auto"/>
          <w:highlight w:val="none"/>
        </w:rPr>
        <w:t xml:space="preserve">由国家确定的认证机构出具的、处于有效期之内的节能产品、环境标志产品认证证书</w:t>
      </w:r>
      <w:r>
        <w:rPr>
          <w:rFonts w:hint="eastAsia" w:ascii="Times New Roman" w:hAnsi="Times New Roman" w:eastAsia="宋体" w:cs="宋体"/>
          <w:bCs/>
          <w:color w:val="auto"/>
          <w:highlight w:val="none"/>
          <w:lang w:eastAsia="zh-CN"/>
        </w:rPr>
        <w:t xml:space="preserve">）</w:t>
      </w:r>
      <w:r>
        <w:rPr>
          <w:rFonts w:hint="eastAsia" w:ascii="Times New Roman" w:hAnsi="Times New Roman" w:eastAsia="宋体" w:cs="宋体"/>
          <w:bCs/>
          <w:color w:val="auto"/>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ascii="Times New Roman" w:hAnsi="Times New Roman" w:eastAsia="宋体" w:cs="宋体"/>
          <w:b/>
          <w:i/>
          <w:iCs/>
          <w:color w:val="auto"/>
          <w:highlight w:val="none"/>
          <w:u w:val="single"/>
        </w:rPr>
      </w:pPr>
      <w:r>
        <w:rPr>
          <w:rFonts w:hint="eastAsia" w:ascii="Times New Roman" w:hAnsi="Times New Roman" w:eastAsia="宋体" w:cs="宋体"/>
          <w:bCs/>
          <w:color w:val="auto"/>
          <w:highlight w:val="none"/>
        </w:rPr>
        <w:t xml:space="preserve">9.供应商对于所投产品的包装应按照“财办库〔2020〕123号《关于印发《商品包装政府采购需求标准</w:t>
      </w:r>
      <w:r>
        <w:rPr>
          <w:rFonts w:hint="eastAsia" w:ascii="Times New Roman" w:hAnsi="Times New Roman" w:eastAsia="宋体" w:cs="宋体"/>
          <w:bCs/>
          <w:color w:val="auto"/>
          <w:highlight w:val="none"/>
          <w:lang w:eastAsia="zh-CN"/>
        </w:rPr>
        <w:t xml:space="preserve">（</w:t>
      </w:r>
      <w:r>
        <w:rPr>
          <w:rFonts w:hint="eastAsia" w:ascii="Times New Roman" w:hAnsi="Times New Roman" w:eastAsia="宋体" w:cs="宋体"/>
          <w:bCs/>
          <w:color w:val="auto"/>
          <w:highlight w:val="none"/>
        </w:rPr>
        <w:t xml:space="preserve">试行）》、《快递包装政府采购需求标准</w:t>
      </w:r>
      <w:r>
        <w:rPr>
          <w:rFonts w:hint="eastAsia" w:ascii="Times New Roman" w:hAnsi="Times New Roman" w:eastAsia="宋体" w:cs="宋体"/>
          <w:bCs/>
          <w:color w:val="auto"/>
          <w:highlight w:val="none"/>
          <w:lang w:eastAsia="zh-CN"/>
        </w:rPr>
        <w:t xml:space="preserve">（</w:t>
      </w:r>
      <w:r>
        <w:rPr>
          <w:rFonts w:hint="eastAsia" w:ascii="Times New Roman" w:hAnsi="Times New Roman" w:eastAsia="宋体" w:cs="宋体"/>
          <w:bCs/>
          <w:color w:val="auto"/>
          <w:highlight w:val="none"/>
        </w:rPr>
        <w:t xml:space="preserve">试行）》的通知》”执行。</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七、本次招标联系方式</w:t>
      </w:r>
      <w:bookmarkEnd w:id="31"/>
      <w:r/>
      <w:bookmarkEnd w:id="32"/>
      <w:r/>
      <w:bookmarkEnd w:id="33"/>
      <w:r/>
      <w:bookmarkEnd w:id="34"/>
      <w:r/>
      <w:bookmarkEnd w:id="35"/>
      <w:r/>
      <w:r/>
    </w:p>
    <w:p>
      <w:pPr>
        <w:ind w:firstLine="420"/>
        <w:jc w:val="left"/>
        <w:pageBreakBefore w:val="0"/>
        <w:spacing w:line="360" w:lineRule="auto"/>
        <w:widowControl/>
        <w:rPr>
          <w:rFonts w:ascii="Times New Roman" w:hAnsi="Times New Roman" w:eastAsia="宋体" w:cs="宋体"/>
          <w:color w:val="auto"/>
          <w:szCs w:val="21"/>
          <w:highlight w:val="none"/>
        </w:rPr>
      </w:pPr>
      <w:r/>
      <w:bookmarkStart w:id="36" w:name="_Toc28359010"/>
      <w:r/>
      <w:bookmarkStart w:id="37" w:name="_Toc28359087"/>
      <w:r>
        <w:rPr>
          <w:rFonts w:hint="eastAsia" w:ascii="Times New Roman" w:hAnsi="Times New Roman" w:eastAsia="宋体" w:cs="宋体"/>
          <w:color w:val="auto"/>
          <w:highlight w:val="none"/>
        </w:rPr>
        <w:t xml:space="preserve">1.采购人信息</w:t>
      </w:r>
      <w:r/>
    </w:p>
    <w:p>
      <w:pPr>
        <w:ind w:firstLine="420"/>
        <w:jc w:val="left"/>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rPr>
        <w:t xml:space="preserve">名 称：</w:t>
      </w:r>
      <w:r>
        <w:rPr>
          <w:rFonts w:hint="eastAsia" w:ascii="Times New Roman" w:hAnsi="Times New Roman"/>
          <w:color w:val="auto"/>
          <w:szCs w:val="21"/>
          <w:highlight w:val="none"/>
          <w:lang w:eastAsia="zh-CN"/>
        </w:rPr>
        <w:t xml:space="preserve">扬州市蜀冈—瘦西湖风景名胜区平山乡卫生院</w:t>
      </w:r>
      <w:r/>
    </w:p>
    <w:p>
      <w:pPr>
        <w:ind w:firstLine="420"/>
        <w:jc w:val="left"/>
        <w:pageBreakBefore w:val="0"/>
        <w:spacing w:line="360" w:lineRule="auto"/>
        <w:rPr>
          <w:rFonts w:hint="eastAsia" w:ascii="Times New Roman" w:hAnsi="Times New Roman" w:eastAsia="宋体"/>
          <w:color w:val="auto"/>
          <w:szCs w:val="21"/>
          <w:highlight w:val="none"/>
        </w:rPr>
      </w:pPr>
      <w:r/>
      <w:bookmarkStart w:id="38" w:name="_Toc28359009"/>
      <w:r/>
      <w:bookmarkStart w:id="39" w:name="_Toc28359086"/>
      <w:r>
        <w:rPr>
          <w:rFonts w:hint="eastAsia" w:ascii="Times New Roman" w:hAnsi="Times New Roman" w:eastAsia="宋体"/>
          <w:color w:val="auto"/>
          <w:szCs w:val="21"/>
          <w:highlight w:val="none"/>
        </w:rPr>
        <w:t xml:space="preserve">地 址：扬州市平山乡学仕东路188号</w:t>
      </w:r>
      <w:r/>
    </w:p>
    <w:p>
      <w:pPr>
        <w:ind w:firstLine="420"/>
        <w:jc w:val="left"/>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联系人：</w:t>
      </w:r>
      <w:r>
        <w:rPr>
          <w:rFonts w:hint="default" w:ascii="Times New Roman" w:hAnsi="Times New Roman" w:eastAsia="宋体"/>
          <w:color w:val="auto"/>
          <w:szCs w:val="21"/>
          <w:highlight w:val="none"/>
          <w:lang w:eastAsia="zh-CN"/>
        </w:rPr>
        <w:t xml:space="preserve">许老师</w:t>
      </w:r>
      <w:r/>
    </w:p>
    <w:p>
      <w:pPr>
        <w:ind w:firstLine="420"/>
        <w:jc w:val="left"/>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rPr>
        <w:t xml:space="preserve">联系方式：</w:t>
      </w:r>
      <w:r>
        <w:rPr>
          <w:rFonts w:hint="default" w:ascii="Times New Roman" w:hAnsi="Times New Roman" w:eastAsia="宋体"/>
          <w:color w:val="auto"/>
          <w:szCs w:val="21"/>
          <w:highlight w:val="none"/>
          <w:lang w:val="en-US" w:eastAsia="zh-CN"/>
        </w:rPr>
        <w:t xml:space="preserve">0514-80320085</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2.采购代理机构信息</w:t>
      </w:r>
      <w:bookmarkEnd w:id="38"/>
      <w:r/>
      <w:bookmarkEnd w:id="39"/>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rPr>
          <w:rFonts w:hint="eastAsia" w:ascii="Times New Roman" w:hAnsi="Times New Roman" w:eastAsia="宋体"/>
          <w:color w:val="auto"/>
          <w:szCs w:val="21"/>
          <w:highlight w:val="none"/>
        </w:rPr>
        <w:t xml:space="preserve">江苏苏维工程管理有限公司</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地　址：</w:t>
      </w:r>
      <w:r>
        <w:rPr>
          <w:rFonts w:hint="eastAsia" w:ascii="Times New Roman" w:hAnsi="Times New Roman" w:eastAsia="宋体"/>
          <w:color w:val="auto"/>
          <w:szCs w:val="21"/>
          <w:highlight w:val="none"/>
        </w:rPr>
        <w:t xml:space="preserve">扬州市邗江区翠岗路48号</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联系人：</w:t>
      </w:r>
      <w:r>
        <w:rPr>
          <w:rFonts w:hint="eastAsia" w:ascii="Times New Roman" w:hAnsi="Times New Roman" w:cs="宋体"/>
          <w:color w:val="auto"/>
          <w:highlight w:val="none"/>
          <w:lang w:val="en-US" w:eastAsia="zh-CN"/>
        </w:rPr>
        <w:t xml:space="preserve">黄炎</w:t>
      </w:r>
      <w:r/>
    </w:p>
    <w:p>
      <w:pPr>
        <w:ind w:firstLine="420"/>
        <w:pageBreakBefore w:val="0"/>
        <w:spacing w:line="360" w:lineRule="auto"/>
        <w:rPr>
          <w:rFonts w:hint="default" w:ascii="Times New Roman" w:hAnsi="Times New Roman" w:eastAsia="宋体" w:cs="宋体"/>
          <w:color w:val="auto"/>
          <w:highlight w:val="none"/>
          <w:u w:val="single"/>
          <w:lang w:val="en-US" w:eastAsia="zh-CN"/>
        </w:rPr>
      </w:pPr>
      <w:r>
        <w:rPr>
          <w:rFonts w:hint="eastAsia" w:ascii="Times New Roman" w:hAnsi="Times New Roman" w:eastAsia="宋体" w:cs="宋体"/>
          <w:color w:val="auto"/>
          <w:highlight w:val="none"/>
        </w:rPr>
        <w:t xml:space="preserve">联系方式：</w:t>
      </w:r>
      <w:r>
        <w:rPr>
          <w:rFonts w:hint="eastAsia" w:ascii="Times New Roman" w:hAnsi="Times New Roman" w:eastAsia="宋体"/>
          <w:color w:val="auto"/>
          <w:szCs w:val="21"/>
          <w:highlight w:val="none"/>
        </w:rPr>
        <w:t xml:space="preserve">0514-</w:t>
      </w:r>
      <w:bookmarkEnd w:id="36"/>
      <w:r/>
      <w:bookmarkEnd w:id="37"/>
      <w:r>
        <w:rPr>
          <w:rFonts w:hint="eastAsia" w:ascii="Times New Roman" w:hAnsi="Times New Roman"/>
          <w:color w:val="auto"/>
          <w:szCs w:val="21"/>
          <w:highlight w:val="none"/>
          <w:lang w:val="en-US" w:eastAsia="zh-CN"/>
        </w:rPr>
        <w:t xml:space="preserve">82129101</w:t>
      </w:r>
      <w:r/>
    </w:p>
    <w:p>
      <w:pPr>
        <w:jc w:val="right"/>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righ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江苏苏维工程管理有限公司</w:t>
      </w:r>
      <w:r/>
    </w:p>
    <w:p>
      <w:pPr>
        <w:jc w:val="righ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szCs w:val="21"/>
          <w:highlight w:val="none"/>
        </w:rPr>
        <w:t xml:space="preserve">202</w:t>
      </w:r>
      <w:r>
        <w:rPr>
          <w:rFonts w:hint="eastAsia" w:ascii="Times New Roman" w:hAnsi="Times New Roman" w:eastAsia="宋体"/>
          <w:color w:val="auto"/>
          <w:szCs w:val="21"/>
          <w:highlight w:val="none"/>
          <w:lang w:val="en-US" w:eastAsia="zh-CN"/>
        </w:rPr>
        <w:t xml:space="preserve">5</w:t>
      </w:r>
      <w:r>
        <w:rPr>
          <w:rFonts w:hint="eastAsia" w:ascii="Times New Roman" w:hAnsi="Times New Roman" w:eastAsia="宋体"/>
          <w:color w:val="auto"/>
          <w:szCs w:val="21"/>
          <w:highlight w:val="none"/>
        </w:rPr>
        <w:t xml:space="preserve">年</w:t>
      </w:r>
      <w:r>
        <w:rPr>
          <w:rFonts w:hint="eastAsia" w:ascii="Times New Roman" w:hAnsi="Times New Roman"/>
          <w:color w:val="auto"/>
          <w:szCs w:val="21"/>
          <w:highlight w:val="none"/>
          <w:lang w:val="en-US" w:eastAsia="zh-CN"/>
        </w:rPr>
        <w:t xml:space="preserve">1</w:t>
      </w:r>
      <w:r>
        <w:rPr>
          <w:rFonts w:hint="default" w:ascii="Times New Roman" w:hAnsi="Times New Roman"/>
          <w:color w:val="auto"/>
          <w:szCs w:val="21"/>
          <w:highlight w:val="none"/>
          <w:lang w:val="en-US" w:eastAsia="zh-CN"/>
        </w:rPr>
        <w:t xml:space="preserve">1</w:t>
      </w:r>
      <w:r>
        <w:rPr>
          <w:rFonts w:hint="eastAsia" w:ascii="Times New Roman" w:hAnsi="Times New Roman" w:eastAsia="宋体"/>
          <w:color w:val="auto"/>
          <w:szCs w:val="21"/>
          <w:highlight w:val="none"/>
        </w:rPr>
        <w:t xml:space="preserve">月</w:t>
      </w:r>
      <w:r>
        <w:rPr>
          <w:rFonts w:hint="eastAsia" w:ascii="Times New Roman" w:hAnsi="Times New Roman"/>
          <w:color w:val="auto"/>
          <w:szCs w:val="21"/>
          <w:highlight w:val="none"/>
          <w:lang w:val="en-US" w:eastAsia="zh-CN"/>
        </w:rPr>
        <w:t xml:space="preserve">12</w:t>
      </w:r>
      <w:r>
        <w:rPr>
          <w:rFonts w:hint="eastAsia" w:ascii="Times New Roman" w:hAnsi="Times New Roman" w:eastAsia="宋体"/>
          <w:color w:val="auto"/>
          <w:szCs w:val="21"/>
          <w:highlight w:val="none"/>
        </w:rPr>
        <w:t xml:space="preserve">日</w:t>
      </w:r>
      <w:r/>
    </w:p>
    <w:p>
      <w:pPr>
        <w:pStyle w:val="710"/>
        <w:jc w:val="center"/>
        <w:pageBreakBefore w:val="0"/>
        <w:spacing w:before="0" w:after="0" w:line="360" w:lineRule="auto"/>
        <w:rPr>
          <w:rFonts w:ascii="Times New Roman" w:hAnsi="Times New Roman" w:eastAsia="宋体"/>
          <w:color w:val="auto"/>
          <w:sz w:val="36"/>
          <w:szCs w:val="36"/>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bookmarkStart w:id="40" w:name="_Toc55204178"/>
      <w:r/>
      <w:r/>
    </w:p>
    <w:p>
      <w:pPr>
        <w:pStyle w:val="710"/>
        <w:jc w:val="center"/>
        <w:pageBreakBefore w:val="0"/>
        <w:spacing w:before="0" w:after="0" w:line="360" w:lineRule="auto"/>
        <w:rPr>
          <w:rFonts w:ascii="Times New Roman" w:hAnsi="Times New Roman" w:eastAsia="宋体"/>
          <w:color w:val="auto"/>
          <w:sz w:val="36"/>
          <w:szCs w:val="36"/>
          <w:highlight w:val="none"/>
        </w:rPr>
      </w:pPr>
      <w:r/>
      <w:bookmarkStart w:id="41" w:name="_Toc25364"/>
      <w:r>
        <w:rPr>
          <w:rFonts w:hint="eastAsia" w:ascii="Times New Roman" w:hAnsi="Times New Roman" w:eastAsia="宋体"/>
          <w:color w:val="auto"/>
          <w:sz w:val="36"/>
          <w:szCs w:val="36"/>
          <w:highlight w:val="none"/>
        </w:rPr>
        <w:t xml:space="preserve">第二章 投标人须知</w:t>
      </w:r>
      <w:bookmarkEnd w:id="40"/>
      <w:r/>
      <w:bookmarkEnd w:id="41"/>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1、招标方式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 本次招标采取公开招标方式，本招标文件仅适用于</w:t>
      </w:r>
      <w:r>
        <w:rPr>
          <w:rFonts w:hint="eastAsia" w:ascii="Times New Roman" w:hAnsi="Times New Roman"/>
          <w:bCs/>
          <w:color w:val="auto"/>
          <w:szCs w:val="21"/>
          <w:highlight w:val="none"/>
          <w:lang w:eastAsia="zh-CN"/>
        </w:rPr>
        <w:t xml:space="preserve">JSZC-321092-SWGC-G2025-0233</w:t>
      </w:r>
      <w:r>
        <w:rPr>
          <w:rFonts w:hint="eastAsia" w:ascii="Times New Roman" w:hAnsi="Times New Roman" w:eastAsia="宋体"/>
          <w:bCs/>
          <w:color w:val="auto"/>
          <w:szCs w:val="21"/>
          <w:highlight w:val="none"/>
          <w:lang w:eastAsia="zh-CN"/>
        </w:rPr>
        <w:t xml:space="preserve">号</w:t>
      </w:r>
      <w:r>
        <w:rPr>
          <w:rFonts w:hint="eastAsia" w:ascii="Times New Roman" w:hAnsi="Times New Roman" w:eastAsia="宋体"/>
          <w:bCs/>
          <w:color w:val="auto"/>
          <w:szCs w:val="21"/>
          <w:highlight w:val="none"/>
        </w:rPr>
        <w:t xml:space="preserve">项目。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2、投标人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 本招标文件中“供应商”，即“投标人”，是指参加投标竞争，并符合招标文件规定资格条件的法人、其他组织或者自然人。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2.2合格的投标人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 满足招标公告中供应商的资格条件要求的规定。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 满足本文件实质性条款的规定。</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3、适用法律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3.1 本次招标及由此产生的合同受中华人民共和国有关的法律法规制约和保护。</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4、投标费用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4.2本次采购由中标人在领取中标通知书前按照国家计委印发的《招标代理服务收费管理暂行办法》</w:t>
      </w: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计价格</w:t>
      </w:r>
      <w:r>
        <w:rPr>
          <w:rFonts w:hint="eastAsia" w:ascii="Times New Roman" w:hAnsi="Times New Roman"/>
          <w:b/>
          <w:bCs/>
          <w:color w:val="auto"/>
          <w:szCs w:val="21"/>
          <w:highlight w:val="none"/>
          <w:lang w:eastAsia="zh-CN"/>
        </w:rPr>
        <w:t xml:space="preserve">〔2002〕1980号</w:t>
      </w:r>
      <w:r>
        <w:rPr>
          <w:rFonts w:hint="eastAsia" w:ascii="Times New Roman" w:hAnsi="Times New Roman" w:eastAsia="宋体"/>
          <w:b/>
          <w:bCs/>
          <w:color w:val="auto"/>
          <w:szCs w:val="21"/>
          <w:highlight w:val="none"/>
        </w:rPr>
        <w:t xml:space="preserve">文）货物类标准一次性支付给招标代理机构代理服务费。</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1）代理服务费以人民币支付；</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2）代理服务费一次性以电汇或转账等非现金形式支付。</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3）代理服务费不在报价中单列，由中标人支付给代理机构。</w:t>
      </w:r>
      <w:r/>
    </w:p>
    <w:p>
      <w:pPr>
        <w:ind w:firstLine="1265"/>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代理服务费开户银行：中国工商银行扬州雍华府支行</w:t>
      </w:r>
      <w:r/>
    </w:p>
    <w:p>
      <w:pPr>
        <w:ind w:firstLine="422"/>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               开户名称：江苏苏维工程管理有限公司</w:t>
      </w:r>
      <w:r/>
    </w:p>
    <w:p>
      <w:pPr>
        <w:ind w:firstLine="422"/>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               </w:t>
      </w:r>
      <w:r>
        <w:rPr>
          <w:rFonts w:hint="eastAsia" w:ascii="Times New Roman" w:hAnsi="Times New Roman" w:cs="宋体"/>
          <w:b/>
          <w:color w:val="auto"/>
          <w:szCs w:val="21"/>
          <w:highlight w:val="none"/>
          <w:lang w:eastAsia="zh-CN"/>
        </w:rPr>
        <w:t xml:space="preserve">开户账号</w:t>
      </w:r>
      <w:r>
        <w:rPr>
          <w:rFonts w:hint="eastAsia" w:ascii="Times New Roman" w:hAnsi="Times New Roman" w:eastAsia="宋体" w:cs="宋体"/>
          <w:b/>
          <w:color w:val="auto"/>
          <w:szCs w:val="21"/>
          <w:highlight w:val="none"/>
        </w:rPr>
        <w:t xml:space="preserve">：1108020819100000612</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4.3专家评审费按《扬州市财政局关于进一步规范扬州市政府采购专家评审费标准的通知》</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扬财购〔2020〕40号）执行，由采购人支付。</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5、招标文件的约束力</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5.1 投标人一旦参加本项目采购活动，即被认为接受了本招标文件的规定和约束。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6、招标文件构成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6.1 招标文件</w:t>
      </w:r>
      <w:r>
        <w:rPr>
          <w:rFonts w:hint="eastAsia" w:ascii="Times New Roman" w:hAnsi="Times New Roman"/>
          <w:bCs/>
          <w:color w:val="auto"/>
          <w:szCs w:val="21"/>
          <w:highlight w:val="none"/>
          <w:lang w:eastAsia="zh-CN"/>
        </w:rPr>
        <w:t xml:space="preserve">由以下部分组成</w:t>
      </w:r>
      <w:r>
        <w:rPr>
          <w:rFonts w:hint="eastAsia" w:ascii="Times New Roman" w:hAnsi="Times New Roman" w:eastAsia="宋体"/>
          <w:bCs/>
          <w:color w:val="auto"/>
          <w:szCs w:val="21"/>
          <w:highlight w:val="none"/>
        </w:rPr>
        <w:t xml:space="preserve">：</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1）招标公告</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2）投标人须知</w:t>
      </w:r>
      <w:r>
        <w:rPr>
          <w:rFonts w:hint="eastAsia" w:ascii="Times New Roman" w:hAnsi="Times New Roman" w:eastAsia="宋体"/>
          <w:bCs/>
          <w:color w:val="auto"/>
          <w:szCs w:val="21"/>
          <w:highlight w:val="none"/>
        </w:rPr>
        <w:tab/>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3）合同条款及格式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4）项目需求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5）评标方法与评标标准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6）投标文件格式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请仔细检查招标文件是否齐全，如有缺漏请立即与代理机构联系解决。</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6.3 招标文件如果要求供应商提交备选投标方案的，供应商可以提交备选方案；否则，备选方案将被拒绝。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7、招标文件的澄清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8、招标文件的修改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8.1 在投标截止时间前，代理机构可以对招标文件进行修改。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8.3招标文件的修改将在“扬州市政府采购网”、“江苏省政府采购网”和“中国政府采购网”公布，补充文件将作为招标文件的组成部分，并对投标人具有约束力。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9、投标文件的语言、度量衡单位、货币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9.2 除技术性能另有规定外，投标文件所使用的度量衡单位，均须采用国家法定计量单位。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9.3投标人应使用人民币报价。</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10、投标文件构成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10.1投标文件由以下部分组成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1）资格审查响应对照表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2）符合性审查响应对照表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3）非实质性响应对照表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4）开标一览表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5）分项报价表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6）技术参数响应及偏离表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7）商务条款响应及偏离表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8）其他 </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投标人认为有必要提供的声明和文件，如有自拟并自行添加）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11、证明投标人资格及符合招标文件规定的文件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11.1投标人应按要求提交资格证明文件及符合招标文件规定的文件。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11.3投标人除必须具有履行合同所需提供的产品或服务的能力外，还必须具备相应的财务、技术方面的能力。</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11.4投标人应提交根据合同要求提供的证明服务质量合格以及符合招标文件规定的证明文件。</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11.5证明投标人所提供服务与招标文件的要求相一致的文件可以是手册、图纸、文字资料和数据。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12、投标配置与分项报价表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如有备选配件，备选配件的报价不属于选择的报价</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12.2 标的物</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采购人需求的服务供应、安装，调试及有关技术服务等。</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12.3有关费用处理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12.4其它费用处理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招标文件未列明，而投标人认为必需的费用也需列入报价。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12.5投标货币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投标文件中的服务单价和总价无特殊规定的采用人民币报价，以元为单位标注。招标文件中另有规定的按规定执行。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12.6 投标配置与分项报价表上的价格应按下列方式分开填写：</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2、项目单价按投标配置及分项报价表中要求填报。</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13、技术参数响应及偏离表、商务条款响应及偏离表及投标货物说明</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13.1 对招标文件中的技术与商务条款要求逐项作出响应或偏离，并说明原因；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13.2 提供参加本项目类似案例简介；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13.3 培训计划；</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13.4 详细阐述所投货物的主要组成部分、功能设计、实现思路及关键技术；</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13.5 投标人认为需要的其他技术文件或说明。</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14、服务承诺及售后服务机构、人员的情况介绍</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14.1投标人的服务承诺应按不低于招标文件中商务要求的标准。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15、投标函和开标一览表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15.1 投标人应按照招标文件中提供的格式完整、正确填写投标函、开标一览表。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16、投标有效期</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16.1 投标有效期为开标之日起六十</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60）天。投标有效期比规定短的将被视为非响应性投标而予以拒绝。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ascii="Times New Roman" w:hAnsi="Times New Roman" w:eastAsia="宋体"/>
          <w:b/>
          <w:color w:val="auto"/>
          <w:szCs w:val="21"/>
          <w:highlight w:val="none"/>
        </w:rPr>
      </w:pPr>
      <w:r/>
      <w:bookmarkStart w:id="42" w:name="_Toc513029225"/>
      <w:r/>
      <w:bookmarkStart w:id="43" w:name="_Toc20823297"/>
      <w:r/>
      <w:bookmarkStart w:id="44" w:name="_Toc462564084"/>
      <w:r/>
      <w:bookmarkStart w:id="45" w:name="_Toc16938541"/>
      <w:r>
        <w:rPr>
          <w:rFonts w:hint="eastAsia" w:ascii="Times New Roman" w:hAnsi="Times New Roman" w:eastAsia="宋体"/>
          <w:b/>
          <w:color w:val="auto"/>
          <w:szCs w:val="21"/>
          <w:highlight w:val="none"/>
        </w:rPr>
        <w:t xml:space="preserve">17、投标文件</w:t>
      </w:r>
      <w:bookmarkEnd w:id="42"/>
      <w:r/>
      <w:bookmarkEnd w:id="43"/>
      <w:r/>
      <w:bookmarkEnd w:id="44"/>
      <w:r/>
      <w:bookmarkEnd w:id="45"/>
      <w:r>
        <w:rPr>
          <w:rFonts w:hint="eastAsia" w:ascii="Times New Roman" w:hAnsi="Times New Roman" w:eastAsia="宋体"/>
          <w:b/>
          <w:color w:val="auto"/>
          <w:szCs w:val="21"/>
          <w:highlight w:val="none"/>
        </w:rPr>
        <w:t xml:space="preserve">的递交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17.1 电子投标文件的递交投标人应当按照《操作手册》规定，在投标截止时间前制作并上传电子投标文件。</w:t>
      </w:r>
      <w:bookmarkStart w:id="46" w:name="_Toc513029226"/>
      <w:r/>
      <w:bookmarkStart w:id="47" w:name="_Toc20823298"/>
      <w:r/>
      <w:bookmarkStart w:id="48" w:name="_Toc16938542"/>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17.2</w:t>
      </w:r>
      <w:r>
        <w:rPr>
          <w:rFonts w:hint="eastAsia" w:ascii="Times New Roman" w:hAnsi="Times New Roman" w:eastAsia="宋体"/>
          <w:b/>
          <w:bCs/>
          <w:color w:val="auto"/>
          <w:szCs w:val="21"/>
          <w:highlight w:val="none"/>
        </w:rPr>
        <w:t xml:space="preserve">政府采购管理交易系统</w:t>
      </w: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17.3投标人应对 CA 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17.4投标人应当对招标文件提出的要求和条件作出实质性响应，并在电子投标系统逐条应答。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17.5投标人应对要求提供的资格证明文件</w:t>
      </w:r>
      <w:r>
        <w:rPr>
          <w:rFonts w:hint="eastAsia" w:ascii="Times New Roman" w:hAnsi="Times New Roman" w:eastAsia="宋体"/>
          <w:b/>
          <w:color w:val="auto"/>
          <w:szCs w:val="21"/>
          <w:highlight w:val="none"/>
          <w:lang w:eastAsia="zh-CN"/>
        </w:rPr>
        <w:t xml:space="preserve">（</w:t>
      </w:r>
      <w:r>
        <w:rPr>
          <w:rFonts w:hint="eastAsia" w:ascii="Times New Roman" w:hAnsi="Times New Roman" w:eastAsia="宋体"/>
          <w:b/>
          <w:color w:val="auto"/>
          <w:szCs w:val="21"/>
          <w:highlight w:val="none"/>
        </w:rPr>
        <w:t xml:space="preserve">如资质证书、资格证书）、技术资料</w:t>
      </w:r>
      <w:r>
        <w:rPr>
          <w:rFonts w:hint="eastAsia" w:ascii="Times New Roman" w:hAnsi="Times New Roman" w:eastAsia="宋体"/>
          <w:b/>
          <w:color w:val="auto"/>
          <w:szCs w:val="21"/>
          <w:highlight w:val="none"/>
          <w:lang w:eastAsia="zh-CN"/>
        </w:rPr>
        <w:t xml:space="preserve">（</w:t>
      </w:r>
      <w:r>
        <w:rPr>
          <w:rFonts w:hint="eastAsia" w:ascii="Times New Roman" w:hAnsi="Times New Roman" w:eastAsia="宋体"/>
          <w:b/>
          <w:color w:val="auto"/>
          <w:szCs w:val="21"/>
          <w:highlight w:val="none"/>
        </w:rPr>
        <w:t xml:space="preserve">如白皮书、彩页、手册、检测报告等）扫描上传至投标系统。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17.7各投标人应在规定时间内凭CA证书进行网上解密。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18、投标截止日期</w:t>
      </w:r>
      <w:bookmarkEnd w:id="46"/>
      <w:r/>
      <w:bookmarkEnd w:id="47"/>
      <w:r/>
      <w:bookmarkEnd w:id="48"/>
      <w:r/>
      <w:r/>
    </w:p>
    <w:p>
      <w:pPr>
        <w:ind w:firstLine="420"/>
        <w:pageBreakBefore w:val="0"/>
        <w:spacing w:line="360" w:lineRule="auto"/>
        <w:rPr>
          <w:rFonts w:ascii="Times New Roman" w:hAnsi="Times New Roman" w:eastAsia="宋体"/>
          <w:bCs/>
          <w:i/>
          <w:iCs/>
          <w:color w:val="auto"/>
          <w:szCs w:val="21"/>
          <w:highlight w:val="none"/>
          <w:u w:val="single"/>
        </w:rPr>
      </w:pPr>
      <w:r>
        <w:rPr>
          <w:rFonts w:hint="eastAsia" w:ascii="Times New Roman" w:hAnsi="Times New Roman" w:eastAsia="宋体"/>
          <w:bCs/>
          <w:i/>
          <w:iCs/>
          <w:color w:val="auto"/>
          <w:szCs w:val="21"/>
          <w:highlight w:val="none"/>
          <w:u w:val="single"/>
        </w:rPr>
        <w:t xml:space="preserve">18.1 投标人上传电子投标文件的时间不得迟于招标公告中规定的投标截止时间。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ascii="Times New Roman" w:hAnsi="Times New Roman" w:eastAsia="宋体"/>
          <w:b/>
          <w:color w:val="auto"/>
          <w:szCs w:val="21"/>
          <w:highlight w:val="none"/>
        </w:rPr>
      </w:pPr>
      <w:r/>
      <w:bookmarkStart w:id="49" w:name="_Toc16938543"/>
      <w:r/>
      <w:bookmarkStart w:id="50" w:name="_Toc513029227"/>
      <w:r/>
      <w:bookmarkStart w:id="51" w:name="_Toc20823299"/>
      <w:r>
        <w:rPr>
          <w:rFonts w:hint="eastAsia" w:ascii="Times New Roman" w:hAnsi="Times New Roman" w:eastAsia="宋体"/>
          <w:b/>
          <w:color w:val="auto"/>
          <w:szCs w:val="21"/>
          <w:highlight w:val="none"/>
        </w:rPr>
        <w:t xml:space="preserve">19、投标文件</w:t>
      </w:r>
      <w:bookmarkEnd w:id="49"/>
      <w:r/>
      <w:bookmarkEnd w:id="50"/>
      <w:r/>
      <w:bookmarkEnd w:id="51"/>
      <w:r>
        <w:rPr>
          <w:rFonts w:hint="eastAsia" w:ascii="Times New Roman" w:hAnsi="Times New Roman" w:eastAsia="宋体"/>
          <w:b/>
          <w:color w:val="auto"/>
          <w:szCs w:val="21"/>
          <w:highlight w:val="none"/>
        </w:rPr>
        <w:t xml:space="preserve">的拒收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19.1代理机构拒绝接收在其规定的投标截止时间后上传的任何投标文件。</w:t>
      </w:r>
      <w:r/>
    </w:p>
    <w:p>
      <w:pPr>
        <w:ind w:firstLine="422"/>
        <w:pageBreakBefore w:val="0"/>
        <w:spacing w:line="360" w:lineRule="auto"/>
        <w:rPr>
          <w:rFonts w:ascii="Times New Roman" w:hAnsi="Times New Roman" w:eastAsia="宋体"/>
          <w:b/>
          <w:color w:val="auto"/>
          <w:szCs w:val="21"/>
          <w:highlight w:val="none"/>
        </w:rPr>
      </w:pPr>
      <w:r/>
      <w:bookmarkStart w:id="52" w:name="_Toc20823300"/>
      <w:r/>
      <w:bookmarkStart w:id="53" w:name="_Toc16938544"/>
      <w:r/>
      <w:bookmarkStart w:id="54" w:name="_Toc513029228"/>
      <w:r>
        <w:rPr>
          <w:rFonts w:hint="eastAsia" w:ascii="Times New Roman" w:hAnsi="Times New Roman" w:eastAsia="宋体"/>
          <w:b/>
          <w:color w:val="auto"/>
          <w:szCs w:val="21"/>
          <w:highlight w:val="none"/>
        </w:rPr>
        <w:t xml:space="preserve">20、投标文件的撤回和修改</w:t>
      </w:r>
      <w:bookmarkEnd w:id="52"/>
      <w:r/>
      <w:bookmarkEnd w:id="53"/>
      <w:r/>
      <w:bookmarkEnd w:id="54"/>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 投标文件的撤回</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20.1.1 电子投标文件的撤回</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投标人可在投标截止时间前，撤回其电子投标文件，具体操作方法见《操作手册》。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20.1.2 投标人撤回电子投标文件，则认为其不再参与本项目投标活动。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20.2 投标文件的修改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投标人可在投标截止时间前，对其电子投标文件进行修改，具体操作方法见《操作手册》。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20.3 在投标截止时间之后，投标人不得对其电子投标文件作任何修改。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20.4 在投标截止时间至招标文件中规定的投标有效期满之间的这段时间内，投标人不得撤回其投标。</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21、开标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
          <w:color w:val="auto"/>
          <w:szCs w:val="21"/>
          <w:highlight w:val="none"/>
        </w:rPr>
        <w:t xml:space="preserve">21.2开标仪式由代理机构组织。“政府采购管理交易系统</w:t>
      </w:r>
      <w:r>
        <w:rPr>
          <w:rFonts w:hint="eastAsia" w:ascii="Times New Roman" w:hAnsi="Times New Roman" w:eastAsia="宋体"/>
          <w:b/>
          <w:color w:val="auto"/>
          <w:szCs w:val="21"/>
          <w:highlight w:val="none"/>
          <w:lang w:eastAsia="zh-CN"/>
        </w:rPr>
        <w:t xml:space="preserve">（</w:t>
      </w:r>
      <w:r>
        <w:rPr>
          <w:rFonts w:hint="eastAsia" w:ascii="Times New Roman" w:hAnsi="Times New Roman" w:eastAsia="宋体"/>
          <w:b/>
          <w:color w:val="auto"/>
          <w:szCs w:val="21"/>
          <w:highlight w:val="none"/>
        </w:rPr>
        <w:t xml:space="preserve">苏采云）”将自动对项目进行开标，并宣读各投标人的《开标一览表》。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21.3投标人在开标过程中涉及到的投标文件解密、开标结果确认等工作，应按照《操作手册》规定执行。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22、评标委员会</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22.1 开标后，代理机构将立即组织评标委员会</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以下简称评委会）进行评标。</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22.2 评委会由采购人代表和有关技术、经济等方面的专家组成，且人员构成符合政府采购有关规定。</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22.3评委会独立工作，负责评审所有投标文件并确定中标候选人。</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23、评标过程的保密与公正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23.3 在评标期间，代理机构将设专门工作人员与投标人联系。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23.4 代理机构和评委会不向未中标的投标人解释未中标原因，也不公布评标过程中的相关细节。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23.5 采用综合评分法的项目，未中标的投标人可于中标结果公告期限届满之日起通过“政府采购管理交易系统</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苏采云）”查看自己的评审得分及排序情况。</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24、投标的澄清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24.2接到评委会澄清要求的投标人应派人按评委会规定的时间和格式在“政府采购管理交易系统</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苏采云）”中做出澄清，澄清的内容作为投标文件的补充部分，但投标的价格和实质性的内容不得做任何更改。具体操作方式见《操作手册》。</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24.3 接到评委会澄清要求的投标人如未按规定做出澄清，其风险由投标人自行承担。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25、对投标文件的初审</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25.1投标文件初审分为资格审查和符合性审查。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采购人在进行资格性审查的同时，将在“信用中国”网站</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www.creditchina.gov.cn）、“中国政府采购网”</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www.ccgp.gov.cn</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25.1.3 未通过资格审查或符合性审查的投标人，代理机构将在“政府采购管理交易系统</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苏采云）”中告知未通过资格审查或符合性审查的原因，评审结束后，代理机构将不再告知未通过资格审查或符合性审查的原因。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所谓重大偏离或保留是指与招标文件规定的实质性要求存在负偏离，或者在实质上与招标文件不一致，而且限制了合同中买方</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采购人）和见证方</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2）大写金额与小写金额不一致的，以大写金额为准。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4）总价金额与按单价汇总金额不一致的，以单价金额计算结果为准。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同时出现两种以上错误的，按照前款规定的顺序修正。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25.5评委会将按上述修正错误的方法调整投标文件中的投标报价，并通过“政府采购管理交易系统</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苏采云）”告知投标人，调整后的价格应对投标人具有约束力。如果投标人不接受修正后的价格，则其投标将被拒绝。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pageBreakBefore w:val="0"/>
        <w:spacing w:line="360" w:lineRule="auto"/>
        <w:rPr>
          <w:rFonts w:hint="eastAsia" w:ascii="Times New Roman" w:hAnsi="Times New Roman" w:eastAsia="宋体"/>
          <w:bCs/>
          <w:color w:val="auto"/>
          <w:szCs w:val="21"/>
          <w:highlight w:val="none"/>
          <w:lang w:eastAsia="zh-CN"/>
        </w:rPr>
      </w:pPr>
      <w:r>
        <w:rPr>
          <w:rFonts w:hint="eastAsia" w:ascii="Times New Roman" w:hAnsi="Times New Roman" w:eastAsia="宋体"/>
          <w:bCs/>
          <w:color w:val="auto"/>
          <w:szCs w:val="21"/>
          <w:highlight w:val="none"/>
        </w:rPr>
        <w:t xml:space="preserve">非单一产品采购项目，招标文件中将载明其中的核心产品。多家投标人提供的核心产品品牌相同的，按前两款规定处理。本项目核心产品为</w:t>
      </w:r>
      <w:r>
        <w:rPr>
          <w:rFonts w:hint="eastAsia" w:ascii="Times New Roman" w:hAnsi="Times New Roman"/>
          <w:bCs/>
          <w:color w:val="auto"/>
          <w:szCs w:val="21"/>
          <w:highlight w:val="none"/>
          <w:lang w:eastAsia="zh-CN"/>
        </w:rPr>
        <w:t xml:space="preserve">：电子内镜。</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25.8 投标人在开、评标全过程中应</w:t>
      </w:r>
      <w:r>
        <w:rPr>
          <w:rFonts w:hint="eastAsia" w:ascii="Times New Roman" w:hAnsi="Times New Roman"/>
          <w:bCs/>
          <w:color w:val="auto"/>
          <w:szCs w:val="21"/>
          <w:highlight w:val="none"/>
          <w:lang w:eastAsia="zh-CN"/>
        </w:rPr>
        <w:t xml:space="preserve">保持通信畅通</w:t>
      </w:r>
      <w:r>
        <w:rPr>
          <w:rFonts w:hint="eastAsia" w:ascii="Times New Roman" w:hAnsi="Times New Roman" w:eastAsia="宋体"/>
          <w:bCs/>
          <w:color w:val="auto"/>
          <w:szCs w:val="21"/>
          <w:highlight w:val="none"/>
        </w:rPr>
        <w:t xml:space="preserve">，并安排专人与代理机构及评委会联系。</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26、无效投标、废标及投标人不足三家的处理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26.1无效投标条款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 投标人未成功解密电子投标文件的。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26.1.2 投标人未按照招标文件要求上传电子投标文件的。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26.1.3投标人在报价时采用选择性报价的。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26.1.4投标人不具备招标文件中规定资格要求的。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26.1.5投标人的报价超过了采购预算或最高限价的。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26.1.6未通过符合性审查的。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26.1.7不符合招标文件中规定的其他实质性要求和条件的</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i/>
          <w:iCs/>
          <w:color w:val="auto"/>
          <w:szCs w:val="21"/>
          <w:highlight w:val="none"/>
          <w:u w:val="single"/>
        </w:rPr>
        <w:t xml:space="preserve">本招标文件中斜体且有下划线部分为实质性要求和条件</w:t>
      </w:r>
      <w:r>
        <w:rPr>
          <w:rFonts w:hint="eastAsia" w:ascii="Times New Roman" w:hAnsi="Times New Roman" w:eastAsia="宋体"/>
          <w:bCs/>
          <w:color w:val="auto"/>
          <w:szCs w:val="21"/>
          <w:highlight w:val="none"/>
        </w:rPr>
        <w:t xml:space="preserve">）。</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26.1.8 投标人被 “信用中国”网站</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www.creditchina.gov.cn）、“中国政府采购网"</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www.ccgp.gov.cn</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26.1.9  投标文件含有采购人不能接受的附加条件的。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26.1.10 评委会认为投标人的报价明显低于其他通过符合性审查投标人的报价，有可能影响产品质量或者不能诚信履约的，将通过“政府采购管理交易系统</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苏采云）”要求其在合理的时间内提供说明，必要时提交相关证明材料；投标人不能证明其报价合理性的，评委会应当将其作为无效投标处理。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26.1.11 本项目采购产品被财政部、</w:t>
      </w:r>
      <w:r>
        <w:rPr>
          <w:rFonts w:hint="eastAsia" w:ascii="Times New Roman" w:hAnsi="Times New Roman"/>
          <w:bCs/>
          <w:color w:val="auto"/>
          <w:szCs w:val="21"/>
          <w:highlight w:val="none"/>
          <w:lang w:eastAsia="zh-CN"/>
        </w:rPr>
        <w:t xml:space="preserve">国家发展改革委</w:t>
      </w:r>
      <w:r>
        <w:rPr>
          <w:rFonts w:hint="eastAsia" w:ascii="Times New Roman" w:hAnsi="Times New Roman" w:eastAsia="宋体"/>
          <w:bCs/>
          <w:color w:val="auto"/>
          <w:szCs w:val="21"/>
          <w:highlight w:val="none"/>
        </w:rPr>
        <w:t xml:space="preserve">、生态环境部等列入“节能产品品目清单”、“环境标志产品品目清单”强制采购范围，而投标人所投标产品不在强制采购范围内的。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26.1.12 投标文件未按照招标文件要求加盖电子签章。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26.1.13其他法律、法规及本招标文件规定的属无效投标的情形。</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26.2废标条款：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26.2.1符合专业条件的供应商或者对招标文件作实质响应的供应商不足三家的。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26.2.2出现影响采购公正的违法、违规行为的。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26.2.3因重大变故，采购任务取消的。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26.2.4评委会认定招标文件存在歧义、重大缺陷导致评审工作无法进行。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 投标截止时间结束后参加投标的供应商不足三家的处理：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27、确定中标单位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27.1评委会根据本招标文件规定评标方法与评标标准向采购人推荐出中标候选人。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27.2 采购人应根据评委会推荐的中标候选人确定中标人。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27.3代理机构将在“扬州市政府采购网”、“江苏省政府采购网”和“中国政府采购网”发布中标公告，公告期限为1个工作日。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27.4.1提供虚假材料谋取中标的；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27.4.2向采购人、代理机构行贿或者提供其他不正当利益的；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27.4.5与采购人或者其他投标人恶意串通的；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27.4.6采取不正当手段诋毁、排挤其他供应商的；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27.4.7不符合法律、法规的规定的。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 有下列情形之一的，视为投标人串通投标，投标无效：</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27.5.2不同投标人委托同一单位或者个人办理投标事宜。</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27.5.3 不同投标人的投标文件载明的项目管理成员或者联系人员为同一人。</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27.5.4不同投标人的投标文件异常一致或者投标报价呈规律性差异。</w:t>
      </w:r>
      <w:r/>
    </w:p>
    <w:p>
      <w:pPr>
        <w:ind w:firstLine="420"/>
        <w:spacing w:line="360" w:lineRule="auto"/>
        <w:rPr>
          <w:rFonts w:hint="eastAsia" w:ascii="Times New Roman" w:hAnsi="Times New Roman" w:eastAsia="宋体"/>
          <w:b/>
          <w:color w:val="auto"/>
          <w:szCs w:val="21"/>
          <w:highlight w:val="none"/>
        </w:rPr>
      </w:pPr>
      <w:r>
        <w:rPr>
          <w:rFonts w:hint="eastAsia" w:ascii="Times New Roman" w:hAnsi="Times New Roman"/>
          <w:bCs/>
          <w:color w:val="auto"/>
          <w:szCs w:val="21"/>
          <w:highlight w:val="none"/>
        </w:rPr>
        <w:t xml:space="preserve">27.5.5不同投标人的投标文件相互混装。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28、质疑处理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对项目需求部分的质疑，潜在供应商应向采购人提出，由采购人负责答复。</w:t>
      </w:r>
      <w:r/>
    </w:p>
    <w:p>
      <w:pPr>
        <w:ind w:firstLine="420"/>
        <w:jc w:val="left"/>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28.2.1对采购文件提出质疑的，应当在获取采购文件之日或者采购文件公告期限届满之日起7个工作日内提出。</w:t>
      </w:r>
      <w:r>
        <w:rPr>
          <w:rFonts w:hint="eastAsia" w:ascii="Times New Roman" w:hAnsi="Times New Roman" w:eastAsia="宋体"/>
          <w:bCs/>
          <w:color w:val="auto"/>
          <w:szCs w:val="21"/>
          <w:highlight w:val="none"/>
        </w:rPr>
        <w:br/>
      </w:r>
      <w:r>
        <w:rPr>
          <w:rFonts w:hint="eastAsia" w:ascii="Times New Roman" w:hAnsi="Times New Roman" w:eastAsia="宋体"/>
          <w:bCs/>
          <w:color w:val="auto"/>
          <w:szCs w:val="21"/>
          <w:highlight w:val="none"/>
        </w:rPr>
        <w:t xml:space="preserve">    28.2.2对采购过程提出质疑的，为各采购程序环节结束之日起7个工作日内提出。</w:t>
      </w:r>
      <w:r>
        <w:rPr>
          <w:rFonts w:hint="eastAsia" w:ascii="Times New Roman" w:hAnsi="Times New Roman" w:eastAsia="宋体"/>
          <w:bCs/>
          <w:color w:val="auto"/>
          <w:szCs w:val="21"/>
          <w:highlight w:val="none"/>
        </w:rPr>
        <w:br/>
      </w:r>
      <w:r>
        <w:rPr>
          <w:rFonts w:hint="eastAsia" w:ascii="Times New Roman" w:hAnsi="Times New Roman" w:eastAsia="宋体"/>
          <w:bCs/>
          <w:color w:val="auto"/>
          <w:szCs w:val="21"/>
          <w:highlight w:val="none"/>
        </w:rPr>
        <w:t xml:space="preserve">    28.2.3对中标结果提出质疑的，为中标结果公告期限届满之日起7个工作日内提出。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28.5 代理机构及采购人只接收以纸质原件形式送达的质疑，同时需与采购代理机构经办人确认是否收到《质疑函》，如供应商未按上述要求去做，将自行承担所产生的风险。</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采购人质疑接收人及联系方式见招标文件第一章。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28.7质疑人应当在法定质疑期限内进行补正并重新提交质疑函。</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 以下情形的质疑不予受理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28.8.1 内容不符合《政府采购质疑和投诉办法》第十二条规定的质疑。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28.8.2 超出政府采购法定期限的质疑。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28.8.3 以传真、电子邮件等方式递交的非原件形式的质疑。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28.8.4 未参加投标活动的供应商或在投标活动中自身权益未受到损害的供应商所提出的质疑。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29、中标通知书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29.l 中标结果确定后，代理机构将向中标人发出中标通知书。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29.2 中标人可在“政府采购管理交易系统</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苏采云）”中标通知书下载模块中自行下载中标通知书。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30、 签订合同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30.l中标人应在中标通知书发出之日起三十日内，按照招标文件确定的事项与采购人签订政府采购合同。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30.2 招标文件、中标人的投标文件及招标过程中有关澄清、承诺文件均应作为合同附件。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30.3 合同在“政府采购管理交易系统</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苏采云）”中签订，签订合同后，</w:t>
      </w:r>
      <w:r>
        <w:rPr>
          <w:rFonts w:hint="eastAsia" w:ascii="Times New Roman" w:hAnsi="Times New Roman" w:eastAsia="宋体"/>
          <w:bCs/>
          <w:i/>
          <w:iCs/>
          <w:color w:val="auto"/>
          <w:szCs w:val="21"/>
          <w:highlight w:val="none"/>
          <w:u w:val="single"/>
        </w:rPr>
        <w:t xml:space="preserve">中标人不得将货物或服务及其他服务进行转包</w:t>
      </w:r>
      <w:r>
        <w:rPr>
          <w:rFonts w:hint="eastAsia" w:ascii="Times New Roman" w:hAnsi="Times New Roman" w:eastAsia="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31、电子投标文件要求</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31.1</w:t>
      </w:r>
      <w:r>
        <w:rPr>
          <w:rFonts w:hint="eastAsia" w:ascii="Times New Roman" w:hAnsi="Times New Roman" w:eastAsia="宋体"/>
          <w:b/>
          <w:bCs/>
          <w:color w:val="auto"/>
          <w:szCs w:val="21"/>
          <w:highlight w:val="none"/>
        </w:rPr>
        <w:t xml:space="preserve">政府采购管理交易系统</w:t>
      </w: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31.2投标人应对 CA 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31.3投标人应当对招标文件提出的要求和条件作出实质性响应，并在电子投标系统逐条应答。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31.4投标人应对要求提供的资格证明文件</w:t>
      </w:r>
      <w:r>
        <w:rPr>
          <w:rFonts w:hint="eastAsia" w:ascii="Times New Roman" w:hAnsi="Times New Roman" w:eastAsia="宋体"/>
          <w:b/>
          <w:color w:val="auto"/>
          <w:szCs w:val="21"/>
          <w:highlight w:val="none"/>
          <w:lang w:eastAsia="zh-CN"/>
        </w:rPr>
        <w:t xml:space="preserve">（</w:t>
      </w:r>
      <w:r>
        <w:rPr>
          <w:rFonts w:hint="eastAsia" w:ascii="Times New Roman" w:hAnsi="Times New Roman" w:eastAsia="宋体"/>
          <w:b/>
          <w:color w:val="auto"/>
          <w:szCs w:val="21"/>
          <w:highlight w:val="none"/>
        </w:rPr>
        <w:t xml:space="preserve">如资质证书、资格证书）、技术资料</w:t>
      </w:r>
      <w:r>
        <w:rPr>
          <w:rFonts w:hint="eastAsia" w:ascii="Times New Roman" w:hAnsi="Times New Roman" w:eastAsia="宋体"/>
          <w:b/>
          <w:color w:val="auto"/>
          <w:szCs w:val="21"/>
          <w:highlight w:val="none"/>
          <w:lang w:eastAsia="zh-CN"/>
        </w:rPr>
        <w:t xml:space="preserve">（</w:t>
      </w:r>
      <w:r>
        <w:rPr>
          <w:rFonts w:hint="eastAsia" w:ascii="Times New Roman" w:hAnsi="Times New Roman" w:eastAsia="宋体"/>
          <w:b/>
          <w:color w:val="auto"/>
          <w:szCs w:val="21"/>
          <w:highlight w:val="none"/>
        </w:rPr>
        <w:t xml:space="preserve">如白皮书、彩页、手册、检测报告等）扫描上传至投标系统。</w:t>
      </w:r>
      <w:r/>
    </w:p>
    <w:p>
      <w:pPr>
        <w:numPr>
          <w:ilvl w:val="0"/>
          <w:numId w:val="3"/>
        </w:num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提交投标文件的截止时间</w:t>
      </w:r>
      <w:r>
        <w:rPr>
          <w:rFonts w:hint="eastAsia" w:ascii="Times New Roman" w:hAnsi="Times New Roman" w:eastAsia="宋体"/>
          <w:b/>
          <w:color w:val="auto"/>
          <w:szCs w:val="21"/>
          <w:highlight w:val="none"/>
          <w:lang w:eastAsia="zh-CN"/>
        </w:rPr>
        <w:t xml:space="preserve">（</w:t>
      </w:r>
      <w:r>
        <w:rPr>
          <w:rFonts w:hint="eastAsia" w:ascii="Times New Roman" w:hAnsi="Times New Roman" w:eastAsia="宋体"/>
          <w:b/>
          <w:color w:val="auto"/>
          <w:szCs w:val="21"/>
          <w:highlight w:val="none"/>
        </w:rPr>
        <w:t xml:space="preserve">投标截止时间）</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32.2各投标人应在规定时间内凭CA证书进行网上解密。</w:t>
      </w:r>
      <w:r/>
    </w:p>
    <w:p>
      <w:pPr>
        <w:ind w:firstLine="420"/>
        <w:jc w:val="left"/>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cs="宋体"/>
          <w:color w:val="auto"/>
          <w:highlight w:val="none"/>
        </w:rPr>
        <w:t xml:space="preserve">33、其他</w:t>
      </w:r>
      <w:r>
        <w:rPr>
          <w:rFonts w:hint="eastAsia" w:ascii="Times New Roman" w:hAnsi="Times New Roman" w:eastAsia="宋体" w:cs="宋体"/>
          <w:color w:val="auto"/>
          <w:highlight w:val="none"/>
        </w:rPr>
        <w:br/>
      </w:r>
      <w:r>
        <w:rPr>
          <w:rFonts w:hint="eastAsia" w:ascii="Times New Roman" w:hAnsi="Times New Roman" w:eastAsia="宋体" w:cs="宋体"/>
          <w:color w:val="auto"/>
          <w:highlight w:val="none"/>
        </w:rPr>
        <w:t xml:space="preserve">    33.1 </w:t>
      </w:r>
      <w:r>
        <w:rPr>
          <w:rFonts w:hint="eastAsia" w:ascii="Times New Roman" w:hAnsi="Times New Roman" w:eastAsia="宋体"/>
          <w:color w:val="auto"/>
          <w:highlight w:val="none"/>
        </w:rPr>
        <w:t xml:space="preserve">依据《政府采购促进中小企业发展管理办法》</w:t>
      </w:r>
      <w:r>
        <w:rPr>
          <w:rFonts w:hint="eastAsia" w:ascii="Times New Roman" w:hAnsi="Times New Roman"/>
          <w:color w:val="auto"/>
          <w:highlight w:val="none"/>
          <w:lang w:eastAsia="zh-CN"/>
        </w:rPr>
        <w:t xml:space="preserve">享受</w:t>
      </w:r>
      <w:r>
        <w:rPr>
          <w:rFonts w:hint="eastAsia" w:ascii="Times New Roman" w:hAnsi="Times New Roman" w:eastAsia="宋体"/>
          <w:color w:val="auto"/>
          <w:highlight w:val="none"/>
        </w:rPr>
        <w:t xml:space="preserve">扶持政策获得政府采购合同的，小微企业不得将合同分包给大中型企业，中型企业不得将合同分包给大型企业。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br w:type="page" w:clear="all"/>
      </w:r>
      <w:r/>
    </w:p>
    <w:p>
      <w:pPr>
        <w:pStyle w:val="710"/>
        <w:jc w:val="center"/>
        <w:pageBreakBefore w:val="0"/>
        <w:spacing w:before="0" w:after="0" w:line="360" w:lineRule="auto"/>
        <w:rPr>
          <w:rFonts w:ascii="Times New Roman" w:hAnsi="Times New Roman" w:eastAsia="宋体"/>
          <w:color w:val="auto"/>
          <w:sz w:val="36"/>
          <w:szCs w:val="36"/>
          <w:highlight w:val="none"/>
        </w:rPr>
      </w:pPr>
      <w:r/>
      <w:bookmarkStart w:id="55" w:name="_Toc55204179"/>
      <w:r/>
      <w:bookmarkStart w:id="56" w:name="_Toc28449"/>
      <w:r/>
      <w:bookmarkStart w:id="57" w:name="_Hlk69392822"/>
      <w:r>
        <w:rPr>
          <w:rFonts w:hint="eastAsia" w:ascii="Times New Roman" w:hAnsi="Times New Roman" w:eastAsia="宋体"/>
          <w:color w:val="auto"/>
          <w:sz w:val="36"/>
          <w:szCs w:val="36"/>
          <w:highlight w:val="none"/>
        </w:rPr>
        <w:t xml:space="preserve">第三章 合同条款及格式</w:t>
      </w:r>
      <w:bookmarkEnd w:id="55"/>
      <w:r/>
      <w:bookmarkEnd w:id="56"/>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以下为中标后</w:t>
      </w:r>
      <w:r>
        <w:rPr>
          <w:rFonts w:hint="eastAsia" w:ascii="Times New Roman" w:hAnsi="Times New Roman"/>
          <w:color w:val="auto"/>
          <w:sz w:val="21"/>
          <w:highlight w:val="none"/>
          <w:lang w:eastAsia="zh-CN"/>
        </w:rPr>
        <w:t xml:space="preserve">签订</w:t>
      </w:r>
      <w:r>
        <w:rPr>
          <w:rFonts w:hint="eastAsia" w:ascii="Times New Roman" w:hAnsi="Times New Roman" w:eastAsia="宋体"/>
          <w:color w:val="auto"/>
          <w:sz w:val="21"/>
          <w:highlight w:val="none"/>
        </w:rPr>
        <w:t xml:space="preserve">本项目合同的通用条款，中标人不得提出实质性的修改，关于专用条款将由采购人与中标人结合本项目具体情况协商后签订。</w:t>
      </w:r>
      <w:r/>
    </w:p>
    <w:p>
      <w:pPr>
        <w:pStyle w:val="730"/>
        <w:ind w:firstLine="422"/>
        <w:jc w:val="center"/>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扬州市政府采购合同</w:t>
      </w:r>
      <w:r>
        <w:rPr>
          <w:rFonts w:hint="eastAsia" w:ascii="Times New Roman" w:hAnsi="Times New Roman" w:eastAsia="宋体"/>
          <w:b/>
          <w:bCs/>
          <w:color w:val="auto"/>
          <w:sz w:val="21"/>
          <w:highlight w:val="none"/>
          <w:lang w:eastAsia="zh-CN"/>
        </w:rPr>
        <w:t xml:space="preserve">（</w:t>
      </w:r>
      <w:r>
        <w:rPr>
          <w:rFonts w:hint="eastAsia" w:ascii="Times New Roman" w:hAnsi="Times New Roman" w:eastAsia="宋体"/>
          <w:b/>
          <w:bCs/>
          <w:color w:val="auto"/>
          <w:sz w:val="21"/>
          <w:highlight w:val="none"/>
        </w:rPr>
        <w:t xml:space="preserve">货物</w:t>
      </w:r>
      <w:r>
        <w:rPr>
          <w:rFonts w:hint="eastAsia" w:ascii="Times New Roman" w:hAnsi="Times New Roman" w:eastAsia="宋体"/>
          <w:b/>
          <w:bCs/>
          <w:color w:val="auto"/>
          <w:sz w:val="21"/>
          <w:highlight w:val="none"/>
          <w:lang w:eastAsia="zh-CN"/>
        </w:rPr>
        <w:t xml:space="preserve">）（</w:t>
      </w:r>
      <w:r>
        <w:rPr>
          <w:rFonts w:hint="eastAsia" w:ascii="Times New Roman" w:hAnsi="Times New Roman" w:eastAsia="宋体"/>
          <w:b/>
          <w:bCs/>
          <w:color w:val="auto"/>
          <w:sz w:val="21"/>
          <w:highlight w:val="none"/>
        </w:rPr>
        <w:t xml:space="preserve">合同编号）</w:t>
      </w:r>
      <w:r/>
    </w:p>
    <w:p>
      <w:pPr>
        <w:pStyle w:val="730"/>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项目名称：</w:t>
      </w:r>
      <w:r>
        <w:rPr>
          <w:rFonts w:hint="eastAsia" w:ascii="Times New Roman" w:hAnsi="Times New Roman"/>
          <w:color w:val="auto"/>
          <w:sz w:val="21"/>
          <w:highlight w:val="none"/>
          <w:lang w:eastAsia="zh-CN"/>
        </w:rPr>
        <w:t xml:space="preserve">扬州市蜀冈—瘦西湖风景名胜区平山乡卫生院检查设备采购项目</w:t>
      </w:r>
      <w:r/>
    </w:p>
    <w:p>
      <w:pPr>
        <w:pStyle w:val="730"/>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项目编号：</w:t>
      </w:r>
      <w:r>
        <w:rPr>
          <w:rFonts w:hint="eastAsia" w:ascii="Times New Roman" w:hAnsi="Times New Roman"/>
          <w:color w:val="auto"/>
          <w:sz w:val="21"/>
          <w:highlight w:val="none"/>
          <w:lang w:eastAsia="zh-CN"/>
        </w:rPr>
        <w:t xml:space="preserve">JSZC-321092-SWGC-G2025-0233</w:t>
      </w:r>
      <w:r>
        <w:rPr>
          <w:rFonts w:hint="eastAsia" w:ascii="Times New Roman" w:hAnsi="Times New Roman" w:eastAsia="宋体"/>
          <w:color w:val="auto"/>
          <w:sz w:val="21"/>
          <w:highlight w:val="none"/>
          <w:lang w:eastAsia="zh-CN"/>
        </w:rPr>
        <w:t xml:space="preserve">号</w:t>
      </w:r>
      <w:r/>
    </w:p>
    <w:p>
      <w:pPr>
        <w:pStyle w:val="730"/>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w:t>
      </w:r>
      <w:r>
        <w:rPr>
          <w:rFonts w:hint="eastAsia" w:ascii="Times New Roman" w:hAnsi="Times New Roman" w:eastAsia="宋体"/>
          <w:color w:val="auto"/>
          <w:sz w:val="21"/>
          <w:highlight w:val="none"/>
          <w:lang w:eastAsia="zh-CN"/>
        </w:rPr>
        <w:t xml:space="preserve">（</w:t>
      </w:r>
      <w:r>
        <w:rPr>
          <w:rFonts w:hint="eastAsia" w:ascii="Times New Roman" w:hAnsi="Times New Roman" w:eastAsia="宋体"/>
          <w:color w:val="auto"/>
          <w:sz w:val="21"/>
          <w:highlight w:val="none"/>
        </w:rPr>
        <w:t xml:space="preserve">买方）</w:t>
      </w:r>
      <w:r>
        <w:rPr>
          <w:rFonts w:hint="eastAsia" w:ascii="Times New Roman" w:hAnsi="Times New Roman"/>
          <w:color w:val="auto"/>
          <w:sz w:val="21"/>
          <w:highlight w:val="none"/>
          <w:lang w:eastAsia="zh-CN"/>
        </w:rPr>
        <w:t xml:space="preserve">扬州市蜀冈—瘦西湖风景名胜区平山乡卫生院</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w:t>
      </w:r>
      <w:r>
        <w:rPr>
          <w:rFonts w:hint="eastAsia" w:ascii="Times New Roman" w:hAnsi="Times New Roman" w:eastAsia="宋体"/>
          <w:color w:val="auto"/>
          <w:sz w:val="21"/>
          <w:highlight w:val="none"/>
          <w:lang w:eastAsia="zh-CN"/>
        </w:rPr>
        <w:t xml:space="preserve">（</w:t>
      </w:r>
      <w:r>
        <w:rPr>
          <w:rFonts w:hint="eastAsia" w:ascii="Times New Roman" w:hAnsi="Times New Roman" w:eastAsia="宋体"/>
          <w:color w:val="auto"/>
          <w:sz w:val="21"/>
          <w:highlight w:val="none"/>
        </w:rPr>
        <w:t xml:space="preserve">卖方）_________</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甲、乙双方根据江苏苏维工程管理有限公司_________项目公开招标的结果，签署本合同。</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一、货物及伴随服务</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1.1 货物及服务名称：</w:t>
      </w:r>
      <w:r/>
    </w:p>
    <w:p>
      <w:pPr>
        <w:pStyle w:val="730"/>
        <w:ind w:firstLine="420"/>
        <w:pageBreakBefore w:val="0"/>
        <w:spacing w:line="360" w:lineRule="auto"/>
        <w:rPr>
          <w:rFonts w:ascii="Times New Roman" w:hAnsi="Times New Roman" w:eastAsia="宋体"/>
          <w:color w:val="auto"/>
          <w:sz w:val="21"/>
          <w:highlight w:val="none"/>
        </w:rPr>
      </w:pPr>
      <w:r>
        <w:rPr>
          <w:rFonts w:ascii="Times New Roman" w:hAnsi="Times New Roman" w:eastAsia="宋体"/>
          <w:color w:val="auto"/>
          <w:sz w:val="21"/>
          <w:highlight w:val="none"/>
        </w:rPr>
        <w:t xml:space="preserve">1.2 型号规格：</w:t>
      </w:r>
      <w:r/>
    </w:p>
    <w:p>
      <w:pPr>
        <w:pStyle w:val="730"/>
        <w:ind w:firstLine="420"/>
        <w:pageBreakBefore w:val="0"/>
        <w:spacing w:line="360" w:lineRule="auto"/>
        <w:rPr>
          <w:rFonts w:ascii="Times New Roman" w:hAnsi="Times New Roman" w:eastAsia="宋体"/>
          <w:color w:val="auto"/>
          <w:sz w:val="21"/>
          <w:highlight w:val="none"/>
        </w:rPr>
      </w:pPr>
      <w:r>
        <w:rPr>
          <w:rFonts w:ascii="Times New Roman" w:hAnsi="Times New Roman" w:eastAsia="宋体"/>
          <w:color w:val="auto"/>
          <w:sz w:val="21"/>
          <w:highlight w:val="none"/>
        </w:rPr>
        <w:t xml:space="preserve">1.3 数量</w:t>
      </w:r>
      <w:r>
        <w:rPr>
          <w:rFonts w:hint="eastAsia" w:ascii="Times New Roman" w:hAnsi="Times New Roman" w:eastAsia="宋体"/>
          <w:color w:val="auto"/>
          <w:sz w:val="21"/>
          <w:highlight w:val="none"/>
          <w:lang w:eastAsia="zh-CN"/>
        </w:rPr>
        <w:t xml:space="preserve">（</w:t>
      </w:r>
      <w:r>
        <w:rPr>
          <w:rFonts w:ascii="Times New Roman" w:hAnsi="Times New Roman" w:eastAsia="宋体"/>
          <w:color w:val="auto"/>
          <w:sz w:val="21"/>
          <w:highlight w:val="none"/>
        </w:rPr>
        <w:t xml:space="preserve">单位）</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二、合同金额</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2.1 本合同金额为</w:t>
      </w:r>
      <w:r>
        <w:rPr>
          <w:rFonts w:hint="eastAsia" w:ascii="Times New Roman" w:hAnsi="Times New Roman" w:eastAsia="宋体"/>
          <w:color w:val="auto"/>
          <w:sz w:val="21"/>
          <w:highlight w:val="none"/>
          <w:lang w:eastAsia="zh-CN"/>
        </w:rPr>
        <w:t xml:space="preserve">（</w:t>
      </w:r>
      <w:r>
        <w:rPr>
          <w:rFonts w:hint="eastAsia" w:ascii="Times New Roman" w:hAnsi="Times New Roman" w:eastAsia="宋体"/>
          <w:color w:val="auto"/>
          <w:sz w:val="21"/>
          <w:highlight w:val="none"/>
        </w:rPr>
        <w:t xml:space="preserve">大写）：_____________圆</w:t>
      </w:r>
      <w:r>
        <w:rPr>
          <w:rFonts w:hint="eastAsia" w:ascii="Times New Roman" w:hAnsi="Times New Roman" w:eastAsia="宋体"/>
          <w:color w:val="auto"/>
          <w:sz w:val="21"/>
          <w:highlight w:val="none"/>
          <w:lang w:eastAsia="zh-CN"/>
        </w:rPr>
        <w:t xml:space="preserve">（</w:t>
      </w:r>
      <w:r>
        <w:rPr>
          <w:rFonts w:hint="eastAsia" w:ascii="Times New Roman" w:hAnsi="Times New Roman" w:eastAsia="宋体"/>
          <w:color w:val="auto"/>
          <w:sz w:val="21"/>
          <w:highlight w:val="none"/>
        </w:rPr>
        <w:t xml:space="preserve">_______________元）人民币。</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三、技术资料</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3.1乙方应按招标文件规定的时间向甲方提供使用货物及服务的有关技术资料。</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四、知识产权</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五、产权担保</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5.1 乙方保证所交付的货物及服务的所有权完全属于乙方且无任何抵押、查封等产权瑕疵。</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六、履约保证金</w:t>
      </w:r>
      <w:r/>
    </w:p>
    <w:p>
      <w:pPr>
        <w:pStyle w:val="730"/>
        <w:ind w:firstLine="420"/>
        <w:spacing w:line="360" w:lineRule="auto"/>
        <w:rPr>
          <w:rFonts w:hint="eastAsia" w:ascii="Times New Roman" w:hAnsi="Times New Roman"/>
          <w:color w:val="auto"/>
          <w:sz w:val="21"/>
          <w:highlight w:val="none"/>
        </w:rPr>
      </w:pPr>
      <w:r>
        <w:rPr>
          <w:rFonts w:hint="eastAsia" w:ascii="Times New Roman" w:hAnsi="Times New Roman"/>
          <w:color w:val="auto"/>
          <w:sz w:val="21"/>
          <w:highlight w:val="none"/>
        </w:rPr>
        <w:t xml:space="preserve">6.1 乙方交纳人民币</w:t>
      </w:r>
      <w:r>
        <w:rPr>
          <w:rFonts w:hint="eastAsia" w:ascii="Times New Roman" w:hAnsi="Times New Roman"/>
          <w:color w:val="auto"/>
          <w:sz w:val="21"/>
          <w:highlight w:val="none"/>
          <w:u w:val="single"/>
        </w:rPr>
        <w:t xml:space="preserve"> 零  </w:t>
      </w:r>
      <w:r>
        <w:rPr>
          <w:rFonts w:hint="eastAsia" w:ascii="Times New Roman" w:hAnsi="Times New Roman"/>
          <w:color w:val="auto"/>
          <w:sz w:val="21"/>
          <w:highlight w:val="none"/>
        </w:rPr>
        <w:t xml:space="preserve">元作为本合同的履约保证金。（不得超过合同金额的10%）</w:t>
      </w:r>
      <w:r/>
    </w:p>
    <w:p>
      <w:pPr>
        <w:pStyle w:val="730"/>
        <w:ind w:firstLine="420"/>
        <w:spacing w:line="360" w:lineRule="auto"/>
        <w:rPr>
          <w:rFonts w:hint="eastAsia" w:ascii="Times New Roman" w:hAnsi="Times New Roman"/>
          <w:color w:val="auto"/>
          <w:sz w:val="21"/>
          <w:highlight w:val="none"/>
        </w:rPr>
      </w:pPr>
      <w:r>
        <w:rPr>
          <w:rFonts w:hint="eastAsia" w:ascii="Times New Roman" w:hAnsi="Times New Roman"/>
          <w:color w:val="auto"/>
          <w:sz w:val="21"/>
          <w:highlight w:val="none"/>
        </w:rPr>
        <w:t xml:space="preserve">6.2合同履行结束后，甲方应及时退还交纳的履约保证金。</w:t>
      </w:r>
      <w:r/>
    </w:p>
    <w:p>
      <w:pPr>
        <w:pStyle w:val="730"/>
        <w:ind w:firstLine="420"/>
        <w:spacing w:line="360" w:lineRule="auto"/>
        <w:rPr>
          <w:rFonts w:hint="eastAsia" w:ascii="Times New Roman" w:hAnsi="Times New Roman"/>
          <w:color w:val="auto"/>
          <w:sz w:val="21"/>
          <w:highlight w:val="none"/>
        </w:rPr>
      </w:pPr>
      <w:r>
        <w:rPr>
          <w:rFonts w:hint="eastAsia" w:ascii="Times New Roman" w:hAnsi="Times New Roman"/>
          <w:color w:val="auto"/>
          <w:sz w:val="21"/>
          <w:highlight w:val="none"/>
        </w:rPr>
        <w:t xml:space="preserve">6.2.1履约保证金退还方式：无</w:t>
      </w:r>
      <w:r/>
    </w:p>
    <w:p>
      <w:pPr>
        <w:pStyle w:val="730"/>
        <w:ind w:firstLine="420"/>
        <w:spacing w:line="360" w:lineRule="auto"/>
        <w:rPr>
          <w:rFonts w:hint="eastAsia" w:ascii="Times New Roman" w:hAnsi="Times New Roman"/>
          <w:color w:val="auto"/>
          <w:sz w:val="21"/>
          <w:highlight w:val="none"/>
        </w:rPr>
      </w:pPr>
      <w:r>
        <w:rPr>
          <w:rFonts w:hint="eastAsia" w:ascii="Times New Roman" w:hAnsi="Times New Roman"/>
          <w:color w:val="auto"/>
          <w:sz w:val="21"/>
          <w:highlight w:val="none"/>
        </w:rPr>
        <w:t xml:space="preserve">6.2.2履约保证金退还时间：无</w:t>
      </w:r>
      <w:r/>
    </w:p>
    <w:p>
      <w:pPr>
        <w:pStyle w:val="730"/>
        <w:ind w:firstLine="420"/>
        <w:spacing w:line="360" w:lineRule="auto"/>
        <w:rPr>
          <w:rFonts w:hint="eastAsia" w:ascii="Times New Roman" w:hAnsi="Times New Roman"/>
          <w:color w:val="auto"/>
          <w:sz w:val="21"/>
          <w:highlight w:val="none"/>
        </w:rPr>
      </w:pPr>
      <w:r>
        <w:rPr>
          <w:rFonts w:hint="eastAsia" w:ascii="Times New Roman" w:hAnsi="Times New Roman"/>
          <w:color w:val="auto"/>
          <w:sz w:val="21"/>
          <w:highlight w:val="none"/>
        </w:rPr>
        <w:t xml:space="preserve">6.2.3履约保证金退还条件：无</w:t>
      </w:r>
      <w:r/>
    </w:p>
    <w:p>
      <w:pPr>
        <w:pStyle w:val="730"/>
        <w:ind w:firstLine="420"/>
        <w:spacing w:line="360" w:lineRule="auto"/>
        <w:rPr>
          <w:rFonts w:hint="eastAsia" w:ascii="Times New Roman" w:hAnsi="Times New Roman"/>
          <w:color w:val="auto"/>
          <w:sz w:val="21"/>
          <w:highlight w:val="none"/>
        </w:rPr>
      </w:pPr>
      <w:r>
        <w:rPr>
          <w:rFonts w:hint="eastAsia" w:ascii="Times New Roman" w:hAnsi="Times New Roman"/>
          <w:color w:val="auto"/>
          <w:sz w:val="21"/>
          <w:highlight w:val="none"/>
        </w:rPr>
        <w:t xml:space="preserve">6.2.4履约保证金不予退还的情形：无</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七、转包或分包</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7.1本合同范围的货物及服务，应由乙方直接供应，不得转让他人供应；</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7.2 除非得到甲方的书面同意，乙方不得部分分包给他人供应。</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7.3如有转让和未经甲方同意的分包行为，甲方有权给予终止合同。</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八、质保期</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8.1 质保期</w:t>
      </w:r>
      <w:r>
        <w:rPr>
          <w:rFonts w:hint="eastAsia" w:ascii="Times New Roman" w:hAnsi="Times New Roman" w:eastAsia="宋体"/>
          <w:color w:val="auto"/>
          <w:sz w:val="21"/>
          <w:highlight w:val="none"/>
          <w:u w:val="single"/>
          <w:lang w:val="en-US" w:eastAsia="zh-CN"/>
        </w:rPr>
        <w:t xml:space="preserve">      </w:t>
      </w:r>
      <w:r>
        <w:rPr>
          <w:rFonts w:hint="eastAsia" w:ascii="Times New Roman" w:hAnsi="Times New Roman" w:eastAsia="宋体"/>
          <w:color w:val="auto"/>
          <w:sz w:val="21"/>
          <w:highlight w:val="none"/>
        </w:rPr>
        <w:t xml:space="preserve">年。</w:t>
      </w:r>
      <w:r>
        <w:rPr>
          <w:rFonts w:hint="eastAsia" w:ascii="Times New Roman" w:hAnsi="Times New Roman" w:eastAsia="宋体"/>
          <w:color w:val="auto"/>
          <w:sz w:val="21"/>
          <w:highlight w:val="none"/>
          <w:lang w:eastAsia="zh-CN"/>
        </w:rPr>
        <w:t xml:space="preserve">（</w:t>
      </w:r>
      <w:r>
        <w:rPr>
          <w:rFonts w:hint="eastAsia" w:ascii="Times New Roman" w:hAnsi="Times New Roman" w:eastAsia="宋体"/>
          <w:color w:val="auto"/>
          <w:sz w:val="21"/>
          <w:highlight w:val="none"/>
        </w:rPr>
        <w:t xml:space="preserve">自交货验收合格之日起计）</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九、交付期、交付方式及交付地点</w:t>
      </w:r>
      <w:r/>
    </w:p>
    <w:p>
      <w:pPr>
        <w:pStyle w:val="730"/>
        <w:ind w:firstLine="420"/>
        <w:pageBreakBefore w:val="0"/>
        <w:spacing w:line="360" w:lineRule="auto"/>
        <w:rPr>
          <w:rFonts w:ascii="Times New Roman" w:hAnsi="Times New Roman" w:eastAsia="宋体"/>
          <w:color w:val="auto"/>
          <w:sz w:val="21"/>
          <w:highlight w:val="none"/>
          <w:u w:val="single"/>
        </w:rPr>
      </w:pPr>
      <w:r>
        <w:rPr>
          <w:rFonts w:hint="eastAsia" w:ascii="Times New Roman" w:hAnsi="Times New Roman" w:eastAsia="宋体"/>
          <w:color w:val="auto"/>
          <w:sz w:val="21"/>
          <w:highlight w:val="none"/>
        </w:rPr>
        <w:t xml:space="preserve">9.1 交付期：</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9.2 交付方式：甲方指定方式</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9.3 交付地点：甲方指定地点</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十、货款支付</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10.1 本合同项下所有款项均以人民币支付。 </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10.2 本合同项下的采购资金由甲方支付，付款前乙方向甲方开具发票。</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10.3 甲方付款方式：</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合同签订后，乙方向甲方开具发票，甲方自收到发票之日起10个工作日内支付合同总价30%的预付款；</w:t>
      </w:r>
      <w:r>
        <w:rPr>
          <w:rFonts w:hint="eastAsia" w:ascii="Times New Roman" w:hAnsi="Times New Roman" w:cs="宋体"/>
          <w:color w:val="auto"/>
          <w:szCs w:val="21"/>
          <w:highlight w:val="none"/>
          <w:lang w:val="en-US" w:eastAsia="zh-CN"/>
        </w:rPr>
        <w:t xml:space="preserve">项目</w:t>
      </w:r>
      <w:r>
        <w:rPr>
          <w:rFonts w:hint="eastAsia" w:ascii="Times New Roman" w:hAnsi="Times New Roman" w:eastAsia="宋体" w:cs="宋体"/>
          <w:color w:val="auto"/>
          <w:szCs w:val="21"/>
          <w:highlight w:val="none"/>
        </w:rPr>
        <w:t xml:space="preserve">完成，</w:t>
      </w:r>
      <w:r>
        <w:rPr>
          <w:rFonts w:hint="eastAsia" w:ascii="Times New Roman" w:hAnsi="Times New Roman" w:cs="宋体"/>
          <w:color w:val="auto"/>
          <w:szCs w:val="21"/>
          <w:highlight w:val="none"/>
          <w:lang w:val="en-US" w:eastAsia="zh-CN"/>
        </w:rPr>
        <w:t xml:space="preserve">验收合格</w:t>
      </w:r>
      <w:r>
        <w:rPr>
          <w:rFonts w:hint="eastAsia" w:ascii="Times New Roman" w:hAnsi="Times New Roman" w:eastAsia="宋体" w:cs="宋体"/>
          <w:color w:val="auto"/>
          <w:szCs w:val="21"/>
          <w:highlight w:val="none"/>
        </w:rPr>
        <w:t xml:space="preserve">后，乙方向甲方开具发票，甲方自收到发票之日起10个工作日内支付合同总价</w:t>
      </w:r>
      <w:r>
        <w:rPr>
          <w:rFonts w:hint="eastAsia" w:ascii="Times New Roman" w:hAnsi="Times New Roman" w:eastAsia="宋体" w:cs="宋体"/>
          <w:color w:val="auto"/>
          <w:szCs w:val="21"/>
          <w:highlight w:val="none"/>
          <w:lang w:val="zh-CN"/>
        </w:rPr>
        <w:t xml:space="preserve">的</w:t>
      </w:r>
      <w:r>
        <w:rPr>
          <w:rFonts w:hint="eastAsia" w:ascii="Times New Roman" w:hAnsi="Times New Roman" w:eastAsia="宋体" w:cs="宋体"/>
          <w:color w:val="auto"/>
          <w:szCs w:val="21"/>
          <w:highlight w:val="none"/>
        </w:rPr>
        <w:t xml:space="preserve">70%。</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十一、税费</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11.1本合同执行中相关的一切税费均由乙方负担。</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十二、质量保证及售后服务</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12.1 乙方应按招标文件规定的货物及服务性能、技术要求、质量标准向甲方提供。</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⑴更换：由乙方承担所发生的全部费用。</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⑵贬值处理：由甲乙双方合议定价。</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⑶退还处理：乙方应退还甲方支付的合同款，同时应承担该货物及服务的直接费用</w:t>
      </w:r>
      <w:r>
        <w:rPr>
          <w:rFonts w:hint="eastAsia" w:ascii="Times New Roman" w:hAnsi="Times New Roman" w:eastAsia="宋体"/>
          <w:color w:val="auto"/>
          <w:sz w:val="21"/>
          <w:highlight w:val="none"/>
          <w:lang w:eastAsia="zh-CN"/>
        </w:rPr>
        <w:t xml:space="preserve">（</w:t>
      </w:r>
      <w:r>
        <w:rPr>
          <w:rFonts w:hint="eastAsia" w:ascii="Times New Roman" w:hAnsi="Times New Roman" w:eastAsia="宋体"/>
          <w:color w:val="auto"/>
          <w:sz w:val="21"/>
          <w:highlight w:val="none"/>
        </w:rPr>
        <w:t xml:space="preserve">运输、保险、检验、款项利息及银行手续费等）。</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12.3 如在使用过程中发生质量问题，乙方在接到甲方通知后在小时内到达甲方现场。</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12.4 在质保期内，乙方应对货物及服务出现的质量及安全问题负责处理解决并承担一切费用。</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12.5上述的货物及服务免费保修期为</w:t>
      </w:r>
      <w:r>
        <w:rPr>
          <w:rFonts w:hint="eastAsia" w:ascii="Times New Roman" w:hAnsi="Times New Roman"/>
          <w:color w:val="auto"/>
          <w:sz w:val="21"/>
          <w:highlight w:val="none"/>
          <w:lang w:val="en-US" w:eastAsia="zh-CN"/>
        </w:rPr>
        <w:t xml:space="preserve">   </w:t>
      </w:r>
      <w:r>
        <w:rPr>
          <w:rFonts w:hint="eastAsia" w:ascii="Times New Roman" w:hAnsi="Times New Roman" w:eastAsia="宋体"/>
          <w:color w:val="auto"/>
          <w:sz w:val="21"/>
          <w:highlight w:val="none"/>
        </w:rPr>
        <w:t xml:space="preserve">年，因人为因素出现的故障不在免费保修范围内。超过保修期的机器设备，</w:t>
      </w:r>
      <w:r>
        <w:rPr>
          <w:rFonts w:hint="eastAsia" w:ascii="Times New Roman" w:hAnsi="Times New Roman"/>
          <w:color w:val="auto"/>
          <w:sz w:val="21"/>
          <w:highlight w:val="none"/>
          <w:lang w:eastAsia="zh-CN"/>
        </w:rPr>
        <w:t xml:space="preserve">终身维修</w:t>
      </w:r>
      <w:r>
        <w:rPr>
          <w:rFonts w:hint="eastAsia" w:ascii="Times New Roman" w:hAnsi="Times New Roman" w:eastAsia="宋体"/>
          <w:color w:val="auto"/>
          <w:sz w:val="21"/>
          <w:highlight w:val="none"/>
        </w:rPr>
        <w:t xml:space="preserve">，维修时只收部件成本费。</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十三、调试和验收</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13.4 对技术复杂的货物及服务，甲方可请国家认可的专业检测机构参与初步验收及最终验收，并由其出具质量检测报告。</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13.5 验收时乙方必须在现场，验收完毕后作出验收结果报告；验收费用由甲乙双方协商解决。</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十四、货物及服务包装、发运及运输</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14.2 使用说明书、质量检验证明书、随配附件和工具以及清单一并交付甲方。</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14.3 乙方在货物及服务发运手续办理完毕后24小时内或交付到甲方48小时前通知甲方，以准备接受交付。</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14.4 货物在交付甲方前发生的风险均由乙方负责。</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14.5 货物及服务在规定的交付期限内由乙方送达甲方指定的地点视为交付，乙方同时需通知甲方货物及服务已送达。</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十五、违约责任</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15.1 甲方无正当理由拒收货物及服务的，甲方向乙方偿付拒收款项总值的百分之五违约金。</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15.2 甲方无故逾期验收和办理款项支付手续的,甲方应按逾期付款总额每日万分之五向乙方支付违约金。</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十六、不可抗力事件处理</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16.1 在合同有效期内，任何一方因不可抗力事件导致不能履行合同，则合同履行期可延长，其延长期与不可抗力影响期相同。</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16.2 不可抗力事件发生后，应立即通知对方，并寄送有关权威机构出具的证明。</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16.3 不可抗力事件延续120天以上，双方应通过友好协商，确定是否继续履行合同。</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十七、诉讼</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17.1 双方在执行合同中所发生的一切争议，应通过协商解决。如协商不成，可向合同签订地法院起诉，合同签订地在此约定为扬州市。</w:t>
      </w:r>
      <w:r/>
    </w:p>
    <w:p>
      <w:pPr>
        <w:ind w:firstLine="422"/>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bCs/>
          <w:color w:val="auto"/>
          <w:szCs w:val="21"/>
          <w:highlight w:val="none"/>
        </w:rPr>
        <w:t xml:space="preserve">十八、</w:t>
      </w:r>
      <w:r>
        <w:rPr>
          <w:rFonts w:hint="eastAsia" w:ascii="Times New Roman" w:hAnsi="Times New Roman" w:eastAsia="宋体" w:cs="宋体"/>
          <w:bCs/>
          <w:color w:val="auto"/>
          <w:highlight w:val="none"/>
        </w:rPr>
        <w:t xml:space="preserve">为落实好政府采购履约资金扶持政策，乙方可凭政府采购合同办理融资贷款，详见江苏政府采购网“政采贷”专栏</w:t>
      </w:r>
      <w:r>
        <w:rPr>
          <w:rFonts w:hint="eastAsia" w:ascii="Times New Roman" w:hAnsi="Times New Roman" w:eastAsia="宋体"/>
          <w:color w:val="auto"/>
          <w:szCs w:val="21"/>
          <w:highlight w:val="none"/>
        </w:rPr>
        <w:t xml:space="preserve">。</w:t>
      </w:r>
      <w:r/>
    </w:p>
    <w:p>
      <w:pPr>
        <w:pStyle w:val="73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十九、合同生效及其它</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19.1 合同经双方法定代表人签章并加盖单位公章后生效。</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19.2本合同未尽事宜，遵照</w:t>
      </w:r>
      <w:r>
        <w:rPr>
          <w:rFonts w:hint="eastAsia" w:ascii="Times New Roman" w:hAnsi="Times New Roman" w:cs="宋体"/>
          <w:color w:val="auto"/>
          <w:sz w:val="21"/>
          <w:highlight w:val="none"/>
        </w:rPr>
        <w:t xml:space="preserve">《中华人民共和国民法典》、《中华人民共和国政府采购法》</w:t>
      </w:r>
      <w:r>
        <w:rPr>
          <w:rFonts w:hint="eastAsia" w:ascii="Times New Roman" w:hAnsi="Times New Roman" w:eastAsia="宋体"/>
          <w:color w:val="auto"/>
          <w:sz w:val="21"/>
          <w:highlight w:val="none"/>
        </w:rPr>
        <w:t xml:space="preserve">有关条文执行。</w:t>
      </w:r>
      <w:r/>
    </w:p>
    <w:p>
      <w:pPr>
        <w:pStyle w:val="944"/>
        <w:ind w:firstLine="420"/>
        <w:pageBreakBefore w:val="0"/>
        <w:spacing w:line="360" w:lineRule="auto"/>
        <w:rPr>
          <w:rFonts w:hint="eastAsia" w:ascii="Times New Roman" w:hAnsi="Times New Roman" w:eastAsia="宋体" w:cs="宋体"/>
          <w:color w:val="auto"/>
          <w:sz w:val="21"/>
          <w:highlight w:val="none"/>
        </w:rPr>
      </w:pPr>
      <w:r>
        <w:rPr>
          <w:rFonts w:hint="eastAsia" w:ascii="Times New Roman" w:hAnsi="Times New Roman" w:eastAsia="宋体" w:cs="宋体"/>
          <w:color w:val="auto"/>
          <w:sz w:val="21"/>
          <w:highlight w:val="none"/>
          <w:lang w:val="en-US" w:eastAsia="zh-CN"/>
        </w:rPr>
        <w:t xml:space="preserve">19</w:t>
      </w:r>
      <w:r>
        <w:rPr>
          <w:rFonts w:hint="eastAsia" w:ascii="Times New Roman" w:hAnsi="Times New Roman" w:eastAsia="宋体" w:cs="宋体"/>
          <w:color w:val="auto"/>
          <w:sz w:val="21"/>
          <w:highlight w:val="none"/>
        </w:rPr>
        <w:t xml:space="preserve">.3 本合同正本一式肆份，具有同等法律效力，甲方、乙方各执贰份。</w:t>
      </w:r>
      <w:r/>
    </w:p>
    <w:p>
      <w:pPr>
        <w:pStyle w:val="73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 </w:t>
      </w:r>
      <w:r/>
    </w:p>
    <w:tbl>
      <w:tblPr>
        <w:tblStyle w:val="720"/>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3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 </w:t>
            </w:r>
            <w:r>
              <w:rPr>
                <w:rFonts w:hint="eastAsia" w:ascii="Times New Roman" w:hAnsi="Times New Roman"/>
                <w:color w:val="auto"/>
                <w:sz w:val="21"/>
                <w:highlight w:val="none"/>
                <w:lang w:eastAsia="zh-CN"/>
              </w:rPr>
              <w:t xml:space="preserve">扬州市蜀冈—瘦西湖风景名胜区平山乡卫生院</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3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3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3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3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3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3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3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3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3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w:t>
            </w:r>
            <w:r/>
          </w:p>
        </w:tc>
      </w:tr>
    </w:tbl>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br w:type="page" w:clear="all"/>
      </w:r>
      <w:bookmarkEnd w:id="57"/>
      <w:r/>
      <w:r/>
    </w:p>
    <w:p>
      <w:pPr>
        <w:pStyle w:val="710"/>
        <w:numPr>
          <w:ilvl w:val="0"/>
          <w:numId w:val="4"/>
        </w:numPr>
        <w:jc w:val="center"/>
        <w:pageBreakBefore w:val="0"/>
        <w:spacing w:before="0" w:after="0" w:line="360" w:lineRule="auto"/>
        <w:rPr>
          <w:rFonts w:ascii="Times New Roman" w:hAnsi="Times New Roman" w:eastAsia="宋体"/>
          <w:color w:val="auto"/>
          <w:highlight w:val="none"/>
        </w:rPr>
      </w:pPr>
      <w:r/>
      <w:bookmarkStart w:id="58" w:name="_Toc11364"/>
      <w:r>
        <w:rPr>
          <w:rFonts w:hint="eastAsia" w:ascii="Times New Roman" w:hAnsi="Times New Roman" w:eastAsia="宋体"/>
          <w:color w:val="auto"/>
          <w:highlight w:val="none"/>
        </w:rPr>
        <w:t xml:space="preserve">项目需求</w:t>
      </w:r>
      <w:bookmarkEnd w:id="58"/>
      <w:r/>
      <w:r/>
    </w:p>
    <w:p>
      <w:pPr>
        <w:pageBreakBefore w:val="0"/>
        <w:spacing w:line="360" w:lineRule="auto"/>
        <w:rPr>
          <w:rFonts w:ascii="Times New Roman" w:hAnsi="Times New Roman" w:eastAsia="宋体"/>
          <w:b/>
          <w:bCs/>
          <w:color w:val="auto"/>
          <w:szCs w:val="21"/>
          <w:highlight w:val="none"/>
        </w:rPr>
      </w:pPr>
      <w:r/>
      <w:bookmarkStart w:id="59" w:name="_Toc319408306"/>
      <w:r>
        <w:rPr>
          <w:rFonts w:hint="eastAsia" w:ascii="Times New Roman" w:hAnsi="Times New Roman" w:eastAsia="宋体"/>
          <w:b/>
          <w:bCs/>
          <w:color w:val="auto"/>
          <w:szCs w:val="21"/>
          <w:highlight w:val="none"/>
        </w:rPr>
        <w:t xml:space="preserve">注： 本章内容里斜体且有下划线部分为实质性要求和条件，投标文件不满足的，视为无效投标处理。请各供应商制作电子投标文件时，将实质性响应的内容在政府采购管理交易系统</w:t>
      </w:r>
      <w:r>
        <w:rPr>
          <w:rFonts w:hint="eastAsia" w:ascii="Times New Roman" w:hAnsi="Times New Roman" w:eastAsia="宋体"/>
          <w:b/>
          <w:bCs/>
          <w:color w:val="auto"/>
          <w:szCs w:val="21"/>
          <w:highlight w:val="none"/>
          <w:lang w:eastAsia="zh-CN"/>
        </w:rPr>
        <w:t xml:space="preserve">（</w:t>
      </w:r>
      <w:r>
        <w:rPr>
          <w:rFonts w:hint="eastAsia" w:ascii="Times New Roman" w:hAnsi="Times New Roman" w:eastAsia="宋体"/>
          <w:b/>
          <w:bCs/>
          <w:color w:val="auto"/>
          <w:szCs w:val="21"/>
          <w:highlight w:val="none"/>
        </w:rPr>
        <w:t xml:space="preserve">苏采云）</w:t>
      </w:r>
      <w:r>
        <w:rPr>
          <w:rFonts w:ascii="Times New Roman" w:hAnsi="Times New Roman" w:eastAsia="宋体"/>
          <w:b/>
          <w:bCs/>
          <w:color w:val="auto"/>
          <w:szCs w:val="21"/>
          <w:highlight w:val="none"/>
        </w:rPr>
        <w:t xml:space="preserve">“</w:t>
      </w:r>
      <w:r>
        <w:rPr>
          <w:rFonts w:hint="eastAsia" w:ascii="Times New Roman" w:hAnsi="Times New Roman" w:eastAsia="宋体"/>
          <w:b/>
          <w:bCs/>
          <w:color w:val="auto"/>
          <w:szCs w:val="21"/>
          <w:highlight w:val="none"/>
        </w:rPr>
        <w:t xml:space="preserve">符合证明文件格式</w:t>
      </w:r>
      <w:r>
        <w:rPr>
          <w:rFonts w:ascii="Times New Roman" w:hAnsi="Times New Roman" w:eastAsia="宋体"/>
          <w:b/>
          <w:bCs/>
          <w:color w:val="auto"/>
          <w:szCs w:val="21"/>
          <w:highlight w:val="none"/>
        </w:rPr>
        <w:t xml:space="preserve">”</w:t>
      </w:r>
      <w:r>
        <w:rPr>
          <w:rFonts w:hint="eastAsia" w:ascii="Times New Roman" w:hAnsi="Times New Roman" w:eastAsia="宋体"/>
          <w:b/>
          <w:bCs/>
          <w:color w:val="auto"/>
          <w:szCs w:val="21"/>
          <w:highlight w:val="none"/>
        </w:rPr>
        <w:t xml:space="preserve">中准确填写或上传。</w:t>
      </w:r>
      <w:bookmarkEnd w:id="59"/>
      <w:r/>
      <w:r/>
    </w:p>
    <w:p>
      <w:pPr>
        <w:jc w:val="center"/>
        <w:spacing w:line="360" w:lineRule="auto"/>
        <w:rPr>
          <w:rFonts w:hint="default" w:eastAsia="宋体"/>
          <w:b/>
          <w:bCs/>
          <w:color w:val="auto"/>
          <w:szCs w:val="21"/>
          <w:lang w:val="en-US" w:eastAsia="zh-CN"/>
        </w:rPr>
      </w:pPr>
      <w:r/>
      <w:bookmarkStart w:id="60" w:name="_Toc55204181"/>
      <w:r>
        <w:rPr>
          <w:rFonts w:hint="eastAsia"/>
          <w:b/>
          <w:bCs/>
          <w:color w:val="auto"/>
          <w:szCs w:val="21"/>
          <w:lang w:val="en-US" w:eastAsia="zh-CN"/>
        </w:rPr>
        <w:t xml:space="preserve">采购设备清单</w:t>
      </w:r>
      <w:r/>
    </w:p>
    <w:tbl>
      <w:tblPr>
        <w:tblStyle w:val="7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39"/>
        <w:gridCol w:w="2220"/>
        <w:gridCol w:w="2381"/>
      </w:tblGrid>
      <w:tr>
        <w:trPr>
          <w:trHeight w:val="90"/>
        </w:trPr>
        <w:tc>
          <w:tcPr>
            <w:tcW w:w="3739" w:type="dxa"/>
            <w:vAlign w:val="center"/>
            <w:textDirection w:val="lrTb"/>
            <w:noWrap w:val="false"/>
          </w:tcPr>
          <w:p>
            <w:pPr>
              <w:jc w:val="center"/>
              <w:spacing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设备名称</w:t>
            </w:r>
            <w:r/>
          </w:p>
        </w:tc>
        <w:tc>
          <w:tcPr>
            <w:tcW w:w="2220" w:type="dxa"/>
            <w:vAlign w:val="center"/>
            <w:textDirection w:val="lrTb"/>
            <w:noWrap w:val="false"/>
          </w:tcPr>
          <w:p>
            <w:pPr>
              <w:jc w:val="center"/>
              <w:spacing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单位</w:t>
            </w:r>
            <w:r/>
          </w:p>
        </w:tc>
        <w:tc>
          <w:tcPr>
            <w:tcW w:w="2381" w:type="dxa"/>
            <w:vAlign w:val="center"/>
            <w:textDirection w:val="lrTb"/>
            <w:noWrap w:val="false"/>
          </w:tcPr>
          <w:p>
            <w:pPr>
              <w:jc w:val="center"/>
              <w:spacing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采购数量</w:t>
            </w:r>
            <w:r/>
          </w:p>
        </w:tc>
      </w:tr>
      <w:tr>
        <w:trPr>
          <w:trHeight w:val="23"/>
        </w:trPr>
        <w:tc>
          <w:tcPr>
            <w:tcW w:w="3739" w:type="dxa"/>
            <w:vAlign w:val="center"/>
            <w:textDirection w:val="lrTb"/>
            <w:noWrap w:val="false"/>
          </w:tcPr>
          <w:p>
            <w:pPr>
              <w:jc w:val="center"/>
              <w:spacing w:line="360" w:lineRule="auto"/>
              <w:rPr>
                <w:rFonts w:hint="default" w:ascii="宋体" w:hAnsi="宋体" w:eastAsia="宋体" w:cs="宋体"/>
                <w:color w:val="auto"/>
                <w:sz w:val="22"/>
                <w:szCs w:val="22"/>
                <w:lang w:val="en-US" w:eastAsia="zh-CN"/>
              </w:rPr>
            </w:pPr>
            <w:r>
              <w:rPr>
                <w:rFonts w:hint="default" w:ascii="宋体" w:hAnsi="宋体" w:eastAsia="宋体" w:cs="宋体"/>
                <w:color w:val="auto"/>
                <w:sz w:val="22"/>
                <w:szCs w:val="22"/>
                <w:lang w:val="en-US" w:eastAsia="zh-CN"/>
              </w:rPr>
              <w:t xml:space="preserve">电子内镜</w:t>
            </w:r>
            <w:r/>
          </w:p>
        </w:tc>
        <w:tc>
          <w:tcPr>
            <w:tcW w:w="2220" w:type="dxa"/>
            <w:vAlign w:val="center"/>
            <w:textDirection w:val="lrTb"/>
            <w:noWrap w:val="false"/>
          </w:tcPr>
          <w:p>
            <w:pPr>
              <w:jc w:val="center"/>
              <w:spacing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套</w:t>
            </w:r>
            <w:r/>
          </w:p>
        </w:tc>
        <w:tc>
          <w:tcPr>
            <w:tcW w:w="2381" w:type="dxa"/>
            <w:vAlign w:val="center"/>
            <w:textDirection w:val="lrTb"/>
            <w:noWrap w:val="false"/>
          </w:tcPr>
          <w:p>
            <w:pPr>
              <w:jc w:val="center"/>
              <w:spacing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w:t>
            </w:r>
            <w:r/>
          </w:p>
        </w:tc>
      </w:tr>
      <w:tr>
        <w:trPr>
          <w:trHeight w:val="23"/>
        </w:trPr>
        <w:tc>
          <w:tcPr>
            <w:tcW w:w="3739" w:type="dxa"/>
            <w:vAlign w:val="center"/>
            <w:textDirection w:val="lrTb"/>
            <w:noWrap w:val="false"/>
          </w:tcPr>
          <w:p>
            <w:pPr>
              <w:jc w:val="center"/>
              <w:spacing w:line="360" w:lineRule="auto"/>
              <w:rPr>
                <w:rFonts w:hint="default" w:ascii="宋体" w:hAnsi="宋体" w:eastAsia="宋体" w:cs="宋体"/>
                <w:color w:val="auto"/>
                <w:sz w:val="22"/>
                <w:szCs w:val="22"/>
                <w:lang w:val="en-US" w:eastAsia="zh-CN"/>
              </w:rPr>
            </w:pPr>
            <w:r>
              <w:rPr>
                <w:rFonts w:hint="default" w:ascii="宋体" w:hAnsi="宋体" w:eastAsia="宋体" w:cs="宋体"/>
                <w:color w:val="auto"/>
                <w:sz w:val="22"/>
                <w:szCs w:val="22"/>
                <w:lang w:val="en-US" w:eastAsia="zh-CN"/>
              </w:rPr>
              <w:t xml:space="preserve">全自动糖化血红蛋白分析仪</w:t>
            </w:r>
            <w:r/>
          </w:p>
        </w:tc>
        <w:tc>
          <w:tcPr>
            <w:tcW w:w="2220" w:type="dxa"/>
            <w:vAlign w:val="center"/>
            <w:textDirection w:val="lrTb"/>
            <w:noWrap w:val="false"/>
          </w:tcPr>
          <w:p>
            <w:pPr>
              <w:jc w:val="center"/>
              <w:spacing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套</w:t>
            </w:r>
            <w:r/>
          </w:p>
        </w:tc>
        <w:tc>
          <w:tcPr>
            <w:tcW w:w="2381" w:type="dxa"/>
            <w:vAlign w:val="center"/>
            <w:textDirection w:val="lrTb"/>
            <w:noWrap w:val="false"/>
          </w:tcPr>
          <w:p>
            <w:pPr>
              <w:jc w:val="center"/>
              <w:spacing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w:t>
            </w:r>
            <w:r/>
          </w:p>
        </w:tc>
      </w:tr>
      <w:tr>
        <w:trPr>
          <w:trHeight w:val="23"/>
        </w:trPr>
        <w:tc>
          <w:tcPr>
            <w:tcW w:w="3739" w:type="dxa"/>
            <w:vAlign w:val="center"/>
            <w:textDirection w:val="lrTb"/>
            <w:noWrap w:val="false"/>
          </w:tcPr>
          <w:p>
            <w:pPr>
              <w:jc w:val="center"/>
              <w:spacing w:line="360" w:lineRule="auto"/>
              <w:rPr>
                <w:rFonts w:hint="default" w:ascii="宋体" w:hAnsi="宋体" w:eastAsia="宋体" w:cs="宋体"/>
                <w:color w:val="auto"/>
                <w:sz w:val="22"/>
                <w:szCs w:val="22"/>
                <w:lang w:val="en-US" w:eastAsia="zh-CN"/>
              </w:rPr>
            </w:pPr>
            <w:r>
              <w:rPr>
                <w:rFonts w:hint="default" w:ascii="宋体" w:hAnsi="宋体" w:eastAsia="宋体" w:cs="宋体"/>
                <w:color w:val="auto"/>
                <w:sz w:val="22"/>
                <w:szCs w:val="22"/>
                <w:lang w:val="en-US" w:eastAsia="zh-CN"/>
              </w:rPr>
              <w:t xml:space="preserve">吊塔</w:t>
            </w:r>
            <w:r/>
          </w:p>
        </w:tc>
        <w:tc>
          <w:tcPr>
            <w:tcW w:w="2220" w:type="dxa"/>
            <w:vAlign w:val="center"/>
            <w:textDirection w:val="lrTb"/>
            <w:noWrap w:val="false"/>
          </w:tcPr>
          <w:p>
            <w:pPr>
              <w:jc w:val="center"/>
              <w:spacing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套</w:t>
            </w:r>
            <w:r/>
          </w:p>
        </w:tc>
        <w:tc>
          <w:tcPr>
            <w:tcW w:w="2381" w:type="dxa"/>
            <w:vAlign w:val="center"/>
            <w:textDirection w:val="lrTb"/>
            <w:noWrap w:val="false"/>
          </w:tcPr>
          <w:p>
            <w:pPr>
              <w:jc w:val="center"/>
              <w:spacing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w:t>
            </w:r>
            <w:r/>
          </w:p>
        </w:tc>
      </w:tr>
      <w:tr>
        <w:trPr>
          <w:trHeight w:val="23"/>
        </w:trPr>
        <w:tc>
          <w:tcPr>
            <w:tcW w:w="3739" w:type="dxa"/>
            <w:vAlign w:val="center"/>
            <w:textDirection w:val="lrTb"/>
            <w:noWrap w:val="false"/>
          </w:tcPr>
          <w:p>
            <w:pPr>
              <w:jc w:val="center"/>
              <w:spacing w:line="360" w:lineRule="auto"/>
              <w:rPr>
                <w:rFonts w:hint="default" w:ascii="宋体" w:hAnsi="宋体" w:eastAsia="宋体" w:cs="宋体"/>
                <w:color w:val="auto"/>
                <w:sz w:val="22"/>
                <w:szCs w:val="22"/>
                <w:lang w:val="en-US" w:eastAsia="zh-CN"/>
              </w:rPr>
            </w:pPr>
            <w:r>
              <w:rPr>
                <w:rFonts w:hint="default" w:ascii="宋体" w:hAnsi="宋体" w:eastAsia="宋体" w:cs="宋体"/>
                <w:color w:val="auto"/>
                <w:sz w:val="22"/>
                <w:szCs w:val="22"/>
                <w:lang w:val="en-US" w:eastAsia="zh-CN"/>
              </w:rPr>
              <w:t xml:space="preserve">内镜清洗中心</w:t>
            </w:r>
            <w:r/>
          </w:p>
        </w:tc>
        <w:tc>
          <w:tcPr>
            <w:tcW w:w="2220" w:type="dxa"/>
            <w:vAlign w:val="center"/>
            <w:textDirection w:val="lrTb"/>
            <w:noWrap w:val="false"/>
          </w:tcPr>
          <w:p>
            <w:pPr>
              <w:jc w:val="center"/>
              <w:spacing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套</w:t>
            </w:r>
            <w:r/>
          </w:p>
        </w:tc>
        <w:tc>
          <w:tcPr>
            <w:tcW w:w="2381" w:type="dxa"/>
            <w:vAlign w:val="center"/>
            <w:textDirection w:val="lrTb"/>
            <w:noWrap w:val="false"/>
          </w:tcPr>
          <w:p>
            <w:pPr>
              <w:jc w:val="center"/>
              <w:spacing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w:t>
            </w:r>
            <w:r/>
          </w:p>
        </w:tc>
      </w:tr>
    </w:tbl>
    <w:p>
      <w:pPr>
        <w:pStyle w:val="949"/>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pStyle w:val="751"/>
        <w:numPr>
          <w:ilvl w:val="0"/>
          <w:numId w:val="0"/>
        </w:numPr>
        <w:rPr>
          <w:rFonts w:hint="eastAsia" w:ascii="宋体" w:hAnsi="宋体" w:cs="宋体"/>
          <w:b/>
          <w:bCs/>
          <w:color w:val="auto"/>
          <w:sz w:val="21"/>
          <w:lang w:val="en-US" w:eastAsia="zh-CN"/>
        </w:rPr>
      </w:pPr>
      <w:r>
        <w:rPr>
          <w:rFonts w:hint="eastAsia" w:ascii="宋体" w:hAnsi="宋体" w:cs="宋体"/>
          <w:b/>
          <w:bCs/>
          <w:color w:val="auto"/>
          <w:sz w:val="21"/>
          <w:lang w:val="en-US" w:eastAsia="zh-CN"/>
        </w:rPr>
        <w:t xml:space="preserve">一、</w:t>
      </w:r>
      <w:r>
        <w:rPr>
          <w:rFonts w:hint="eastAsia" w:ascii="宋体" w:hAnsi="宋体" w:cs="宋体"/>
          <w:b/>
          <w:bCs/>
          <w:color w:val="auto"/>
          <w:sz w:val="21"/>
        </w:rPr>
        <w:t xml:space="preserve">技术参数：</w:t>
      </w:r>
      <w:r/>
    </w:p>
    <w:p>
      <w:pPr>
        <w:jc w:val="center"/>
        <w:keepLines w:val="0"/>
        <w:keepNext w:val="0"/>
        <w:pageBreakBefore w:val="0"/>
        <w:spacing w:line="240" w:lineRule="auto"/>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eastAsia="zh-CN"/>
        </w:rPr>
        <w:t xml:space="preserve">电子内镜</w:t>
      </w:r>
      <w:r>
        <w:rPr>
          <w:rFonts w:hint="eastAsia" w:ascii="宋体" w:hAnsi="宋体" w:eastAsia="宋体" w:cs="宋体"/>
          <w:color w:val="auto"/>
          <w:sz w:val="22"/>
          <w:szCs w:val="22"/>
          <w:lang w:val="en-US" w:eastAsia="zh-CN"/>
        </w:rPr>
        <w:t xml:space="preserve">参数</w:t>
      </w:r>
      <w:r/>
    </w:p>
    <w:p>
      <w:pPr>
        <w:numPr>
          <w:ilvl w:val="0"/>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rPr>
        <w:t xml:space="preserve">总体要求</w:t>
      </w:r>
      <w:r>
        <w:rPr>
          <w:rFonts w:hint="eastAsia" w:ascii="宋体" w:hAnsi="宋体" w:eastAsia="宋体" w:cs="宋体"/>
          <w:b w:val="0"/>
          <w:bCs w:val="0"/>
          <w:color w:val="auto"/>
          <w:sz w:val="21"/>
          <w:szCs w:val="21"/>
          <w:lang w:eastAsia="zh-CN"/>
        </w:rPr>
        <w:t xml:space="preserve">：</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1.1全高清电子内镜设备；</w:t>
      </w:r>
      <w:r/>
    </w:p>
    <w:p>
      <w:pPr>
        <w:pStyle w:val="711"/>
        <w:numPr>
          <w:ilvl w:val="1"/>
          <w:numId w:val="0"/>
        </w:numPr>
        <w:jc w:val="left"/>
        <w:keepLines w:val="0"/>
        <w:keepNext w:val="0"/>
        <w:pageBreakBefore w:val="0"/>
        <w:spacing w:line="240" w:lineRule="auto"/>
        <w:widowControl w:val="off"/>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1.2★分体式设计；(提供相关证明材料，原件扫描上传)</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1.3设备面板按钮支持触控按键；</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1.4支持镜体热插拔；</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1.5视频信号光纤传输，速度更快，抗干扰更强。</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1.6★系统可适配同品牌扇扫超声内镜、光学放大胃肠镜镜、超细胃肠镜、十二指肠镜、支气管镜；（请提供注册证等证明材料，原件扫描上传）</w:t>
      </w:r>
      <w:r/>
    </w:p>
    <w:p>
      <w:p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2、图像处理器：</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2.1高清视频信号（DVI）输出视频分辨率≥1920*1080；</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2.2具有DVI、SDI、CVBS、VGA、S-VIDEO等信号输出方式；</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2.3红色调、蓝色调及饱和度调节功能：±15级可调；</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2.4具有自动增益功能；</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2.5测光模式调节功能支持：平均测光、峰值测光、全自动测光等；</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2.6色彩增强功能：多档可调；</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2.7轮廓强调功能：多档可调；</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2.8构造调节功能，可选两种及以上模式，每种模式多档可调；</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2.9支持对比度调节功能； </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2.10具有白平衡自动修正功能；</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2.11★具有电子放大功能，最大能放大不低于4倍；（提供第三方机构出具的检测报告，原件扫描上传）</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2.12有内置的图像保存和视频录制功能，支持图像查看、视频回放；</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2.13★具有≥800G存储容量的内置病例管理系统，可脱离外置工作站进行病例管理，可查看、编辑、保存、预览、打印病例报告级病例报告检索；（提供实物图片，原件扫描上传）</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2.14可通过数据接口一键导出当前检查数据；</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2.15支持DICOM标准协议，通过网络可传输病历数据；</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2.16具有图像冻结功能，可通过镜体按钮、键盘、脚踏开关控制冻结功能；</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2.17画中画功能</w:t>
      </w:r>
      <w:r/>
    </w:p>
    <w:p>
      <w:pPr>
        <w:jc w:val="left"/>
        <w:keepLines w:val="0"/>
        <w:keepNext w:val="0"/>
        <w:pageBreakBefore w:val="0"/>
        <w:spacing w:line="240" w:lineRule="auto"/>
        <w:widowControl w:val="off"/>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rPr>
        <w:t xml:space="preserve">冷光源</w:t>
      </w:r>
      <w:r>
        <w:rPr>
          <w:rFonts w:hint="eastAsia" w:ascii="宋体" w:hAnsi="宋体" w:eastAsia="宋体" w:cs="宋体"/>
          <w:b w:val="0"/>
          <w:bCs w:val="0"/>
          <w:color w:val="auto"/>
          <w:sz w:val="21"/>
          <w:szCs w:val="21"/>
          <w:lang w:val="en-US" w:eastAsia="zh-CN"/>
        </w:rPr>
        <w:t xml:space="preserve">：</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3.1采用4路及以上LED光源；</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3.2支持白光和两种及以上特殊光照明模式；</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3.3★光源主灯平均连续使用寿命：≥20000小时；(提供相关证明材料，原件扫描上传)</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3.4色温：5000K~7000K；</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3.5支持手动和自动调光模式，具有多级调光；</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3.6气泵流量多档可调；</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3.7主灯灯泡寿命具有指示灯显示，可随时掌握主灯剩余寿命情况；具有透光功能，开启后，光源以最大亮度和最小亮度闪烁输出，持续时间6~8秒，可用于对镜体头端部的定位。</w:t>
      </w:r>
      <w:r/>
    </w:p>
    <w:p>
      <w:p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4、高清电子胃镜（检查）：</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4.1视场角≥145°；</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4.2景深：2-100mm；</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4.3头端部外径≤9.3mm；</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4.4★插入部主软管外径≤9.2mm，同时具备有辅助送水功能（具有独立的副送水通道）；（提供第三方机构出具的检测报告，原件扫描上传）</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4.5最小器械孔道内径≥2.8mm；</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w:t>
      </w:r>
      <w:r>
        <w:rPr>
          <w:rFonts w:hint="default"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val="en-US" w:eastAsia="zh-CN"/>
        </w:rPr>
        <w:t xml:space="preserve">钳道最小可视距离≤3mm;</w:t>
      </w:r>
      <w:r/>
    </w:p>
    <w:p>
      <w:p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w:t>
      </w:r>
      <w:r>
        <w:rPr>
          <w:rFonts w:hint="default"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lang w:val="en-US" w:eastAsia="zh-CN"/>
        </w:rPr>
        <w:t xml:space="preserve">镜体操作部具有4个及以上自定义功能远程控制按钮（水气按钮和吸引按钮除外）</w:t>
      </w:r>
      <w:r/>
    </w:p>
    <w:p>
      <w:p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5、高清电子胃镜（治疗）：</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4.1视场角≥145°；</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4.2景深：2-100mm；</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4.3★头端部外径≤9.7mm；（提供第三方机构出具的检测报告，原件扫描上传）</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4.4插入部主软管外径≤9.6mm，同时具备有辅助送水功能（具有独立的副送水通道）；</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4.5最小器械孔道内径≥3.2mm；</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w:t>
      </w:r>
      <w:r>
        <w:rPr>
          <w:rFonts w:hint="default"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val="en-US" w:eastAsia="zh-CN"/>
        </w:rPr>
        <w:t xml:space="preserve">钳道最小可视距离为≤3mm;</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w:t>
      </w:r>
      <w:r>
        <w:rPr>
          <w:rFonts w:hint="default"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lang w:val="en-US" w:eastAsia="zh-CN"/>
        </w:rPr>
        <w:t xml:space="preserve">镜体操作部具有4个及以上自定义功能远程控制按钮（水气按钮和吸引按钮除外）</w:t>
      </w:r>
      <w:r/>
    </w:p>
    <w:p>
      <w:p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val="en-US" w:eastAsia="zh-CN"/>
        </w:rPr>
        <w:t xml:space="preserve">、高清电子肠镜：</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5.1视场角≥170°；</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5.2景深：2-100mm；</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5.3★头端部外径≤10.8mm（提供第三方机构出具的检测报告，原件扫描上传）</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5.4插入部主软管外径≤12mm；</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5.5弯曲角度：上下±180°，左右±160°；</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5.8镜体操作部具有4个及以上自定义功能远程控制按钮（水气按钮和吸引按钮除外）</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5.9钳道最小可视距离为3mm;</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5.10★具有刚度可调功能，可根据病例的不同情况对内镜的硬度进行调节（提供第三方机构出具的检测报告，原件扫描上传）</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5.11★最小器械孔道内径≤3.2mm，同时具备有辅助送水功能（具有独立的副送水通道）；（请提供检验报告作为证明材料）</w:t>
      </w:r>
      <w:r/>
    </w:p>
    <w:p>
      <w:pPr>
        <w:numPr>
          <w:ilvl w:val="0"/>
          <w:numId w:val="0"/>
        </w:numPr>
        <w:ind w:right="475"/>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bidi="ar"/>
        </w:rPr>
      </w:pP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val="en-US" w:eastAsia="zh-CN" w:bidi="ar"/>
        </w:rPr>
        <w:t xml:space="preserve">台车：</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6.1专业设计的内镜专用台车；</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6.2一键电源开关，带隔离电源，整体台车具有更好的绝缘性、防水性和耐腐蚀性，安全方便可靠；</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6.3带键盘托盘；</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6.4层板高度可调；</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6.5可支撑2个及以上导光部插头；</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6.6支持两种及以上方式悬挂镜体，可同时悬挂两条及以上内镜。</w:t>
      </w:r>
      <w:r/>
    </w:p>
    <w:p>
      <w:pPr>
        <w:numPr>
          <w:ilvl w:val="0"/>
          <w:numId w:val="0"/>
        </w:numPr>
        <w:ind w:right="475"/>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bidi="ar"/>
        </w:rPr>
      </w:pPr>
      <w:r>
        <w:rPr>
          <w:rFonts w:hint="eastAsia" w:ascii="宋体" w:hAnsi="宋体" w:eastAsia="宋体" w:cs="宋体"/>
          <w:b w:val="0"/>
          <w:bCs w:val="0"/>
          <w:color w:val="auto"/>
          <w:sz w:val="21"/>
          <w:szCs w:val="21"/>
          <w:lang w:val="en-US" w:eastAsia="zh-CN" w:bidi="ar"/>
        </w:rPr>
        <w:t xml:space="preserve">7、专业医用监视器：</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7.1监视器为彩色医疗图像监视器，符合标准医疗监视器性能指标，具有16:9比例高亮度、高清液晶显示；</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7.2监视器尺寸≥27英寸；</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7.3分辨率≥1920×1080 ；</w:t>
      </w:r>
      <w:r/>
    </w:p>
    <w:p>
      <w:pPr>
        <w:pStyle w:val="711"/>
        <w:numPr>
          <w:ilvl w:val="1"/>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7.4信号输入：支持DVI/SDI/Video/S-Video等。</w:t>
      </w:r>
      <w:r/>
    </w:p>
    <w:p>
      <w:pPr>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r>
      <w:r/>
    </w:p>
    <w:p>
      <w:pPr>
        <w:jc w:val="both"/>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w:t>
      </w:r>
      <w:r/>
    </w:p>
    <w:p>
      <w:pPr>
        <w:jc w:val="center"/>
        <w:keepLines w:val="0"/>
        <w:keepNext w:val="0"/>
        <w:pageBreakBefore w:val="0"/>
        <w:spacing w:line="36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rPr>
        <w:t xml:space="preserve">全自动糖化血红蛋白分析仪</w:t>
      </w:r>
      <w:r>
        <w:rPr>
          <w:rFonts w:hint="eastAsia" w:ascii="宋体" w:hAnsi="宋体" w:eastAsia="宋体" w:cs="宋体"/>
          <w:b w:val="0"/>
          <w:bCs w:val="0"/>
          <w:color w:val="auto"/>
          <w:sz w:val="21"/>
          <w:szCs w:val="21"/>
          <w:lang w:val="en-US" w:eastAsia="zh-CN"/>
        </w:rPr>
        <w:t xml:space="preserve">技术参数</w:t>
      </w:r>
      <w:r/>
    </w:p>
    <w:p>
      <w:pPr>
        <w:keepLines w:val="0"/>
        <w:keepNext w:val="0"/>
        <w:pageBreakBefore w:val="0"/>
        <w:spacing w:line="360" w:lineRule="auto"/>
        <w:widowControl w:val="off"/>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rPr>
        <w:t xml:space="preserve">检测原理</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离子交换高效液相色谱法（HPLC）</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双波长比色法（检测波长415nm）</w:t>
      </w:r>
      <w:r/>
    </w:p>
    <w:p>
      <w:pPr>
        <w:pStyle w:val="740"/>
        <w:jc w:val="left"/>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rPr>
        <w:t xml:space="preserve">分析用血量</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全血模式：≤5uL、预稀释模式：≤5uL</w:t>
      </w:r>
      <w:r/>
    </w:p>
    <w:p>
      <w:pPr>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rPr>
        <w:t xml:space="preserve">最小样本量</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采血管：≥1mL、样品杯：≥0.5mL</w:t>
      </w:r>
      <w:r/>
    </w:p>
    <w:p>
      <w:pPr>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rPr>
        <w:t xml:space="preserve">样本最大装载数</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一次装载≥110个，可连续进样。</w:t>
      </w:r>
      <w:r/>
    </w:p>
    <w:p>
      <w:pPr>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rPr>
        <w:t xml:space="preserve">分析模式</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全血模式、预稀释模式、变异全血模式、变异预稀释模式</w:t>
      </w:r>
      <w:r/>
    </w:p>
    <w:p>
      <w:pPr>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rPr>
        <w:t xml:space="preserve">测试速度</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标准模式≤60s/T、变异模式≤72s/T</w:t>
      </w:r>
      <w:r/>
    </w:p>
    <w:p>
      <w:pPr>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rPr>
        <w:t xml:space="preserve">精密度</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CV≤1%</w:t>
      </w:r>
      <w:r/>
    </w:p>
    <w:p>
      <w:pPr>
        <w:keepLines w:val="0"/>
        <w:keepNext w:val="0"/>
        <w:pageBreakBefore w:val="0"/>
        <w:spacing w:line="36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★8、携带污染率：</w:t>
      </w:r>
      <w:r>
        <w:rPr>
          <w:rFonts w:hint="eastAsia" w:ascii="宋体" w:hAnsi="宋体" w:eastAsia="宋体" w:cs="宋体"/>
          <w:b w:val="0"/>
          <w:bCs w:val="0"/>
          <w:color w:val="auto"/>
          <w:sz w:val="21"/>
          <w:szCs w:val="21"/>
        </w:rPr>
        <w:t xml:space="preserve">≤</w:t>
      </w:r>
      <w:r>
        <w:rPr>
          <w:rFonts w:hint="eastAsia" w:ascii="宋体" w:hAnsi="宋体" w:eastAsia="宋体" w:cs="宋体"/>
          <w:b w:val="0"/>
          <w:bCs w:val="0"/>
          <w:color w:val="auto"/>
          <w:sz w:val="21"/>
          <w:szCs w:val="21"/>
          <w:lang w:val="en-US" w:eastAsia="zh-CN"/>
        </w:rPr>
        <w:t xml:space="preserve">1%(提供相关证明材料，原件扫描上传)</w:t>
      </w:r>
      <w:r/>
    </w:p>
    <w:p>
      <w:pPr>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 xml:space="preserve">9、</w:t>
      </w:r>
      <w:r>
        <w:rPr>
          <w:rFonts w:hint="eastAsia" w:ascii="宋体" w:hAnsi="宋体" w:eastAsia="宋体" w:cs="宋体"/>
          <w:b w:val="0"/>
          <w:bCs w:val="0"/>
          <w:color w:val="auto"/>
          <w:sz w:val="21"/>
          <w:szCs w:val="21"/>
        </w:rPr>
        <w:t xml:space="preserve">显示单位</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1"/>
          <w:szCs w:val="21"/>
        </w:rPr>
        <w:t xml:space="preserve">NGSP(%)、IFCC(mmol/mol)</w:t>
      </w:r>
      <w:r/>
    </w:p>
    <w:p>
      <w:pPr>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 xml:space="preserve">10、</w:t>
      </w:r>
      <w:r>
        <w:rPr>
          <w:rFonts w:hint="eastAsia" w:ascii="宋体" w:hAnsi="宋体" w:eastAsia="宋体" w:cs="宋体"/>
          <w:b w:val="0"/>
          <w:bCs w:val="0"/>
          <w:color w:val="auto"/>
          <w:sz w:val="21"/>
          <w:szCs w:val="21"/>
        </w:rPr>
        <w:t xml:space="preserve">机内存储</w:t>
      </w:r>
      <w:r>
        <w:rPr>
          <w:rFonts w:hint="eastAsia" w:ascii="宋体" w:hAnsi="宋体" w:eastAsia="宋体" w:cs="宋体"/>
          <w:b w:val="0"/>
          <w:bCs w:val="0"/>
          <w:color w:val="auto"/>
          <w:sz w:val="21"/>
          <w:szCs w:val="21"/>
          <w:lang w:val="en-US" w:eastAsia="zh-CN"/>
        </w:rPr>
        <w:t xml:space="preserve">:≧15000</w:t>
      </w:r>
      <w:r>
        <w:rPr>
          <w:rFonts w:hint="eastAsia" w:ascii="宋体" w:hAnsi="宋体" w:eastAsia="宋体" w:cs="宋体"/>
          <w:b w:val="0"/>
          <w:bCs w:val="0"/>
          <w:color w:val="auto"/>
          <w:sz w:val="21"/>
          <w:szCs w:val="21"/>
        </w:rPr>
        <w:t xml:space="preserve">个包含图谱的分析数据；</w:t>
      </w:r>
      <w:r>
        <w:rPr>
          <w:rFonts w:hint="eastAsia" w:ascii="宋体" w:hAnsi="宋体" w:eastAsia="宋体" w:cs="宋体"/>
          <w:b w:val="0"/>
          <w:bCs w:val="0"/>
          <w:color w:val="auto"/>
          <w:sz w:val="21"/>
          <w:szCs w:val="21"/>
          <w:lang w:val="en-US" w:eastAsia="zh-CN"/>
        </w:rPr>
        <w:t xml:space="preserve">≧15</w:t>
      </w:r>
      <w:r>
        <w:rPr>
          <w:rFonts w:hint="eastAsia" w:ascii="宋体" w:hAnsi="宋体" w:eastAsia="宋体" w:cs="宋体"/>
          <w:b w:val="0"/>
          <w:bCs w:val="0"/>
          <w:color w:val="auto"/>
          <w:sz w:val="21"/>
          <w:szCs w:val="21"/>
        </w:rPr>
        <w:t xml:space="preserve">00个包含图谱的质控数据；</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1"/>
          <w:szCs w:val="21"/>
        </w:rPr>
        <w:t xml:space="preserve">100个定标数据；</w:t>
      </w:r>
      <w:r/>
    </w:p>
    <w:p>
      <w:pPr>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r>
      <w:r/>
    </w:p>
    <w:p>
      <w:pPr>
        <w:ind w:firstLine="1890"/>
        <w:jc w:val="both"/>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吊塔技术参数</w:t>
      </w:r>
      <w:r>
        <w:rPr>
          <w:rFonts w:hint="eastAsia" w:ascii="宋体" w:hAnsi="宋体" w:eastAsia="宋体" w:cs="宋体"/>
          <w:b w:val="0"/>
          <w:bCs w:val="0"/>
          <w:color w:val="auto"/>
          <w:sz w:val="21"/>
          <w:szCs w:val="21"/>
          <w:lang w:val="zh-CN"/>
        </w:rPr>
        <w:t xml:space="preserve">（</w:t>
      </w:r>
      <w:r>
        <w:rPr>
          <w:rFonts w:hint="eastAsia" w:ascii="宋体" w:hAnsi="宋体" w:eastAsia="宋体" w:cs="宋体"/>
          <w:b w:val="0"/>
          <w:bCs w:val="0"/>
          <w:color w:val="auto"/>
          <w:sz w:val="21"/>
          <w:szCs w:val="21"/>
          <w:lang w:val="en-US" w:eastAsia="zh-CN"/>
        </w:rPr>
        <w:t xml:space="preserve">按采购人要求定制产品）</w:t>
      </w:r>
      <w:r/>
    </w:p>
    <w:tbl>
      <w:tblPr>
        <w:tblStyle w:val="752"/>
        <w:tblpPr w:horzAnchor="page" w:tblpX="1813" w:vertAnchor="text" w:tblpY="227" w:leftFromText="180" w:topFromText="0" w:rightFromText="180" w:bottomFromText="0"/>
        <w:tblW w:w="84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20"/>
      </w:tblGrid>
      <w:tr>
        <w:trPr>
          <w:trHeight w:val="123"/>
        </w:trPr>
        <w:tc>
          <w:tcPr>
            <w:tcW w:w="8420" w:type="dxa"/>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1、工作电源： AC220V、50Hz；</w:t>
            </w:r>
            <w:r/>
          </w:p>
        </w:tc>
      </w:tr>
      <w:tr>
        <w:trPr>
          <w:trHeight w:val="123"/>
        </w:trPr>
        <w:tc>
          <w:tcPr>
            <w:tcW w:w="8420" w:type="dxa"/>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2、横臂活动范围（半径）：700-1100mm（</w:t>
            </w:r>
            <w:r>
              <w:rPr>
                <w:rFonts w:hint="eastAsia" w:ascii="宋体" w:hAnsi="宋体" w:eastAsia="宋体" w:cs="宋体"/>
                <w:b w:val="0"/>
                <w:bCs w:val="0"/>
                <w:color w:val="auto"/>
                <w:sz w:val="21"/>
                <w:szCs w:val="21"/>
                <w:lang w:val="en-US" w:eastAsia="zh-CN"/>
              </w:rPr>
              <w:t xml:space="preserve">按采购人</w:t>
            </w:r>
            <w:r>
              <w:rPr>
                <w:rFonts w:hint="eastAsia" w:ascii="宋体" w:hAnsi="宋体" w:eastAsia="宋体" w:cs="宋体"/>
                <w:b w:val="0"/>
                <w:bCs w:val="0"/>
                <w:color w:val="auto"/>
                <w:sz w:val="21"/>
                <w:szCs w:val="21"/>
                <w:lang w:val="zh-CN"/>
              </w:rPr>
              <w:t xml:space="preserve">要求配置）</w:t>
            </w:r>
            <w:r/>
          </w:p>
        </w:tc>
      </w:tr>
      <w:tr>
        <w:trPr>
          <w:trHeight w:val="123"/>
        </w:trPr>
        <w:tc>
          <w:tcPr>
            <w:tcW w:w="8420" w:type="dxa"/>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3、水平旋转角度：0～340°，横臂和终端箱体可分别或同时水平旋转；</w:t>
            </w:r>
            <w:r/>
          </w:p>
        </w:tc>
      </w:tr>
      <w:tr>
        <w:trPr>
          <w:trHeight w:val="123"/>
        </w:trPr>
        <w:tc>
          <w:tcPr>
            <w:tcW w:w="8420" w:type="dxa"/>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4、净载重量≤150kg</w:t>
            </w:r>
            <w:r/>
          </w:p>
        </w:tc>
      </w:tr>
      <w:tr>
        <w:trPr>
          <w:trHeight w:val="123"/>
        </w:trPr>
        <w:tc>
          <w:tcPr>
            <w:tcW w:w="8420" w:type="dxa"/>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val="zh-CN"/>
              </w:rPr>
              <w:t xml:space="preserve">、仪器平台： 2层（高度可调）</w:t>
            </w:r>
            <w:r>
              <w:rPr>
                <w:rFonts w:hint="eastAsia" w:ascii="宋体" w:hAnsi="宋体" w:eastAsia="宋体" w:cs="宋体"/>
                <w:b w:val="0"/>
                <w:bCs w:val="0"/>
                <w:color w:val="auto"/>
                <w:sz w:val="21"/>
                <w:szCs w:val="21"/>
                <w:lang w:val="en-US" w:eastAsia="zh-CN"/>
              </w:rPr>
              <w:t xml:space="preserve">600</w:t>
            </w:r>
            <w:r>
              <w:rPr>
                <w:rFonts w:hint="eastAsia" w:ascii="宋体" w:hAnsi="宋体" w:eastAsia="宋体" w:cs="宋体"/>
                <w:b w:val="0"/>
                <w:bCs w:val="0"/>
                <w:color w:val="auto"/>
                <w:sz w:val="21"/>
                <w:szCs w:val="21"/>
                <w:lang w:val="zh-CN"/>
              </w:rPr>
              <w:t xml:space="preserve">㎜*4</w:t>
            </w: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val="zh-CN"/>
              </w:rPr>
              <w:t xml:space="preserve">0㎜</w:t>
            </w:r>
            <w:r>
              <w:rPr>
                <w:rFonts w:hint="eastAsia" w:ascii="宋体" w:hAnsi="宋体" w:eastAsia="宋体" w:cs="宋体"/>
                <w:b w:val="0"/>
                <w:bCs w:val="0"/>
                <w:color w:val="auto"/>
                <w:sz w:val="21"/>
                <w:szCs w:val="21"/>
                <w:lang w:val="en-US" w:eastAsia="zh-CN"/>
              </w:rPr>
              <w:t xml:space="preserve">*25mm</w:t>
            </w:r>
            <w:r>
              <w:rPr>
                <w:rFonts w:hint="eastAsia" w:ascii="宋体" w:hAnsi="宋体" w:eastAsia="宋体" w:cs="宋体"/>
                <w:b w:val="0"/>
                <w:bCs w:val="0"/>
                <w:color w:val="auto"/>
                <w:sz w:val="21"/>
                <w:szCs w:val="21"/>
                <w:lang w:val="zh-CN"/>
              </w:rPr>
              <w:t xml:space="preserve"> ，圆角防撞设计</w:t>
            </w:r>
            <w:r/>
          </w:p>
        </w:tc>
      </w:tr>
      <w:tr>
        <w:trPr>
          <w:trHeight w:val="340"/>
        </w:trPr>
        <w:tc>
          <w:tcPr>
            <w:tcW w:w="8420" w:type="dxa"/>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6、抽屉：1个</w:t>
            </w:r>
            <w:r/>
          </w:p>
        </w:tc>
      </w:tr>
      <w:tr>
        <w:trPr>
          <w:trHeight w:val="363"/>
        </w:trPr>
        <w:tc>
          <w:tcPr>
            <w:tcW w:w="8420" w:type="dxa"/>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lang w:val="zh-CN"/>
              </w:rPr>
              <w:t xml:space="preserve">气体接口配置（氧气2个，负压吸引2个，压缩空气2个）： a、接口颜色及形状不同，具有防接错功能；b、插拔次数2万次以上；c、采用二次密封，带三状态（通、断、拔），可带气维修；</w:t>
            </w:r>
            <w:r/>
          </w:p>
        </w:tc>
      </w:tr>
      <w:tr>
        <w:trPr>
          <w:trHeight w:val="123"/>
        </w:trPr>
        <w:tc>
          <w:tcPr>
            <w:tcW w:w="8420" w:type="dxa"/>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en-US" w:eastAsia="zh-CN"/>
              </w:rPr>
              <w:t xml:space="preserve">8</w:t>
            </w:r>
            <w:r>
              <w:rPr>
                <w:rFonts w:hint="eastAsia" w:ascii="宋体" w:hAnsi="宋体" w:eastAsia="宋体" w:cs="宋体"/>
                <w:b w:val="0"/>
                <w:bCs w:val="0"/>
                <w:color w:val="auto"/>
                <w:sz w:val="21"/>
                <w:szCs w:val="21"/>
                <w:lang w:val="zh-CN"/>
              </w:rPr>
              <w:t xml:space="preserve">、电源插座：10个、220V、10A；</w:t>
            </w:r>
            <w:r/>
          </w:p>
        </w:tc>
      </w:tr>
      <w:tr>
        <w:trPr>
          <w:trHeight w:val="123"/>
        </w:trPr>
        <w:tc>
          <w:tcPr>
            <w:tcW w:w="8420" w:type="dxa"/>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9</w:t>
            </w:r>
            <w:r>
              <w:rPr>
                <w:rFonts w:hint="eastAsia" w:ascii="宋体" w:hAnsi="宋体" w:eastAsia="宋体" w:cs="宋体"/>
                <w:b w:val="0"/>
                <w:bCs w:val="0"/>
                <w:color w:val="auto"/>
                <w:sz w:val="21"/>
                <w:szCs w:val="21"/>
                <w:lang w:val="zh-CN"/>
              </w:rPr>
              <w:t xml:space="preserve">、等电位接地端子: 2个；网络接口：</w:t>
            </w:r>
            <w:r>
              <w:rPr>
                <w:rFonts w:hint="eastAsia" w:ascii="宋体" w:hAnsi="宋体" w:eastAsia="宋体" w:cs="宋体"/>
                <w:b w:val="0"/>
                <w:bCs w:val="0"/>
                <w:color w:val="auto"/>
                <w:sz w:val="21"/>
                <w:szCs w:val="21"/>
                <w:lang w:val="en-US" w:eastAsia="zh-CN"/>
              </w:rPr>
              <w:t xml:space="preserve">2个；</w:t>
            </w:r>
            <w:r/>
          </w:p>
        </w:tc>
      </w:tr>
      <w:tr>
        <w:trPr>
          <w:trHeight w:val="394"/>
        </w:trPr>
        <w:tc>
          <w:tcPr>
            <w:tcW w:w="8420" w:type="dxa"/>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10.抽屉：1个</w:t>
            </w:r>
            <w:r/>
          </w:p>
        </w:tc>
      </w:tr>
      <w:tr>
        <w:trPr>
          <w:trHeight w:val="123"/>
        </w:trPr>
        <w:tc>
          <w:tcPr>
            <w:tcW w:w="8420" w:type="dxa"/>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en-US" w:eastAsia="zh-CN"/>
              </w:rPr>
              <w:t xml:space="preserve">11</w:t>
            </w:r>
            <w:r>
              <w:rPr>
                <w:rFonts w:hint="eastAsia" w:ascii="宋体" w:hAnsi="宋体" w:eastAsia="宋体" w:cs="宋体"/>
                <w:b w:val="0"/>
                <w:bCs w:val="0"/>
                <w:color w:val="auto"/>
                <w:sz w:val="21"/>
                <w:szCs w:val="21"/>
                <w:lang w:val="zh-CN"/>
              </w:rPr>
              <w:t xml:space="preserve">、不锈钢可调输液杆架1个；</w:t>
            </w:r>
            <w:r/>
          </w:p>
        </w:tc>
      </w:tr>
      <w:tr>
        <w:trPr>
          <w:trHeight w:val="319"/>
        </w:trPr>
        <w:tc>
          <w:tcPr>
            <w:tcW w:w="8420" w:type="dxa"/>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en-US" w:eastAsia="zh-CN"/>
              </w:rPr>
              <w:t xml:space="preserve">12</w:t>
            </w:r>
            <w:r>
              <w:rPr>
                <w:rFonts w:hint="eastAsia" w:ascii="宋体" w:hAnsi="宋体" w:eastAsia="宋体" w:cs="宋体"/>
                <w:b w:val="0"/>
                <w:bCs w:val="0"/>
                <w:color w:val="auto"/>
                <w:sz w:val="21"/>
                <w:szCs w:val="21"/>
                <w:lang w:val="zh-CN"/>
              </w:rPr>
              <w:t xml:space="preserve">、不锈钢可调注射泵架1个；</w:t>
            </w:r>
            <w:r/>
          </w:p>
        </w:tc>
      </w:tr>
      <w:tr>
        <w:trPr>
          <w:trHeight w:val="361"/>
        </w:trPr>
        <w:tc>
          <w:tcPr>
            <w:tcW w:w="8420" w:type="dxa"/>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en-US" w:eastAsia="zh-CN"/>
              </w:rPr>
              <w:t xml:space="preserve">13</w:t>
            </w:r>
            <w:r>
              <w:rPr>
                <w:rFonts w:hint="eastAsia" w:ascii="宋体" w:hAnsi="宋体" w:eastAsia="宋体" w:cs="宋体"/>
                <w:b w:val="0"/>
                <w:bCs w:val="0"/>
                <w:color w:val="auto"/>
                <w:sz w:val="21"/>
                <w:szCs w:val="21"/>
                <w:lang w:val="zh-CN"/>
              </w:rPr>
              <w:t xml:space="preserve">、主体材料采用高强度铝合金型材；</w:t>
            </w:r>
            <w:r/>
          </w:p>
        </w:tc>
      </w:tr>
      <w:tr>
        <w:trPr>
          <w:trHeight w:val="372"/>
        </w:trPr>
        <w:tc>
          <w:tcPr>
            <w:tcW w:w="8420" w:type="dxa"/>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en-US" w:eastAsia="zh-CN"/>
              </w:rPr>
              <w:t xml:space="preserve">14</w:t>
            </w:r>
            <w:r>
              <w:rPr>
                <w:rFonts w:hint="eastAsia" w:ascii="宋体" w:hAnsi="宋体" w:eastAsia="宋体" w:cs="宋体"/>
                <w:b w:val="0"/>
                <w:bCs w:val="0"/>
                <w:color w:val="auto"/>
                <w:sz w:val="21"/>
                <w:szCs w:val="21"/>
                <w:lang w:val="zh-CN"/>
              </w:rPr>
              <w:t xml:space="preserve">、表面处理采用静电喷涂；</w:t>
            </w:r>
            <w:r/>
          </w:p>
        </w:tc>
      </w:tr>
      <w:tr>
        <w:trPr>
          <w:trHeight w:val="123"/>
        </w:trPr>
        <w:tc>
          <w:tcPr>
            <w:tcW w:w="8420" w:type="dxa"/>
            <w:textDirection w:val="lrTb"/>
            <w:noWrap w:val="false"/>
          </w:tcPr>
          <w:p>
            <w:pPr>
              <w:keepLines w:val="0"/>
              <w:keepNext w:val="0"/>
              <w:pageBreakBefore w:val="0"/>
              <w:spacing w:line="360" w:lineRule="auto"/>
              <w:widowControl w:val="off"/>
              <w:tabs>
                <w:tab w:val="left" w:pos="5697" w:leader="none"/>
              </w:tabs>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en-US" w:eastAsia="zh-CN"/>
              </w:rPr>
              <w:t xml:space="preserve">15</w:t>
            </w:r>
            <w:r>
              <w:rPr>
                <w:rFonts w:hint="eastAsia" w:ascii="宋体" w:hAnsi="宋体" w:eastAsia="宋体" w:cs="宋体"/>
                <w:b w:val="0"/>
                <w:bCs w:val="0"/>
                <w:color w:val="auto"/>
                <w:sz w:val="21"/>
                <w:szCs w:val="21"/>
                <w:lang w:val="zh-CN"/>
              </w:rPr>
              <w:t xml:space="preserve">、吸顶式安装，稳定牢固。</w:t>
            </w:r>
            <w:r>
              <w:rPr>
                <w:rFonts w:hint="eastAsia" w:ascii="宋体" w:hAnsi="宋体" w:eastAsia="宋体" w:cs="宋体"/>
                <w:b w:val="0"/>
                <w:bCs w:val="0"/>
                <w:color w:val="auto"/>
                <w:sz w:val="21"/>
                <w:szCs w:val="21"/>
                <w:lang w:val="zh-CN"/>
              </w:rPr>
              <w:tab/>
            </w:r>
            <w:r/>
          </w:p>
        </w:tc>
      </w:tr>
    </w:tbl>
    <w:p>
      <w:pPr>
        <w:jc w:val="center"/>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ind w:firstLine="21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center"/>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内镜清洗中心技术参数：</w:t>
      </w:r>
      <w:r/>
    </w:p>
    <w:p>
      <w:pPr>
        <w:keepLines w:val="0"/>
        <w:keepNext w:val="0"/>
        <w:pageBreakBefore w:val="0"/>
        <w:spacing w:line="48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整体设计必须符合最新版内镜消毒技术规范的要求。整体设计必须与内镜中心的清洗间相适应并合理配置招标时提供与房间相适应的平面图 。</w:t>
      </w:r>
      <w:r/>
    </w:p>
    <w:p>
      <w:pPr>
        <w:jc w:val="left"/>
        <w:keepLines w:val="0"/>
        <w:keepNext w:val="0"/>
        <w:pageBreakBefore w:val="0"/>
        <w:spacing w:line="48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1、台面、清洗方槽、干燥台规格</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按实际定制</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ab/>
      </w:r>
      <w:r/>
    </w:p>
    <w:p>
      <w:pPr>
        <w:jc w:val="left"/>
        <w:keepLines w:val="0"/>
        <w:keepNext w:val="0"/>
        <w:pageBreakBefore w:val="0"/>
        <w:spacing w:line="48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①</w:t>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双方槽规格:1</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00mm×7</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0mm</w:t>
      </w:r>
      <w:r>
        <w:rPr>
          <w:rFonts w:hint="eastAsia" w:ascii="宋体" w:hAnsi="宋体" w:eastAsia="宋体" w:cs="宋体"/>
          <w:color w:val="auto"/>
          <w:sz w:val="21"/>
          <w:szCs w:val="21"/>
          <w:lang w:val="en-US" w:eastAsia="zh-CN"/>
        </w:rPr>
        <w:t xml:space="preserve">2组</w:t>
      </w:r>
      <w:r>
        <w:rPr>
          <w:rFonts w:hint="eastAsia" w:ascii="宋体" w:hAnsi="宋体" w:eastAsia="宋体" w:cs="宋体"/>
          <w:color w:val="auto"/>
          <w:sz w:val="21"/>
          <w:szCs w:val="21"/>
        </w:rPr>
        <w:t xml:space="preserve">②单方槽规格:</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50mm×750mm</w:t>
      </w:r>
      <w:r>
        <w:rPr>
          <w:rFonts w:hint="eastAsia" w:ascii="宋体" w:hAnsi="宋体" w:eastAsia="宋体" w:cs="宋体"/>
          <w:color w:val="auto"/>
          <w:sz w:val="21"/>
          <w:szCs w:val="21"/>
          <w:lang w:val="en-US" w:eastAsia="zh-CN"/>
        </w:rPr>
        <w:t xml:space="preserve"> 1</w:t>
      </w:r>
      <w:r>
        <w:rPr>
          <w:rFonts w:hint="eastAsia" w:ascii="宋体" w:hAnsi="宋体" w:eastAsia="宋体" w:cs="宋体"/>
          <w:color w:val="auto"/>
          <w:sz w:val="21"/>
          <w:szCs w:val="21"/>
        </w:rPr>
        <w:t xml:space="preserve">组, ③干燥台规格:1400mm×750mm</w:t>
      </w:r>
      <w:r>
        <w:rPr>
          <w:rFonts w:hint="eastAsia" w:ascii="宋体" w:hAnsi="宋体" w:eastAsia="宋体" w:cs="宋体"/>
          <w:color w:val="auto"/>
          <w:sz w:val="21"/>
          <w:szCs w:val="21"/>
          <w:lang w:val="en-US" w:eastAsia="zh-CN"/>
        </w:rPr>
        <w:t xml:space="preserve"> 1</w:t>
      </w:r>
      <w:r>
        <w:rPr>
          <w:rFonts w:hint="eastAsia" w:ascii="宋体" w:hAnsi="宋体" w:eastAsia="宋体" w:cs="宋体"/>
          <w:color w:val="auto"/>
          <w:sz w:val="21"/>
          <w:szCs w:val="21"/>
        </w:rPr>
        <w:t xml:space="preserve">组特殊规格可订制.④背板高度: 中背1350mm, 高背1800mm</w:t>
      </w:r>
      <w:r/>
    </w:p>
    <w:p>
      <w:pPr>
        <w:jc w:val="left"/>
        <w:keepLines w:val="0"/>
        <w:keepNext w:val="0"/>
        <w:pageBreakBefore w:val="0"/>
        <w:spacing w:line="48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b/>
          <w:bCs/>
          <w:color w:val="auto"/>
          <w:sz w:val="21"/>
          <w:szCs w:val="21"/>
        </w:rPr>
        <w:t xml:space="preserve">台面、洗消槽、干燥台及功能背板</w:t>
      </w:r>
      <w:r>
        <w:rPr>
          <w:rFonts w:hint="eastAsia" w:ascii="宋体" w:hAnsi="宋体" w:eastAsia="宋体" w:cs="宋体"/>
          <w:b/>
          <w:bCs/>
          <w:color w:val="auto"/>
          <w:sz w:val="21"/>
          <w:szCs w:val="21"/>
          <w:lang w:val="en-US" w:eastAsia="zh-CN"/>
        </w:rPr>
        <w:t xml:space="preserve">1组</w:t>
      </w:r>
      <w:r/>
    </w:p>
    <w:p>
      <w:pPr>
        <w:ind w:firstLine="420"/>
        <w:jc w:val="left"/>
        <w:keepLines w:val="0"/>
        <w:keepNext w:val="0"/>
        <w:pageBreakBefore w:val="0"/>
        <w:spacing w:line="48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台面、洗消方槽及功能背板采用优质的改性PMMA高分子材料分段式一体吸塑成型，材料抗压强度高，弹性好，抗氧化，高度耐酸碱，表面光洁易清洗，细菌附着率极低，对内镜无磨损</w:t>
      </w:r>
      <w:r/>
    </w:p>
    <w:p>
      <w:pPr>
        <w:jc w:val="left"/>
        <w:keepLines w:val="0"/>
        <w:keepNext w:val="0"/>
        <w:pageBreakBefore w:val="0"/>
        <w:spacing w:line="48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w:t>
      </w:r>
      <w:r>
        <w:rPr>
          <w:rFonts w:hint="eastAsia" w:ascii="宋体" w:hAnsi="宋体" w:eastAsia="宋体" w:cs="宋体"/>
          <w:b/>
          <w:bCs/>
          <w:color w:val="auto"/>
          <w:sz w:val="21"/>
          <w:szCs w:val="21"/>
        </w:rPr>
        <w:t xml:space="preserve">功能支架及柜门</w:t>
      </w:r>
      <w:r>
        <w:rPr>
          <w:rFonts w:hint="eastAsia" w:ascii="宋体" w:hAnsi="宋体" w:eastAsia="宋体" w:cs="宋体"/>
          <w:b/>
          <w:bCs/>
          <w:color w:val="auto"/>
          <w:sz w:val="21"/>
          <w:szCs w:val="21"/>
        </w:rPr>
        <w:tab/>
      </w:r>
      <w:r>
        <w:rPr>
          <w:rFonts w:hint="eastAsia" w:ascii="宋体" w:hAnsi="宋体" w:eastAsia="宋体" w:cs="宋体"/>
          <w:b/>
          <w:bCs/>
          <w:color w:val="auto"/>
          <w:sz w:val="21"/>
          <w:szCs w:val="21"/>
          <w:lang w:val="en-US" w:eastAsia="zh-CN"/>
        </w:rPr>
        <w:t xml:space="preserve">1组 </w:t>
      </w:r>
      <w:r/>
    </w:p>
    <w:p>
      <w:pPr>
        <w:ind w:firstLine="420"/>
        <w:jc w:val="left"/>
        <w:keepLines w:val="0"/>
        <w:keepNext w:val="0"/>
        <w:pageBreakBefore w:val="0"/>
        <w:spacing w:line="48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功能支架为优质不锈钢，下柜悬空</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100mm设计,不形成台下卫生死角，便于清扫，符合院感要求, 柜门采用钢化防爆玻璃；整机加背板高度</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1800mm，中背高度</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1400mm</w:t>
      </w:r>
      <w:r>
        <w:rPr>
          <w:rFonts w:hint="eastAsia" w:ascii="宋体" w:hAnsi="宋体" w:eastAsia="宋体" w:cs="宋体"/>
          <w:color w:val="auto"/>
          <w:sz w:val="21"/>
          <w:szCs w:val="21"/>
          <w:lang w:eastAsia="zh-CN"/>
        </w:rPr>
        <w:t xml:space="preserve">。</w:t>
      </w:r>
      <w:r/>
    </w:p>
    <w:p>
      <w:pPr>
        <w:jc w:val="left"/>
        <w:keepLines w:val="0"/>
        <w:keepNext w:val="0"/>
        <w:pageBreakBefore w:val="0"/>
        <w:spacing w:line="480" w:lineRule="auto"/>
        <w:widowControl w:val="off"/>
        <w:rPr>
          <w:rFonts w:hint="eastAsia" w:ascii="宋体" w:hAnsi="宋体" w:eastAsia="宋体" w:cs="宋体"/>
          <w:color w:val="auto"/>
          <w:sz w:val="21"/>
          <w:szCs w:val="21"/>
          <w:lang w:val="en-US"/>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w:t>
      </w:r>
      <w:r>
        <w:rPr>
          <w:rFonts w:hint="eastAsia" w:ascii="宋体" w:hAnsi="宋体" w:eastAsia="宋体" w:cs="宋体"/>
          <w:b/>
          <w:bCs/>
          <w:color w:val="auto"/>
          <w:sz w:val="21"/>
          <w:szCs w:val="21"/>
        </w:rPr>
        <w:t xml:space="preserve">多功能自动灌流器</w:t>
      </w:r>
      <w:r>
        <w:rPr>
          <w:rFonts w:hint="eastAsia" w:ascii="宋体" w:hAnsi="宋体" w:eastAsia="宋体" w:cs="宋体"/>
          <w:b/>
          <w:bCs/>
          <w:color w:val="auto"/>
          <w:sz w:val="21"/>
          <w:szCs w:val="21"/>
          <w:lang w:val="en-US" w:eastAsia="zh-CN"/>
        </w:rPr>
        <w:t xml:space="preserve">5套</w:t>
      </w:r>
      <w:r/>
    </w:p>
    <w:p>
      <w:pPr>
        <w:ind w:firstLine="420"/>
        <w:jc w:val="left"/>
        <w:keepLines w:val="0"/>
        <w:keepNext w:val="0"/>
        <w:pageBreakBefore w:val="0"/>
        <w:spacing w:line="48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①采用隐形设计，节省操作空间，有效防止内镜、洗消人员及自动灌流器本身的意外损伤；</w:t>
      </w:r>
      <w:r/>
    </w:p>
    <w:p>
      <w:pPr>
        <w:ind w:firstLine="420"/>
        <w:jc w:val="left"/>
        <w:keepLines w:val="0"/>
        <w:keepNext w:val="0"/>
        <w:pageBreakBefore w:val="0"/>
        <w:spacing w:line="48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②模块式设计，由操作面板、执行部件两部分组成，方便快速维修；</w:t>
      </w:r>
      <w:r/>
    </w:p>
    <w:p>
      <w:pPr>
        <w:ind w:firstLine="420"/>
        <w:jc w:val="left"/>
        <w:keepLines w:val="0"/>
        <w:keepNext w:val="0"/>
        <w:pageBreakBefore w:val="0"/>
        <w:spacing w:line="48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③在初洗、清洗、末洗严格按《规范》要求，采用洁净的“一次水”灌注，避免二次感染；</w:t>
      </w:r>
      <w:r/>
    </w:p>
    <w:p>
      <w:pPr>
        <w:ind w:firstLine="420"/>
        <w:jc w:val="left"/>
        <w:keepLines w:val="0"/>
        <w:keepNext w:val="0"/>
        <w:pageBreakBefore w:val="0"/>
        <w:spacing w:line="48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④具有脉动注液、注气、吸引、戊二醛回收隐藏、自动排放、气体解析、过期报警计时等功能，有效保证内镜洗消达标；</w:t>
      </w:r>
      <w:r/>
    </w:p>
    <w:p>
      <w:pPr>
        <w:ind w:firstLine="420"/>
        <w:jc w:val="left"/>
        <w:keepLines w:val="0"/>
        <w:keepNext w:val="0"/>
        <w:pageBreakBefore w:val="0"/>
        <w:spacing w:line="48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⑤</w:t>
      </w:r>
      <w:r>
        <w:rPr>
          <w:rFonts w:hint="eastAsia" w:ascii="宋体" w:hAnsi="宋体" w:eastAsia="宋体" w:cs="宋体"/>
          <w:color w:val="auto"/>
          <w:sz w:val="21"/>
          <w:szCs w:val="21"/>
          <w:lang w:val="en-US" w:eastAsia="zh-CN"/>
        </w:rPr>
        <w:t xml:space="preserve">采用</w:t>
      </w:r>
      <w:r>
        <w:rPr>
          <w:rFonts w:hint="eastAsia" w:ascii="宋体" w:hAnsi="宋体" w:eastAsia="宋体" w:cs="宋体"/>
          <w:color w:val="auto"/>
          <w:sz w:val="21"/>
          <w:szCs w:val="21"/>
        </w:rPr>
        <w:t xml:space="preserve">电脑控制系统，各种数据可自行自由设定；</w:t>
      </w:r>
      <w:r/>
    </w:p>
    <w:p>
      <w:pPr>
        <w:ind w:firstLine="420"/>
        <w:jc w:val="left"/>
        <w:keepLines w:val="0"/>
        <w:keepNext w:val="0"/>
        <w:pageBreakBefore w:val="0"/>
        <w:spacing w:line="48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⑥采用液晶中文显示屏操作面板，一健启动；</w:t>
      </w:r>
      <w:r/>
    </w:p>
    <w:p>
      <w:pPr>
        <w:ind w:firstLine="420"/>
        <w:jc w:val="left"/>
        <w:keepLines w:val="0"/>
        <w:keepNext w:val="0"/>
        <w:pageBreakBefore w:val="0"/>
        <w:spacing w:line="48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⑦快速插接头设计位置位于洗消槽后方，</w:t>
      </w:r>
      <w:r>
        <w:rPr>
          <w:rFonts w:hint="eastAsia" w:ascii="宋体" w:hAnsi="宋体" w:eastAsia="宋体" w:cs="宋体"/>
          <w:color w:val="auto"/>
          <w:sz w:val="21"/>
          <w:szCs w:val="21"/>
          <w:lang w:val="en-US" w:eastAsia="zh-CN"/>
        </w:rPr>
        <w:t xml:space="preserve">支持单手操作</w:t>
      </w:r>
      <w:r>
        <w:rPr>
          <w:rFonts w:hint="eastAsia" w:ascii="宋体" w:hAnsi="宋体" w:eastAsia="宋体" w:cs="宋体"/>
          <w:color w:val="auto"/>
          <w:sz w:val="21"/>
          <w:szCs w:val="21"/>
        </w:rPr>
        <w:t xml:space="preserve">，浸泡时方槽盖可实现完全密封，彻底的消除消毒液的扩散；</w:t>
      </w:r>
      <w:r/>
    </w:p>
    <w:p>
      <w:pPr>
        <w:jc w:val="left"/>
        <w:keepLines w:val="0"/>
        <w:keepNext w:val="0"/>
        <w:pageBreakBefore w:val="0"/>
        <w:spacing w:line="48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w:t>
      </w:r>
      <w:r>
        <w:rPr>
          <w:rFonts w:hint="eastAsia" w:ascii="宋体" w:hAnsi="宋体" w:eastAsia="宋体" w:cs="宋体"/>
          <w:b/>
          <w:bCs/>
          <w:color w:val="auto"/>
          <w:sz w:val="21"/>
          <w:szCs w:val="21"/>
        </w:rPr>
        <w:t xml:space="preserve">快速接头材质及功能</w:t>
      </w:r>
      <w:r>
        <w:rPr>
          <w:rFonts w:hint="eastAsia" w:ascii="宋体" w:hAnsi="宋体" w:eastAsia="宋体" w:cs="宋体"/>
          <w:b/>
          <w:bCs/>
          <w:color w:val="auto"/>
          <w:sz w:val="21"/>
          <w:szCs w:val="21"/>
          <w:lang w:val="en-US" w:eastAsia="zh-CN"/>
        </w:rPr>
        <w:t xml:space="preserve"> 7套 </w:t>
      </w:r>
      <w:r>
        <w:rPr>
          <w:rFonts w:hint="eastAsia" w:ascii="宋体" w:hAnsi="宋体" w:eastAsia="宋体" w:cs="宋体"/>
          <w:b/>
          <w:bCs/>
          <w:color w:val="auto"/>
          <w:sz w:val="21"/>
          <w:szCs w:val="21"/>
        </w:rPr>
        <w:tab/>
      </w:r>
      <w:r/>
    </w:p>
    <w:p>
      <w:pPr>
        <w:ind w:firstLine="420"/>
        <w:jc w:val="left"/>
        <w:keepLines w:val="0"/>
        <w:keepNext w:val="0"/>
        <w:pageBreakBefore w:val="0"/>
        <w:spacing w:line="48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①整套快速接头采用</w:t>
      </w:r>
      <w:r>
        <w:rPr>
          <w:rFonts w:hint="eastAsia" w:ascii="宋体" w:hAnsi="宋体" w:eastAsia="宋体" w:cs="宋体"/>
          <w:color w:val="auto"/>
          <w:sz w:val="21"/>
          <w:szCs w:val="21"/>
          <w:lang w:val="en-US" w:eastAsia="zh-CN"/>
        </w:rPr>
        <w:t xml:space="preserve">优质品牌</w:t>
      </w:r>
      <w:r>
        <w:rPr>
          <w:rFonts w:hint="eastAsia" w:ascii="宋体" w:hAnsi="宋体" w:eastAsia="宋体" w:cs="宋体"/>
          <w:color w:val="auto"/>
          <w:sz w:val="21"/>
          <w:szCs w:val="21"/>
        </w:rPr>
        <w:t xml:space="preserve">，快速接头的底座与插头部分全部采用耐酸碱的高分子塑料，有效的防止酸碱腐蚀，增强耐磨性。</w:t>
      </w:r>
      <w:r>
        <w:rPr>
          <w:rFonts w:hint="eastAsia" w:ascii="宋体" w:hAnsi="宋体" w:eastAsia="宋体" w:cs="宋体"/>
          <w:color w:val="auto"/>
          <w:sz w:val="21"/>
          <w:szCs w:val="21"/>
          <w:lang w:val="en-US" w:eastAsia="zh-CN"/>
        </w:rPr>
        <w:t xml:space="preserve">                                                                                                                        </w:t>
      </w:r>
      <w:r/>
    </w:p>
    <w:p>
      <w:pPr>
        <w:ind w:firstLine="420"/>
        <w:jc w:val="left"/>
        <w:keepLines w:val="0"/>
        <w:keepNext w:val="0"/>
        <w:pageBreakBefore w:val="0"/>
        <w:spacing w:line="48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②快速插头部分采用双手指按式（双手指按紧向后取出，向前接上）底座设计位置位于洗消槽后方，操作更加方便、自如、快捷，</w:t>
      </w:r>
      <w:r>
        <w:rPr>
          <w:rFonts w:hint="eastAsia" w:ascii="宋体" w:hAnsi="宋体" w:eastAsia="宋体" w:cs="宋体"/>
          <w:color w:val="auto"/>
          <w:sz w:val="21"/>
          <w:szCs w:val="21"/>
          <w:lang w:val="en-US" w:eastAsia="zh-CN"/>
        </w:rPr>
        <w:t xml:space="preserve">支持</w:t>
      </w:r>
      <w:r>
        <w:rPr>
          <w:rFonts w:hint="eastAsia" w:ascii="宋体" w:hAnsi="宋体" w:eastAsia="宋体" w:cs="宋体"/>
          <w:color w:val="auto"/>
          <w:sz w:val="21"/>
          <w:szCs w:val="21"/>
        </w:rPr>
        <w:t xml:space="preserve">单手操作</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 </w:t>
      </w:r>
      <w:r/>
    </w:p>
    <w:p>
      <w:pPr>
        <w:jc w:val="left"/>
        <w:keepLines w:val="0"/>
        <w:keepNext w:val="0"/>
        <w:pageBreakBefore w:val="0"/>
        <w:spacing w:line="48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w:t>
      </w:r>
      <w:r>
        <w:rPr>
          <w:rFonts w:hint="eastAsia" w:ascii="宋体" w:hAnsi="宋体" w:eastAsia="宋体" w:cs="宋体"/>
          <w:b/>
          <w:bCs/>
          <w:color w:val="auto"/>
          <w:sz w:val="21"/>
          <w:szCs w:val="21"/>
        </w:rPr>
        <w:t xml:space="preserve">水质处理器</w:t>
      </w:r>
      <w:r>
        <w:rPr>
          <w:rFonts w:hint="eastAsia" w:ascii="宋体" w:hAnsi="宋体" w:eastAsia="宋体" w:cs="宋体"/>
          <w:b/>
          <w:bCs/>
          <w:color w:val="auto"/>
          <w:sz w:val="21"/>
          <w:szCs w:val="21"/>
          <w:lang w:val="en-US" w:eastAsia="zh-CN"/>
        </w:rPr>
        <w:t xml:space="preserve"> 1组</w:t>
      </w:r>
      <w:r/>
    </w:p>
    <w:p>
      <w:pPr>
        <w:jc w:val="left"/>
        <w:keepLines w:val="0"/>
        <w:keepNext w:val="0"/>
        <w:pageBreakBefore w:val="0"/>
        <w:spacing w:line="48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除菌型水处理器过滤精度为0.01μM，不锈钢材质，多层式渗透，净化过滤水质更保证内镜清洗安全，可采用反冲式维护清洗，无需更换滤芯，水处理量：2～5T/h可选。</w:t>
      </w:r>
      <w:r/>
    </w:p>
    <w:p>
      <w:pPr>
        <w:jc w:val="left"/>
        <w:keepLines w:val="0"/>
        <w:keepNext w:val="0"/>
        <w:pageBreakBefore w:val="0"/>
        <w:spacing w:line="48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w:t>
      </w:r>
      <w:r>
        <w:rPr>
          <w:rFonts w:hint="eastAsia" w:ascii="宋体" w:hAnsi="宋体" w:eastAsia="宋体" w:cs="宋体"/>
          <w:b/>
          <w:bCs/>
          <w:color w:val="auto"/>
          <w:sz w:val="21"/>
          <w:szCs w:val="21"/>
        </w:rPr>
        <w:t xml:space="preserve">医用专用无油空压机</w:t>
      </w:r>
      <w:r>
        <w:rPr>
          <w:rFonts w:hint="eastAsia" w:ascii="宋体" w:hAnsi="宋体" w:eastAsia="宋体" w:cs="宋体"/>
          <w:b/>
          <w:bCs/>
          <w:color w:val="auto"/>
          <w:sz w:val="21"/>
          <w:szCs w:val="21"/>
          <w:lang w:val="en-US" w:eastAsia="zh-CN"/>
        </w:rPr>
        <w:t xml:space="preserve">  1台</w:t>
      </w:r>
      <w:r/>
    </w:p>
    <w:p>
      <w:pPr>
        <w:jc w:val="left"/>
        <w:keepLines w:val="0"/>
        <w:keepNext w:val="0"/>
        <w:pageBreakBefore w:val="0"/>
        <w:spacing w:line="48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供气压力：</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0.75MPa  供气量：</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60L/min  储气量：</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28L  噪音≤60dB  电压：220V  输出功率：</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600W，为内镜清洗工作持续提供纯净的压力空气来源。 </w:t>
      </w:r>
      <w:r/>
    </w:p>
    <w:p>
      <w:pPr>
        <w:jc w:val="left"/>
        <w:keepLines w:val="0"/>
        <w:keepNext w:val="0"/>
        <w:pageBreakBefore w:val="0"/>
        <w:spacing w:line="48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w:t>
      </w:r>
      <w:r>
        <w:rPr>
          <w:rFonts w:hint="eastAsia" w:ascii="宋体" w:hAnsi="宋体" w:eastAsia="宋体" w:cs="宋体"/>
          <w:b/>
          <w:bCs/>
          <w:color w:val="auto"/>
          <w:sz w:val="21"/>
          <w:szCs w:val="21"/>
        </w:rPr>
        <w:t xml:space="preserve">中心气体处理器</w:t>
      </w:r>
      <w:r>
        <w:rPr>
          <w:rFonts w:hint="eastAsia" w:ascii="宋体" w:hAnsi="宋体" w:eastAsia="宋体" w:cs="宋体"/>
          <w:b/>
          <w:bCs/>
          <w:color w:val="auto"/>
          <w:sz w:val="21"/>
          <w:szCs w:val="21"/>
        </w:rPr>
        <w:tab/>
      </w:r>
      <w:r>
        <w:rPr>
          <w:rFonts w:hint="eastAsia" w:ascii="宋体" w:hAnsi="宋体" w:eastAsia="宋体" w:cs="宋体"/>
          <w:b/>
          <w:bCs/>
          <w:color w:val="auto"/>
          <w:sz w:val="21"/>
          <w:szCs w:val="21"/>
          <w:lang w:val="en-US" w:eastAsia="zh-CN"/>
        </w:rPr>
        <w:t xml:space="preserve">1套</w:t>
      </w:r>
      <w:r/>
    </w:p>
    <w:p>
      <w:pPr>
        <w:ind w:firstLine="420"/>
        <w:jc w:val="left"/>
        <w:keepLines w:val="0"/>
        <w:keepNext w:val="0"/>
        <w:pageBreakBefore w:val="0"/>
        <w:spacing w:line="48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气压调节范围：0～0.75Mpa，分离空气中的水分及其它杂质，为内镜洗消提供干燥纯净的压力空气，</w:t>
      </w:r>
      <w:r>
        <w:rPr>
          <w:rFonts w:hint="eastAsia" w:ascii="宋体" w:hAnsi="宋体" w:eastAsia="宋体" w:cs="宋体"/>
          <w:color w:val="auto"/>
          <w:sz w:val="21"/>
          <w:szCs w:val="21"/>
          <w:lang w:val="en-US" w:eastAsia="zh-CN"/>
        </w:rPr>
        <w:t xml:space="preserve">具有</w:t>
      </w:r>
      <w:r>
        <w:rPr>
          <w:rFonts w:hint="eastAsia" w:ascii="宋体" w:hAnsi="宋体" w:eastAsia="宋体" w:cs="宋体"/>
          <w:color w:val="auto"/>
          <w:sz w:val="21"/>
          <w:szCs w:val="21"/>
        </w:rPr>
        <w:t xml:space="preserve">注气压力调节器, 为内镜腔道提供清洁而又安全的气压，不损伤昂贵的内镜。</w:t>
      </w:r>
      <w:r/>
    </w:p>
    <w:p>
      <w:pPr>
        <w:jc w:val="left"/>
        <w:keepLines w:val="0"/>
        <w:keepNext w:val="0"/>
        <w:pageBreakBefore w:val="0"/>
        <w:spacing w:line="48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w:t>
      </w:r>
      <w:r>
        <w:rPr>
          <w:rFonts w:hint="eastAsia" w:ascii="宋体" w:hAnsi="宋体" w:eastAsia="宋体" w:cs="宋体"/>
          <w:b/>
          <w:bCs/>
          <w:color w:val="auto"/>
          <w:sz w:val="21"/>
          <w:szCs w:val="21"/>
        </w:rPr>
        <w:t xml:space="preserve">医用高压水枪</w:t>
      </w:r>
      <w:r>
        <w:rPr>
          <w:rFonts w:hint="eastAsia" w:ascii="宋体" w:hAnsi="宋体" w:eastAsia="宋体" w:cs="宋体"/>
          <w:b/>
          <w:bCs/>
          <w:color w:val="auto"/>
          <w:sz w:val="21"/>
          <w:szCs w:val="21"/>
          <w:lang w:val="en-US" w:eastAsia="zh-CN"/>
        </w:rPr>
        <w:t xml:space="preserve">3把 </w:t>
      </w:r>
      <w:r/>
    </w:p>
    <w:p>
      <w:pPr>
        <w:ind w:firstLine="420"/>
        <w:jc w:val="left"/>
        <w:keepLines w:val="0"/>
        <w:keepNext w:val="0"/>
        <w:pageBreakBefore w:val="0"/>
        <w:spacing w:line="48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枪体采用采用不锈钢材质一次冲压成型，高度耐酸碱，抗腐蚀性强，细菌附着率低。杜绝水质通过枪体腔道的二次污染，防止枪体腔道腐蚀而产生的脱落物进入内镜腔道，从而造成内镜损坏；前端清洗专用喷嘴能适用不同口径的内径接口，可以自动封闭注水口，避免水花四射。压力:自来水标准水压</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0.3MPa（恒定，可调，由中心统一控制） 流量：</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5L/min。</w:t>
      </w:r>
      <w:r/>
    </w:p>
    <w:p>
      <w:pPr>
        <w:jc w:val="left"/>
        <w:keepLines w:val="0"/>
        <w:keepNext w:val="0"/>
        <w:pageBreakBefore w:val="0"/>
        <w:spacing w:line="48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w:t>
      </w:r>
      <w:r>
        <w:rPr>
          <w:rFonts w:hint="eastAsia" w:ascii="宋体" w:hAnsi="宋体" w:eastAsia="宋体" w:cs="宋体"/>
          <w:b/>
          <w:bCs/>
          <w:color w:val="auto"/>
          <w:sz w:val="21"/>
          <w:szCs w:val="21"/>
        </w:rPr>
        <w:t xml:space="preserve">医用高压气枪</w:t>
      </w:r>
      <w:r>
        <w:rPr>
          <w:rFonts w:hint="eastAsia" w:ascii="宋体" w:hAnsi="宋体" w:eastAsia="宋体" w:cs="宋体"/>
          <w:b/>
          <w:bCs/>
          <w:color w:val="auto"/>
          <w:sz w:val="21"/>
          <w:szCs w:val="21"/>
          <w:lang w:val="en-US" w:eastAsia="zh-CN"/>
        </w:rPr>
        <w:t xml:space="preserve">  3把</w:t>
      </w:r>
      <w:r/>
    </w:p>
    <w:p>
      <w:pPr>
        <w:jc w:val="left"/>
        <w:keepLines w:val="0"/>
        <w:keepNext w:val="0"/>
        <w:pageBreakBefore w:val="0"/>
        <w:spacing w:line="48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枪体采用采用不锈钢材质一次冲压成型，高度耐酸碱，抗腐蚀性强，细菌附着率低。杜绝水质通过枪体腔道的二次污染，防止枪体腔道腐蚀而产生的脱落物进入内镜腔道，从而造成内镜损坏；前端吹气专用喷嘴能适用不同口径的内径接口压力：0～0.75MPa，由中心气体处理器精确调控气压，压力可准确显示数值，安全可靠。</w:t>
      </w:r>
      <w:r/>
    </w:p>
    <w:p>
      <w:pPr>
        <w:jc w:val="left"/>
        <w:keepLines w:val="0"/>
        <w:keepNext w:val="0"/>
        <w:pageBreakBefore w:val="0"/>
        <w:spacing w:line="48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11</w:t>
      </w:r>
      <w:r>
        <w:rPr>
          <w:rFonts w:hint="eastAsia" w:ascii="宋体" w:hAnsi="宋体" w:eastAsia="宋体" w:cs="宋体"/>
          <w:color w:val="auto"/>
          <w:sz w:val="21"/>
          <w:szCs w:val="21"/>
        </w:rPr>
        <w:t xml:space="preserve">、</w:t>
      </w:r>
      <w:r>
        <w:rPr>
          <w:rFonts w:hint="eastAsia" w:ascii="宋体" w:hAnsi="宋体" w:eastAsia="宋体" w:cs="宋体"/>
          <w:b/>
          <w:bCs/>
          <w:color w:val="auto"/>
          <w:sz w:val="21"/>
          <w:szCs w:val="21"/>
        </w:rPr>
        <w:t xml:space="preserve">给排水系统</w:t>
      </w:r>
      <w:r>
        <w:rPr>
          <w:rFonts w:hint="eastAsia" w:ascii="宋体" w:hAnsi="宋体" w:eastAsia="宋体" w:cs="宋体"/>
          <w:b/>
          <w:bCs/>
          <w:color w:val="auto"/>
          <w:sz w:val="21"/>
          <w:szCs w:val="21"/>
        </w:rPr>
        <w:tab/>
      </w:r>
      <w:r>
        <w:rPr>
          <w:rFonts w:hint="eastAsia" w:ascii="宋体" w:hAnsi="宋体" w:eastAsia="宋体" w:cs="宋体"/>
          <w:b/>
          <w:bCs/>
          <w:color w:val="auto"/>
          <w:sz w:val="21"/>
          <w:szCs w:val="21"/>
          <w:lang w:val="en-US" w:eastAsia="zh-CN"/>
        </w:rPr>
        <w:t xml:space="preserve">1套</w:t>
      </w:r>
      <w:r/>
    </w:p>
    <w:p>
      <w:pPr>
        <w:jc w:val="left"/>
        <w:keepLines w:val="0"/>
        <w:keepNext w:val="0"/>
        <w:pageBreakBefore w:val="0"/>
        <w:spacing w:line="48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给水系统采用：优质不锈钢材质水龙头，</w:t>
      </w:r>
      <w:r>
        <w:rPr>
          <w:rFonts w:hint="eastAsia" w:ascii="宋体" w:hAnsi="宋体" w:eastAsia="宋体" w:cs="宋体"/>
          <w:color w:val="auto"/>
          <w:sz w:val="21"/>
          <w:szCs w:val="21"/>
          <w:lang w:val="en-US" w:eastAsia="zh-CN"/>
        </w:rPr>
        <w:t xml:space="preserve">优质</w:t>
      </w:r>
      <w:r>
        <w:rPr>
          <w:rFonts w:hint="eastAsia" w:ascii="宋体" w:hAnsi="宋体" w:eastAsia="宋体" w:cs="宋体"/>
          <w:color w:val="auto"/>
          <w:sz w:val="21"/>
          <w:szCs w:val="21"/>
        </w:rPr>
        <w:t xml:space="preserve">陶瓷阀芯，360°旋转式设计，有冷热水接口，冷热水开关独立控制，方便灵活</w:t>
      </w:r>
      <w:r>
        <w:rPr>
          <w:rFonts w:hint="eastAsia" w:ascii="宋体" w:hAnsi="宋体" w:eastAsia="宋体" w:cs="宋体"/>
          <w:b w:val="0"/>
          <w:bCs w:val="0"/>
          <w:color w:val="auto"/>
          <w:sz w:val="21"/>
          <w:szCs w:val="21"/>
          <w:u w:val="none"/>
          <w:lang w:val="en-US" w:eastAsia="zh-CN"/>
        </w:rPr>
        <w:t xml:space="preserve">龙头</w:t>
      </w:r>
      <w:r>
        <w:rPr>
          <w:rFonts w:hint="eastAsia" w:ascii="宋体" w:hAnsi="宋体" w:eastAsia="宋体" w:cs="宋体"/>
          <w:b w:val="0"/>
          <w:bCs w:val="0"/>
          <w:color w:val="auto"/>
          <w:sz w:val="21"/>
          <w:szCs w:val="21"/>
          <w:u w:val="none"/>
          <w:vertAlign w:val="baseline"/>
          <w:lang w:val="en-US" w:eastAsia="zh-CN"/>
        </w:rPr>
        <w:t xml:space="preserve">水嘴进行酸性盐雾试验后，应不低于GB/T6461-2002标准的表1中外观评级(R)9级的要求</w:t>
      </w:r>
      <w:r>
        <w:rPr>
          <w:rFonts w:hint="eastAsia" w:ascii="宋体" w:hAnsi="宋体" w:eastAsia="宋体" w:cs="宋体"/>
          <w:color w:val="auto"/>
          <w:sz w:val="21"/>
          <w:szCs w:val="21"/>
        </w:rPr>
        <w:t xml:space="preserve">。多层防腐防锈处理，可承受强酸强碱环境的使用；全优质高压编织供水软管及管件；优质的PP-R冷热水管材和管件，符合GB/T 18742.2-2002中PP-R技术要求和SH-T 1750-2005技术要求。排水系统采用：</w:t>
      </w:r>
      <w:r>
        <w:rPr>
          <w:rFonts w:hint="eastAsia" w:ascii="宋体" w:hAnsi="宋体" w:eastAsia="宋体" w:cs="宋体"/>
          <w:b w:val="0"/>
          <w:bCs w:val="0"/>
          <w:color w:val="auto"/>
          <w:sz w:val="21"/>
          <w:szCs w:val="21"/>
          <w:u w:val="none"/>
        </w:rPr>
        <w:t xml:space="preserve">ABS材质下水器</w:t>
      </w:r>
      <w:r>
        <w:rPr>
          <w:rFonts w:hint="eastAsia" w:ascii="宋体" w:hAnsi="宋体" w:eastAsia="宋体" w:cs="宋体"/>
          <w:b w:val="0"/>
          <w:bCs w:val="0"/>
          <w:color w:val="auto"/>
          <w:sz w:val="21"/>
          <w:szCs w:val="21"/>
          <w:u w:val="none"/>
          <w:lang w:val="en-US" w:eastAsia="zh-CN"/>
        </w:rPr>
        <w:t xml:space="preserve">专利产品</w:t>
      </w:r>
      <w:r>
        <w:rPr>
          <w:rFonts w:hint="eastAsia" w:ascii="宋体" w:hAnsi="宋体" w:eastAsia="宋体" w:cs="宋体"/>
          <w:color w:val="auto"/>
          <w:sz w:val="21"/>
          <w:szCs w:val="21"/>
        </w:rPr>
        <w:t xml:space="preserve">；优质PVC钢丝排水软管及PVC-U专用排水管及管件。</w:t>
      </w:r>
      <w:r>
        <w:rPr>
          <w:rFonts w:hint="eastAsia" w:ascii="宋体" w:hAnsi="宋体" w:eastAsia="宋体" w:cs="宋体"/>
          <w:b w:val="0"/>
          <w:bCs w:val="0"/>
          <w:color w:val="auto"/>
          <w:sz w:val="21"/>
          <w:szCs w:val="21"/>
          <w:lang w:val="en-US" w:eastAsia="zh-CN"/>
        </w:rPr>
        <w:t xml:space="preserve">(提供相关证明材料，原件扫描上传)</w:t>
      </w:r>
      <w:r/>
    </w:p>
    <w:p>
      <w:pPr>
        <w:jc w:val="left"/>
        <w:keepLines w:val="0"/>
        <w:keepNext w:val="0"/>
        <w:pageBreakBefore w:val="0"/>
        <w:spacing w:line="48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12</w:t>
      </w:r>
      <w:r>
        <w:rPr>
          <w:rFonts w:hint="eastAsia" w:ascii="宋体" w:hAnsi="宋体" w:eastAsia="宋体" w:cs="宋体"/>
          <w:color w:val="auto"/>
          <w:sz w:val="21"/>
          <w:szCs w:val="21"/>
        </w:rPr>
        <w:t xml:space="preserve">、</w:t>
      </w:r>
      <w:r>
        <w:rPr>
          <w:rFonts w:hint="eastAsia" w:ascii="宋体" w:hAnsi="宋体" w:eastAsia="宋体" w:cs="宋体"/>
          <w:b/>
          <w:bCs/>
          <w:color w:val="auto"/>
          <w:sz w:val="21"/>
          <w:szCs w:val="21"/>
        </w:rPr>
        <w:t xml:space="preserve">供气管路</w:t>
      </w:r>
      <w:r>
        <w:rPr>
          <w:rFonts w:hint="eastAsia" w:ascii="宋体" w:hAnsi="宋体" w:eastAsia="宋体" w:cs="宋体"/>
          <w:b/>
          <w:bCs/>
          <w:color w:val="auto"/>
          <w:sz w:val="21"/>
          <w:szCs w:val="21"/>
        </w:rPr>
        <w:tab/>
      </w:r>
      <w:r>
        <w:rPr>
          <w:rFonts w:hint="eastAsia" w:ascii="宋体" w:hAnsi="宋体" w:eastAsia="宋体" w:cs="宋体"/>
          <w:b/>
          <w:bCs/>
          <w:color w:val="auto"/>
          <w:sz w:val="21"/>
          <w:szCs w:val="21"/>
          <w:lang w:val="en-US" w:eastAsia="zh-CN"/>
        </w:rPr>
        <w:t xml:space="preserve">1套</w:t>
      </w:r>
      <w:r/>
    </w:p>
    <w:p>
      <w:pPr>
        <w:ind w:firstLine="315"/>
        <w:jc w:val="left"/>
        <w:keepLines w:val="0"/>
        <w:keepNext w:val="0"/>
        <w:pageBreakBefore w:val="0"/>
        <w:spacing w:line="48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采用优质品牌气动部件，承压强，寿命长，耐压</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15kg。</w:t>
      </w:r>
      <w:r/>
    </w:p>
    <w:p>
      <w:pPr>
        <w:jc w:val="left"/>
        <w:keepLines w:val="0"/>
        <w:keepNext w:val="0"/>
        <w:pageBreakBefore w:val="0"/>
        <w:spacing w:line="48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lang w:val="en-US" w:eastAsia="zh-CN"/>
        </w:rPr>
        <w:t xml:space="preserve">13</w:t>
      </w:r>
      <w:r>
        <w:rPr>
          <w:rFonts w:hint="eastAsia" w:ascii="宋体" w:hAnsi="宋体" w:eastAsia="宋体" w:cs="宋体"/>
          <w:color w:val="auto"/>
          <w:sz w:val="21"/>
          <w:szCs w:val="21"/>
        </w:rPr>
        <w:t xml:space="preserve">、</w:t>
      </w:r>
      <w:r>
        <w:rPr>
          <w:rFonts w:hint="eastAsia" w:ascii="宋体" w:hAnsi="宋体" w:eastAsia="宋体" w:cs="宋体"/>
          <w:b/>
          <w:bCs/>
          <w:color w:val="auto"/>
          <w:sz w:val="21"/>
          <w:szCs w:val="21"/>
        </w:rPr>
        <w:t xml:space="preserve">浸泡槽盖材质</w:t>
      </w:r>
      <w:r>
        <w:rPr>
          <w:rFonts w:hint="eastAsia" w:ascii="宋体" w:hAnsi="宋体" w:eastAsia="宋体" w:cs="宋体"/>
          <w:b/>
          <w:bCs/>
          <w:color w:val="auto"/>
          <w:sz w:val="21"/>
          <w:szCs w:val="21"/>
          <w:lang w:val="en-US" w:eastAsia="zh-CN"/>
        </w:rPr>
        <w:t xml:space="preserve">2只</w:t>
      </w:r>
      <w:r/>
    </w:p>
    <w:p>
      <w:pPr>
        <w:jc w:val="left"/>
        <w:keepLines w:val="0"/>
        <w:keepNext w:val="0"/>
        <w:pageBreakBefore w:val="0"/>
        <w:spacing w:line="48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采用透明这亚克力面板吸塑成形有手柄，能充分把每个槽盖好不漏气，可以清晰看到浸泡清洗的状况。</w:t>
      </w:r>
      <w:r/>
    </w:p>
    <w:p>
      <w:pPr>
        <w:jc w:val="left"/>
        <w:keepLines w:val="0"/>
        <w:keepNext w:val="0"/>
        <w:pageBreakBefore w:val="0"/>
        <w:spacing w:line="48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14</w:t>
      </w:r>
      <w:r>
        <w:rPr>
          <w:rFonts w:hint="eastAsia" w:ascii="宋体" w:hAnsi="宋体" w:eastAsia="宋体" w:cs="宋体"/>
          <w:color w:val="auto"/>
          <w:sz w:val="21"/>
          <w:szCs w:val="21"/>
        </w:rPr>
        <w:t xml:space="preserve">、</w:t>
      </w:r>
      <w:r>
        <w:rPr>
          <w:rFonts w:hint="eastAsia" w:ascii="宋体" w:hAnsi="宋体" w:eastAsia="宋体" w:cs="宋体"/>
          <w:b/>
          <w:bCs/>
          <w:color w:val="auto"/>
          <w:sz w:val="21"/>
          <w:szCs w:val="21"/>
        </w:rPr>
        <w:t xml:space="preserve">防漏电电路保护</w:t>
      </w:r>
      <w:r>
        <w:rPr>
          <w:rFonts w:hint="eastAsia" w:ascii="宋体" w:hAnsi="宋体" w:eastAsia="宋体" w:cs="宋体"/>
          <w:b/>
          <w:bCs/>
          <w:color w:val="auto"/>
          <w:sz w:val="21"/>
          <w:szCs w:val="21"/>
        </w:rPr>
        <w:tab/>
      </w:r>
      <w:r>
        <w:rPr>
          <w:rFonts w:hint="eastAsia" w:ascii="宋体" w:hAnsi="宋体" w:eastAsia="宋体" w:cs="宋体"/>
          <w:b/>
          <w:bCs/>
          <w:color w:val="auto"/>
          <w:sz w:val="21"/>
          <w:szCs w:val="21"/>
          <w:lang w:val="en-US" w:eastAsia="zh-CN"/>
        </w:rPr>
        <w:t xml:space="preserve">1套</w:t>
      </w:r>
      <w:r/>
    </w:p>
    <w:p>
      <w:pPr>
        <w:ind w:firstLine="315"/>
        <w:jc w:val="left"/>
        <w:keepLines w:val="0"/>
        <w:keepNext w:val="0"/>
        <w:pageBreakBefore w:val="0"/>
        <w:spacing w:line="48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采用台湾明纬降压电源，漏电保护, 为设备提供12V安全电压.</w:t>
      </w:r>
      <w:r/>
    </w:p>
    <w:p>
      <w:pPr>
        <w:ind w:firstLine="315"/>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p>
      <w:pPr>
        <w:ind w:firstLine="413"/>
        <w:jc w:val="left"/>
        <w:keepLines w:val="0"/>
        <w:keepNext w:val="0"/>
        <w:pageBreakBefore w:val="0"/>
        <w:spacing w:line="360" w:lineRule="auto"/>
        <w:rPr>
          <w:rFonts w:ascii="宋体" w:hAnsi="宋体" w:cs="宋体"/>
          <w:b/>
          <w:color w:val="auto"/>
          <w:szCs w:val="21"/>
        </w:rPr>
      </w:pPr>
      <w:r>
        <w:rPr>
          <w:rFonts w:hint="eastAsia" w:ascii="宋体" w:hAnsi="宋体" w:cs="宋体"/>
          <w:b/>
          <w:color w:val="auto"/>
          <w:szCs w:val="21"/>
          <w:lang w:val="en-US" w:eastAsia="zh-CN"/>
        </w:rPr>
        <w:t xml:space="preserve">二</w:t>
      </w:r>
      <w:r>
        <w:rPr>
          <w:rFonts w:hint="eastAsia" w:ascii="宋体" w:hAnsi="宋体" w:cs="宋体"/>
          <w:b/>
          <w:color w:val="auto"/>
          <w:szCs w:val="21"/>
        </w:rPr>
        <w:t xml:space="preserve">、相关说明及要求</w:t>
      </w:r>
      <w:r/>
    </w:p>
    <w:p>
      <w:pPr>
        <w:ind w:firstLine="420"/>
        <w:jc w:val="left"/>
        <w:keepLines w:val="0"/>
        <w:keepNext w:val="0"/>
        <w:pageBreakBefore w:val="0"/>
        <w:spacing w:line="360" w:lineRule="auto"/>
        <w:widowControl/>
        <w:rPr>
          <w:rFonts w:hint="eastAsia" w:ascii="宋体" w:hAnsi="宋体" w:eastAsia="宋体" w:cs="宋体"/>
          <w:i/>
          <w:iCs/>
          <w:color w:val="auto"/>
          <w:szCs w:val="21"/>
          <w:u w:val="single"/>
          <w:lang w:eastAsia="zh-CN"/>
        </w:rPr>
      </w:pPr>
      <w:r>
        <w:rPr>
          <w:rFonts w:hint="eastAsia" w:ascii="宋体" w:hAnsi="宋体"/>
          <w:i/>
          <w:iCs/>
          <w:color w:val="auto"/>
          <w:u w:val="single"/>
        </w:rPr>
        <w:t xml:space="preserve">1、质保期：质量保证期不低于</w:t>
      </w:r>
      <w:r>
        <w:rPr>
          <w:rFonts w:hint="eastAsia" w:ascii="宋体" w:hAnsi="宋体"/>
          <w:i/>
          <w:iCs/>
          <w:color w:val="auto"/>
          <w:u w:val="single"/>
          <w:lang w:val="en-US" w:eastAsia="zh-CN"/>
        </w:rPr>
        <w:t xml:space="preserve">3</w:t>
      </w:r>
      <w:r>
        <w:rPr>
          <w:rFonts w:hint="eastAsia" w:ascii="宋体" w:hAnsi="宋体"/>
          <w:i/>
          <w:iCs/>
          <w:color w:val="auto"/>
          <w:u w:val="single"/>
        </w:rPr>
        <w:t xml:space="preserve">年，自验收合格之日起计算，质保期内全免费上门质保（提供承诺函</w:t>
      </w:r>
      <w:r>
        <w:rPr>
          <w:rFonts w:hint="eastAsia" w:ascii="宋体" w:hAnsi="宋体"/>
          <w:i/>
          <w:iCs/>
          <w:color w:val="auto"/>
          <w:u w:val="single"/>
          <w:lang w:eastAsia="zh-CN"/>
        </w:rPr>
        <w:t xml:space="preserve">，</w:t>
      </w:r>
      <w:r>
        <w:rPr>
          <w:rFonts w:hint="eastAsia" w:ascii="宋体" w:hAnsi="宋体"/>
          <w:i/>
          <w:iCs/>
          <w:color w:val="auto"/>
          <w:u w:val="single"/>
          <w:lang w:val="en-US" w:eastAsia="zh-CN"/>
        </w:rPr>
        <w:t xml:space="preserve">原件扫描上传</w:t>
      </w:r>
      <w:r>
        <w:rPr>
          <w:rFonts w:hint="eastAsia" w:ascii="宋体" w:hAnsi="宋体"/>
          <w:i/>
          <w:iCs/>
          <w:color w:val="auto"/>
          <w:u w:val="single"/>
        </w:rPr>
        <w:t xml:space="preserve">）。</w:t>
      </w:r>
      <w:r>
        <w:rPr>
          <w:rFonts w:hint="eastAsia" w:ascii="宋体" w:hAnsi="宋体"/>
          <w:color w:val="auto"/>
        </w:rPr>
        <w:t xml:space="preserve">中标人负责设备的终身维修。保修期外仅收取配件费，免收交通费及修理费；中标人保证能提供设备的所有配件。保修期满后需更换配件，价格由双方协商确定。</w:t>
      </w:r>
      <w:r>
        <w:rPr>
          <w:rFonts w:hint="eastAsia" w:ascii="宋体" w:hAnsi="宋体"/>
          <w:i/>
          <w:iCs/>
          <w:color w:val="auto"/>
          <w:u w:val="single"/>
        </w:rPr>
        <w:t xml:space="preserve">设备停产后的备件供应</w:t>
      </w:r>
      <w:r>
        <w:rPr>
          <w:rFonts w:hint="eastAsia" w:ascii="宋体" w:hAnsi="宋体" w:cs="宋体"/>
          <w:i/>
          <w:iCs/>
          <w:color w:val="auto"/>
          <w:sz w:val="21"/>
          <w:szCs w:val="21"/>
          <w:u w:val="single"/>
          <w:lang w:val="en-US" w:eastAsia="zh-CN"/>
        </w:rPr>
        <w:t xml:space="preserve">不少于</w:t>
      </w:r>
      <w:r>
        <w:rPr>
          <w:rFonts w:hint="eastAsia" w:ascii="宋体" w:hAnsi="宋体" w:eastAsia="宋体" w:cs="宋体"/>
          <w:i/>
          <w:iCs/>
          <w:color w:val="auto"/>
          <w:sz w:val="21"/>
          <w:szCs w:val="21"/>
          <w:u w:val="single"/>
        </w:rPr>
        <w:t xml:space="preserve">八</w:t>
      </w:r>
      <w:r>
        <w:rPr>
          <w:rFonts w:hint="eastAsia" w:ascii="宋体" w:hAnsi="宋体" w:cs="宋体"/>
          <w:i/>
          <w:iCs/>
          <w:color w:val="auto"/>
          <w:sz w:val="21"/>
          <w:szCs w:val="21"/>
          <w:u w:val="single"/>
          <w:lang w:val="en-US" w:eastAsia="zh-CN"/>
        </w:rPr>
        <w:t xml:space="preserve">年</w:t>
      </w:r>
      <w:r>
        <w:rPr>
          <w:rFonts w:hint="eastAsia" w:ascii="宋体" w:hAnsi="宋体"/>
          <w:i/>
          <w:iCs/>
          <w:color w:val="auto"/>
          <w:u w:val="single"/>
        </w:rPr>
        <w:t xml:space="preserve">（提供承诺函</w:t>
      </w:r>
      <w:r>
        <w:rPr>
          <w:rFonts w:hint="eastAsia" w:ascii="宋体" w:hAnsi="宋体"/>
          <w:i/>
          <w:iCs/>
          <w:color w:val="auto"/>
          <w:u w:val="single"/>
          <w:lang w:eastAsia="zh-CN"/>
        </w:rPr>
        <w:t xml:space="preserve">，</w:t>
      </w:r>
      <w:r>
        <w:rPr>
          <w:rFonts w:hint="eastAsia" w:ascii="宋体" w:hAnsi="宋体"/>
          <w:i/>
          <w:iCs/>
          <w:color w:val="auto"/>
          <w:u w:val="single"/>
          <w:lang w:val="en-US" w:eastAsia="zh-CN"/>
        </w:rPr>
        <w:t xml:space="preserve">原件扫描上传</w:t>
      </w:r>
      <w:r>
        <w:rPr>
          <w:rFonts w:hint="eastAsia" w:ascii="宋体" w:hAnsi="宋体"/>
          <w:i/>
          <w:iCs/>
          <w:color w:val="auto"/>
          <w:u w:val="single"/>
        </w:rPr>
        <w:t xml:space="preserve">）。</w:t>
      </w:r>
      <w:r>
        <w:rPr>
          <w:rFonts w:hint="eastAsia" w:ascii="宋体" w:hAnsi="宋体"/>
          <w:color w:val="auto"/>
        </w:rPr>
        <w:t xml:space="preserve">若附件中涉及零配件，易损件价格，则不得高于附件中的相应价格。</w:t>
      </w:r>
      <w:r/>
    </w:p>
    <w:p>
      <w:pPr>
        <w:ind w:firstLine="420"/>
        <w:keepLines w:val="0"/>
        <w:keepNext w:val="0"/>
        <w:pageBreakBefore w:val="0"/>
        <w:spacing w:line="360" w:lineRule="auto"/>
        <w:rPr>
          <w:rFonts w:ascii="宋体" w:hAnsi="宋体"/>
          <w:color w:val="auto"/>
        </w:rPr>
      </w:pPr>
      <w:r>
        <w:rPr>
          <w:rFonts w:hint="eastAsia" w:ascii="宋体" w:hAnsi="宋体"/>
          <w:color w:val="auto"/>
        </w:rPr>
        <w:t xml:space="preserve">2、投标报价应包括货物价格、运杂费（含保险费）、包装费、安装费、安装调试水电费、各种检测费、安装调试费、验收前保管、调试、验收合格及之前所有含税费用、验收费、各种税费、交付使用前管理费，以及伴随服务/售后服务费等为完成招标文件规定的工作内容所涉及到的一切相关费用，投标人中标后不得以任何理由进行调整，费用自行考虑均包含在投标报价中，相关费用如缺项，视为让利。</w:t>
      </w:r>
      <w:r/>
    </w:p>
    <w:p>
      <w:pPr>
        <w:ind w:firstLine="420"/>
        <w:keepLines w:val="0"/>
        <w:keepNext w:val="0"/>
        <w:pageBreakBefore w:val="0"/>
        <w:spacing w:line="360" w:lineRule="auto"/>
        <w:rPr>
          <w:rFonts w:ascii="宋体" w:hAnsi="宋体"/>
          <w:color w:val="auto"/>
        </w:rPr>
      </w:pPr>
      <w:r>
        <w:rPr>
          <w:rFonts w:hint="eastAsia" w:ascii="宋体" w:hAnsi="宋体"/>
          <w:color w:val="auto"/>
        </w:rPr>
        <w:t xml:space="preserve">3、投标人必须按照招标文件要求对产品各个参数指标作出实质性应答，任何偏差都必须列入偏离表中。中标后，投标人在合同谈判中提出的任何偏差都不得超过此偏差表中已被采购人确认的条款。</w:t>
      </w:r>
      <w:r/>
    </w:p>
    <w:p>
      <w:pPr>
        <w:ind w:firstLine="420"/>
        <w:keepLines w:val="0"/>
        <w:keepNext w:val="0"/>
        <w:pageBreakBefore w:val="0"/>
        <w:spacing w:line="360" w:lineRule="auto"/>
        <w:rPr>
          <w:rFonts w:ascii="宋体" w:hAnsi="宋体"/>
          <w:color w:val="auto"/>
        </w:rPr>
      </w:pPr>
      <w:r>
        <w:rPr>
          <w:rFonts w:hint="eastAsia" w:ascii="宋体" w:hAnsi="宋体"/>
          <w:color w:val="auto"/>
        </w:rPr>
        <w:t xml:space="preserve">4、本项目由各投标人自行进行现场勘查，交通工具自配。请务必对项目现场和周围环境进行仔细认真查勘，在随后的采购中，对现场资料和数据所作出的推论、解释和结论及由此造成的后果由投标人负责。</w:t>
      </w:r>
      <w:r/>
    </w:p>
    <w:p>
      <w:pPr>
        <w:ind w:firstLine="420"/>
        <w:keepLines w:val="0"/>
        <w:keepNext w:val="0"/>
        <w:pageBreakBefore w:val="0"/>
        <w:spacing w:line="360" w:lineRule="auto"/>
        <w:rPr>
          <w:rFonts w:ascii="宋体" w:hAnsi="宋体"/>
          <w:color w:val="auto"/>
        </w:rPr>
      </w:pPr>
      <w:r>
        <w:rPr>
          <w:rFonts w:hint="eastAsia" w:ascii="宋体" w:hAnsi="宋体"/>
          <w:color w:val="auto"/>
        </w:rPr>
        <w:t xml:space="preserve">5、中标人必须服从现场管理。</w:t>
      </w:r>
      <w:r/>
    </w:p>
    <w:p>
      <w:pPr>
        <w:ind w:firstLine="420"/>
        <w:keepLines w:val="0"/>
        <w:keepNext w:val="0"/>
        <w:pageBreakBefore w:val="0"/>
        <w:spacing w:line="360" w:lineRule="auto"/>
        <w:rPr>
          <w:rFonts w:ascii="宋体" w:hAnsi="宋体"/>
          <w:color w:val="auto"/>
        </w:rPr>
      </w:pPr>
      <w:r>
        <w:rPr>
          <w:rFonts w:hint="eastAsia" w:ascii="宋体" w:hAnsi="宋体"/>
          <w:color w:val="auto"/>
        </w:rPr>
        <w:t xml:space="preserve">6、货物由中标人运至采购人指定地点，验收交货前存放及保管概由中标人负责。产品材料的包装均应有良好的防湿、防锈、防潮、防雨、防腐及防碰撞的措施。凡由于包装不良造成的损失和由此产生的费用均由中标人承担。</w:t>
      </w:r>
      <w:r/>
    </w:p>
    <w:p>
      <w:pPr>
        <w:ind w:firstLine="420"/>
        <w:keepLines w:val="0"/>
        <w:keepNext w:val="0"/>
        <w:pageBreakBefore w:val="0"/>
        <w:spacing w:line="360" w:lineRule="auto"/>
        <w:rPr>
          <w:rFonts w:ascii="宋体" w:hAnsi="宋体"/>
          <w:color w:val="auto"/>
        </w:rPr>
      </w:pPr>
      <w:r>
        <w:rPr>
          <w:rFonts w:hint="eastAsia" w:ascii="宋体" w:hAnsi="宋体"/>
          <w:color w:val="auto"/>
        </w:rPr>
        <w:t xml:space="preserve">7、中标人须按照采购人需求，免费配送安装至采购人指定地点，并免费提供安装调试服务，中标人需提供全套技术资料、操作手册、简易操作规程（塑封）、维修手册，同时提供对采购人的设备应用培训服务。</w:t>
      </w:r>
      <w:r/>
    </w:p>
    <w:p>
      <w:pPr>
        <w:ind w:firstLine="420"/>
        <w:keepLines w:val="0"/>
        <w:keepNext w:val="0"/>
        <w:pageBreakBefore w:val="0"/>
        <w:spacing w:line="360" w:lineRule="auto"/>
        <w:rPr>
          <w:rFonts w:ascii="宋体" w:hAnsi="宋体"/>
          <w:color w:val="auto"/>
        </w:rPr>
      </w:pPr>
      <w:r>
        <w:rPr>
          <w:rFonts w:hint="eastAsia" w:ascii="宋体" w:hAnsi="宋体"/>
          <w:color w:val="auto"/>
        </w:rPr>
        <w:t xml:space="preserve">8 、中标人在接到采购人通知后，需根据采购人要求及现场具体情况，拟定产品进场方案报采购人，征得采购人同意后方可安排产品进场。</w:t>
      </w:r>
      <w:r/>
    </w:p>
    <w:p>
      <w:pPr>
        <w:numPr>
          <w:ilvl w:val="0"/>
          <w:numId w:val="3"/>
        </w:numPr>
        <w:ind w:firstLine="420"/>
        <w:keepLines w:val="0"/>
        <w:keepNext w:val="0"/>
        <w:pageBreakBefore w:val="0"/>
        <w:spacing w:line="360" w:lineRule="auto"/>
        <w:rPr>
          <w:rFonts w:ascii="宋体" w:hAnsi="宋体"/>
          <w:color w:val="auto"/>
        </w:rPr>
      </w:pPr>
      <w:r>
        <w:rPr>
          <w:rFonts w:hint="eastAsia" w:ascii="宋体" w:hAnsi="宋体"/>
          <w:color w:val="auto"/>
        </w:rPr>
        <w:t xml:space="preserve">中标人应自行办理为执行本招标文件规定义务而投入的机具产品，运输工具的财产保险和工人意外伤害保险及第三者责任险，货物运输险，包装物的保险及其他相关险种，保险费由中标人承担并支付，并包含在报价单中的货物综合报价之中，采购人将不再单独支付。</w:t>
      </w:r>
      <w:r/>
    </w:p>
    <w:p>
      <w:pPr>
        <w:numPr>
          <w:ilvl w:val="0"/>
          <w:numId w:val="3"/>
        </w:numPr>
        <w:ind w:firstLine="420"/>
        <w:keepLines w:val="0"/>
        <w:keepNext w:val="0"/>
        <w:pageBreakBefore w:val="0"/>
        <w:spacing w:line="360" w:lineRule="auto"/>
        <w:rPr>
          <w:rFonts w:ascii="宋体" w:hAnsi="宋体"/>
          <w:color w:val="auto"/>
        </w:rPr>
      </w:pPr>
      <w:r>
        <w:rPr>
          <w:rFonts w:hint="eastAsia" w:ascii="宋体" w:hAnsi="宋体"/>
          <w:color w:val="auto"/>
        </w:rPr>
        <w:t xml:space="preserve">中标人免费对采购人技术人员进行操作、保养、维修等方面的培训，并且提供免费的技术咨询服务。</w:t>
      </w:r>
      <w:r/>
    </w:p>
    <w:p>
      <w:pPr>
        <w:ind w:firstLine="420"/>
        <w:keepLines w:val="0"/>
        <w:keepNext w:val="0"/>
        <w:pageBreakBefore w:val="0"/>
        <w:spacing w:line="360" w:lineRule="auto"/>
        <w:rPr>
          <w:color w:val="auto"/>
        </w:rPr>
      </w:pPr>
      <w:r>
        <w:rPr>
          <w:rFonts w:hint="eastAsia" w:ascii="宋体" w:hAnsi="宋体"/>
          <w:color w:val="auto"/>
        </w:rPr>
        <w:t xml:space="preserve">11、</w:t>
      </w:r>
      <w:r>
        <w:rPr>
          <w:rFonts w:hint="eastAsia" w:ascii="宋体" w:hAnsi="宋体"/>
          <w:i/>
          <w:iCs/>
          <w:color w:val="auto"/>
          <w:u w:val="single"/>
        </w:rPr>
        <w:t xml:space="preserve">在接到采购人故障报修后，中标人需在2小时内响应内响应，并在</w:t>
      </w:r>
      <w:r>
        <w:rPr>
          <w:rFonts w:ascii="宋体" w:hAnsi="宋体"/>
          <w:i/>
          <w:iCs/>
          <w:color w:val="auto"/>
          <w:u w:val="single"/>
        </w:rPr>
        <w:t xml:space="preserve">24</w:t>
      </w:r>
      <w:r>
        <w:rPr>
          <w:rFonts w:hint="eastAsia" w:ascii="宋体" w:hAnsi="宋体"/>
          <w:i/>
          <w:iCs/>
          <w:color w:val="auto"/>
          <w:u w:val="single"/>
        </w:rPr>
        <w:t xml:space="preserve">小时内到达现场并解决故障，一切费用由中标人负责（提供承诺函</w:t>
      </w:r>
      <w:r>
        <w:rPr>
          <w:rFonts w:hint="eastAsia" w:ascii="宋体" w:hAnsi="宋体"/>
          <w:i/>
          <w:iCs/>
          <w:color w:val="auto"/>
          <w:u w:val="single"/>
          <w:lang w:eastAsia="zh-CN"/>
        </w:rPr>
        <w:t xml:space="preserve">，</w:t>
      </w:r>
      <w:r>
        <w:rPr>
          <w:rFonts w:hint="eastAsia" w:ascii="宋体" w:hAnsi="宋体"/>
          <w:i/>
          <w:iCs/>
          <w:color w:val="auto"/>
          <w:u w:val="single"/>
          <w:lang w:val="en-US" w:eastAsia="zh-CN"/>
        </w:rPr>
        <w:t xml:space="preserve">原件扫描上传</w:t>
      </w:r>
      <w:r>
        <w:rPr>
          <w:rFonts w:hint="eastAsia" w:ascii="宋体" w:hAnsi="宋体"/>
          <w:i/>
          <w:iCs/>
          <w:color w:val="auto"/>
          <w:u w:val="single"/>
        </w:rPr>
        <w:t xml:space="preserve">）</w:t>
      </w:r>
      <w:r>
        <w:rPr>
          <w:rFonts w:hint="eastAsia" w:ascii="宋体" w:hAnsi="宋体"/>
          <w:color w:val="auto"/>
        </w:rPr>
        <w:t xml:space="preserve">，若因为中标人维修不及时，给采购人造成影响的，采购人有权追究其法律责任。</w:t>
      </w:r>
      <w:r/>
    </w:p>
    <w:p>
      <w:pPr>
        <w:ind w:firstLine="420"/>
        <w:keepLines w:val="0"/>
        <w:keepNext w:val="0"/>
        <w:pageBreakBefore w:val="0"/>
        <w:spacing w:line="360" w:lineRule="auto"/>
        <w:rPr>
          <w:rFonts w:ascii="宋体" w:hAnsi="宋体"/>
          <w:color w:val="auto"/>
        </w:rPr>
      </w:pPr>
      <w:r>
        <w:rPr>
          <w:rFonts w:hint="eastAsia" w:ascii="宋体" w:hAnsi="宋体"/>
          <w:color w:val="auto"/>
        </w:rPr>
        <w:t xml:space="preserve">12、中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ind w:firstLine="420"/>
        <w:keepLines w:val="0"/>
        <w:keepNext w:val="0"/>
        <w:pageBreakBefore w:val="0"/>
        <w:spacing w:line="360" w:lineRule="auto"/>
        <w:rPr>
          <w:color w:val="auto"/>
        </w:rPr>
      </w:pPr>
      <w:r>
        <w:rPr>
          <w:rFonts w:hint="eastAsia" w:ascii="宋体" w:hAnsi="宋体"/>
          <w:color w:val="auto"/>
        </w:rPr>
        <w:t xml:space="preserve">13、投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ind w:firstLine="420"/>
        <w:keepLines w:val="0"/>
        <w:keepNext w:val="0"/>
        <w:pageBreakBefore w:val="0"/>
        <w:spacing w:line="360" w:lineRule="auto"/>
        <w:rPr>
          <w:rFonts w:ascii="宋体" w:hAnsi="宋体"/>
          <w:color w:val="auto"/>
        </w:rPr>
      </w:pPr>
      <w:r>
        <w:rPr>
          <w:rFonts w:hint="eastAsia" w:ascii="宋体" w:hAnsi="宋体"/>
          <w:color w:val="auto"/>
        </w:rPr>
        <w:t xml:space="preserve">（1）投标人负责保管、看护进场的设备及附配件；</w:t>
      </w:r>
      <w:r/>
    </w:p>
    <w:p>
      <w:pPr>
        <w:ind w:firstLine="420"/>
        <w:keepLines w:val="0"/>
        <w:keepNext w:val="0"/>
        <w:pageBreakBefore w:val="0"/>
        <w:spacing w:line="360" w:lineRule="auto"/>
        <w:rPr>
          <w:rFonts w:ascii="宋体" w:hAnsi="宋体"/>
          <w:color w:val="auto"/>
        </w:rPr>
      </w:pPr>
      <w:r>
        <w:rPr>
          <w:rFonts w:hint="eastAsia" w:ascii="宋体" w:hAnsi="宋体"/>
          <w:color w:val="auto"/>
        </w:rPr>
        <w:t xml:space="preserve">（2）投标人负责设备、安装设备（工具）等提供适当的保护、包装或覆盖等处理，以免受损；</w:t>
      </w:r>
      <w:r/>
    </w:p>
    <w:p>
      <w:pPr>
        <w:ind w:firstLine="420"/>
        <w:keepLines w:val="0"/>
        <w:keepNext w:val="0"/>
        <w:pageBreakBefore w:val="0"/>
        <w:spacing w:line="360" w:lineRule="auto"/>
        <w:rPr>
          <w:rFonts w:ascii="宋体" w:hAnsi="宋体"/>
          <w:color w:val="auto"/>
        </w:rPr>
      </w:pPr>
      <w:r>
        <w:rPr>
          <w:rFonts w:hint="eastAsia" w:ascii="宋体" w:hAnsi="宋体"/>
          <w:color w:val="auto"/>
        </w:rPr>
        <w:t xml:space="preserve">（3）投标人安装调试人员对邻近设备等造成损坏，应由投标人负责修复及承担一切费用；</w:t>
      </w:r>
      <w:r/>
    </w:p>
    <w:p>
      <w:pPr>
        <w:ind w:firstLine="420"/>
        <w:keepLines w:val="0"/>
        <w:keepNext w:val="0"/>
        <w:pageBreakBefore w:val="0"/>
        <w:spacing w:line="360" w:lineRule="auto"/>
        <w:rPr>
          <w:rFonts w:ascii="宋体" w:hAnsi="宋体"/>
          <w:color w:val="auto"/>
        </w:rPr>
      </w:pPr>
      <w:r>
        <w:rPr>
          <w:rFonts w:hint="eastAsia" w:ascii="宋体" w:hAnsi="宋体"/>
          <w:color w:val="auto"/>
        </w:rPr>
        <w:t xml:space="preserve">（4）无论安装调试期间或保修过程中，中标人负责及时清理垃圾；</w:t>
      </w:r>
      <w:r/>
    </w:p>
    <w:p>
      <w:pPr>
        <w:ind w:firstLine="420"/>
        <w:keepLines w:val="0"/>
        <w:keepNext w:val="0"/>
        <w:pageBreakBefore w:val="0"/>
        <w:spacing w:line="360" w:lineRule="auto"/>
        <w:rPr>
          <w:rFonts w:ascii="宋体" w:hAnsi="宋体"/>
          <w:color w:val="auto"/>
        </w:rPr>
      </w:pPr>
      <w:r>
        <w:rPr>
          <w:rFonts w:hint="eastAsia" w:ascii="宋体" w:hAnsi="宋体"/>
          <w:color w:val="auto"/>
        </w:rPr>
        <w:t xml:space="preserve">（5）投标人承担安装调试期间安装场所的安全以及设备和安装调试人员的安全责任；</w:t>
      </w:r>
      <w:r/>
    </w:p>
    <w:p>
      <w:pPr>
        <w:ind w:firstLine="420"/>
        <w:keepLines w:val="0"/>
        <w:keepNext w:val="0"/>
        <w:pageBreakBefore w:val="0"/>
        <w:spacing w:line="360" w:lineRule="auto"/>
        <w:rPr>
          <w:rFonts w:ascii="宋体" w:hAnsi="宋体"/>
          <w:color w:val="auto"/>
        </w:rPr>
      </w:pPr>
      <w:r>
        <w:rPr>
          <w:rFonts w:hint="eastAsia" w:ascii="宋体" w:hAnsi="宋体"/>
          <w:color w:val="auto"/>
        </w:rPr>
        <w:t xml:space="preserve">（6）供货、安装时间要求：合同签订后自接采购人通知之日起</w:t>
      </w:r>
      <w:r>
        <w:rPr>
          <w:rFonts w:hint="eastAsia" w:ascii="宋体" w:hAnsi="宋体"/>
          <w:color w:val="auto"/>
          <w:lang w:val="en-US" w:eastAsia="zh-CN"/>
        </w:rPr>
        <w:t xml:space="preserve">30</w:t>
      </w:r>
      <w:r>
        <w:rPr>
          <w:rFonts w:hint="eastAsia" w:ascii="宋体" w:hAnsi="宋体"/>
          <w:color w:val="auto"/>
        </w:rPr>
        <w:t xml:space="preserve">个日历天（除不可抗力、非乙方原因）全部供货及安装完毕，并完成全部验收、文档整理工作。若因中标人原因导致货物不能按要求安装使用，采购人有权追究其责任。投标人可先到项目地点充分了解地理位置、情况、道路、储存空间、装卸限制及施工配合等任何其他足以影响投标报价的情况，任何因忽视或误解项目现场而导致的索赔或工期延长申请将不被批准。</w:t>
      </w:r>
      <w:r/>
    </w:p>
    <w:p>
      <w:pPr>
        <w:ind w:firstLine="420"/>
        <w:keepLines w:val="0"/>
        <w:keepNext w:val="0"/>
        <w:pageBreakBefore w:val="0"/>
        <w:spacing w:line="360" w:lineRule="auto"/>
        <w:rPr>
          <w:rFonts w:ascii="宋体" w:hAnsi="宋体"/>
          <w:color w:val="auto"/>
        </w:rPr>
      </w:pPr>
      <w:r>
        <w:rPr>
          <w:rFonts w:hint="eastAsia" w:ascii="宋体" w:hAnsi="宋体"/>
          <w:color w:val="auto"/>
        </w:rPr>
        <w:t xml:space="preserve">（7）中标人应在投标文件中提供一份验收大纲，在采购人确认后作为采购人验收的依据；设备到达采购人现场，应提前通知采购人，安装前开箱查验由投标人会同采购人及有关人员根据有关清单进行验收；</w:t>
      </w:r>
      <w:r/>
    </w:p>
    <w:p>
      <w:pPr>
        <w:ind w:firstLine="420"/>
        <w:keepLines w:val="0"/>
        <w:keepNext w:val="0"/>
        <w:pageBreakBefore w:val="0"/>
        <w:spacing w:line="360" w:lineRule="auto"/>
        <w:rPr>
          <w:rFonts w:ascii="宋体" w:hAnsi="宋体"/>
          <w:color w:val="auto"/>
        </w:rPr>
      </w:pPr>
      <w:r>
        <w:rPr>
          <w:rFonts w:hint="eastAsia" w:ascii="宋体" w:hAnsi="宋体"/>
          <w:color w:val="auto"/>
        </w:rPr>
        <w:t xml:space="preserve">14、设备安装调试完成后，中标人需提供设备质保书、保修证明等书面资料，并报请有关部门进行检测验收。</w:t>
      </w:r>
      <w:r/>
    </w:p>
    <w:p>
      <w:pPr>
        <w:ind w:firstLine="420"/>
        <w:keepLines w:val="0"/>
        <w:keepNext w:val="0"/>
        <w:pageBreakBefore w:val="0"/>
        <w:spacing w:line="360" w:lineRule="auto"/>
        <w:rPr>
          <w:rFonts w:hint="eastAsia" w:ascii="宋体" w:hAnsi="宋体" w:eastAsia="宋体" w:cs="Times New Roman"/>
          <w:color w:val="auto"/>
          <w:lang w:val="en-US" w:eastAsia="zh-CN"/>
        </w:rPr>
      </w:pPr>
      <w:r>
        <w:rPr>
          <w:rFonts w:hint="eastAsia" w:ascii="宋体" w:hAnsi="宋体" w:eastAsia="宋体" w:cs="Times New Roman"/>
          <w:color w:val="auto"/>
        </w:rPr>
        <w:t xml:space="preserve">15、中标人的备品备件停止生产的情况下，中标人有义务提供合格的替代备品备件，确保采购人设备正常使用，备品备件费用保修期内由中标人承担费用，保修期外由采购人承担。 </w:t>
      </w:r>
      <w:r>
        <w:rPr>
          <w:rFonts w:hint="eastAsia" w:ascii="宋体" w:hAnsi="宋体" w:eastAsia="宋体" w:cs="Times New Roman"/>
          <w:color w:val="auto"/>
          <w:lang w:val="en-US" w:eastAsia="zh-CN"/>
        </w:rPr>
        <w:t xml:space="preserve">。</w:t>
      </w:r>
      <w:r/>
    </w:p>
    <w:p>
      <w:pPr>
        <w:pageBreakBefore w:val="0"/>
        <w:spacing w:line="360" w:lineRule="auto"/>
        <w:rPr>
          <w:rFonts w:ascii="Times New Roman" w:hAnsi="Times New Roman" w:eastAsia="宋体" w:cs="宋体"/>
          <w:b/>
          <w:color w:val="auto"/>
          <w:szCs w:val="21"/>
          <w:highlight w:val="none"/>
        </w:rPr>
      </w:pPr>
      <w:r>
        <w:rPr>
          <w:rFonts w:hint="eastAsia" w:ascii="Times New Roman" w:hAnsi="Times New Roman" w:cs="宋体"/>
          <w:b/>
          <w:color w:val="auto"/>
          <w:szCs w:val="21"/>
          <w:highlight w:val="none"/>
          <w:lang w:val="en-US" w:eastAsia="zh-CN"/>
        </w:rPr>
        <w:t xml:space="preserve">三</w:t>
      </w:r>
      <w:r>
        <w:rPr>
          <w:rFonts w:hint="eastAsia" w:ascii="Times New Roman" w:hAnsi="Times New Roman" w:eastAsia="宋体" w:cs="宋体"/>
          <w:b/>
          <w:color w:val="auto"/>
          <w:szCs w:val="21"/>
          <w:highlight w:val="none"/>
        </w:rPr>
        <w:t xml:space="preserve">、节能产品要求</w:t>
      </w:r>
      <w:r/>
    </w:p>
    <w:p>
      <w:pPr>
        <w:ind w:firstLine="420"/>
        <w:jc w:val="left"/>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Cs/>
          <w:color w:val="auto"/>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w:t>
      </w:r>
      <w:r>
        <w:rPr>
          <w:rFonts w:hint="eastAsia" w:ascii="Times New Roman" w:hAnsi="Times New Roman" w:eastAsia="宋体" w:cs="宋体"/>
          <w:iCs/>
          <w:color w:val="auto"/>
          <w:szCs w:val="21"/>
          <w:highlight w:val="none"/>
          <w:lang w:eastAsia="zh-CN"/>
        </w:rPr>
        <w:t xml:space="preserve">（</w:t>
      </w:r>
      <w:r>
        <w:rPr>
          <w:rFonts w:hint="eastAsia" w:ascii="Times New Roman" w:hAnsi="Times New Roman" w:eastAsia="宋体" w:cs="宋体"/>
          <w:iCs/>
          <w:color w:val="auto"/>
          <w:szCs w:val="21"/>
          <w:highlight w:val="none"/>
        </w:rPr>
        <w:t xml:space="preserve">http：//www.ccgp.gov.cn/zcfg/mof/201904/t20190403_11849836.htm）查询,</w:t>
      </w:r>
      <w:r>
        <w:rPr>
          <w:rFonts w:hint="eastAsia" w:ascii="Times New Roman" w:hAnsi="Times New Roman" w:eastAsia="宋体" w:cs="宋体"/>
          <w:i/>
          <w:iCs/>
          <w:color w:val="auto"/>
          <w:szCs w:val="21"/>
          <w:highlight w:val="none"/>
          <w:u w:val="single"/>
        </w:rPr>
        <w:t xml:space="preserve">并在投标文件内提供由国家确定的认证机构出具的、处于有效期之内的节能产品认证证书原件，扫描上传，否则视为无效投标。</w:t>
      </w:r>
      <w:r>
        <w:rPr>
          <w:rFonts w:hint="eastAsia" w:ascii="Times New Roman" w:hAnsi="Times New Roman" w:eastAsia="宋体" w:cs="宋体"/>
          <w:b/>
          <w:bCs/>
          <w:i/>
          <w:iCs/>
          <w:color w:val="auto"/>
          <w:szCs w:val="21"/>
          <w:highlight w:val="none"/>
          <w:u w:val="single"/>
          <w:lang w:eastAsia="zh-CN"/>
        </w:rPr>
        <w:t xml:space="preserve">（</w:t>
      </w:r>
      <w:r>
        <w:rPr>
          <w:rFonts w:hint="eastAsia" w:ascii="Times New Roman" w:hAnsi="Times New Roman" w:eastAsia="宋体" w:cs="宋体"/>
          <w:b/>
          <w:bCs/>
          <w:i/>
          <w:iCs/>
          <w:color w:val="auto"/>
          <w:szCs w:val="21"/>
          <w:highlight w:val="none"/>
          <w:u w:val="single"/>
        </w:rPr>
        <w:t xml:space="preserve">本项目涉及强制采购范围内产品有：无）</w:t>
      </w:r>
      <w:r/>
    </w:p>
    <w:p>
      <w:pPr>
        <w:pStyle w:val="710"/>
        <w:jc w:val="center"/>
        <w:pageBreakBefore w:val="0"/>
        <w:spacing w:before="0" w:after="0" w:line="360" w:lineRule="auto"/>
        <w:rPr>
          <w:rFonts w:ascii="Times New Roman" w:hAnsi="Times New Roman" w:eastAsia="宋体"/>
          <w:color w:val="auto"/>
          <w:sz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sz w:val="36"/>
          <w:highlight w:val="none"/>
        </w:rPr>
      </w:r>
      <w:r/>
    </w:p>
    <w:p>
      <w:pPr>
        <w:pStyle w:val="710"/>
        <w:jc w:val="center"/>
        <w:pageBreakBefore w:val="0"/>
        <w:spacing w:before="0" w:after="0" w:line="360" w:lineRule="auto"/>
        <w:rPr>
          <w:rFonts w:ascii="Times New Roman" w:hAnsi="Times New Roman" w:eastAsia="宋体"/>
          <w:color w:val="auto"/>
          <w:sz w:val="36"/>
          <w:highlight w:val="none"/>
        </w:rPr>
      </w:pPr>
      <w:r/>
      <w:bookmarkStart w:id="61" w:name="_Toc27469"/>
      <w:r>
        <w:rPr>
          <w:rFonts w:hint="eastAsia" w:ascii="Times New Roman" w:hAnsi="Times New Roman" w:eastAsia="宋体"/>
          <w:color w:val="auto"/>
          <w:sz w:val="36"/>
          <w:highlight w:val="none"/>
        </w:rPr>
        <w:t xml:space="preserve">第五章 评标方法及评标标准</w:t>
      </w:r>
      <w:bookmarkEnd w:id="60"/>
      <w:r/>
      <w:bookmarkEnd w:id="61"/>
      <w:r/>
      <w:r/>
    </w:p>
    <w:p>
      <w:pPr>
        <w:pStyle w:val="914"/>
        <w:ind w:firstLine="422"/>
        <w:pageBreakBefore w:val="0"/>
        <w:spacing w:before="0" w:after="0"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一、评标方法</w:t>
      </w:r>
      <w:r/>
    </w:p>
    <w:p>
      <w:pPr>
        <w:pStyle w:val="914"/>
        <w:ind w:firstLine="420"/>
        <w:pageBreakBefore w:val="0"/>
        <w:spacing w:before="0" w:after="0" w:line="360" w:lineRule="auto"/>
        <w:rPr>
          <w:rFonts w:ascii="Times New Roman" w:hAnsi="Times New Roman" w:eastAsia="宋体"/>
          <w:color w:val="auto"/>
          <w:sz w:val="21"/>
          <w:szCs w:val="21"/>
          <w:highlight w:val="none"/>
        </w:rPr>
      </w:pPr>
      <w:r/>
      <w:bookmarkStart w:id="62" w:name="_Toc449016388"/>
      <w:r/>
      <w:bookmarkStart w:id="63" w:name="_Toc449017024"/>
      <w:r>
        <w:rPr>
          <w:rFonts w:hint="eastAsia" w:ascii="Times New Roman" w:hAnsi="Times New Roman" w:eastAsia="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t xml:space="preserve">二、</w:t>
      </w:r>
      <w:r>
        <w:rPr>
          <w:rFonts w:hint="eastAsia" w:ascii="Times New Roman" w:hAnsi="Times New Roman" w:eastAsia="宋体"/>
          <w:b/>
          <w:color w:val="auto"/>
          <w:szCs w:val="21"/>
          <w:highlight w:val="none"/>
        </w:rPr>
        <w:t xml:space="preserve">政府采购政策功能落实</w:t>
      </w:r>
      <w:bookmarkEnd w:id="62"/>
      <w:r/>
      <w:bookmarkEnd w:id="63"/>
      <w:r/>
      <w:r/>
    </w:p>
    <w:p>
      <w:pPr>
        <w:ind w:firstLine="420"/>
        <w:pageBreakBefore w:val="0"/>
        <w:spacing w:line="360" w:lineRule="auto"/>
        <w:rPr>
          <w:rFonts w:ascii="Times New Roman" w:hAnsi="Times New Roman" w:eastAsia="宋体"/>
          <w:b/>
          <w:color w:val="auto"/>
          <w:szCs w:val="21"/>
          <w:highlight w:val="none"/>
        </w:rPr>
      </w:pPr>
      <w:r>
        <w:rPr>
          <w:rFonts w:ascii="Times New Roman" w:hAnsi="Times New Roman" w:eastAsia="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14"/>
        <w:ind w:left="315" w:firstLine="10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1、小微型企业价格扣除</w:t>
      </w:r>
      <w:r/>
    </w:p>
    <w:p>
      <w:pPr>
        <w:pStyle w:val="914"/>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1）本项目对小型和微型企业产品给予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%的扣除价格，用扣除后的价格参与评审。</w:t>
      </w:r>
      <w:r/>
    </w:p>
    <w:p>
      <w:pPr>
        <w:pStyle w:val="914"/>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2）供应商需按照采购文件的要求提供相应的《</w:t>
      </w:r>
      <w:r>
        <w:rPr>
          <w:rFonts w:hint="eastAsia" w:ascii="Times New Roman" w:hAnsi="Times New Roman" w:eastAsia="宋体"/>
          <w:color w:val="auto"/>
          <w:sz w:val="21"/>
          <w:szCs w:val="21"/>
          <w:highlight w:val="none"/>
        </w:rPr>
        <w:t xml:space="preserve">中小</w:t>
      </w:r>
      <w:r>
        <w:rPr>
          <w:rFonts w:ascii="Times New Roman" w:hAnsi="Times New Roman" w:eastAsia="宋体"/>
          <w:color w:val="auto"/>
          <w:sz w:val="21"/>
          <w:szCs w:val="21"/>
          <w:highlight w:val="none"/>
        </w:rPr>
        <w:t xml:space="preserve">企业声明函》。</w:t>
      </w:r>
      <w:r/>
    </w:p>
    <w:p>
      <w:pPr>
        <w:pStyle w:val="914"/>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2、残疾人福利单位价格扣除</w:t>
      </w:r>
      <w:r/>
    </w:p>
    <w:p>
      <w:pPr>
        <w:pStyle w:val="914"/>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1）本项目对残疾人福利性单位视同小型、微型企业，给予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914"/>
        <w:ind w:left="420" w:firstLine="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2）残疾人福利单位需按照采购文件的要求提供《残疾人福利性单位声明函》。</w:t>
      </w:r>
      <w:r/>
    </w:p>
    <w:p>
      <w:pPr>
        <w:pStyle w:val="914"/>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3）残疾人福利单位标准请参照《关于促进残疾人就业政府采购政策的通知》</w:t>
      </w: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财库2017〕141号）。</w:t>
      </w:r>
      <w:r/>
    </w:p>
    <w:p>
      <w:pPr>
        <w:pStyle w:val="914"/>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3、监狱和戒毒企业价格扣除</w:t>
      </w:r>
      <w:r/>
    </w:p>
    <w:p>
      <w:pPr>
        <w:pStyle w:val="914"/>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1）本项目对监狱和戒毒企业</w:t>
      </w: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简称监狱企业）视同小型、微型企业，给予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914"/>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2）监狱企业参加政府采购活动时，需提供由省级以上监狱管理局、戒毒管理局</w:t>
      </w: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含新疆生产建设兵团</w:t>
      </w: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出具的属于监狱企业的证明文件。供应商如不提供上述证明文件，价格将不做相应扣除。</w:t>
      </w:r>
      <w:r/>
    </w:p>
    <w:p>
      <w:pPr>
        <w:pStyle w:val="914"/>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3）监狱企业标准请参照《关于政府采购支持监狱企业发展有关问题的通知》</w:t>
      </w: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财库[2014]68号）。</w:t>
      </w:r>
      <w:r/>
    </w:p>
    <w:p>
      <w:pPr>
        <w:pStyle w:val="914"/>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4、残疾人福利单位、监狱企业属于小型、微型企业的，不重复享受政策。</w:t>
      </w:r>
      <w:r/>
    </w:p>
    <w:p>
      <w:pPr>
        <w:pStyle w:val="914"/>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5、大中型企业和其他自然人、法人或者其他组织并与小型、微型企业</w:t>
      </w: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残疾人福利单位、监狱企业）组成联合体共同参加政府采购活动。联合协议中约定，小型、微型企业</w:t>
      </w: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残疾人福利单位、监狱企业）的协议合同金额占到联合体协议合同总金额30%以上的，给予联合体</w:t>
      </w:r>
      <w:r>
        <w:rPr>
          <w:rFonts w:hint="eastAsia" w:ascii="Times New Roman" w:hAnsi="Times New Roman" w:eastAsia="宋体"/>
          <w:color w:val="auto"/>
          <w:sz w:val="21"/>
          <w:szCs w:val="21"/>
          <w:highlight w:val="none"/>
        </w:rPr>
        <w:t xml:space="preserve">6</w:t>
      </w:r>
      <w:r>
        <w:rPr>
          <w:rFonts w:ascii="Times New Roman" w:hAnsi="Times New Roman" w:eastAsia="宋体"/>
          <w:color w:val="auto"/>
          <w:sz w:val="21"/>
          <w:szCs w:val="21"/>
          <w:highlight w:val="none"/>
        </w:rPr>
        <w:t xml:space="preserve">%的价格扣除，用扣除后的价格参与评审。</w:t>
      </w:r>
      <w:r/>
    </w:p>
    <w:p>
      <w:pPr>
        <w:pStyle w:val="914"/>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6、联合体各方均为小型、微型企业</w:t>
      </w:r>
      <w:r>
        <w:rPr>
          <w:rFonts w:hint="eastAsia" w:ascii="Times New Roman" w:hAnsi="Times New Roman" w:eastAsia="宋体"/>
          <w:color w:val="auto"/>
          <w:sz w:val="21"/>
          <w:szCs w:val="21"/>
          <w:highlight w:val="none"/>
          <w:lang w:eastAsia="zh-CN"/>
        </w:rPr>
        <w:t xml:space="preserve">（</w:t>
      </w:r>
      <w:r>
        <w:rPr>
          <w:rFonts w:ascii="Times New Roman" w:hAnsi="Times New Roman" w:eastAsia="宋体"/>
          <w:color w:val="auto"/>
          <w:sz w:val="21"/>
          <w:szCs w:val="21"/>
          <w:highlight w:val="none"/>
        </w:rPr>
        <w:t xml:space="preserve">残疾人福利单位、监狱企业）的，联合体享受</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%价格扣除，用扣除后的价格参与评审。</w:t>
      </w:r>
      <w:r/>
    </w:p>
    <w:p>
      <w:pPr>
        <w:pStyle w:val="914"/>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p>
    <w:p>
      <w:pPr>
        <w:pStyle w:val="914"/>
        <w:ind w:firstLine="422"/>
        <w:keepLines w:val="0"/>
        <w:keepNext w:val="0"/>
        <w:pageBreakBefore w:val="0"/>
        <w:spacing w:before="0" w:after="0" w:line="360" w:lineRule="auto"/>
        <w:widowControl w:val="off"/>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三、评标标准</w:t>
      </w:r>
      <w:r/>
    </w:p>
    <w:tbl>
      <w:tblPr>
        <w:tblStyle w:val="720"/>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6998"/>
      </w:tblGrid>
      <w:tr>
        <w:trPr>
          <w:jc w:val="center"/>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w:t>
            </w:r>
            <w:r/>
          </w:p>
        </w:tc>
        <w:tc>
          <w:tcPr>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评分标准</w:t>
            </w:r>
            <w:r/>
          </w:p>
        </w:tc>
      </w:tr>
      <w:tr>
        <w:trPr>
          <w:jc w:val="center"/>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价 格</w:t>
            </w:r>
            <w:r/>
          </w:p>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（30分）</w:t>
            </w:r>
            <w:r/>
          </w:p>
        </w:tc>
        <w:tc>
          <w:tcPr>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以满足招标文件要求的最低投标报价为基准价，得满分30分，其他报价得分＝（基准价/其他投标报价）×30×100％</w:t>
            </w:r>
            <w:r/>
          </w:p>
        </w:tc>
      </w:tr>
      <w:tr>
        <w:trPr>
          <w:jc w:val="center"/>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技术性能</w:t>
            </w:r>
            <w:r/>
          </w:p>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（30分）</w:t>
            </w:r>
            <w:r/>
          </w:p>
        </w:tc>
        <w:tc>
          <w:tcPr>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投标人所投产品技术参数完全满足招标文件【技术参数要求】加★项</w:t>
            </w:r>
            <w:r>
              <w:rPr>
                <w:rFonts w:hint="eastAsia" w:ascii="宋体" w:hAnsi="宋体" w:eastAsia="宋体" w:cs="宋体"/>
                <w:color w:val="auto"/>
                <w:sz w:val="21"/>
                <w:szCs w:val="21"/>
                <w:lang w:val="en-US" w:eastAsia="zh-CN"/>
              </w:rPr>
              <w:t xml:space="preserve">参数</w:t>
            </w:r>
            <w:r>
              <w:rPr>
                <w:rFonts w:hint="eastAsia" w:ascii="宋体" w:hAnsi="宋体" w:eastAsia="宋体" w:cs="宋体"/>
                <w:color w:val="auto"/>
                <w:sz w:val="21"/>
                <w:szCs w:val="21"/>
              </w:rPr>
              <w:t xml:space="preserve">得30分，每有一项负偏离扣2分，扣完为止。</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应</w:t>
            </w:r>
            <w:r>
              <w:rPr>
                <w:rFonts w:hint="eastAsia" w:ascii="宋体" w:hAnsi="宋体" w:eastAsia="宋体" w:cs="宋体"/>
                <w:color w:val="auto"/>
                <w:sz w:val="21"/>
                <w:szCs w:val="21"/>
              </w:rPr>
              <w:t xml:space="preserve">按照招标文件中要求提供相应证明材料扫描件上传</w:t>
            </w:r>
            <w:r>
              <w:rPr>
                <w:rFonts w:hint="eastAsia" w:ascii="宋体" w:hAnsi="宋体" w:eastAsia="宋体" w:cs="宋体"/>
                <w:color w:val="auto"/>
                <w:sz w:val="21"/>
                <w:szCs w:val="21"/>
                <w:lang w:val="en-US" w:eastAsia="zh-CN"/>
              </w:rPr>
              <w:t xml:space="preserve">并</w:t>
            </w:r>
            <w:r>
              <w:rPr>
                <w:rFonts w:hint="eastAsia" w:ascii="宋体" w:hAnsi="宋体" w:eastAsia="宋体" w:cs="宋体"/>
                <w:color w:val="auto"/>
                <w:sz w:val="21"/>
                <w:szCs w:val="21"/>
              </w:rPr>
              <w:t xml:space="preserve">应答技术参数响应及偏离表</w:t>
            </w:r>
            <w:r>
              <w:rPr>
                <w:rFonts w:hint="eastAsia" w:ascii="宋体" w:hAnsi="宋体" w:eastAsia="宋体" w:cs="宋体"/>
                <w:color w:val="auto"/>
                <w:sz w:val="21"/>
                <w:szCs w:val="21"/>
                <w:lang w:eastAsia="zh-CN"/>
              </w:rPr>
              <w:t xml:space="preserve">，</w:t>
            </w:r>
            <w:r>
              <w:rPr>
                <w:rFonts w:hint="eastAsia" w:cs="宋体"/>
                <w:color w:val="auto"/>
                <w:szCs w:val="21"/>
              </w:rPr>
              <w:t xml:space="preserve">所有指标均需在技术参数响应及偏离表中逐一列出</w:t>
            </w:r>
            <w:r>
              <w:rPr>
                <w:rFonts w:hint="eastAsia" w:ascii="宋体" w:hAnsi="宋体" w:eastAsia="宋体" w:cs="宋体"/>
                <w:color w:val="auto"/>
                <w:sz w:val="21"/>
                <w:szCs w:val="21"/>
              </w:rPr>
              <w:t xml:space="preserve">。如某功能参数要求提供证明材料但投标人未提供的，</w:t>
            </w:r>
            <w:r>
              <w:rPr>
                <w:rFonts w:hint="eastAsia" w:ascii="宋体" w:hAnsi="宋体" w:cs="宋体"/>
                <w:color w:val="auto"/>
                <w:sz w:val="21"/>
                <w:szCs w:val="21"/>
                <w:lang w:val="en-US" w:eastAsia="zh-CN"/>
              </w:rPr>
              <w:t xml:space="preserve">或</w:t>
            </w:r>
            <w:r>
              <w:rPr>
                <w:rFonts w:hint="eastAsia" w:cs="宋体"/>
                <w:bCs/>
                <w:color w:val="auto"/>
                <w:szCs w:val="21"/>
              </w:rPr>
              <w:t xml:space="preserve">证明材料中内容与</w:t>
            </w:r>
            <w:r>
              <w:rPr>
                <w:rFonts w:hint="eastAsia" w:cs="宋体"/>
                <w:color w:val="auto"/>
                <w:szCs w:val="21"/>
              </w:rPr>
              <w:t xml:space="preserve">技术参数响应及偏离表</w:t>
            </w:r>
            <w:r>
              <w:rPr>
                <w:rFonts w:hint="eastAsia" w:cs="宋体"/>
                <w:bCs/>
                <w:color w:val="auto"/>
                <w:szCs w:val="21"/>
              </w:rPr>
              <w:t xml:space="preserve">中所填报内容不一致的</w:t>
            </w:r>
            <w:r>
              <w:rPr>
                <w:rFonts w:hint="eastAsia" w:cs="宋体"/>
                <w:bCs/>
                <w:color w:val="auto"/>
                <w:szCs w:val="21"/>
                <w:lang w:eastAsia="zh-CN"/>
              </w:rPr>
              <w:t xml:space="preserve">，</w:t>
            </w:r>
            <w:r>
              <w:rPr>
                <w:rFonts w:hint="eastAsia" w:cs="宋体"/>
                <w:bCs/>
                <w:color w:val="auto"/>
                <w:szCs w:val="21"/>
                <w:lang w:val="en-US" w:eastAsia="zh-CN"/>
              </w:rPr>
              <w:t xml:space="preserve">均</w:t>
            </w:r>
            <w:r>
              <w:rPr>
                <w:rFonts w:hint="eastAsia" w:ascii="宋体" w:hAnsi="宋体" w:eastAsia="宋体" w:cs="宋体"/>
                <w:color w:val="auto"/>
                <w:sz w:val="21"/>
                <w:szCs w:val="21"/>
              </w:rPr>
              <w:t xml:space="preserve">视为该功能参数响应不满足，为负偏离）</w:t>
            </w:r>
            <w:r/>
          </w:p>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b/>
                <w:color w:val="auto"/>
                <w:szCs w:val="21"/>
                <w:highlight w:val="none"/>
              </w:rPr>
              <w:t xml:space="preserve">若发现有提供虚假的证明材料或虚假应答技术偏离表的，视为无效投标，上报采购监管部门并追究相关责任。</w:t>
            </w:r>
            <w:r/>
          </w:p>
        </w:tc>
      </w:tr>
      <w:tr>
        <w:trPr>
          <w:jc w:val="center"/>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类似</w:t>
            </w:r>
            <w:r>
              <w:rPr>
                <w:rFonts w:hint="eastAsia" w:ascii="宋体" w:hAnsi="宋体" w:eastAsia="宋体" w:cs="宋体"/>
                <w:color w:val="auto"/>
                <w:sz w:val="21"/>
                <w:szCs w:val="21"/>
              </w:rPr>
              <w:t xml:space="preserve">业绩</w:t>
            </w:r>
            <w:r>
              <w:rPr>
                <w:rFonts w:hint="eastAsia" w:ascii="宋体" w:hAnsi="宋体" w:eastAsia="宋体" w:cs="宋体"/>
                <w:color w:val="auto"/>
                <w:sz w:val="21"/>
                <w:szCs w:val="21"/>
              </w:rPr>
              <w:t xml:space="preserve">（</w:t>
            </w:r>
            <w:r>
              <w:rPr>
                <w:rFonts w:hint="default" w:ascii="宋体" w:hAnsi="宋体" w:cs="宋体"/>
                <w:color w:val="auto"/>
                <w:sz w:val="21"/>
                <w:szCs w:val="21"/>
                <w:lang w:val="en-US" w:eastAsia="zh-CN"/>
              </w:rPr>
              <w:t xml:space="preserve">10</w:t>
            </w:r>
            <w:r>
              <w:rPr>
                <w:rFonts w:hint="eastAsia" w:ascii="宋体" w:hAnsi="宋体" w:eastAsia="宋体" w:cs="宋体"/>
                <w:color w:val="auto"/>
                <w:sz w:val="21"/>
                <w:szCs w:val="21"/>
              </w:rPr>
              <w:t xml:space="preserve">分）</w:t>
            </w:r>
            <w:r/>
          </w:p>
        </w:tc>
        <w:tc>
          <w:tcPr>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投标人或所投产品制造商具有2022年1月1日以来（以合同签订时间为准）完成的，与本项目类似的业绩，有一份得</w:t>
            </w:r>
            <w:r>
              <w:rPr>
                <w:rFonts w:hint="default" w:ascii="宋体" w:hAnsi="宋体" w:cs="宋体"/>
                <w:color w:val="auto"/>
                <w:sz w:val="21"/>
                <w:szCs w:val="21"/>
                <w:lang w:val="en-US"/>
              </w:rPr>
              <w:t xml:space="preserve">2</w:t>
            </w:r>
            <w:r>
              <w:rPr>
                <w:rFonts w:hint="eastAsia" w:ascii="宋体" w:hAnsi="宋体" w:eastAsia="宋体" w:cs="宋体"/>
                <w:color w:val="auto"/>
                <w:sz w:val="21"/>
                <w:szCs w:val="21"/>
              </w:rPr>
              <w:t xml:space="preserve">分；满分</w:t>
            </w:r>
            <w:r>
              <w:rPr>
                <w:rFonts w:hint="default" w:ascii="宋体" w:hAnsi="宋体" w:cs="宋体"/>
                <w:color w:val="auto"/>
                <w:sz w:val="21"/>
                <w:szCs w:val="21"/>
                <w:lang w:val="en-US"/>
              </w:rPr>
              <w:t xml:space="preserve">10</w:t>
            </w:r>
            <w:r>
              <w:rPr>
                <w:rFonts w:hint="eastAsia" w:ascii="宋体" w:hAnsi="宋体" w:eastAsia="宋体" w:cs="宋体"/>
                <w:color w:val="auto"/>
                <w:sz w:val="21"/>
                <w:szCs w:val="21"/>
              </w:rPr>
              <w:t xml:space="preserve">分（提供合同原件扫描上传）</w:t>
            </w:r>
            <w:r/>
          </w:p>
        </w:tc>
      </w:tr>
      <w:tr>
        <w:trPr>
          <w:jc w:val="center"/>
          <w:trHeight w:val="442"/>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设备到货、</w:t>
            </w:r>
            <w:r/>
          </w:p>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安装、调试</w:t>
            </w:r>
            <w:r/>
          </w:p>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w:t>
            </w:r>
            <w:r>
              <w:rPr>
                <w:rFonts w:hint="default" w:ascii="宋体" w:hAnsi="宋体" w:cs="宋体"/>
                <w:color w:val="auto"/>
                <w:sz w:val="21"/>
                <w:szCs w:val="21"/>
                <w:lang w:val="en-US"/>
              </w:rPr>
              <w:t xml:space="preserve">10</w:t>
            </w:r>
            <w:r>
              <w:rPr>
                <w:rFonts w:hint="eastAsia" w:ascii="宋体" w:hAnsi="宋体" w:eastAsia="宋体" w:cs="宋体"/>
                <w:color w:val="auto"/>
                <w:sz w:val="21"/>
                <w:szCs w:val="21"/>
              </w:rPr>
              <w:t xml:space="preserve">分）</w:t>
            </w:r>
            <w:r/>
          </w:p>
        </w:tc>
        <w:tc>
          <w:tcPr>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根据投标人</w:t>
            </w:r>
            <w:r>
              <w:rPr>
                <w:rFonts w:hint="eastAsia" w:ascii="宋体" w:hAnsi="宋体" w:cs="宋体"/>
                <w:color w:val="auto"/>
                <w:sz w:val="21"/>
                <w:szCs w:val="21"/>
                <w:lang w:val="en-US" w:eastAsia="zh-CN"/>
              </w:rPr>
              <w:t xml:space="preserve">提供的</w:t>
            </w:r>
            <w:r>
              <w:rPr>
                <w:rFonts w:hint="eastAsia" w:ascii="宋体" w:hAnsi="宋体" w:eastAsia="宋体" w:cs="宋体"/>
                <w:color w:val="auto"/>
                <w:sz w:val="21"/>
                <w:szCs w:val="21"/>
              </w:rPr>
              <w:t xml:space="preserve">设备到货运输、安装、调试方案。方案完整详实、科学合理、具备针对性且切实可行、满足采购人实际需求的得10分；方案基本完整、较为科学合理，基本满足采购人实际需求的得</w:t>
            </w:r>
            <w:r>
              <w:rPr>
                <w:rFonts w:hint="default" w:ascii="宋体" w:hAnsi="宋体" w:cs="宋体"/>
                <w:color w:val="auto"/>
                <w:sz w:val="21"/>
                <w:szCs w:val="21"/>
                <w:lang w:val="en-US"/>
              </w:rPr>
              <w:t xml:space="preserve">6</w:t>
            </w:r>
            <w:r>
              <w:rPr>
                <w:rFonts w:hint="eastAsia" w:ascii="宋体" w:hAnsi="宋体" w:eastAsia="宋体" w:cs="宋体"/>
                <w:color w:val="auto"/>
                <w:sz w:val="21"/>
                <w:szCs w:val="21"/>
              </w:rPr>
              <w:t xml:space="preserve">分；方案完整性、合理性、针对性、可行性有所欠缺，与采购人实际需求存在差距得</w:t>
            </w:r>
            <w:r>
              <w:rPr>
                <w:rFonts w:hint="default" w:ascii="宋体" w:hAnsi="宋体" w:cs="宋体"/>
                <w:color w:val="auto"/>
                <w:sz w:val="21"/>
                <w:szCs w:val="21"/>
                <w:lang w:val="en-US"/>
              </w:rPr>
              <w:t xml:space="preserve">2</w:t>
            </w:r>
            <w:r>
              <w:rPr>
                <w:rFonts w:hint="eastAsia" w:ascii="宋体" w:hAnsi="宋体" w:eastAsia="宋体" w:cs="宋体"/>
                <w:color w:val="auto"/>
                <w:sz w:val="21"/>
                <w:szCs w:val="21"/>
              </w:rPr>
              <w:t xml:space="preserve">分；未按要求提供或未提供的均不得分。</w:t>
            </w:r>
            <w:r/>
          </w:p>
        </w:tc>
      </w:tr>
      <w:tr>
        <w:trPr>
          <w:jc w:val="center"/>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供货保障</w:t>
            </w:r>
            <w:r/>
          </w:p>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措施（</w:t>
            </w:r>
            <w:r>
              <w:rPr>
                <w:rFonts w:hint="default" w:ascii="宋体" w:hAnsi="宋体" w:cs="宋体"/>
                <w:color w:val="auto"/>
                <w:sz w:val="21"/>
                <w:szCs w:val="21"/>
                <w:lang w:val="en-US"/>
              </w:rPr>
              <w:t xml:space="preserve">10</w:t>
            </w:r>
            <w:r>
              <w:rPr>
                <w:rFonts w:hint="eastAsia" w:ascii="宋体" w:hAnsi="宋体" w:eastAsia="宋体" w:cs="宋体"/>
                <w:color w:val="auto"/>
                <w:sz w:val="21"/>
                <w:szCs w:val="21"/>
              </w:rPr>
              <w:t xml:space="preserve">分）</w:t>
            </w:r>
            <w:r/>
          </w:p>
        </w:tc>
        <w:tc>
          <w:tcPr>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投标文件中售后服务体系、固定的售后服务机构及人员、售后服务应答及处理时间、质保期内的售后服务范围、质保期满后的售后服务范围等进行评分。售后服务方案详细、合理可行，售后服务便捷、响应速度快，完全适用项目需求的得</w:t>
            </w:r>
            <w:r>
              <w:rPr>
                <w:rFonts w:hint="default" w:ascii="宋体" w:hAnsi="宋体" w:cs="宋体"/>
                <w:color w:val="auto"/>
                <w:sz w:val="21"/>
                <w:szCs w:val="21"/>
                <w:lang w:val="en-US"/>
              </w:rPr>
              <w:t xml:space="preserve">10</w:t>
            </w:r>
            <w:r>
              <w:rPr>
                <w:rFonts w:hint="eastAsia" w:ascii="宋体" w:hAnsi="宋体" w:eastAsia="宋体" w:cs="宋体"/>
                <w:color w:val="auto"/>
                <w:sz w:val="21"/>
                <w:szCs w:val="21"/>
              </w:rPr>
              <w:t xml:space="preserve">分；售后服务方案较详细、较合理可行，售后服务较便捷、响应速度较快，基本适用项目需求的的得</w:t>
            </w:r>
            <w:r>
              <w:rPr>
                <w:rFonts w:hint="default" w:ascii="宋体" w:hAnsi="宋体" w:cs="宋体"/>
                <w:color w:val="auto"/>
                <w:sz w:val="21"/>
                <w:szCs w:val="21"/>
                <w:lang w:val="en-US"/>
              </w:rPr>
              <w:t xml:space="preserve">6</w:t>
            </w:r>
            <w:r>
              <w:rPr>
                <w:rFonts w:hint="eastAsia" w:ascii="宋体" w:hAnsi="宋体" w:eastAsia="宋体" w:cs="宋体"/>
                <w:color w:val="auto"/>
                <w:sz w:val="21"/>
                <w:szCs w:val="21"/>
              </w:rPr>
              <w:t xml:space="preserve">分；售后服务方案不详细、不合理可行，售后服务较差、响应速度较慢，不能适用项目需求的得2分；未按要求提供或未提供的均不得分。</w:t>
            </w:r>
            <w:r/>
          </w:p>
        </w:tc>
      </w:tr>
      <w:tr>
        <w:trPr>
          <w:jc w:val="center"/>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人员</w:t>
            </w:r>
            <w:r/>
          </w:p>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培训</w:t>
            </w:r>
            <w:r/>
          </w:p>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w:t>
            </w:r>
            <w:r>
              <w:rPr>
                <w:rFonts w:hint="default" w:ascii="宋体" w:hAnsi="宋体" w:cs="宋体"/>
                <w:color w:val="auto"/>
                <w:sz w:val="21"/>
                <w:szCs w:val="21"/>
                <w:lang w:val="en-US"/>
              </w:rPr>
              <w:t xml:space="preserve">10</w:t>
            </w:r>
            <w:r>
              <w:rPr>
                <w:rFonts w:hint="eastAsia" w:ascii="宋体" w:hAnsi="宋体" w:eastAsia="宋体" w:cs="宋体"/>
                <w:color w:val="auto"/>
                <w:sz w:val="21"/>
                <w:szCs w:val="21"/>
              </w:rPr>
              <w:t xml:space="preserve">分）</w:t>
            </w:r>
            <w:r/>
          </w:p>
        </w:tc>
        <w:tc>
          <w:tcPr>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投标人提供人员操作培训、维修保养培训、以及相关科研教育等进阶培训、学习会议方案。方案完整详实、科学合理、具备针对性且切实可行、满足采购人实际需求的得</w:t>
            </w: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rPr>
              <w:t xml:space="preserve">分；方案基本完整、较为科学合理，基本满足采购人实际需求的得</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分；方案完整性、合理性、针对性、可行性有所欠缺，与采购人实际需求存在差距得2分。未按要求提供或未提供的均不得分。</w:t>
            </w:r>
            <w:r/>
          </w:p>
        </w:tc>
      </w:tr>
    </w:tbl>
    <w:p>
      <w:pPr>
        <w:keepLines w:val="0"/>
        <w:keepNext w:val="0"/>
        <w:pageBreakBefore w:val="0"/>
        <w:spacing w:line="360" w:lineRule="auto"/>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四、评审委员会启动异常低价投标</w:t>
      </w:r>
      <w:r>
        <w:rPr>
          <w:rFonts w:hint="eastAsia" w:ascii="Times New Roman" w:hAnsi="Times New Roman" w:eastAsia="宋体" w:cs="Times New Roman"/>
          <w:b/>
          <w:color w:val="auto"/>
          <w:szCs w:val="21"/>
          <w:highlight w:val="none"/>
          <w:lang w:eastAsia="zh-CN"/>
        </w:rPr>
        <w:t xml:space="preserve">（</w:t>
      </w:r>
      <w:r>
        <w:rPr>
          <w:rFonts w:hint="eastAsia" w:ascii="Times New Roman" w:hAnsi="Times New Roman" w:eastAsia="宋体" w:cs="Times New Roman"/>
          <w:b/>
          <w:color w:val="auto"/>
          <w:szCs w:val="21"/>
          <w:highlight w:val="none"/>
        </w:rPr>
        <w:t xml:space="preserve">响应</w:t>
      </w:r>
      <w:r>
        <w:rPr>
          <w:rFonts w:hint="eastAsia" w:ascii="Times New Roman" w:hAnsi="Times New Roman" w:eastAsia="宋体" w:cs="Times New Roman"/>
          <w:b/>
          <w:color w:val="auto"/>
          <w:szCs w:val="21"/>
          <w:highlight w:val="none"/>
          <w:lang w:eastAsia="zh-CN"/>
        </w:rPr>
        <w:t xml:space="preserve">）</w:t>
      </w:r>
      <w:r>
        <w:rPr>
          <w:rFonts w:hint="eastAsia" w:ascii="Times New Roman" w:hAnsi="Times New Roman" w:eastAsia="宋体" w:cs="Times New Roman"/>
          <w:b/>
          <w:color w:val="auto"/>
          <w:szCs w:val="21"/>
          <w:highlight w:val="none"/>
        </w:rPr>
        <w:t xml:space="preserve">审查的情形和具体要求，包括:</w:t>
      </w:r>
      <w:r/>
    </w:p>
    <w:p>
      <w:pPr>
        <w:keepLines w:val="0"/>
        <w:keepNext w:val="0"/>
        <w:pageBreakBefore w:val="0"/>
        <w:spacing w:line="360" w:lineRule="auto"/>
        <w:widowControl w:val="off"/>
        <w:rPr>
          <w:rFonts w:hint="eastAsia" w:ascii="Times New Roman" w:hAnsi="Times New Roman" w:eastAsia="宋体"/>
          <w:color w:val="auto"/>
          <w:highlight w:val="none"/>
          <w:lang w:eastAsia="zh-CN"/>
        </w:rPr>
      </w:pP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一</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评审过程中出现下列情形之一的，评审委员会应当启动异常低价投标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审查程序</w:t>
      </w:r>
      <w:r>
        <w:rPr>
          <w:rFonts w:hint="eastAsia" w:ascii="Times New Roman" w:hAnsi="Times New Roman" w:eastAsia="宋体"/>
          <w:color w:val="auto"/>
          <w:highlight w:val="none"/>
          <w:lang w:eastAsia="zh-CN"/>
        </w:rPr>
        <w:t xml:space="preserve">：</w:t>
      </w:r>
      <w:r/>
    </w:p>
    <w:p>
      <w:pPr>
        <w:keepLines w:val="0"/>
        <w:keepNext w:val="0"/>
        <w:pageBreakBefore w:val="0"/>
        <w:spacing w:line="360" w:lineRule="auto"/>
        <w:widowControl w:val="off"/>
        <w:rPr>
          <w:rFonts w:hint="eastAsia" w:ascii="Times New Roman" w:hAnsi="Times New Roman" w:eastAsia="宋体"/>
          <w:color w:val="auto"/>
          <w:highlight w:val="none"/>
          <w:lang w:eastAsia="zh-CN"/>
        </w:rPr>
      </w:pPr>
      <w:r>
        <w:rPr>
          <w:rFonts w:hint="eastAsia" w:ascii="Times New Roman" w:hAnsi="Times New Roman" w:eastAsia="宋体"/>
          <w:color w:val="auto"/>
          <w:highlight w:val="none"/>
        </w:rPr>
        <w:t xml:space="preserve">1.投标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报价低于采购项目预算 50%的，即投标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报价&lt;采购项目预算</w:t>
      </w:r>
      <w:r>
        <w:rPr>
          <w:rFonts w:hint="eastAsia" w:ascii="Times New Roman" w:hAnsi="Times New Roman" w:eastAsia="宋体"/>
          <w:color w:val="auto"/>
          <w:highlight w:val="none"/>
          <w:lang w:val="en-US" w:eastAsia="zh-CN"/>
        </w:rPr>
        <w:t xml:space="preserve">×</w:t>
      </w:r>
      <w:r>
        <w:rPr>
          <w:rFonts w:hint="eastAsia" w:ascii="Times New Roman" w:hAnsi="Times New Roman" w:eastAsia="宋体"/>
          <w:color w:val="auto"/>
          <w:highlight w:val="none"/>
        </w:rPr>
        <w:t xml:space="preserve">50%</w:t>
      </w:r>
      <w:r>
        <w:rPr>
          <w:rFonts w:hint="eastAsia" w:ascii="Times New Roman" w:hAnsi="Times New Roman" w:eastAsia="宋体"/>
          <w:color w:val="auto"/>
          <w:highlight w:val="none"/>
          <w:lang w:eastAsia="zh-CN"/>
        </w:rPr>
        <w:t xml:space="preserve">；</w:t>
      </w:r>
      <w:r/>
    </w:p>
    <w:p>
      <w:pPr>
        <w:keepLines w:val="0"/>
        <w:keepNext w:val="0"/>
        <w:pageBreakBefore w:val="0"/>
        <w:spacing w:line="360" w:lineRule="auto"/>
        <w:widowControl w:val="off"/>
        <w:rPr>
          <w:rFonts w:hint="eastAsia" w:ascii="Times New Roman" w:hAnsi="Times New Roman" w:eastAsia="宋体"/>
          <w:color w:val="auto"/>
          <w:highlight w:val="none"/>
          <w:lang w:eastAsia="zh-CN"/>
        </w:rPr>
      </w:pPr>
      <w:r>
        <w:rPr>
          <w:rFonts w:hint="eastAsia" w:ascii="Times New Roman" w:hAnsi="Times New Roman" w:eastAsia="宋体"/>
          <w:color w:val="auto"/>
          <w:highlight w:val="none"/>
        </w:rPr>
        <w:t xml:space="preserve">2.投标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报价低于采购项目最高限价45%的，即投标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报价&lt;采购项目最高限价</w:t>
      </w:r>
      <w:r>
        <w:rPr>
          <w:rFonts w:hint="eastAsia" w:ascii="Times New Roman" w:hAnsi="Times New Roman" w:eastAsia="宋体"/>
          <w:color w:val="auto"/>
          <w:highlight w:val="none"/>
          <w:lang w:val="en-US" w:eastAsia="zh-CN"/>
        </w:rPr>
        <w:t xml:space="preserve">*</w:t>
      </w:r>
      <w:r>
        <w:rPr>
          <w:rFonts w:hint="eastAsia" w:ascii="Times New Roman" w:hAnsi="Times New Roman" w:eastAsia="宋体"/>
          <w:color w:val="auto"/>
          <w:highlight w:val="none"/>
        </w:rPr>
        <w:t xml:space="preserve">45%</w:t>
      </w:r>
      <w:r>
        <w:rPr>
          <w:rFonts w:hint="eastAsia" w:ascii="Times New Roman" w:hAnsi="Times New Roman" w:eastAsia="宋体"/>
          <w:color w:val="auto"/>
          <w:highlight w:val="none"/>
          <w:lang w:eastAsia="zh-CN"/>
        </w:rPr>
        <w:t xml:space="preserve">；</w:t>
      </w:r>
      <w:r/>
    </w:p>
    <w:p>
      <w:pPr>
        <w:keepLines w:val="0"/>
        <w:keepNext w:val="0"/>
        <w:pageBreakBefore w:val="0"/>
        <w:spacing w:line="360" w:lineRule="auto"/>
        <w:widowControl w:val="off"/>
        <w:rPr>
          <w:rFonts w:hint="eastAsia" w:ascii="Times New Roman" w:hAnsi="Times New Roman" w:eastAsia="宋体"/>
          <w:color w:val="auto"/>
          <w:highlight w:val="none"/>
        </w:rPr>
      </w:pPr>
      <w:r>
        <w:rPr>
          <w:rFonts w:hint="eastAsia" w:ascii="Times New Roman" w:hAnsi="Times New Roman" w:eastAsia="宋体"/>
          <w:color w:val="auto"/>
          <w:highlight w:val="none"/>
        </w:rPr>
        <w:t xml:space="preserve">3.评审委员会认定的供应商报价过低、有可能影响产品质量或者不能诚信履约的其他情形。</w:t>
      </w:r>
      <w:r/>
    </w:p>
    <w:p>
      <w:pPr>
        <w:keepLines w:val="0"/>
        <w:keepNext w:val="0"/>
        <w:pageBreakBefore w:val="0"/>
        <w:spacing w:line="360" w:lineRule="auto"/>
        <w:widowControl w:val="off"/>
        <w:rPr>
          <w:rFonts w:ascii="Times New Roman" w:hAnsi="Times New Roman" w:eastAsia="宋体"/>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二</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启动异常低价投标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审查后，评审委员会应当要求相关供应商在评标现场合理的时间内，提供项目具体成本测算等与报价合理性相关的书面说明及相关证明材料，对投标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价格作出解释，由评审委员会结合同类产品在主要电商平台的价格、该行业当地薪资水平等情况，依据专业经验对供应商报价合理性进行判断。投标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供应商不提供书面说明、证明材料，或者提供的书面说明、证明材料不能证明其报价合理性的，评审委员会应当将其作为无效投标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处理。审查相关情况应当在评审报告中进行记录。</w:t>
      </w:r>
      <w:r/>
    </w:p>
    <w:p>
      <w:pPr>
        <w:pageBreakBefore w:val="0"/>
        <w:spacing w:line="360" w:lineRule="auto"/>
        <w:rPr>
          <w:rFonts w:ascii="Times New Roman" w:hAnsi="Times New Roman" w:eastAsia="宋体"/>
          <w:bCs/>
          <w:color w:val="auto"/>
          <w:sz w:val="44"/>
          <w:highlight w:val="none"/>
        </w:rPr>
      </w:pPr>
      <w:r>
        <w:rPr>
          <w:rFonts w:ascii="Times New Roman" w:hAnsi="Times New Roman" w:eastAsia="宋体"/>
          <w:bCs/>
          <w:color w:val="auto"/>
          <w:sz w:val="44"/>
          <w:highlight w:val="none"/>
        </w:rPr>
      </w:r>
      <w:r/>
    </w:p>
    <w:p>
      <w:pPr>
        <w:pStyle w:val="710"/>
        <w:jc w:val="center"/>
        <w:pageBreakBefore w:val="0"/>
        <w:spacing w:before="0" w:after="0" w:line="360" w:lineRule="auto"/>
        <w:rPr>
          <w:rFonts w:ascii="Times New Roman" w:hAnsi="Times New Roman" w:eastAsia="宋体"/>
          <w:color w:val="auto"/>
          <w:sz w:val="36"/>
          <w:highlight w:val="none"/>
        </w:rPr>
      </w:pPr>
      <w:r/>
      <w:bookmarkStart w:id="64" w:name="_Toc14764"/>
      <w:r>
        <w:rPr>
          <w:rFonts w:hint="eastAsia" w:ascii="Times New Roman" w:hAnsi="Times New Roman" w:eastAsia="宋体"/>
          <w:color w:val="auto"/>
          <w:sz w:val="36"/>
          <w:highlight w:val="none"/>
        </w:rPr>
        <w:t xml:space="preserve">第六章 投标文件格式</w:t>
      </w:r>
      <w:bookmarkEnd w:id="64"/>
      <w:r/>
      <w:r/>
    </w:p>
    <w:p>
      <w:pPr>
        <w:pageBreakBefore w:val="0"/>
        <w:spacing w:line="360" w:lineRule="auto"/>
        <w:rPr>
          <w:rFonts w:ascii="Times New Roman" w:hAnsi="Times New Roman" w:eastAsia="宋体"/>
          <w:bCs/>
          <w:color w:val="auto"/>
          <w:sz w:val="44"/>
          <w:highlight w:val="none"/>
        </w:rPr>
      </w:pPr>
      <w:r>
        <w:rPr>
          <w:rFonts w:ascii="Times New Roman" w:hAnsi="Times New Roman" w:eastAsia="宋体"/>
          <w:bCs/>
          <w:color w:val="auto"/>
          <w:sz w:val="44"/>
          <w:highlight w:val="none"/>
        </w:rPr>
      </w:r>
      <w:r/>
    </w:p>
    <w:p>
      <w:pPr>
        <w:jc w:val="center"/>
        <w:pageBreakBefore w:val="0"/>
        <w:spacing w:line="360" w:lineRule="auto"/>
        <w:rPr>
          <w:rFonts w:ascii="Times New Roman" w:hAnsi="Times New Roman" w:eastAsia="宋体"/>
          <w:b/>
          <w:color w:val="auto"/>
          <w:sz w:val="72"/>
          <w:highlight w:val="none"/>
        </w:rPr>
      </w:pPr>
      <w:r>
        <w:rPr>
          <w:rFonts w:hint="eastAsia" w:ascii="Times New Roman" w:hAnsi="Times New Roman" w:eastAsia="宋体"/>
          <w:b/>
          <w:color w:val="auto"/>
          <w:sz w:val="72"/>
          <w:highlight w:val="none"/>
        </w:rPr>
        <w:t xml:space="preserve">投  标  文  件</w:t>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项 目 名 称：</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招 标 编 号：</w:t>
      </w:r>
      <w:r/>
    </w:p>
    <w:p>
      <w:pPr>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      投标人名称 ：</w:t>
      </w:r>
      <w:r/>
    </w:p>
    <w:p>
      <w:pPr>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      日      期 ：</w:t>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投  标  人：</w:t>
      </w:r>
      <w:r>
        <w:rPr>
          <w:rFonts w:hint="eastAsia" w:ascii="Times New Roman" w:hAnsi="Times New Roman" w:eastAsia="宋体"/>
          <w:b/>
          <w:color w:val="auto"/>
          <w:sz w:val="36"/>
          <w:highlight w:val="none"/>
          <w:lang w:eastAsia="zh-CN"/>
        </w:rPr>
        <w:t xml:space="preserve">（</w:t>
      </w:r>
      <w:r>
        <w:rPr>
          <w:rFonts w:hint="eastAsia" w:ascii="Times New Roman" w:hAnsi="Times New Roman" w:eastAsia="宋体"/>
          <w:b/>
          <w:color w:val="auto"/>
          <w:sz w:val="36"/>
          <w:highlight w:val="none"/>
        </w:rPr>
        <w:t xml:space="preserve">电子签章）</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t xml:space="preserve">投标主要文件目录</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一、资格审查响应对照表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二、符合性审查响应对照表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三、非实质性响应对照表</w:t>
      </w:r>
      <w:r/>
    </w:p>
    <w:p>
      <w:pPr>
        <w:ind w:firstLine="480"/>
        <w:pageBreakBefore w:val="0"/>
        <w:spacing w:line="360" w:lineRule="auto"/>
        <w:rPr>
          <w:rFonts w:ascii="Times New Roman" w:hAnsi="Times New Roman" w:eastAsia="宋体"/>
          <w:b/>
          <w:bCs/>
          <w:color w:val="auto"/>
          <w:sz w:val="24"/>
          <w:highlight w:val="none"/>
        </w:rPr>
      </w:pPr>
      <w:r>
        <w:rPr>
          <w:rFonts w:hint="eastAsia" w:ascii="Times New Roman" w:hAnsi="Times New Roman" w:eastAsia="宋体"/>
          <w:color w:val="auto"/>
          <w:sz w:val="24"/>
          <w:highlight w:val="none"/>
        </w:rPr>
        <w:t xml:space="preserve">四</w:t>
      </w:r>
      <w:r>
        <w:rPr>
          <w:rFonts w:hint="eastAsia" w:ascii="Times New Roman" w:hAnsi="Times New Roman" w:eastAsia="宋体"/>
          <w:b/>
          <w:bCs/>
          <w:color w:val="auto"/>
          <w:sz w:val="24"/>
          <w:highlight w:val="none"/>
        </w:rPr>
        <w:t xml:space="preserve">、</w:t>
      </w:r>
      <w:r>
        <w:rPr>
          <w:rFonts w:hint="eastAsia" w:ascii="Times New Roman" w:hAnsi="Times New Roman" w:eastAsia="宋体"/>
          <w:i/>
          <w:color w:val="auto"/>
          <w:sz w:val="24"/>
          <w:highlight w:val="none"/>
          <w:u w:val="single"/>
        </w:rPr>
        <w:t xml:space="preserve">开标一览表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五、投标配置与分项报价表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六</w:t>
      </w:r>
      <w:r>
        <w:rPr>
          <w:rFonts w:hint="eastAsia" w:ascii="Times New Roman" w:hAnsi="Times New Roman" w:eastAsia="宋体" w:cs="Courier New"/>
          <w:color w:val="auto"/>
          <w:sz w:val="24"/>
          <w:szCs w:val="24"/>
          <w:highlight w:val="none"/>
        </w:rPr>
        <w:t xml:space="preserve">、</w:t>
      </w:r>
      <w:r>
        <w:rPr>
          <w:rFonts w:hint="eastAsia" w:ascii="Times New Roman" w:hAnsi="Times New Roman" w:eastAsia="宋体"/>
          <w:color w:val="auto"/>
          <w:sz w:val="24"/>
          <w:szCs w:val="24"/>
          <w:highlight w:val="none"/>
        </w:rPr>
        <w:t xml:space="preserve">技术参数响应及偏离表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七、商务条款响应及偏离表</w:t>
      </w:r>
      <w:r/>
    </w:p>
    <w:p>
      <w:pPr>
        <w:ind w:firstLine="480"/>
        <w:pageBreakBefore w:val="0"/>
        <w:spacing w:line="360" w:lineRule="auto"/>
        <w:rPr>
          <w:rFonts w:ascii="Times New Roman" w:hAnsi="Times New Roman" w:eastAsia="宋体"/>
          <w:color w:val="auto"/>
          <w:sz w:val="36"/>
          <w:szCs w:val="36"/>
          <w:highlight w:val="none"/>
        </w:rPr>
      </w:pPr>
      <w:r>
        <w:rPr>
          <w:rFonts w:hint="eastAsia" w:ascii="Times New Roman" w:hAnsi="Times New Roman" w:eastAsia="宋体"/>
          <w:color w:val="auto"/>
          <w:sz w:val="24"/>
          <w:highlight w:val="none"/>
        </w:rPr>
        <w:t xml:space="preserve">八、其他 </w:t>
      </w:r>
      <w:r>
        <w:rPr>
          <w:rFonts w:hint="eastAsia" w:ascii="Times New Roman" w:hAnsi="Times New Roman" w:eastAsia="宋体"/>
          <w:color w:val="auto"/>
          <w:sz w:val="24"/>
          <w:highlight w:val="none"/>
          <w:lang w:eastAsia="zh-CN"/>
        </w:rPr>
        <w:t xml:space="preserve">（</w:t>
      </w:r>
      <w:r>
        <w:rPr>
          <w:rFonts w:hint="eastAsia" w:ascii="Times New Roman" w:hAnsi="Times New Roman" w:eastAsia="宋体"/>
          <w:color w:val="auto"/>
          <w:sz w:val="24"/>
          <w:highlight w:val="none"/>
        </w:rPr>
        <w:t xml:space="preserve">投标人认为有必要提供的声明和文件，如有自拟并自行添加）</w:t>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p>
      <w:pPr>
        <w:pStyle w:val="711"/>
        <w:pageBreakBefore w:val="0"/>
        <w:spacing w:before="0" w:after="0" w:line="360" w:lineRule="auto"/>
        <w:rPr>
          <w:rFonts w:ascii="Times New Roman" w:hAnsi="Times New Roman" w:eastAsia="宋体"/>
          <w:b w:val="0"/>
          <w:color w:val="auto"/>
          <w:sz w:val="32"/>
          <w:szCs w:val="32"/>
          <w:highlight w:val="none"/>
        </w:rPr>
      </w:pPr>
      <w:r>
        <w:rPr>
          <w:rFonts w:hint="eastAsia" w:ascii="Times New Roman" w:hAnsi="Times New Roman" w:eastAsia="宋体"/>
          <w:color w:val="auto"/>
          <w:sz w:val="32"/>
          <w:szCs w:val="32"/>
          <w:highlight w:val="none"/>
        </w:rPr>
        <w:br w:type="page" w:clear="all"/>
      </w:r>
      <w:bookmarkStart w:id="65" w:name="_Toc8113"/>
      <w:r>
        <w:rPr>
          <w:rFonts w:hint="eastAsia" w:ascii="Times New Roman" w:hAnsi="Times New Roman" w:eastAsia="宋体"/>
          <w:color w:val="auto"/>
          <w:sz w:val="32"/>
          <w:highlight w:val="none"/>
        </w:rPr>
        <w:t xml:space="preserve">一、资格审查响应对照表</w:t>
      </w:r>
      <w:bookmarkEnd w:id="65"/>
      <w:r/>
      <w:r/>
    </w:p>
    <w:tbl>
      <w:tblPr>
        <w:tblStyle w:val="720"/>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54"/>
        <w:gridCol w:w="1751"/>
      </w:tblGrid>
      <w:tr>
        <w:trPr>
          <w:trHeight w:val="647"/>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序号</w:t>
            </w:r>
            <w:r/>
          </w:p>
        </w:tc>
        <w:tc>
          <w:tcPr>
            <w:tcW w:w="5854"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资格审查响应内容</w:t>
            </w:r>
            <w:r/>
          </w:p>
        </w:tc>
        <w:tc>
          <w:tcPr>
            <w:tcW w:w="1751"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lang w:eastAsia="zh-CN"/>
              </w:rPr>
              <w:t xml:space="preserve">（</w:t>
            </w:r>
            <w:r>
              <w:rPr>
                <w:rFonts w:hint="eastAsia" w:ascii="Times New Roman" w:hAnsi="Times New Roman" w:eastAsia="宋体"/>
                <w:b/>
                <w:color w:val="auto"/>
                <w:szCs w:val="21"/>
                <w:highlight w:val="none"/>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法人或者其他组织的营业执照等证明文件，自然人的身份证明</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身份证为正、反面）</w:t>
            </w:r>
            <w:r/>
          </w:p>
        </w:tc>
        <w:tc>
          <w:tcPr>
            <w:tcW w:w="1751"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依法缴纳税收和社会保障资金的相关材料</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上一年度的财务状况报告</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成立不满一年不需提供）</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具备履行合同所必需的设备和专业技术能力的证明材料</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参加本次政府采购活动前3年内在经营活动中没有重大违法记录的书面声明</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6</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未被“信用中国”网站</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www.creditchina.gov.cn）、“中国政府采购网”</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www.ccgp.gov.cn</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列入失信被执行人、重大税收违法案件当事人名单、政府采购严重违法失信行为记录名单及其他不符合《中华人民共和国政府采购法》第二十二条规定条件的信用记录。</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投标文件中无需提供证明材料）</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供应商信用承诺函</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9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r>
            <w:r/>
          </w:p>
        </w:tc>
        <w:tc>
          <w:tcPr>
            <w:tcW w:w="5854" w:type="dxa"/>
            <w:vAlign w:val="center"/>
            <w:textDirection w:val="lrTb"/>
            <w:noWrap w:val="false"/>
          </w:tcPr>
          <w:p>
            <w:pP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特定资格条件</w:t>
            </w:r>
            <w:r/>
          </w:p>
        </w:tc>
      </w:tr>
      <w:tr>
        <w:trPr>
          <w:trHeight w:val="389"/>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rPr>
            </w:pPr>
            <w:r>
              <w:rPr>
                <w:rFonts w:hint="default" w:ascii="Times New Roman" w:hAnsi="Times New Roman"/>
                <w:color w:val="auto"/>
                <w:szCs w:val="21"/>
                <w:highlight w:val="none"/>
                <w:lang w:val="en-US"/>
              </w:rPr>
              <w:t xml:space="preserve">8</w:t>
            </w:r>
            <w:r/>
          </w:p>
        </w:tc>
        <w:tc>
          <w:tcPr>
            <w:tcW w:w="5854" w:type="dxa"/>
            <w:vAlign w:val="center"/>
            <w:textDirection w:val="lrTb"/>
            <w:noWrap w:val="false"/>
          </w:tcPr>
          <w:p>
            <w:pPr>
              <w:pageBreakBefore w:val="0"/>
              <w:spacing w:line="360" w:lineRule="auto"/>
              <w:rPr>
                <w:rFonts w:hint="eastAsia" w:ascii="Times New Roman" w:hAnsi="Times New Roman" w:eastAsia="宋体" w:cs="宋体"/>
                <w:color w:val="auto"/>
                <w:szCs w:val="21"/>
                <w:highlight w:val="none"/>
                <w:lang w:eastAsia="zh-CN"/>
              </w:rPr>
            </w:pPr>
            <w:r>
              <w:rPr>
                <w:rFonts w:hint="default" w:ascii="Times New Roman" w:hAnsi="Times New Roman" w:eastAsia="宋体" w:cs="宋体"/>
                <w:color w:val="auto"/>
                <w:szCs w:val="21"/>
                <w:highlight w:val="none"/>
                <w:lang w:val="en-US"/>
              </w:rPr>
              <w:t xml:space="preserve">1.</w:t>
            </w:r>
            <w:r>
              <w:rPr>
                <w:rFonts w:hint="eastAsia" w:ascii="Times New Roman" w:hAnsi="Times New Roman" w:eastAsia="宋体" w:cs="宋体"/>
                <w:color w:val="auto"/>
                <w:szCs w:val="21"/>
                <w:highlight w:val="none"/>
              </w:rPr>
              <w:t xml:space="preserve">所投产品按国家规定</w:t>
            </w:r>
            <w:r>
              <w:rPr>
                <w:rFonts w:hint="eastAsia" w:ascii="Times New Roman" w:hAnsi="Times New Roman" w:eastAsia="宋体" w:cs="宋体"/>
                <w:color w:val="auto"/>
                <w:szCs w:val="21"/>
                <w:highlight w:val="none"/>
                <w:lang w:val="en-US" w:eastAsia="zh-CN"/>
              </w:rPr>
              <w:t xml:space="preserve">须</w:t>
            </w:r>
            <w:r>
              <w:rPr>
                <w:rFonts w:hint="eastAsia" w:ascii="Times New Roman" w:hAnsi="Times New Roman" w:eastAsia="宋体" w:cs="宋体"/>
                <w:color w:val="auto"/>
                <w:szCs w:val="21"/>
                <w:highlight w:val="none"/>
              </w:rPr>
              <w:t xml:space="preserve">医疗器械注册证的，</w:t>
            </w:r>
            <w:r>
              <w:rPr>
                <w:rFonts w:hint="eastAsia" w:ascii="Times New Roman" w:hAnsi="Times New Roman" w:eastAsia="宋体" w:cs="宋体"/>
                <w:color w:val="auto"/>
                <w:szCs w:val="21"/>
                <w:highlight w:val="none"/>
                <w:lang w:val="en-US" w:eastAsia="zh-CN"/>
              </w:rPr>
              <w:t xml:space="preserve">应具有</w:t>
            </w:r>
            <w:r>
              <w:rPr>
                <w:rFonts w:hint="eastAsia" w:ascii="Times New Roman" w:hAnsi="Times New Roman" w:eastAsia="宋体" w:cs="宋体"/>
                <w:color w:val="auto"/>
                <w:szCs w:val="21"/>
                <w:highlight w:val="none"/>
              </w:rPr>
              <w:t xml:space="preserve">有效的医疗器械注册证</w:t>
            </w:r>
            <w:r>
              <w:rPr>
                <w:rFonts w:hint="eastAsia" w:ascii="Times New Roman" w:hAnsi="Times New Roman" w:eastAsia="宋体" w:cs="宋体"/>
                <w:color w:val="auto"/>
                <w:szCs w:val="21"/>
                <w:highlight w:val="none"/>
                <w:lang w:eastAsia="zh-CN"/>
              </w:rPr>
              <w:t xml:space="preserve">。</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2</w:t>
            </w:r>
            <w:r>
              <w:rPr>
                <w:rFonts w:hint="default" w:ascii="Times New Roman" w:hAnsi="Times New Roman"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如</w:t>
            </w:r>
            <w:r>
              <w:rPr>
                <w:rFonts w:hint="eastAsia" w:ascii="Times New Roman" w:hAnsi="Times New Roman" w:eastAsia="宋体" w:cs="宋体"/>
                <w:color w:val="auto"/>
                <w:szCs w:val="21"/>
                <w:highlight w:val="none"/>
              </w:rPr>
              <w:t xml:space="preserve">投标人为</w:t>
            </w:r>
            <w:r>
              <w:rPr>
                <w:rFonts w:hint="eastAsia" w:ascii="Times New Roman" w:hAnsi="Times New Roman" w:eastAsia="宋体" w:cs="宋体"/>
                <w:color w:val="auto"/>
                <w:szCs w:val="21"/>
                <w:highlight w:val="none"/>
                <w:lang w:val="en-US" w:eastAsia="zh-CN"/>
              </w:rPr>
              <w:t xml:space="preserve">所投产品</w:t>
            </w:r>
            <w:r>
              <w:rPr>
                <w:rFonts w:hint="eastAsia" w:ascii="Times New Roman" w:hAnsi="Times New Roman" w:eastAsia="宋体" w:cs="宋体"/>
                <w:color w:val="auto"/>
                <w:szCs w:val="21"/>
                <w:highlight w:val="none"/>
              </w:rPr>
              <w:t xml:space="preserve">经营</w:t>
            </w:r>
            <w:r>
              <w:rPr>
                <w:rFonts w:hint="eastAsia" w:ascii="Times New Roman" w:hAnsi="Times New Roman" w:eastAsia="宋体" w:cs="宋体"/>
                <w:color w:val="auto"/>
                <w:szCs w:val="21"/>
                <w:highlight w:val="none"/>
                <w:lang w:val="en-US" w:eastAsia="zh-CN"/>
              </w:rPr>
              <w:t xml:space="preserve">者</w:t>
            </w:r>
            <w:r>
              <w:rPr>
                <w:rFonts w:hint="eastAsia" w:ascii="Times New Roman" w:hAnsi="Times New Roman" w:eastAsia="宋体" w:cs="宋体"/>
                <w:color w:val="auto"/>
                <w:szCs w:val="21"/>
                <w:highlight w:val="none"/>
              </w:rPr>
              <w:t xml:space="preserve">，须根据</w:t>
            </w:r>
            <w:r>
              <w:rPr>
                <w:rFonts w:hint="eastAsia" w:ascii="Times New Roman" w:hAnsi="Times New Roman" w:eastAsia="宋体" w:cs="宋体"/>
                <w:color w:val="auto"/>
                <w:szCs w:val="21"/>
                <w:highlight w:val="none"/>
                <w:lang w:val="en-US" w:eastAsia="zh-CN"/>
              </w:rPr>
              <w:t xml:space="preserve">所投产品</w:t>
            </w:r>
            <w:r>
              <w:rPr>
                <w:rFonts w:hint="eastAsia" w:ascii="Times New Roman" w:hAnsi="Times New Roman" w:eastAsia="宋体" w:cs="宋体"/>
                <w:color w:val="auto"/>
                <w:szCs w:val="21"/>
                <w:highlight w:val="none"/>
              </w:rPr>
              <w:t xml:space="preserve">的类别，提供投标人的医疗器械经营许可证或相应类别的医疗器械经营备案凭证</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val="en-US" w:eastAsia="zh-CN"/>
              </w:rPr>
              <w:t xml:space="preserve">如</w:t>
            </w:r>
            <w:r>
              <w:rPr>
                <w:rFonts w:hint="eastAsia" w:ascii="Times New Roman" w:hAnsi="Times New Roman" w:eastAsia="宋体" w:cs="宋体"/>
                <w:color w:val="auto"/>
                <w:szCs w:val="21"/>
                <w:highlight w:val="none"/>
              </w:rPr>
              <w:t xml:space="preserve">投标人为</w:t>
            </w:r>
            <w:r>
              <w:rPr>
                <w:rFonts w:hint="eastAsia" w:ascii="Times New Roman" w:hAnsi="Times New Roman" w:eastAsia="宋体" w:cs="宋体"/>
                <w:color w:val="auto"/>
                <w:szCs w:val="21"/>
                <w:highlight w:val="none"/>
                <w:lang w:val="en-US" w:eastAsia="zh-CN"/>
              </w:rPr>
              <w:t xml:space="preserve">所投产品生产者</w:t>
            </w:r>
            <w:r>
              <w:rPr>
                <w:rFonts w:hint="eastAsia" w:ascii="Times New Roman" w:hAnsi="Times New Roman" w:eastAsia="宋体" w:cs="宋体"/>
                <w:color w:val="auto"/>
                <w:szCs w:val="21"/>
                <w:highlight w:val="none"/>
              </w:rPr>
              <w:t xml:space="preserve">，须提供医疗器械生产许可证</w:t>
            </w:r>
            <w:r>
              <w:rPr>
                <w:rFonts w:hint="eastAsia" w:ascii="Times New Roman" w:hAnsi="Times New Roman" w:eastAsia="宋体" w:cs="宋体"/>
                <w:color w:val="auto"/>
                <w:szCs w:val="21"/>
                <w:highlight w:val="none"/>
                <w:lang w:eastAsia="zh-CN"/>
              </w:rPr>
              <w:t xml:space="preserve">。</w:t>
            </w:r>
            <w:bookmarkStart w:id="85" w:name="_GoBack"/>
            <w:r/>
            <w:bookmarkEnd w:id="85"/>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val="en-US" w:eastAsia="zh-CN"/>
              </w:rPr>
              <w:t xml:space="preserve">9</w:t>
            </w:r>
            <w:r/>
          </w:p>
        </w:tc>
        <w:tc>
          <w:tcPr>
            <w:tcW w:w="5854"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投标函</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val="en-US" w:eastAsia="zh-CN"/>
              </w:rPr>
              <w:t xml:space="preserve">10</w:t>
            </w:r>
            <w:r/>
          </w:p>
        </w:tc>
        <w:tc>
          <w:tcPr>
            <w:tcW w:w="5854"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法人授权书</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ind w:firstLine="1476"/>
        <w:pageBreakBefore w:val="0"/>
        <w:spacing w:line="360" w:lineRule="auto"/>
        <w:rPr>
          <w:rFonts w:ascii="Times New Roman" w:hAnsi="Times New Roman" w:eastAsia="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highlight w:val="none"/>
        </w:rPr>
      </w:r>
      <w:r/>
    </w:p>
    <w:p>
      <w:pPr>
        <w:ind w:firstLine="1476"/>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具备履行合同所必需的设备和专业技术能力的书面声明</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主要设备有：。</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主要专业技术能力有：。</w:t>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br w:type="page" w:clear="all"/>
      </w:r>
      <w:r/>
    </w:p>
    <w:p>
      <w:pP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参加本次政府采购活动前 3 年内在经营活动中没有重大违法记录的书面声明</w:t>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声  明</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                               供应商名称</w:t>
      </w:r>
      <w:r>
        <w:rPr>
          <w:rFonts w:hint="eastAsia" w:ascii="Times New Roman" w:hAnsi="Times New Roman" w:eastAsia="宋体"/>
          <w:bCs/>
          <w:color w:val="auto"/>
          <w:highlight w:val="none"/>
          <w:lang w:eastAsia="zh-CN"/>
        </w:rPr>
        <w:t xml:space="preserve">（</w:t>
      </w:r>
      <w:r>
        <w:rPr>
          <w:rFonts w:hint="eastAsia" w:ascii="Times New Roman" w:hAnsi="Times New Roman" w:eastAsia="宋体"/>
          <w:bCs/>
          <w:color w:val="auto"/>
          <w:highlight w:val="none"/>
        </w:rPr>
        <w:t xml:space="preserve">公章）：</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                               法定代表人签章：</w:t>
      </w:r>
      <w:r>
        <w:rPr>
          <w:rFonts w:hint="eastAsia" w:ascii="Times New Roman" w:hAnsi="Times New Roman" w:eastAsia="宋体"/>
          <w:bCs/>
          <w:color w:val="auto"/>
          <w:highlight w:val="none"/>
          <w:u w:val="single"/>
        </w:rPr>
        <w:t xml:space="preserve">_______________________</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                               日期：  年  月  日</w:t>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bCs/>
          <w:color w:val="auto"/>
          <w:highlight w:val="none"/>
        </w:rPr>
        <w:br w:type="page" w:clear="all"/>
      </w:r>
      <w:r>
        <w:rPr>
          <w:rFonts w:hint="eastAsia" w:ascii="Times New Roman" w:hAnsi="Times New Roman" w:eastAsia="宋体"/>
          <w:b/>
          <w:color w:val="auto"/>
          <w:szCs w:val="21"/>
          <w:highlight w:val="none"/>
        </w:rPr>
        <w:t xml:space="preserve">供应商信用承诺书</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承诺主体名称：</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统一社会信用代码：</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四、自觉接受行政管理部门、行业组织、社会公众、新闻舆论的监督；</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七、严格遵守信用信息公示相关规定，向社会公示信用信息；</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十、本承诺书自签订之日起生效。</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注：法定代表人或负责人、主体名称发生变更的应当重新做出承诺。）</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承诺单位</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签章）：           </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法定代表人</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负责人）：</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年    月    日</w:t>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br w:type="page" w:clear="all"/>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投标函格式</w:t>
      </w:r>
      <w:r/>
    </w:p>
    <w:p>
      <w:pPr>
        <w:pStyle w:val="914"/>
        <w:ind w:firstLine="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致：</w:t>
      </w:r>
      <w:r>
        <w:rPr>
          <w:rFonts w:hint="eastAsia" w:ascii="Times New Roman" w:hAnsi="Times New Roman" w:eastAsia="宋体"/>
          <w:color w:val="auto"/>
          <w:sz w:val="21"/>
          <w:highlight w:val="none"/>
        </w:rPr>
        <w:t xml:space="preserve">江苏苏维工程管理有限公司</w:t>
      </w:r>
      <w:r/>
    </w:p>
    <w:p>
      <w:pPr>
        <w:pStyle w:val="914"/>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根据贵方的</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rPr>
        <w:t xml:space="preserve">）号招标文件，正式授权下述签字人_________________</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rPr>
        <w:t xml:space="preserve">姓名</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rPr>
        <w:t xml:space="preserve">代表我方______________</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rPr>
        <w:t xml:space="preserve">投标人的名称），全权处理本次项目投标的有关事宜。</w:t>
      </w:r>
      <w:r/>
    </w:p>
    <w:p>
      <w:pPr>
        <w:pStyle w:val="914"/>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据此函，__________签字人</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rPr>
        <w:t xml:space="preserve">姓名）兹宣布同意如下：</w:t>
      </w:r>
      <w:r/>
    </w:p>
    <w:p>
      <w:pPr>
        <w:pStyle w:val="914"/>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1.按招标文件规定的各项要求，向买方提供所需货物与服务。</w:t>
      </w:r>
      <w:r/>
    </w:p>
    <w:p>
      <w:pPr>
        <w:pStyle w:val="914"/>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2.我们完全理解贵方不一定将合同授予最低报价的投标人。</w:t>
      </w:r>
      <w:r/>
    </w:p>
    <w:p>
      <w:pPr>
        <w:pStyle w:val="914"/>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3.我们已详细审核全部招标文件及其有效补充文件，我们知道必须放弃提出含糊不清或误解问题的权利。</w:t>
      </w:r>
      <w:r/>
    </w:p>
    <w:p>
      <w:pPr>
        <w:pStyle w:val="914"/>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4.我们同意从规定的开标日期起遵循本投标文件，并在规定的投标有效期期满之前均具有约束力。</w:t>
      </w:r>
      <w:r/>
    </w:p>
    <w:p>
      <w:pPr>
        <w:pStyle w:val="914"/>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14"/>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14"/>
        <w:ind w:left="425" w:firstLine="105"/>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7.与本投标有关的正式通讯地址为：</w:t>
      </w:r>
      <w:r/>
    </w:p>
    <w:p>
      <w:pPr>
        <w:pStyle w:val="914"/>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地 址：</w:t>
      </w:r>
      <w:r/>
    </w:p>
    <w:p>
      <w:pPr>
        <w:pStyle w:val="914"/>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邮 编：</w:t>
      </w:r>
      <w:r/>
    </w:p>
    <w:p>
      <w:pPr>
        <w:pStyle w:val="914"/>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电 话： </w:t>
      </w:r>
      <w:r/>
    </w:p>
    <w:p>
      <w:pPr>
        <w:pStyle w:val="914"/>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传 真： </w:t>
      </w:r>
      <w:r/>
    </w:p>
    <w:p>
      <w:pPr>
        <w:pStyle w:val="914"/>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投标人开户行：</w:t>
      </w:r>
      <w:r/>
    </w:p>
    <w:p>
      <w:pPr>
        <w:pStyle w:val="914"/>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账 户： </w:t>
      </w:r>
      <w:r/>
    </w:p>
    <w:p>
      <w:pPr>
        <w:pStyle w:val="914"/>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行 号：</w:t>
      </w:r>
      <w:r/>
    </w:p>
    <w:p>
      <w:pPr>
        <w:pStyle w:val="914"/>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 期：________年____月____日</w:t>
      </w:r>
      <w:r/>
    </w:p>
    <w:p>
      <w:pPr>
        <w:contextualSpacing/>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br w:type="page" w:clear="all"/>
      </w:r>
      <w:r/>
    </w:p>
    <w:p>
      <w:pPr>
        <w:pStyle w:val="915"/>
        <w:ind w:firstLine="422"/>
        <w:jc w:val="center"/>
        <w:pageBreakBefore w:val="0"/>
        <w:spacing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法人授权书</w:t>
      </w:r>
      <w:r/>
    </w:p>
    <w:p>
      <w:pPr>
        <w:pStyle w:val="915"/>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本授权书声明：</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rPr>
        <w:t xml:space="preserve">投标人名称）授权</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rPr>
        <w:t xml:space="preserve">被授权人的姓名）为我方就</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rPr>
        <w:t xml:space="preserve">项目编号）号</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rPr>
        <w:t xml:space="preserve">项目名称）项目采购活动的合法代理人，以本公司名义全权处理一切与该项目采购有关的事务。</w:t>
      </w:r>
      <w:r/>
    </w:p>
    <w:p>
      <w:pPr>
        <w:pStyle w:val="915"/>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本授权书于</w:t>
      </w:r>
      <w:r>
        <w:rPr>
          <w:rFonts w:ascii="Times New Roman" w:hAnsi="Times New Roman" w:eastAsia="宋体"/>
          <w:color w:val="auto"/>
          <w:sz w:val="21"/>
          <w:szCs w:val="21"/>
          <w:highlight w:val="none"/>
        </w:rPr>
        <w:t xml:space="preserve">______</w:t>
      </w:r>
      <w:r>
        <w:rPr>
          <w:rFonts w:hint="eastAsia" w:ascii="Times New Roman" w:hAnsi="Times New Roman" w:eastAsia="宋体"/>
          <w:color w:val="auto"/>
          <w:sz w:val="21"/>
          <w:szCs w:val="21"/>
          <w:highlight w:val="none"/>
        </w:rPr>
        <w:t xml:space="preserve">年</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月</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日起生效，特此声明。</w:t>
      </w:r>
      <w:r/>
    </w:p>
    <w:p>
      <w:pPr>
        <w:pStyle w:val="915"/>
        <w:ind w:firstLine="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pStyle w:val="915"/>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被授权人姓名： </w:t>
      </w:r>
      <w:r/>
    </w:p>
    <w:p>
      <w:pPr>
        <w:pStyle w:val="915"/>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联系电话</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rPr>
        <w:t xml:space="preserve">手机）：</w:t>
      </w:r>
      <w:r/>
    </w:p>
    <w:p>
      <w:pPr>
        <w:pStyle w:val="915"/>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单位名称： </w:t>
      </w:r>
      <w:r/>
    </w:p>
    <w:p>
      <w:pPr>
        <w:pStyle w:val="915"/>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单位地址：</w:t>
      </w:r>
      <w:r/>
    </w:p>
    <w:p>
      <w:pPr>
        <w:pStyle w:val="915"/>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w:t>
      </w:r>
      <w:r/>
    </w:p>
    <w:p>
      <w:pPr>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pageBreakBefore w:val="0"/>
        <w:spacing w:line="360" w:lineRule="auto"/>
        <w:rPr>
          <w:rFonts w:ascii="Times New Roman" w:hAnsi="Times New Roman" w:eastAsia="宋体"/>
          <w:bCs/>
          <w:color w:val="auto"/>
          <w:sz w:val="24"/>
          <w:highlight w:val="none"/>
        </w:rPr>
      </w:pPr>
      <w:r>
        <w:rPr>
          <w:rFonts w:ascii="Times New Roman" w:hAnsi="Times New Roman" w:eastAsia="宋体"/>
          <w:bCs/>
          <w:color w:val="auto"/>
          <w:sz w:val="24"/>
          <w:highlight w:val="none"/>
        </w:rPr>
      </w:r>
      <w:r/>
    </w:p>
    <w:p>
      <w:pPr>
        <w:ind w:firstLine="420"/>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被授权人身份证复印件：</w:t>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bCs/>
          <w:color w:val="auto"/>
          <w:highlight w:val="none"/>
        </w:rPr>
        <w:t xml:space="preserve">法</w:t>
      </w:r>
      <w:r>
        <w:rPr>
          <w:rFonts w:hint="eastAsia" w:ascii="Times New Roman" w:hAnsi="Times New Roman" w:eastAsia="宋体"/>
          <w:bCs/>
          <w:color w:val="auto"/>
          <w:highlight w:val="none"/>
          <w:lang w:val="en-US" w:eastAsia="zh-CN"/>
        </w:rPr>
        <w:t xml:space="preserve">定代表</w:t>
      </w:r>
      <w:r>
        <w:rPr>
          <w:rFonts w:hint="eastAsia" w:ascii="Times New Roman" w:hAnsi="Times New Roman" w:eastAsia="宋体"/>
          <w:bCs/>
          <w:color w:val="auto"/>
          <w:highlight w:val="none"/>
        </w:rPr>
        <w:t xml:space="preserve">人身份证复印件：</w:t>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p>
      <w:pPr>
        <w:pStyle w:val="711"/>
        <w:pageBreakBefore w:val="0"/>
        <w:spacing w:before="0" w:after="0" w:line="360" w:lineRule="auto"/>
        <w:rPr>
          <w:rFonts w:ascii="Times New Roman" w:hAnsi="Times New Roman" w:eastAsia="宋体"/>
          <w:color w:val="auto"/>
          <w:sz w:val="32"/>
          <w:highlight w:val="none"/>
        </w:rPr>
      </w:pPr>
      <w:r/>
      <w:bookmarkStart w:id="66" w:name="_Toc25323"/>
      <w:r>
        <w:rPr>
          <w:rFonts w:hint="eastAsia" w:ascii="Times New Roman" w:hAnsi="Times New Roman" w:eastAsia="宋体"/>
          <w:color w:val="auto"/>
          <w:sz w:val="32"/>
          <w:highlight w:val="none"/>
        </w:rPr>
        <w:t xml:space="preserve">二、符合性审查响应对照表</w:t>
      </w:r>
      <w:bookmarkEnd w:id="66"/>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720"/>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符合性审查响应内容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lang w:eastAsia="zh-CN"/>
              </w:rPr>
              <w:t xml:space="preserve">（</w:t>
            </w: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bCs/>
                <w:iCs/>
                <w:color w:val="auto"/>
                <w:szCs w:val="21"/>
                <w:highlight w:val="none"/>
              </w:rPr>
            </w:pPr>
            <w:r>
              <w:rPr>
                <w:rFonts w:hint="eastAsia" w:ascii="Times New Roman" w:hAnsi="Times New Roman" w:eastAsia="宋体"/>
                <w:bCs/>
                <w:iCs/>
                <w:color w:val="auto"/>
                <w:szCs w:val="21"/>
                <w:highlight w:val="none"/>
              </w:rPr>
              <w:t xml:space="preserve">采购需求中必须满足的实质性要求</w:t>
            </w:r>
            <w:r>
              <w:rPr>
                <w:rFonts w:hint="eastAsia" w:ascii="Times New Roman" w:hAnsi="Times New Roman" w:eastAsia="宋体"/>
                <w:bCs/>
                <w:iCs/>
                <w:color w:val="auto"/>
                <w:szCs w:val="21"/>
                <w:highlight w:val="none"/>
                <w:lang w:eastAsia="zh-CN"/>
              </w:rPr>
              <w:t xml:space="preserve">（</w:t>
            </w:r>
            <w:r>
              <w:rPr>
                <w:rFonts w:hint="eastAsia" w:ascii="Times New Roman" w:hAnsi="Times New Roman" w:eastAsia="宋体"/>
                <w:bCs/>
                <w:iCs/>
                <w:color w:val="auto"/>
                <w:szCs w:val="21"/>
                <w:highlight w:val="none"/>
              </w:rPr>
              <w:t xml:space="preserve">即加斜体下划线内容，每条详细列出）</w:t>
            </w:r>
            <w:r/>
          </w:p>
        </w:tc>
        <w:tc>
          <w:tcPr>
            <w:tcW w:w="1680"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Style w:val="711"/>
        <w:pageBreakBefore w:val="0"/>
        <w:spacing w:before="0" w:after="0" w:line="360" w:lineRule="auto"/>
        <w:rPr>
          <w:rFonts w:ascii="Times New Roman" w:hAnsi="Times New Roman" w:eastAsia="宋体"/>
          <w:color w:val="auto"/>
          <w:sz w:val="32"/>
          <w:highlight w:val="none"/>
        </w:rPr>
      </w:pPr>
      <w:r/>
      <w:bookmarkStart w:id="67" w:name="_Toc16210"/>
      <w:r>
        <w:rPr>
          <w:rFonts w:hint="eastAsia" w:ascii="Times New Roman" w:hAnsi="Times New Roman" w:eastAsia="宋体"/>
          <w:color w:val="auto"/>
          <w:sz w:val="32"/>
          <w:highlight w:val="none"/>
        </w:rPr>
        <w:t xml:space="preserve">三、非实质性响应对照表</w:t>
      </w:r>
      <w:bookmarkEnd w:id="67"/>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720"/>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非实质性响应内容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lang w:eastAsia="zh-CN"/>
              </w:rPr>
              <w:t xml:space="preserve">（</w:t>
            </w: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《中小企业声明函》</w:t>
            </w:r>
            <w:r/>
          </w:p>
        </w:tc>
        <w:tc>
          <w:tcPr>
            <w:tcW w:w="1680"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olor w:val="auto"/>
                <w:szCs w:val="21"/>
                <w:highlight w:val="none"/>
              </w:rPr>
              <w:t xml:space="preserve">《残疾人福利性单位声明函》</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br w:type="page" w:clear="all"/>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中小企业声明函</w:t>
      </w:r>
      <w:r>
        <w:rPr>
          <w:rFonts w:hint="eastAsia" w:ascii="Times New Roman" w:hAnsi="Times New Roman" w:eastAsia="宋体"/>
          <w:b/>
          <w:bCs/>
          <w:color w:val="auto"/>
          <w:highlight w:val="none"/>
          <w:lang w:eastAsia="zh-CN"/>
        </w:rPr>
        <w:t xml:space="preserve">（</w:t>
      </w:r>
      <w:r>
        <w:rPr>
          <w:rFonts w:hint="eastAsia" w:ascii="Times New Roman" w:hAnsi="Times New Roman" w:eastAsia="宋体"/>
          <w:b/>
          <w:bCs/>
          <w:color w:val="auto"/>
          <w:highlight w:val="none"/>
        </w:rPr>
        <w:t xml:space="preserve">货物）</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本公司</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联合体）郑重声明，根据《政府采购促进中小企业发展管理办法》</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财库﹝2020﹞46 号）的规定，本公司</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联合体）参加</w:t>
      </w:r>
      <w:r>
        <w:rPr>
          <w:rFonts w:hint="eastAsia" w:ascii="Times New Roman" w:hAnsi="Times New Roman" w:eastAsia="宋体"/>
          <w:color w:val="auto"/>
          <w:highlight w:val="none"/>
          <w:u w:val="single"/>
          <w:lang w:eastAsia="zh-CN"/>
        </w:rPr>
        <w:t xml:space="preserve">（</w:t>
      </w:r>
      <w:r>
        <w:rPr>
          <w:rFonts w:hint="eastAsia" w:ascii="Times New Roman" w:hAnsi="Times New Roman" w:eastAsia="宋体"/>
          <w:color w:val="auto"/>
          <w:highlight w:val="none"/>
          <w:u w:val="single"/>
        </w:rPr>
        <w:t xml:space="preserve">单位名称）</w:t>
      </w:r>
      <w:r>
        <w:rPr>
          <w:rFonts w:hint="eastAsia" w:ascii="Times New Roman" w:hAnsi="Times New Roman" w:eastAsia="宋体"/>
          <w:color w:val="auto"/>
          <w:highlight w:val="none"/>
        </w:rPr>
        <w:t xml:space="preserve">的</w:t>
      </w:r>
      <w:r>
        <w:rPr>
          <w:rFonts w:hint="eastAsia" w:ascii="Times New Roman" w:hAnsi="Times New Roman" w:eastAsia="宋体"/>
          <w:color w:val="auto"/>
          <w:highlight w:val="none"/>
          <w:u w:val="single"/>
          <w:lang w:eastAsia="zh-CN"/>
        </w:rPr>
        <w:t xml:space="preserve">（</w:t>
      </w:r>
      <w:r>
        <w:rPr>
          <w:rFonts w:hint="eastAsia" w:ascii="Times New Roman" w:hAnsi="Times New Roman" w:eastAsia="宋体"/>
          <w:color w:val="auto"/>
          <w:highlight w:val="none"/>
          <w:u w:val="single"/>
        </w:rPr>
        <w:t xml:space="preserve">项目名称）</w:t>
      </w:r>
      <w:r>
        <w:rPr>
          <w:rFonts w:hint="eastAsia" w:ascii="Times New Roman" w:hAnsi="Times New Roman" w:eastAsia="宋体"/>
          <w:color w:val="auto"/>
          <w:highlight w:val="none"/>
        </w:rPr>
        <w:t xml:space="preserve">采购活动，提供的货物全部由符合政策要求的中小企业制造。相关企业</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含联合体中的中小企业、签订分包意向协议的中小企业）的具体情况如下：</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 </w:t>
      </w:r>
      <w:r>
        <w:rPr>
          <w:rFonts w:hint="eastAsia" w:ascii="Times New Roman" w:hAnsi="Times New Roman" w:eastAsia="宋体"/>
          <w:color w:val="auto"/>
          <w:highlight w:val="none"/>
          <w:u w:val="single"/>
          <w:lang w:eastAsia="zh-CN"/>
        </w:rPr>
        <w:t xml:space="preserve">（</w:t>
      </w:r>
      <w:r>
        <w:rPr>
          <w:rFonts w:hint="eastAsia" w:ascii="Times New Roman" w:hAnsi="Times New Roman" w:eastAsia="宋体"/>
          <w:color w:val="auto"/>
          <w:highlight w:val="none"/>
          <w:u w:val="single"/>
        </w:rPr>
        <w:t xml:space="preserve">标的名称） </w:t>
      </w:r>
      <w:r>
        <w:rPr>
          <w:rFonts w:hint="eastAsia" w:ascii="Times New Roman" w:hAnsi="Times New Roman" w:eastAsia="宋体"/>
          <w:color w:val="auto"/>
          <w:highlight w:val="none"/>
        </w:rPr>
        <w:t xml:space="preserve">，属于</w:t>
      </w:r>
      <w:r>
        <w:rPr>
          <w:rFonts w:hint="eastAsia" w:ascii="Times New Roman" w:hAnsi="Times New Roman" w:eastAsia="宋体"/>
          <w:b/>
          <w:bCs/>
          <w:color w:val="auto"/>
          <w:highlight w:val="none"/>
          <w:u w:val="single"/>
          <w:lang w:eastAsia="zh-CN"/>
        </w:rPr>
        <w:t xml:space="preserve">（</w:t>
      </w:r>
      <w:r>
        <w:rPr>
          <w:rFonts w:hint="eastAsia" w:ascii="Times New Roman" w:hAnsi="Times New Roman" w:eastAsia="宋体" w:cs="宋体"/>
          <w:b/>
          <w:bCs/>
          <w:color w:val="auto"/>
          <w:szCs w:val="21"/>
          <w:highlight w:val="none"/>
          <w:u w:val="single"/>
        </w:rPr>
        <w:t xml:space="preserve">工业</w:t>
      </w:r>
      <w:r>
        <w:rPr>
          <w:rFonts w:hint="eastAsia" w:ascii="Times New Roman" w:hAnsi="Times New Roman" w:eastAsia="宋体"/>
          <w:b/>
          <w:bCs/>
          <w:color w:val="auto"/>
          <w:highlight w:val="none"/>
          <w:u w:val="single"/>
        </w:rPr>
        <w:t xml:space="preserve">）行业</w:t>
      </w:r>
      <w:r>
        <w:rPr>
          <w:rFonts w:hint="eastAsia" w:ascii="Times New Roman" w:hAnsi="Times New Roman" w:eastAsia="宋体"/>
          <w:color w:val="auto"/>
          <w:highlight w:val="none"/>
          <w:u w:val="single"/>
          <w:lang w:eastAsia="zh-CN"/>
        </w:rPr>
        <w:t xml:space="preserve">（</w:t>
      </w:r>
      <w:r>
        <w:rPr>
          <w:rFonts w:hint="eastAsia" w:ascii="Times New Roman" w:hAnsi="Times New Roman" w:eastAsia="宋体"/>
          <w:color w:val="auto"/>
          <w:highlight w:val="none"/>
          <w:u w:val="single"/>
        </w:rPr>
        <w:t xml:space="preserve">不得对行业类别修改）</w:t>
      </w:r>
      <w:r>
        <w:rPr>
          <w:rFonts w:hint="eastAsia" w:ascii="Times New Roman" w:hAnsi="Times New Roman" w:eastAsia="宋体"/>
          <w:color w:val="auto"/>
          <w:highlight w:val="none"/>
        </w:rPr>
        <w:t xml:space="preserve">；制造商为</w:t>
      </w:r>
      <w:r>
        <w:rPr>
          <w:rFonts w:hint="eastAsia" w:ascii="Times New Roman" w:hAnsi="Times New Roman" w:eastAsia="宋体"/>
          <w:color w:val="auto"/>
          <w:highlight w:val="none"/>
          <w:u w:val="single"/>
          <w:lang w:eastAsia="zh-CN"/>
        </w:rPr>
        <w:t xml:space="preserve">（</w:t>
      </w:r>
      <w:r>
        <w:rPr>
          <w:rFonts w:hint="eastAsia" w:ascii="Times New Roman" w:hAnsi="Times New Roman" w:eastAsia="宋体"/>
          <w:color w:val="auto"/>
          <w:highlight w:val="none"/>
          <w:u w:val="single"/>
        </w:rPr>
        <w:t xml:space="preserve">企业名称）</w:t>
      </w:r>
      <w:r>
        <w:rPr>
          <w:rFonts w:hint="eastAsia" w:ascii="Times New Roman" w:hAnsi="Times New Roman" w:eastAsia="宋体"/>
          <w:color w:val="auto"/>
          <w:highlight w:val="none"/>
        </w:rPr>
        <w:t xml:space="preserve">，从业人员人，营业收入为万元，资产总额为万元</w:t>
      </w: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\l "br1" </w:instrText>
      </w:r>
      <w:r>
        <w:rPr>
          <w:rFonts w:ascii="Times New Roman" w:hAnsi="Times New Roman" w:eastAsia="宋体"/>
          <w:color w:val="auto"/>
          <w:highlight w:val="none"/>
        </w:rPr>
        <w:fldChar w:fldCharType="separate"/>
      </w:r>
      <w:r>
        <w:rPr>
          <w:rFonts w:ascii="Times New Roman" w:hAnsi="Times New Roman" w:eastAsia="宋体"/>
          <w:color w:val="auto"/>
          <w:spacing w:val="-1"/>
          <w:highlight w:val="none"/>
          <w:vertAlign w:val="superscript"/>
        </w:rPr>
        <w:t xml:space="preserve">1</w:t>
      </w:r>
      <w:r>
        <w:rPr>
          <w:rFonts w:ascii="Times New Roman" w:hAnsi="Times New Roman" w:eastAsia="宋体"/>
          <w:color w:val="auto"/>
          <w:spacing w:val="-1"/>
          <w:highlight w:val="none"/>
          <w:vertAlign w:val="superscript"/>
        </w:rPr>
        <w:fldChar w:fldCharType="end"/>
      </w:r>
      <w:r>
        <w:rPr>
          <w:rFonts w:hint="eastAsia" w:ascii="Times New Roman" w:hAnsi="Times New Roman" w:eastAsia="宋体"/>
          <w:color w:val="auto"/>
          <w:highlight w:val="none"/>
        </w:rPr>
        <w:t xml:space="preserve">，属于</w:t>
      </w:r>
      <w:r>
        <w:rPr>
          <w:rFonts w:hint="eastAsia" w:ascii="Times New Roman" w:hAnsi="Times New Roman" w:eastAsia="宋体"/>
          <w:color w:val="auto"/>
          <w:highlight w:val="none"/>
          <w:u w:val="single"/>
          <w:lang w:eastAsia="zh-CN"/>
        </w:rPr>
        <w:t xml:space="preserve">（</w:t>
      </w:r>
      <w:r>
        <w:rPr>
          <w:rFonts w:hint="eastAsia" w:ascii="Times New Roman" w:hAnsi="Times New Roman" w:eastAsia="宋体"/>
          <w:color w:val="auto"/>
          <w:highlight w:val="none"/>
          <w:u w:val="single"/>
        </w:rPr>
        <w:t xml:space="preserve">中型企业、小型企业、微型企业）；</w:t>
      </w:r>
      <w:r/>
    </w:p>
    <w:p>
      <w:pPr>
        <w:ind w:firstLine="420"/>
        <w:jc w:val="left"/>
        <w:pageBreakBefore w:val="0"/>
        <w:spacing w:line="360" w:lineRule="auto"/>
        <w:rPr>
          <w:rFonts w:ascii="Times New Roman" w:hAnsi="Times New Roman" w:eastAsia="宋体"/>
          <w:color w:val="auto"/>
          <w:highlight w:val="none"/>
          <w:u w:val="single"/>
        </w:rPr>
      </w:pPr>
      <w:r>
        <w:rPr>
          <w:rFonts w:hint="eastAsia" w:ascii="Times New Roman" w:hAnsi="Times New Roman" w:eastAsia="宋体"/>
          <w:color w:val="auto"/>
          <w:highlight w:val="none"/>
        </w:rPr>
        <w:t xml:space="preserve">2. </w:t>
      </w:r>
      <w:r>
        <w:rPr>
          <w:rFonts w:hint="eastAsia" w:ascii="Times New Roman" w:hAnsi="Times New Roman" w:eastAsia="宋体"/>
          <w:color w:val="auto"/>
          <w:highlight w:val="none"/>
          <w:u w:val="single"/>
          <w:lang w:eastAsia="zh-CN"/>
        </w:rPr>
        <w:t xml:space="preserve">（</w:t>
      </w:r>
      <w:r>
        <w:rPr>
          <w:rFonts w:hint="eastAsia" w:ascii="Times New Roman" w:hAnsi="Times New Roman" w:eastAsia="宋体"/>
          <w:color w:val="auto"/>
          <w:highlight w:val="none"/>
          <w:u w:val="single"/>
        </w:rPr>
        <w:t xml:space="preserve">标的名称） </w:t>
      </w:r>
      <w:r>
        <w:rPr>
          <w:rFonts w:hint="eastAsia" w:ascii="Times New Roman" w:hAnsi="Times New Roman" w:eastAsia="宋体"/>
          <w:color w:val="auto"/>
          <w:highlight w:val="none"/>
        </w:rPr>
        <w:t xml:space="preserve">，属于</w:t>
      </w:r>
      <w:r>
        <w:rPr>
          <w:rFonts w:hint="eastAsia" w:ascii="Times New Roman" w:hAnsi="Times New Roman" w:eastAsia="宋体"/>
          <w:b/>
          <w:bCs/>
          <w:color w:val="auto"/>
          <w:highlight w:val="none"/>
          <w:u w:val="single"/>
          <w:lang w:eastAsia="zh-CN"/>
        </w:rPr>
        <w:t xml:space="preserve">（</w:t>
      </w:r>
      <w:r>
        <w:rPr>
          <w:rFonts w:hint="eastAsia" w:ascii="Times New Roman" w:hAnsi="Times New Roman" w:eastAsia="宋体" w:cs="宋体"/>
          <w:b/>
          <w:bCs/>
          <w:color w:val="auto"/>
          <w:szCs w:val="21"/>
          <w:highlight w:val="none"/>
          <w:u w:val="single"/>
        </w:rPr>
        <w:t xml:space="preserve">工业</w:t>
      </w:r>
      <w:r>
        <w:rPr>
          <w:rFonts w:hint="eastAsia" w:ascii="Times New Roman" w:hAnsi="Times New Roman" w:eastAsia="宋体"/>
          <w:b/>
          <w:bCs/>
          <w:color w:val="auto"/>
          <w:highlight w:val="none"/>
          <w:u w:val="single"/>
        </w:rPr>
        <w:t xml:space="preserve">）行业</w:t>
      </w:r>
      <w:r>
        <w:rPr>
          <w:rFonts w:hint="eastAsia" w:ascii="Times New Roman" w:hAnsi="Times New Roman" w:eastAsia="宋体"/>
          <w:color w:val="auto"/>
          <w:highlight w:val="none"/>
          <w:u w:val="single"/>
          <w:lang w:eastAsia="zh-CN"/>
        </w:rPr>
        <w:t xml:space="preserve">（</w:t>
      </w:r>
      <w:r>
        <w:rPr>
          <w:rFonts w:hint="eastAsia" w:ascii="Times New Roman" w:hAnsi="Times New Roman" w:eastAsia="宋体"/>
          <w:color w:val="auto"/>
          <w:highlight w:val="none"/>
          <w:u w:val="single"/>
        </w:rPr>
        <w:t xml:space="preserve">不得对行业类别修改）；</w:t>
      </w:r>
      <w:r>
        <w:rPr>
          <w:rFonts w:hint="eastAsia" w:ascii="Times New Roman" w:hAnsi="Times New Roman" w:eastAsia="宋体"/>
          <w:color w:val="auto"/>
          <w:highlight w:val="none"/>
        </w:rPr>
        <w:t xml:space="preserve">制造商为</w:t>
      </w:r>
      <w:r>
        <w:rPr>
          <w:rFonts w:hint="eastAsia" w:ascii="Times New Roman" w:hAnsi="Times New Roman" w:eastAsia="宋体"/>
          <w:color w:val="auto"/>
          <w:highlight w:val="none"/>
          <w:u w:val="single"/>
          <w:lang w:eastAsia="zh-CN"/>
        </w:rPr>
        <w:t xml:space="preserve">（</w:t>
      </w:r>
      <w:r>
        <w:rPr>
          <w:rFonts w:hint="eastAsia" w:ascii="Times New Roman" w:hAnsi="Times New Roman" w:eastAsia="宋体"/>
          <w:color w:val="auto"/>
          <w:highlight w:val="none"/>
          <w:u w:val="single"/>
        </w:rPr>
        <w:t xml:space="preserve">企业名称）</w:t>
      </w:r>
      <w:r>
        <w:rPr>
          <w:rFonts w:hint="eastAsia" w:ascii="Times New Roman" w:hAnsi="Times New Roman" w:eastAsia="宋体"/>
          <w:color w:val="auto"/>
          <w:highlight w:val="none"/>
        </w:rPr>
        <w:t xml:space="preserve">，从业人员人，营业收入为万元，资产总额为万元，属于</w:t>
      </w:r>
      <w:r>
        <w:rPr>
          <w:rFonts w:hint="eastAsia" w:ascii="Times New Roman" w:hAnsi="Times New Roman" w:eastAsia="宋体"/>
          <w:color w:val="auto"/>
          <w:highlight w:val="none"/>
          <w:u w:val="single"/>
          <w:lang w:eastAsia="zh-CN"/>
        </w:rPr>
        <w:t xml:space="preserve">（</w:t>
      </w:r>
      <w:r>
        <w:rPr>
          <w:rFonts w:hint="eastAsia" w:ascii="Times New Roman" w:hAnsi="Times New Roman" w:eastAsia="宋体"/>
          <w:color w:val="auto"/>
          <w:highlight w:val="none"/>
          <w:u w:val="single"/>
        </w:rPr>
        <w:t xml:space="preserve">中型企业、小型企业、微型企业）；</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以上企业，不属于大企业的分支机构，不存在控股股东为大企业的情形，也不存在与大企业的负责人为同一人的情形。</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本企业对上述声明内容的真实性负责。如有虚假，将依法承担相应责任。</w:t>
      </w:r>
      <w:r/>
    </w:p>
    <w:p>
      <w:pPr>
        <w:ind w:firstLine="420"/>
        <w:jc w:val="left"/>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注：</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1、从业人员</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rPr>
        <w:t xml:space="preserve">不仅指在职职工）、营业收入、资产总额填报上一年度数据，无上一年度数据的新成立企业可不填报。</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2、《中小企业声明函》不符合要求或未提供的，作如下处理：①如本项目专门面向中小企业采购，则投标</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rPr>
        <w:t xml:space="preserve">响应）文件无效；②如本项目不专门面向中小企业采购，则价格将不做相应扣除。</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3、货物采购项目中，中小微企业判定以货物制造商的信息为准。</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4、企业声明函请完整填写，中标后将公示。</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5、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6、声明函请按照第四章项目需求中的采购清单并根据实际情况逐项填写，否则视为不符合要求。</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7、</w:t>
      </w:r>
      <w:r>
        <w:rPr>
          <w:rFonts w:hint="eastAsia" w:ascii="Times New Roman" w:hAnsi="Times New Roman" w:eastAsia="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8、</w:t>
      </w:r>
      <w:r>
        <w:rPr>
          <w:rFonts w:hint="eastAsia" w:ascii="Times New Roman" w:hAnsi="Times New Roman" w:eastAsia="宋体" w:cs="宋体"/>
          <w:bCs/>
          <w:color w:val="auto"/>
          <w:szCs w:val="21"/>
          <w:highlight w:val="none"/>
          <w:shd w:val="clear" w:color="auto" w:fill="ffffff"/>
        </w:rPr>
        <w:t xml:space="preserve">《</w:t>
      </w:r>
      <w:r>
        <w:rPr>
          <w:rFonts w:hint="eastAsia" w:ascii="Times New Roman" w:hAnsi="Times New Roman" w:cs="宋体"/>
          <w:bCs/>
          <w:color w:val="auto"/>
          <w:szCs w:val="21"/>
          <w:highlight w:val="none"/>
          <w:shd w:val="clear" w:color="auto" w:fill="ffffff"/>
          <w:lang w:eastAsia="zh-CN"/>
        </w:rPr>
        <w:t xml:space="preserve">中华人民共和国政府采购法</w:t>
      </w:r>
      <w:r>
        <w:rPr>
          <w:rFonts w:hint="eastAsia" w:ascii="Times New Roman" w:hAnsi="Times New Roman" w:eastAsia="宋体" w:cs="宋体"/>
          <w:bCs/>
          <w:color w:val="auto"/>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711"/>
        <w:pageBreakBefore w:val="0"/>
        <w:spacing w:before="0" w:after="0"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525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企业名称</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盖章）：</w:t>
      </w:r>
      <w:r/>
    </w:p>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                             日 期：</w:t>
      </w:r>
      <w:r/>
    </w:p>
    <w:p>
      <w:pPr>
        <w:jc w:val="center"/>
        <w:pageBreakBefore w:val="0"/>
        <w:spacing w:line="360" w:lineRule="auto"/>
        <w:rPr>
          <w:rStyle w:val="753"/>
          <w:rFonts w:ascii="Times New Roman" w:hAnsi="Times New Roman" w:eastAsia="宋体" w:cs="仿宋"/>
          <w:color w:val="auto"/>
          <w:szCs w:val="21"/>
          <w:highlight w:val="none"/>
        </w:rPr>
      </w:pPr>
      <w:r>
        <w:rPr>
          <w:rStyle w:val="753"/>
          <w:rFonts w:hint="eastAsia" w:ascii="Times New Roman" w:hAnsi="Times New Roman" w:eastAsia="宋体" w:cs="仿宋"/>
          <w:color w:val="auto"/>
          <w:szCs w:val="21"/>
          <w:highlight w:val="none"/>
        </w:rPr>
        <w:t xml:space="preserve">中小微企业划型标准</w:t>
      </w:r>
      <w:r/>
    </w:p>
    <w:p>
      <w:pPr>
        <w:pStyle w:val="748"/>
        <w:ind w:firstLine="420"/>
        <w:pageBreakBefore w:val="0"/>
        <w:spacing w:line="360" w:lineRule="auto"/>
        <w:widowControl/>
        <w:rPr>
          <w:rFonts w:ascii="Times New Roman" w:hAnsi="Times New Roman" w:eastAsia="宋体"/>
          <w:color w:val="auto"/>
          <w:sz w:val="21"/>
          <w:szCs w:val="21"/>
          <w:highlight w:val="none"/>
        </w:rPr>
      </w:pPr>
      <w:r>
        <w:rPr>
          <w:rFonts w:hint="eastAsia" w:ascii="Times New Roman" w:hAnsi="Times New Roman" w:eastAsia="宋体" w:cs="仿宋"/>
          <w:color w:val="auto"/>
          <w:sz w:val="21"/>
          <w:szCs w:val="21"/>
          <w:highlight w:val="none"/>
        </w:rPr>
        <w:t xml:space="preserve">    </w:t>
      </w:r>
      <w:r>
        <w:rPr>
          <w:rStyle w:val="753"/>
          <w:rFonts w:hint="eastAsia" w:ascii="Times New Roman" w:hAnsi="Times New Roman" w:eastAsia="宋体" w:cs="仿宋"/>
          <w:color w:val="auto"/>
          <w:sz w:val="21"/>
          <w:szCs w:val="21"/>
          <w:highlight w:val="none"/>
        </w:rPr>
        <w:t xml:space="preserve">中小微企业划型标准如下：</w:t>
      </w:r>
      <w:r/>
    </w:p>
    <w:tbl>
      <w:tblPr>
        <w:tblStyle w:val="720"/>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48"/>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营业收入</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从业人员</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营业收入</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营业收入</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资产总额</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从业人员</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营业收入</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从业人员</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营业收入</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从业人员</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营业收入</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从业人员</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营业收入</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从业人员</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营业收入</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从业人员</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ind w:firstLine="420"/>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营业收入</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从业人员</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营业收入</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从业人员</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营业收入</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从业人员</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营业收入</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营业收入</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资产总额</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从业人员</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营业收入</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从业人员</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资产总额</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从业人员</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pageBreakBefore w:val="0"/>
              <w:spacing w:line="360" w:lineRule="auto"/>
              <w:widowControl/>
              <w:rPr>
                <w:rFonts w:ascii="Times New Roman" w:hAnsi="Times New Roman" w:eastAsia="宋体"/>
                <w:color w:val="auto"/>
                <w:sz w:val="21"/>
                <w:szCs w:val="21"/>
                <w:highlight w:val="none"/>
              </w:rPr>
            </w:pPr>
            <w:r>
              <w:rPr>
                <w:rStyle w:val="753"/>
                <w:rFonts w:hint="eastAsia" w:ascii="Times New Roman" w:hAnsi="Times New Roman" w:eastAsia="宋体" w:cs="仿宋"/>
                <w:color w:val="auto"/>
                <w:sz w:val="21"/>
                <w:szCs w:val="21"/>
                <w:highlight w:val="none"/>
              </w:rPr>
              <w:t xml:space="preserve">X＜10</w:t>
            </w:r>
            <w:r/>
          </w:p>
        </w:tc>
      </w:tr>
    </w:tbl>
    <w:p>
      <w:pPr>
        <w:pStyle w:val="748"/>
        <w:ind w:firstLine="810"/>
        <w:pageBreakBefore w:val="0"/>
        <w:spacing w:line="360" w:lineRule="auto"/>
        <w:widowControl/>
        <w:rPr>
          <w:rStyle w:val="753"/>
          <w:rFonts w:ascii="Times New Roman" w:hAnsi="Times New Roman" w:eastAsia="宋体" w:cs="仿宋"/>
          <w:color w:val="auto"/>
          <w:sz w:val="21"/>
          <w:szCs w:val="21"/>
          <w:highlight w:val="none"/>
        </w:rPr>
      </w:pPr>
      <w:r>
        <w:rPr>
          <w:rStyle w:val="753"/>
          <w:rFonts w:hint="eastAsia" w:ascii="Times New Roman" w:hAnsi="Times New Roman" w:eastAsia="宋体" w:cs="仿宋"/>
          <w:color w:val="auto"/>
          <w:sz w:val="21"/>
          <w:szCs w:val="21"/>
          <w:highlight w:val="none"/>
        </w:rPr>
        <w:t xml:space="preserve">说明：上述标准参照《关于印发中小企业划型标准规定的通知》</w:t>
      </w:r>
      <w:r>
        <w:rPr>
          <w:rStyle w:val="753"/>
          <w:rFonts w:hint="eastAsia" w:ascii="Times New Roman" w:hAnsi="Times New Roman" w:eastAsia="宋体" w:cs="仿宋"/>
          <w:color w:val="auto"/>
          <w:sz w:val="21"/>
          <w:szCs w:val="21"/>
          <w:highlight w:val="none"/>
          <w:lang w:eastAsia="zh-CN"/>
        </w:rPr>
        <w:t xml:space="preserve">（</w:t>
      </w:r>
      <w:r>
        <w:rPr>
          <w:rStyle w:val="753"/>
          <w:rFonts w:hint="eastAsia" w:ascii="Times New Roman" w:hAnsi="Times New Roman" w:eastAsia="宋体" w:cs="仿宋"/>
          <w:color w:val="auto"/>
          <w:sz w:val="21"/>
          <w:szCs w:val="21"/>
          <w:highlight w:val="none"/>
        </w:rPr>
        <w:t xml:space="preserve">工信部联企业</w:t>
      </w:r>
      <w:r>
        <w:rPr>
          <w:rStyle w:val="753"/>
          <w:rFonts w:hint="eastAsia" w:cs="仿宋"/>
          <w:color w:val="auto"/>
          <w:sz w:val="21"/>
          <w:szCs w:val="21"/>
          <w:highlight w:val="none"/>
          <w:lang w:eastAsia="zh-CN"/>
        </w:rPr>
        <w:t xml:space="preserve">〔2011〕300号</w:t>
      </w:r>
      <w:r>
        <w:rPr>
          <w:rStyle w:val="753"/>
          <w:rFonts w:hint="eastAsia" w:ascii="Times New Roman" w:hAnsi="Times New Roman" w:eastAsia="宋体" w:cs="仿宋"/>
          <w:color w:val="auto"/>
          <w:sz w:val="21"/>
          <w:szCs w:val="21"/>
          <w:highlight w:val="none"/>
        </w:rPr>
        <w:t xml:space="preserve">），大型、中型和小型企业须同时满足所列指标的下限，否则下划一档；微型企业只须满足所列指标中的一项即可。</w:t>
      </w:r>
      <w:r/>
    </w:p>
    <w:p>
      <w:pPr>
        <w:pStyle w:val="712"/>
        <w:pageBreakBefore w:val="0"/>
        <w:spacing w:before="0" w:after="0" w:line="360" w:lineRule="auto"/>
        <w:rPr>
          <w:rStyle w:val="753"/>
          <w:rFonts w:ascii="Times New Roman" w:hAnsi="Times New Roman" w:eastAsia="宋体" w:cs="仿宋"/>
          <w:b w:val="0"/>
          <w:color w:val="auto"/>
          <w:sz w:val="21"/>
          <w:szCs w:val="21"/>
          <w:highlight w:val="none"/>
        </w:rPr>
      </w:pPr>
      <w:r>
        <w:rPr>
          <w:rStyle w:val="753"/>
          <w:rFonts w:ascii="Times New Roman" w:hAnsi="Times New Roman" w:eastAsia="宋体" w:cs="仿宋"/>
          <w:b w:val="0"/>
          <w:color w:val="auto"/>
          <w:sz w:val="21"/>
          <w:szCs w:val="21"/>
          <w:highlight w:val="none"/>
        </w:rPr>
        <w:br w:type="page" w:clear="all"/>
      </w:r>
      <w:r/>
    </w:p>
    <w:p>
      <w:pPr>
        <w:ind w:firstLine="2726"/>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残疾人福利性单位声明函</w:t>
      </w:r>
      <w:r/>
    </w:p>
    <w:p>
      <w:pPr>
        <w:ind w:firstLine="624"/>
        <w:pageBreakBefore w:val="0"/>
        <w:spacing w:line="360" w:lineRule="auto"/>
        <w:rPr>
          <w:rFonts w:ascii="Times New Roman" w:hAnsi="Times New Roman" w:eastAsia="宋体"/>
          <w:color w:val="auto"/>
          <w:spacing w:val="6"/>
          <w:sz w:val="30"/>
          <w:szCs w:val="30"/>
          <w:highlight w:val="none"/>
        </w:rPr>
      </w:pPr>
      <w:r>
        <w:rPr>
          <w:rFonts w:ascii="Times New Roman" w:hAnsi="Times New Roman" w:eastAsia="宋体"/>
          <w:color w:val="auto"/>
          <w:spacing w:val="6"/>
          <w:sz w:val="30"/>
          <w:szCs w:val="30"/>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本单位郑重声明，根据《财政部 民政部 中国残疾人联合会关于促进残疾人就业政府采购政策的通知》</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财库</w:t>
      </w:r>
      <w:r>
        <w:rPr>
          <w:rFonts w:hint="eastAsia" w:ascii="Times New Roman" w:hAnsi="Times New Roman"/>
          <w:color w:val="auto"/>
          <w:szCs w:val="21"/>
          <w:highlight w:val="none"/>
          <w:lang w:eastAsia="zh-CN"/>
        </w:rPr>
        <w:t xml:space="preserve">〔2017〕141号</w:t>
      </w:r>
      <w:r>
        <w:rPr>
          <w:rFonts w:hint="eastAsia" w:ascii="Times New Roman" w:hAnsi="Times New Roman" w:eastAsia="宋体"/>
          <w:color w:val="auto"/>
          <w:szCs w:val="21"/>
          <w:highlight w:val="none"/>
        </w:rPr>
        <w:t xml:space="preserve">）的规定，本单位为符合条件的残疾人福利性单位，且本单位参加______单位的采购文件编号为______的项目采购活动提供本单位制造的产品或服务</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由本单位承担工程/提供服务），或者提供其他残疾人福利性单位制造的产品或服务</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不包括使用非残疾人福利性单位注册商标的产品或服务）。</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本单位在本次政府采购活动中提供的残疾人福利单位产品报价合计为人民币</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大写）圆整</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     ）。</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本单位对上述声明的真实性负责。如有虚假，将依法承担相应责任。</w:t>
      </w:r>
      <w:r/>
    </w:p>
    <w:p>
      <w:pPr>
        <w:ind w:firstLine="420"/>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pageBreakBefore w:val="0"/>
        <w:spacing w:line="360" w:lineRule="auto"/>
        <w:rPr>
          <w:rFonts w:ascii="Times New Roman" w:hAnsi="Times New Roman" w:eastAsia="宋体"/>
          <w:color w:val="auto"/>
          <w:spacing w:val="6"/>
          <w:szCs w:val="21"/>
          <w:highlight w:val="none"/>
        </w:rPr>
      </w:pPr>
      <w:r>
        <w:rPr>
          <w:rFonts w:ascii="Times New Roman" w:hAnsi="Times New Roman" w:eastAsia="宋体"/>
          <w:color w:val="auto"/>
          <w:spacing w:val="6"/>
          <w:szCs w:val="21"/>
          <w:highlight w:val="none"/>
        </w:rPr>
      </w:r>
      <w:r/>
    </w:p>
    <w:p>
      <w:pPr>
        <w:ind w:right="1560" w:firstLine="420"/>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供应商全称</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盖章）：</w:t>
      </w:r>
      <w:r/>
    </w:p>
    <w:p>
      <w:pPr>
        <w:ind w:right="1560" w:firstLine="420"/>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日  期：</w:t>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center"/>
        <w:pageBreakBefore w:val="0"/>
        <w:spacing w:line="360" w:lineRule="auto"/>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ageBreakBefore w:val="0"/>
        <w:spacing w:line="360" w:lineRule="auto"/>
        <w:rPr>
          <w:rFonts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br w:type="page" w:clear="all"/>
      </w:r>
      <w:r/>
    </w:p>
    <w:p>
      <w:pPr>
        <w:pStyle w:val="711"/>
        <w:pageBreakBefore w:val="0"/>
        <w:spacing w:before="0" w:after="0" w:line="360" w:lineRule="auto"/>
        <w:rPr>
          <w:rFonts w:ascii="Times New Roman" w:hAnsi="Times New Roman" w:eastAsia="宋体"/>
          <w:color w:val="auto"/>
          <w:sz w:val="32"/>
          <w:highlight w:val="none"/>
        </w:rPr>
      </w:pPr>
      <w:r/>
      <w:bookmarkStart w:id="68" w:name="_Toc26122"/>
      <w:r>
        <w:rPr>
          <w:rFonts w:hint="eastAsia" w:ascii="Times New Roman" w:hAnsi="Times New Roman" w:eastAsia="宋体"/>
          <w:color w:val="auto"/>
          <w:sz w:val="32"/>
          <w:highlight w:val="none"/>
        </w:rPr>
        <w:t xml:space="preserve">四、开标一览表</w:t>
      </w:r>
      <w:bookmarkEnd w:id="68"/>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项目名称：</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项目编号：</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分包号</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如有</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 </w:t>
      </w:r>
      <w:r/>
    </w:p>
    <w:p>
      <w:pPr>
        <w:ind w:firstLine="480"/>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bl>
      <w:tblPr>
        <w:tblStyle w:val="720"/>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26"/>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投标货物及服务名称</w:t>
            </w:r>
            <w:r/>
          </w:p>
        </w:tc>
        <w:tc>
          <w:tcPr>
            <w:tcW w:w="6405"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投标总报价</w:t>
            </w:r>
            <w:r/>
          </w:p>
        </w:tc>
      </w:tr>
      <w:tr>
        <w:trPr>
          <w:cantSplit/>
          <w:trHeight w:val="1697"/>
        </w:trPr>
        <w:tc>
          <w:tcPr>
            <w:tcW w:w="2481" w:type="dxa"/>
            <w:vAlign w:val="center"/>
            <w:textDirection w:val="lrTb"/>
            <w:noWrap w:val="false"/>
          </w:tcPr>
          <w:p>
            <w:pPr>
              <w:pStyle w:val="726"/>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405" w:type="dxa"/>
            <w:vAlign w:val="center"/>
            <w:textDirection w:val="lrTb"/>
            <w:noWrap w:val="false"/>
          </w:tcPr>
          <w:p>
            <w:pPr>
              <w:pStyle w:val="914"/>
              <w:ind w:firstLine="0"/>
              <w:pageBreakBefore w:val="0"/>
              <w:spacing w:before="0" w:after="0"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大写：</w:t>
            </w:r>
            <w:r/>
          </w:p>
          <w:p>
            <w:pPr>
              <w:pStyle w:val="914"/>
              <w:ind w:firstLine="0"/>
              <w:pageBreakBefore w:val="0"/>
              <w:spacing w:before="0" w:after="0"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小写：                             </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人民币：元）</w:t>
            </w:r>
            <w:r/>
          </w:p>
          <w:p>
            <w:pPr>
              <w:pStyle w:val="914"/>
              <w:ind w:firstLine="0"/>
              <w:pageBreakBefore w:val="0"/>
              <w:spacing w:before="0" w:after="0"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bl>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80"/>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szCs w:val="21"/>
          <w:highlight w:val="none"/>
        </w:rPr>
        <w:t xml:space="preserve">                                              日期：  年月日</w:t>
      </w:r>
      <w:r/>
    </w:p>
    <w:p>
      <w:pPr>
        <w:pStyle w:val="723"/>
        <w:ind w:firstLine="640"/>
        <w:pageBreakBefore w:val="0"/>
        <w:spacing w:line="360" w:lineRule="auto"/>
        <w:rPr>
          <w:rFonts w:ascii="Times New Roman" w:hAnsi="Times New Roman" w:eastAsia="宋体"/>
          <w:color w:val="auto"/>
          <w:sz w:val="32"/>
          <w:szCs w:val="32"/>
          <w:highlight w:val="none"/>
        </w:rPr>
      </w:pPr>
      <w:r>
        <w:rPr>
          <w:rFonts w:ascii="Times New Roman" w:hAnsi="Times New Roman" w:eastAsia="宋体"/>
          <w:color w:val="auto"/>
          <w:sz w:val="32"/>
          <w:szCs w:val="32"/>
          <w:highlight w:val="none"/>
        </w:rPr>
      </w:r>
      <w:r/>
    </w:p>
    <w:p>
      <w:pPr>
        <w:pStyle w:val="723"/>
        <w:ind w:firstLine="640"/>
        <w:pageBreakBefore w:val="0"/>
        <w:spacing w:line="360" w:lineRule="auto"/>
        <w:rPr>
          <w:rFonts w:ascii="Times New Roman" w:hAnsi="Times New Roman" w:eastAsia="宋体"/>
          <w:color w:val="auto"/>
          <w:sz w:val="32"/>
          <w:szCs w:val="32"/>
          <w:highlight w:val="none"/>
        </w:rPr>
      </w:pPr>
      <w:r>
        <w:rPr>
          <w:rFonts w:ascii="Times New Roman" w:hAnsi="Times New Roman" w:eastAsia="宋体"/>
          <w:color w:val="auto"/>
          <w:sz w:val="32"/>
          <w:szCs w:val="32"/>
          <w:highlight w:val="none"/>
        </w:rPr>
      </w:r>
      <w:r/>
    </w:p>
    <w:p>
      <w:pPr>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sz w:val="32"/>
          <w:szCs w:val="32"/>
          <w:highlight w:val="none"/>
        </w:rPr>
        <w:br w:type="page" w:clear="all"/>
      </w:r>
      <w:r/>
    </w:p>
    <w:p>
      <w:pPr>
        <w:pStyle w:val="711"/>
        <w:pageBreakBefore w:val="0"/>
        <w:spacing w:before="0" w:after="0" w:line="360" w:lineRule="auto"/>
        <w:rPr>
          <w:rFonts w:ascii="Times New Roman" w:hAnsi="Times New Roman" w:eastAsia="宋体"/>
          <w:color w:val="auto"/>
          <w:sz w:val="32"/>
          <w:highlight w:val="none"/>
        </w:rPr>
      </w:pPr>
      <w:r/>
      <w:bookmarkStart w:id="69" w:name="_Toc29575"/>
      <w:r>
        <w:rPr>
          <w:rFonts w:hint="eastAsia" w:ascii="Times New Roman" w:hAnsi="Times New Roman" w:eastAsia="宋体"/>
          <w:color w:val="auto"/>
          <w:sz w:val="32"/>
          <w:highlight w:val="none"/>
        </w:rPr>
        <w:t xml:space="preserve">五、投标产品配置及分项报价表</w:t>
      </w:r>
      <w:bookmarkEnd w:id="69"/>
      <w:r/>
      <w:r/>
    </w:p>
    <w:tbl>
      <w:tblPr>
        <w:tblStyle w:val="720"/>
        <w:tblW w:w="104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27"/>
        <w:gridCol w:w="1863"/>
        <w:gridCol w:w="980"/>
        <w:gridCol w:w="1114"/>
        <w:gridCol w:w="963"/>
        <w:gridCol w:w="845"/>
        <w:gridCol w:w="1060"/>
        <w:gridCol w:w="1141"/>
      </w:tblGrid>
      <w:tr>
        <w:trPr>
          <w:cantSplit/>
          <w:jc w:val="center"/>
          <w:trHeight w:val="677"/>
        </w:trPr>
        <w:tc>
          <w:tcPr>
            <w:tcW w:w="828" w:type="dxa"/>
            <w:vAlign w:val="center"/>
            <w:textDirection w:val="lrTb"/>
            <w:noWrap w:val="false"/>
          </w:tcPr>
          <w:p>
            <w:pPr>
              <w:jc w:val="center"/>
              <w:spacing w:line="360" w:lineRule="auto"/>
              <w:rPr>
                <w:rFonts w:hint="eastAsia"/>
                <w:color w:val="auto"/>
                <w:szCs w:val="21"/>
              </w:rPr>
            </w:pPr>
            <w:r>
              <w:rPr>
                <w:rFonts w:hint="eastAsia"/>
                <w:color w:val="auto"/>
                <w:szCs w:val="21"/>
              </w:rPr>
              <w:t xml:space="preserve">序号</w:t>
            </w:r>
            <w:r/>
          </w:p>
        </w:tc>
        <w:tc>
          <w:tcPr>
            <w:tcW w:w="1627" w:type="dxa"/>
            <w:vAlign w:val="center"/>
            <w:textDirection w:val="lrTb"/>
            <w:noWrap w:val="false"/>
          </w:tcPr>
          <w:p>
            <w:pPr>
              <w:jc w:val="center"/>
              <w:spacing w:line="360" w:lineRule="auto"/>
              <w:rPr>
                <w:color w:val="auto"/>
                <w:szCs w:val="21"/>
              </w:rPr>
            </w:pPr>
            <w:r>
              <w:rPr>
                <w:rFonts w:hint="eastAsia"/>
                <w:color w:val="auto"/>
                <w:szCs w:val="21"/>
              </w:rPr>
              <w:t xml:space="preserve">产品名称</w:t>
            </w:r>
            <w:r/>
          </w:p>
        </w:tc>
        <w:tc>
          <w:tcPr>
            <w:tcW w:w="1863" w:type="dxa"/>
            <w:vAlign w:val="center"/>
            <w:textDirection w:val="lrTb"/>
            <w:noWrap w:val="false"/>
          </w:tcPr>
          <w:p>
            <w:pPr>
              <w:jc w:val="center"/>
              <w:spacing w:line="360" w:lineRule="auto"/>
              <w:rPr>
                <w:color w:val="auto"/>
                <w:szCs w:val="21"/>
              </w:rPr>
            </w:pPr>
            <w:r>
              <w:rPr>
                <w:rFonts w:hint="eastAsia"/>
                <w:color w:val="auto"/>
                <w:szCs w:val="21"/>
              </w:rPr>
              <w:t xml:space="preserve">品牌、规格、型号</w:t>
            </w:r>
            <w:r/>
          </w:p>
        </w:tc>
        <w:tc>
          <w:tcPr>
            <w:tcW w:w="980" w:type="dxa"/>
            <w:vAlign w:val="center"/>
            <w:textDirection w:val="lrTb"/>
            <w:noWrap w:val="false"/>
          </w:tcPr>
          <w:p>
            <w:pPr>
              <w:jc w:val="center"/>
              <w:spacing w:line="360" w:lineRule="auto"/>
              <w:rPr>
                <w:rFonts w:hint="eastAsia"/>
                <w:color w:val="auto"/>
                <w:szCs w:val="21"/>
              </w:rPr>
            </w:pPr>
            <w:r>
              <w:rPr>
                <w:rFonts w:hint="eastAsia"/>
                <w:color w:val="auto"/>
                <w:szCs w:val="21"/>
              </w:rPr>
              <w:t xml:space="preserve">产地</w:t>
            </w:r>
            <w:r/>
          </w:p>
        </w:tc>
        <w:tc>
          <w:tcPr>
            <w:tcW w:w="1114" w:type="dxa"/>
            <w:vAlign w:val="center"/>
            <w:textDirection w:val="lrTb"/>
            <w:noWrap w:val="false"/>
          </w:tcPr>
          <w:p>
            <w:pPr>
              <w:jc w:val="center"/>
              <w:spacing w:line="360" w:lineRule="auto"/>
              <w:rPr>
                <w:color w:val="auto"/>
                <w:szCs w:val="21"/>
              </w:rPr>
            </w:pPr>
            <w:r>
              <w:rPr>
                <w:rFonts w:hint="eastAsia"/>
                <w:color w:val="auto"/>
                <w:szCs w:val="21"/>
              </w:rPr>
              <w:t xml:space="preserve">交付期</w:t>
            </w:r>
            <w:r/>
          </w:p>
        </w:tc>
        <w:tc>
          <w:tcPr>
            <w:tcW w:w="963" w:type="dxa"/>
            <w:vAlign w:val="center"/>
            <w:textDirection w:val="lrTb"/>
            <w:noWrap w:val="false"/>
          </w:tcPr>
          <w:p>
            <w:pPr>
              <w:jc w:val="center"/>
              <w:spacing w:line="360" w:lineRule="auto"/>
              <w:rPr>
                <w:color w:val="auto"/>
                <w:szCs w:val="21"/>
              </w:rPr>
            </w:pPr>
            <w:r>
              <w:rPr>
                <w:rFonts w:hint="eastAsia"/>
                <w:color w:val="auto"/>
                <w:szCs w:val="21"/>
              </w:rPr>
              <w:t xml:space="preserve">数量</w:t>
            </w:r>
            <w:r/>
          </w:p>
        </w:tc>
        <w:tc>
          <w:tcPr>
            <w:tcW w:w="845" w:type="dxa"/>
            <w:vAlign w:val="center"/>
            <w:textDirection w:val="lrTb"/>
            <w:noWrap w:val="false"/>
          </w:tcPr>
          <w:p>
            <w:pPr>
              <w:jc w:val="center"/>
              <w:spacing w:line="360" w:lineRule="auto"/>
              <w:rPr>
                <w:color w:val="auto"/>
                <w:szCs w:val="21"/>
              </w:rPr>
            </w:pPr>
            <w:r>
              <w:rPr>
                <w:rFonts w:hint="eastAsia"/>
                <w:color w:val="auto"/>
                <w:szCs w:val="21"/>
              </w:rPr>
              <w:t xml:space="preserve">单位</w:t>
            </w:r>
            <w:r/>
          </w:p>
        </w:tc>
        <w:tc>
          <w:tcPr>
            <w:tcW w:w="1060" w:type="dxa"/>
            <w:vAlign w:val="center"/>
            <w:textDirection w:val="lrTb"/>
            <w:noWrap w:val="false"/>
          </w:tcPr>
          <w:p>
            <w:pPr>
              <w:jc w:val="center"/>
              <w:spacing w:line="360" w:lineRule="auto"/>
              <w:rPr>
                <w:rFonts w:hint="eastAsia"/>
                <w:color w:val="auto"/>
                <w:szCs w:val="21"/>
              </w:rPr>
            </w:pPr>
            <w:r>
              <w:rPr>
                <w:rFonts w:hint="eastAsia"/>
                <w:color w:val="auto"/>
                <w:szCs w:val="21"/>
              </w:rPr>
              <w:t xml:space="preserve">单价（元）</w:t>
            </w:r>
            <w:r/>
          </w:p>
        </w:tc>
        <w:tc>
          <w:tcPr>
            <w:tcW w:w="1141" w:type="dxa"/>
            <w:vAlign w:val="center"/>
            <w:textDirection w:val="lrTb"/>
            <w:noWrap w:val="false"/>
          </w:tcPr>
          <w:p>
            <w:pPr>
              <w:jc w:val="center"/>
              <w:spacing w:line="360" w:lineRule="auto"/>
              <w:rPr>
                <w:color w:val="auto"/>
                <w:szCs w:val="21"/>
              </w:rPr>
            </w:pPr>
            <w:r>
              <w:rPr>
                <w:rFonts w:hint="eastAsia"/>
                <w:color w:val="auto"/>
                <w:szCs w:val="21"/>
              </w:rPr>
              <w:t xml:space="preserve">总价（元）</w:t>
            </w:r>
            <w:r/>
          </w:p>
        </w:tc>
      </w:tr>
      <w:tr>
        <w:trPr>
          <w:cantSplit/>
          <w:jc w:val="center"/>
          <w:trHeight w:val="846"/>
        </w:trPr>
        <w:tc>
          <w:tcPr>
            <w:tcW w:w="828" w:type="dxa"/>
            <w:vAlign w:val="center"/>
            <w:textDirection w:val="lrTb"/>
            <w:noWrap w:val="false"/>
          </w:tcPr>
          <w:p>
            <w:pPr>
              <w:jc w:val="center"/>
              <w:spacing w:line="360" w:lineRule="auto"/>
              <w:rPr>
                <w:rFonts w:hint="eastAsia"/>
                <w:color w:val="auto"/>
                <w:szCs w:val="21"/>
              </w:rPr>
            </w:pPr>
            <w:r>
              <w:rPr>
                <w:rFonts w:hint="eastAsia"/>
                <w:color w:val="auto"/>
                <w:szCs w:val="21"/>
              </w:rPr>
              <w:t xml:space="preserve">1</w:t>
            </w:r>
            <w:r/>
          </w:p>
        </w:tc>
        <w:tc>
          <w:tcPr>
            <w:tcW w:w="1627" w:type="dxa"/>
            <w:vAlign w:val="center"/>
            <w:textDirection w:val="lrTb"/>
            <w:noWrap w:val="false"/>
          </w:tcPr>
          <w:p>
            <w:pPr>
              <w:spacing w:line="360" w:lineRule="auto"/>
              <w:rPr>
                <w:color w:val="auto"/>
                <w:szCs w:val="21"/>
              </w:rPr>
            </w:pPr>
            <w:r>
              <w:rPr>
                <w:color w:val="auto"/>
                <w:szCs w:val="21"/>
              </w:rPr>
            </w:r>
            <w:r/>
          </w:p>
        </w:tc>
        <w:tc>
          <w:tcPr>
            <w:tcW w:w="1863" w:type="dxa"/>
            <w:vAlign w:val="center"/>
            <w:textDirection w:val="lrTb"/>
            <w:noWrap w:val="false"/>
          </w:tcPr>
          <w:p>
            <w:pPr>
              <w:spacing w:line="360" w:lineRule="auto"/>
              <w:rPr>
                <w:color w:val="auto"/>
                <w:szCs w:val="21"/>
              </w:rPr>
            </w:pPr>
            <w:r>
              <w:rPr>
                <w:color w:val="auto"/>
                <w:szCs w:val="21"/>
              </w:rPr>
            </w:r>
            <w:r/>
          </w:p>
        </w:tc>
        <w:tc>
          <w:tcPr>
            <w:tcW w:w="980" w:type="dxa"/>
            <w:vAlign w:val="center"/>
            <w:textDirection w:val="lrTb"/>
            <w:noWrap w:val="false"/>
          </w:tcPr>
          <w:p>
            <w:pPr>
              <w:spacing w:line="360" w:lineRule="auto"/>
              <w:rPr>
                <w:color w:val="auto"/>
                <w:szCs w:val="21"/>
              </w:rPr>
            </w:pPr>
            <w:r>
              <w:rPr>
                <w:color w:val="auto"/>
                <w:szCs w:val="21"/>
              </w:rPr>
            </w:r>
            <w:r/>
          </w:p>
        </w:tc>
        <w:tc>
          <w:tcPr>
            <w:tcW w:w="1114" w:type="dxa"/>
            <w:vAlign w:val="center"/>
            <w:textDirection w:val="lrTb"/>
            <w:noWrap w:val="false"/>
          </w:tcPr>
          <w:p>
            <w:pPr>
              <w:spacing w:line="360" w:lineRule="auto"/>
              <w:rPr>
                <w:color w:val="auto"/>
                <w:szCs w:val="21"/>
              </w:rPr>
            </w:pPr>
            <w:r>
              <w:rPr>
                <w:color w:val="auto"/>
                <w:szCs w:val="21"/>
              </w:rPr>
            </w:r>
            <w:r/>
          </w:p>
        </w:tc>
        <w:tc>
          <w:tcPr>
            <w:tcW w:w="963" w:type="dxa"/>
            <w:vAlign w:val="center"/>
            <w:textDirection w:val="lrTb"/>
            <w:noWrap w:val="false"/>
          </w:tcPr>
          <w:p>
            <w:pPr>
              <w:spacing w:line="360" w:lineRule="auto"/>
              <w:rPr>
                <w:color w:val="auto"/>
                <w:szCs w:val="21"/>
              </w:rPr>
            </w:pPr>
            <w:r>
              <w:rPr>
                <w:color w:val="auto"/>
                <w:szCs w:val="21"/>
              </w:rPr>
            </w:r>
            <w:r/>
          </w:p>
        </w:tc>
        <w:tc>
          <w:tcPr>
            <w:tcW w:w="845" w:type="dxa"/>
            <w:vAlign w:val="center"/>
            <w:textDirection w:val="lrTb"/>
            <w:noWrap w:val="false"/>
          </w:tcPr>
          <w:p>
            <w:pPr>
              <w:spacing w:line="360" w:lineRule="auto"/>
              <w:rPr>
                <w:color w:val="auto"/>
                <w:szCs w:val="21"/>
              </w:rPr>
            </w:pPr>
            <w:r>
              <w:rPr>
                <w:color w:val="auto"/>
                <w:szCs w:val="21"/>
              </w:rPr>
            </w:r>
            <w:r/>
          </w:p>
        </w:tc>
        <w:tc>
          <w:tcPr>
            <w:tcW w:w="1060" w:type="dxa"/>
            <w:vAlign w:val="center"/>
            <w:textDirection w:val="lrTb"/>
            <w:noWrap w:val="false"/>
          </w:tcPr>
          <w:p>
            <w:pPr>
              <w:spacing w:line="360" w:lineRule="auto"/>
              <w:rPr>
                <w:color w:val="auto"/>
                <w:szCs w:val="21"/>
              </w:rPr>
            </w:pPr>
            <w:r>
              <w:rPr>
                <w:color w:val="auto"/>
                <w:szCs w:val="21"/>
              </w:rPr>
            </w:r>
            <w:r/>
          </w:p>
        </w:tc>
        <w:tc>
          <w:tcPr>
            <w:tcW w:w="1141" w:type="dxa"/>
            <w:vAlign w:val="center"/>
            <w:textDirection w:val="lrTb"/>
            <w:noWrap w:val="false"/>
          </w:tcPr>
          <w:p>
            <w:pPr>
              <w:spacing w:line="360" w:lineRule="auto"/>
              <w:rPr>
                <w:color w:val="auto"/>
                <w:szCs w:val="21"/>
              </w:rPr>
            </w:pPr>
            <w:r>
              <w:rPr>
                <w:color w:val="auto"/>
                <w:szCs w:val="21"/>
              </w:rPr>
            </w:r>
            <w:r/>
          </w:p>
        </w:tc>
      </w:tr>
      <w:tr>
        <w:trPr>
          <w:cantSplit/>
          <w:jc w:val="center"/>
          <w:trHeight w:val="846"/>
        </w:trPr>
        <w:tc>
          <w:tcPr>
            <w:tcW w:w="828" w:type="dxa"/>
            <w:vAlign w:val="center"/>
            <w:textDirection w:val="lrTb"/>
            <w:noWrap w:val="false"/>
          </w:tcPr>
          <w:p>
            <w:pPr>
              <w:jc w:val="center"/>
              <w:spacing w:line="360" w:lineRule="auto"/>
              <w:rPr>
                <w:rFonts w:hint="eastAsia"/>
                <w:color w:val="auto"/>
                <w:szCs w:val="21"/>
              </w:rPr>
            </w:pPr>
            <w:r>
              <w:rPr>
                <w:rFonts w:hint="eastAsia"/>
                <w:color w:val="auto"/>
                <w:szCs w:val="21"/>
              </w:rPr>
              <w:t xml:space="preserve">2</w:t>
            </w:r>
            <w:r/>
          </w:p>
        </w:tc>
        <w:tc>
          <w:tcPr>
            <w:tcW w:w="1627" w:type="dxa"/>
            <w:vAlign w:val="center"/>
            <w:textDirection w:val="lrTb"/>
            <w:noWrap w:val="false"/>
          </w:tcPr>
          <w:p>
            <w:pPr>
              <w:spacing w:line="360" w:lineRule="auto"/>
              <w:rPr>
                <w:color w:val="auto"/>
                <w:szCs w:val="21"/>
              </w:rPr>
            </w:pPr>
            <w:r>
              <w:rPr>
                <w:color w:val="auto"/>
                <w:szCs w:val="21"/>
              </w:rPr>
            </w:r>
            <w:r/>
          </w:p>
        </w:tc>
        <w:tc>
          <w:tcPr>
            <w:tcW w:w="1863" w:type="dxa"/>
            <w:vAlign w:val="center"/>
            <w:textDirection w:val="lrTb"/>
            <w:noWrap w:val="false"/>
          </w:tcPr>
          <w:p>
            <w:pPr>
              <w:spacing w:line="360" w:lineRule="auto"/>
              <w:rPr>
                <w:color w:val="auto"/>
                <w:szCs w:val="21"/>
              </w:rPr>
            </w:pPr>
            <w:r>
              <w:rPr>
                <w:color w:val="auto"/>
                <w:szCs w:val="21"/>
              </w:rPr>
            </w:r>
            <w:r/>
          </w:p>
        </w:tc>
        <w:tc>
          <w:tcPr>
            <w:tcW w:w="980" w:type="dxa"/>
            <w:vAlign w:val="center"/>
            <w:textDirection w:val="lrTb"/>
            <w:noWrap w:val="false"/>
          </w:tcPr>
          <w:p>
            <w:pPr>
              <w:spacing w:line="360" w:lineRule="auto"/>
              <w:rPr>
                <w:color w:val="auto"/>
                <w:szCs w:val="21"/>
              </w:rPr>
            </w:pPr>
            <w:r>
              <w:rPr>
                <w:color w:val="auto"/>
                <w:szCs w:val="21"/>
              </w:rPr>
            </w:r>
            <w:r/>
          </w:p>
        </w:tc>
        <w:tc>
          <w:tcPr>
            <w:tcW w:w="1114" w:type="dxa"/>
            <w:vAlign w:val="center"/>
            <w:textDirection w:val="lrTb"/>
            <w:noWrap w:val="false"/>
          </w:tcPr>
          <w:p>
            <w:pPr>
              <w:spacing w:line="360" w:lineRule="auto"/>
              <w:rPr>
                <w:color w:val="auto"/>
                <w:szCs w:val="21"/>
              </w:rPr>
            </w:pPr>
            <w:r>
              <w:rPr>
                <w:color w:val="auto"/>
                <w:szCs w:val="21"/>
              </w:rPr>
            </w:r>
            <w:r/>
          </w:p>
        </w:tc>
        <w:tc>
          <w:tcPr>
            <w:tcW w:w="963" w:type="dxa"/>
            <w:vAlign w:val="center"/>
            <w:textDirection w:val="lrTb"/>
            <w:noWrap w:val="false"/>
          </w:tcPr>
          <w:p>
            <w:pPr>
              <w:spacing w:line="360" w:lineRule="auto"/>
              <w:rPr>
                <w:color w:val="auto"/>
                <w:szCs w:val="21"/>
              </w:rPr>
            </w:pPr>
            <w:r>
              <w:rPr>
                <w:color w:val="auto"/>
                <w:szCs w:val="21"/>
              </w:rPr>
            </w:r>
            <w:r/>
          </w:p>
        </w:tc>
        <w:tc>
          <w:tcPr>
            <w:tcW w:w="845" w:type="dxa"/>
            <w:vAlign w:val="center"/>
            <w:textDirection w:val="lrTb"/>
            <w:noWrap w:val="false"/>
          </w:tcPr>
          <w:p>
            <w:pPr>
              <w:spacing w:line="360" w:lineRule="auto"/>
              <w:rPr>
                <w:color w:val="auto"/>
                <w:szCs w:val="21"/>
              </w:rPr>
            </w:pPr>
            <w:r>
              <w:rPr>
                <w:color w:val="auto"/>
                <w:szCs w:val="21"/>
              </w:rPr>
            </w:r>
            <w:r/>
          </w:p>
        </w:tc>
        <w:tc>
          <w:tcPr>
            <w:tcW w:w="1060" w:type="dxa"/>
            <w:vAlign w:val="center"/>
            <w:textDirection w:val="lrTb"/>
            <w:noWrap w:val="false"/>
          </w:tcPr>
          <w:p>
            <w:pPr>
              <w:spacing w:line="360" w:lineRule="auto"/>
              <w:rPr>
                <w:color w:val="auto"/>
                <w:szCs w:val="21"/>
              </w:rPr>
            </w:pPr>
            <w:r>
              <w:rPr>
                <w:color w:val="auto"/>
                <w:szCs w:val="21"/>
              </w:rPr>
            </w:r>
            <w:r/>
          </w:p>
        </w:tc>
        <w:tc>
          <w:tcPr>
            <w:tcW w:w="1141" w:type="dxa"/>
            <w:vAlign w:val="center"/>
            <w:textDirection w:val="lrTb"/>
            <w:noWrap w:val="false"/>
          </w:tcPr>
          <w:p>
            <w:pPr>
              <w:spacing w:line="360" w:lineRule="auto"/>
              <w:rPr>
                <w:color w:val="auto"/>
                <w:szCs w:val="21"/>
              </w:rPr>
            </w:pPr>
            <w:r>
              <w:rPr>
                <w:color w:val="auto"/>
                <w:szCs w:val="21"/>
              </w:rPr>
            </w:r>
            <w:r/>
          </w:p>
        </w:tc>
      </w:tr>
      <w:tr>
        <w:trPr>
          <w:cantSplit/>
          <w:jc w:val="center"/>
          <w:trHeight w:val="846"/>
        </w:trPr>
        <w:tc>
          <w:tcPr>
            <w:tcW w:w="828" w:type="dxa"/>
            <w:vAlign w:val="center"/>
            <w:textDirection w:val="lrTb"/>
            <w:noWrap w:val="false"/>
          </w:tcPr>
          <w:p>
            <w:pPr>
              <w:jc w:val="center"/>
              <w:spacing w:line="360" w:lineRule="auto"/>
              <w:rPr>
                <w:rFonts w:hint="eastAsia"/>
                <w:color w:val="auto"/>
                <w:szCs w:val="21"/>
              </w:rPr>
            </w:pPr>
            <w:r>
              <w:rPr>
                <w:rFonts w:hint="eastAsia"/>
                <w:color w:val="auto"/>
                <w:szCs w:val="21"/>
              </w:rPr>
              <w:t xml:space="preserve">3</w:t>
            </w:r>
            <w:r/>
          </w:p>
        </w:tc>
        <w:tc>
          <w:tcPr>
            <w:tcW w:w="1627" w:type="dxa"/>
            <w:vAlign w:val="center"/>
            <w:textDirection w:val="lrTb"/>
            <w:noWrap w:val="false"/>
          </w:tcPr>
          <w:p>
            <w:pPr>
              <w:spacing w:line="360" w:lineRule="auto"/>
              <w:rPr>
                <w:color w:val="auto"/>
                <w:szCs w:val="21"/>
              </w:rPr>
            </w:pPr>
            <w:r>
              <w:rPr>
                <w:color w:val="auto"/>
                <w:szCs w:val="21"/>
              </w:rPr>
            </w:r>
            <w:r/>
          </w:p>
        </w:tc>
        <w:tc>
          <w:tcPr>
            <w:tcW w:w="1863" w:type="dxa"/>
            <w:vAlign w:val="center"/>
            <w:textDirection w:val="lrTb"/>
            <w:noWrap w:val="false"/>
          </w:tcPr>
          <w:p>
            <w:pPr>
              <w:spacing w:line="360" w:lineRule="auto"/>
              <w:rPr>
                <w:color w:val="auto"/>
                <w:szCs w:val="21"/>
              </w:rPr>
            </w:pPr>
            <w:r>
              <w:rPr>
                <w:color w:val="auto"/>
                <w:szCs w:val="21"/>
              </w:rPr>
            </w:r>
            <w:r/>
          </w:p>
        </w:tc>
        <w:tc>
          <w:tcPr>
            <w:tcW w:w="980" w:type="dxa"/>
            <w:vAlign w:val="center"/>
            <w:textDirection w:val="lrTb"/>
            <w:noWrap w:val="false"/>
          </w:tcPr>
          <w:p>
            <w:pPr>
              <w:spacing w:line="360" w:lineRule="auto"/>
              <w:rPr>
                <w:color w:val="auto"/>
                <w:szCs w:val="21"/>
              </w:rPr>
            </w:pPr>
            <w:r>
              <w:rPr>
                <w:color w:val="auto"/>
                <w:szCs w:val="21"/>
              </w:rPr>
            </w:r>
            <w:r/>
          </w:p>
        </w:tc>
        <w:tc>
          <w:tcPr>
            <w:tcW w:w="1114" w:type="dxa"/>
            <w:vAlign w:val="center"/>
            <w:textDirection w:val="lrTb"/>
            <w:noWrap w:val="false"/>
          </w:tcPr>
          <w:p>
            <w:pPr>
              <w:spacing w:line="360" w:lineRule="auto"/>
              <w:rPr>
                <w:color w:val="auto"/>
                <w:szCs w:val="21"/>
              </w:rPr>
            </w:pPr>
            <w:r>
              <w:rPr>
                <w:color w:val="auto"/>
                <w:szCs w:val="21"/>
              </w:rPr>
            </w:r>
            <w:r/>
          </w:p>
        </w:tc>
        <w:tc>
          <w:tcPr>
            <w:tcW w:w="963" w:type="dxa"/>
            <w:vAlign w:val="center"/>
            <w:textDirection w:val="lrTb"/>
            <w:noWrap w:val="false"/>
          </w:tcPr>
          <w:p>
            <w:pPr>
              <w:spacing w:line="360" w:lineRule="auto"/>
              <w:rPr>
                <w:color w:val="auto"/>
                <w:szCs w:val="21"/>
              </w:rPr>
            </w:pPr>
            <w:r>
              <w:rPr>
                <w:color w:val="auto"/>
                <w:szCs w:val="21"/>
              </w:rPr>
            </w:r>
            <w:r/>
          </w:p>
        </w:tc>
        <w:tc>
          <w:tcPr>
            <w:tcW w:w="845" w:type="dxa"/>
            <w:vAlign w:val="center"/>
            <w:textDirection w:val="lrTb"/>
            <w:noWrap w:val="false"/>
          </w:tcPr>
          <w:p>
            <w:pPr>
              <w:spacing w:line="360" w:lineRule="auto"/>
              <w:rPr>
                <w:color w:val="auto"/>
                <w:szCs w:val="21"/>
              </w:rPr>
            </w:pPr>
            <w:r>
              <w:rPr>
                <w:color w:val="auto"/>
                <w:szCs w:val="21"/>
              </w:rPr>
            </w:r>
            <w:r/>
          </w:p>
        </w:tc>
        <w:tc>
          <w:tcPr>
            <w:tcW w:w="1060" w:type="dxa"/>
            <w:vAlign w:val="center"/>
            <w:textDirection w:val="lrTb"/>
            <w:noWrap w:val="false"/>
          </w:tcPr>
          <w:p>
            <w:pPr>
              <w:spacing w:line="360" w:lineRule="auto"/>
              <w:rPr>
                <w:color w:val="auto"/>
                <w:szCs w:val="21"/>
              </w:rPr>
            </w:pPr>
            <w:r>
              <w:rPr>
                <w:color w:val="auto"/>
                <w:szCs w:val="21"/>
              </w:rPr>
            </w:r>
            <w:r/>
          </w:p>
        </w:tc>
        <w:tc>
          <w:tcPr>
            <w:tcW w:w="1141" w:type="dxa"/>
            <w:vAlign w:val="center"/>
            <w:textDirection w:val="lrTb"/>
            <w:noWrap w:val="false"/>
          </w:tcPr>
          <w:p>
            <w:pPr>
              <w:spacing w:line="360" w:lineRule="auto"/>
              <w:rPr>
                <w:color w:val="auto"/>
                <w:szCs w:val="21"/>
              </w:rPr>
            </w:pPr>
            <w:r>
              <w:rPr>
                <w:color w:val="auto"/>
                <w:szCs w:val="21"/>
              </w:rPr>
            </w:r>
            <w:r/>
          </w:p>
        </w:tc>
      </w:tr>
      <w:tr>
        <w:trPr>
          <w:cantSplit/>
          <w:jc w:val="center"/>
          <w:trHeight w:val="539"/>
        </w:trPr>
        <w:tc>
          <w:tcPr>
            <w:tcW w:w="828" w:type="dxa"/>
            <w:vAlign w:val="center"/>
            <w:textDirection w:val="lrTb"/>
            <w:noWrap w:val="false"/>
          </w:tcPr>
          <w:p>
            <w:pPr>
              <w:jc w:val="center"/>
              <w:spacing w:line="360" w:lineRule="auto"/>
              <w:rPr>
                <w:rFonts w:hint="eastAsia"/>
                <w:color w:val="auto"/>
                <w:szCs w:val="21"/>
              </w:rPr>
            </w:pPr>
            <w:r>
              <w:rPr>
                <w:rFonts w:hint="eastAsia"/>
                <w:color w:val="auto"/>
                <w:szCs w:val="21"/>
              </w:rPr>
              <w:t xml:space="preserve">4</w:t>
            </w:r>
            <w:r/>
          </w:p>
        </w:tc>
        <w:tc>
          <w:tcPr>
            <w:tcW w:w="1627" w:type="dxa"/>
            <w:vAlign w:val="center"/>
            <w:textDirection w:val="lrTb"/>
            <w:noWrap w:val="false"/>
          </w:tcPr>
          <w:p>
            <w:pPr>
              <w:spacing w:line="360" w:lineRule="auto"/>
              <w:rPr>
                <w:color w:val="auto"/>
                <w:szCs w:val="21"/>
              </w:rPr>
            </w:pPr>
            <w:r>
              <w:rPr>
                <w:color w:val="auto"/>
                <w:szCs w:val="21"/>
              </w:rPr>
            </w:r>
            <w:r/>
          </w:p>
        </w:tc>
        <w:tc>
          <w:tcPr>
            <w:tcW w:w="1863" w:type="dxa"/>
            <w:vAlign w:val="center"/>
            <w:textDirection w:val="lrTb"/>
            <w:noWrap w:val="false"/>
          </w:tcPr>
          <w:p>
            <w:pPr>
              <w:spacing w:line="360" w:lineRule="auto"/>
              <w:rPr>
                <w:color w:val="auto"/>
                <w:szCs w:val="21"/>
              </w:rPr>
            </w:pPr>
            <w:r>
              <w:rPr>
                <w:color w:val="auto"/>
                <w:szCs w:val="21"/>
              </w:rPr>
            </w:r>
            <w:r/>
          </w:p>
        </w:tc>
        <w:tc>
          <w:tcPr>
            <w:tcW w:w="980" w:type="dxa"/>
            <w:vAlign w:val="center"/>
            <w:textDirection w:val="lrTb"/>
            <w:noWrap w:val="false"/>
          </w:tcPr>
          <w:p>
            <w:pPr>
              <w:spacing w:line="360" w:lineRule="auto"/>
              <w:rPr>
                <w:color w:val="auto"/>
                <w:szCs w:val="21"/>
              </w:rPr>
            </w:pPr>
            <w:r>
              <w:rPr>
                <w:color w:val="auto"/>
                <w:szCs w:val="21"/>
              </w:rPr>
            </w:r>
            <w:r/>
          </w:p>
        </w:tc>
        <w:tc>
          <w:tcPr>
            <w:tcW w:w="1114" w:type="dxa"/>
            <w:vAlign w:val="center"/>
            <w:textDirection w:val="lrTb"/>
            <w:noWrap w:val="false"/>
          </w:tcPr>
          <w:p>
            <w:pPr>
              <w:spacing w:line="360" w:lineRule="auto"/>
              <w:rPr>
                <w:color w:val="auto"/>
                <w:szCs w:val="21"/>
              </w:rPr>
            </w:pPr>
            <w:r>
              <w:rPr>
                <w:color w:val="auto"/>
                <w:szCs w:val="21"/>
              </w:rPr>
            </w:r>
            <w:r/>
          </w:p>
        </w:tc>
        <w:tc>
          <w:tcPr>
            <w:tcW w:w="963" w:type="dxa"/>
            <w:vAlign w:val="center"/>
            <w:textDirection w:val="lrTb"/>
            <w:noWrap w:val="false"/>
          </w:tcPr>
          <w:p>
            <w:pPr>
              <w:spacing w:line="360" w:lineRule="auto"/>
              <w:rPr>
                <w:color w:val="auto"/>
                <w:szCs w:val="21"/>
              </w:rPr>
            </w:pPr>
            <w:r>
              <w:rPr>
                <w:color w:val="auto"/>
                <w:szCs w:val="21"/>
              </w:rPr>
            </w:r>
            <w:r/>
          </w:p>
        </w:tc>
        <w:tc>
          <w:tcPr>
            <w:tcW w:w="845" w:type="dxa"/>
            <w:vAlign w:val="center"/>
            <w:textDirection w:val="lrTb"/>
            <w:noWrap w:val="false"/>
          </w:tcPr>
          <w:p>
            <w:pPr>
              <w:spacing w:line="360" w:lineRule="auto"/>
              <w:rPr>
                <w:color w:val="auto"/>
                <w:szCs w:val="21"/>
              </w:rPr>
            </w:pPr>
            <w:r>
              <w:rPr>
                <w:color w:val="auto"/>
                <w:szCs w:val="21"/>
              </w:rPr>
            </w:r>
            <w:r/>
          </w:p>
        </w:tc>
        <w:tc>
          <w:tcPr>
            <w:tcW w:w="1060" w:type="dxa"/>
            <w:vAlign w:val="center"/>
            <w:textDirection w:val="lrTb"/>
            <w:noWrap w:val="false"/>
          </w:tcPr>
          <w:p>
            <w:pPr>
              <w:spacing w:line="360" w:lineRule="auto"/>
              <w:rPr>
                <w:color w:val="auto"/>
                <w:szCs w:val="21"/>
              </w:rPr>
            </w:pPr>
            <w:r>
              <w:rPr>
                <w:color w:val="auto"/>
                <w:szCs w:val="21"/>
              </w:rPr>
            </w:r>
            <w:r/>
          </w:p>
        </w:tc>
        <w:tc>
          <w:tcPr>
            <w:tcW w:w="1141" w:type="dxa"/>
            <w:vAlign w:val="center"/>
            <w:textDirection w:val="lrTb"/>
            <w:noWrap w:val="false"/>
          </w:tcPr>
          <w:p>
            <w:pPr>
              <w:spacing w:line="360" w:lineRule="auto"/>
              <w:rPr>
                <w:color w:val="auto"/>
                <w:szCs w:val="21"/>
              </w:rPr>
            </w:pPr>
            <w:r>
              <w:rPr>
                <w:color w:val="auto"/>
                <w:szCs w:val="21"/>
              </w:rPr>
            </w:r>
            <w:r/>
          </w:p>
        </w:tc>
      </w:tr>
      <w:tr>
        <w:trPr>
          <w:cantSplit/>
          <w:jc w:val="center"/>
          <w:trHeight w:val="959"/>
        </w:trPr>
        <w:tc>
          <w:tcPr>
            <w:gridSpan w:val="2"/>
            <w:tcW w:w="2455" w:type="dxa"/>
            <w:vAlign w:val="center"/>
            <w:textDirection w:val="lrTb"/>
            <w:noWrap w:val="false"/>
          </w:tcPr>
          <w:p>
            <w:pPr>
              <w:jc w:val="center"/>
              <w:spacing w:line="360" w:lineRule="auto"/>
              <w:rPr>
                <w:rFonts w:hint="eastAsia"/>
                <w:color w:val="auto"/>
                <w:szCs w:val="21"/>
              </w:rPr>
            </w:pPr>
            <w:r>
              <w:rPr>
                <w:rFonts w:hint="eastAsia"/>
                <w:color w:val="auto"/>
                <w:szCs w:val="21"/>
              </w:rPr>
              <w:t xml:space="preserve">合计（元）</w:t>
            </w:r>
            <w:r/>
          </w:p>
        </w:tc>
        <w:tc>
          <w:tcPr>
            <w:gridSpan w:val="7"/>
            <w:tcW w:w="7966" w:type="dxa"/>
            <w:vAlign w:val="top"/>
            <w:textDirection w:val="lrTb"/>
            <w:noWrap w:val="false"/>
          </w:tcPr>
          <w:p>
            <w:pPr>
              <w:spacing w:line="360" w:lineRule="auto"/>
              <w:rPr>
                <w:color w:val="auto"/>
                <w:szCs w:val="21"/>
              </w:rPr>
            </w:pPr>
            <w:r>
              <w:rPr>
                <w:color w:val="auto"/>
                <w:szCs w:val="21"/>
              </w:rPr>
            </w:r>
            <w:r/>
          </w:p>
        </w:tc>
      </w:tr>
    </w:tbl>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rPr>
          <w:rFonts w:hint="eastAsia" w:ascii="Times New Roman" w:hAnsi="Times New Roman" w:eastAsia="宋体"/>
          <w:color w:val="auto"/>
          <w:sz w:val="32"/>
          <w:highlight w:val="none"/>
        </w:rPr>
      </w:pPr>
      <w:r/>
      <w:bookmarkStart w:id="70" w:name="_Toc26069"/>
      <w:r>
        <w:rPr>
          <w:rFonts w:hint="eastAsia" w:ascii="Times New Roman" w:hAnsi="Times New Roman" w:eastAsia="宋体"/>
          <w:color w:val="auto"/>
          <w:sz w:val="32"/>
          <w:highlight w:val="none"/>
        </w:rPr>
        <w:br w:type="page" w:clear="all"/>
      </w:r>
      <w:r/>
    </w:p>
    <w:p>
      <w:pPr>
        <w:pStyle w:val="711"/>
        <w:pageBreakBefore w:val="0"/>
        <w:spacing w:before="0" w:after="0"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t xml:space="preserve">六、技术参数响应及偏离表</w:t>
      </w:r>
      <w:bookmarkEnd w:id="70"/>
      <w:r/>
      <w:r/>
    </w:p>
    <w:tbl>
      <w:tblPr>
        <w:tblStyle w:val="720"/>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序号</w:t>
            </w:r>
            <w:r/>
          </w:p>
        </w:tc>
        <w:tc>
          <w:tcPr>
            <w:tcW w:w="2551"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招标要求</w:t>
            </w:r>
            <w:r/>
          </w:p>
        </w:tc>
        <w:tc>
          <w:tcPr>
            <w:tcW w:w="2701"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投标响应</w:t>
            </w:r>
            <w:r/>
          </w:p>
        </w:tc>
        <w:tc>
          <w:tcPr>
            <w:tcW w:w="145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超出、符合或偏离</w:t>
            </w:r>
            <w:r/>
          </w:p>
        </w:tc>
        <w:tc>
          <w:tcPr>
            <w:tcW w:w="1210"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证明材料</w:t>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注：1、按照基本技术要求详细填列。</w:t>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2、行数不够，可自行添加。</w:t>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br w:type="page" w:clear="all"/>
      </w:r>
      <w:r/>
    </w:p>
    <w:p>
      <w:pPr>
        <w:pStyle w:val="711"/>
        <w:pageBreakBefore w:val="0"/>
        <w:spacing w:before="0" w:after="0" w:line="360" w:lineRule="auto"/>
        <w:rPr>
          <w:rFonts w:ascii="Times New Roman" w:hAnsi="Times New Roman" w:eastAsia="宋体"/>
          <w:color w:val="auto"/>
          <w:sz w:val="32"/>
          <w:highlight w:val="none"/>
        </w:rPr>
      </w:pPr>
      <w:r/>
      <w:bookmarkStart w:id="71" w:name="_Hlt26955054"/>
      <w:r/>
      <w:bookmarkEnd w:id="71"/>
      <w:r/>
      <w:bookmarkStart w:id="72" w:name="_Toc8080"/>
      <w:r>
        <w:rPr>
          <w:rFonts w:hint="eastAsia" w:ascii="Times New Roman" w:hAnsi="Times New Roman" w:eastAsia="宋体"/>
          <w:color w:val="auto"/>
          <w:sz w:val="32"/>
          <w:highlight w:val="none"/>
        </w:rPr>
        <w:t xml:space="preserve">七、商务条款响应及偏离表</w:t>
      </w:r>
      <w:bookmarkEnd w:id="72"/>
      <w:r/>
      <w:r/>
    </w:p>
    <w:tbl>
      <w:tblPr>
        <w:tblStyle w:val="720"/>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szCs w:val="21"/>
                <w:highlight w:val="none"/>
              </w:rPr>
            </w:pPr>
            <w:r/>
            <w:bookmarkStart w:id="73" w:name="_Hlt26671372"/>
            <w:r/>
            <w:bookmarkEnd w:id="73"/>
            <w:r/>
            <w:bookmarkStart w:id="74" w:name="_Hlt24879081"/>
            <w:r/>
            <w:bookmarkEnd w:id="74"/>
            <w:r/>
            <w:bookmarkStart w:id="75" w:name="_Hlt26580838"/>
            <w:r/>
            <w:bookmarkEnd w:id="75"/>
            <w:r/>
            <w:bookmarkStart w:id="76" w:name="_Hlt26955056"/>
            <w:r/>
            <w:bookmarkEnd w:id="76"/>
            <w:r/>
            <w:bookmarkStart w:id="77" w:name="_Hlt26955064"/>
            <w:r/>
            <w:bookmarkEnd w:id="77"/>
            <w:r/>
            <w:bookmarkStart w:id="78" w:name="_Hlt26671343"/>
            <w:r/>
            <w:bookmarkEnd w:id="78"/>
            <w:r/>
            <w:bookmarkStart w:id="79" w:name="_Hlt26609391"/>
            <w:r/>
            <w:bookmarkEnd w:id="79"/>
            <w:r/>
            <w:bookmarkStart w:id="80" w:name="_Hlt26782999"/>
            <w:r/>
            <w:bookmarkEnd w:id="80"/>
            <w:r>
              <w:rPr>
                <w:rFonts w:hint="eastAsia" w:ascii="Times New Roman" w:hAnsi="Times New Roman" w:eastAsia="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ageBreakBefore w:val="0"/>
        <w:spacing w:line="360" w:lineRule="auto"/>
        <w:rPr>
          <w:rFonts w:ascii="Times New Roman" w:hAnsi="Times New Roman" w:eastAsia="宋体"/>
          <w:color w:val="auto"/>
          <w:sz w:val="30"/>
          <w:highlight w:val="none"/>
        </w:rPr>
      </w:pPr>
      <w:r>
        <w:rPr>
          <w:rFonts w:ascii="Times New Roman" w:hAnsi="Times New Roman" w:eastAsia="宋体"/>
          <w:color w:val="auto"/>
          <w:sz w:val="30"/>
          <w:highlight w:val="none"/>
        </w:rPr>
      </w:r>
      <w:r/>
    </w:p>
    <w:p>
      <w:pPr>
        <w:pStyle w:val="723"/>
        <w:ind w:firstLine="480"/>
        <w:pageBreakBefore w:val="0"/>
        <w:spacing w:line="360" w:lineRule="auto"/>
        <w:rPr>
          <w:rFonts w:ascii="Times New Roman" w:hAnsi="Times New Roman" w:eastAsia="宋体"/>
          <w:color w:val="auto"/>
          <w:sz w:val="24"/>
          <w:highlight w:val="none"/>
        </w:rPr>
      </w:pPr>
      <w:r/>
      <w:bookmarkStart w:id="81" w:name="_Hlt26955066"/>
      <w:r/>
      <w:bookmarkEnd w:id="81"/>
      <w:r/>
      <w:bookmarkStart w:id="82" w:name="_Hlt26609389"/>
      <w:r/>
      <w:bookmarkEnd w:id="82"/>
      <w:r/>
      <w:bookmarkStart w:id="83" w:name="_Hlt26671374"/>
      <w:r/>
      <w:bookmarkEnd w:id="83"/>
      <w:r/>
      <w:bookmarkStart w:id="84" w:name="_Toc462564146"/>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3"/>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w:t>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bookmarkEnd w:id="84"/>
      <w:r/>
      <w:r/>
    </w:p>
    <w:p>
      <w:pPr>
        <w:pStyle w:val="7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rPr>
          <w:rFonts w:hint="eastAsia" w:ascii="Times New Roman" w:hAnsi="Times New Roman" w:eastAsia="宋体"/>
          <w:b/>
          <w:color w:val="auto"/>
          <w:highlight w:val="none"/>
        </w:rPr>
      </w:pPr>
      <w:r>
        <w:rPr>
          <w:rFonts w:hint="eastAsia" w:ascii="Times New Roman" w:hAnsi="Times New Roman" w:eastAsia="宋体"/>
          <w:b/>
          <w:color w:val="auto"/>
          <w:highlight w:val="none"/>
        </w:rPr>
        <w:br w:type="page" w:clear="all"/>
      </w:r>
      <w:r/>
    </w:p>
    <w:p>
      <w:pPr>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主要标的信息</w:t>
      </w:r>
      <w:r>
        <w:rPr>
          <w:rFonts w:hint="eastAsia" w:ascii="Times New Roman" w:hAnsi="Times New Roman" w:eastAsia="宋体"/>
          <w:b/>
          <w:color w:val="auto"/>
          <w:highlight w:val="none"/>
          <w:lang w:eastAsia="zh-CN"/>
        </w:rPr>
        <w:t xml:space="preserve">（</w:t>
      </w:r>
      <w:r>
        <w:rPr>
          <w:rFonts w:hint="eastAsia" w:ascii="Times New Roman" w:hAnsi="Times New Roman" w:eastAsia="宋体"/>
          <w:b/>
          <w:color w:val="auto"/>
          <w:highlight w:val="none"/>
        </w:rPr>
        <w:t xml:space="preserve">中标后将公示）</w:t>
      </w:r>
      <w:r/>
    </w:p>
    <w:p>
      <w:pPr>
        <w:pageBreakBefore w:val="0"/>
        <w:spacing w:line="360" w:lineRule="auto"/>
        <w:rPr>
          <w:rFonts w:ascii="Times New Roman" w:hAnsi="Times New Roman" w:eastAsia="宋体"/>
          <w:b/>
          <w:color w:val="auto"/>
          <w:highlight w:val="none"/>
        </w:rPr>
      </w:pPr>
      <w:r>
        <w:rPr>
          <w:rFonts w:hint="eastAsia" w:ascii="Times New Roman" w:hAnsi="Times New Roman" w:eastAsia="宋体"/>
          <w:color w:val="auto"/>
          <w:highlight w:val="none"/>
        </w:rPr>
        <w:t xml:space="preserve">投标人全称：</w:t>
      </w:r>
      <w:r/>
    </w:p>
    <w:tbl>
      <w:tblPr>
        <w:tblStyle w:val="720"/>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货物类</w:t>
            </w:r>
            <w:r/>
          </w:p>
        </w:tc>
        <w:tc>
          <w:tcPr>
            <w:tcW w:w="3780" w:type="dxa"/>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服务类</w:t>
            </w:r>
            <w:r/>
          </w:p>
        </w:tc>
      </w:tr>
      <w:tr>
        <w:trPr>
          <w:trHeight w:val="3810"/>
        </w:trPr>
        <w:tc>
          <w:tcPr>
            <w:tcW w:w="3901" w:type="dxa"/>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品牌</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rPr>
              <w:t xml:space="preserve">如有）：</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规格型号：</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数量：</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单价：</w:t>
            </w:r>
            <w:r/>
          </w:p>
        </w:tc>
        <w:tc>
          <w:tcPr>
            <w:tcW w:w="3780" w:type="dxa"/>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服务范围：</w:t>
            </w:r>
            <w:r/>
          </w:p>
          <w:p>
            <w:pPr>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服务要求：</w:t>
            </w:r>
            <w:r/>
          </w:p>
          <w:p>
            <w:pPr>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服务时间：</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服务标准：</w:t>
            </w:r>
            <w:r/>
          </w:p>
        </w:tc>
      </w:tr>
    </w:tbl>
    <w:p>
      <w:pPr>
        <w:jc w:val="left"/>
        <w:pageBreakBefore w:val="0"/>
        <w:spacing w:line="360" w:lineRule="auto"/>
        <w:widowControl/>
        <w:rPr>
          <w:rFonts w:ascii="Times New Roman" w:hAnsi="Times New Roman" w:eastAsia="宋体" w:cs="宋体"/>
          <w:color w:val="auto"/>
          <w:sz w:val="24"/>
          <w:szCs w:val="24"/>
          <w:highlight w:val="none"/>
        </w:rPr>
      </w:pPr>
      <w:r>
        <w:rPr>
          <w:rFonts w:ascii="Times New Roman" w:hAnsi="Times New Roman" w:eastAsia="宋体" w:cs="宋体"/>
          <w:color w:val="auto"/>
          <w:sz w:val="24"/>
          <w:szCs w:val="24"/>
          <w:highlight w:val="none"/>
        </w:rPr>
        <w:br w:type="page" w:clear="all"/>
      </w:r>
      <w:r/>
    </w:p>
    <w:p>
      <w:pPr>
        <w:ind w:firstLine="211"/>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联合体协议</w:t>
      </w:r>
      <w:r>
        <w:rPr>
          <w:rFonts w:hint="eastAsia" w:ascii="Times New Roman" w:hAnsi="Times New Roman" w:eastAsia="宋体"/>
          <w:b/>
          <w:color w:val="auto"/>
          <w:highlight w:val="none"/>
          <w:lang w:eastAsia="zh-CN"/>
        </w:rPr>
        <w:t xml:space="preserve">（</w:t>
      </w:r>
      <w:r>
        <w:rPr>
          <w:rFonts w:hint="eastAsia" w:ascii="Times New Roman" w:hAnsi="Times New Roman" w:eastAsia="宋体"/>
          <w:b/>
          <w:color w:val="auto"/>
          <w:highlight w:val="none"/>
        </w:rPr>
        <w:t xml:space="preserve">如有）</w:t>
      </w:r>
      <w:r/>
    </w:p>
    <w:p>
      <w:pPr>
        <w:ind w:firstLine="211"/>
        <w:jc w:val="center"/>
        <w:pageBreakBefore w:val="0"/>
        <w:spacing w:line="360" w:lineRule="auto"/>
        <w:rPr>
          <w:rFonts w:ascii="Times New Roman" w:hAnsi="Times New Roman" w:eastAsia="宋体"/>
          <w:b/>
          <w:color w:val="auto"/>
          <w:highlight w:val="none"/>
        </w:rPr>
      </w:pPr>
      <w:r>
        <w:rPr>
          <w:rFonts w:ascii="Times New Roman" w:hAnsi="Times New Roman" w:eastAsia="宋体"/>
          <w:b/>
          <w:color w:val="auto"/>
          <w:highlight w:val="none"/>
        </w:rPr>
      </w:r>
      <w:r/>
    </w:p>
    <w:p>
      <w:pP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联合体中各供应商全称）在此达成以下协议：</w:t>
      </w:r>
      <w:r/>
    </w:p>
    <w:p>
      <w:pPr>
        <w:ind w:firstLine="645"/>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1、我们自愿组成联合体，参加代理机构组织的采购编号为</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项目编号）</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项目全称）的政府采购活动。</w:t>
      </w:r>
      <w:r/>
    </w:p>
    <w:p>
      <w:pPr>
        <w:ind w:firstLine="645"/>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2、若我们联合中标、成交，</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供应商单位1全称）实施项目中</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工作内容）部分工作，并承担相应的责任。</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供应商单位2全称）实施项目中</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工作内容）部分工作，并承担相应的责任……。</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注：联合体中各供应商都应明示所承担的工作和相应的责任）。</w:t>
      </w:r>
      <w:r/>
    </w:p>
    <w:p>
      <w:pPr>
        <w:ind w:firstLine="645"/>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6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所有供应商全称：</w:t>
      </w:r>
      <w:r/>
    </w:p>
    <w:p>
      <w:pPr>
        <w:ind w:firstLine="645"/>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                                      法定代表人：  </w:t>
      </w:r>
      <w:r/>
    </w:p>
    <w:p>
      <w:pPr>
        <w:ind w:firstLine="46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日期：</w:t>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Symbol">
    <w:panose1 w:val="020B0502040204020203"/>
  </w:font>
  <w:font w:name="Noto Sans CJK JP Regular">
    <w:panose1 w:val="020B0503020202020204"/>
  </w:font>
  <w:font w:name="Adobe 宋体 Std L">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35"/>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5"/>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Pr>
    <w:r>
      <w:rPr>
        <w:rFonts w:hint="eastAsia"/>
        <w:lang w:eastAsia="zh-CN"/>
      </w:rPr>
      <w:t xml:space="preserve">JSZC-321092-SWGC-G2025-0233号</w:t>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both"/>
    </w:pPr>
    <w:r>
      <w:rPr>
        <w:rFonts w:hint="eastAsia"/>
      </w:rPr>
    </w:r>
    <w:r>
      <w:rPr>
        <w:rFonts w:hint="eastAsia"/>
        <w:lang w:eastAsia="zh-CN"/>
      </w:rPr>
      <w:t xml:space="preserve">JSZC-321092-SWGC-G2025-0233</w:t>
    </w:r>
    <w:r/>
    <w:r>
      <w:rPr>
        <w:rFonts w:hint="eastAsia"/>
      </w:rPr>
      <w:t xml:space="preserve">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18"/>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3">
    <w:multiLevelType w:val="hybridMultilevel"/>
    <w:lvl w:ilvl="0">
      <w:start w:val="1"/>
      <w:numFmt w:val="chineseCountingThousand"/>
      <w:isLgl w:val="false"/>
      <w:suff w:val="space"/>
      <w:lvlText w:val="第%1章"/>
      <w:lvlJc w:val="left"/>
      <w:pPr>
        <w:ind w:left="0" w:firstLine="0"/>
      </w:pPr>
      <w:rPr>
        <w:rFonts w:hint="eastAsia" w:ascii="黑体" w:hAnsi="黑体" w:eastAsia="黑体"/>
        <w:b/>
        <w:i w:val="0"/>
        <w:sz w:val="36"/>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0" w:firstLine="0"/>
      </w:pPr>
      <w:rPr>
        <w:rFonts w:hint="eastAsia"/>
      </w:rPr>
    </w:lvl>
    <w:lvl w:ilvl="3">
      <w:start w:val="1"/>
      <w:numFmt w:val="decimal"/>
      <w:isLgl/>
      <w:suff w:val="space"/>
      <w:lvlText w:val="%1.%2.%3.%4"/>
      <w:lvlJc w:val="left"/>
      <w:pPr>
        <w:ind w:left="0" w:firstLine="0"/>
      </w:pPr>
      <w:rPr>
        <w:rFonts w:hint="eastAsia"/>
      </w:rPr>
    </w:lvl>
    <w:lvl w:ilvl="4">
      <w:start w:val="1"/>
      <w:numFmt w:val="decimal"/>
      <w:pStyle w:val="714"/>
      <w:isLgl/>
      <w:suff w:val="space"/>
      <w:lvlText w:val="%1.%2.%3.%4.%5"/>
      <w:lvlJc w:val="left"/>
      <w:pPr>
        <w:ind w:left="2694" w:firstLine="0"/>
      </w:pPr>
      <w:rPr>
        <w:rFonts w:hint="eastAsia"/>
      </w:rPr>
    </w:lvl>
    <w:lvl w:ilvl="5">
      <w:start w:val="1"/>
      <w:numFmt w:val="decimal"/>
      <w:pStyle w:val="715"/>
      <w:isLgl/>
      <w:suff w:val="space"/>
      <w:lvlText w:val="%1.%2.%3.%4.%5.%6"/>
      <w:lvlJc w:val="left"/>
      <w:pPr>
        <w:ind w:left="-1" w:firstLine="0"/>
      </w:pPr>
      <w:rPr>
        <w:rFonts w:hint="eastAsia"/>
      </w:rPr>
    </w:lvl>
    <w:lvl w:ilvl="6">
      <w:start w:val="1"/>
      <w:numFmt w:val="decimal"/>
      <w:isLgl/>
      <w:suff w:val="space"/>
      <w:lvlText w:val="%1.%2.%3.%4.%5.%6.%7"/>
      <w:lvlJc w:val="left"/>
      <w:pPr>
        <w:ind w:left="0" w:firstLine="0"/>
      </w:pPr>
      <w:rPr>
        <w:rFonts w:hint="eastAsia"/>
      </w:rPr>
    </w:lvl>
    <w:lvl w:ilvl="7">
      <w:start w:val="1"/>
      <w:numFmt w:val="decimal"/>
      <w:isLgl/>
      <w:suff w:val="space"/>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default="1">
    <w:name w:val="Normal"/>
    <w:next w:val="713"/>
    <w:uiPriority w:val="0"/>
    <w:qFormat/>
    <w:pPr>
      <w:jc w:val="both"/>
      <w:widowControl w:val="off"/>
    </w:pPr>
    <w:rPr>
      <w:rFonts w:hint="default" w:ascii="Calibri" w:hAnsi="Calibri" w:eastAsia="宋体" w:cs="Times New Roman"/>
      <w:sz w:val="21"/>
      <w:szCs w:val="22"/>
      <w:lang w:val="en-US" w:eastAsia="zh-CN" w:bidi="ar-SA"/>
    </w:rPr>
  </w:style>
  <w:style w:type="paragraph" w:styleId="710">
    <w:name w:val="Heading 1"/>
    <w:basedOn w:val="709"/>
    <w:next w:val="709"/>
    <w:uiPriority w:val="9"/>
    <w:qFormat/>
    <w:pPr>
      <w:keepLines/>
      <w:keepNext/>
      <w:spacing w:before="340" w:after="330" w:line="578" w:lineRule="auto"/>
      <w:outlineLvl w:val="0"/>
    </w:pPr>
    <w:rPr>
      <w:b/>
      <w:bCs/>
      <w:sz w:val="44"/>
      <w:szCs w:val="44"/>
    </w:rPr>
  </w:style>
  <w:style w:type="paragraph" w:styleId="711">
    <w:name w:val="Heading 2"/>
    <w:basedOn w:val="712"/>
    <w:next w:val="709"/>
    <w:uiPriority w:val="0"/>
    <w:qFormat/>
    <w:pPr>
      <w:jc w:val="center"/>
      <w:keepLines/>
      <w:keepNext/>
      <w:spacing w:before="260" w:after="260" w:line="416" w:lineRule="auto"/>
      <w:outlineLvl w:val="1"/>
    </w:pPr>
    <w:rPr>
      <w:rFonts w:ascii="Arial" w:hAnsi="Arial" w:eastAsia="幼圆" w:cs="Arial"/>
      <w:sz w:val="44"/>
      <w:szCs w:val="44"/>
    </w:rPr>
  </w:style>
  <w:style w:type="paragraph" w:styleId="712">
    <w:name w:val="Heading 3"/>
    <w:basedOn w:val="709"/>
    <w:next w:val="709"/>
    <w:uiPriority w:val="0"/>
    <w:qFormat/>
    <w:pPr>
      <w:keepLines/>
      <w:keepNext/>
      <w:spacing w:before="260" w:after="260" w:line="416" w:lineRule="auto"/>
      <w:outlineLvl w:val="2"/>
    </w:pPr>
    <w:rPr>
      <w:b/>
      <w:bCs/>
      <w:sz w:val="32"/>
      <w:szCs w:val="32"/>
    </w:rPr>
  </w:style>
  <w:style w:type="paragraph" w:styleId="713">
    <w:name w:val="Heading 4"/>
    <w:basedOn w:val="714"/>
    <w:next w:val="709"/>
    <w:uiPriority w:val="9"/>
    <w:unhideWhenUsed/>
    <w:qFormat/>
    <w:pPr>
      <w:keepLines/>
      <w:keepNext/>
      <w:spacing w:before="320" w:after="200"/>
      <w:outlineLvl w:val="3"/>
    </w:pPr>
    <w:rPr>
      <w:rFonts w:ascii="Arial" w:hAnsi="Arial" w:eastAsia="Arial" w:cs="Arial"/>
      <w:b/>
      <w:sz w:val="26"/>
      <w:szCs w:val="26"/>
    </w:rPr>
  </w:style>
  <w:style w:type="paragraph" w:styleId="714">
    <w:name w:val="Heading 5"/>
    <w:basedOn w:val="709"/>
    <w:next w:val="709"/>
    <w:uiPriority w:val="9"/>
    <w:qFormat/>
    <w:pPr>
      <w:numPr>
        <w:ilvl w:val="4"/>
        <w:numId w:val="1"/>
      </w:numPr>
      <w:ind w:left="425"/>
      <w:spacing w:before="280" w:after="290"/>
      <w:outlineLvl w:val="4"/>
    </w:pPr>
    <w:rPr>
      <w:bCs/>
      <w:szCs w:val="28"/>
    </w:rPr>
  </w:style>
  <w:style w:type="paragraph" w:styleId="715">
    <w:name w:val="Heading 6"/>
    <w:basedOn w:val="709"/>
    <w:next w:val="709"/>
    <w:uiPriority w:val="9"/>
    <w:qFormat/>
    <w:pPr>
      <w:numPr>
        <w:ilvl w:val="5"/>
        <w:numId w:val="1"/>
      </w:numPr>
      <w:spacing w:before="240" w:after="64"/>
      <w:outlineLvl w:val="5"/>
    </w:pPr>
    <w:rPr>
      <w:rFonts w:cs="Times New Roman"/>
      <w:bCs/>
      <w:szCs w:val="24"/>
    </w:rPr>
  </w:style>
  <w:style w:type="paragraph" w:styleId="716">
    <w:name w:val="Heading 7"/>
    <w:basedOn w:val="709"/>
    <w:next w:val="709"/>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09"/>
    <w:next w:val="709"/>
    <w:link w:val="768"/>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09"/>
    <w:next w:val="709"/>
    <w:link w:val="769"/>
    <w:uiPriority w:val="9"/>
    <w:unhideWhenUsed/>
    <w:qFormat/>
    <w:pPr>
      <w:keepLines/>
      <w:keepNext/>
      <w:spacing w:before="320" w:after="200"/>
      <w:outlineLvl w:val="8"/>
    </w:pPr>
    <w:rPr>
      <w:rFonts w:ascii="Arial" w:hAnsi="Arial" w:eastAsia="Arial" w:cs="Arial"/>
      <w:i/>
      <w:iCs/>
      <w:sz w:val="21"/>
      <w:szCs w:val="21"/>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toc 7"/>
    <w:basedOn w:val="709"/>
    <w:next w:val="709"/>
    <w:uiPriority w:val="39"/>
    <w:unhideWhenUsed/>
    <w:qFormat/>
    <w:pPr>
      <w:ind w:left="1701" w:right="0" w:firstLine="0"/>
      <w:spacing w:after="57"/>
    </w:pPr>
  </w:style>
  <w:style w:type="paragraph" w:styleId="722">
    <w:name w:val="table of authorities"/>
    <w:basedOn w:val="709"/>
    <w:next w:val="709"/>
    <w:uiPriority w:val="0"/>
    <w:qFormat/>
    <w:pPr>
      <w:ind w:left="420"/>
    </w:pPr>
  </w:style>
  <w:style w:type="paragraph" w:styleId="723">
    <w:name w:val="Normal Indent"/>
    <w:basedOn w:val="709"/>
    <w:next w:val="709"/>
    <w:uiPriority w:val="0"/>
    <w:unhideWhenUsed/>
    <w:qFormat/>
    <w:pPr>
      <w:ind w:firstLine="420"/>
    </w:pPr>
  </w:style>
  <w:style w:type="paragraph" w:styleId="724">
    <w:name w:val="Caption"/>
    <w:basedOn w:val="709"/>
    <w:next w:val="70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5">
    <w:name w:val="annotation text"/>
    <w:basedOn w:val="709"/>
    <w:link w:val="925"/>
    <w:uiPriority w:val="0"/>
    <w:qFormat/>
    <w:pPr>
      <w:jc w:val="left"/>
    </w:pPr>
  </w:style>
  <w:style w:type="paragraph" w:styleId="726">
    <w:name w:val="Body Text"/>
    <w:basedOn w:val="709"/>
    <w:next w:val="723"/>
    <w:uiPriority w:val="0"/>
    <w:qFormat/>
    <w:rPr>
      <w:rFonts w:ascii="楷体_GB2312" w:hAnsi="Arial" w:eastAsia="楷体_GB2312"/>
      <w:sz w:val="28"/>
      <w:szCs w:val="28"/>
    </w:rPr>
  </w:style>
  <w:style w:type="paragraph" w:styleId="727">
    <w:name w:val="Body Text Indent"/>
    <w:basedOn w:val="709"/>
    <w:next w:val="709"/>
    <w:uiPriority w:val="0"/>
    <w:qFormat/>
    <w:pPr>
      <w:ind w:left="420"/>
      <w:spacing w:after="120"/>
    </w:pPr>
    <w:rPr>
      <w:rFonts w:ascii="等线" w:hAnsi="等线" w:eastAsia="等线"/>
    </w:rPr>
  </w:style>
  <w:style w:type="paragraph" w:styleId="728">
    <w:name w:val="toc 5"/>
    <w:basedOn w:val="709"/>
    <w:next w:val="709"/>
    <w:uiPriority w:val="39"/>
    <w:unhideWhenUsed/>
    <w:qFormat/>
    <w:pPr>
      <w:ind w:left="1134" w:right="0" w:firstLine="0"/>
      <w:spacing w:after="57"/>
    </w:pPr>
  </w:style>
  <w:style w:type="paragraph" w:styleId="729">
    <w:name w:val="toc 3"/>
    <w:basedOn w:val="709"/>
    <w:next w:val="709"/>
    <w:uiPriority w:val="39"/>
    <w:unhideWhenUsed/>
    <w:qFormat/>
    <w:pPr>
      <w:ind w:left="567" w:right="0" w:firstLine="0"/>
      <w:spacing w:after="57"/>
    </w:pPr>
  </w:style>
  <w:style w:type="paragraph" w:styleId="730">
    <w:name w:val="Plain Text"/>
    <w:basedOn w:val="709"/>
    <w:uiPriority w:val="99"/>
    <w:qFormat/>
    <w:rPr>
      <w:rFonts w:ascii="宋体" w:hAnsi="Courier New"/>
      <w:sz w:val="20"/>
      <w:szCs w:val="21"/>
    </w:rPr>
  </w:style>
  <w:style w:type="paragraph" w:styleId="731">
    <w:name w:val="toc 8"/>
    <w:basedOn w:val="709"/>
    <w:next w:val="709"/>
    <w:uiPriority w:val="39"/>
    <w:unhideWhenUsed/>
    <w:qFormat/>
    <w:pPr>
      <w:ind w:left="1984" w:right="0" w:firstLine="0"/>
      <w:spacing w:after="57"/>
    </w:pPr>
  </w:style>
  <w:style w:type="paragraph" w:styleId="732">
    <w:name w:val="Body Text Indent 2"/>
    <w:basedOn w:val="709"/>
    <w:uiPriority w:val="0"/>
    <w:qFormat/>
    <w:pPr>
      <w:ind w:left="640"/>
      <w:spacing w:after="120" w:line="480" w:lineRule="auto"/>
    </w:pPr>
    <w:rPr>
      <w:rFonts w:eastAsia="仿宋_GB2312"/>
      <w:sz w:val="32"/>
      <w:szCs w:val="28"/>
    </w:rPr>
  </w:style>
  <w:style w:type="paragraph" w:styleId="733">
    <w:name w:val="endnote text"/>
    <w:basedOn w:val="709"/>
    <w:link w:val="906"/>
    <w:uiPriority w:val="99"/>
    <w:semiHidden/>
    <w:unhideWhenUsed/>
    <w:qFormat/>
    <w:pPr>
      <w:spacing w:after="0" w:line="240" w:lineRule="auto"/>
    </w:pPr>
    <w:rPr>
      <w:sz w:val="20"/>
    </w:rPr>
  </w:style>
  <w:style w:type="paragraph" w:styleId="734">
    <w:name w:val="Balloon Text"/>
    <w:basedOn w:val="709"/>
    <w:link w:val="916"/>
    <w:uiPriority w:val="0"/>
    <w:qFormat/>
    <w:rPr>
      <w:sz w:val="18"/>
      <w:szCs w:val="18"/>
    </w:rPr>
  </w:style>
  <w:style w:type="paragraph" w:styleId="735">
    <w:name w:val="Footer"/>
    <w:basedOn w:val="709"/>
    <w:uiPriority w:val="99"/>
    <w:unhideWhenUsed/>
    <w:qFormat/>
    <w:pPr>
      <w:jc w:val="left"/>
      <w:tabs>
        <w:tab w:val="center" w:pos="4153" w:leader="none"/>
        <w:tab w:val="right" w:pos="8306" w:leader="none"/>
      </w:tabs>
    </w:pPr>
    <w:rPr>
      <w:sz w:val="18"/>
      <w:szCs w:val="18"/>
    </w:rPr>
  </w:style>
  <w:style w:type="paragraph" w:styleId="736">
    <w:name w:val="envelope return"/>
    <w:basedOn w:val="709"/>
    <w:uiPriority w:val="99"/>
    <w:unhideWhenUsed/>
    <w:qFormat/>
    <w:rPr>
      <w:rFonts w:ascii="Arial" w:hAnsi="Arial"/>
    </w:rPr>
  </w:style>
  <w:style w:type="paragraph" w:styleId="737">
    <w:name w:val="Header"/>
    <w:basedOn w:val="70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38">
    <w:name w:val="toc 1"/>
    <w:basedOn w:val="709"/>
    <w:next w:val="709"/>
    <w:uiPriority w:val="39"/>
    <w:unhideWhenUsed/>
    <w:qFormat/>
  </w:style>
  <w:style w:type="paragraph" w:styleId="739">
    <w:name w:val="toc 4"/>
    <w:basedOn w:val="709"/>
    <w:next w:val="709"/>
    <w:uiPriority w:val="39"/>
    <w:unhideWhenUsed/>
    <w:qFormat/>
    <w:pPr>
      <w:ind w:left="850" w:right="0" w:firstLine="0"/>
      <w:spacing w:after="57"/>
    </w:pPr>
  </w:style>
  <w:style w:type="paragraph" w:styleId="740">
    <w:name w:val="Subtitle"/>
    <w:basedOn w:val="709"/>
    <w:next w:val="709"/>
    <w:link w:val="772"/>
    <w:uiPriority w:val="11"/>
    <w:qFormat/>
    <w:pPr>
      <w:spacing w:before="200" w:after="200"/>
    </w:pPr>
    <w:rPr>
      <w:sz w:val="24"/>
      <w:szCs w:val="24"/>
    </w:rPr>
  </w:style>
  <w:style w:type="paragraph" w:styleId="741">
    <w:name w:val="footnote text"/>
    <w:basedOn w:val="709"/>
    <w:link w:val="905"/>
    <w:uiPriority w:val="99"/>
    <w:semiHidden/>
    <w:unhideWhenUsed/>
    <w:qFormat/>
    <w:pPr>
      <w:spacing w:after="40" w:line="240" w:lineRule="auto"/>
    </w:pPr>
    <w:rPr>
      <w:sz w:val="18"/>
    </w:rPr>
  </w:style>
  <w:style w:type="paragraph" w:styleId="742">
    <w:name w:val="toc 6"/>
    <w:basedOn w:val="709"/>
    <w:next w:val="709"/>
    <w:uiPriority w:val="39"/>
    <w:unhideWhenUsed/>
    <w:qFormat/>
    <w:pPr>
      <w:ind w:left="1417" w:right="0" w:firstLine="0"/>
      <w:spacing w:after="57"/>
    </w:pPr>
  </w:style>
  <w:style w:type="paragraph" w:styleId="743">
    <w:name w:val="table of figures"/>
    <w:basedOn w:val="709"/>
    <w:next w:val="709"/>
    <w:uiPriority w:val="99"/>
    <w:unhideWhenUsed/>
    <w:qFormat/>
    <w:pPr>
      <w:spacing w:after="0" w:afterAutospacing="0"/>
    </w:pPr>
  </w:style>
  <w:style w:type="paragraph" w:styleId="744">
    <w:name w:val="toc 2"/>
    <w:basedOn w:val="709"/>
    <w:next w:val="709"/>
    <w:uiPriority w:val="0"/>
    <w:qFormat/>
    <w:pPr>
      <w:ind w:left="420"/>
    </w:pPr>
  </w:style>
  <w:style w:type="paragraph" w:styleId="745">
    <w:name w:val="toc 9"/>
    <w:basedOn w:val="709"/>
    <w:next w:val="709"/>
    <w:uiPriority w:val="39"/>
    <w:unhideWhenUsed/>
    <w:qFormat/>
    <w:pPr>
      <w:ind w:left="2268" w:right="0" w:firstLine="0"/>
      <w:spacing w:after="57"/>
    </w:pPr>
  </w:style>
  <w:style w:type="paragraph" w:styleId="746">
    <w:name w:val="Body Text 2"/>
    <w:basedOn w:val="709"/>
    <w:uiPriority w:val="0"/>
    <w:qFormat/>
    <w:pPr>
      <w:spacing w:after="120" w:line="480" w:lineRule="auto"/>
    </w:pPr>
  </w:style>
  <w:style w:type="paragraph" w:styleId="747">
    <w:name w:val="Message Header"/>
    <w:basedOn w:val="709"/>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48">
    <w:name w:val="Normal (Web)"/>
    <w:basedOn w:val="709"/>
    <w:uiPriority w:val="0"/>
    <w:qFormat/>
    <w:rPr>
      <w:rFonts w:ascii="Times New Roman" w:hAnsi="Times New Roman"/>
      <w:sz w:val="24"/>
    </w:rPr>
  </w:style>
  <w:style w:type="paragraph" w:styleId="749">
    <w:name w:val="Title"/>
    <w:basedOn w:val="709"/>
    <w:next w:val="709"/>
    <w:link w:val="771"/>
    <w:uiPriority w:val="10"/>
    <w:qFormat/>
    <w:pPr>
      <w:contextualSpacing/>
      <w:spacing w:before="300" w:after="200"/>
    </w:pPr>
    <w:rPr>
      <w:sz w:val="48"/>
      <w:szCs w:val="48"/>
    </w:rPr>
  </w:style>
  <w:style w:type="paragraph" w:styleId="750">
    <w:name w:val="annotation subject"/>
    <w:basedOn w:val="725"/>
    <w:next w:val="725"/>
    <w:link w:val="926"/>
    <w:uiPriority w:val="0"/>
    <w:qFormat/>
    <w:rPr>
      <w:b/>
      <w:bCs/>
    </w:rPr>
  </w:style>
  <w:style w:type="paragraph" w:styleId="751">
    <w:name w:val="Body Text First Indent 2"/>
    <w:basedOn w:val="727"/>
    <w:uiPriority w:val="0"/>
    <w:qFormat/>
    <w:pPr>
      <w:ind w:firstLine="420"/>
      <w:spacing w:before="100" w:beforeAutospacing="1"/>
    </w:pPr>
    <w:rPr>
      <w:rFonts w:ascii="Times New Roman" w:hAnsi="Times New Roman" w:eastAsia="宋体"/>
      <w:sz w:val="20"/>
      <w:szCs w:val="21"/>
    </w:rPr>
  </w:style>
  <w:style w:type="table" w:styleId="752">
    <w:name w:val="Table Grid"/>
    <w:basedOn w:val="7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3">
    <w:name w:val="Strong"/>
    <w:uiPriority w:val="0"/>
    <w:qFormat/>
    <w:rPr>
      <w:b/>
    </w:rPr>
  </w:style>
  <w:style w:type="character" w:styleId="754">
    <w:name w:val="endnote reference"/>
    <w:basedOn w:val="719"/>
    <w:uiPriority w:val="99"/>
    <w:semiHidden/>
    <w:unhideWhenUsed/>
    <w:qFormat/>
    <w:rPr>
      <w:vertAlign w:val="superscript"/>
    </w:rPr>
  </w:style>
  <w:style w:type="character" w:styleId="755">
    <w:name w:val="page number"/>
    <w:uiPriority w:val="0"/>
    <w:qFormat/>
  </w:style>
  <w:style w:type="character" w:styleId="756">
    <w:name w:val="FollowedHyperlink"/>
    <w:basedOn w:val="719"/>
    <w:uiPriority w:val="0"/>
    <w:qFormat/>
    <w:rPr>
      <w:color w:val="444444"/>
      <w:u w:val="none"/>
    </w:rPr>
  </w:style>
  <w:style w:type="character" w:styleId="757">
    <w:name w:val="Hyperlink"/>
    <w:basedOn w:val="719"/>
    <w:uiPriority w:val="0"/>
    <w:qFormat/>
    <w:rPr>
      <w:color w:val="0000ff"/>
      <w:u w:val="single"/>
    </w:rPr>
  </w:style>
  <w:style w:type="character" w:styleId="758">
    <w:name w:val="annotation reference"/>
    <w:basedOn w:val="719"/>
    <w:uiPriority w:val="0"/>
    <w:qFormat/>
    <w:rPr>
      <w:sz w:val="21"/>
      <w:szCs w:val="21"/>
    </w:rPr>
  </w:style>
  <w:style w:type="character" w:styleId="759">
    <w:name w:val="footnote reference"/>
    <w:basedOn w:val="719"/>
    <w:uiPriority w:val="99"/>
    <w:unhideWhenUsed/>
    <w:qFormat/>
    <w:rPr>
      <w:vertAlign w:val="superscript"/>
    </w:rPr>
  </w:style>
  <w:style w:type="paragraph" w:styleId="760" w:customStyle="1">
    <w:name w:val="Default"/>
    <w:next w:val="709"/>
    <w:uiPriority w:val="0"/>
    <w:qFormat/>
    <w:pPr>
      <w:widowControl w:val="off"/>
    </w:pPr>
    <w:rPr>
      <w:rFonts w:ascii="宋体" w:hAnsi="Times New Roman" w:eastAsia="宋体" w:cs="宋体"/>
      <w:color w:val="000000"/>
      <w:sz w:val="24"/>
      <w:szCs w:val="24"/>
      <w:lang w:val="en-US" w:eastAsia="zh-CN" w:bidi="ar-SA"/>
    </w:rPr>
  </w:style>
  <w:style w:type="character" w:styleId="761" w:customStyle="1">
    <w:name w:val="Heading 1 Char"/>
    <w:basedOn w:val="719"/>
    <w:uiPriority w:val="9"/>
    <w:qFormat/>
    <w:rPr>
      <w:rFonts w:ascii="Arial" w:hAnsi="Arial" w:eastAsia="Arial" w:cs="Arial"/>
      <w:sz w:val="40"/>
      <w:szCs w:val="40"/>
    </w:rPr>
  </w:style>
  <w:style w:type="character" w:styleId="762" w:customStyle="1">
    <w:name w:val="Heading 2 Char"/>
    <w:basedOn w:val="719"/>
    <w:uiPriority w:val="9"/>
    <w:qFormat/>
    <w:rPr>
      <w:rFonts w:ascii="Arial" w:hAnsi="Arial" w:eastAsia="Arial" w:cs="Arial"/>
      <w:sz w:val="34"/>
    </w:rPr>
  </w:style>
  <w:style w:type="character" w:styleId="763" w:customStyle="1">
    <w:name w:val="Heading 3 Char"/>
    <w:basedOn w:val="719"/>
    <w:uiPriority w:val="9"/>
    <w:qFormat/>
    <w:rPr>
      <w:rFonts w:ascii="Arial" w:hAnsi="Arial" w:eastAsia="Arial" w:cs="Arial"/>
      <w:sz w:val="30"/>
      <w:szCs w:val="30"/>
    </w:rPr>
  </w:style>
  <w:style w:type="character" w:styleId="764" w:customStyle="1">
    <w:name w:val="Heading 4 Char"/>
    <w:basedOn w:val="719"/>
    <w:uiPriority w:val="9"/>
    <w:rPr>
      <w:rFonts w:ascii="Arial" w:hAnsi="Arial" w:eastAsia="Arial" w:cs="Arial"/>
      <w:b/>
      <w:bCs/>
      <w:sz w:val="26"/>
      <w:szCs w:val="26"/>
    </w:rPr>
  </w:style>
  <w:style w:type="character" w:styleId="765" w:customStyle="1">
    <w:name w:val="Heading 5 Char"/>
    <w:basedOn w:val="719"/>
    <w:uiPriority w:val="9"/>
    <w:qFormat/>
    <w:rPr>
      <w:rFonts w:ascii="Arial" w:hAnsi="Arial" w:eastAsia="Arial" w:cs="Arial"/>
      <w:b/>
      <w:bCs/>
      <w:sz w:val="24"/>
      <w:szCs w:val="24"/>
    </w:rPr>
  </w:style>
  <w:style w:type="character" w:styleId="766" w:customStyle="1">
    <w:name w:val="Heading 6 Char"/>
    <w:basedOn w:val="719"/>
    <w:uiPriority w:val="9"/>
    <w:qFormat/>
    <w:rPr>
      <w:rFonts w:ascii="Arial" w:hAnsi="Arial" w:eastAsia="Arial" w:cs="Arial"/>
      <w:b/>
      <w:bCs/>
      <w:sz w:val="22"/>
      <w:szCs w:val="22"/>
    </w:rPr>
  </w:style>
  <w:style w:type="character" w:styleId="767" w:customStyle="1">
    <w:name w:val="Heading 7 Char"/>
    <w:basedOn w:val="719"/>
    <w:link w:val="716"/>
    <w:uiPriority w:val="9"/>
    <w:qFormat/>
    <w:rPr>
      <w:rFonts w:ascii="Arial" w:hAnsi="Arial" w:eastAsia="Arial" w:cs="Arial"/>
      <w:b/>
      <w:bCs/>
      <w:i/>
      <w:iCs/>
      <w:sz w:val="22"/>
      <w:szCs w:val="22"/>
    </w:rPr>
  </w:style>
  <w:style w:type="character" w:styleId="768" w:customStyle="1">
    <w:name w:val="Heading 8 Char"/>
    <w:basedOn w:val="719"/>
    <w:link w:val="717"/>
    <w:uiPriority w:val="9"/>
    <w:qFormat/>
    <w:rPr>
      <w:rFonts w:ascii="Arial" w:hAnsi="Arial" w:eastAsia="Arial" w:cs="Arial"/>
      <w:i/>
      <w:iCs/>
      <w:sz w:val="22"/>
      <w:szCs w:val="22"/>
    </w:rPr>
  </w:style>
  <w:style w:type="character" w:styleId="769" w:customStyle="1">
    <w:name w:val="Heading 9 Char"/>
    <w:basedOn w:val="719"/>
    <w:link w:val="718"/>
    <w:uiPriority w:val="9"/>
    <w:qFormat/>
    <w:rPr>
      <w:rFonts w:ascii="Arial" w:hAnsi="Arial" w:eastAsia="Arial" w:cs="Arial"/>
      <w:i/>
      <w:iCs/>
      <w:sz w:val="21"/>
      <w:szCs w:val="21"/>
    </w:rPr>
  </w:style>
  <w:style w:type="paragraph" w:styleId="770">
    <w:name w:val="No Spacing"/>
    <w:uiPriority w:val="1"/>
    <w:qFormat/>
    <w:pPr>
      <w:spacing w:before="0" w:after="0" w:line="240" w:lineRule="auto"/>
    </w:pPr>
    <w:rPr>
      <w:rFonts w:hint="default" w:ascii="Calibri" w:hAnsi="Calibri" w:eastAsia="宋体" w:cs="Times New Roman"/>
    </w:rPr>
  </w:style>
  <w:style w:type="character" w:styleId="771" w:customStyle="1">
    <w:name w:val="Title Char"/>
    <w:basedOn w:val="719"/>
    <w:link w:val="749"/>
    <w:uiPriority w:val="10"/>
    <w:qFormat/>
    <w:rPr>
      <w:sz w:val="48"/>
      <w:szCs w:val="48"/>
    </w:rPr>
  </w:style>
  <w:style w:type="character" w:styleId="772" w:customStyle="1">
    <w:name w:val="Subtitle Char"/>
    <w:basedOn w:val="719"/>
    <w:link w:val="740"/>
    <w:uiPriority w:val="11"/>
    <w:qFormat/>
    <w:rPr>
      <w:sz w:val="24"/>
      <w:szCs w:val="24"/>
    </w:rPr>
  </w:style>
  <w:style w:type="paragraph" w:styleId="773">
    <w:name w:val="Quote"/>
    <w:basedOn w:val="709"/>
    <w:next w:val="709"/>
    <w:link w:val="774"/>
    <w:uiPriority w:val="29"/>
    <w:qFormat/>
    <w:pPr>
      <w:ind w:left="720" w:right="720"/>
    </w:pPr>
    <w:rPr>
      <w:i/>
    </w:rPr>
  </w:style>
  <w:style w:type="character" w:styleId="774" w:customStyle="1">
    <w:name w:val="Quote Char"/>
    <w:link w:val="773"/>
    <w:uiPriority w:val="29"/>
    <w:qFormat/>
    <w:rPr>
      <w:i/>
    </w:rPr>
  </w:style>
  <w:style w:type="paragraph" w:styleId="775">
    <w:name w:val="Intense Quote"/>
    <w:basedOn w:val="709"/>
    <w:next w:val="709"/>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Intense Quote Char"/>
    <w:link w:val="775"/>
    <w:uiPriority w:val="30"/>
    <w:qFormat/>
    <w:rPr>
      <w:i/>
    </w:rPr>
  </w:style>
  <w:style w:type="character" w:styleId="777" w:customStyle="1">
    <w:name w:val="Header Char"/>
    <w:basedOn w:val="719"/>
    <w:uiPriority w:val="99"/>
    <w:qFormat/>
  </w:style>
  <w:style w:type="character" w:styleId="778" w:customStyle="1">
    <w:name w:val="Footer Char"/>
    <w:basedOn w:val="719"/>
    <w:uiPriority w:val="99"/>
    <w:qFormat/>
  </w:style>
  <w:style w:type="character" w:styleId="779" w:customStyle="1">
    <w:name w:val="Caption Char"/>
    <w:uiPriority w:val="99"/>
    <w:qFormat/>
  </w:style>
  <w:style w:type="table" w:styleId="780" w:customStyle="1">
    <w:name w:val="Table Grid Light"/>
    <w:basedOn w:val="7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Plain Table 1"/>
    <w:basedOn w:val="7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basedOn w:val="72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basedOn w:val="72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basedOn w:val="72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basedOn w:val="72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basedOn w:val="72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basedOn w:val="72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basedOn w:val="72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basedOn w:val="72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w:basedOn w:val="7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basedOn w:val="72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basedOn w:val="72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basedOn w:val="72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basedOn w:val="72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basedOn w:val="72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9" w:customStyle="1">
    <w:name w:val="Grid Table 2 - Accent 6"/>
    <w:basedOn w:val="72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0" w:customStyle="1">
    <w:name w:val="Grid Table 3"/>
    <w:basedOn w:val="7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basedOn w:val="72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basedOn w:val="72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basedOn w:val="72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basedOn w:val="72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basedOn w:val="72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basedOn w:val="72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basedOn w:val="72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basedOn w:val="72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9" w:customStyle="1">
    <w:name w:val="Grid Table 4 - Accent 2"/>
    <w:basedOn w:val="72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0" w:customStyle="1">
    <w:name w:val="Grid Table 4 - Accent 3"/>
    <w:basedOn w:val="72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1" w:customStyle="1">
    <w:name w:val="Grid Table 4 - Accent 4"/>
    <w:basedOn w:val="72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2" w:customStyle="1">
    <w:name w:val="Grid Table 4 - Accent 5"/>
    <w:basedOn w:val="72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3" w:customStyle="1">
    <w:name w:val="Grid Table 4 - Accent 6"/>
    <w:basedOn w:val="72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4" w:customStyle="1">
    <w:name w:val="Grid Table 5 Dark"/>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6" w:customStyle="1">
    <w:name w:val="Grid Table 5 Dark - Accent 2"/>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7" w:customStyle="1">
    <w:name w:val="Grid Table 5 Dark - Accent 3"/>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8" w:customStyle="1">
    <w:name w:val="Grid Table 5 Dark- Accent 4"/>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9" w:customStyle="1">
    <w:name w:val="Grid Table 5 Dark - Accent 5"/>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0" w:customStyle="1">
    <w:name w:val="Grid Table 5 Dark - Accent 6"/>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1" w:customStyle="1">
    <w:name w:val="Grid Table 6 Colorful"/>
    <w:basedOn w:val="72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basedOn w:val="72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3" w:customStyle="1">
    <w:name w:val="Grid Table 6 Colorful - Accent 2"/>
    <w:basedOn w:val="72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4" w:customStyle="1">
    <w:name w:val="Grid Table 6 Colorful - Accent 3"/>
    <w:basedOn w:val="72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5" w:customStyle="1">
    <w:name w:val="Grid Table 6 Colorful - Accent 4"/>
    <w:basedOn w:val="72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6" w:customStyle="1">
    <w:name w:val="Grid Table 6 Colorful - Accent 5"/>
    <w:basedOn w:val="72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7" w:customStyle="1">
    <w:name w:val="Grid Table 6 Colorful - Accent 6"/>
    <w:basedOn w:val="72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8" w:customStyle="1">
    <w:name w:val="Grid Table 7 Colorful"/>
    <w:basedOn w:val="72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basedOn w:val="72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basedOn w:val="72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basedOn w:val="72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basedOn w:val="72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basedOn w:val="72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basedOn w:val="72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w:basedOn w:val="72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basedOn w:val="72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7" w:customStyle="1">
    <w:name w:val="List Table 1 Light - Accent 2"/>
    <w:basedOn w:val="72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8" w:customStyle="1">
    <w:name w:val="List Table 1 Light - Accent 3"/>
    <w:basedOn w:val="72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9" w:customStyle="1">
    <w:name w:val="List Table 1 Light - Accent 4"/>
    <w:basedOn w:val="72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0" w:customStyle="1">
    <w:name w:val="List Table 1 Light - Accent 5"/>
    <w:basedOn w:val="72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1" w:customStyle="1">
    <w:name w:val="List Table 1 Light - Accent 6"/>
    <w:basedOn w:val="72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2" w:customStyle="1">
    <w:name w:val="List Table 2"/>
    <w:basedOn w:val="72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basedOn w:val="72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4" w:customStyle="1">
    <w:name w:val="List Table 2 - Accent 2"/>
    <w:basedOn w:val="72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5" w:customStyle="1">
    <w:name w:val="List Table 2 - Accent 3"/>
    <w:basedOn w:val="72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6" w:customStyle="1">
    <w:name w:val="List Table 2 - Accent 4"/>
    <w:basedOn w:val="72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7" w:customStyle="1">
    <w:name w:val="List Table 2 - Accent 5"/>
    <w:basedOn w:val="72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8" w:customStyle="1">
    <w:name w:val="List Table 2 - Accent 6"/>
    <w:basedOn w:val="72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9" w:customStyle="1">
    <w:name w:val="List Table 3"/>
    <w:basedOn w:val="7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basedOn w:val="72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1" w:customStyle="1">
    <w:name w:val="List Table 3 - Accent 2"/>
    <w:basedOn w:val="72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2" w:customStyle="1">
    <w:name w:val="List Table 3 - Accent 3"/>
    <w:basedOn w:val="72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3" w:customStyle="1">
    <w:name w:val="List Table 3 - Accent 4"/>
    <w:basedOn w:val="72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4" w:customStyle="1">
    <w:name w:val="List Table 3 - Accent 5"/>
    <w:basedOn w:val="72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5" w:customStyle="1">
    <w:name w:val="List Table 3 - Accent 6"/>
    <w:basedOn w:val="72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6" w:customStyle="1">
    <w:name w:val="List Table 4"/>
    <w:basedOn w:val="7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basedOn w:val="72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8" w:customStyle="1">
    <w:name w:val="List Table 4 - Accent 2"/>
    <w:basedOn w:val="72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9" w:customStyle="1">
    <w:name w:val="List Table 4 - Accent 3"/>
    <w:basedOn w:val="72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0" w:customStyle="1">
    <w:name w:val="List Table 4 - Accent 4"/>
    <w:basedOn w:val="72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1" w:customStyle="1">
    <w:name w:val="List Table 4 - Accent 5"/>
    <w:basedOn w:val="72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2" w:customStyle="1">
    <w:name w:val="List Table 4 - Accent 6"/>
    <w:basedOn w:val="72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3" w:customStyle="1">
    <w:name w:val="List Table 5 Dark"/>
    <w:basedOn w:val="72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basedOn w:val="72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basedOn w:val="72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basedOn w:val="72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basedOn w:val="72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basedOn w:val="72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basedOn w:val="72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6 Colorful"/>
    <w:basedOn w:val="72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basedOn w:val="72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2" w:customStyle="1">
    <w:name w:val="List Table 6 Colorful - Accent 2"/>
    <w:basedOn w:val="72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3" w:customStyle="1">
    <w:name w:val="List Table 6 Colorful - Accent 3"/>
    <w:basedOn w:val="72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4" w:customStyle="1">
    <w:name w:val="List Table 6 Colorful - Accent 4"/>
    <w:basedOn w:val="72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5" w:customStyle="1">
    <w:name w:val="List Table 6 Colorful - Accent 5"/>
    <w:basedOn w:val="72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6" w:customStyle="1">
    <w:name w:val="List Table 6 Colorful - Accent 6"/>
    <w:basedOn w:val="72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7" w:customStyle="1">
    <w:name w:val="List Table 7 Colorful"/>
    <w:basedOn w:val="72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basedOn w:val="72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basedOn w:val="72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basedOn w:val="72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basedOn w:val="72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basedOn w:val="72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basedOn w:val="72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4" w:customStyle="1">
    <w:name w:val="Lined - Accent"/>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6" w:customStyle="1">
    <w:name w:val="Lined - Accent 2"/>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7" w:customStyle="1">
    <w:name w:val="Lined - Accent 3"/>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8" w:customStyle="1">
    <w:name w:val="Lined - Accent 4"/>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9" w:customStyle="1">
    <w:name w:val="Lined - Accent 5"/>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0" w:customStyle="1">
    <w:name w:val="Lined - Accent 6"/>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1" w:customStyle="1">
    <w:name w:val="Bordered &amp; Lined - Accent"/>
    <w:basedOn w:val="72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basedOn w:val="72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3" w:customStyle="1">
    <w:name w:val="Bordered &amp; Lined - Accent 2"/>
    <w:basedOn w:val="72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4" w:customStyle="1">
    <w:name w:val="Bordered &amp; Lined - Accent 3"/>
    <w:basedOn w:val="72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5" w:customStyle="1">
    <w:name w:val="Bordered &amp; Lined - Accent 4"/>
    <w:basedOn w:val="72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6" w:customStyle="1">
    <w:name w:val="Bordered &amp; Lined - Accent 5"/>
    <w:basedOn w:val="72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7" w:customStyle="1">
    <w:name w:val="Bordered &amp; Lined - Accent 6"/>
    <w:basedOn w:val="72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8" w:customStyle="1">
    <w:name w:val="Bordered"/>
    <w:basedOn w:val="72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basedOn w:val="72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0" w:customStyle="1">
    <w:name w:val="Bordered - Accent 2"/>
    <w:basedOn w:val="72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1" w:customStyle="1">
    <w:name w:val="Bordered - Accent 3"/>
    <w:basedOn w:val="72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2" w:customStyle="1">
    <w:name w:val="Bordered - Accent 4"/>
    <w:basedOn w:val="72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3" w:customStyle="1">
    <w:name w:val="Bordered - Accent 5"/>
    <w:basedOn w:val="72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4" w:customStyle="1">
    <w:name w:val="Bordered - Accent 6"/>
    <w:basedOn w:val="72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5" w:customStyle="1">
    <w:name w:val="Footnote Text Char"/>
    <w:link w:val="741"/>
    <w:uiPriority w:val="99"/>
    <w:qFormat/>
    <w:rPr>
      <w:sz w:val="18"/>
    </w:rPr>
  </w:style>
  <w:style w:type="character" w:styleId="906" w:customStyle="1">
    <w:name w:val="Endnote Text Char"/>
    <w:link w:val="733"/>
    <w:uiPriority w:val="99"/>
    <w:qFormat/>
    <w:rPr>
      <w:sz w:val="20"/>
    </w:rPr>
  </w:style>
  <w:style w:type="paragraph" w:styleId="907" w:customStyle="1">
    <w:name w:val="TOC Heading"/>
    <w:uiPriority w:val="39"/>
    <w:unhideWhenUsed/>
    <w:qFormat/>
    <w:rPr>
      <w:rFonts w:hint="default" w:ascii="Calibri" w:hAnsi="Calibri" w:eastAsia="宋体" w:cs="Times New Roman"/>
    </w:rPr>
  </w:style>
  <w:style w:type="paragraph" w:styleId="908" w:customStyle="1">
    <w:name w:val="正文（缩进）"/>
    <w:basedOn w:val="709"/>
    <w:uiPriority w:val="0"/>
    <w:qFormat/>
    <w:pPr>
      <w:ind w:firstLine="480"/>
      <w:spacing w:before="156" w:after="156"/>
    </w:pPr>
  </w:style>
  <w:style w:type="paragraph" w:styleId="909" w:customStyle="1">
    <w:name w:val="正文1"/>
    <w:basedOn w:val="709"/>
    <w:next w:val="910"/>
    <w:uiPriority w:val="0"/>
    <w:qFormat/>
    <w:pPr>
      <w:jc w:val="left"/>
      <w:spacing w:line="360" w:lineRule="atLeast"/>
    </w:pPr>
    <w:rPr>
      <w:rFonts w:ascii="宋体" w:hAnsiTheme="minorHAnsi" w:eastAsiaTheme="minorEastAsia" w:cstheme="minorBidi"/>
      <w:sz w:val="24"/>
      <w:szCs w:val="20"/>
    </w:rPr>
  </w:style>
  <w:style w:type="paragraph" w:styleId="910" w:customStyle="1">
    <w:name w:val="正文文本1"/>
    <w:basedOn w:val="909"/>
    <w:next w:val="911"/>
    <w:uiPriority w:val="0"/>
    <w:qFormat/>
    <w:pPr>
      <w:spacing w:after="120"/>
    </w:pPr>
    <w:rPr>
      <w:lang w:eastAsia="en-US"/>
    </w:rPr>
  </w:style>
  <w:style w:type="paragraph" w:styleId="911" w:customStyle="1">
    <w:name w:val="一级条标题"/>
    <w:basedOn w:val="912"/>
    <w:next w:val="91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2" w:customStyle="1">
    <w:name w:val="章标题"/>
    <w:next w:val="70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13" w:customStyle="1">
    <w:name w:val="段"/>
    <w:basedOn w:val="909"/>
    <w:next w:val="709"/>
    <w:uiPriority w:val="0"/>
    <w:qFormat/>
    <w:pPr>
      <w:ind w:firstLine="200"/>
      <w:widowControl/>
    </w:pPr>
    <w:rPr>
      <w:sz w:val="20"/>
    </w:rPr>
  </w:style>
  <w:style w:type="paragraph" w:styleId="914" w:customStyle="1">
    <w:name w:val="普通正文"/>
    <w:basedOn w:val="709"/>
    <w:uiPriority w:val="0"/>
    <w:qFormat/>
    <w:pPr>
      <w:ind w:firstLine="480"/>
      <w:jc w:val="left"/>
      <w:spacing w:before="120" w:after="120" w:line="360" w:lineRule="auto"/>
    </w:pPr>
    <w:rPr>
      <w:rFonts w:ascii="Arial" w:hAnsi="Arial"/>
      <w:sz w:val="24"/>
      <w:szCs w:val="24"/>
    </w:rPr>
  </w:style>
  <w:style w:type="paragraph" w:styleId="915" w:customStyle="1">
    <w:name w:val="Char"/>
    <w:basedOn w:val="709"/>
    <w:uiPriority w:val="0"/>
    <w:qFormat/>
    <w:pPr>
      <w:ind w:firstLine="200"/>
      <w:tabs>
        <w:tab w:val="left" w:pos="360" w:leader="none"/>
      </w:tabs>
    </w:pPr>
    <w:rPr>
      <w:rFonts w:ascii="Times New Roman" w:hAnsi="Times New Roman"/>
      <w:sz w:val="28"/>
      <w:szCs w:val="30"/>
    </w:rPr>
  </w:style>
  <w:style w:type="character" w:styleId="916" w:customStyle="1">
    <w:name w:val="批注框文本 Char"/>
    <w:basedOn w:val="719"/>
    <w:link w:val="734"/>
    <w:uiPriority w:val="0"/>
    <w:qFormat/>
    <w:rPr>
      <w:sz w:val="18"/>
      <w:szCs w:val="18"/>
    </w:rPr>
  </w:style>
  <w:style w:type="paragraph" w:styleId="917" w:customStyle="1">
    <w:name w:val="Table Paragraph"/>
    <w:basedOn w:val="709"/>
    <w:uiPriority w:val="1"/>
    <w:qFormat/>
    <w:rPr>
      <w:rFonts w:ascii="Noto Sans CJK JP Regular" w:hAnsi="Noto Sans CJK JP Regular" w:eastAsia="Noto Sans CJK JP Regular" w:cs="Noto Sans CJK JP Regular"/>
    </w:rPr>
  </w:style>
  <w:style w:type="paragraph" w:styleId="918" w:customStyle="1">
    <w:name w:val="正文（1）"/>
    <w:basedOn w:val="709"/>
    <w:uiPriority w:val="0"/>
    <w:qFormat/>
    <w:pPr>
      <w:numPr>
        <w:ilvl w:val="0"/>
        <w:numId w:val="2"/>
      </w:numPr>
      <w:ind w:firstLine="200"/>
    </w:pPr>
    <w:rPr>
      <w:szCs w:val="24"/>
    </w:rPr>
  </w:style>
  <w:style w:type="paragraph" w:styleId="919" w:customStyle="1">
    <w:name w:val="朱-正文"/>
    <w:basedOn w:val="709"/>
    <w:uiPriority w:val="0"/>
    <w:qFormat/>
    <w:pPr>
      <w:ind w:firstLine="200"/>
    </w:pPr>
    <w:rPr>
      <w:rFonts w:ascii="Times New Roman"/>
      <w:color w:val="000000"/>
      <w:szCs w:val="24"/>
      <w:lang w:val="en-GB"/>
    </w:rPr>
  </w:style>
  <w:style w:type="paragraph" w:styleId="920" w:customStyle="1">
    <w:name w:val="GP正文(首行缩进)"/>
    <w:basedOn w:val="709"/>
    <w:uiPriority w:val="0"/>
    <w:qFormat/>
    <w:pPr>
      <w:ind w:firstLine="480"/>
      <w:jc w:val="left"/>
    </w:pPr>
    <w:rPr>
      <w:rFonts w:ascii="Times New Roman" w:hAnsi="宋体"/>
      <w:sz w:val="24"/>
      <w:szCs w:val="24"/>
    </w:rPr>
  </w:style>
  <w:style w:type="character" w:styleId="921" w:customStyle="1">
    <w:name w:val="font71"/>
    <w:basedOn w:val="719"/>
    <w:uiPriority w:val="0"/>
    <w:qFormat/>
    <w:rPr>
      <w:rFonts w:hint="eastAsia" w:ascii="宋体" w:hAnsi="宋体" w:eastAsia="宋体" w:cs="宋体"/>
      <w:color w:val="ff0000"/>
      <w:sz w:val="21"/>
      <w:szCs w:val="21"/>
      <w:u w:val="none"/>
    </w:rPr>
  </w:style>
  <w:style w:type="character" w:styleId="922" w:customStyle="1">
    <w:name w:val="font41"/>
    <w:basedOn w:val="719"/>
    <w:uiPriority w:val="0"/>
    <w:qFormat/>
    <w:rPr>
      <w:rFonts w:hint="eastAsia" w:ascii="宋体" w:hAnsi="宋体" w:eastAsia="宋体" w:cs="宋体"/>
      <w:color w:val="000000"/>
      <w:sz w:val="21"/>
      <w:szCs w:val="21"/>
      <w:u w:val="none"/>
    </w:rPr>
  </w:style>
  <w:style w:type="paragraph" w:styleId="923">
    <w:name w:val="List Paragraph"/>
    <w:basedOn w:val="709"/>
    <w:uiPriority w:val="0"/>
    <w:qFormat/>
    <w:pPr>
      <w:ind w:firstLine="420"/>
    </w:pPr>
  </w:style>
  <w:style w:type="paragraph" w:styleId="924" w:customStyle="1">
    <w:name w:val="列出段落2"/>
    <w:basedOn w:val="709"/>
    <w:uiPriority w:val="34"/>
    <w:qFormat/>
    <w:pPr>
      <w:ind w:firstLine="420"/>
    </w:pPr>
    <w:rPr>
      <w:rFonts w:ascii="宋体"/>
      <w:color w:val="404040"/>
    </w:rPr>
  </w:style>
  <w:style w:type="character" w:styleId="925" w:customStyle="1">
    <w:name w:val="批注文字 Char"/>
    <w:basedOn w:val="719"/>
    <w:link w:val="725"/>
    <w:uiPriority w:val="0"/>
    <w:qFormat/>
    <w:rPr>
      <w:rFonts w:ascii="Calibri" w:hAnsi="Calibri"/>
      <w:sz w:val="21"/>
      <w:szCs w:val="22"/>
    </w:rPr>
  </w:style>
  <w:style w:type="character" w:styleId="926" w:customStyle="1">
    <w:name w:val="批注主题 Char"/>
    <w:basedOn w:val="925"/>
    <w:link w:val="750"/>
    <w:uiPriority w:val="0"/>
    <w:qFormat/>
    <w:rPr>
      <w:rFonts w:ascii="Calibri" w:hAnsi="Calibri"/>
      <w:b/>
      <w:bCs/>
      <w:sz w:val="21"/>
      <w:szCs w:val="22"/>
    </w:rPr>
  </w:style>
  <w:style w:type="paragraph" w:styleId="927" w:customStyle="1">
    <w:name w:val="列表段落1"/>
    <w:basedOn w:val="709"/>
    <w:uiPriority w:val="0"/>
    <w:qFormat/>
    <w:pPr>
      <w:ind w:firstLine="200"/>
    </w:pPr>
    <w:rPr>
      <w:rFonts w:cs="宋体"/>
    </w:rPr>
  </w:style>
  <w:style w:type="character" w:styleId="928" w:customStyle="1">
    <w:name w:val="font51"/>
    <w:basedOn w:val="719"/>
    <w:uiPriority w:val="0"/>
    <w:qFormat/>
    <w:rPr>
      <w:rFonts w:hint="eastAsia" w:ascii="宋体" w:hAnsi="宋体" w:eastAsia="宋体" w:cs="宋体"/>
      <w:color w:val="000000"/>
      <w:sz w:val="24"/>
      <w:szCs w:val="24"/>
      <w:u w:val="none"/>
      <w:vertAlign w:val="subscript"/>
    </w:rPr>
  </w:style>
  <w:style w:type="character" w:styleId="929" w:customStyle="1">
    <w:name w:val="font61"/>
    <w:basedOn w:val="719"/>
    <w:uiPriority w:val="0"/>
    <w:qFormat/>
    <w:rPr>
      <w:rFonts w:hint="eastAsia" w:ascii="宋体" w:hAnsi="宋体" w:eastAsia="宋体" w:cs="宋体"/>
      <w:color w:val="000000"/>
      <w:sz w:val="24"/>
      <w:szCs w:val="24"/>
      <w:u w:val="none"/>
    </w:rPr>
  </w:style>
  <w:style w:type="character" w:styleId="930" w:customStyle="1">
    <w:name w:val="font01"/>
    <w:basedOn w:val="719"/>
    <w:uiPriority w:val="0"/>
    <w:qFormat/>
    <w:rPr>
      <w:rFonts w:hint="eastAsia" w:ascii="宋体" w:hAnsi="宋体" w:eastAsia="宋体" w:cs="宋体"/>
      <w:color w:val="000000"/>
      <w:sz w:val="24"/>
      <w:szCs w:val="24"/>
      <w:u w:val="none"/>
    </w:rPr>
  </w:style>
  <w:style w:type="character" w:styleId="931" w:customStyle="1">
    <w:name w:val="font81"/>
    <w:basedOn w:val="719"/>
    <w:uiPriority w:val="0"/>
    <w:qFormat/>
    <w:rPr>
      <w:rFonts w:ascii="微软雅黑" w:hAnsi="微软雅黑" w:eastAsia="微软雅黑" w:cs="微软雅黑"/>
      <w:color w:val="000000"/>
      <w:sz w:val="24"/>
      <w:szCs w:val="24"/>
      <w:u w:val="none"/>
    </w:rPr>
  </w:style>
  <w:style w:type="character" w:styleId="932" w:customStyle="1">
    <w:name w:val="font91"/>
    <w:basedOn w:val="719"/>
    <w:uiPriority w:val="0"/>
    <w:qFormat/>
    <w:rPr>
      <w:rFonts w:ascii="Segoe UI Symbol" w:hAnsi="Segoe UI Symbol" w:eastAsia="Segoe UI Symbol" w:cs="Segoe UI Symbol"/>
      <w:color w:val="000000"/>
      <w:sz w:val="24"/>
      <w:szCs w:val="24"/>
      <w:u w:val="none"/>
    </w:rPr>
  </w:style>
  <w:style w:type="character" w:styleId="933" w:customStyle="1">
    <w:name w:val="font101"/>
    <w:basedOn w:val="719"/>
    <w:uiPriority w:val="0"/>
    <w:qFormat/>
    <w:rPr>
      <w:rFonts w:ascii="Calibri" w:hAnsi="Calibri" w:cs="Calibri"/>
      <w:color w:val="000000"/>
      <w:sz w:val="24"/>
      <w:szCs w:val="24"/>
      <w:u w:val="none"/>
    </w:rPr>
  </w:style>
  <w:style w:type="paragraph" w:styleId="934" w:customStyle="1">
    <w:name w:val="TableItem"/>
    <w:uiPriority w:val="0"/>
    <w:qFormat/>
    <w:rPr>
      <w:rFonts w:hint="default" w:ascii="Verdana" w:hAnsi="Verdana" w:cs="Verdana" w:eastAsiaTheme="minorEastAsia"/>
      <w:b/>
      <w:bCs/>
      <w:color w:val="548235" w:themeColor="accent6" w:themeShade="BF"/>
      <w:spacing w:val="-10"/>
      <w:sz w:val="16"/>
      <w:szCs w:val="28"/>
      <w:lang w:val="en-US" w:eastAsia="zh-CN" w:bidi="ar-SA"/>
    </w:rPr>
  </w:style>
  <w:style w:type="paragraph" w:styleId="935" w:customStyle="1">
    <w:name w:val="TableEmphasis"/>
    <w:basedOn w:val="709"/>
    <w:uiPriority w:val="0"/>
    <w:qFormat/>
    <w:rPr>
      <w:rFonts w:ascii="Times New Roman" w:hAnsi="Times New Roman" w:eastAsia="Times New Roman"/>
      <w:b/>
      <w:bCs/>
      <w:color w:val="3333ff"/>
      <w:sz w:val="16"/>
      <w:szCs w:val="18"/>
    </w:rPr>
  </w:style>
  <w:style w:type="paragraph" w:styleId="936" w:customStyle="1">
    <w:name w:val="修订1"/>
    <w:hidden/>
    <w:uiPriority w:val="99"/>
    <w:unhideWhenUsed/>
    <w:qFormat/>
    <w:rPr>
      <w:rFonts w:hint="default" w:ascii="Calibri" w:hAnsi="Calibri" w:eastAsia="宋体" w:cs="Times New Roman"/>
      <w:sz w:val="21"/>
      <w:szCs w:val="22"/>
      <w:lang w:val="en-US" w:eastAsia="zh-CN" w:bidi="ar-SA"/>
    </w:rPr>
  </w:style>
  <w:style w:type="paragraph" w:styleId="937" w:customStyle="1">
    <w:name w:val="修订2"/>
    <w:hidden/>
    <w:uiPriority w:val="99"/>
    <w:semiHidden/>
    <w:qFormat/>
    <w:rPr>
      <w:rFonts w:hint="default" w:ascii="Calibri" w:hAnsi="Calibri" w:eastAsia="宋体" w:cs="Times New Roman"/>
      <w:sz w:val="21"/>
      <w:szCs w:val="22"/>
      <w:lang w:val="en-US" w:eastAsia="zh-CN" w:bidi="ar-SA"/>
    </w:rPr>
  </w:style>
  <w:style w:type="character" w:styleId="938" w:customStyle="1">
    <w:name w:val="font31"/>
    <w:basedOn w:val="719"/>
    <w:uiPriority w:val="0"/>
    <w:qFormat/>
    <w:rPr>
      <w:rFonts w:hint="default" w:ascii="仿宋_GB2312" w:eastAsia="仿宋_GB2312" w:cs="仿宋_GB2312"/>
      <w:color w:val="000000"/>
      <w:sz w:val="24"/>
      <w:szCs w:val="24"/>
      <w:u w:val="none"/>
    </w:rPr>
  </w:style>
  <w:style w:type="paragraph" w:styleId="939" w:customStyle="1">
    <w:name w:val="修订3"/>
    <w:hidden/>
    <w:uiPriority w:val="99"/>
    <w:unhideWhenUsed/>
    <w:qFormat/>
    <w:rPr>
      <w:rFonts w:hint="default" w:ascii="Calibri" w:hAnsi="Calibri" w:eastAsia="宋体" w:cs="Times New Roman"/>
      <w:sz w:val="21"/>
      <w:szCs w:val="22"/>
      <w:lang w:val="en-US" w:eastAsia="zh-CN" w:bidi="ar-SA"/>
    </w:rPr>
  </w:style>
  <w:style w:type="character" w:styleId="940" w:customStyle="1">
    <w:name w:val="mark"/>
    <w:uiPriority w:val="0"/>
    <w:qFormat/>
  </w:style>
  <w:style w:type="character" w:styleId="941" w:customStyle="1">
    <w:name w:val="wx-space"/>
    <w:basedOn w:val="719"/>
    <w:uiPriority w:val="0"/>
    <w:qFormat/>
  </w:style>
  <w:style w:type="character" w:styleId="942" w:customStyle="1">
    <w:name w:val="wx-space1"/>
    <w:basedOn w:val="719"/>
    <w:uiPriority w:val="0"/>
    <w:qFormat/>
  </w:style>
  <w:style w:type="character" w:styleId="943" w:customStyle="1">
    <w:name w:val="hover2"/>
    <w:basedOn w:val="719"/>
    <w:uiPriority w:val="0"/>
    <w:qFormat/>
    <w:rPr>
      <w:color w:val="000000"/>
      <w:shd w:val="clear" w:color="auto" w:fill="ffffff"/>
    </w:rPr>
  </w:style>
  <w:style w:type="paragraph" w:styleId="944" w:customStyle="1">
    <w:name w:val="纯文本1"/>
    <w:basedOn w:val="709"/>
    <w:uiPriority w:val="99"/>
    <w:qFormat/>
    <w:rPr>
      <w:rFonts w:ascii="宋体" w:hAnsi="Courier New"/>
      <w:sz w:val="20"/>
      <w:szCs w:val="21"/>
    </w:rPr>
  </w:style>
  <w:style w:type="paragraph" w:styleId="945" w:customStyle="1">
    <w:name w:val="BodyText1I2"/>
    <w:basedOn w:val="946"/>
    <w:next w:val="947"/>
    <w:uiPriority w:val="0"/>
    <w:qFormat/>
    <w:pPr>
      <w:ind w:firstLine="420"/>
    </w:pPr>
  </w:style>
  <w:style w:type="paragraph" w:styleId="946" w:customStyle="1">
    <w:name w:val="BodyTextIndent"/>
    <w:basedOn w:val="709"/>
    <w:next w:val="709"/>
    <w:uiPriority w:val="0"/>
    <w:qFormat/>
    <w:pPr>
      <w:ind w:left="420"/>
      <w:spacing w:after="120"/>
    </w:pPr>
    <w:rPr>
      <w:szCs w:val="24"/>
    </w:rPr>
  </w:style>
  <w:style w:type="paragraph" w:styleId="947" w:customStyle="1">
    <w:name w:val="BodyText1I"/>
    <w:basedOn w:val="948"/>
    <w:uiPriority w:val="0"/>
    <w:qFormat/>
    <w:pPr>
      <w:ind w:firstLine="420"/>
    </w:pPr>
  </w:style>
  <w:style w:type="paragraph" w:styleId="948" w:customStyle="1">
    <w:name w:val="BodyText"/>
    <w:basedOn w:val="709"/>
    <w:uiPriority w:val="0"/>
    <w:qFormat/>
    <w:pPr>
      <w:spacing w:after="120"/>
    </w:pPr>
    <w:rPr>
      <w:rFonts w:ascii="Calibri"/>
    </w:rPr>
  </w:style>
  <w:style w:type="paragraph" w:styleId="949" w:customStyle="1">
    <w:name w:val="正文文本11"/>
    <w:basedOn w:val="709"/>
    <w:next w:val="709"/>
    <w:uiPriority w:val="0"/>
    <w:qFormat/>
    <w:rPr>
      <w:rFonts w:ascii="楷体_GB2312" w:hAnsi="Arial" w:eastAsia="楷体_GB2312"/>
      <w:sz w:val="28"/>
      <w:szCs w:val="28"/>
    </w:rPr>
  </w:style>
  <w:style w:type="paragraph" w:styleId="950" w:customStyle="1">
    <w:name w:val="[基本段落]"/>
    <w:basedOn w:val="709"/>
    <w:uiPriority w:val="99"/>
    <w:qFormat/>
    <w:pPr>
      <w:spacing w:line="288" w:lineRule="auto"/>
    </w:pPr>
    <w:rPr>
      <w:rFonts w:ascii="Adobe 宋体 Std L" w:eastAsia="Adobe 宋体 Std L" w:cs="Adobe 宋体 Std L"/>
      <w:color w:val="000000"/>
      <w:sz w:val="24"/>
      <w:lang w:val="zh-CN"/>
    </w:rPr>
  </w:style>
  <w:style w:type="numbering" w:styleId="9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黄炎</cp:lastModifiedBy>
  <cp:revision>6</cp:revision>
  <dcterms:created xsi:type="dcterms:W3CDTF">2024-11-25T07:36:00Z</dcterms:created>
  <dcterms:modified xsi:type="dcterms:W3CDTF">2025-11-10T15:28:15Z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B09D9BC62BE146F0B92AE9A7AC660731_13</vt:lpwstr>
  </property>
  <property fmtid="{D5CDD505-2E9C-101B-9397-08002B2CF9AE}" pid="4" name="KSOTemplateDocerSaveRecord">
    <vt:lpwstr>eyJoZGlkIjoiOTY1NTIxNDIxNWZhYzI4OWJjZDYwMTNjNTkwZGQ5N2UiLCJ1c2VySWQiOiIyMjY3NTcyNjEifQ==</vt:lpwstr>
  </property>
</Properties>
</file>